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B9C72" w14:textId="77777777" w:rsidR="00FE79FE" w:rsidRDefault="00FE79FE"/>
    <w:p w14:paraId="58DD9974" w14:textId="77777777" w:rsidR="00013002" w:rsidRDefault="00013002" w:rsidP="00DE5556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4854E164" w14:textId="50325168" w:rsidR="00D5024B" w:rsidRPr="00F111D6" w:rsidRDefault="00D5024B" w:rsidP="00D5024B">
      <w:pPr>
        <w:pStyle w:val="CoverNumber"/>
        <w:rPr>
          <w:lang w:val="es-ES"/>
        </w:rPr>
      </w:pPr>
      <w:r w:rsidRPr="00F111D6">
        <w:rPr>
          <w:lang w:val="es-ES"/>
        </w:rPr>
        <w:t>Recom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>nda</w:t>
      </w:r>
      <w:r w:rsidR="0069322D" w:rsidRPr="00F111D6">
        <w:rPr>
          <w:lang w:val="es-ES"/>
        </w:rPr>
        <w:t>c</w:t>
      </w:r>
      <w:r w:rsidRPr="00F111D6">
        <w:rPr>
          <w:lang w:val="es-ES"/>
        </w:rPr>
        <w:t>i</w:t>
      </w:r>
      <w:r w:rsidR="0069322D" w:rsidRPr="00F111D6">
        <w:rPr>
          <w:lang w:val="es-ES"/>
        </w:rPr>
        <w:t>ó</w:t>
      </w:r>
      <w:r w:rsidRPr="00F111D6">
        <w:rPr>
          <w:lang w:val="es-ES"/>
        </w:rPr>
        <w:t xml:space="preserve">n </w:t>
      </w:r>
      <w:r w:rsidR="007624B1" w:rsidRPr="00F111D6">
        <w:rPr>
          <w:lang w:val="es-ES"/>
        </w:rPr>
        <w:t>U</w:t>
      </w:r>
      <w:r w:rsidRPr="00F111D6">
        <w:rPr>
          <w:lang w:val="es-ES"/>
        </w:rPr>
        <w:t xml:space="preserve">IT-R </w:t>
      </w:r>
      <w:r w:rsidR="000246E0">
        <w:rPr>
          <w:lang w:val="es-ES"/>
        </w:rPr>
        <w:t>F</w:t>
      </w:r>
      <w:r w:rsidRPr="00F111D6">
        <w:rPr>
          <w:lang w:val="es-ES"/>
        </w:rPr>
        <w:t>.</w:t>
      </w:r>
      <w:r w:rsidR="00C70B98" w:rsidRPr="00B92AFD">
        <w:rPr>
          <w:lang w:val="es-ES_tradnl"/>
        </w:rPr>
        <w:t>1568-2</w:t>
      </w:r>
    </w:p>
    <w:p w14:paraId="7B578288" w14:textId="40CECAC6" w:rsidR="00D5024B" w:rsidRPr="00F111D6" w:rsidRDefault="00D5024B" w:rsidP="00D5024B">
      <w:pPr>
        <w:pStyle w:val="CoverDate"/>
        <w:rPr>
          <w:lang w:val="es-ES"/>
        </w:rPr>
      </w:pPr>
      <w:r w:rsidRPr="00F111D6">
        <w:rPr>
          <w:lang w:val="es-ES"/>
        </w:rPr>
        <w:t>(</w:t>
      </w:r>
      <w:r w:rsidR="00C70B98" w:rsidRPr="00B92AFD">
        <w:rPr>
          <w:lang w:val="es-ES_tradnl"/>
        </w:rPr>
        <w:t>12/2023</w:t>
      </w:r>
      <w:r w:rsidRPr="00F111D6">
        <w:rPr>
          <w:lang w:val="es-ES"/>
        </w:rPr>
        <w:t>)</w:t>
      </w:r>
    </w:p>
    <w:p w14:paraId="67378700" w14:textId="77777777" w:rsidR="00D5024B" w:rsidRPr="00F111D6" w:rsidRDefault="00A25EE2" w:rsidP="00D5024B">
      <w:pPr>
        <w:pStyle w:val="CoverSeries"/>
        <w:rPr>
          <w:lang w:val="es-ES"/>
        </w:rPr>
      </w:pPr>
      <w:r w:rsidRPr="00F111D6">
        <w:rPr>
          <w:lang w:val="es-ES"/>
        </w:rPr>
        <w:t>S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 xml:space="preserve">rie </w:t>
      </w:r>
      <w:r w:rsidR="000246E0">
        <w:rPr>
          <w:lang w:val="es-ES"/>
        </w:rPr>
        <w:t>F</w:t>
      </w:r>
      <w:r w:rsidR="00D5024B" w:rsidRPr="00F111D6">
        <w:rPr>
          <w:lang w:val="es-ES"/>
        </w:rPr>
        <w:t xml:space="preserve">: </w:t>
      </w:r>
      <w:r w:rsidR="000246E0" w:rsidRPr="000246E0">
        <w:rPr>
          <w:lang w:val="es-ES"/>
        </w:rPr>
        <w:t>Servicio fijo</w:t>
      </w:r>
    </w:p>
    <w:p w14:paraId="584304E8" w14:textId="28E73B3C" w:rsidR="00D5024B" w:rsidRPr="00F111D6" w:rsidRDefault="00C70B98" w:rsidP="00D5024B">
      <w:pPr>
        <w:pStyle w:val="CoverTitle"/>
        <w:rPr>
          <w:lang w:val="es-ES"/>
        </w:rPr>
      </w:pPr>
      <w:r w:rsidRPr="00B92AFD">
        <w:rPr>
          <w:lang w:val="es-ES_tradnl"/>
        </w:rPr>
        <w:t>Disposiciones de bloques de radiofrecuencias para sistemas de acceso inalámbrico fijo en la gama 10,15-10,3/10,5-10,65</w:t>
      </w:r>
      <w:r w:rsidR="00865A44">
        <w:rPr>
          <w:lang w:val="es-ES_tradnl"/>
        </w:rPr>
        <w:t> </w:t>
      </w:r>
      <w:r w:rsidRPr="00B92AFD">
        <w:rPr>
          <w:lang w:val="es-ES_tradnl"/>
        </w:rPr>
        <w:t>GHz</w:t>
      </w:r>
    </w:p>
    <w:p w14:paraId="1E20266E" w14:textId="77777777" w:rsidR="00FE79FE" w:rsidRPr="00F111D6" w:rsidRDefault="00FE79FE" w:rsidP="005373E0"/>
    <w:p w14:paraId="526EFDE3" w14:textId="77777777" w:rsidR="00A71FE5" w:rsidRPr="00F111D6" w:rsidRDefault="00A71FE5" w:rsidP="005373E0"/>
    <w:p w14:paraId="070EC296" w14:textId="77777777" w:rsidR="00EE47C4" w:rsidRPr="00F111D6" w:rsidRDefault="00EE47C4" w:rsidP="005373E0">
      <w:pPr>
        <w:sectPr w:rsidR="00EE47C4" w:rsidRPr="00F111D6" w:rsidSect="0027411A">
          <w:headerReference w:type="even" r:id="rId7"/>
          <w:headerReference w:type="default" r:id="rId8"/>
          <w:footerReference w:type="default" r:id="rId9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5C4BB527" w14:textId="77777777" w:rsidR="0069322D" w:rsidRPr="006C718C" w:rsidRDefault="0069322D" w:rsidP="0069322D">
      <w:pPr>
        <w:pStyle w:val="Tablehea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0" w:after="0"/>
        <w:rPr>
          <w:bCs/>
          <w:sz w:val="24"/>
          <w:szCs w:val="24"/>
          <w:lang w:val="es-ES_tradnl"/>
        </w:rPr>
      </w:pPr>
      <w:bookmarkStart w:id="0" w:name="c2tope"/>
      <w:bookmarkEnd w:id="0"/>
      <w:r w:rsidRPr="006C718C">
        <w:rPr>
          <w:bCs/>
          <w:sz w:val="24"/>
          <w:szCs w:val="24"/>
          <w:lang w:val="es-ES_tradnl"/>
        </w:rPr>
        <w:lastRenderedPageBreak/>
        <w:t>Prólogo</w:t>
      </w:r>
    </w:p>
    <w:p w14:paraId="5F719001" w14:textId="77777777" w:rsidR="0069322D" w:rsidRPr="006C718C" w:rsidRDefault="0069322D" w:rsidP="0069322D">
      <w:pPr>
        <w:spacing w:before="180"/>
        <w:rPr>
          <w:sz w:val="20"/>
          <w:lang w:val="es-ES_tradnl"/>
        </w:rPr>
      </w:pPr>
      <w:r w:rsidRPr="006C718C">
        <w:rPr>
          <w:sz w:val="20"/>
          <w:lang w:val="es-ES_tradnl"/>
        </w:rPr>
        <w:t>El Sector de Radiocomunicaciones tiene como cometido garantizar la utilizaci</w:t>
      </w:r>
      <w:r>
        <w:rPr>
          <w:sz w:val="20"/>
          <w:lang w:val="es-ES_tradnl"/>
        </w:rPr>
        <w:t>ón racional, equitativa, eficaz y económica del espectro de frecuencias radioeléctricas por todos los servicios de radiocomunicaciones, incluidos los servicios por satélite, y realizar, sin limitación de gamas de frecuencias, estudios que sirvan de base para la adopción de las Recomendaciones UIT-R.</w:t>
      </w:r>
    </w:p>
    <w:p w14:paraId="22AE535A" w14:textId="77777777" w:rsidR="0069322D" w:rsidRPr="006C718C" w:rsidRDefault="0069322D" w:rsidP="0069322D">
      <w:pPr>
        <w:rPr>
          <w:sz w:val="20"/>
          <w:lang w:val="es-ES_tradnl"/>
        </w:rPr>
      </w:pPr>
      <w:r w:rsidRPr="006C718C">
        <w:rPr>
          <w:sz w:val="20"/>
          <w:lang w:val="es-ES_tradnl"/>
        </w:rPr>
        <w:t>Las Conferencias Mundiales y Regionales de Radiocomunicaciones y las Asambleas de Radiocomunicaciones, c</w:t>
      </w:r>
      <w:r>
        <w:rPr>
          <w:sz w:val="20"/>
          <w:lang w:val="es-ES_tradnl"/>
        </w:rPr>
        <w:t>on la colaboración de las Comisiones de Estudio, cumplen las funciones reglamentarias y políticas del Sector de Radiocomunicaciones.</w:t>
      </w:r>
    </w:p>
    <w:p w14:paraId="14C06722" w14:textId="77777777" w:rsidR="0069322D" w:rsidRPr="00021E8A" w:rsidRDefault="0069322D" w:rsidP="0069322D">
      <w:pPr>
        <w:pStyle w:val="Heading1"/>
        <w:spacing w:before="340"/>
        <w:jc w:val="center"/>
        <w:rPr>
          <w:szCs w:val="24"/>
          <w:lang w:val="es-ES_tradnl"/>
        </w:rPr>
      </w:pPr>
      <w:r w:rsidRPr="007C36CA">
        <w:rPr>
          <w:lang w:val="es-ES_tradnl"/>
        </w:rPr>
        <w:t>Política sobre Derechos de Propiedad Intelectual</w:t>
      </w:r>
      <w:r w:rsidRPr="00021E8A">
        <w:rPr>
          <w:szCs w:val="24"/>
          <w:lang w:val="es-ES_tradnl"/>
        </w:rPr>
        <w:t xml:space="preserve"> (IPR)</w:t>
      </w:r>
    </w:p>
    <w:p w14:paraId="3441491C" w14:textId="77777777" w:rsidR="0069322D" w:rsidRPr="00021E8A" w:rsidRDefault="0069322D" w:rsidP="0069322D">
      <w:pPr>
        <w:spacing w:before="180"/>
        <w:rPr>
          <w:sz w:val="20"/>
          <w:lang w:val="es-ES_tradnl"/>
        </w:rPr>
      </w:pPr>
      <w:r w:rsidRPr="00021E8A">
        <w:rPr>
          <w:sz w:val="20"/>
          <w:lang w:val="es-ES_tradnl"/>
        </w:rPr>
        <w:t>La política del UIT</w:t>
      </w:r>
      <w:r w:rsidRPr="00021E8A">
        <w:rPr>
          <w:sz w:val="20"/>
          <w:lang w:val="es-ES_tradnl"/>
        </w:rPr>
        <w:noBreakHyphen/>
        <w:t>R sobre Derechos de Propiedad Intelectual se describe en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a la que se hace referencia en la Resolución UIT</w:t>
      </w:r>
      <w:r w:rsidRPr="00021E8A">
        <w:rPr>
          <w:sz w:val="20"/>
          <w:lang w:val="es-ES_tradnl"/>
        </w:rPr>
        <w:noBreakHyphen/>
        <w:t xml:space="preserve">R 1. Los formularios que deben utilizarse en la declaración sobre patentes y utilización de patentes por los titulares de las mismas figuran en la dirección web </w:t>
      </w:r>
      <w:hyperlink r:id="rId10" w:history="1">
        <w:r w:rsidRPr="00021E8A">
          <w:rPr>
            <w:rStyle w:val="Hyperlink"/>
            <w:sz w:val="20"/>
            <w:lang w:val="es-ES_tradnl"/>
          </w:rPr>
          <w:t>http://www.itu.int/ITU-R/go/patents/es</w:t>
        </w:r>
      </w:hyperlink>
      <w:r w:rsidRPr="00021E8A">
        <w:rPr>
          <w:sz w:val="20"/>
          <w:lang w:val="es-ES_tradnl"/>
        </w:rPr>
        <w:t>, donde también aparecen las Directrices para la implementación de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y la base de datos sobre información de patentes del UIT</w:t>
      </w:r>
      <w:r w:rsidRPr="00021E8A">
        <w:rPr>
          <w:sz w:val="20"/>
          <w:lang w:val="es-ES_tradnl"/>
        </w:rPr>
        <w:noBreakHyphen/>
        <w:t>R sobre este asunto.</w:t>
      </w:r>
    </w:p>
    <w:p w14:paraId="479E9522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p w14:paraId="29CC0AA7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tbl>
      <w:tblPr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000" w:firstRow="0" w:lastRow="0" w:firstColumn="0" w:lastColumn="0" w:noHBand="0" w:noVBand="0"/>
      </w:tblPr>
      <w:tblGrid>
        <w:gridCol w:w="1170"/>
        <w:gridCol w:w="8439"/>
      </w:tblGrid>
      <w:tr w:rsidR="0069322D" w:rsidRPr="000246E0" w14:paraId="3B8F2C71" w14:textId="77777777" w:rsidTr="0069322D">
        <w:tc>
          <w:tcPr>
            <w:tcW w:w="9360" w:type="dxa"/>
            <w:gridSpan w:val="2"/>
          </w:tcPr>
          <w:p w14:paraId="13C15F38" w14:textId="77777777" w:rsidR="0069322D" w:rsidRPr="00021E8A" w:rsidRDefault="0069322D" w:rsidP="000B4BD9">
            <w:pPr>
              <w:pStyle w:val="Chaptitle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140"/>
              <w:textAlignment w:val="auto"/>
              <w:rPr>
                <w:sz w:val="22"/>
                <w:szCs w:val="22"/>
                <w:lang w:val="es-ES_tradnl"/>
              </w:rPr>
            </w:pPr>
            <w:r w:rsidRPr="00021E8A">
              <w:rPr>
                <w:sz w:val="22"/>
                <w:szCs w:val="22"/>
                <w:lang w:val="es-ES_tradnl"/>
              </w:rPr>
              <w:t xml:space="preserve">Series de las Recomendaciones UIT-R </w:t>
            </w:r>
          </w:p>
          <w:p w14:paraId="7C6EA3CF" w14:textId="77777777" w:rsidR="0069322D" w:rsidRPr="00763D08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60"/>
              <w:rPr>
                <w:bCs/>
                <w:sz w:val="18"/>
                <w:szCs w:val="18"/>
                <w:lang w:val="es-ES_tradnl"/>
              </w:rPr>
            </w:pPr>
            <w:r w:rsidRPr="00763D08">
              <w:rPr>
                <w:b w:val="0"/>
                <w:sz w:val="18"/>
                <w:szCs w:val="18"/>
                <w:lang w:val="es-ES_tradnl"/>
              </w:rPr>
              <w:t xml:space="preserve">(También disponible en línea en </w:t>
            </w:r>
            <w:hyperlink r:id="rId11" w:history="1">
              <w:r w:rsidR="00B96572">
                <w:rPr>
                  <w:rStyle w:val="Hyperlink"/>
                  <w:b w:val="0"/>
                  <w:bCs/>
                  <w:sz w:val="18"/>
                  <w:szCs w:val="18"/>
                  <w:lang w:val="es-ES_tradnl"/>
                </w:rPr>
                <w:t>https://www.itu.int/publ/R-REC/es</w:t>
              </w:r>
            </w:hyperlink>
            <w:r w:rsidRPr="00763D08">
              <w:rPr>
                <w:b w:val="0"/>
                <w:bCs/>
                <w:sz w:val="18"/>
                <w:szCs w:val="18"/>
                <w:lang w:val="es-ES_tradnl"/>
              </w:rPr>
              <w:t>)</w:t>
            </w:r>
          </w:p>
        </w:tc>
      </w:tr>
      <w:tr w:rsidR="0069322D" w:rsidRPr="00036EE3" w14:paraId="221CFA5B" w14:textId="77777777" w:rsidTr="00B96572">
        <w:tc>
          <w:tcPr>
            <w:tcW w:w="1140" w:type="dxa"/>
            <w:tcBorders>
              <w:bottom w:val="nil"/>
            </w:tcBorders>
            <w:vAlign w:val="bottom"/>
          </w:tcPr>
          <w:p w14:paraId="7EA8C8C8" w14:textId="77777777" w:rsidR="0069322D" w:rsidRPr="00036EE3" w:rsidRDefault="0069322D" w:rsidP="00B96572">
            <w:pPr>
              <w:spacing w:before="180" w:after="10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Series</w:t>
            </w:r>
          </w:p>
        </w:tc>
        <w:tc>
          <w:tcPr>
            <w:tcW w:w="8220" w:type="dxa"/>
            <w:tcBorders>
              <w:bottom w:val="nil"/>
            </w:tcBorders>
            <w:vAlign w:val="bottom"/>
          </w:tcPr>
          <w:p w14:paraId="2C2BA9C7" w14:textId="77777777" w:rsidR="0069322D" w:rsidRPr="00036EE3" w:rsidRDefault="0069322D" w:rsidP="00B9657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1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Título</w:t>
            </w:r>
          </w:p>
        </w:tc>
      </w:tr>
      <w:tr w:rsidR="0069322D" w:rsidRPr="004532F7" w14:paraId="0287E3A1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4CBD3E57" w14:textId="77777777" w:rsidR="0069322D" w:rsidRPr="004532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4532F7">
              <w:rPr>
                <w:b/>
                <w:bCs/>
                <w:sz w:val="20"/>
                <w:lang w:val="en-US"/>
              </w:rPr>
              <w:t>BO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130D5BD0" w14:textId="77777777" w:rsidR="0069322D" w:rsidRPr="004532F7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4532F7">
              <w:rPr>
                <w:b w:val="0"/>
                <w:sz w:val="20"/>
              </w:rPr>
              <w:t>Distribución por satélite</w:t>
            </w:r>
          </w:p>
        </w:tc>
      </w:tr>
      <w:tr w:rsidR="0069322D" w:rsidRPr="000246E0" w14:paraId="749B3C9C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32343948" w14:textId="77777777" w:rsidR="0069322D" w:rsidRPr="006B22C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6B22C3">
              <w:rPr>
                <w:b/>
                <w:bCs/>
                <w:sz w:val="20"/>
                <w:lang w:val="en-US"/>
              </w:rPr>
              <w:t>BR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188655EE" w14:textId="77777777" w:rsidR="0069322D" w:rsidRPr="006B22C3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s-ES_tradnl"/>
              </w:rPr>
            </w:pPr>
            <w:r w:rsidRPr="006B22C3">
              <w:rPr>
                <w:b w:val="0"/>
                <w:sz w:val="20"/>
                <w:lang w:val="es-ES_tradnl"/>
              </w:rPr>
              <w:t>Registro para producción, archivo y reproducción; películas en televisión</w:t>
            </w:r>
          </w:p>
        </w:tc>
      </w:tr>
      <w:tr w:rsidR="0069322D" w:rsidRPr="00847DD5" w14:paraId="1FF61FE1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027132DF" w14:textId="77777777" w:rsidR="0069322D" w:rsidRPr="00847DD5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847DD5">
              <w:rPr>
                <w:b/>
                <w:bCs/>
                <w:sz w:val="20"/>
                <w:lang w:val="en-US"/>
              </w:rPr>
              <w:t>BS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4BB954C6" w14:textId="77777777" w:rsidR="0069322D" w:rsidRPr="00847DD5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021E8A">
              <w:rPr>
                <w:b w:val="0"/>
                <w:bCs/>
                <w:sz w:val="20"/>
              </w:rPr>
              <w:t xml:space="preserve">Servicio de radiodifusión </w:t>
            </w:r>
            <w:r>
              <w:rPr>
                <w:b w:val="0"/>
                <w:bCs/>
                <w:sz w:val="20"/>
              </w:rPr>
              <w:t>(</w:t>
            </w:r>
            <w:r w:rsidRPr="00021E8A">
              <w:rPr>
                <w:b w:val="0"/>
                <w:bCs/>
                <w:sz w:val="20"/>
              </w:rPr>
              <w:t>sonora</w:t>
            </w:r>
            <w:r>
              <w:rPr>
                <w:b w:val="0"/>
                <w:bCs/>
                <w:sz w:val="20"/>
              </w:rPr>
              <w:t>)</w:t>
            </w:r>
          </w:p>
        </w:tc>
      </w:tr>
      <w:tr w:rsidR="0069322D" w:rsidRPr="00ED2695" w14:paraId="025DBCB4" w14:textId="77777777" w:rsidTr="000246E0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4031AD17" w14:textId="77777777" w:rsidR="0069322D" w:rsidRPr="00ED2695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ED2695">
              <w:rPr>
                <w:b/>
                <w:bCs/>
                <w:sz w:val="20"/>
                <w:lang w:val="en-US"/>
              </w:rPr>
              <w:t>BT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4CCA2797" w14:textId="77777777" w:rsidR="0069322D" w:rsidRPr="00021E8A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bCs/>
                <w:sz w:val="20"/>
                <w:lang w:val="en-US"/>
              </w:rPr>
            </w:pPr>
            <w:r w:rsidRPr="00021E8A">
              <w:rPr>
                <w:b w:val="0"/>
                <w:bCs/>
                <w:sz w:val="20"/>
              </w:rPr>
              <w:t>Servicio de radiodifusión (televisión)</w:t>
            </w:r>
          </w:p>
        </w:tc>
      </w:tr>
      <w:tr w:rsidR="000246E0" w:rsidRPr="000246E0" w14:paraId="69AECD54" w14:textId="77777777" w:rsidTr="000246E0">
        <w:tc>
          <w:tcPr>
            <w:tcW w:w="11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1CE7A2" w14:textId="77777777" w:rsidR="0069322D" w:rsidRPr="000246E0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color w:val="000080"/>
                <w:sz w:val="20"/>
                <w:lang w:val="fr-CH"/>
              </w:rPr>
            </w:pPr>
            <w:r w:rsidRPr="000246E0">
              <w:rPr>
                <w:b/>
                <w:bCs/>
                <w:color w:val="000080"/>
                <w:sz w:val="20"/>
                <w:lang w:val="fr-CH"/>
              </w:rPr>
              <w:t>F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EF0C12" w14:textId="77777777" w:rsidR="0069322D" w:rsidRPr="000246E0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b/>
                <w:bCs/>
                <w:color w:val="000080"/>
                <w:sz w:val="20"/>
                <w:lang w:val="fr-CH"/>
              </w:rPr>
            </w:pPr>
            <w:r w:rsidRPr="000246E0">
              <w:rPr>
                <w:b/>
                <w:bCs/>
                <w:color w:val="000080"/>
                <w:sz w:val="20"/>
              </w:rPr>
              <w:t>Servicio fijo</w:t>
            </w:r>
          </w:p>
        </w:tc>
      </w:tr>
      <w:tr w:rsidR="0069322D" w:rsidRPr="000246E0" w14:paraId="7979744B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7207F198" w14:textId="77777777" w:rsidR="0069322D" w:rsidRPr="0010336F" w:rsidRDefault="0069322D" w:rsidP="000B4BD9">
            <w:pPr>
              <w:spacing w:before="30" w:after="30"/>
              <w:ind w:left="57"/>
              <w:jc w:val="left"/>
              <w:rPr>
                <w:rFonts w:hAnsi="Times New Roman Bold"/>
                <w:b/>
                <w:bCs/>
                <w:sz w:val="20"/>
                <w:lang w:val="en-US"/>
              </w:rPr>
            </w:pPr>
            <w:r w:rsidRPr="0010336F">
              <w:rPr>
                <w:rFonts w:hAnsi="Times New Roman Bold"/>
                <w:b/>
                <w:bCs/>
                <w:sz w:val="20"/>
                <w:lang w:val="en-US"/>
              </w:rPr>
              <w:t>M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35CC4B81" w14:textId="77777777" w:rsidR="0069322D" w:rsidRPr="0010336F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rFonts w:hAnsi="Times New Roman Bold"/>
                <w:b w:val="0"/>
                <w:sz w:val="20"/>
                <w:lang w:val="es-ES_tradnl"/>
              </w:rPr>
            </w:pP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Servicios m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ó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viles, de radiodeterminaci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ó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n, de aficionados y otros servicios por sat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é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lite conexos</w:t>
            </w:r>
          </w:p>
        </w:tc>
      </w:tr>
      <w:tr w:rsidR="0069322D" w:rsidRPr="000246E0" w14:paraId="10DE51B4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436F58AF" w14:textId="77777777" w:rsidR="0069322D" w:rsidRPr="00F9557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F95576">
              <w:rPr>
                <w:b/>
                <w:bCs/>
                <w:sz w:val="20"/>
                <w:lang w:val="fr-CH"/>
              </w:rPr>
              <w:t>P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21A9F9BB" w14:textId="77777777" w:rsidR="0069322D" w:rsidRPr="00F95576" w:rsidRDefault="0069322D" w:rsidP="000B4BD9">
            <w:pPr>
              <w:spacing w:before="30" w:after="30"/>
              <w:jc w:val="left"/>
              <w:rPr>
                <w:sz w:val="20"/>
                <w:lang w:val="es-ES_tradnl"/>
              </w:rPr>
            </w:pPr>
            <w:r w:rsidRPr="00F95576">
              <w:rPr>
                <w:sz w:val="20"/>
                <w:lang w:val="es-ES_tradnl"/>
              </w:rPr>
              <w:t>Propagación de las ondas radioeléctricas</w:t>
            </w:r>
          </w:p>
        </w:tc>
      </w:tr>
      <w:tr w:rsidR="0069322D" w:rsidRPr="00DE71F7" w14:paraId="7CB8BB27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3BF126E8" w14:textId="77777777" w:rsidR="0069322D" w:rsidRPr="00DE71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E71F7">
              <w:rPr>
                <w:b/>
                <w:bCs/>
                <w:sz w:val="20"/>
                <w:lang w:val="en-US"/>
              </w:rPr>
              <w:t>RA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2D6E54D2" w14:textId="77777777" w:rsidR="0069322D" w:rsidRPr="00DE71F7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n-US"/>
              </w:rPr>
            </w:pPr>
            <w:r w:rsidRPr="00DE71F7">
              <w:rPr>
                <w:sz w:val="20"/>
              </w:rPr>
              <w:t>Radioastronomía</w:t>
            </w:r>
          </w:p>
        </w:tc>
      </w:tr>
      <w:tr w:rsidR="0069322D" w:rsidRPr="000246E0" w14:paraId="12FB28FE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55F0B037" w14:textId="77777777" w:rsidR="0069322D" w:rsidRPr="00D12388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12388">
              <w:rPr>
                <w:b/>
                <w:bCs/>
                <w:sz w:val="20"/>
                <w:lang w:val="en-US"/>
              </w:rPr>
              <w:t>RS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0DA5214C" w14:textId="77777777" w:rsidR="0069322D" w:rsidRPr="00D12388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s-ES_tradnl"/>
              </w:rPr>
            </w:pPr>
            <w:r w:rsidRPr="00D12388">
              <w:rPr>
                <w:sz w:val="20"/>
                <w:lang w:val="es-ES_tradnl"/>
              </w:rPr>
              <w:t>Sistemas de detección a distancia</w:t>
            </w:r>
          </w:p>
        </w:tc>
      </w:tr>
      <w:tr w:rsidR="0069322D" w:rsidRPr="00025336" w14:paraId="0B13389B" w14:textId="77777777" w:rsidTr="000246E0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48605D95" w14:textId="77777777" w:rsidR="0069322D" w:rsidRPr="0002533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25336">
              <w:rPr>
                <w:b/>
                <w:bCs/>
                <w:sz w:val="20"/>
                <w:lang w:val="en-US"/>
              </w:rPr>
              <w:t>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33F2F7A5" w14:textId="77777777" w:rsidR="0069322D" w:rsidRPr="00025336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25336">
              <w:rPr>
                <w:sz w:val="20"/>
              </w:rPr>
              <w:t>Servicio fijo por satélite</w:t>
            </w:r>
          </w:p>
        </w:tc>
      </w:tr>
      <w:tr w:rsidR="000246E0" w:rsidRPr="000246E0" w14:paraId="21B54991" w14:textId="77777777" w:rsidTr="000246E0">
        <w:tc>
          <w:tcPr>
            <w:tcW w:w="1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B6F469B" w14:textId="77777777" w:rsidR="0069322D" w:rsidRPr="000246E0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246E0">
              <w:rPr>
                <w:b/>
                <w:bCs/>
                <w:sz w:val="20"/>
                <w:lang w:val="en-US"/>
              </w:rPr>
              <w:t>SA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F4A044" w14:textId="77777777" w:rsidR="0069322D" w:rsidRPr="000246E0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246E0">
              <w:rPr>
                <w:sz w:val="20"/>
              </w:rPr>
              <w:t>Aplicaciones espaciales y meteorología</w:t>
            </w:r>
          </w:p>
        </w:tc>
      </w:tr>
      <w:tr w:rsidR="0069322D" w:rsidRPr="000246E0" w14:paraId="6034C626" w14:textId="77777777" w:rsidTr="0069322D">
        <w:tc>
          <w:tcPr>
            <w:tcW w:w="1140" w:type="dxa"/>
            <w:tcBorders>
              <w:top w:val="nil"/>
            </w:tcBorders>
          </w:tcPr>
          <w:p w14:paraId="42D3F2B4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SF</w:t>
            </w:r>
          </w:p>
        </w:tc>
        <w:tc>
          <w:tcPr>
            <w:tcW w:w="8220" w:type="dxa"/>
            <w:tcBorders>
              <w:top w:val="nil"/>
            </w:tcBorders>
          </w:tcPr>
          <w:p w14:paraId="5812B19D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Compartición de frecuencias y coordinación entre los sistemas del servicio fijo por satélite y del servicio fijo</w:t>
            </w:r>
          </w:p>
        </w:tc>
      </w:tr>
      <w:tr w:rsidR="0069322D" w:rsidRPr="00036EE3" w14:paraId="5B4122AC" w14:textId="77777777" w:rsidTr="0069322D">
        <w:tc>
          <w:tcPr>
            <w:tcW w:w="1140" w:type="dxa"/>
            <w:shd w:val="clear" w:color="auto" w:fill="auto"/>
          </w:tcPr>
          <w:p w14:paraId="63A29225" w14:textId="77777777" w:rsidR="0069322D" w:rsidRPr="001240BC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1240BC">
              <w:rPr>
                <w:b/>
                <w:bCs/>
                <w:sz w:val="20"/>
                <w:lang w:val="en-US"/>
              </w:rPr>
              <w:t>SM</w:t>
            </w:r>
          </w:p>
        </w:tc>
        <w:tc>
          <w:tcPr>
            <w:tcW w:w="8220" w:type="dxa"/>
            <w:shd w:val="clear" w:color="auto" w:fill="auto"/>
          </w:tcPr>
          <w:p w14:paraId="6ECD7652" w14:textId="77777777" w:rsidR="0069322D" w:rsidRPr="001240BC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1240BC">
              <w:rPr>
                <w:sz w:val="20"/>
              </w:rPr>
              <w:t>Gestión del espectro</w:t>
            </w:r>
          </w:p>
        </w:tc>
      </w:tr>
      <w:tr w:rsidR="0069322D" w:rsidRPr="00036EE3" w14:paraId="79E13550" w14:textId="77777777" w:rsidTr="0069322D">
        <w:tc>
          <w:tcPr>
            <w:tcW w:w="1140" w:type="dxa"/>
          </w:tcPr>
          <w:p w14:paraId="6CDBF620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SNG</w:t>
            </w:r>
          </w:p>
        </w:tc>
        <w:tc>
          <w:tcPr>
            <w:tcW w:w="8220" w:type="dxa"/>
          </w:tcPr>
          <w:p w14:paraId="4D7E1B11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Periodismo electrónico por satélite</w:t>
            </w:r>
          </w:p>
        </w:tc>
      </w:tr>
      <w:tr w:rsidR="0069322D" w:rsidRPr="000246E0" w14:paraId="1881653C" w14:textId="77777777" w:rsidTr="0069322D">
        <w:tc>
          <w:tcPr>
            <w:tcW w:w="1140" w:type="dxa"/>
          </w:tcPr>
          <w:p w14:paraId="4FC72B9B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TF</w:t>
            </w:r>
          </w:p>
        </w:tc>
        <w:tc>
          <w:tcPr>
            <w:tcW w:w="8220" w:type="dxa"/>
          </w:tcPr>
          <w:p w14:paraId="26E0C8BB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Emisiones de frecuencias patrón y señales horarias</w:t>
            </w:r>
          </w:p>
        </w:tc>
      </w:tr>
      <w:tr w:rsidR="0069322D" w:rsidRPr="00036EE3" w14:paraId="428D24FE" w14:textId="77777777" w:rsidTr="0069322D">
        <w:tc>
          <w:tcPr>
            <w:tcW w:w="1140" w:type="dxa"/>
          </w:tcPr>
          <w:p w14:paraId="37156439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8220" w:type="dxa"/>
          </w:tcPr>
          <w:p w14:paraId="4AB2A5BD" w14:textId="77777777" w:rsidR="0069322D" w:rsidRPr="00021E8A" w:rsidRDefault="0069322D" w:rsidP="000B4BD9">
            <w:pPr>
              <w:spacing w:before="30" w:after="14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Vocabulario y cuestiones afines</w:t>
            </w:r>
          </w:p>
        </w:tc>
      </w:tr>
    </w:tbl>
    <w:p w14:paraId="3BD0FC3D" w14:textId="77777777" w:rsidR="0069322D" w:rsidRPr="00036EE3" w:rsidRDefault="0069322D" w:rsidP="0069322D">
      <w:pPr>
        <w:spacing w:before="0" w:after="140"/>
        <w:jc w:val="center"/>
        <w:rPr>
          <w:sz w:val="20"/>
          <w:lang w:val="en-US"/>
        </w:rPr>
      </w:pPr>
    </w:p>
    <w:tbl>
      <w:tblPr>
        <w:tblpPr w:leftFromText="180" w:rightFromText="180" w:vertAnchor="text" w:tblpX="-5771" w:tblpY="-4031"/>
        <w:tblW w:w="0" w:type="auto"/>
        <w:tblLook w:val="0000" w:firstRow="0" w:lastRow="0" w:firstColumn="0" w:lastColumn="0" w:noHBand="0" w:noVBand="0"/>
      </w:tblPr>
      <w:tblGrid>
        <w:gridCol w:w="720"/>
      </w:tblGrid>
      <w:tr w:rsidR="0069322D" w14:paraId="7C4A2360" w14:textId="77777777" w:rsidTr="000B4BD9">
        <w:tc>
          <w:tcPr>
            <w:tcW w:w="720" w:type="dxa"/>
          </w:tcPr>
          <w:p w14:paraId="5B699370" w14:textId="77777777" w:rsidR="0069322D" w:rsidRDefault="0069322D" w:rsidP="000B4BD9">
            <w:pPr>
              <w:spacing w:before="0"/>
              <w:jc w:val="center"/>
              <w:rPr>
                <w:sz w:val="22"/>
                <w:lang w:val="en-US"/>
              </w:rPr>
            </w:pPr>
          </w:p>
        </w:tc>
      </w:tr>
    </w:tbl>
    <w:tbl>
      <w:tblPr>
        <w:tblStyle w:val="TableGrid"/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69322D" w:rsidRPr="000246E0" w14:paraId="709C6739" w14:textId="77777777" w:rsidTr="00B96572">
        <w:tc>
          <w:tcPr>
            <w:tcW w:w="9360" w:type="dxa"/>
          </w:tcPr>
          <w:p w14:paraId="433C0519" w14:textId="3C9497EB" w:rsidR="0069322D" w:rsidRPr="00F111D6" w:rsidRDefault="0069322D" w:rsidP="00B96572">
            <w:pPr>
              <w:spacing w:before="92" w:after="92"/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</w:pPr>
            <w:r w:rsidRPr="00F111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s-ES_tradnl"/>
              </w:rPr>
              <w:t>Nota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: Esta Recomendación UIT-R fue aprobada en inglés conforme al procedimiento detallado en la Resolución</w:t>
            </w:r>
            <w:r w:rsidR="00865A44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 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UIT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noBreakHyphen/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R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 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1.</w:t>
            </w:r>
          </w:p>
        </w:tc>
      </w:tr>
    </w:tbl>
    <w:p w14:paraId="3B30D910" w14:textId="77777777" w:rsidR="0069322D" w:rsidRPr="00763D08" w:rsidRDefault="0069322D" w:rsidP="0069322D">
      <w:pPr>
        <w:spacing w:before="0"/>
        <w:jc w:val="center"/>
        <w:rPr>
          <w:sz w:val="22"/>
          <w:lang w:val="es-ES_tradnl"/>
        </w:rPr>
      </w:pPr>
    </w:p>
    <w:p w14:paraId="5C040F41" w14:textId="77777777" w:rsidR="0069322D" w:rsidRPr="00763D08" w:rsidRDefault="0069322D" w:rsidP="0069322D">
      <w:pPr>
        <w:spacing w:before="60"/>
        <w:jc w:val="right"/>
        <w:rPr>
          <w:i/>
          <w:iCs/>
          <w:sz w:val="20"/>
          <w:lang w:val="es-ES_tradnl"/>
        </w:rPr>
      </w:pPr>
      <w:r w:rsidRPr="00763D08">
        <w:rPr>
          <w:i/>
          <w:iCs/>
          <w:sz w:val="20"/>
          <w:lang w:val="es-ES_tradnl"/>
        </w:rPr>
        <w:t>Publicación electrónica</w:t>
      </w:r>
    </w:p>
    <w:p w14:paraId="22CA25A7" w14:textId="39703F3A" w:rsidR="0069322D" w:rsidRPr="00763D08" w:rsidRDefault="0069322D" w:rsidP="0069322D">
      <w:pPr>
        <w:spacing w:before="0" w:after="40"/>
        <w:jc w:val="right"/>
        <w:rPr>
          <w:sz w:val="20"/>
          <w:lang w:val="es-ES_tradnl"/>
        </w:rPr>
      </w:pPr>
      <w:r w:rsidRPr="00763D08">
        <w:rPr>
          <w:sz w:val="20"/>
          <w:lang w:val="es-ES_tradnl"/>
        </w:rPr>
        <w:t>Ginebra, 20</w:t>
      </w:r>
      <w:r w:rsidR="00B96572">
        <w:rPr>
          <w:sz w:val="20"/>
          <w:lang w:val="es-ES_tradnl"/>
        </w:rPr>
        <w:t>2</w:t>
      </w:r>
      <w:r w:rsidR="00C70B98">
        <w:rPr>
          <w:sz w:val="20"/>
          <w:lang w:val="es-ES_tradnl"/>
        </w:rPr>
        <w:t>4</w:t>
      </w:r>
    </w:p>
    <w:p w14:paraId="401346DE" w14:textId="77777777" w:rsidR="0069322D" w:rsidRPr="00763D08" w:rsidRDefault="0069322D" w:rsidP="0069322D">
      <w:pPr>
        <w:spacing w:before="0" w:after="120"/>
        <w:jc w:val="center"/>
        <w:rPr>
          <w:sz w:val="22"/>
          <w:lang w:val="es-ES_tradnl"/>
        </w:rPr>
      </w:pPr>
    </w:p>
    <w:p w14:paraId="3E928C43" w14:textId="7EA01957" w:rsidR="0069322D" w:rsidRPr="00763D08" w:rsidRDefault="0069322D" w:rsidP="0069322D">
      <w:pPr>
        <w:spacing w:before="0"/>
        <w:jc w:val="center"/>
        <w:rPr>
          <w:sz w:val="20"/>
          <w:lang w:val="es-ES_tradnl"/>
        </w:rPr>
      </w:pPr>
      <w:r w:rsidRPr="00470E28">
        <w:rPr>
          <w:sz w:val="20"/>
          <w:lang w:val="en-US"/>
        </w:rPr>
        <w:sym w:font="Symbol" w:char="F0E3"/>
      </w:r>
      <w:r w:rsidRPr="00763D08">
        <w:rPr>
          <w:sz w:val="20"/>
          <w:lang w:val="es-ES_tradnl"/>
        </w:rPr>
        <w:t xml:space="preserve"> UIT </w:t>
      </w:r>
      <w:bookmarkStart w:id="1" w:name="iiannee"/>
      <w:bookmarkEnd w:id="1"/>
      <w:r w:rsidRPr="00763D08">
        <w:rPr>
          <w:sz w:val="20"/>
          <w:lang w:val="es-ES_tradnl"/>
        </w:rPr>
        <w:t>20</w:t>
      </w:r>
      <w:r w:rsidR="00B96572">
        <w:rPr>
          <w:sz w:val="20"/>
          <w:lang w:val="es-ES_tradnl"/>
        </w:rPr>
        <w:t>2</w:t>
      </w:r>
      <w:r w:rsidR="00C70B98">
        <w:rPr>
          <w:sz w:val="20"/>
          <w:lang w:val="es-ES_tradnl"/>
        </w:rPr>
        <w:t>4</w:t>
      </w:r>
    </w:p>
    <w:p w14:paraId="200CE659" w14:textId="196D45F8" w:rsidR="007565CC" w:rsidRPr="00546372" w:rsidRDefault="0069322D" w:rsidP="00546372">
      <w:pPr>
        <w:rPr>
          <w:sz w:val="18"/>
          <w:szCs w:val="18"/>
        </w:rPr>
        <w:sectPr w:rsidR="007565CC" w:rsidRPr="00546372" w:rsidSect="002058CE">
          <w:headerReference w:type="even" r:id="rId12"/>
          <w:headerReference w:type="default" r:id="rId13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  <w:r w:rsidRPr="00763D08">
        <w:rPr>
          <w:sz w:val="18"/>
          <w:szCs w:val="18"/>
          <w:lang w:val="es-ES_tradnl"/>
        </w:rPr>
        <w:t xml:space="preserve">Reservados todos los derechos. </w:t>
      </w:r>
      <w:r w:rsidRPr="006C718C">
        <w:rPr>
          <w:sz w:val="18"/>
          <w:szCs w:val="18"/>
          <w:lang w:val="es-ES_tradnl"/>
        </w:rPr>
        <w:t>Ninguna parte de esta publicación puede reproducirse por ningún procedimiento sin previa autorizaci</w:t>
      </w:r>
      <w:r>
        <w:rPr>
          <w:sz w:val="18"/>
          <w:szCs w:val="18"/>
          <w:lang w:val="es-ES_tradnl"/>
        </w:rPr>
        <w:t>ón escrita por parte de la UIT</w:t>
      </w:r>
      <w:r w:rsidRPr="006C718C">
        <w:rPr>
          <w:sz w:val="18"/>
          <w:szCs w:val="18"/>
          <w:lang w:val="es-ES_tradnl"/>
        </w:rPr>
        <w:t>.</w:t>
      </w:r>
    </w:p>
    <w:p w14:paraId="118824EC" w14:textId="77777777" w:rsidR="00C70B98" w:rsidRPr="00B92AFD" w:rsidRDefault="00C70B98" w:rsidP="00C70B98">
      <w:pPr>
        <w:pStyle w:val="RecNo"/>
        <w:spacing w:before="0"/>
        <w:rPr>
          <w:lang w:val="es-ES_tradnl"/>
        </w:rPr>
      </w:pPr>
      <w:bookmarkStart w:id="2" w:name="irecnoe"/>
      <w:bookmarkEnd w:id="2"/>
      <w:r w:rsidRPr="00B92AFD">
        <w:rPr>
          <w:lang w:val="es-ES_tradnl"/>
        </w:rPr>
        <w:lastRenderedPageBreak/>
        <w:t xml:space="preserve">RECOMENDACIÓN  </w:t>
      </w:r>
      <w:r w:rsidRPr="00B92AFD">
        <w:rPr>
          <w:rStyle w:val="href"/>
          <w:lang w:val="es-ES_tradnl"/>
        </w:rPr>
        <w:t>UIT-R  F.1568-2</w:t>
      </w:r>
    </w:p>
    <w:p w14:paraId="2EFD2416" w14:textId="4DBAF677" w:rsidR="00C70B98" w:rsidRPr="00B92AFD" w:rsidRDefault="00C70B98" w:rsidP="00C70B98">
      <w:pPr>
        <w:pStyle w:val="Rectitle"/>
        <w:rPr>
          <w:lang w:val="es-ES_tradnl"/>
        </w:rPr>
      </w:pPr>
      <w:r w:rsidRPr="00B92AFD">
        <w:rPr>
          <w:lang w:val="es-ES_tradnl"/>
        </w:rPr>
        <w:t>Disposiciones de bloques de radiofrecuencias para sistemas de acceso</w:t>
      </w:r>
      <w:r w:rsidR="00865A44">
        <w:rPr>
          <w:lang w:val="es-ES_tradnl"/>
        </w:rPr>
        <w:t xml:space="preserve"> </w:t>
      </w:r>
      <w:r w:rsidRPr="00B92AFD">
        <w:rPr>
          <w:lang w:val="es-ES_tradnl"/>
        </w:rPr>
        <w:t>inalámbrico fijo en la gama 10,15-10,3/10,5-10,65 GHz</w:t>
      </w:r>
    </w:p>
    <w:p w14:paraId="405E3C3B" w14:textId="77777777" w:rsidR="00C70B98" w:rsidRPr="00B92AFD" w:rsidRDefault="00C70B98" w:rsidP="00C70B98">
      <w:pPr>
        <w:pStyle w:val="Recref"/>
        <w:rPr>
          <w:lang w:val="es-ES_tradnl"/>
        </w:rPr>
      </w:pPr>
      <w:r w:rsidRPr="00B92AFD">
        <w:rPr>
          <w:lang w:val="es-ES_tradnl"/>
        </w:rPr>
        <w:t>(Cuestión UIT-R 247-1/5)</w:t>
      </w:r>
    </w:p>
    <w:p w14:paraId="7A396DE9" w14:textId="77777777" w:rsidR="00C70B98" w:rsidRPr="00B92AFD" w:rsidRDefault="00C70B98" w:rsidP="00C70B98">
      <w:pPr>
        <w:pStyle w:val="Recdate"/>
        <w:rPr>
          <w:lang w:val="es-ES_tradnl"/>
        </w:rPr>
      </w:pPr>
      <w:r w:rsidRPr="00B92AFD">
        <w:rPr>
          <w:lang w:val="es-ES_tradnl"/>
        </w:rPr>
        <w:t>(2002-2005-2023)</w:t>
      </w:r>
    </w:p>
    <w:p w14:paraId="454BCB53" w14:textId="77777777" w:rsidR="00C70B98" w:rsidRPr="00B92AFD" w:rsidRDefault="00C70B98" w:rsidP="00865A44">
      <w:pPr>
        <w:pStyle w:val="HeadingSum"/>
      </w:pPr>
      <w:r w:rsidRPr="00B92AFD">
        <w:t>Cometido</w:t>
      </w:r>
    </w:p>
    <w:p w14:paraId="07C40446" w14:textId="5B917AC0" w:rsidR="00C70B98" w:rsidRPr="00B92AFD" w:rsidRDefault="00C70B98" w:rsidP="00865A44">
      <w:pPr>
        <w:pStyle w:val="Summary"/>
      </w:pPr>
      <w:r w:rsidRPr="00B92AFD">
        <w:t>Esta Recomendación contiene disposiciones de bloques de radiofrecuencias para sistemas de acceso inalámbrico fijo en la gama 10,15-10,3/10,5-10,65 GHz. En los Anexos 1 y 2 se presentan disposiciones de bloques de radiofrecuencias basadas en bloques de 28</w:t>
      </w:r>
      <w:r w:rsidR="00865A44">
        <w:t> </w:t>
      </w:r>
      <w:r w:rsidRPr="00B92AFD">
        <w:t>MHz y 30</w:t>
      </w:r>
      <w:r w:rsidR="00865A44">
        <w:t> </w:t>
      </w:r>
      <w:r w:rsidRPr="00B92AFD">
        <w:t>MHz, respectivamente, y se muestran modelos homogéneos con intervalos de canal de 0,25 MHz.</w:t>
      </w:r>
    </w:p>
    <w:p w14:paraId="05E4B219" w14:textId="77777777" w:rsidR="00C70B98" w:rsidRPr="00B92AFD" w:rsidRDefault="00C70B98" w:rsidP="00C70B98">
      <w:pPr>
        <w:pStyle w:val="Headingb"/>
        <w:rPr>
          <w:lang w:val="es-ES_tradnl"/>
        </w:rPr>
      </w:pPr>
      <w:r w:rsidRPr="00B92AFD">
        <w:rPr>
          <w:lang w:val="es-ES_tradnl"/>
        </w:rPr>
        <w:t>Palabras clave</w:t>
      </w:r>
    </w:p>
    <w:p w14:paraId="31911331" w14:textId="77777777" w:rsidR="00C70B98" w:rsidRPr="00B92AFD" w:rsidRDefault="00C70B98" w:rsidP="00C70B98">
      <w:pPr>
        <w:rPr>
          <w:lang w:val="es-ES_tradnl"/>
        </w:rPr>
      </w:pPr>
      <w:r w:rsidRPr="00B92AFD">
        <w:rPr>
          <w:lang w:val="es-ES_tradnl"/>
        </w:rPr>
        <w:t>Sistema inalámbrico fijo, punto a punto, disposición de canales, 10,15-10,3/10,5-10,65 GHz</w:t>
      </w:r>
    </w:p>
    <w:p w14:paraId="259A1BCA" w14:textId="77777777" w:rsidR="00C70B98" w:rsidRPr="00B92AFD" w:rsidRDefault="00C70B98" w:rsidP="00C70B98">
      <w:pPr>
        <w:pStyle w:val="Headingb"/>
        <w:rPr>
          <w:lang w:val="es-ES_tradnl"/>
        </w:rPr>
      </w:pPr>
      <w:r w:rsidRPr="00B92AFD">
        <w:rPr>
          <w:lang w:val="es-ES_tradnl"/>
        </w:rPr>
        <w:t>Abreviaturas</w:t>
      </w:r>
    </w:p>
    <w:p w14:paraId="2428D7D2" w14:textId="77777777" w:rsidR="00C70B98" w:rsidRPr="00B92AFD" w:rsidRDefault="00C70B98" w:rsidP="005766F2">
      <w:pPr>
        <w:tabs>
          <w:tab w:val="clear" w:pos="794"/>
          <w:tab w:val="left" w:pos="993"/>
        </w:tabs>
        <w:rPr>
          <w:szCs w:val="24"/>
          <w:lang w:val="es-ES_tradnl" w:eastAsia="ja-JP"/>
        </w:rPr>
      </w:pPr>
      <w:r w:rsidRPr="00B92AFD">
        <w:rPr>
          <w:szCs w:val="24"/>
          <w:lang w:val="es-ES_tradnl" w:eastAsia="ja-JP"/>
        </w:rPr>
        <w:t>FWA</w:t>
      </w:r>
      <w:r w:rsidRPr="00B92AFD">
        <w:rPr>
          <w:szCs w:val="24"/>
          <w:lang w:val="es-ES_tradnl" w:eastAsia="ja-JP"/>
        </w:rPr>
        <w:tab/>
        <w:t>Acceso inalámbrico fijo (</w:t>
      </w:r>
      <w:r w:rsidRPr="00B92AFD">
        <w:rPr>
          <w:i/>
          <w:iCs/>
          <w:szCs w:val="24"/>
          <w:lang w:val="es-ES_tradnl" w:eastAsia="ja-JP"/>
        </w:rPr>
        <w:t>fixed wireless access</w:t>
      </w:r>
      <w:r w:rsidRPr="00B92AFD">
        <w:rPr>
          <w:szCs w:val="24"/>
          <w:lang w:val="es-ES_tradnl" w:eastAsia="ja-JP"/>
        </w:rPr>
        <w:t>)</w:t>
      </w:r>
    </w:p>
    <w:p w14:paraId="4DEC590C" w14:textId="77777777" w:rsidR="00C70B98" w:rsidRPr="00C70B98" w:rsidRDefault="00C70B98" w:rsidP="005766F2">
      <w:pPr>
        <w:tabs>
          <w:tab w:val="clear" w:pos="794"/>
          <w:tab w:val="left" w:pos="993"/>
        </w:tabs>
        <w:rPr>
          <w:szCs w:val="24"/>
          <w:lang w:val="en-GB" w:eastAsia="ja-JP"/>
        </w:rPr>
      </w:pPr>
      <w:r w:rsidRPr="00C70B98">
        <w:rPr>
          <w:szCs w:val="24"/>
          <w:lang w:val="en-GB" w:eastAsia="ja-JP"/>
        </w:rPr>
        <w:t>P-P</w:t>
      </w:r>
      <w:r w:rsidRPr="00C70B98">
        <w:rPr>
          <w:szCs w:val="24"/>
          <w:lang w:val="en-GB" w:eastAsia="ja-JP"/>
        </w:rPr>
        <w:tab/>
      </w:r>
      <w:r w:rsidRPr="00C70B98">
        <w:rPr>
          <w:lang w:val="en-GB"/>
        </w:rPr>
        <w:t>Punto a punto</w:t>
      </w:r>
      <w:r w:rsidRPr="00C70B98">
        <w:rPr>
          <w:szCs w:val="24"/>
          <w:lang w:val="en-GB" w:eastAsia="ja-JP"/>
        </w:rPr>
        <w:t xml:space="preserve"> (</w:t>
      </w:r>
      <w:r w:rsidRPr="00C70B98">
        <w:rPr>
          <w:i/>
          <w:iCs/>
          <w:szCs w:val="24"/>
          <w:lang w:val="en-GB" w:eastAsia="ja-JP"/>
        </w:rPr>
        <w:t>point-to-point</w:t>
      </w:r>
      <w:r w:rsidRPr="00C70B98">
        <w:rPr>
          <w:szCs w:val="24"/>
          <w:lang w:val="en-GB" w:eastAsia="ja-JP"/>
        </w:rPr>
        <w:t>)</w:t>
      </w:r>
    </w:p>
    <w:p w14:paraId="7F20FF51" w14:textId="77777777" w:rsidR="00C70B98" w:rsidRPr="00B92AFD" w:rsidRDefault="00C70B98" w:rsidP="00C70B98">
      <w:pPr>
        <w:pStyle w:val="Headingb"/>
        <w:rPr>
          <w:lang w:val="es-ES_tradnl"/>
        </w:rPr>
      </w:pPr>
      <w:r w:rsidRPr="00B92AFD">
        <w:rPr>
          <w:lang w:val="es-ES_tradnl"/>
        </w:rPr>
        <w:t>Recomendaciones de la UIT conexas</w:t>
      </w:r>
    </w:p>
    <w:p w14:paraId="2FEFBE16" w14:textId="77777777" w:rsidR="00C70B98" w:rsidRPr="00B92AFD" w:rsidRDefault="00C70B98" w:rsidP="00C70B98">
      <w:pPr>
        <w:pStyle w:val="Reftext"/>
        <w:rPr>
          <w:lang w:val="es-ES_tradnl" w:eastAsia="ja-JP"/>
        </w:rPr>
      </w:pPr>
      <w:r w:rsidRPr="00B92AFD">
        <w:rPr>
          <w:lang w:val="es-ES_tradnl" w:eastAsia="ja-JP"/>
        </w:rPr>
        <w:t>Recomendación UIT-R F.746 – Disposici</w:t>
      </w:r>
      <w:r>
        <w:rPr>
          <w:lang w:val="es-ES_tradnl" w:eastAsia="ja-JP"/>
        </w:rPr>
        <w:t>ones</w:t>
      </w:r>
      <w:r w:rsidRPr="00B92AFD">
        <w:rPr>
          <w:lang w:val="es-ES_tradnl" w:eastAsia="ja-JP"/>
        </w:rPr>
        <w:t xml:space="preserve"> de </w:t>
      </w:r>
      <w:r w:rsidRPr="00B92AFD">
        <w:rPr>
          <w:lang w:val="es-ES_tradnl"/>
        </w:rPr>
        <w:t xml:space="preserve">radiofrecuencias </w:t>
      </w:r>
      <w:r w:rsidRPr="00B92AFD">
        <w:rPr>
          <w:lang w:val="es-ES_tradnl" w:eastAsia="ja-JP"/>
        </w:rPr>
        <w:t>para sistemas del servicio fijo</w:t>
      </w:r>
    </w:p>
    <w:p w14:paraId="1B5C2EFB" w14:textId="77777777" w:rsidR="00C70B98" w:rsidRPr="00B92AFD" w:rsidRDefault="00C70B98" w:rsidP="00865A44">
      <w:pPr>
        <w:pStyle w:val="Reftext"/>
        <w:rPr>
          <w:lang w:val="es-ES_tradnl" w:eastAsia="ja-JP"/>
        </w:rPr>
      </w:pPr>
      <w:r w:rsidRPr="00B92AFD">
        <w:rPr>
          <w:lang w:val="es-ES_tradnl" w:eastAsia="ja-JP"/>
        </w:rPr>
        <w:t>Recomendación UIT-R F.747 – Disposición de radiocanales para sistemas inalámbricos fijos que funcionan en la banda de 10,0-10,68 GHz</w:t>
      </w:r>
    </w:p>
    <w:p w14:paraId="3A83169F" w14:textId="77777777" w:rsidR="00C70B98" w:rsidRPr="00B92AFD" w:rsidRDefault="00C70B98" w:rsidP="00865A44">
      <w:pPr>
        <w:pStyle w:val="Reftext"/>
        <w:rPr>
          <w:lang w:val="es-ES_tradnl" w:eastAsia="ja-JP"/>
        </w:rPr>
      </w:pPr>
      <w:r w:rsidRPr="00B92AFD">
        <w:rPr>
          <w:lang w:val="es-ES_tradnl" w:eastAsia="ja-JP"/>
        </w:rPr>
        <w:t>Recomendación UIT-R F.1191 – Anchuras de banda necesarias y ocupadas y emisiones no deseadas de los sistemas digitales del servicio fijo</w:t>
      </w:r>
    </w:p>
    <w:p w14:paraId="52079785" w14:textId="77777777" w:rsidR="00C70B98" w:rsidRPr="00B92AFD" w:rsidRDefault="00C70B98" w:rsidP="00C70B98">
      <w:pPr>
        <w:pStyle w:val="Normalaftertitle"/>
        <w:rPr>
          <w:lang w:val="es-ES_tradnl"/>
        </w:rPr>
      </w:pPr>
      <w:r w:rsidRPr="00B92AFD">
        <w:rPr>
          <w:lang w:val="es-ES_tradnl"/>
        </w:rPr>
        <w:t>La Asamblea de Radiocomunicaciones de la UIT,</w:t>
      </w:r>
    </w:p>
    <w:p w14:paraId="084CA748" w14:textId="77777777" w:rsidR="00C70B98" w:rsidRPr="00B92AFD" w:rsidRDefault="00C70B98" w:rsidP="00C70B98">
      <w:pPr>
        <w:pStyle w:val="Call"/>
        <w:rPr>
          <w:lang w:val="es-ES_tradnl"/>
        </w:rPr>
      </w:pPr>
      <w:r w:rsidRPr="00B92AFD">
        <w:rPr>
          <w:lang w:val="es-ES_tradnl"/>
        </w:rPr>
        <w:t>considerando</w:t>
      </w:r>
    </w:p>
    <w:p w14:paraId="7FBA2016" w14:textId="77777777" w:rsidR="00C70B98" w:rsidRPr="00B92AFD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t>a)</w:t>
      </w:r>
      <w:r w:rsidRPr="00B92AFD">
        <w:rPr>
          <w:lang w:val="es-ES_tradnl"/>
        </w:rPr>
        <w:tab/>
        <w:t>que los sistemas de acceso inalámbrico fijo (FWA) en la gama de 10,15-10,65 GHz pueden prestar servicios de telefonía y datos mejorados;</w:t>
      </w:r>
    </w:p>
    <w:p w14:paraId="226DEF45" w14:textId="77777777" w:rsidR="00C70B98" w:rsidRPr="00B92AFD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t>b)</w:t>
      </w:r>
      <w:r w:rsidRPr="00B92AFD">
        <w:rPr>
          <w:lang w:val="es-ES_tradnl"/>
        </w:rPr>
        <w:tab/>
        <w:t>que varias administraciones han introducido sistemas FWA en bandas comprendidas en la gama 10,15-10,65 GHz;</w:t>
      </w:r>
    </w:p>
    <w:p w14:paraId="6E80E688" w14:textId="77777777" w:rsidR="00C70B98" w:rsidRPr="00B92AFD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t>c)</w:t>
      </w:r>
      <w:r w:rsidRPr="00B92AFD">
        <w:rPr>
          <w:lang w:val="es-ES_tradnl"/>
        </w:rPr>
        <w:tab/>
        <w:t>que con una disposición flexible de bloques (subbandas) en lugar de una disposición convencional de canales punto a punto (P</w:t>
      </w:r>
      <w:r w:rsidRPr="00B92AFD">
        <w:rPr>
          <w:lang w:val="es-ES_tradnl"/>
        </w:rPr>
        <w:noBreakHyphen/>
        <w:t>P) se pueden aplicar diversas tecnologías de FWA, manteniendo al mismo tiempo la coherencia con los principios de una buena gestión del espectro, incluida la garantía del funcionamiento entre sistemas/servicios y la eficacia global en la utilización del espectro;</w:t>
      </w:r>
    </w:p>
    <w:p w14:paraId="6218DFA6" w14:textId="77777777" w:rsidR="00C70B98" w:rsidRPr="00B92AFD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t>d)</w:t>
      </w:r>
      <w:r w:rsidRPr="00B92AFD">
        <w:rPr>
          <w:lang w:val="es-ES_tradnl"/>
        </w:rPr>
        <w:tab/>
        <w:t>que en algunos países puede ocurrir que los sistemas FWA tengan que coexistir con los sistemas P</w:t>
      </w:r>
      <w:r w:rsidRPr="00B92AFD">
        <w:rPr>
          <w:lang w:val="es-ES_tradnl"/>
        </w:rPr>
        <w:noBreakHyphen/>
        <w:t>P en la misma atribución al servicio fijo;</w:t>
      </w:r>
    </w:p>
    <w:p w14:paraId="6F48C10A" w14:textId="77777777" w:rsidR="00C70B98" w:rsidRPr="00B92AFD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t>e)</w:t>
      </w:r>
      <w:r w:rsidRPr="00B92AFD">
        <w:rPr>
          <w:lang w:val="es-ES_tradnl"/>
        </w:rPr>
        <w:tab/>
        <w:t>que una anchura de bloque normalizada podría resultar beneficiosa por la creación de economías de escala y la simplificación de la planificación de las frecuencias entre sistemas y entre operadores en la misma zona de instalación de los sistemas;</w:t>
      </w:r>
    </w:p>
    <w:p w14:paraId="1AE7B54E" w14:textId="77777777" w:rsidR="00192C37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t>f)</w:t>
      </w:r>
      <w:r w:rsidRPr="00B92AFD">
        <w:rPr>
          <w:lang w:val="es-ES_tradnl"/>
        </w:rPr>
        <w:tab/>
        <w:t>que existen diversas tecnologías de acceso que pueden emplearse y a las que podrían adaptarse diferentes esquemas de atribución de canales/frecuencias;</w:t>
      </w:r>
    </w:p>
    <w:p w14:paraId="277DE264" w14:textId="4E7CBBB9" w:rsidR="00C70B98" w:rsidRPr="00B92AFD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lastRenderedPageBreak/>
        <w:t>g)</w:t>
      </w:r>
      <w:r w:rsidRPr="00B92AFD">
        <w:rPr>
          <w:lang w:val="es-ES_tradnl"/>
        </w:rPr>
        <w:tab/>
        <w:t>que los Anexos</w:t>
      </w:r>
      <w:r w:rsidR="005363F9">
        <w:rPr>
          <w:lang w:val="es-ES_tradnl"/>
        </w:rPr>
        <w:t> </w:t>
      </w:r>
      <w:r w:rsidRPr="00B92AFD">
        <w:rPr>
          <w:lang w:val="es-ES_tradnl"/>
        </w:rPr>
        <w:t>1 y</w:t>
      </w:r>
      <w:r w:rsidR="005363F9">
        <w:rPr>
          <w:lang w:val="es-ES_tradnl"/>
        </w:rPr>
        <w:t> </w:t>
      </w:r>
      <w:r w:rsidRPr="00B92AFD">
        <w:rPr>
          <w:lang w:val="es-ES_tradnl"/>
        </w:rPr>
        <w:t>2 a la Recomendación UIT-R</w:t>
      </w:r>
      <w:r w:rsidR="005363F9">
        <w:rPr>
          <w:lang w:val="es-ES_tradnl"/>
        </w:rPr>
        <w:t> </w:t>
      </w:r>
      <w:r w:rsidRPr="00B92AFD">
        <w:rPr>
          <w:lang w:val="es-ES_tradnl"/>
        </w:rPr>
        <w:t>F.747 contienen disposiciones de radiofrecuencia</w:t>
      </w:r>
      <w:r>
        <w:rPr>
          <w:lang w:val="es-ES_tradnl"/>
        </w:rPr>
        <w:t>s</w:t>
      </w:r>
      <w:r w:rsidRPr="00B92AFD">
        <w:rPr>
          <w:lang w:val="es-ES_tradnl"/>
        </w:rPr>
        <w:t xml:space="preserve"> para sistemas inalámbricos fijos que funcionan en la banda 10,5-10,68 GHz;</w:t>
      </w:r>
    </w:p>
    <w:p w14:paraId="2362DF9C" w14:textId="77777777" w:rsidR="00C70B98" w:rsidRPr="00B92AFD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t>h)</w:t>
      </w:r>
      <w:r w:rsidRPr="00B92AFD">
        <w:rPr>
          <w:lang w:val="es-ES_tradnl"/>
        </w:rPr>
        <w:tab/>
        <w:t>que en algunos casos, las administraciones pueden utilizar otras Recomendaciones para lograr una mayor concordancia con las disposiciones de canales P</w:t>
      </w:r>
      <w:r w:rsidRPr="00B92AFD">
        <w:rPr>
          <w:lang w:val="es-ES_tradnl"/>
        </w:rPr>
        <w:noBreakHyphen/>
        <w:t>P;</w:t>
      </w:r>
    </w:p>
    <w:p w14:paraId="23292FE0" w14:textId="77777777" w:rsidR="00C70B98" w:rsidRPr="00B92AFD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t>i)</w:t>
      </w:r>
      <w:r w:rsidRPr="00B92AFD">
        <w:rPr>
          <w:lang w:val="es-ES_tradnl"/>
        </w:rPr>
        <w:tab/>
        <w:t>que la Recomendación UIT-R F.1191 indica la limitación de las emisiones no deseadas de sistemas del servicio fijo para las bandas adyacentes,</w:t>
      </w:r>
    </w:p>
    <w:p w14:paraId="7E1E73CC" w14:textId="63D1CF58" w:rsidR="00C70B98" w:rsidRPr="00B92AFD" w:rsidRDefault="00C70B98" w:rsidP="00C70B98">
      <w:pPr>
        <w:pStyle w:val="Call"/>
        <w:rPr>
          <w:lang w:val="es-ES_tradnl"/>
        </w:rPr>
      </w:pPr>
      <w:r w:rsidRPr="00B92AFD">
        <w:rPr>
          <w:lang w:val="es-ES_tradnl"/>
        </w:rPr>
        <w:t>reconociendo</w:t>
      </w:r>
    </w:p>
    <w:p w14:paraId="714D47A0" w14:textId="5B0BF137" w:rsidR="00C70B98" w:rsidRPr="00B92AFD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t>a)</w:t>
      </w:r>
      <w:r w:rsidRPr="00B92AFD">
        <w:rPr>
          <w:lang w:val="es-ES_tradnl"/>
        </w:rPr>
        <w:tab/>
        <w:t>que de conformidad con el Artículo</w:t>
      </w:r>
      <w:r w:rsidR="005363F9">
        <w:rPr>
          <w:lang w:val="es-ES_tradnl"/>
        </w:rPr>
        <w:t> </w:t>
      </w:r>
      <w:r w:rsidRPr="005363F9">
        <w:rPr>
          <w:b/>
          <w:bCs/>
          <w:lang w:val="es-ES_tradnl"/>
        </w:rPr>
        <w:t>5</w:t>
      </w:r>
      <w:r w:rsidRPr="00B92AFD">
        <w:rPr>
          <w:lang w:val="es-ES_tradnl"/>
        </w:rPr>
        <w:t xml:space="preserve"> del Reglamento de Radiocomunicaciones (RR) la banda de frecuencias 10,5-10,68 GHz está atribuida al servicio fijo en todo el mundo y la banda de frecuencias 10-10,45 GHz en las Regiones 1 y 3;</w:t>
      </w:r>
    </w:p>
    <w:p w14:paraId="3CC1C255" w14:textId="77777777" w:rsidR="00C70B98" w:rsidRPr="00B92AFD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t>b)</w:t>
      </w:r>
      <w:r w:rsidRPr="00B92AFD">
        <w:rPr>
          <w:lang w:val="es-ES_tradnl"/>
        </w:rPr>
        <w:tab/>
        <w:t>que la banda 10,6-10,68 GHz está atribuida a los servicios de exploración de la Tierra por satélite (pasivo), de investigación especial (pasivo) y de radioastronomía a título primario;</w:t>
      </w:r>
    </w:p>
    <w:p w14:paraId="7048FE6F" w14:textId="77777777" w:rsidR="00C70B98" w:rsidRPr="00B92AFD" w:rsidRDefault="00C70B98" w:rsidP="00C70B98">
      <w:pPr>
        <w:rPr>
          <w:lang w:val="es-ES_tradnl"/>
        </w:rPr>
      </w:pPr>
      <w:r w:rsidRPr="00192C37">
        <w:rPr>
          <w:i/>
          <w:iCs/>
          <w:lang w:val="es-ES_tradnl"/>
        </w:rPr>
        <w:t>c)</w:t>
      </w:r>
      <w:r w:rsidRPr="00B92AFD">
        <w:rPr>
          <w:lang w:val="es-ES_tradnl"/>
        </w:rPr>
        <w:tab/>
        <w:t xml:space="preserve">que, a tenor del número </w:t>
      </w:r>
      <w:r w:rsidRPr="009965CD">
        <w:rPr>
          <w:b/>
          <w:bCs/>
          <w:lang w:val="es-ES_tradnl"/>
        </w:rPr>
        <w:t>5.480</w:t>
      </w:r>
      <w:r w:rsidRPr="00B92AFD">
        <w:rPr>
          <w:lang w:val="es-ES_tradnl"/>
        </w:rPr>
        <w:t xml:space="preserve"> del RR, la banda</w:t>
      </w:r>
      <w:r>
        <w:rPr>
          <w:lang w:val="es-ES_tradnl"/>
        </w:rPr>
        <w:t xml:space="preserve"> de frecuencias</w:t>
      </w:r>
      <w:r w:rsidRPr="00B92AFD">
        <w:rPr>
          <w:lang w:val="es-ES_tradnl"/>
        </w:rPr>
        <w:t xml:space="preserve"> 10-10,45 GHz está atribuida al servicio fijo en una serie de países de la Región 2,</w:t>
      </w:r>
    </w:p>
    <w:p w14:paraId="3B55D412" w14:textId="77777777" w:rsidR="00C70B98" w:rsidRPr="00B92AFD" w:rsidRDefault="00C70B98" w:rsidP="00C70B98">
      <w:pPr>
        <w:pStyle w:val="Call"/>
        <w:rPr>
          <w:lang w:val="es-ES_tradnl"/>
        </w:rPr>
      </w:pPr>
      <w:r w:rsidRPr="00B92AFD">
        <w:rPr>
          <w:lang w:val="es-ES_tradnl"/>
        </w:rPr>
        <w:t>observando</w:t>
      </w:r>
    </w:p>
    <w:p w14:paraId="66B5982B" w14:textId="77777777" w:rsidR="00C70B98" w:rsidRPr="00B92AFD" w:rsidRDefault="00C70B98" w:rsidP="00C70B98">
      <w:pPr>
        <w:rPr>
          <w:lang w:val="es-ES_tradnl"/>
        </w:rPr>
      </w:pPr>
      <w:r w:rsidRPr="00B92AFD">
        <w:rPr>
          <w:lang w:val="es-ES_tradnl"/>
        </w:rPr>
        <w:t>que la Recomendación UIT-R F.746 proporciona la base para el desarrollo de las disposiciones de radiofrecuencias y determina los principales parámetros que deben tenerse en cuenta en la selección de esas disposiciones,</w:t>
      </w:r>
    </w:p>
    <w:p w14:paraId="5F9B9D75" w14:textId="77777777" w:rsidR="00C70B98" w:rsidRPr="00B92AFD" w:rsidRDefault="00C70B98" w:rsidP="00C70B98">
      <w:pPr>
        <w:pStyle w:val="Call"/>
        <w:rPr>
          <w:lang w:val="es-ES_tradnl"/>
        </w:rPr>
      </w:pPr>
      <w:r w:rsidRPr="00B92AFD">
        <w:rPr>
          <w:lang w:val="es-ES_tradnl"/>
        </w:rPr>
        <w:t>recomienda</w:t>
      </w:r>
    </w:p>
    <w:p w14:paraId="6FF48AA9" w14:textId="77777777" w:rsidR="00C70B98" w:rsidRPr="00B92AFD" w:rsidRDefault="00C70B98" w:rsidP="00C70B98">
      <w:pPr>
        <w:rPr>
          <w:lang w:val="es-ES_tradnl"/>
        </w:rPr>
      </w:pPr>
      <w:r w:rsidRPr="00192C37">
        <w:rPr>
          <w:lang w:val="es-ES_tradnl"/>
        </w:rPr>
        <w:t>1</w:t>
      </w:r>
      <w:r w:rsidRPr="00B92AFD">
        <w:rPr>
          <w:lang w:val="es-ES_tradnl"/>
        </w:rPr>
        <w:tab/>
        <w:t>que las administraciones que tengan previsto implantar sistemas FWA en las bandas de frecuencia</w:t>
      </w:r>
      <w:r>
        <w:rPr>
          <w:lang w:val="es-ES_tradnl"/>
        </w:rPr>
        <w:t>s</w:t>
      </w:r>
      <w:r w:rsidRPr="00B92AFD">
        <w:rPr>
          <w:lang w:val="es-ES_tradnl"/>
        </w:rPr>
        <w:t> 10,15-10,3/10,5-10,65 GHz consideren las disposiciones de bloques que figuran en los Anexos 1 y 2;</w:t>
      </w:r>
    </w:p>
    <w:p w14:paraId="13786A96" w14:textId="77777777" w:rsidR="00C70B98" w:rsidRPr="00B92AFD" w:rsidRDefault="00C70B98" w:rsidP="00C70B98">
      <w:pPr>
        <w:rPr>
          <w:lang w:val="es-ES_tradnl"/>
        </w:rPr>
      </w:pPr>
      <w:r w:rsidRPr="00192C37">
        <w:rPr>
          <w:lang w:val="es-ES_tradnl"/>
        </w:rPr>
        <w:t>2</w:t>
      </w:r>
      <w:r w:rsidRPr="00B92AFD">
        <w:rPr>
          <w:lang w:val="es-ES_tradnl"/>
        </w:rPr>
        <w:tab/>
        <w:t>que las administraciones consideren la adopción de frecuencias centrales de portadora, dentro de los bloques de frecuencia</w:t>
      </w:r>
      <w:r>
        <w:rPr>
          <w:lang w:val="es-ES_tradnl"/>
        </w:rPr>
        <w:t>s</w:t>
      </w:r>
      <w:r w:rsidRPr="00B92AFD">
        <w:rPr>
          <w:lang w:val="es-ES_tradnl"/>
        </w:rPr>
        <w:t xml:space="preserve"> preferidos, a partir de los intervalos de canal de 0,25 MHz, como se deduce de los Anexos 1 y 2;</w:t>
      </w:r>
    </w:p>
    <w:p w14:paraId="0D9DB345" w14:textId="77777777" w:rsidR="00C70B98" w:rsidRDefault="00C70B98" w:rsidP="00C70B98">
      <w:pPr>
        <w:rPr>
          <w:lang w:val="es-ES_tradnl"/>
        </w:rPr>
      </w:pPr>
      <w:r w:rsidRPr="00192C37">
        <w:rPr>
          <w:lang w:val="es-ES_tradnl"/>
        </w:rPr>
        <w:t>3</w:t>
      </w:r>
      <w:r w:rsidRPr="00B92AFD">
        <w:rPr>
          <w:lang w:val="es-ES_tradnl"/>
        </w:rPr>
        <w:tab/>
        <w:t>que las administraciones que deseen adoptar otros modelos homogéneos consideren el uso de uno o varios intervalos de 0,25 MHz, como se deduce de los Anexos 1 y 2.</w:t>
      </w:r>
    </w:p>
    <w:p w14:paraId="2E3F5CB8" w14:textId="77777777" w:rsidR="005363F9" w:rsidRDefault="005363F9" w:rsidP="00C70B98">
      <w:pPr>
        <w:rPr>
          <w:lang w:val="es-ES_tradnl"/>
        </w:rPr>
      </w:pPr>
    </w:p>
    <w:p w14:paraId="637B3704" w14:textId="77777777" w:rsidR="005363F9" w:rsidRPr="00B92AFD" w:rsidRDefault="005363F9" w:rsidP="00C70B98">
      <w:pPr>
        <w:rPr>
          <w:lang w:val="es-ES_tradnl"/>
        </w:rPr>
      </w:pPr>
    </w:p>
    <w:p w14:paraId="07B001C9" w14:textId="77777777" w:rsidR="00C70B98" w:rsidRPr="00B92AFD" w:rsidRDefault="00C70B98" w:rsidP="005363F9">
      <w:pPr>
        <w:pStyle w:val="AnnexNoTitle"/>
        <w:keepNext w:val="0"/>
        <w:keepLines w:val="0"/>
        <w:rPr>
          <w:lang w:val="es-ES_tradnl"/>
        </w:rPr>
      </w:pPr>
      <w:r w:rsidRPr="00B92AFD">
        <w:rPr>
          <w:lang w:val="es-ES_tradnl"/>
        </w:rPr>
        <w:t>Anexo 1</w:t>
      </w:r>
      <w:r w:rsidRPr="00B92AFD">
        <w:rPr>
          <w:lang w:val="es-ES_tradnl"/>
        </w:rPr>
        <w:br/>
      </w:r>
      <w:r w:rsidRPr="00B92AFD">
        <w:rPr>
          <w:lang w:val="es-ES_tradnl"/>
        </w:rPr>
        <w:br/>
        <w:t>Disposición de radiofrecuencias basadas en bloques de 28 MHz</w:t>
      </w:r>
    </w:p>
    <w:p w14:paraId="06413472" w14:textId="3B5353AC" w:rsidR="00C70B98" w:rsidRPr="00B92AFD" w:rsidRDefault="00C70B98" w:rsidP="005363F9">
      <w:pPr>
        <w:pStyle w:val="Normalaftertitle"/>
        <w:rPr>
          <w:lang w:val="es-ES_tradnl"/>
        </w:rPr>
      </w:pPr>
      <w:r w:rsidRPr="00B92AFD">
        <w:rPr>
          <w:b/>
          <w:bCs/>
          <w:lang w:val="es-ES_tradnl"/>
        </w:rPr>
        <w:t>1</w:t>
      </w:r>
      <w:r w:rsidRPr="00B92AFD">
        <w:rPr>
          <w:lang w:val="es-ES_tradnl"/>
        </w:rPr>
        <w:tab/>
        <w:t>Esta disposición está formada por cinco bloques adyacentes de 28</w:t>
      </w:r>
      <w:r w:rsidR="005363F9">
        <w:rPr>
          <w:lang w:val="es-ES_tradnl"/>
        </w:rPr>
        <w:t> </w:t>
      </w:r>
      <w:r w:rsidRPr="00B92AFD">
        <w:rPr>
          <w:lang w:val="es-ES_tradnl"/>
        </w:rPr>
        <w:t>MHz de anchura de banda en la banda 10,15-10,3 GHz, emparejados con cinco bloques adyacentes de 28 MHz en la banda 10,5</w:t>
      </w:r>
      <w:r w:rsidR="005363F9">
        <w:rPr>
          <w:lang w:val="es-ES_tradnl"/>
        </w:rPr>
        <w:noBreakHyphen/>
      </w:r>
      <w:r w:rsidRPr="00B92AFD">
        <w:rPr>
          <w:lang w:val="es-ES_tradnl"/>
        </w:rPr>
        <w:t>10,65 GHz, como se muestra en la Fig. 1 (véase la Nota 1).</w:t>
      </w:r>
    </w:p>
    <w:p w14:paraId="0E85A447" w14:textId="77777777" w:rsidR="00C70B98" w:rsidRPr="00B92AFD" w:rsidRDefault="00C70B98" w:rsidP="005363F9">
      <w:pPr>
        <w:pStyle w:val="Figure"/>
        <w:rPr>
          <w:lang w:val="es-ES_tradnl"/>
        </w:rPr>
      </w:pPr>
      <w:r w:rsidRPr="00B92AFD">
        <w:rPr>
          <w:noProof/>
          <w:lang w:val="es-ES_tradnl"/>
        </w:rPr>
        <w:lastRenderedPageBreak/>
        <w:drawing>
          <wp:inline distT="0" distB="0" distL="0" distR="0" wp14:anchorId="0627527A" wp14:editId="2D93B77C">
            <wp:extent cx="4458970" cy="15500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BE760" w14:textId="77777777" w:rsidR="00C70B98" w:rsidRPr="00B92AFD" w:rsidRDefault="00C70B98" w:rsidP="00C70B98">
      <w:pPr>
        <w:pStyle w:val="Note"/>
        <w:rPr>
          <w:lang w:val="es-ES_tradnl"/>
        </w:rPr>
      </w:pPr>
      <w:r w:rsidRPr="00B92AFD">
        <w:rPr>
          <w:lang w:val="es-ES_tradnl"/>
        </w:rPr>
        <w:t>NOTA 1 – En algunos países pueden acomodarse bloques de 7 MHz en cada uno de los bloques de 28 MHz. Estos bloques pueden combinarse para constituir otros mayores.</w:t>
      </w:r>
    </w:p>
    <w:p w14:paraId="55E80E76" w14:textId="6B6F7CD7" w:rsidR="00C70B98" w:rsidRPr="00B92AFD" w:rsidRDefault="00C70B98" w:rsidP="00C70B98">
      <w:pPr>
        <w:pStyle w:val="Heading1"/>
        <w:rPr>
          <w:lang w:val="es-ES_tradnl"/>
        </w:rPr>
      </w:pPr>
      <w:r w:rsidRPr="00B92AFD">
        <w:rPr>
          <w:lang w:val="es-ES_tradnl"/>
        </w:rPr>
        <w:t>2</w:t>
      </w:r>
      <w:r w:rsidRPr="00B92AFD">
        <w:rPr>
          <w:lang w:val="es-ES_tradnl"/>
        </w:rPr>
        <w:tab/>
        <w:t>Obtención de intervalos de canal discreto de 0,25 MHz</w:t>
      </w:r>
    </w:p>
    <w:p w14:paraId="427FB4BC" w14:textId="77777777" w:rsidR="00C70B98" w:rsidRPr="00B92AFD" w:rsidRDefault="00C70B98" w:rsidP="00C70B98">
      <w:pPr>
        <w:rPr>
          <w:lang w:val="es-ES_tradnl"/>
        </w:rPr>
      </w:pPr>
      <w:r w:rsidRPr="00B92AFD">
        <w:rPr>
          <w:lang w:val="es-ES_tradnl"/>
        </w:rPr>
        <w:t>Los intervalos de canal discreto de 0,25 MHz se obtienen de la siguiente manera:</w:t>
      </w:r>
    </w:p>
    <w:p w14:paraId="38457168" w14:textId="77777777" w:rsidR="00C70B98" w:rsidRPr="00B92AFD" w:rsidRDefault="00C70B98" w:rsidP="00C70B98">
      <w:pPr>
        <w:pStyle w:val="Equation"/>
        <w:tabs>
          <w:tab w:val="left" w:pos="6887"/>
        </w:tabs>
        <w:spacing w:before="240" w:after="120"/>
        <w:rPr>
          <w:lang w:val="es-ES_tradnl"/>
        </w:rPr>
      </w:pPr>
      <w:r w:rsidRPr="00B92AFD">
        <w:rPr>
          <w:i/>
          <w:lang w:val="es-ES_tradnl"/>
        </w:rPr>
        <w:tab/>
      </w:r>
      <w:r w:rsidRPr="00B92AFD">
        <w:rPr>
          <w:i/>
          <w:lang w:val="es-ES_tradnl"/>
        </w:rPr>
        <w:tab/>
        <w:t>f</w:t>
      </w:r>
      <w:r w:rsidRPr="00B92AFD">
        <w:rPr>
          <w:i/>
          <w:iCs/>
          <w:vertAlign w:val="subscript"/>
          <w:lang w:val="es-ES_tradnl"/>
        </w:rPr>
        <w:t>n</w:t>
      </w:r>
      <w:r w:rsidRPr="00B92AFD">
        <w:rPr>
          <w:lang w:val="es-ES_tradnl"/>
        </w:rPr>
        <w:t xml:space="preserve"> </w:t>
      </w:r>
      <w:r w:rsidRPr="00B92AFD">
        <w:rPr>
          <w:rFonts w:ascii="Symbol" w:hAnsi="Symbol"/>
          <w:lang w:val="es-ES_tradnl"/>
        </w:rPr>
        <w:t></w:t>
      </w:r>
      <w:r w:rsidRPr="00B92AFD">
        <w:rPr>
          <w:lang w:val="es-ES_tradnl"/>
        </w:rPr>
        <w:t xml:space="preserve"> 10</w:t>
      </w:r>
      <w:r w:rsidRPr="00B92AFD">
        <w:rPr>
          <w:rFonts w:ascii="Tms Rmn" w:hAnsi="Tms Rmn"/>
          <w:sz w:val="12"/>
          <w:lang w:val="es-ES_tradnl"/>
        </w:rPr>
        <w:t> </w:t>
      </w:r>
      <w:r w:rsidRPr="00B92AFD">
        <w:rPr>
          <w:lang w:val="es-ES_tradnl"/>
        </w:rPr>
        <w:t xml:space="preserve">150 </w:t>
      </w:r>
      <w:r w:rsidRPr="00B92AFD">
        <w:rPr>
          <w:rFonts w:ascii="Symbol" w:hAnsi="Symbol"/>
          <w:lang w:val="es-ES_tradnl"/>
        </w:rPr>
        <w:t></w:t>
      </w:r>
      <w:r w:rsidRPr="00B92AFD">
        <w:rPr>
          <w:lang w:val="es-ES_tradnl"/>
        </w:rPr>
        <w:t xml:space="preserve"> 0,25 </w:t>
      </w:r>
      <w:r w:rsidRPr="00B92AFD">
        <w:rPr>
          <w:i/>
          <w:lang w:val="es-ES_tradnl"/>
        </w:rPr>
        <w:t>n</w:t>
      </w:r>
      <w:r w:rsidRPr="00B92AFD">
        <w:rPr>
          <w:lang w:val="es-ES_tradnl"/>
        </w:rPr>
        <w:tab/>
      </w:r>
      <w:r w:rsidRPr="00B92AFD">
        <w:rPr>
          <w:lang w:val="es-ES_tradnl"/>
        </w:rPr>
        <w:tab/>
        <w:t>MHz</w:t>
      </w:r>
    </w:p>
    <w:p w14:paraId="5B1C65D7" w14:textId="77777777" w:rsidR="00C70B98" w:rsidRPr="00B92AFD" w:rsidRDefault="00C70B98" w:rsidP="00C70B98">
      <w:pPr>
        <w:rPr>
          <w:lang w:val="es-ES_tradnl"/>
        </w:rPr>
      </w:pPr>
      <w:r w:rsidRPr="00B92AFD">
        <w:rPr>
          <w:lang w:val="es-ES_tradnl"/>
        </w:rPr>
        <w:t xml:space="preserve">donde </w:t>
      </w:r>
      <w:r w:rsidRPr="00B92AFD">
        <w:rPr>
          <w:i/>
          <w:iCs/>
          <w:lang w:val="es-ES_tradnl"/>
        </w:rPr>
        <w:t>f</w:t>
      </w:r>
      <w:r w:rsidRPr="00B92AFD">
        <w:rPr>
          <w:i/>
          <w:iCs/>
          <w:vertAlign w:val="subscript"/>
          <w:lang w:val="es-ES_tradnl"/>
        </w:rPr>
        <w:t>n</w:t>
      </w:r>
      <w:r w:rsidRPr="00B92AFD">
        <w:rPr>
          <w:lang w:val="es-ES_tradnl"/>
        </w:rPr>
        <w:t xml:space="preserve"> es la frecuencia central (MHz) de cada intervalo y </w:t>
      </w:r>
      <w:r w:rsidRPr="00B92AFD">
        <w:rPr>
          <w:i/>
          <w:iCs/>
          <w:lang w:val="es-ES_tradnl"/>
        </w:rPr>
        <w:t>n</w:t>
      </w:r>
      <w:r w:rsidRPr="00B92AFD">
        <w:rPr>
          <w:lang w:val="es-ES_tradnl"/>
        </w:rPr>
        <w:t xml:space="preserve"> varía entre 17 y 575 dentro de la banda 10,15-10,3 GHz y entre 1</w:t>
      </w:r>
      <w:r w:rsidRPr="00B92AFD">
        <w:rPr>
          <w:rFonts w:ascii="Tms Rmn" w:hAnsi="Tms Rmn"/>
          <w:sz w:val="12"/>
          <w:lang w:val="es-ES_tradnl"/>
        </w:rPr>
        <w:t> </w:t>
      </w:r>
      <w:r w:rsidRPr="00B92AFD">
        <w:rPr>
          <w:lang w:val="es-ES_tradnl"/>
        </w:rPr>
        <w:t>417 y 1</w:t>
      </w:r>
      <w:r w:rsidRPr="00B92AFD">
        <w:rPr>
          <w:rFonts w:ascii="Tms Rmn" w:hAnsi="Tms Rmn"/>
          <w:sz w:val="12"/>
          <w:lang w:val="es-ES_tradnl"/>
        </w:rPr>
        <w:t> </w:t>
      </w:r>
      <w:r w:rsidRPr="00B92AFD">
        <w:rPr>
          <w:lang w:val="es-ES_tradnl"/>
        </w:rPr>
        <w:t>975 dentro de la banda 10,5-10,65 GHz.</w:t>
      </w:r>
    </w:p>
    <w:p w14:paraId="6B7BD8BF" w14:textId="77777777" w:rsidR="00C70B98" w:rsidRDefault="00C70B98" w:rsidP="005363F9">
      <w:pPr>
        <w:rPr>
          <w:lang w:val="es-ES_tradnl"/>
        </w:rPr>
      </w:pPr>
    </w:p>
    <w:p w14:paraId="093709F5" w14:textId="77777777" w:rsidR="00C70B98" w:rsidRPr="00B92AFD" w:rsidRDefault="00C70B98" w:rsidP="00C70B98">
      <w:pPr>
        <w:pStyle w:val="AnnexNoTitle"/>
        <w:rPr>
          <w:lang w:val="es-ES_tradnl"/>
        </w:rPr>
      </w:pPr>
      <w:r w:rsidRPr="00B92AFD">
        <w:rPr>
          <w:lang w:val="es-ES_tradnl"/>
        </w:rPr>
        <w:t>Anexo 2</w:t>
      </w:r>
      <w:r w:rsidRPr="00B92AFD">
        <w:rPr>
          <w:lang w:val="es-ES_tradnl"/>
        </w:rPr>
        <w:br/>
      </w:r>
      <w:r w:rsidRPr="00B92AFD">
        <w:rPr>
          <w:lang w:val="es-ES_tradnl"/>
        </w:rPr>
        <w:br/>
        <w:t>Disposición de radiofrecuencias basadas en bloques de 30 MHz</w:t>
      </w:r>
    </w:p>
    <w:p w14:paraId="1F85A524" w14:textId="760B9A9C" w:rsidR="00C70B98" w:rsidRDefault="00C70B98" w:rsidP="00C70B98">
      <w:pPr>
        <w:pStyle w:val="Normalaftertitle"/>
        <w:rPr>
          <w:lang w:val="es-ES_tradnl"/>
        </w:rPr>
      </w:pPr>
      <w:r w:rsidRPr="00B92AFD">
        <w:rPr>
          <w:lang w:val="es-ES_tradnl"/>
        </w:rPr>
        <w:t>Esta disposición está formada por cinco bloques adyacentes de 30 MHz de anchura de banda en la banda 10,15-10,3</w:t>
      </w:r>
      <w:r w:rsidR="005363F9">
        <w:rPr>
          <w:lang w:val="es-ES_tradnl"/>
        </w:rPr>
        <w:t> </w:t>
      </w:r>
      <w:r w:rsidRPr="00B92AFD">
        <w:rPr>
          <w:lang w:val="es-ES_tradnl"/>
        </w:rPr>
        <w:t>GHz, emparejados con cinco bloques adyacentes de 30 MHz en la banda 10,5</w:t>
      </w:r>
      <w:r w:rsidR="00AE01B5">
        <w:rPr>
          <w:lang w:val="es-ES_tradnl"/>
        </w:rPr>
        <w:noBreakHyphen/>
      </w:r>
      <w:r w:rsidRPr="00B92AFD">
        <w:rPr>
          <w:lang w:val="es-ES_tradnl"/>
        </w:rPr>
        <w:t>10,65 GHz, como se muestra en la Fig. 2.</w:t>
      </w:r>
    </w:p>
    <w:p w14:paraId="37D5BC99" w14:textId="77777777" w:rsidR="005363F9" w:rsidRPr="005363F9" w:rsidRDefault="005363F9" w:rsidP="005363F9">
      <w:pPr>
        <w:pStyle w:val="Blanc"/>
      </w:pPr>
    </w:p>
    <w:p w14:paraId="2A290E8A" w14:textId="77777777" w:rsidR="00C70B98" w:rsidRPr="00B92AFD" w:rsidRDefault="00C70B98" w:rsidP="005363F9">
      <w:pPr>
        <w:pStyle w:val="Figure"/>
        <w:rPr>
          <w:noProof/>
          <w:lang w:val="es-ES_tradnl"/>
        </w:rPr>
      </w:pPr>
      <w:r w:rsidRPr="00B92AFD">
        <w:rPr>
          <w:noProof/>
          <w:lang w:val="es-ES_tradnl"/>
        </w:rPr>
        <w:drawing>
          <wp:inline distT="0" distB="0" distL="0" distR="0" wp14:anchorId="16F2ED7C" wp14:editId="008D74EF">
            <wp:extent cx="4458970" cy="1550035"/>
            <wp:effectExtent l="0" t="0" r="0" b="0"/>
            <wp:docPr id="1522818413" name="Picture 152281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8F60F" w14:textId="77777777" w:rsidR="00AE01B5" w:rsidRPr="00B92AFD" w:rsidRDefault="00AE01B5" w:rsidP="00AE01B5">
      <w:pPr>
        <w:pStyle w:val="Heading1"/>
        <w:rPr>
          <w:lang w:val="es-ES_tradnl"/>
        </w:rPr>
      </w:pPr>
      <w:r w:rsidRPr="00B92AFD">
        <w:rPr>
          <w:lang w:val="es-ES_tradnl"/>
        </w:rPr>
        <w:t>1</w:t>
      </w:r>
      <w:r w:rsidRPr="00B92AFD">
        <w:rPr>
          <w:lang w:val="es-ES_tradnl"/>
        </w:rPr>
        <w:tab/>
        <w:t>Obtención de intervalos de canal discreto de 0,25 MHz</w:t>
      </w:r>
    </w:p>
    <w:p w14:paraId="23A465FB" w14:textId="77777777" w:rsidR="00AE01B5" w:rsidRPr="00B92AFD" w:rsidRDefault="00AE01B5" w:rsidP="00AE01B5">
      <w:pPr>
        <w:rPr>
          <w:lang w:val="es-ES_tradnl"/>
        </w:rPr>
      </w:pPr>
      <w:r w:rsidRPr="00B92AFD">
        <w:rPr>
          <w:lang w:val="es-ES_tradnl"/>
        </w:rPr>
        <w:t>Los intervalos de canal discreto de 0,25 MHz se obtienen de la siguiente manera:</w:t>
      </w:r>
    </w:p>
    <w:p w14:paraId="74E9216D" w14:textId="77777777" w:rsidR="00AE01B5" w:rsidRPr="00B92AFD" w:rsidRDefault="00AE01B5" w:rsidP="00AE01B5">
      <w:pPr>
        <w:pStyle w:val="Equation"/>
        <w:tabs>
          <w:tab w:val="left" w:pos="6887"/>
        </w:tabs>
        <w:spacing w:before="240" w:after="120"/>
        <w:rPr>
          <w:lang w:val="es-ES_tradnl"/>
        </w:rPr>
      </w:pPr>
      <w:r w:rsidRPr="00B92AFD">
        <w:rPr>
          <w:i/>
          <w:lang w:val="es-ES_tradnl"/>
        </w:rPr>
        <w:tab/>
      </w:r>
      <w:r w:rsidRPr="00B92AFD">
        <w:rPr>
          <w:i/>
          <w:lang w:val="es-ES_tradnl"/>
        </w:rPr>
        <w:tab/>
        <w:t>f</w:t>
      </w:r>
      <w:r w:rsidRPr="00B92AFD">
        <w:rPr>
          <w:i/>
          <w:iCs/>
          <w:vertAlign w:val="subscript"/>
          <w:lang w:val="es-ES_tradnl"/>
        </w:rPr>
        <w:t>n</w:t>
      </w:r>
      <w:r w:rsidRPr="00B92AFD">
        <w:rPr>
          <w:lang w:val="es-ES_tradnl"/>
        </w:rPr>
        <w:t xml:space="preserve"> </w:t>
      </w:r>
      <w:r w:rsidRPr="00B92AFD">
        <w:rPr>
          <w:rFonts w:ascii="Symbol" w:hAnsi="Symbol"/>
          <w:lang w:val="es-ES_tradnl"/>
        </w:rPr>
        <w:t></w:t>
      </w:r>
      <w:r w:rsidRPr="00B92AFD">
        <w:rPr>
          <w:lang w:val="es-ES_tradnl"/>
        </w:rPr>
        <w:t xml:space="preserve"> 10</w:t>
      </w:r>
      <w:r w:rsidRPr="00B92AFD">
        <w:rPr>
          <w:rFonts w:ascii="Tms Rmn" w:hAnsi="Tms Rmn"/>
          <w:sz w:val="12"/>
          <w:lang w:val="es-ES_tradnl"/>
        </w:rPr>
        <w:t> </w:t>
      </w:r>
      <w:r w:rsidRPr="00B92AFD">
        <w:rPr>
          <w:lang w:val="es-ES_tradnl"/>
        </w:rPr>
        <w:t xml:space="preserve">150 </w:t>
      </w:r>
      <w:r w:rsidRPr="00B92AFD">
        <w:rPr>
          <w:rFonts w:ascii="Symbol" w:hAnsi="Symbol"/>
          <w:lang w:val="es-ES_tradnl"/>
        </w:rPr>
        <w:t></w:t>
      </w:r>
      <w:r w:rsidRPr="00B92AFD">
        <w:rPr>
          <w:lang w:val="es-ES_tradnl"/>
        </w:rPr>
        <w:t xml:space="preserve"> 0,25 </w:t>
      </w:r>
      <w:r w:rsidRPr="00B92AFD">
        <w:rPr>
          <w:i/>
          <w:lang w:val="es-ES_tradnl"/>
        </w:rPr>
        <w:t>n</w:t>
      </w:r>
      <w:r w:rsidRPr="00B92AFD">
        <w:rPr>
          <w:lang w:val="es-ES_tradnl"/>
        </w:rPr>
        <w:tab/>
      </w:r>
      <w:r w:rsidRPr="00B92AFD">
        <w:rPr>
          <w:lang w:val="es-ES_tradnl"/>
        </w:rPr>
        <w:tab/>
        <w:t>MHz</w:t>
      </w:r>
    </w:p>
    <w:p w14:paraId="2EB44B3C" w14:textId="77777777" w:rsidR="00AE01B5" w:rsidRDefault="00AE01B5" w:rsidP="00AE01B5">
      <w:pPr>
        <w:rPr>
          <w:lang w:val="es-ES_tradnl"/>
        </w:rPr>
      </w:pPr>
      <w:r w:rsidRPr="00B92AFD">
        <w:rPr>
          <w:lang w:val="es-ES_tradnl"/>
        </w:rPr>
        <w:t xml:space="preserve">donde </w:t>
      </w:r>
      <w:r w:rsidRPr="00B92AFD">
        <w:rPr>
          <w:i/>
          <w:iCs/>
          <w:lang w:val="es-ES_tradnl"/>
        </w:rPr>
        <w:t>f</w:t>
      </w:r>
      <w:r w:rsidRPr="00B92AFD">
        <w:rPr>
          <w:i/>
          <w:iCs/>
          <w:vertAlign w:val="subscript"/>
          <w:lang w:val="es-ES_tradnl"/>
        </w:rPr>
        <w:t>n</w:t>
      </w:r>
      <w:r w:rsidRPr="00B92AFD">
        <w:rPr>
          <w:lang w:val="es-ES_tradnl"/>
        </w:rPr>
        <w:t xml:space="preserve"> es la frecuencia central (MHz) de cada intervalo y </w:t>
      </w:r>
      <w:r w:rsidRPr="00B92AFD">
        <w:rPr>
          <w:i/>
          <w:iCs/>
          <w:lang w:val="es-ES_tradnl"/>
        </w:rPr>
        <w:t>n</w:t>
      </w:r>
      <w:r w:rsidRPr="00B92AFD">
        <w:rPr>
          <w:lang w:val="es-ES_tradnl"/>
        </w:rPr>
        <w:t xml:space="preserve"> varía entre 1 y 599 dentro de la banda 10,15-10,3 GHz y entre 1</w:t>
      </w:r>
      <w:r w:rsidRPr="00B92AFD">
        <w:rPr>
          <w:rFonts w:ascii="Tms Rmn" w:hAnsi="Tms Rmn"/>
          <w:sz w:val="12"/>
          <w:lang w:val="es-ES_tradnl"/>
        </w:rPr>
        <w:t> </w:t>
      </w:r>
      <w:r w:rsidRPr="00B92AFD">
        <w:rPr>
          <w:lang w:val="es-ES_tradnl"/>
        </w:rPr>
        <w:t>401 y 1</w:t>
      </w:r>
      <w:r w:rsidRPr="00B92AFD">
        <w:rPr>
          <w:rFonts w:ascii="Tms Rmn" w:hAnsi="Tms Rmn"/>
          <w:sz w:val="12"/>
          <w:lang w:val="es-ES_tradnl"/>
        </w:rPr>
        <w:t> </w:t>
      </w:r>
      <w:r w:rsidRPr="00B92AFD">
        <w:rPr>
          <w:lang w:val="es-ES_tradnl"/>
        </w:rPr>
        <w:t>999 dentro de la banda 10,5-10,65 GHz.</w:t>
      </w:r>
    </w:p>
    <w:p w14:paraId="440A79F4" w14:textId="77777777" w:rsidR="00AE01B5" w:rsidRDefault="00AE01B5" w:rsidP="005363F9">
      <w:pPr>
        <w:pStyle w:val="Line"/>
        <w:spacing w:before="320"/>
      </w:pPr>
    </w:p>
    <w:sectPr w:rsidR="00AE01B5" w:rsidSect="007565CC">
      <w:footerReference w:type="default" r:id="rId16"/>
      <w:pgSz w:w="11907" w:h="16834" w:code="9"/>
      <w:pgMar w:top="1418" w:right="1134" w:bottom="1134" w:left="1134" w:header="720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3A20" w14:textId="77777777" w:rsidR="00C70B98" w:rsidRDefault="00C70B98">
      <w:r>
        <w:separator/>
      </w:r>
    </w:p>
  </w:endnote>
  <w:endnote w:type="continuationSeparator" w:id="0">
    <w:p w14:paraId="4F8825ED" w14:textId="77777777" w:rsidR="00C70B98" w:rsidRDefault="00C7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20B05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ADBD" w14:textId="77777777" w:rsidR="00301DB3" w:rsidRDefault="00301DB3">
    <w:pPr>
      <w:pStyle w:val="Footer"/>
    </w:pPr>
    <w:r>
      <w:drawing>
        <wp:anchor distT="0" distB="0" distL="0" distR="0" simplePos="0" relativeHeight="251656192" behindDoc="0" locked="0" layoutInCell="1" allowOverlap="1" wp14:anchorId="59B32FDC" wp14:editId="4A3FF326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F82A" w14:textId="77777777" w:rsidR="00C15F3E" w:rsidRDefault="00C1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2D74A" w14:textId="77777777" w:rsidR="00C70B98" w:rsidRDefault="00C70B98">
      <w:r>
        <w:separator/>
      </w:r>
    </w:p>
  </w:footnote>
  <w:footnote w:type="continuationSeparator" w:id="0">
    <w:p w14:paraId="6710E0E6" w14:textId="77777777" w:rsidR="00C70B98" w:rsidRDefault="00C7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FE45" w14:textId="77777777" w:rsidR="001B164E" w:rsidRDefault="001B164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5"/>
      <w:gridCol w:w="5915"/>
    </w:tblGrid>
    <w:tr w:rsidR="005B0371" w:rsidRPr="00A239D1" w14:paraId="3744A59E" w14:textId="77777777" w:rsidTr="0019307B">
      <w:tc>
        <w:tcPr>
          <w:tcW w:w="4634" w:type="dxa"/>
          <w:vAlign w:val="center"/>
        </w:tcPr>
        <w:p w14:paraId="687AB962" w14:textId="77777777" w:rsidR="00EE47C4" w:rsidRPr="005B0371" w:rsidRDefault="00425BC7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4726D19F" w14:textId="77777777" w:rsidR="00EE47C4" w:rsidRPr="00260B24" w:rsidRDefault="00EE47C4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260B24">
            <w:rPr>
              <w:rFonts w:asciiTheme="minorBidi" w:hAnsiTheme="minorBidi"/>
              <w:b/>
              <w:spacing w:val="4"/>
              <w:szCs w:val="24"/>
            </w:rPr>
            <w:t>Uni</w:t>
          </w:r>
          <w:r w:rsidR="006B1E05">
            <w:rPr>
              <w:rFonts w:asciiTheme="minorBidi" w:hAnsiTheme="minorBidi"/>
              <w:b/>
              <w:spacing w:val="4"/>
              <w:szCs w:val="24"/>
            </w:rPr>
            <w:t>ó</w:t>
          </w:r>
          <w:r w:rsidRPr="00260B24">
            <w:rPr>
              <w:rFonts w:asciiTheme="minorBidi" w:hAnsiTheme="minorBidi"/>
              <w:b/>
              <w:spacing w:val="4"/>
              <w:szCs w:val="24"/>
            </w:rPr>
            <w:t>n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 </w:t>
          </w:r>
          <w:r w:rsidR="006B1E05">
            <w:rPr>
              <w:rFonts w:asciiTheme="minorBidi" w:hAnsiTheme="minorBidi"/>
              <w:b/>
              <w:spacing w:val="4"/>
              <w:szCs w:val="24"/>
            </w:rPr>
            <w:t>I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nterna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 xml:space="preserve">ional 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de 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Te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l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comunica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>s</w:t>
          </w:r>
        </w:p>
      </w:tc>
    </w:tr>
    <w:tr w:rsidR="005B0371" w:rsidRPr="00A239D1" w14:paraId="0D0C9E6B" w14:textId="77777777" w:rsidTr="0019307B">
      <w:tc>
        <w:tcPr>
          <w:tcW w:w="4634" w:type="dxa"/>
          <w:vAlign w:val="center"/>
        </w:tcPr>
        <w:p w14:paraId="5F92649B" w14:textId="77777777" w:rsidR="00EE47C4" w:rsidRPr="00260B24" w:rsidRDefault="00EE47C4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260B24">
            <w:rPr>
              <w:rFonts w:asciiTheme="minorBidi" w:hAnsiTheme="minorBidi"/>
              <w:spacing w:val="4"/>
              <w:szCs w:val="24"/>
            </w:rPr>
            <w:t>Recom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Pr="00260B24">
            <w:rPr>
              <w:rFonts w:asciiTheme="minorBidi" w:hAnsiTheme="minorBidi"/>
              <w:spacing w:val="4"/>
              <w:szCs w:val="24"/>
            </w:rPr>
            <w:t>nda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Pr="00260B24">
            <w:rPr>
              <w:rFonts w:asciiTheme="minorBidi" w:hAnsiTheme="minorBidi"/>
              <w:spacing w:val="4"/>
              <w:szCs w:val="24"/>
            </w:rPr>
            <w:t>i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 w:rsidRPr="00260B24">
            <w:rPr>
              <w:rFonts w:asciiTheme="minorBidi" w:hAnsiTheme="minorBidi"/>
              <w:spacing w:val="4"/>
              <w:szCs w:val="24"/>
            </w:rPr>
            <w:t>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="004A6FEB" w:rsidRPr="00260B24">
            <w:rPr>
              <w:rFonts w:asciiTheme="minorBidi" w:hAnsiTheme="minorBidi"/>
              <w:spacing w:val="4"/>
              <w:szCs w:val="24"/>
            </w:rPr>
            <w:t>s</w:t>
          </w:r>
        </w:p>
      </w:tc>
      <w:tc>
        <w:tcPr>
          <w:tcW w:w="5998" w:type="dxa"/>
          <w:vAlign w:val="center"/>
        </w:tcPr>
        <w:p w14:paraId="0E2A6FB8" w14:textId="77777777" w:rsidR="00EE47C4" w:rsidRPr="00260B24" w:rsidRDefault="00A25EE2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>
            <w:rPr>
              <w:rFonts w:asciiTheme="minorBidi" w:hAnsiTheme="minorBidi"/>
              <w:spacing w:val="4"/>
              <w:szCs w:val="24"/>
            </w:rPr>
            <w:t>Sect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>
            <w:rPr>
              <w:rFonts w:asciiTheme="minorBidi" w:hAnsiTheme="minorBidi"/>
              <w:spacing w:val="4"/>
              <w:szCs w:val="24"/>
            </w:rPr>
            <w:t xml:space="preserve">r de 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Radiocomunica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>
            <w:rPr>
              <w:rFonts w:asciiTheme="minorBidi" w:hAnsiTheme="minorBidi"/>
              <w:spacing w:val="4"/>
              <w:szCs w:val="24"/>
            </w:rPr>
            <w:t>s</w:t>
          </w:r>
        </w:p>
      </w:tc>
    </w:tr>
  </w:tbl>
  <w:p w14:paraId="382627AB" w14:textId="77777777" w:rsidR="00EE47C4" w:rsidRDefault="0069322D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634A7DF" wp14:editId="2D18C093">
          <wp:simplePos x="0" y="0"/>
          <wp:positionH relativeFrom="column">
            <wp:posOffset>-252095</wp:posOffset>
          </wp:positionH>
          <wp:positionV relativeFrom="paragraph">
            <wp:posOffset>-562165</wp:posOffset>
          </wp:positionV>
          <wp:extent cx="1781299" cy="383901"/>
          <wp:effectExtent l="0" t="0" r="0" b="0"/>
          <wp:wrapNone/>
          <wp:docPr id="7" name="Picture 7" descr="ITU Publicacio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TU Publicacio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299" cy="38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D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08179" wp14:editId="0D93D008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E3F5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2ACC98D3" w14:textId="77777777" w:rsidR="004A6FEB" w:rsidRDefault="00A507D4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A08AE9" wp14:editId="7BFDFBD6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678E2" id="docshapegroup6" o:spid="_x0000_s1026" alt="Header separator line" style="position:absolute;margin-left:0;margin-top:94.2pt;width:595.3pt;height:18.6pt;z-index:251659264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ABC1" w14:textId="6D31EB19" w:rsidR="001B164E" w:rsidRPr="00D72623" w:rsidRDefault="00D72623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Pr="00F111D6">
      <w:rPr>
        <w:rStyle w:val="PageNumber"/>
        <w:b/>
        <w:bCs/>
        <w:lang w:val="en-GB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C70B98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  <w:lang w:val="en-GB"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9623FC">
      <w:rPr>
        <w:b/>
        <w:bCs/>
        <w:noProof/>
        <w:lang w:val="en-US"/>
      </w:rPr>
      <w:t>UIT-R  F.1568-2</w:t>
    </w:r>
    <w:r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64B1D" w14:textId="25F1C6F9" w:rsidR="001B164E" w:rsidRDefault="001B164E">
    <w:pPr>
      <w:pStyle w:val="Header"/>
    </w:pPr>
    <w:r>
      <w:tab/>
    </w:r>
    <w:r w:rsidR="00C84DB7">
      <w:rPr>
        <w:b/>
        <w:bCs/>
      </w:rPr>
      <w:fldChar w:fldCharType="begin"/>
    </w:r>
    <w:r w:rsidR="00C84DB7">
      <w:rPr>
        <w:b/>
        <w:bCs/>
      </w:rPr>
      <w:instrText xml:space="preserve"> DOCPROPERTY "Header" \* MERGEFORMAT </w:instrText>
    </w:r>
    <w:r w:rsidR="00C84DB7">
      <w:rPr>
        <w:b/>
        <w:bCs/>
      </w:rPr>
      <w:fldChar w:fldCharType="separate"/>
    </w:r>
    <w:r w:rsidR="00C70B98">
      <w:rPr>
        <w:b/>
        <w:bCs/>
      </w:rPr>
      <w:t xml:space="preserve">Rec. </w:t>
    </w:r>
    <w:r w:rsidR="00C84DB7">
      <w:rPr>
        <w:b/>
        <w:bCs/>
      </w:rPr>
      <w:fldChar w:fldCharType="end"/>
    </w:r>
    <w:r>
      <w:rPr>
        <w:b/>
        <w:bCs/>
      </w:rPr>
      <w:t xml:space="preserve"> </w:t>
    </w:r>
    <w:r w:rsidR="006C37D5">
      <w:rPr>
        <w:b/>
        <w:bCs/>
      </w:rPr>
      <w:fldChar w:fldCharType="begin"/>
    </w:r>
    <w:r>
      <w:rPr>
        <w:b/>
        <w:bCs/>
      </w:rPr>
      <w:instrText>styleref href</w:instrText>
    </w:r>
    <w:r w:rsidR="006C37D5">
      <w:rPr>
        <w:b/>
        <w:bCs/>
      </w:rPr>
      <w:fldChar w:fldCharType="separate"/>
    </w:r>
    <w:r w:rsidR="009623FC">
      <w:rPr>
        <w:b/>
        <w:bCs/>
        <w:noProof/>
      </w:rPr>
      <w:t>UIT-R  F.1568-2</w:t>
    </w:r>
    <w:r w:rsidR="006C37D5">
      <w:rPr>
        <w:b/>
        <w:bCs/>
      </w:rPr>
      <w:fldChar w:fldCharType="end"/>
    </w:r>
    <w:r>
      <w:tab/>
    </w:r>
    <w:r w:rsidR="006C37D5"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 w:rsidR="006C37D5">
      <w:rPr>
        <w:rStyle w:val="PageNumber"/>
        <w:b/>
        <w:bCs/>
      </w:rPr>
      <w:fldChar w:fldCharType="separate"/>
    </w:r>
    <w:r w:rsidR="00C84DB7">
      <w:rPr>
        <w:rStyle w:val="PageNumber"/>
        <w:b/>
        <w:bCs/>
        <w:noProof/>
      </w:rPr>
      <w:t>1</w:t>
    </w:r>
    <w:r w:rsidR="006C37D5"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82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>
      <o:colormru v:ext="edit" colors="#d62a47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98"/>
    <w:rsid w:val="00013002"/>
    <w:rsid w:val="000246E0"/>
    <w:rsid w:val="00036EE3"/>
    <w:rsid w:val="0005137E"/>
    <w:rsid w:val="00072484"/>
    <w:rsid w:val="00095530"/>
    <w:rsid w:val="00096612"/>
    <w:rsid w:val="000A4A32"/>
    <w:rsid w:val="000B1B2B"/>
    <w:rsid w:val="000B7683"/>
    <w:rsid w:val="000D0677"/>
    <w:rsid w:val="000E0548"/>
    <w:rsid w:val="000E6A6E"/>
    <w:rsid w:val="00102934"/>
    <w:rsid w:val="00120C75"/>
    <w:rsid w:val="00147110"/>
    <w:rsid w:val="001511A6"/>
    <w:rsid w:val="00171C4D"/>
    <w:rsid w:val="0017562F"/>
    <w:rsid w:val="00192C37"/>
    <w:rsid w:val="0019307B"/>
    <w:rsid w:val="001B0927"/>
    <w:rsid w:val="001B164E"/>
    <w:rsid w:val="001B7886"/>
    <w:rsid w:val="001F38BB"/>
    <w:rsid w:val="002058CE"/>
    <w:rsid w:val="002165F1"/>
    <w:rsid w:val="00233211"/>
    <w:rsid w:val="00260B24"/>
    <w:rsid w:val="0027411A"/>
    <w:rsid w:val="00276D21"/>
    <w:rsid w:val="00282DCF"/>
    <w:rsid w:val="00296D7F"/>
    <w:rsid w:val="002A5D45"/>
    <w:rsid w:val="002B3CF6"/>
    <w:rsid w:val="002B3E59"/>
    <w:rsid w:val="002C768A"/>
    <w:rsid w:val="002D0BD7"/>
    <w:rsid w:val="002D76C4"/>
    <w:rsid w:val="002F5199"/>
    <w:rsid w:val="00301DB3"/>
    <w:rsid w:val="00305119"/>
    <w:rsid w:val="003157F1"/>
    <w:rsid w:val="00346EC2"/>
    <w:rsid w:val="00356B5D"/>
    <w:rsid w:val="00357707"/>
    <w:rsid w:val="0036627C"/>
    <w:rsid w:val="003E5516"/>
    <w:rsid w:val="003F4B75"/>
    <w:rsid w:val="00410651"/>
    <w:rsid w:val="00417671"/>
    <w:rsid w:val="00420DFD"/>
    <w:rsid w:val="0042377A"/>
    <w:rsid w:val="00425BC7"/>
    <w:rsid w:val="00437A76"/>
    <w:rsid w:val="004437E9"/>
    <w:rsid w:val="00445C2F"/>
    <w:rsid w:val="004604B2"/>
    <w:rsid w:val="00470E28"/>
    <w:rsid w:val="0047379B"/>
    <w:rsid w:val="00474170"/>
    <w:rsid w:val="00477729"/>
    <w:rsid w:val="004842E2"/>
    <w:rsid w:val="00486EB3"/>
    <w:rsid w:val="004934C5"/>
    <w:rsid w:val="004A6FEB"/>
    <w:rsid w:val="004E61FF"/>
    <w:rsid w:val="005363F9"/>
    <w:rsid w:val="005373E0"/>
    <w:rsid w:val="00546372"/>
    <w:rsid w:val="00556548"/>
    <w:rsid w:val="00571B1C"/>
    <w:rsid w:val="005766F2"/>
    <w:rsid w:val="00576D47"/>
    <w:rsid w:val="00586EF8"/>
    <w:rsid w:val="005B0371"/>
    <w:rsid w:val="005B49AB"/>
    <w:rsid w:val="005B50E7"/>
    <w:rsid w:val="005C4BAB"/>
    <w:rsid w:val="005E12A5"/>
    <w:rsid w:val="005E69F0"/>
    <w:rsid w:val="005E7B4F"/>
    <w:rsid w:val="005F003B"/>
    <w:rsid w:val="005F2E73"/>
    <w:rsid w:val="00601882"/>
    <w:rsid w:val="00607D68"/>
    <w:rsid w:val="00613212"/>
    <w:rsid w:val="006149B1"/>
    <w:rsid w:val="00624334"/>
    <w:rsid w:val="00640332"/>
    <w:rsid w:val="00680D2B"/>
    <w:rsid w:val="00681B32"/>
    <w:rsid w:val="0069322D"/>
    <w:rsid w:val="00697887"/>
    <w:rsid w:val="006B1D2B"/>
    <w:rsid w:val="006B1E05"/>
    <w:rsid w:val="006C37D5"/>
    <w:rsid w:val="006E1131"/>
    <w:rsid w:val="006E2037"/>
    <w:rsid w:val="006E6199"/>
    <w:rsid w:val="00712870"/>
    <w:rsid w:val="00714AC0"/>
    <w:rsid w:val="0074147D"/>
    <w:rsid w:val="00743D85"/>
    <w:rsid w:val="00744F8B"/>
    <w:rsid w:val="00747D6E"/>
    <w:rsid w:val="00753CF4"/>
    <w:rsid w:val="007565CC"/>
    <w:rsid w:val="007624B1"/>
    <w:rsid w:val="00763B9A"/>
    <w:rsid w:val="00772EC8"/>
    <w:rsid w:val="007A6AA8"/>
    <w:rsid w:val="007B1357"/>
    <w:rsid w:val="007B3343"/>
    <w:rsid w:val="008310C9"/>
    <w:rsid w:val="008335F0"/>
    <w:rsid w:val="00834306"/>
    <w:rsid w:val="008407BB"/>
    <w:rsid w:val="00853CC5"/>
    <w:rsid w:val="00865A44"/>
    <w:rsid w:val="00877E6E"/>
    <w:rsid w:val="008B083A"/>
    <w:rsid w:val="008B73AB"/>
    <w:rsid w:val="008C7848"/>
    <w:rsid w:val="008D6E3D"/>
    <w:rsid w:val="00906589"/>
    <w:rsid w:val="00906AD6"/>
    <w:rsid w:val="00917AF2"/>
    <w:rsid w:val="0092418A"/>
    <w:rsid w:val="00934ED7"/>
    <w:rsid w:val="00940D16"/>
    <w:rsid w:val="009543C3"/>
    <w:rsid w:val="009623FC"/>
    <w:rsid w:val="00966E1B"/>
    <w:rsid w:val="00972F51"/>
    <w:rsid w:val="00984A02"/>
    <w:rsid w:val="009947C0"/>
    <w:rsid w:val="009A4039"/>
    <w:rsid w:val="009A41F9"/>
    <w:rsid w:val="009D4BBD"/>
    <w:rsid w:val="009F2D2C"/>
    <w:rsid w:val="009F5580"/>
    <w:rsid w:val="00A03C0E"/>
    <w:rsid w:val="00A16BE1"/>
    <w:rsid w:val="00A239D1"/>
    <w:rsid w:val="00A25EE2"/>
    <w:rsid w:val="00A31928"/>
    <w:rsid w:val="00A35B27"/>
    <w:rsid w:val="00A507D4"/>
    <w:rsid w:val="00A5147A"/>
    <w:rsid w:val="00A62A14"/>
    <w:rsid w:val="00A6617B"/>
    <w:rsid w:val="00A71FE5"/>
    <w:rsid w:val="00A7534B"/>
    <w:rsid w:val="00A76007"/>
    <w:rsid w:val="00A86DD2"/>
    <w:rsid w:val="00A936CB"/>
    <w:rsid w:val="00A971A1"/>
    <w:rsid w:val="00AA3AD8"/>
    <w:rsid w:val="00AB0DC8"/>
    <w:rsid w:val="00AB405C"/>
    <w:rsid w:val="00AC015D"/>
    <w:rsid w:val="00AE01B5"/>
    <w:rsid w:val="00AE698D"/>
    <w:rsid w:val="00AF0286"/>
    <w:rsid w:val="00AF5326"/>
    <w:rsid w:val="00B019A2"/>
    <w:rsid w:val="00B0286E"/>
    <w:rsid w:val="00B033C8"/>
    <w:rsid w:val="00B111CE"/>
    <w:rsid w:val="00B33425"/>
    <w:rsid w:val="00B42334"/>
    <w:rsid w:val="00B434C7"/>
    <w:rsid w:val="00B44E24"/>
    <w:rsid w:val="00B54ECC"/>
    <w:rsid w:val="00B60AC0"/>
    <w:rsid w:val="00B65811"/>
    <w:rsid w:val="00B714F3"/>
    <w:rsid w:val="00B75A52"/>
    <w:rsid w:val="00B874C6"/>
    <w:rsid w:val="00B87B6B"/>
    <w:rsid w:val="00B9169E"/>
    <w:rsid w:val="00B96572"/>
    <w:rsid w:val="00BB7886"/>
    <w:rsid w:val="00BC5D77"/>
    <w:rsid w:val="00BD096E"/>
    <w:rsid w:val="00BD4283"/>
    <w:rsid w:val="00BF487A"/>
    <w:rsid w:val="00BF5544"/>
    <w:rsid w:val="00C15F3E"/>
    <w:rsid w:val="00C46BD9"/>
    <w:rsid w:val="00C55258"/>
    <w:rsid w:val="00C70B98"/>
    <w:rsid w:val="00C73560"/>
    <w:rsid w:val="00C84DB7"/>
    <w:rsid w:val="00C87A35"/>
    <w:rsid w:val="00CB0F14"/>
    <w:rsid w:val="00CD659B"/>
    <w:rsid w:val="00CE0A43"/>
    <w:rsid w:val="00CF130D"/>
    <w:rsid w:val="00D00118"/>
    <w:rsid w:val="00D0483A"/>
    <w:rsid w:val="00D16749"/>
    <w:rsid w:val="00D5024B"/>
    <w:rsid w:val="00D61962"/>
    <w:rsid w:val="00D72623"/>
    <w:rsid w:val="00D83556"/>
    <w:rsid w:val="00DE5556"/>
    <w:rsid w:val="00DF4176"/>
    <w:rsid w:val="00DF460F"/>
    <w:rsid w:val="00E0095C"/>
    <w:rsid w:val="00E17240"/>
    <w:rsid w:val="00E73906"/>
    <w:rsid w:val="00E74595"/>
    <w:rsid w:val="00E77485"/>
    <w:rsid w:val="00E77DF0"/>
    <w:rsid w:val="00EB1CB6"/>
    <w:rsid w:val="00EB7C57"/>
    <w:rsid w:val="00ED1EFA"/>
    <w:rsid w:val="00ED2695"/>
    <w:rsid w:val="00ED3CA8"/>
    <w:rsid w:val="00EE04BA"/>
    <w:rsid w:val="00EE47C4"/>
    <w:rsid w:val="00EF2D52"/>
    <w:rsid w:val="00EF4FD6"/>
    <w:rsid w:val="00F111D6"/>
    <w:rsid w:val="00F17CED"/>
    <w:rsid w:val="00F30C9B"/>
    <w:rsid w:val="00F34555"/>
    <w:rsid w:val="00F354B1"/>
    <w:rsid w:val="00F354D7"/>
    <w:rsid w:val="00F6343F"/>
    <w:rsid w:val="00F72776"/>
    <w:rsid w:val="00F77360"/>
    <w:rsid w:val="00F92A40"/>
    <w:rsid w:val="00FB0E4E"/>
    <w:rsid w:val="00FB7C9C"/>
    <w:rsid w:val="00FE79FE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2a47,#f8f8f8"/>
    </o:shapedefaults>
    <o:shapelayout v:ext="edit">
      <o:idmap v:ext="edit" data="2"/>
    </o:shapelayout>
  </w:shapeDefaults>
  <w:decimalSymbol w:val=","/>
  <w:listSeparator w:val=";"/>
  <w14:docId w14:val="7F2F8BFC"/>
  <w15:docId w15:val="{6BD191B7-8C86-40EF-A7D6-3019B22D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7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es-ES" w:eastAsia="en-US"/>
    </w:rPr>
  </w:style>
  <w:style w:type="paragraph" w:styleId="Heading1">
    <w:name w:val="heading 1"/>
    <w:basedOn w:val="Normal"/>
    <w:next w:val="Normal"/>
    <w:link w:val="Heading1Char"/>
    <w:qFormat/>
    <w:rsid w:val="00A936C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36C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936C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936C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A936CB"/>
    <w:pPr>
      <w:outlineLvl w:val="4"/>
    </w:pPr>
  </w:style>
  <w:style w:type="paragraph" w:styleId="Heading6">
    <w:name w:val="heading 6"/>
    <w:basedOn w:val="Heading4"/>
    <w:next w:val="Normal"/>
    <w:qFormat/>
    <w:rsid w:val="00A936C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936CB"/>
    <w:pPr>
      <w:outlineLvl w:val="6"/>
    </w:pPr>
  </w:style>
  <w:style w:type="paragraph" w:styleId="Heading8">
    <w:name w:val="heading 8"/>
    <w:basedOn w:val="Heading6"/>
    <w:next w:val="Normal"/>
    <w:qFormat/>
    <w:rsid w:val="00A936CB"/>
    <w:pPr>
      <w:outlineLvl w:val="7"/>
    </w:pPr>
  </w:style>
  <w:style w:type="paragraph" w:styleId="Heading9">
    <w:name w:val="heading 9"/>
    <w:basedOn w:val="Heading6"/>
    <w:next w:val="Normal"/>
    <w:qFormat/>
    <w:rsid w:val="00A936C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36C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A936CB"/>
  </w:style>
  <w:style w:type="paragraph" w:customStyle="1" w:styleId="Headingb">
    <w:name w:val="Heading_b"/>
    <w:basedOn w:val="Heading3"/>
    <w:next w:val="Normal"/>
    <w:rsid w:val="00A936C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936CB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A936CB"/>
  </w:style>
  <w:style w:type="paragraph" w:customStyle="1" w:styleId="AnnexNoTitle">
    <w:name w:val="Annex_NoTitle"/>
    <w:basedOn w:val="Normal"/>
    <w:next w:val="Normalaftertitle"/>
    <w:rsid w:val="0005137E"/>
    <w:pPr>
      <w:keepNext/>
      <w:keepLines/>
      <w:spacing w:before="480" w:after="80"/>
      <w:jc w:val="center"/>
      <w:outlineLvl w:val="0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936CB"/>
    <w:pPr>
      <w:spacing w:before="320"/>
    </w:pPr>
  </w:style>
  <w:style w:type="paragraph" w:customStyle="1" w:styleId="enumlev2">
    <w:name w:val="enumlev2"/>
    <w:basedOn w:val="enumlev1"/>
    <w:rsid w:val="00A936CB"/>
    <w:pPr>
      <w:ind w:left="1191" w:hanging="397"/>
    </w:pPr>
  </w:style>
  <w:style w:type="paragraph" w:customStyle="1" w:styleId="enumlev1">
    <w:name w:val="enumlev1"/>
    <w:basedOn w:val="Normal"/>
    <w:rsid w:val="00A936CB"/>
    <w:pPr>
      <w:spacing w:before="80"/>
      <w:ind w:left="794" w:hanging="794"/>
    </w:pPr>
  </w:style>
  <w:style w:type="paragraph" w:customStyle="1" w:styleId="enumlev3">
    <w:name w:val="enumlev3"/>
    <w:basedOn w:val="enumlev2"/>
    <w:rsid w:val="00A936CB"/>
    <w:pPr>
      <w:ind w:left="1588"/>
    </w:pPr>
  </w:style>
  <w:style w:type="paragraph" w:customStyle="1" w:styleId="Note">
    <w:name w:val="Note"/>
    <w:basedOn w:val="Normal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Normal"/>
    <w:next w:val="Recref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A936CB"/>
    <w:pPr>
      <w:jc w:val="center"/>
    </w:pPr>
  </w:style>
  <w:style w:type="paragraph" w:customStyle="1" w:styleId="Recdate">
    <w:name w:val="Rec_date"/>
    <w:basedOn w:val="Recref"/>
    <w:next w:val="Normalaftertitle"/>
    <w:rsid w:val="00A936CB"/>
    <w:pPr>
      <w:jc w:val="right"/>
    </w:pPr>
  </w:style>
  <w:style w:type="paragraph" w:customStyle="1" w:styleId="HeadingSum">
    <w:name w:val="Heading_Sum"/>
    <w:basedOn w:val="Headingb"/>
    <w:next w:val="Normal"/>
    <w:autoRedefine/>
    <w:rsid w:val="00865A44"/>
    <w:pPr>
      <w:spacing w:before="240"/>
    </w:pPr>
    <w:rPr>
      <w:sz w:val="22"/>
      <w:lang w:val="es-ES_tradnl"/>
    </w:rPr>
  </w:style>
  <w:style w:type="paragraph" w:customStyle="1" w:styleId="AppendixNoTitle">
    <w:name w:val="Appendix_NoTitle"/>
    <w:basedOn w:val="AnnexNoTitle"/>
    <w:next w:val="Normal"/>
    <w:rsid w:val="00A936CB"/>
  </w:style>
  <w:style w:type="paragraph" w:customStyle="1" w:styleId="Tablefin">
    <w:name w:val="Table_fin"/>
    <w:basedOn w:val="Normal"/>
    <w:next w:val="Normal"/>
    <w:rsid w:val="00A936CB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A936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rsid w:val="00A936CB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rsid w:val="00A936C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A936C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A936CB"/>
    <w:pPr>
      <w:ind w:left="794"/>
    </w:pPr>
  </w:style>
  <w:style w:type="paragraph" w:customStyle="1" w:styleId="Figurelegend">
    <w:name w:val="Figure_legend"/>
    <w:basedOn w:val="Normal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936CB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rsid w:val="00A936CB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A936CB"/>
    <w:pPr>
      <w:keepNext w:val="0"/>
      <w:spacing w:before="0" w:after="240"/>
    </w:pPr>
  </w:style>
  <w:style w:type="paragraph" w:customStyle="1" w:styleId="tocpart">
    <w:name w:val="tocpart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A936CB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A936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36CB"/>
    <w:rPr>
      <w:b/>
    </w:rPr>
  </w:style>
  <w:style w:type="paragraph" w:customStyle="1" w:styleId="Chaptitle">
    <w:name w:val="Chap_title"/>
    <w:basedOn w:val="Arttitle"/>
    <w:next w:val="Normalaftertitle"/>
    <w:rsid w:val="00A936CB"/>
  </w:style>
  <w:style w:type="character" w:styleId="FootnoteReference">
    <w:name w:val="footnote reference"/>
    <w:basedOn w:val="DefaultParagraphFont"/>
    <w:semiHidden/>
    <w:rsid w:val="00A936CB"/>
    <w:rPr>
      <w:position w:val="6"/>
      <w:sz w:val="18"/>
    </w:rPr>
  </w:style>
  <w:style w:type="paragraph" w:styleId="FootnoteText">
    <w:name w:val="footnote text"/>
    <w:basedOn w:val="Normal"/>
    <w:semiHidden/>
    <w:rsid w:val="00A936CB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  <w:rsid w:val="00A936CB"/>
  </w:style>
  <w:style w:type="paragraph" w:styleId="Index2">
    <w:name w:val="index 2"/>
    <w:basedOn w:val="Normal"/>
    <w:next w:val="Normal"/>
    <w:semiHidden/>
    <w:rsid w:val="00A936CB"/>
    <w:pPr>
      <w:ind w:left="283"/>
    </w:pPr>
  </w:style>
  <w:style w:type="paragraph" w:styleId="Index3">
    <w:name w:val="index 3"/>
    <w:basedOn w:val="Normal"/>
    <w:next w:val="Normal"/>
    <w:semiHidden/>
    <w:rsid w:val="00A936CB"/>
    <w:pPr>
      <w:ind w:left="566"/>
    </w:pPr>
  </w:style>
  <w:style w:type="paragraph" w:styleId="IndexHeading">
    <w:name w:val="index heading"/>
    <w:basedOn w:val="Normal"/>
    <w:next w:val="Index1"/>
    <w:semiHidden/>
    <w:rsid w:val="00A936CB"/>
  </w:style>
  <w:style w:type="paragraph" w:customStyle="1" w:styleId="Line">
    <w:name w:val="Line"/>
    <w:basedOn w:val="Normal"/>
    <w:next w:val="Normal"/>
    <w:rsid w:val="00A936C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A936CB"/>
  </w:style>
  <w:style w:type="paragraph" w:customStyle="1" w:styleId="Partref">
    <w:name w:val="Part_ref"/>
    <w:basedOn w:val="Normal"/>
    <w:next w:val="Normal"/>
    <w:rsid w:val="00A936C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A936CB"/>
  </w:style>
  <w:style w:type="paragraph" w:customStyle="1" w:styleId="QuestionNo">
    <w:name w:val="Question_No"/>
    <w:basedOn w:val="RecNo"/>
    <w:next w:val="Normal"/>
    <w:rsid w:val="00A936CB"/>
  </w:style>
  <w:style w:type="paragraph" w:customStyle="1" w:styleId="Questionref">
    <w:name w:val="Question_ref"/>
    <w:basedOn w:val="Recref"/>
    <w:next w:val="Questiondate"/>
    <w:rsid w:val="00A936CB"/>
  </w:style>
  <w:style w:type="paragraph" w:customStyle="1" w:styleId="Questiontitle">
    <w:name w:val="Question_title"/>
    <w:basedOn w:val="Normal"/>
    <w:next w:val="Questionref"/>
    <w:rsid w:val="00A936CB"/>
  </w:style>
  <w:style w:type="paragraph" w:customStyle="1" w:styleId="Reftext">
    <w:name w:val="Ref_text"/>
    <w:basedOn w:val="Normal"/>
    <w:rsid w:val="00A936C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A936CB"/>
  </w:style>
  <w:style w:type="paragraph" w:customStyle="1" w:styleId="RepNo">
    <w:name w:val="Rep_No"/>
    <w:basedOn w:val="RecNo"/>
    <w:next w:val="Reptitle"/>
    <w:rsid w:val="00A936CB"/>
  </w:style>
  <w:style w:type="paragraph" w:customStyle="1" w:styleId="Reptitle">
    <w:name w:val="Rep_title"/>
    <w:basedOn w:val="Rectitle"/>
    <w:next w:val="Repref"/>
    <w:rsid w:val="00A936CB"/>
  </w:style>
  <w:style w:type="paragraph" w:customStyle="1" w:styleId="Repref">
    <w:name w:val="Rep_ref"/>
    <w:basedOn w:val="Recref"/>
    <w:next w:val="Repdate"/>
    <w:rsid w:val="00A936CB"/>
  </w:style>
  <w:style w:type="paragraph" w:customStyle="1" w:styleId="Resdate">
    <w:name w:val="Res_date"/>
    <w:basedOn w:val="Recdate"/>
    <w:next w:val="Normalaftertitle"/>
    <w:rsid w:val="00A936CB"/>
  </w:style>
  <w:style w:type="paragraph" w:customStyle="1" w:styleId="ResNo">
    <w:name w:val="Res_No"/>
    <w:basedOn w:val="RecNo"/>
    <w:next w:val="Restitle"/>
    <w:rsid w:val="00A936CB"/>
  </w:style>
  <w:style w:type="paragraph" w:customStyle="1" w:styleId="Restitle">
    <w:name w:val="Res_title"/>
    <w:basedOn w:val="Normal"/>
    <w:next w:val="Resref"/>
    <w:rsid w:val="00A936CB"/>
    <w:pPr>
      <w:spacing w:before="240"/>
      <w:jc w:val="center"/>
    </w:pPr>
    <w:rPr>
      <w:b/>
      <w:sz w:val="28"/>
    </w:rPr>
  </w:style>
  <w:style w:type="paragraph" w:customStyle="1" w:styleId="Resref">
    <w:name w:val="Res_ref"/>
    <w:basedOn w:val="Recref"/>
    <w:next w:val="Resdate"/>
    <w:rsid w:val="00A936CB"/>
  </w:style>
  <w:style w:type="paragraph" w:customStyle="1" w:styleId="SectionNo">
    <w:name w:val="Section_No"/>
    <w:basedOn w:val="Normal"/>
    <w:next w:val="Normal"/>
    <w:rsid w:val="00A936CB"/>
  </w:style>
  <w:style w:type="paragraph" w:customStyle="1" w:styleId="Sectiontitle">
    <w:name w:val="Section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A936C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A936C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A936C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A936C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A936C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A936CB"/>
  </w:style>
  <w:style w:type="paragraph" w:styleId="TOC6">
    <w:name w:val="toc 6"/>
    <w:basedOn w:val="TOC4"/>
    <w:semiHidden/>
    <w:rsid w:val="00A936CB"/>
  </w:style>
  <w:style w:type="paragraph" w:styleId="TOC7">
    <w:name w:val="toc 7"/>
    <w:basedOn w:val="TOC4"/>
    <w:semiHidden/>
    <w:rsid w:val="00A936CB"/>
  </w:style>
  <w:style w:type="paragraph" w:styleId="TOC8">
    <w:name w:val="toc 8"/>
    <w:basedOn w:val="TOC4"/>
    <w:semiHidden/>
    <w:rsid w:val="00A936CB"/>
  </w:style>
  <w:style w:type="paragraph" w:customStyle="1" w:styleId="Annexref">
    <w:name w:val="Annex_ref"/>
    <w:basedOn w:val="Normal"/>
    <w:next w:val="Normalaftertitle"/>
    <w:rsid w:val="00A93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A936CB"/>
  </w:style>
  <w:style w:type="paragraph" w:customStyle="1" w:styleId="Tabletitle">
    <w:name w:val="Table_title"/>
    <w:basedOn w:val="Normal"/>
    <w:next w:val="Tablehead"/>
    <w:rsid w:val="00A936CB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autoRedefine/>
    <w:rsid w:val="00865A44"/>
    <w:pPr>
      <w:spacing w:after="480"/>
    </w:pPr>
    <w:rPr>
      <w:sz w:val="22"/>
      <w:lang w:val="es-ES_tradnl"/>
    </w:rPr>
  </w:style>
  <w:style w:type="character" w:styleId="Hyperlink">
    <w:name w:val="Hyperlink"/>
    <w:basedOn w:val="DefaultParagraphFont"/>
    <w:rsid w:val="00934ED7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A936CB"/>
    <w:pPr>
      <w:ind w:left="-85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EE47C4"/>
    <w:rPr>
      <w:sz w:val="24"/>
      <w:lang w:val="fr-FR" w:eastAsia="en-US"/>
    </w:rPr>
  </w:style>
  <w:style w:type="table" w:styleId="TableGrid">
    <w:name w:val="Table Grid"/>
    <w:basedOn w:val="TableNormal"/>
    <w:rsid w:val="00EE4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083A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260B2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rsid w:val="00C70B98"/>
    <w:rPr>
      <w:b/>
      <w:sz w:val="24"/>
      <w:lang w:val="es-ES" w:eastAsia="en-US"/>
    </w:rPr>
  </w:style>
  <w:style w:type="character" w:customStyle="1" w:styleId="NormalaftertitleChar">
    <w:name w:val="Normal_after_title Char"/>
    <w:link w:val="Normalaftertitle"/>
    <w:locked/>
    <w:rsid w:val="00B434C7"/>
    <w:rPr>
      <w:sz w:val="24"/>
      <w:lang w:val="es-ES" w:eastAsia="en-US"/>
    </w:rPr>
  </w:style>
  <w:style w:type="paragraph" w:customStyle="1" w:styleId="Reasons">
    <w:name w:val="Reasons"/>
    <w:basedOn w:val="Normal"/>
    <w:qFormat/>
    <w:rsid w:val="00AE01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l/R-REC/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http://www.itu.int/ITU-R/go/patents/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Local\Temp\5c22b3e5-7f96-4534-9c30-d618cc6d3e81_Recomendaciones%20Nueva%20carpeta%20comprimida%20(en%20zip).zip.e81\2023-ITU-R_REC_F_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2023-ITU-R_REC_F_S.dotx</Template>
  <TotalTime>22</TotalTime>
  <Pages>5</Pages>
  <Words>1287</Words>
  <Characters>7066</Characters>
  <Application>Microsoft Office Word</Application>
  <DocSecurity>0</DocSecurity>
  <Lines>173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RECOMENDACIÓN  UIT-R  F.1568-2 - Disposiciones de bloques de radiofrecuencias para sistemas de acceso inalámbrico fijo en la gama 10,15-10,3/10,5-10,65 GHz</vt:lpstr>
    </vt:vector>
  </TitlesOfParts>
  <Manager/>
  <Company>ITU</Company>
  <LinksUpToDate>false</LinksUpToDate>
  <CharactersWithSpaces>8267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Recomendación UIT-R F.1568-2 (12/2023) - Disposiciones de bloques de radiofrecuencias para sistemas de acceso inalámbrico fijo en la gama 10,15-10,3/10,5-10,65 GHz</dc:title>
  <dc:subject>Serie F = Servicio fijo</dc:subject>
  <dc:creator>Oficina de Radiocomunicaciones del UIT (BR)</dc:creator>
  <cp:keywords/>
  <dc:description>Saez, 29.08.2024, ITU51017659</dc:description>
  <cp:lastModifiedBy>Saez Grau, Ricardo</cp:lastModifiedBy>
  <cp:revision>8</cp:revision>
  <cp:lastPrinted>2023-03-17T15:41:00Z</cp:lastPrinted>
  <dcterms:created xsi:type="dcterms:W3CDTF">2024-08-29T08:39:00Z</dcterms:created>
  <dcterms:modified xsi:type="dcterms:W3CDTF">2024-08-29T09:05:00Z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Spanish</vt:lpwstr>
  </property>
  <property fmtid="{D5CDD505-2E9C-101B-9397-08002B2CF9AE}" pid="10" name="Typist">
    <vt:lpwstr>Saez</vt:lpwstr>
  </property>
  <property fmtid="{D5CDD505-2E9C-101B-9397-08002B2CF9AE}" pid="11" name="Date completed">
    <vt:lpwstr>jeudi, 29 août 2024</vt:lpwstr>
  </property>
</Properties>
</file>