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p w:rsidR="00E66710" w:rsidRDefault="00E66710"/>
    <w:tbl>
      <w:tblPr>
        <w:tblW w:w="10089" w:type="dxa"/>
        <w:tblLook w:val="01E0"/>
      </w:tblPr>
      <w:tblGrid>
        <w:gridCol w:w="10089"/>
      </w:tblGrid>
      <w:tr w:rsidR="00E66710" w:rsidRPr="00A443C2">
        <w:tc>
          <w:tcPr>
            <w:tcW w:w="10089" w:type="dxa"/>
          </w:tcPr>
          <w:p w:rsidR="00E66710" w:rsidRPr="00E66710" w:rsidRDefault="00E66710" w:rsidP="00E66710">
            <w:pPr>
              <w:spacing w:before="380" w:line="280" w:lineRule="exact"/>
              <w:jc w:val="right"/>
              <w:rPr>
                <w:rFonts w:ascii="Tahoma" w:hAnsi="Tahoma" w:cs="Tahoma"/>
                <w:b/>
                <w:bCs/>
                <w:iCs/>
                <w:color w:val="243285"/>
                <w:sz w:val="32"/>
                <w:szCs w:val="32"/>
                <w:lang w:val="en-US"/>
              </w:rPr>
            </w:pPr>
          </w:p>
          <w:p w:rsidR="00E66710" w:rsidRPr="00E66710" w:rsidRDefault="00E66710" w:rsidP="008E0233">
            <w:pPr>
              <w:spacing w:before="380" w:line="280" w:lineRule="exact"/>
              <w:jc w:val="right"/>
              <w:rPr>
                <w:rFonts w:ascii="Tahoma" w:hAnsi="Tahoma" w:cs="Tahoma"/>
                <w:b/>
                <w:bCs/>
                <w:iCs/>
                <w:color w:val="243285"/>
                <w:sz w:val="36"/>
                <w:szCs w:val="36"/>
              </w:rPr>
            </w:pPr>
            <w:r w:rsidRPr="00E66710">
              <w:rPr>
                <w:rFonts w:ascii="Tahoma" w:hAnsi="Tahoma" w:cs="Tahoma"/>
                <w:b/>
                <w:bCs/>
                <w:iCs/>
                <w:color w:val="243285"/>
                <w:sz w:val="36"/>
                <w:szCs w:val="36"/>
              </w:rPr>
              <w:t>Recommandation  UIT-R  F.</w:t>
            </w:r>
            <w:r w:rsidR="008E0233">
              <w:rPr>
                <w:rFonts w:ascii="Tahoma" w:hAnsi="Tahoma" w:cs="Tahoma"/>
                <w:b/>
                <w:bCs/>
                <w:iCs/>
                <w:color w:val="243285"/>
                <w:sz w:val="36"/>
                <w:szCs w:val="36"/>
              </w:rPr>
              <w:t>1605</w:t>
            </w:r>
          </w:p>
          <w:p w:rsidR="00E66710" w:rsidRPr="00E66710" w:rsidRDefault="008E0233" w:rsidP="00E66710">
            <w:pPr>
              <w:spacing w:before="80" w:line="280" w:lineRule="exact"/>
              <w:jc w:val="right"/>
              <w:rPr>
                <w:rFonts w:ascii="Tahoma" w:hAnsi="Tahoma" w:cs="Tahoma"/>
                <w:b/>
                <w:bCs/>
                <w:iCs/>
                <w:color w:val="243285"/>
                <w:szCs w:val="24"/>
              </w:rPr>
            </w:pPr>
            <w:r>
              <w:rPr>
                <w:rFonts w:ascii="Tahoma" w:hAnsi="Tahoma" w:cs="Tahoma"/>
                <w:b/>
                <w:bCs/>
                <w:iCs/>
                <w:color w:val="243285"/>
                <w:szCs w:val="24"/>
              </w:rPr>
              <w:t>(02</w:t>
            </w:r>
            <w:r w:rsidR="00E66710" w:rsidRPr="00E66710">
              <w:rPr>
                <w:rFonts w:ascii="Tahoma" w:hAnsi="Tahoma" w:cs="Tahoma"/>
                <w:b/>
                <w:bCs/>
                <w:iCs/>
                <w:color w:val="243285"/>
                <w:szCs w:val="24"/>
              </w:rPr>
              <w:t>/</w:t>
            </w:r>
            <w:r>
              <w:rPr>
                <w:rFonts w:ascii="Tahoma" w:hAnsi="Tahoma" w:cs="Tahoma"/>
                <w:b/>
                <w:bCs/>
                <w:iCs/>
                <w:color w:val="243285"/>
                <w:szCs w:val="24"/>
              </w:rPr>
              <w:t>2003</w:t>
            </w:r>
            <w:r w:rsidR="00E66710" w:rsidRPr="00E66710">
              <w:rPr>
                <w:rFonts w:ascii="Tahoma" w:hAnsi="Tahoma" w:cs="Tahoma"/>
                <w:b/>
                <w:bCs/>
                <w:iCs/>
                <w:color w:val="243285"/>
                <w:szCs w:val="24"/>
              </w:rPr>
              <w:t>)</w:t>
            </w:r>
          </w:p>
        </w:tc>
      </w:tr>
      <w:tr w:rsidR="00E66710" w:rsidRPr="00E66710">
        <w:tc>
          <w:tcPr>
            <w:tcW w:w="10089" w:type="dxa"/>
          </w:tcPr>
          <w:p w:rsidR="00E66710" w:rsidRPr="00E31771" w:rsidRDefault="00E66710" w:rsidP="00E66710">
            <w:pPr>
              <w:spacing w:before="80" w:line="500" w:lineRule="exact"/>
              <w:jc w:val="right"/>
              <w:rPr>
                <w:rFonts w:ascii="Tahoma" w:hAnsi="Tahoma" w:cs="Tahoma"/>
                <w:b/>
                <w:bCs/>
                <w:iCs/>
                <w:color w:val="243285"/>
                <w:sz w:val="44"/>
                <w:szCs w:val="44"/>
              </w:rPr>
            </w:pPr>
          </w:p>
          <w:p w:rsidR="00E66710" w:rsidRPr="00E31771" w:rsidRDefault="00E31771" w:rsidP="00E66710">
            <w:pPr>
              <w:spacing w:before="80" w:line="500" w:lineRule="exact"/>
              <w:jc w:val="right"/>
              <w:rPr>
                <w:rFonts w:ascii="Tahoma" w:hAnsi="Tahoma" w:cs="Tahoma"/>
                <w:b/>
                <w:bCs/>
                <w:iCs/>
                <w:color w:val="243285"/>
                <w:sz w:val="44"/>
                <w:szCs w:val="44"/>
              </w:rPr>
            </w:pPr>
            <w:r w:rsidRPr="00E31771">
              <w:rPr>
                <w:rFonts w:ascii="Tahoma" w:hAnsi="Tahoma" w:cs="Tahoma"/>
                <w:b/>
                <w:bCs/>
                <w:color w:val="243285"/>
                <w:sz w:val="44"/>
                <w:szCs w:val="44"/>
              </w:rPr>
              <w:t xml:space="preserve">Evaluation des caractéristiques d'erreur et de la disponibilité des systèmes hertziens fixes de Terre en hiérarchie </w:t>
            </w:r>
            <w:r>
              <w:rPr>
                <w:rFonts w:ascii="Tahoma" w:hAnsi="Tahoma" w:cs="Tahoma"/>
                <w:b/>
                <w:bCs/>
                <w:color w:val="243285"/>
                <w:sz w:val="44"/>
                <w:szCs w:val="44"/>
              </w:rPr>
              <w:br/>
            </w:r>
            <w:r w:rsidRPr="00E31771">
              <w:rPr>
                <w:rFonts w:ascii="Tahoma" w:hAnsi="Tahoma" w:cs="Tahoma"/>
                <w:b/>
                <w:bCs/>
                <w:color w:val="243285"/>
                <w:sz w:val="44"/>
                <w:szCs w:val="44"/>
              </w:rPr>
              <w:t>numérique synchrone</w:t>
            </w:r>
            <w:r w:rsidRPr="00E31771">
              <w:rPr>
                <w:rFonts w:ascii="Tahoma" w:hAnsi="Tahoma" w:cs="Tahoma"/>
                <w:b/>
                <w:bCs/>
                <w:iCs/>
                <w:color w:val="243285"/>
                <w:sz w:val="44"/>
                <w:szCs w:val="44"/>
              </w:rPr>
              <w:t xml:space="preserve"> </w:t>
            </w:r>
          </w:p>
        </w:tc>
      </w:tr>
      <w:tr w:rsidR="00E66710" w:rsidRPr="00F54FBD">
        <w:tc>
          <w:tcPr>
            <w:tcW w:w="10089" w:type="dxa"/>
          </w:tcPr>
          <w:p w:rsidR="00E66710" w:rsidRPr="00E66710" w:rsidRDefault="00E66710" w:rsidP="00E66710">
            <w:pPr>
              <w:spacing w:before="80" w:line="280" w:lineRule="exact"/>
              <w:ind w:right="640"/>
              <w:rPr>
                <w:rFonts w:ascii="Tahoma" w:hAnsi="Tahoma" w:cs="Tahoma"/>
                <w:b/>
                <w:bCs/>
                <w:iCs/>
                <w:color w:val="243285"/>
                <w:sz w:val="32"/>
                <w:szCs w:val="32"/>
              </w:rPr>
            </w:pPr>
          </w:p>
          <w:p w:rsidR="00E66710" w:rsidRPr="00E66710" w:rsidRDefault="00E66710" w:rsidP="00E66710">
            <w:pPr>
              <w:spacing w:before="80" w:line="280" w:lineRule="exact"/>
              <w:ind w:right="640"/>
              <w:rPr>
                <w:rFonts w:ascii="Tahoma" w:hAnsi="Tahoma" w:cs="Tahoma"/>
                <w:b/>
                <w:bCs/>
                <w:iCs/>
                <w:color w:val="243285"/>
                <w:sz w:val="32"/>
                <w:szCs w:val="32"/>
              </w:rPr>
            </w:pPr>
          </w:p>
          <w:p w:rsidR="00E66710" w:rsidRPr="00E66710" w:rsidRDefault="00E66710" w:rsidP="00E66710">
            <w:pPr>
              <w:spacing w:before="80" w:after="180" w:line="360" w:lineRule="exact"/>
              <w:ind w:right="720"/>
              <w:rPr>
                <w:rFonts w:ascii="Tahoma" w:hAnsi="Tahoma" w:cs="Tahoma"/>
                <w:b/>
                <w:bCs/>
                <w:iCs/>
                <w:color w:val="243285"/>
                <w:sz w:val="36"/>
                <w:szCs w:val="36"/>
              </w:rPr>
            </w:pPr>
          </w:p>
          <w:p w:rsidR="00E66710" w:rsidRPr="00E66710" w:rsidRDefault="00E66710" w:rsidP="00E66710">
            <w:pPr>
              <w:spacing w:before="80" w:after="180" w:line="360" w:lineRule="exact"/>
              <w:jc w:val="right"/>
              <w:rPr>
                <w:rFonts w:ascii="Tahoma" w:hAnsi="Tahoma" w:cs="Tahoma"/>
                <w:b/>
                <w:bCs/>
                <w:iCs/>
                <w:color w:val="243285"/>
                <w:sz w:val="36"/>
                <w:szCs w:val="36"/>
              </w:rPr>
            </w:pPr>
            <w:r w:rsidRPr="00E66710">
              <w:rPr>
                <w:rFonts w:ascii="Tahoma" w:hAnsi="Tahoma" w:cs="Tahoma"/>
                <w:b/>
                <w:bCs/>
                <w:iCs/>
                <w:color w:val="243285"/>
                <w:sz w:val="36"/>
                <w:szCs w:val="36"/>
              </w:rPr>
              <w:t>Série F</w:t>
            </w:r>
          </w:p>
          <w:p w:rsidR="00E66710" w:rsidRPr="00E66710" w:rsidRDefault="00E66710" w:rsidP="00E66710">
            <w:pPr>
              <w:spacing w:before="80" w:line="420" w:lineRule="exact"/>
              <w:jc w:val="right"/>
              <w:rPr>
                <w:rFonts w:ascii="Tahoma" w:hAnsi="Tahoma" w:cs="Tahoma"/>
                <w:b/>
                <w:bCs/>
                <w:iCs/>
                <w:color w:val="243285"/>
                <w:sz w:val="36"/>
                <w:szCs w:val="36"/>
              </w:rPr>
            </w:pPr>
            <w:r w:rsidRPr="00E66710">
              <w:rPr>
                <w:rFonts w:ascii="Tahoma" w:hAnsi="Tahoma" w:cs="Tahoma"/>
                <w:b/>
                <w:bCs/>
                <w:iCs/>
                <w:color w:val="243285"/>
                <w:sz w:val="36"/>
                <w:szCs w:val="36"/>
              </w:rPr>
              <w:t>Service fixe</w:t>
            </w:r>
          </w:p>
        </w:tc>
      </w:tr>
    </w:tbl>
    <w:p w:rsidR="00E66710" w:rsidRPr="00F54FBD" w:rsidRDefault="00E66710" w:rsidP="00E66710">
      <w:pPr>
        <w:spacing w:before="80"/>
        <w:rPr>
          <w:i/>
          <w:sz w:val="22"/>
        </w:rPr>
      </w:pPr>
    </w:p>
    <w:p w:rsidR="00E66710" w:rsidRPr="00F54FBD" w:rsidRDefault="00E66710" w:rsidP="00E66710">
      <w:pPr>
        <w:spacing w:before="80"/>
        <w:rPr>
          <w:i/>
          <w:sz w:val="22"/>
        </w:rPr>
      </w:pPr>
    </w:p>
    <w:p w:rsidR="00E66710" w:rsidRPr="00F54FBD" w:rsidRDefault="00E66710" w:rsidP="00E66710">
      <w:pPr>
        <w:spacing w:before="80"/>
        <w:rPr>
          <w:i/>
          <w:sz w:val="22"/>
        </w:rPr>
      </w:pPr>
    </w:p>
    <w:p w:rsidR="00E66710" w:rsidRPr="00F54FBD" w:rsidRDefault="00E66710" w:rsidP="00E66710">
      <w:pPr>
        <w:spacing w:before="80"/>
        <w:rPr>
          <w:i/>
          <w:sz w:val="22"/>
        </w:rPr>
      </w:pPr>
    </w:p>
    <w:p w:rsidR="00E66710" w:rsidRPr="00F54FBD" w:rsidRDefault="00E66710" w:rsidP="00E66710">
      <w:pPr>
        <w:spacing w:before="80"/>
        <w:rPr>
          <w:i/>
          <w:sz w:val="22"/>
        </w:rPr>
      </w:pPr>
    </w:p>
    <w:p w:rsidR="00E66710" w:rsidRPr="00F54FBD" w:rsidRDefault="00E66710" w:rsidP="00E66710">
      <w:pPr>
        <w:spacing w:before="80"/>
        <w:rPr>
          <w:i/>
          <w:sz w:val="22"/>
        </w:rPr>
      </w:pPr>
    </w:p>
    <w:p w:rsidR="00E66710" w:rsidRPr="00F54FBD" w:rsidRDefault="00E66710" w:rsidP="00E66710">
      <w:pPr>
        <w:pStyle w:val="Equation"/>
        <w:tabs>
          <w:tab w:val="clear" w:pos="4820"/>
          <w:tab w:val="clear" w:pos="9639"/>
          <w:tab w:val="left" w:pos="1191"/>
          <w:tab w:val="left" w:pos="1588"/>
          <w:tab w:val="left" w:pos="1985"/>
        </w:tabs>
        <w:rPr>
          <w:rFonts w:ascii="Palatino Linotype" w:hAnsi="Palatino Linotype"/>
        </w:rPr>
        <w:sectPr w:rsidR="00E66710" w:rsidRPr="00F54FBD" w:rsidSect="00E66710">
          <w:headerReference w:type="even" r:id="rId7"/>
          <w:headerReference w:type="default" r:id="rId8"/>
          <w:footerReference w:type="even" r:id="rId9"/>
          <w:pgSz w:w="11907" w:h="16834" w:code="9"/>
          <w:pgMar w:top="1418" w:right="1134" w:bottom="1134" w:left="1134" w:header="720" w:footer="482" w:gutter="0"/>
          <w:paperSrc w:first="15" w:other="15"/>
          <w:cols w:space="720"/>
        </w:sectPr>
      </w:pPr>
    </w:p>
    <w:p w:rsidR="00E66710" w:rsidRPr="00F54FBD"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E66710" w:rsidRPr="00F54FBD" w:rsidRDefault="00E66710" w:rsidP="00E6671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66710" w:rsidRPr="00F54FBD" w:rsidRDefault="00E66710" w:rsidP="00E6671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66710" w:rsidRPr="00E44CBB" w:rsidRDefault="00E66710" w:rsidP="00E6671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66710" w:rsidRPr="00E44CBB" w:rsidRDefault="00E66710" w:rsidP="00E6671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66710" w:rsidRPr="003F2D9B" w:rsidRDefault="00E66710" w:rsidP="00E6671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E66710" w:rsidRPr="009454F8">
        <w:tc>
          <w:tcPr>
            <w:tcW w:w="9360" w:type="dxa"/>
            <w:gridSpan w:val="2"/>
          </w:tcPr>
          <w:p w:rsidR="00E66710" w:rsidRPr="009454F8" w:rsidRDefault="00E66710" w:rsidP="00E6671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66710" w:rsidRPr="009454F8"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E66710" w:rsidRPr="00036EE3" w:rsidTr="00E66710">
        <w:tc>
          <w:tcPr>
            <w:tcW w:w="1140" w:type="dxa"/>
            <w:tcBorders>
              <w:bottom w:val="nil"/>
            </w:tcBorders>
          </w:tcPr>
          <w:p w:rsidR="00E66710" w:rsidRPr="00614CC6" w:rsidRDefault="00E66710" w:rsidP="00E66710">
            <w:pPr>
              <w:spacing w:before="90" w:after="100"/>
              <w:ind w:left="57"/>
              <w:rPr>
                <w:b/>
                <w:bCs/>
                <w:sz w:val="20"/>
                <w:lang w:val="en-US"/>
              </w:rPr>
            </w:pPr>
            <w:r w:rsidRPr="00614CC6">
              <w:rPr>
                <w:b/>
                <w:bCs/>
                <w:sz w:val="20"/>
                <w:lang w:val="en-US"/>
              </w:rPr>
              <w:t>Séries</w:t>
            </w:r>
          </w:p>
        </w:tc>
        <w:tc>
          <w:tcPr>
            <w:tcW w:w="8220" w:type="dxa"/>
            <w:tcBorders>
              <w:bottom w:val="nil"/>
            </w:tcBorders>
          </w:tcPr>
          <w:p w:rsidR="00E66710" w:rsidRPr="00614CC6"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66710" w:rsidRPr="005E427C" w:rsidTr="00E66710">
        <w:tc>
          <w:tcPr>
            <w:tcW w:w="1140" w:type="dxa"/>
            <w:tcBorders>
              <w:top w:val="nil"/>
              <w:bottom w:val="nil"/>
            </w:tcBorders>
            <w:shd w:val="clear" w:color="auto" w:fill="auto"/>
          </w:tcPr>
          <w:p w:rsidR="00E66710" w:rsidRPr="005E427C" w:rsidRDefault="00E66710" w:rsidP="00E6671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E66710" w:rsidRPr="005E427C"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66710" w:rsidRPr="009454F8" w:rsidTr="00E66710">
        <w:tc>
          <w:tcPr>
            <w:tcW w:w="1140" w:type="dxa"/>
            <w:tcBorders>
              <w:top w:val="nil"/>
              <w:bottom w:val="nil"/>
            </w:tcBorders>
          </w:tcPr>
          <w:p w:rsidR="00E66710" w:rsidRPr="00614CC6" w:rsidRDefault="00E66710" w:rsidP="00E6671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E66710" w:rsidRPr="00614CC6"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E66710" w:rsidRPr="00E80F1D" w:rsidTr="00E66710">
        <w:tc>
          <w:tcPr>
            <w:tcW w:w="1140" w:type="dxa"/>
            <w:tcBorders>
              <w:top w:val="nil"/>
              <w:bottom w:val="nil"/>
            </w:tcBorders>
            <w:shd w:val="clear" w:color="auto" w:fill="auto"/>
          </w:tcPr>
          <w:p w:rsidR="00E66710" w:rsidRPr="00E80F1D" w:rsidRDefault="00E66710" w:rsidP="00E6671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E66710" w:rsidRPr="00E80F1D"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66710" w:rsidRPr="00ED2695" w:rsidTr="00E66710">
        <w:tc>
          <w:tcPr>
            <w:tcW w:w="1140" w:type="dxa"/>
            <w:tcBorders>
              <w:top w:val="nil"/>
              <w:bottom w:val="nil"/>
            </w:tcBorders>
            <w:shd w:val="clear" w:color="auto" w:fill="auto"/>
          </w:tcPr>
          <w:p w:rsidR="00E66710" w:rsidRPr="00614CC6" w:rsidRDefault="00E66710" w:rsidP="00E6671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E66710" w:rsidRPr="00614CC6"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66710" w:rsidRPr="00E80F1D" w:rsidTr="00E66710">
        <w:tc>
          <w:tcPr>
            <w:tcW w:w="1140" w:type="dxa"/>
            <w:tcBorders>
              <w:top w:val="nil"/>
              <w:bottom w:val="nil"/>
            </w:tcBorders>
            <w:shd w:val="clear" w:color="auto" w:fill="F3F3F3"/>
          </w:tcPr>
          <w:p w:rsidR="00E66710" w:rsidRPr="00E80F1D" w:rsidRDefault="00E66710" w:rsidP="00E66710">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E66710" w:rsidRPr="00E80F1D" w:rsidRDefault="00E66710" w:rsidP="00E667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E66710" w:rsidRPr="00B21066" w:rsidTr="00E66710">
        <w:tc>
          <w:tcPr>
            <w:tcW w:w="1140" w:type="dxa"/>
            <w:tcBorders>
              <w:top w:val="nil"/>
              <w:bottom w:val="nil"/>
            </w:tcBorders>
            <w:shd w:val="clear" w:color="auto" w:fill="auto"/>
          </w:tcPr>
          <w:p w:rsidR="00E66710" w:rsidRPr="00B21066" w:rsidRDefault="00E66710" w:rsidP="00E6671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E66710" w:rsidRPr="00B21066" w:rsidRDefault="00E66710" w:rsidP="00E6671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E66710" w:rsidRPr="00036EE3" w:rsidTr="00E66710">
        <w:tc>
          <w:tcPr>
            <w:tcW w:w="1140" w:type="dxa"/>
            <w:tcBorders>
              <w:top w:val="nil"/>
            </w:tcBorders>
          </w:tcPr>
          <w:p w:rsidR="00E66710" w:rsidRPr="00614CC6" w:rsidRDefault="00E66710" w:rsidP="00E66710">
            <w:pPr>
              <w:spacing w:before="30" w:after="30"/>
              <w:ind w:left="57"/>
              <w:jc w:val="left"/>
              <w:rPr>
                <w:b/>
                <w:bCs/>
                <w:sz w:val="20"/>
                <w:lang w:val="fr-CH"/>
              </w:rPr>
            </w:pPr>
            <w:r w:rsidRPr="00614CC6">
              <w:rPr>
                <w:b/>
                <w:bCs/>
                <w:sz w:val="20"/>
                <w:lang w:val="fr-CH"/>
              </w:rPr>
              <w:t>P</w:t>
            </w:r>
          </w:p>
        </w:tc>
        <w:tc>
          <w:tcPr>
            <w:tcW w:w="8220" w:type="dxa"/>
            <w:tcBorders>
              <w:top w:val="nil"/>
            </w:tcBorders>
          </w:tcPr>
          <w:p w:rsidR="00E66710" w:rsidRPr="00614CC6" w:rsidRDefault="00E66710" w:rsidP="00E66710">
            <w:pPr>
              <w:spacing w:before="30" w:after="30"/>
              <w:jc w:val="left"/>
              <w:rPr>
                <w:sz w:val="20"/>
                <w:lang w:val="fr-CH"/>
              </w:rPr>
            </w:pPr>
            <w:r w:rsidRPr="00614CC6">
              <w:rPr>
                <w:sz w:val="20"/>
              </w:rPr>
              <w:t>Propagation des ondes radioélectriques</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RA</w:t>
            </w:r>
          </w:p>
        </w:tc>
        <w:tc>
          <w:tcPr>
            <w:tcW w:w="8220" w:type="dxa"/>
          </w:tcPr>
          <w:p w:rsidR="00E66710" w:rsidRPr="00614CC6" w:rsidRDefault="00E66710" w:rsidP="00E667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RS</w:t>
            </w:r>
          </w:p>
        </w:tc>
        <w:tc>
          <w:tcPr>
            <w:tcW w:w="8220" w:type="dxa"/>
          </w:tcPr>
          <w:p w:rsidR="00E66710" w:rsidRPr="00614CC6" w:rsidRDefault="00E66710" w:rsidP="00E6671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S</w:t>
            </w:r>
          </w:p>
        </w:tc>
        <w:tc>
          <w:tcPr>
            <w:tcW w:w="8220" w:type="dxa"/>
          </w:tcPr>
          <w:p w:rsidR="00E66710" w:rsidRPr="00614CC6" w:rsidRDefault="00E66710" w:rsidP="00E66710">
            <w:pPr>
              <w:spacing w:before="30" w:after="30"/>
              <w:jc w:val="left"/>
              <w:rPr>
                <w:sz w:val="20"/>
                <w:lang w:val="en-US"/>
              </w:rPr>
            </w:pPr>
            <w:r w:rsidRPr="00614CC6">
              <w:rPr>
                <w:sz w:val="20"/>
              </w:rPr>
              <w:t>Service fixe par satellite</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SA</w:t>
            </w:r>
          </w:p>
        </w:tc>
        <w:tc>
          <w:tcPr>
            <w:tcW w:w="8220" w:type="dxa"/>
          </w:tcPr>
          <w:p w:rsidR="00E66710" w:rsidRPr="00614CC6" w:rsidRDefault="00E66710" w:rsidP="00E66710">
            <w:pPr>
              <w:spacing w:before="30" w:after="30"/>
              <w:jc w:val="left"/>
              <w:rPr>
                <w:sz w:val="20"/>
                <w:lang w:val="en-US"/>
              </w:rPr>
            </w:pPr>
            <w:r w:rsidRPr="00614CC6">
              <w:rPr>
                <w:sz w:val="20"/>
              </w:rPr>
              <w:t>Applications spatiales et météorologie</w:t>
            </w:r>
          </w:p>
        </w:tc>
      </w:tr>
      <w:tr w:rsidR="00E66710" w:rsidRPr="00614CC6">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SF</w:t>
            </w:r>
          </w:p>
        </w:tc>
        <w:tc>
          <w:tcPr>
            <w:tcW w:w="8220" w:type="dxa"/>
          </w:tcPr>
          <w:p w:rsidR="00E66710" w:rsidRPr="00614CC6" w:rsidRDefault="00E66710" w:rsidP="00E66710">
            <w:pPr>
              <w:spacing w:before="30" w:after="30"/>
              <w:jc w:val="left"/>
              <w:rPr>
                <w:sz w:val="20"/>
              </w:rPr>
            </w:pPr>
            <w:r w:rsidRPr="00614CC6">
              <w:rPr>
                <w:sz w:val="20"/>
              </w:rPr>
              <w:t>Partage des fréquences et coordination entre les systèmes du service fixe par satellite et du service fixe</w:t>
            </w:r>
          </w:p>
        </w:tc>
      </w:tr>
      <w:tr w:rsidR="00E66710" w:rsidRPr="00036EE3">
        <w:tc>
          <w:tcPr>
            <w:tcW w:w="1140" w:type="dxa"/>
            <w:shd w:val="clear" w:color="auto" w:fill="auto"/>
          </w:tcPr>
          <w:p w:rsidR="00E66710" w:rsidRPr="00592F9F" w:rsidRDefault="00E66710" w:rsidP="00E66710">
            <w:pPr>
              <w:spacing w:before="30" w:after="30"/>
              <w:ind w:left="57"/>
              <w:jc w:val="left"/>
              <w:rPr>
                <w:b/>
                <w:bCs/>
                <w:sz w:val="20"/>
                <w:lang w:val="en-US"/>
              </w:rPr>
            </w:pPr>
            <w:r w:rsidRPr="00592F9F">
              <w:rPr>
                <w:b/>
                <w:bCs/>
                <w:sz w:val="20"/>
                <w:lang w:val="en-US"/>
              </w:rPr>
              <w:t>SM</w:t>
            </w:r>
          </w:p>
        </w:tc>
        <w:tc>
          <w:tcPr>
            <w:tcW w:w="8220" w:type="dxa"/>
            <w:shd w:val="clear" w:color="auto" w:fill="auto"/>
          </w:tcPr>
          <w:p w:rsidR="00E66710" w:rsidRPr="00592F9F" w:rsidRDefault="00E66710" w:rsidP="00E66710">
            <w:pPr>
              <w:spacing w:before="30" w:after="30"/>
              <w:jc w:val="left"/>
              <w:rPr>
                <w:sz w:val="20"/>
                <w:lang w:val="en-US"/>
              </w:rPr>
            </w:pPr>
            <w:r w:rsidRPr="00592F9F">
              <w:rPr>
                <w:sz w:val="20"/>
              </w:rPr>
              <w:t>Gestion du spectre</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SNG</w:t>
            </w:r>
          </w:p>
        </w:tc>
        <w:tc>
          <w:tcPr>
            <w:tcW w:w="8220" w:type="dxa"/>
          </w:tcPr>
          <w:p w:rsidR="00E66710" w:rsidRPr="00614CC6" w:rsidRDefault="00E66710" w:rsidP="00E66710">
            <w:pPr>
              <w:spacing w:before="30" w:after="30"/>
              <w:jc w:val="left"/>
              <w:rPr>
                <w:sz w:val="20"/>
                <w:lang w:val="en-US"/>
              </w:rPr>
            </w:pPr>
            <w:r w:rsidRPr="00614CC6">
              <w:rPr>
                <w:sz w:val="20"/>
              </w:rPr>
              <w:t>Reportage d'actualités par satellite</w:t>
            </w:r>
          </w:p>
        </w:tc>
      </w:tr>
      <w:tr w:rsidR="00E66710" w:rsidRPr="00614CC6">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TF</w:t>
            </w:r>
          </w:p>
        </w:tc>
        <w:tc>
          <w:tcPr>
            <w:tcW w:w="8220" w:type="dxa"/>
          </w:tcPr>
          <w:p w:rsidR="00E66710" w:rsidRPr="00614CC6" w:rsidRDefault="00E66710" w:rsidP="00E66710">
            <w:pPr>
              <w:spacing w:before="30" w:after="30"/>
              <w:jc w:val="left"/>
              <w:rPr>
                <w:sz w:val="20"/>
              </w:rPr>
            </w:pPr>
            <w:r w:rsidRPr="00614CC6">
              <w:rPr>
                <w:sz w:val="20"/>
              </w:rPr>
              <w:t>Emissions de fréquences étalon et de signaux horaires</w:t>
            </w:r>
          </w:p>
        </w:tc>
      </w:tr>
      <w:tr w:rsidR="00E66710" w:rsidRPr="00036EE3">
        <w:tc>
          <w:tcPr>
            <w:tcW w:w="1140" w:type="dxa"/>
          </w:tcPr>
          <w:p w:rsidR="00E66710" w:rsidRPr="00614CC6" w:rsidRDefault="00E66710" w:rsidP="00E66710">
            <w:pPr>
              <w:spacing w:before="30" w:after="30"/>
              <w:ind w:left="57"/>
              <w:jc w:val="left"/>
              <w:rPr>
                <w:b/>
                <w:bCs/>
                <w:sz w:val="20"/>
                <w:lang w:val="en-US"/>
              </w:rPr>
            </w:pPr>
            <w:r w:rsidRPr="00614CC6">
              <w:rPr>
                <w:b/>
                <w:bCs/>
                <w:sz w:val="20"/>
                <w:lang w:val="en-US"/>
              </w:rPr>
              <w:t>V</w:t>
            </w:r>
          </w:p>
        </w:tc>
        <w:tc>
          <w:tcPr>
            <w:tcW w:w="8220" w:type="dxa"/>
          </w:tcPr>
          <w:p w:rsidR="00E66710" w:rsidRPr="00614CC6" w:rsidRDefault="00E66710" w:rsidP="00E66710">
            <w:pPr>
              <w:spacing w:before="30" w:after="140"/>
              <w:jc w:val="left"/>
              <w:rPr>
                <w:sz w:val="20"/>
                <w:lang w:val="en-US"/>
              </w:rPr>
            </w:pPr>
            <w:r w:rsidRPr="00614CC6">
              <w:rPr>
                <w:sz w:val="20"/>
              </w:rPr>
              <w:t>Vocabulaire et sujets associés</w:t>
            </w:r>
          </w:p>
        </w:tc>
      </w:tr>
    </w:tbl>
    <w:p w:rsidR="00E66710" w:rsidRPr="00036EE3" w:rsidRDefault="00E66710" w:rsidP="00E66710">
      <w:pPr>
        <w:spacing w:before="0"/>
        <w:jc w:val="center"/>
        <w:rPr>
          <w:sz w:val="20"/>
          <w:lang w:val="en-US"/>
        </w:rPr>
      </w:pPr>
    </w:p>
    <w:p w:rsidR="00E66710" w:rsidRPr="00036EE3" w:rsidRDefault="00E66710" w:rsidP="00E6671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E66710" w:rsidRPr="00756B4D">
        <w:tc>
          <w:tcPr>
            <w:tcW w:w="9360" w:type="dxa"/>
          </w:tcPr>
          <w:p w:rsidR="00E66710" w:rsidRPr="00756B4D" w:rsidRDefault="00E66710" w:rsidP="00E66710">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66710" w:rsidRPr="00756B4D" w:rsidRDefault="00E66710" w:rsidP="00E66710">
      <w:pPr>
        <w:spacing w:before="0"/>
        <w:jc w:val="center"/>
        <w:rPr>
          <w:sz w:val="22"/>
        </w:rPr>
      </w:pPr>
    </w:p>
    <w:p w:rsidR="00E66710" w:rsidRPr="00614CC6" w:rsidRDefault="00E66710" w:rsidP="00E66710">
      <w:pPr>
        <w:spacing w:before="100"/>
        <w:jc w:val="right"/>
        <w:rPr>
          <w:i/>
          <w:iCs/>
          <w:sz w:val="20"/>
        </w:rPr>
      </w:pPr>
      <w:r w:rsidRPr="00614CC6">
        <w:rPr>
          <w:i/>
          <w:iCs/>
          <w:sz w:val="20"/>
        </w:rPr>
        <w:t>Publication électronique</w:t>
      </w:r>
    </w:p>
    <w:p w:rsidR="00E66710" w:rsidRPr="00614CC6" w:rsidRDefault="00E66710" w:rsidP="00ED0236">
      <w:pPr>
        <w:spacing w:before="0"/>
        <w:jc w:val="right"/>
        <w:rPr>
          <w:sz w:val="20"/>
        </w:rPr>
      </w:pPr>
      <w:r w:rsidRPr="00614CC6">
        <w:rPr>
          <w:sz w:val="20"/>
        </w:rPr>
        <w:t>Genève, 20</w:t>
      </w:r>
      <w:r w:rsidR="00ED0236">
        <w:rPr>
          <w:sz w:val="20"/>
        </w:rPr>
        <w:t>10</w:t>
      </w:r>
    </w:p>
    <w:p w:rsidR="00E66710" w:rsidRPr="00614CC6" w:rsidRDefault="00E66710" w:rsidP="00ED0236">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sidR="00ED0236">
        <w:rPr>
          <w:sz w:val="20"/>
        </w:rPr>
        <w:t>10</w:t>
      </w:r>
    </w:p>
    <w:p w:rsidR="00E66710" w:rsidRPr="00614CC6" w:rsidRDefault="00E66710" w:rsidP="00E6671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66710" w:rsidRPr="00614CC6" w:rsidRDefault="00E66710" w:rsidP="00E66710">
      <w:pPr>
        <w:spacing w:before="160"/>
        <w:rPr>
          <w:i/>
          <w:sz w:val="20"/>
          <w:highlight w:val="yellow"/>
        </w:rPr>
        <w:sectPr w:rsidR="00E66710" w:rsidRPr="00614CC6" w:rsidSect="00E66710">
          <w:headerReference w:type="even" r:id="rId12"/>
          <w:headerReference w:type="default" r:id="rId13"/>
          <w:pgSz w:w="11907" w:h="16834" w:code="9"/>
          <w:pgMar w:top="1418" w:right="1134" w:bottom="1134" w:left="1134" w:header="720" w:footer="482" w:gutter="0"/>
          <w:pgNumType w:fmt="lowerRoman" w:start="2"/>
          <w:cols w:space="720"/>
        </w:sectPr>
      </w:pPr>
    </w:p>
    <w:p w:rsidR="00E66710" w:rsidRPr="00756B4D" w:rsidRDefault="00E66710" w:rsidP="00E44850">
      <w:pPr>
        <w:pStyle w:val="RecNo"/>
        <w:spacing w:before="0"/>
      </w:pPr>
      <w:r w:rsidRPr="00756B4D">
        <w:lastRenderedPageBreak/>
        <w:t>RECOMMANDATION</w:t>
      </w:r>
      <w:r w:rsidRPr="001802FC">
        <w:rPr>
          <w:rStyle w:val="href"/>
        </w:rPr>
        <w:t xml:space="preserve">  UIT-R  F.</w:t>
      </w:r>
      <w:r w:rsidR="00E44850" w:rsidRPr="001802FC">
        <w:rPr>
          <w:rStyle w:val="href"/>
        </w:rPr>
        <w:t>1605</w:t>
      </w:r>
      <w:r w:rsidR="00E44850">
        <w:rPr>
          <w:rStyle w:val="FootnoteReference"/>
        </w:rPr>
        <w:footnoteReference w:customMarkFollows="1" w:id="1"/>
        <w:t>*</w:t>
      </w:r>
    </w:p>
    <w:p w:rsidR="00E66710" w:rsidRDefault="00E66710" w:rsidP="00E31771">
      <w:pPr>
        <w:pStyle w:val="Rectitle"/>
      </w:pPr>
      <w:bookmarkStart w:id="2" w:name="irecnoe"/>
      <w:bookmarkEnd w:id="2"/>
      <w:r>
        <w:t>Evaluation des caractéristiques d'erreur et de la disponibilité des systèmes hertziens fixes de Terre en hiérarchie numérique synchrone</w:t>
      </w:r>
    </w:p>
    <w:p w:rsidR="00E66710" w:rsidRPr="00DE7F68" w:rsidRDefault="00E66710" w:rsidP="00E66710">
      <w:pPr>
        <w:pStyle w:val="Recref"/>
      </w:pPr>
    </w:p>
    <w:p w:rsidR="00E66710" w:rsidRDefault="00E66710" w:rsidP="00E66710">
      <w:pPr>
        <w:pStyle w:val="Recdate"/>
      </w:pPr>
      <w:r>
        <w:t>(2003)</w:t>
      </w:r>
    </w:p>
    <w:p w:rsidR="00FD4BA7" w:rsidRDefault="00FD4BA7" w:rsidP="00C13ABD"/>
    <w:p w:rsidR="00E66710" w:rsidRPr="00071616" w:rsidRDefault="00E66710" w:rsidP="001154C6">
      <w:pPr>
        <w:pStyle w:val="HeadingSum"/>
        <w:rPr>
          <w:lang w:val="fr-FR"/>
        </w:rPr>
      </w:pPr>
      <w:r w:rsidRPr="00071616">
        <w:rPr>
          <w:lang w:val="fr-FR"/>
        </w:rPr>
        <w:t xml:space="preserve">Domaine </w:t>
      </w:r>
      <w:r>
        <w:rPr>
          <w:lang w:val="fr-FR"/>
        </w:rPr>
        <w:t>d'application</w:t>
      </w:r>
    </w:p>
    <w:p w:rsidR="00E66710" w:rsidRPr="00071616" w:rsidRDefault="00E66710" w:rsidP="00442D2A">
      <w:pPr>
        <w:pStyle w:val="Summary"/>
        <w:rPr>
          <w:lang w:val="fr-FR"/>
        </w:rPr>
      </w:pPr>
      <w:r w:rsidRPr="00071616">
        <w:rPr>
          <w:lang w:val="fr-FR"/>
        </w:rPr>
        <w:t xml:space="preserve">La présente Recommandation </w:t>
      </w:r>
      <w:r>
        <w:rPr>
          <w:lang w:val="fr-FR"/>
        </w:rPr>
        <w:t xml:space="preserve">contient les </w:t>
      </w:r>
      <w:r w:rsidRPr="00DE7F68">
        <w:rPr>
          <w:lang w:val="fr-FR"/>
        </w:rPr>
        <w:t xml:space="preserve">méthodes de prévision des caractéristiques d'erreur applicables aux liaisons hertziennes (trajets et sections) en hiérarchie numérique synchrone (SDH, </w:t>
      </w:r>
      <w:r w:rsidRPr="00DE7F68">
        <w:rPr>
          <w:i/>
          <w:iCs/>
          <w:lang w:val="fr-FR"/>
        </w:rPr>
        <w:t>synchronous digital hierarchy</w:t>
      </w:r>
      <w:r w:rsidRPr="00DE7F68">
        <w:rPr>
          <w:lang w:val="fr-FR"/>
        </w:rPr>
        <w:t xml:space="preserve">) avec un débit en mode de transfert synchrone (STM, </w:t>
      </w:r>
      <w:r w:rsidRPr="00DE7F68">
        <w:rPr>
          <w:i/>
          <w:iCs/>
          <w:lang w:val="fr-FR"/>
        </w:rPr>
        <w:t>synchronous transfer mode</w:t>
      </w:r>
      <w:r w:rsidRPr="00DE7F68">
        <w:rPr>
          <w:lang w:val="fr-FR"/>
        </w:rPr>
        <w:t>) allant de</w:t>
      </w:r>
      <w:r w:rsidR="00442D2A">
        <w:rPr>
          <w:lang w:val="fr-FR"/>
        </w:rPr>
        <w:t> </w:t>
      </w:r>
      <w:r w:rsidRPr="00DE7F68">
        <w:rPr>
          <w:lang w:val="fr-FR"/>
        </w:rPr>
        <w:t>51 Mbit/s (STM-0) à 622 Mbit/s (STM-4)</w:t>
      </w:r>
      <w:r w:rsidRPr="00071616">
        <w:rPr>
          <w:lang w:val="fr-FR"/>
        </w:rPr>
        <w:t xml:space="preserve">. </w:t>
      </w:r>
      <w:r w:rsidRPr="00DE7F68">
        <w:rPr>
          <w:lang w:val="fr-FR"/>
        </w:rPr>
        <w:t xml:space="preserve">Les méthodes de prévision sont fondées sur une relation théorique entre le taux de bits erronés (BER, </w:t>
      </w:r>
      <w:r w:rsidRPr="00DE7F68">
        <w:rPr>
          <w:i/>
          <w:iCs/>
          <w:lang w:val="fr-FR"/>
        </w:rPr>
        <w:t>bit error ratio</w:t>
      </w:r>
      <w:r w:rsidRPr="00DE7F68">
        <w:rPr>
          <w:lang w:val="fr-FR"/>
        </w:rPr>
        <w:t>) et les paramètres SDH fondés sur les blocs erronés. Elles tiennent compte des caractéristiques des systèmes, telles que les rafales d'erreurs, et des paramètres nécessaires pour prévoir le temps d'interruption en fonction du taux BER.</w:t>
      </w:r>
    </w:p>
    <w:p w:rsidR="00E66710" w:rsidRDefault="00E66710" w:rsidP="00E66710">
      <w:pPr>
        <w:pStyle w:val="Normalaftertitle"/>
      </w:pPr>
      <w:r>
        <w:t>L'Assemblée des radiocommunications de l'UIT,</w:t>
      </w:r>
    </w:p>
    <w:p w:rsidR="00E66710" w:rsidRDefault="00E66710" w:rsidP="00E66710">
      <w:pPr>
        <w:pStyle w:val="Call"/>
        <w:rPr>
          <w:lang w:val="fr-CH"/>
        </w:rPr>
      </w:pPr>
      <w:r>
        <w:rPr>
          <w:lang w:val="fr-CH"/>
        </w:rPr>
        <w:t>considérant</w:t>
      </w:r>
    </w:p>
    <w:p w:rsidR="00E66710" w:rsidRDefault="00E66710" w:rsidP="00E66710">
      <w:r>
        <w:t>a)</w:t>
      </w:r>
      <w:r>
        <w:tab/>
        <w:t xml:space="preserve">que les systèmes en hiérarchie numérique synchrone (SDH, </w:t>
      </w:r>
      <w:r>
        <w:rPr>
          <w:i/>
          <w:iCs/>
        </w:rPr>
        <w:t>synchronous digital hierarchy</w:t>
      </w:r>
      <w:r>
        <w:t>) et les systèmes en hiérarchie numérique plésiochrone (PDH,</w:t>
      </w:r>
      <w:r>
        <w:rPr>
          <w:lang w:val="fr-CH"/>
        </w:rPr>
        <w:t xml:space="preserve"> </w:t>
      </w:r>
      <w:r>
        <w:rPr>
          <w:i/>
          <w:iCs/>
          <w:lang w:val="fr-CH"/>
        </w:rPr>
        <w:t>plesiochronous digital hierarchy</w:t>
      </w:r>
      <w:r>
        <w:t>) jouent un rôle important dans les systèmes hertziens fixes actuels;</w:t>
      </w:r>
    </w:p>
    <w:p w:rsidR="00E66710" w:rsidRDefault="00E66710" w:rsidP="00E66710">
      <w:r>
        <w:t>b)</w:t>
      </w:r>
      <w:r>
        <w:tab/>
        <w:t>que des méthodes appropriées de planification de trajets et de conception de systèmes sont nécessaires pour limiter la détérioration de la qualité de fonctionnement des systèmes hertziens fixes due aux effets de la propagation,</w:t>
      </w:r>
    </w:p>
    <w:p w:rsidR="00E66710" w:rsidRDefault="00E66710" w:rsidP="00E66710">
      <w:pPr>
        <w:pStyle w:val="Call"/>
        <w:rPr>
          <w:lang w:val="fr-CH"/>
        </w:rPr>
      </w:pPr>
      <w:r>
        <w:rPr>
          <w:lang w:val="fr-CH"/>
        </w:rPr>
        <w:t>reconnaissant</w:t>
      </w:r>
    </w:p>
    <w:p w:rsidR="00E66710" w:rsidRDefault="00E66710" w:rsidP="00E66710">
      <w:r>
        <w:t>a)</w:t>
      </w:r>
      <w:r>
        <w:tab/>
        <w:t>que la Recommandation UIT-R F.1668 a défini les objectifs relatifs aux caractéristiques d'erreur pour les liaisons réelles;</w:t>
      </w:r>
    </w:p>
    <w:p w:rsidR="00E66710" w:rsidRDefault="00E66710" w:rsidP="00E66710">
      <w:r>
        <w:t>b)</w:t>
      </w:r>
      <w:r>
        <w:tab/>
        <w:t>que la Recommandation UIT-R F.1703 a défini les objectifs relatifs à la disponibilité pour les liaisons réelles;</w:t>
      </w:r>
    </w:p>
    <w:p w:rsidR="00E66710" w:rsidRDefault="00E66710" w:rsidP="00E66710">
      <w:r>
        <w:t>c)</w:t>
      </w:r>
      <w:r>
        <w:tab/>
        <w:t>que la Recommandation UIT-R P.530 fournit des méthodes de prévision de paramètres de propagation influant sur la planification des systèmes hertziens de Terre en visibilité directe,</w:t>
      </w:r>
    </w:p>
    <w:p w:rsidR="00E66710" w:rsidRDefault="00E66710" w:rsidP="00E66710">
      <w:pPr>
        <w:pStyle w:val="Call"/>
      </w:pPr>
      <w:r>
        <w:t>recommande</w:t>
      </w:r>
    </w:p>
    <w:p w:rsidR="00E66710" w:rsidRDefault="00E66710" w:rsidP="00E66710">
      <w:r>
        <w:rPr>
          <w:b/>
        </w:rPr>
        <w:t>1</w:t>
      </w:r>
      <w:r>
        <w:tab/>
        <w:t>d'adopter, pour la planification des systèmes hertziens de Terre en visibilité directe, les méthodes de prévision des caractéristiques d'erreur applicables aux liaisons hertziennes SDH (trajets et sections), décrites dans l'Annexe 1 de la présente Recommandation, compte tenu des différents paramètres indiqués.</w:t>
      </w:r>
    </w:p>
    <w:p w:rsidR="00C02753" w:rsidRDefault="00C02753">
      <w:pPr>
        <w:tabs>
          <w:tab w:val="clear" w:pos="794"/>
          <w:tab w:val="clear" w:pos="1191"/>
          <w:tab w:val="clear" w:pos="1588"/>
          <w:tab w:val="clear" w:pos="1985"/>
        </w:tabs>
        <w:overflowPunct/>
        <w:autoSpaceDE/>
        <w:autoSpaceDN/>
        <w:adjustRightInd/>
        <w:spacing w:before="0"/>
        <w:jc w:val="left"/>
        <w:textAlignment w:val="auto"/>
      </w:pPr>
      <w:r>
        <w:br w:type="page"/>
      </w:r>
    </w:p>
    <w:p w:rsidR="00E66710" w:rsidRDefault="00E66710" w:rsidP="00E66710">
      <w:pPr>
        <w:pStyle w:val="AnnexNoTitle"/>
      </w:pPr>
      <w:r>
        <w:t>Annexe 1</w:t>
      </w:r>
      <w:r>
        <w:br/>
      </w:r>
      <w:r>
        <w:br/>
        <w:t>Prévision des caractéristiques d'erreur et de la disponibilité</w:t>
      </w:r>
      <w:r>
        <w:br/>
        <w:t>des liaisons hertziennes SDH en visibilité directe</w:t>
      </w:r>
    </w:p>
    <w:p w:rsidR="00E66710" w:rsidRDefault="00E66710" w:rsidP="00E66710">
      <w:pPr>
        <w:pStyle w:val="Heading1"/>
        <w:rPr>
          <w:lang w:val="fr-CH"/>
        </w:rPr>
      </w:pPr>
      <w:r>
        <w:rPr>
          <w:lang w:val="fr-CH"/>
        </w:rPr>
        <w:t>1</w:t>
      </w:r>
      <w:r>
        <w:rPr>
          <w:lang w:val="fr-CH"/>
        </w:rPr>
        <w:tab/>
        <w:t>Introduction</w:t>
      </w:r>
    </w:p>
    <w:p w:rsidR="00E66710" w:rsidRDefault="00E66710" w:rsidP="00E66710">
      <w:r>
        <w:t xml:space="preserve">Les réseaux en SDH ou les réseaux optiques synchrones (SONET, </w:t>
      </w:r>
      <w:r>
        <w:rPr>
          <w:i/>
          <w:iCs/>
        </w:rPr>
        <w:t>synchronous optical network</w:t>
      </w:r>
      <w:r>
        <w:t xml:space="preserve">) permettent actuellement d'établir des liaisons radioélectriques en mode de transfert synchrone (STM, </w:t>
      </w:r>
      <w:r>
        <w:rPr>
          <w:i/>
          <w:iCs/>
        </w:rPr>
        <w:t>synchronous transfer mode</w:t>
      </w:r>
      <w:r>
        <w:t>), à un débit de 51 Mbit/s (STM-0) à 622 Mbit/s (STM-4). Des recommandations et normes internationales définissent les objectifs relatifs aux caractéristiques d'erreur et à la disponibilité pour les réseaux SDH. Ces objectifs, indépendants des moyens technologiques utilisés, doivent être respectés lorsque le réseau comporte une composante radioélectrique.</w:t>
      </w:r>
    </w:p>
    <w:p w:rsidR="00E66710" w:rsidRDefault="00E66710" w:rsidP="00E66710">
      <w:r>
        <w:t xml:space="preserve">Les méthodes de prévision décrites dans la présente Annexe sont fondées sur une relation théorique entre le taux d'erreur binaire (BER, </w:t>
      </w:r>
      <w:r>
        <w:rPr>
          <w:i/>
          <w:iCs/>
        </w:rPr>
        <w:t xml:space="preserve">bit error ratio </w:t>
      </w:r>
      <w:r>
        <w:t>(TEB à l'UIT-R)) et les paramètres SDH fondés sur les blocs erronés. Elles tiennent compte des caractéristiques des systèmes, telles que les rafales d'erreurs, et des paramètres nécessaires pour prévoir le temps d'interruption en fonction du taux BER. Dans la présente Recommandation, le terme «interruption» désigne la probabilité de dépassement du taux BER par rapport à un seuil donné. Il convient de noter que la fréquence d'interruption, définie au § 2.1, est un paramètre distinct.</w:t>
      </w:r>
    </w:p>
    <w:p w:rsidR="00E66710" w:rsidRDefault="00E66710" w:rsidP="00E66710">
      <w:pPr>
        <w:pStyle w:val="Heading1"/>
      </w:pPr>
      <w:r>
        <w:t>2</w:t>
      </w:r>
      <w:r>
        <w:tab/>
        <w:t>Objectifs relatifs aux caractéristiques d'erreur et à la disponibilité</w:t>
      </w:r>
    </w:p>
    <w:p w:rsidR="00E66710" w:rsidRDefault="00E66710" w:rsidP="00E66710">
      <w:r>
        <w:t>Les Recommandations UIT-T G.826 et UIT-T G.827 énoncent respectivement les prescriptions relatives aux caractéristiques d'erreur et à la disponibilité. Etant donné qu'elles spécifient les objectifs à atteindre de bout en bout, d'autres recommandations sont nécessaires lorsqu'il s'agit des liaisons radioélectriques réelles. Pour répartir les tolérances entre les différents conduits en fonction de la longueur réelle des bonds, de la fréquence radioélectrique utilisée, etc., on se reportera à d'autres Recommandations traitant de la partie radioélectrique d'un réseau SDH.</w:t>
      </w:r>
    </w:p>
    <w:p w:rsidR="00E66710" w:rsidRDefault="00E66710" w:rsidP="00E66710">
      <w:pPr>
        <w:pStyle w:val="Heading2"/>
      </w:pPr>
      <w:r>
        <w:t>2.1</w:t>
      </w:r>
      <w:r>
        <w:tab/>
        <w:t>Paramètres relatifs aux caractéristiques d'erreur et à la disponibilité</w:t>
      </w:r>
    </w:p>
    <w:p w:rsidR="00E66710" w:rsidRDefault="00E66710" w:rsidP="00E66710">
      <w:pPr>
        <w:rPr>
          <w:lang w:val="fr-CH"/>
        </w:rPr>
      </w:pPr>
      <w:r>
        <w:t xml:space="preserve">Les Recommandations UIT-T G.826 et UIT-T G.828 définissent un ensemble d'événements liés aux caractéristiques d'erreur basées sur la notion de bloc ainsi que des paramètres destinés à la surveillance, dans des conditions normales de fonctionnement, des caractéristiques d'erreur d'un conduit SDH (voir la Note 1). Un bloc erroné est un bloc dans lequel un ou plusieurs bits sont erronés. Une seconde avec erreurs (ES, </w:t>
      </w:r>
      <w:r>
        <w:rPr>
          <w:i/>
          <w:iCs/>
        </w:rPr>
        <w:t>errored second</w:t>
      </w:r>
      <w:r>
        <w:t xml:space="preserve">) se produit lorsqu'un ou plusieurs blocs sont erronés ou lorsque au moins un défaut comme une perte de pointeur (LoP, </w:t>
      </w:r>
      <w:r>
        <w:rPr>
          <w:i/>
          <w:iCs/>
        </w:rPr>
        <w:t>loss of pointer</w:t>
      </w:r>
      <w:r>
        <w:t xml:space="preserve">) apparaît, dans un intervalle d'une seconde. Une seconde avec beaucoup d'erreurs (SES, </w:t>
      </w:r>
      <w:r>
        <w:rPr>
          <w:i/>
          <w:iCs/>
        </w:rPr>
        <w:t>severely errored second</w:t>
      </w:r>
      <w:r>
        <w:t xml:space="preserve">) survient lorsque au moins 30% des blocs sont erronés ou lorsqu'un défaut apparaît. Une seconde SES est un sous-ensemble de secondes ES. Un bloc erroné résiduel (BBE, </w:t>
      </w:r>
      <w:r>
        <w:rPr>
          <w:i/>
          <w:iCs/>
        </w:rPr>
        <w:t>background block error</w:t>
      </w:r>
      <w:r>
        <w:t xml:space="preserve">) est un bloc erroné survenant en dehors d'une seconde SES. Les paramètres relatifs aux caractéristiques d'erreur sont le taux de secondes avec beaucoup d'erreurs (SESR, </w:t>
      </w:r>
      <w:r>
        <w:rPr>
          <w:i/>
          <w:iCs/>
        </w:rPr>
        <w:t>severely errored second ratio</w:t>
      </w:r>
      <w:r>
        <w:t xml:space="preserve">), le taux de blocs erronés résiduels (BBER, </w:t>
      </w:r>
      <w:r>
        <w:rPr>
          <w:i/>
          <w:iCs/>
        </w:rPr>
        <w:t>background block error ratio</w:t>
      </w:r>
      <w:r>
        <w:t xml:space="preserve">) et le taux de secondes avec erreurs (ESR, </w:t>
      </w:r>
      <w:r>
        <w:rPr>
          <w:i/>
          <w:iCs/>
        </w:rPr>
        <w:t>errored second</w:t>
      </w:r>
      <w:r>
        <w:t xml:space="preserve"> </w:t>
      </w:r>
      <w:r>
        <w:rPr>
          <w:i/>
          <w:iCs/>
        </w:rPr>
        <w:t>ratio</w:t>
      </w:r>
      <w:r>
        <w:t>).</w:t>
      </w:r>
    </w:p>
    <w:p w:rsidR="00E66710" w:rsidRDefault="00E66710" w:rsidP="00E66710">
      <w:r>
        <w:t xml:space="preserve">Chaque sens d'un conduit peut se trouver dans l'un des deux états suivants: temps de disponibilité ou temps d'indisponibilité. Les critères permettant de déterminer la transition entre ces deux états sont les suivants: une période d'indisponibilité commence avec l'apparition de 10 événements consécutifs de secondes SES. On considère que ces 10 s font partie du temps d'indisponibilité. Une </w:t>
      </w:r>
      <w:r>
        <w:lastRenderedPageBreak/>
        <w:t>nouvelle période de disponibilité commence avec l'apparition de 10 s non SES consécutives. On considère que ces 10 s font partie du temps de disponibilité. Un conduit est disponible si, et seulement si, il est disponible dans les deux sens.</w:t>
      </w:r>
    </w:p>
    <w:p w:rsidR="00E66710" w:rsidRDefault="00E66710" w:rsidP="00E66710">
      <w:r>
        <w:t xml:space="preserve">Les paramètres de disponibilité définis sont le taux de disponibilité (AR, </w:t>
      </w:r>
      <w:r>
        <w:rPr>
          <w:i/>
          <w:iCs/>
        </w:rPr>
        <w:t>availability ratio</w:t>
      </w:r>
      <w:r>
        <w:t>) et la durée moyenne entre interruptions de conduit numérique (</w:t>
      </w:r>
      <w:r>
        <w:rPr>
          <w:iCs/>
        </w:rPr>
        <w:t>Mo)</w:t>
      </w:r>
      <w:r>
        <w:t xml:space="preserve">. Le complément à 1 du taux AR est le taux d'indisponibilité (UR, </w:t>
      </w:r>
      <w:r>
        <w:rPr>
          <w:i/>
          <w:iCs/>
        </w:rPr>
        <w:t>unavailability ratio</w:t>
      </w:r>
      <w:r>
        <w:t xml:space="preserve">). Ainsi, </w:t>
      </w:r>
      <w:r>
        <w:rPr>
          <w:i/>
        </w:rPr>
        <w:t>AR</w:t>
      </w:r>
      <w:r>
        <w:t> </w:t>
      </w:r>
      <w:r>
        <w:rPr>
          <w:rFonts w:ascii="Symbol" w:hAnsi="Symbol"/>
        </w:rPr>
        <w:t></w:t>
      </w:r>
      <w:r>
        <w:t> </w:t>
      </w:r>
      <w:r>
        <w:rPr>
          <w:i/>
        </w:rPr>
        <w:t>UR</w:t>
      </w:r>
      <w:r>
        <w:t> </w:t>
      </w:r>
      <w:r>
        <w:rPr>
          <w:rFonts w:ascii="Symbol" w:hAnsi="Symbol"/>
        </w:rPr>
        <w:t></w:t>
      </w:r>
      <w:r>
        <w:t xml:space="preserve"> 1. L'inverse de </w:t>
      </w:r>
      <w:r>
        <w:rPr>
          <w:iCs/>
        </w:rPr>
        <w:t>Mo</w:t>
      </w:r>
      <w:r>
        <w:t xml:space="preserve"> est défini comme étant la fréquence d'interruption (OI, </w:t>
      </w:r>
      <w:r>
        <w:rPr>
          <w:i/>
          <w:iCs/>
        </w:rPr>
        <w:t>outage intensity</w:t>
      </w:r>
      <w:r>
        <w:t xml:space="preserve">). Ainsi, </w:t>
      </w:r>
      <w:r>
        <w:rPr>
          <w:i/>
        </w:rPr>
        <w:t>OI </w:t>
      </w:r>
      <w:r>
        <w:rPr>
          <w:rFonts w:ascii="Symbol" w:hAnsi="Symbol"/>
        </w:rPr>
        <w:t></w:t>
      </w:r>
      <w:r>
        <w:rPr>
          <w:i/>
        </w:rPr>
        <w:t> </w:t>
      </w:r>
      <w:r>
        <w:t>1/</w:t>
      </w:r>
      <w:r>
        <w:rPr>
          <w:i/>
        </w:rPr>
        <w:t>Mo</w:t>
      </w:r>
      <w:r>
        <w:rPr>
          <w:iCs/>
        </w:rPr>
        <w:t xml:space="preserve">. </w:t>
      </w:r>
      <w:r>
        <w:rPr>
          <w:i/>
        </w:rPr>
        <w:t xml:space="preserve">OI </w:t>
      </w:r>
      <w:r>
        <w:rPr>
          <w:iCs/>
        </w:rPr>
        <w:t>représente le nombre de périodes d'indisponibilité par an</w:t>
      </w:r>
      <w:r>
        <w:t>.</w:t>
      </w:r>
    </w:p>
    <w:p w:rsidR="00E66710" w:rsidRDefault="00E66710" w:rsidP="00E66710">
      <w:pPr>
        <w:pStyle w:val="Note"/>
      </w:pPr>
      <w:r>
        <w:t>NOTE 1 – Un conduit SDH achemine une capacité utile SDH et un préfixe associé à travers le réseau de transport à couches entre les équipements terminaux. Un conduit numérique peut être bidirectionnel ou unidirectionnel et peut comprendre à la fois des portions appartenant au client et des portions appartenant à l'opérateur de réseau (pour de plus amples renseignements, se reporter aux Recommandations UIT-T G.803, UIT-T G.805 et UIT-T G.828).</w:t>
      </w:r>
    </w:p>
    <w:p w:rsidR="00E66710" w:rsidRDefault="00E66710" w:rsidP="00E66710">
      <w:r>
        <w:t xml:space="preserve">La définition de la taille de bloc et des événements liés aux caractéristiques d'erreur pour la section multiplex (MS, </w:t>
      </w:r>
      <w:r>
        <w:rPr>
          <w:i/>
          <w:iCs/>
        </w:rPr>
        <w:t>multiplex section</w:t>
      </w:r>
      <w:r>
        <w:t xml:space="preserve">) en mode SDH et la section de régénération (RS, </w:t>
      </w:r>
      <w:r>
        <w:rPr>
          <w:i/>
          <w:iCs/>
        </w:rPr>
        <w:t>regenerator section</w:t>
      </w:r>
      <w:r>
        <w:t>) figurent dans la Recommandation UIT-T G.829, tandis que les paramètres et objectifs relatifs aux caractéristiques d'erreur pour les sections MS et RS en mode SDH sur des liaisons hertziennes fixes numériques distinctes sont présentés dans les Recommandations UIT-R de la série F.</w:t>
      </w:r>
    </w:p>
    <w:p w:rsidR="00E66710" w:rsidRDefault="00E66710" w:rsidP="00E66710">
      <w:pPr>
        <w:pStyle w:val="Note"/>
      </w:pPr>
      <w:r>
        <w:t>NOTE 2 – Le seuil de 30% de blocs erronés est défini pour le conduit SDH dans les Recommandations UIT</w:t>
      </w:r>
      <w:r>
        <w:noBreakHyphen/>
        <w:t>T G.826 et UIT-T G.828, tandis que la valeur de seuil des sections MS et RS en mode SDH est spécifiée dans la Recommandation UIT-T G.829.</w:t>
      </w:r>
    </w:p>
    <w:p w:rsidR="00E66710" w:rsidRDefault="00E66710" w:rsidP="00E66710">
      <w:pPr>
        <w:pStyle w:val="Heading2"/>
      </w:pPr>
      <w:r>
        <w:t>2.2</w:t>
      </w:r>
      <w:r>
        <w:tab/>
        <w:t>Objectifs relatifs aux faisceaux hertziens numériques fixes</w:t>
      </w:r>
    </w:p>
    <w:p w:rsidR="00E66710" w:rsidRDefault="00E66710" w:rsidP="00E66710">
      <w:r>
        <w:t>Les objectifs relatifs aux caractéristiques d'erreur, indiqués pour les conduits numériques à débit égal ou supérieur au débit primaire (2,048 ou 1,544 Mbit/s), sont différents pour les portions nationales et pour les portions internationales. Les objectifs énoncés doivent être atteints quel que soit le mois. L'UIT-R a adopté des objectifs tant pour les conduits nationaux que pour les conduits internationaux. La portion nationale se subdivise en trois sections: grande distance, courte distance et réseau d'accès. L'allocation des objectifs relatifs aux caractéristiques d'erreur pour les sections courte distance et réseau d'accès doit tenir compte d'une allocation fixe de l'ordre de 7,5% à 8,5% des objectifs de bout en bout. L'allocation des objectifs pour la section longue distance doit prendre en compte une allocation dépendant de la distance (par tranche de 100 km) et une allocation fixe de l'ordre de 1% à 2% des objectifs de bout en bout. Pour définir ces objectifs en fonction de liaisons hertziennes fixes numériques réelles composées d'un ou de plusieurs bonds, il convient de se reporter à la Recommandation UIT-R F.1668 pour les parties nationale et internationale.</w:t>
      </w:r>
    </w:p>
    <w:p w:rsidR="00E66710" w:rsidRDefault="00E66710" w:rsidP="00E66710">
      <w:r>
        <w:t>Les objectifs de disponibilité sont définis dans la Recommandation UIT-T G.827. Pour les liaisons hertziennes numériques fixes réelles composées d'un ou de plusieurs bonds, les objectifs de disponibilité pour une liaison qui fait partie d'un conduit SDH à débit égal ou supérieur au débit primaire sont définis dans la Recommandation UIT-R F.1703 pour les parties nationale et internationale.</w:t>
      </w:r>
    </w:p>
    <w:p w:rsidR="00E66710" w:rsidRDefault="00E66710" w:rsidP="00E66710">
      <w:pPr>
        <w:pStyle w:val="Heading1"/>
      </w:pPr>
      <w:r>
        <w:t>3</w:t>
      </w:r>
      <w:r>
        <w:tab/>
        <w:t>Prévision des caractéristiques d'erreur et de la disponibilité</w:t>
      </w:r>
    </w:p>
    <w:p w:rsidR="00E66710" w:rsidRDefault="00E66710" w:rsidP="009465D0">
      <w:r>
        <w:t xml:space="preserve">On évalue la relation entre les paramètres relatifs aux caractéristiques d'erreur et le BER au moyen de la distribution aléatoire (Poisson) et de la distribution des rafales d'erreurs (Neyman-A). Les systèmes de radiotransmission modernes, qui mettent en </w:t>
      </w:r>
      <w:r w:rsidR="009465D0">
        <w:t>œuvre</w:t>
      </w:r>
      <w:r>
        <w:t xml:space="preserve"> des systèmes de modulation complexes, des codes de correction d'erreur, des égaliseurs, etc., produisent généralement des </w:t>
      </w:r>
      <w:r>
        <w:lastRenderedPageBreak/>
        <w:t>groupes ou des rafales d'erreurs (voir la Note 1). Pour la modulation de haut niveau (par exemple la modulation à codage en treillis MCT-128), les valeurs types sont de 10 à 20 erreurs par rafale.</w:t>
      </w:r>
    </w:p>
    <w:p w:rsidR="00E66710" w:rsidRDefault="00E66710" w:rsidP="00E66710">
      <w:pPr>
        <w:pStyle w:val="Note"/>
      </w:pPr>
      <w:r>
        <w:t>NOTE 1 – Une rafale d'erreurs se définit comme étant une suite d'erreurs qui commence et se termine par un bit erroné, le laps de temps entre deux erreurs étant inférieur à la mémoire du système (par exemple, la longueur de contrainte du code convolutif, la taille du code de bloc, etc.).</w:t>
      </w:r>
    </w:p>
    <w:p w:rsidR="00E66710" w:rsidRDefault="00E66710" w:rsidP="00E66710">
      <w:r>
        <w:t>Les méthodes de prévision SDH sont fondées sur des hypothèses théoriques relatives au taux BER, qui est le paramètre fondamental utilisé dans les méthodes de prévision existantes, et aux événements de caractéristiques d'erreur ES</w:t>
      </w:r>
      <w:r>
        <w:rPr>
          <w:i/>
        </w:rPr>
        <w:t>,</w:t>
      </w:r>
      <w:r>
        <w:t xml:space="preserve"> SES et BBE. Etant donné qu'elles sont fondées sur le BER, ces méthodes visent automatiquement la propagation par trajets multiples et l'affaiblissement dû à la pluie. On trouvera dans les paragraphes suivants des informations de base ainsi que des procédures de calcul décrites étape par étape.</w:t>
      </w:r>
    </w:p>
    <w:p w:rsidR="00E66710" w:rsidRDefault="00E66710" w:rsidP="00E66710">
      <w:r>
        <w:t>Les méthodes de prévision SDH peuvent également être utilisées pour la PDH avec les choix suivants:</w:t>
      </w:r>
    </w:p>
    <w:p w:rsidR="00E66710" w:rsidRDefault="00E66710" w:rsidP="00E66710">
      <w:pPr>
        <w:pStyle w:val="enumlev1"/>
      </w:pPr>
      <w:r>
        <w:t>–</w:t>
      </w:r>
      <w:r>
        <w:tab/>
        <w:t xml:space="preserve">utiliser la valeur de </w:t>
      </w:r>
      <w:r>
        <w:rPr>
          <w:i/>
          <w:iCs/>
        </w:rPr>
        <w:t>BER</w:t>
      </w:r>
      <w:r>
        <w:rPr>
          <w:i/>
          <w:iCs/>
          <w:vertAlign w:val="subscript"/>
        </w:rPr>
        <w:t>SES</w:t>
      </w:r>
      <w:r>
        <w:t xml:space="preserve"> la plus proche du débit de transmission (Mbit/s), par exemple VC-12 pour un signal radioélectrique PDH de 2 Mbit/s;</w:t>
      </w:r>
    </w:p>
    <w:p w:rsidR="00E66710" w:rsidRDefault="00E66710" w:rsidP="00E66710">
      <w:pPr>
        <w:pStyle w:val="enumlev1"/>
      </w:pPr>
      <w:r>
        <w:t>–</w:t>
      </w:r>
      <w:r>
        <w:tab/>
        <w:t xml:space="preserve">utiliser la valeur de </w:t>
      </w:r>
      <w:r>
        <w:rPr>
          <w:i/>
          <w:iCs/>
        </w:rPr>
        <w:t>BER</w:t>
      </w:r>
      <w:r>
        <w:rPr>
          <w:i/>
          <w:iCs/>
          <w:vertAlign w:val="subscript"/>
        </w:rPr>
        <w:t>SES</w:t>
      </w:r>
      <w:r>
        <w:t xml:space="preserve"> figurant dans le Tableau 1 (le </w:t>
      </w:r>
      <w:r>
        <w:rPr>
          <w:i/>
          <w:iCs/>
        </w:rPr>
        <w:t>BER</w:t>
      </w:r>
      <w:r>
        <w:rPr>
          <w:i/>
          <w:iCs/>
          <w:vertAlign w:val="subscript"/>
        </w:rPr>
        <w:t>SES</w:t>
      </w:r>
      <w:r>
        <w:t xml:space="preserve"> est en cours d'étude pour la hiérarchie PDH, mais seules des différences mineures sont prévues).</w:t>
      </w:r>
    </w:p>
    <w:p w:rsidR="00E66710" w:rsidRDefault="00E66710" w:rsidP="00E66710">
      <w:pPr>
        <w:pStyle w:val="TableNo"/>
      </w:pPr>
      <w:r>
        <w:t>TABLEAU  1</w:t>
      </w:r>
    </w:p>
    <w:p w:rsidR="00E66710" w:rsidRDefault="00E66710" w:rsidP="00E66710">
      <w:pPr>
        <w:pStyle w:val="Tabletitle"/>
      </w:pPr>
      <w:r>
        <w:t xml:space="preserve">Valeurs de </w:t>
      </w:r>
      <w:r>
        <w:rPr>
          <w:i/>
        </w:rPr>
        <w:t>BER</w:t>
      </w:r>
      <w:r>
        <w:rPr>
          <w:i/>
          <w:iCs/>
          <w:vertAlign w:val="subscript"/>
        </w:rPr>
        <w:t>SES</w:t>
      </w:r>
      <w:r>
        <w:rPr>
          <w:i/>
        </w:rPr>
        <w:t xml:space="preserve"> </w:t>
      </w:r>
      <w:r>
        <w:t>pour plusieurs conduits SDH et sections 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8"/>
        <w:gridCol w:w="1960"/>
        <w:gridCol w:w="2798"/>
        <w:gridCol w:w="1666"/>
        <w:gridCol w:w="1947"/>
      </w:tblGrid>
      <w:tr w:rsidR="00E66710" w:rsidTr="001B3666">
        <w:trPr>
          <w:jc w:val="center"/>
        </w:trPr>
        <w:tc>
          <w:tcPr>
            <w:tcW w:w="1268" w:type="dxa"/>
            <w:vAlign w:val="center"/>
          </w:tcPr>
          <w:p w:rsidR="00E66710" w:rsidRDefault="00E66710" w:rsidP="001B3666">
            <w:pPr>
              <w:pStyle w:val="Tablehead"/>
            </w:pPr>
            <w:r>
              <w:br w:type="page"/>
              <w:t>Type de conduit</w:t>
            </w:r>
          </w:p>
        </w:tc>
        <w:tc>
          <w:tcPr>
            <w:tcW w:w="1960" w:type="dxa"/>
            <w:vAlign w:val="center"/>
          </w:tcPr>
          <w:p w:rsidR="00E66710" w:rsidRDefault="00E66710" w:rsidP="001B3666">
            <w:pPr>
              <w:pStyle w:val="Tablehead"/>
            </w:pPr>
            <w:r>
              <w:t>Débit binaire accepté</w:t>
            </w:r>
            <w:r>
              <w:br/>
              <w:t>(Mbit/s)</w:t>
            </w:r>
          </w:p>
        </w:tc>
        <w:tc>
          <w:tcPr>
            <w:tcW w:w="2798" w:type="dxa"/>
            <w:vAlign w:val="center"/>
          </w:tcPr>
          <w:p w:rsidR="00E66710" w:rsidRDefault="00E66710" w:rsidP="001B3666">
            <w:pPr>
              <w:pStyle w:val="Tablehead"/>
            </w:pPr>
            <w:r>
              <w:t>BER</w:t>
            </w:r>
            <w:r>
              <w:rPr>
                <w:rFonts w:ascii="Times New Roman Bold" w:hAnsi="Times New Roman Bold"/>
                <w:vertAlign w:val="subscript"/>
              </w:rPr>
              <w:t>SES</w:t>
            </w:r>
            <w:r>
              <w:rPr>
                <w:rFonts w:ascii="Times New Roman Bold" w:hAnsi="Times New Roman Bold"/>
                <w:vertAlign w:val="superscript"/>
              </w:rPr>
              <w:t>(1),</w:t>
            </w:r>
            <w:r>
              <w:t xml:space="preserve"> </w:t>
            </w:r>
            <w:r>
              <w:rPr>
                <w:rFonts w:ascii="Times New Roman Bold" w:hAnsi="Times New Roman Bold"/>
                <w:vertAlign w:val="superscript"/>
              </w:rPr>
              <w:t>(2)</w:t>
            </w:r>
          </w:p>
        </w:tc>
        <w:tc>
          <w:tcPr>
            <w:tcW w:w="1666" w:type="dxa"/>
            <w:vAlign w:val="center"/>
          </w:tcPr>
          <w:p w:rsidR="00E66710" w:rsidRDefault="00E66710" w:rsidP="001B3666">
            <w:pPr>
              <w:pStyle w:val="Tablehead"/>
            </w:pPr>
            <w:r>
              <w:t xml:space="preserve">Nombre de blocs/s, </w:t>
            </w:r>
            <w:r>
              <w:rPr>
                <w:i/>
                <w:iCs/>
              </w:rPr>
              <w:t>n</w:t>
            </w:r>
            <w:r>
              <w:rPr>
                <w:rFonts w:ascii="Times New Roman Bold" w:hAnsi="Times New Roman Bold"/>
                <w:vertAlign w:val="superscript"/>
              </w:rPr>
              <w:t>(2)</w:t>
            </w:r>
          </w:p>
        </w:tc>
        <w:tc>
          <w:tcPr>
            <w:tcW w:w="1947" w:type="dxa"/>
            <w:vAlign w:val="center"/>
          </w:tcPr>
          <w:p w:rsidR="00E66710" w:rsidRDefault="00E66710" w:rsidP="001B3666">
            <w:pPr>
              <w:pStyle w:val="Tablehead"/>
            </w:pPr>
            <w:r>
              <w:t>Nombre de</w:t>
            </w:r>
            <w:r>
              <w:br/>
              <w:t>bits/bloc, N</w:t>
            </w:r>
            <w:r>
              <w:rPr>
                <w:rFonts w:ascii="Times New Roman Bold" w:hAnsi="Times New Roman Bold"/>
                <w:vertAlign w:val="subscript"/>
              </w:rPr>
              <w:t>B</w:t>
            </w:r>
            <w:r>
              <w:rPr>
                <w:rFonts w:ascii="Times New Roman Bold" w:hAnsi="Times New Roman Bold"/>
                <w:vertAlign w:val="superscript"/>
              </w:rPr>
              <w:t>(2)</w:t>
            </w:r>
          </w:p>
        </w:tc>
      </w:tr>
      <w:tr w:rsidR="00E66710" w:rsidTr="00E66710">
        <w:trPr>
          <w:jc w:val="center"/>
        </w:trPr>
        <w:tc>
          <w:tcPr>
            <w:tcW w:w="1268" w:type="dxa"/>
          </w:tcPr>
          <w:p w:rsidR="00E66710" w:rsidRDefault="00E66710" w:rsidP="00EE0C8A">
            <w:pPr>
              <w:pStyle w:val="Tabletext"/>
              <w:jc w:val="center"/>
            </w:pPr>
            <w:r>
              <w:t>VC-11</w:t>
            </w:r>
          </w:p>
        </w:tc>
        <w:tc>
          <w:tcPr>
            <w:tcW w:w="1960" w:type="dxa"/>
          </w:tcPr>
          <w:p w:rsidR="00E66710" w:rsidRDefault="00E66710" w:rsidP="00EE0C8A">
            <w:pPr>
              <w:pStyle w:val="Tabletext"/>
              <w:jc w:val="center"/>
            </w:pPr>
            <w:r>
              <w:t>1,5</w:t>
            </w:r>
          </w:p>
        </w:tc>
        <w:tc>
          <w:tcPr>
            <w:tcW w:w="2798" w:type="dxa"/>
          </w:tcPr>
          <w:p w:rsidR="00E66710" w:rsidRDefault="00E66710" w:rsidP="00EE0C8A">
            <w:pPr>
              <w:pStyle w:val="Tabletext"/>
              <w:jc w:val="center"/>
            </w:pPr>
            <w:r>
              <w:t>5,4 </w:t>
            </w:r>
            <w:r w:rsidR="00480130">
              <w:sym w:font="Symbol" w:char="F0B4"/>
            </w:r>
            <w:r>
              <w:t> 10</w:t>
            </w:r>
            <w:r>
              <w:rPr>
                <w:vertAlign w:val="superscript"/>
              </w:rPr>
              <w:t>–</w:t>
            </w:r>
            <w:r>
              <w:rPr>
                <w:sz w:val="2"/>
                <w:vertAlign w:val="superscript"/>
              </w:rPr>
              <w:t> </w:t>
            </w:r>
            <w:r>
              <w:rPr>
                <w:vertAlign w:val="superscript"/>
              </w:rPr>
              <w:t>4</w:t>
            </w:r>
            <w:r>
              <w:t xml:space="preserve"> </w:t>
            </w:r>
            <w:r w:rsidR="00480130">
              <w:sym w:font="Symbol" w:char="F061"/>
            </w:r>
          </w:p>
        </w:tc>
        <w:tc>
          <w:tcPr>
            <w:tcW w:w="1666" w:type="dxa"/>
          </w:tcPr>
          <w:p w:rsidR="00E66710" w:rsidRDefault="00E66710" w:rsidP="00EE0C8A">
            <w:pPr>
              <w:pStyle w:val="Tabletext"/>
              <w:jc w:val="center"/>
            </w:pPr>
            <w:r>
              <w:t>2</w:t>
            </w:r>
            <w:r>
              <w:rPr>
                <w:rFonts w:ascii="Tms Rmn" w:hAnsi="Tms Rmn"/>
                <w:sz w:val="12"/>
              </w:rPr>
              <w:t> </w:t>
            </w:r>
            <w:r>
              <w:t>000</w:t>
            </w:r>
          </w:p>
        </w:tc>
        <w:tc>
          <w:tcPr>
            <w:tcW w:w="1947" w:type="dxa"/>
          </w:tcPr>
          <w:p w:rsidR="00E66710" w:rsidRDefault="00E66710" w:rsidP="00EE0C8A">
            <w:pPr>
              <w:pStyle w:val="Tabletext"/>
              <w:jc w:val="center"/>
            </w:pPr>
            <w:r>
              <w:t>832</w:t>
            </w:r>
          </w:p>
        </w:tc>
      </w:tr>
      <w:tr w:rsidR="00E66710" w:rsidTr="001B3666">
        <w:trPr>
          <w:jc w:val="center"/>
        </w:trPr>
        <w:tc>
          <w:tcPr>
            <w:tcW w:w="1268" w:type="dxa"/>
          </w:tcPr>
          <w:p w:rsidR="00E66710" w:rsidRDefault="00E66710" w:rsidP="00EE0C8A">
            <w:pPr>
              <w:pStyle w:val="Tabletext"/>
              <w:jc w:val="center"/>
            </w:pPr>
            <w:r>
              <w:t>VC-12</w:t>
            </w:r>
          </w:p>
        </w:tc>
        <w:tc>
          <w:tcPr>
            <w:tcW w:w="1960" w:type="dxa"/>
          </w:tcPr>
          <w:p w:rsidR="00E66710" w:rsidRDefault="00E66710" w:rsidP="00EE0C8A">
            <w:pPr>
              <w:pStyle w:val="Tabletext"/>
              <w:jc w:val="center"/>
            </w:pPr>
            <w:r>
              <w:t>2</w:t>
            </w:r>
          </w:p>
        </w:tc>
        <w:tc>
          <w:tcPr>
            <w:tcW w:w="2798" w:type="dxa"/>
          </w:tcPr>
          <w:p w:rsidR="00E66710" w:rsidRDefault="00E66710" w:rsidP="00EE0C8A">
            <w:pPr>
              <w:pStyle w:val="Tabletext"/>
              <w:jc w:val="center"/>
            </w:pPr>
            <w:r>
              <w:t>4,0 </w:t>
            </w:r>
            <w:r w:rsidR="00480130">
              <w:sym w:font="Symbol" w:char="F0B4"/>
            </w:r>
            <w:r>
              <w:t> 10</w:t>
            </w:r>
            <w:r>
              <w:rPr>
                <w:vertAlign w:val="superscript"/>
              </w:rPr>
              <w:t>–</w:t>
            </w:r>
            <w:r>
              <w:rPr>
                <w:sz w:val="2"/>
                <w:vertAlign w:val="superscript"/>
              </w:rPr>
              <w:t> </w:t>
            </w:r>
            <w:r>
              <w:rPr>
                <w:vertAlign w:val="superscript"/>
              </w:rPr>
              <w:t>4</w:t>
            </w:r>
            <w:r>
              <w:t xml:space="preserve"> </w:t>
            </w:r>
            <w:r w:rsidR="00480130">
              <w:sym w:font="Symbol" w:char="F061"/>
            </w:r>
          </w:p>
        </w:tc>
        <w:tc>
          <w:tcPr>
            <w:tcW w:w="1666" w:type="dxa"/>
          </w:tcPr>
          <w:p w:rsidR="00E66710" w:rsidRDefault="00E66710" w:rsidP="00EE0C8A">
            <w:pPr>
              <w:pStyle w:val="Tabletext"/>
              <w:jc w:val="center"/>
            </w:pPr>
            <w:r>
              <w:t>2</w:t>
            </w:r>
            <w:r>
              <w:rPr>
                <w:rFonts w:ascii="Tms Rmn" w:hAnsi="Tms Rmn"/>
                <w:sz w:val="12"/>
              </w:rPr>
              <w:t> </w:t>
            </w:r>
            <w:r>
              <w:t>000</w:t>
            </w:r>
          </w:p>
        </w:tc>
        <w:tc>
          <w:tcPr>
            <w:tcW w:w="1947" w:type="dxa"/>
            <w:vAlign w:val="center"/>
          </w:tcPr>
          <w:p w:rsidR="00E66710" w:rsidRDefault="00E66710" w:rsidP="001B3666">
            <w:pPr>
              <w:pStyle w:val="Tabletext"/>
              <w:jc w:val="center"/>
            </w:pPr>
            <w:r>
              <w:t>1 120</w:t>
            </w:r>
          </w:p>
        </w:tc>
      </w:tr>
      <w:tr w:rsidR="00E66710" w:rsidTr="00E66710">
        <w:trPr>
          <w:jc w:val="center"/>
        </w:trPr>
        <w:tc>
          <w:tcPr>
            <w:tcW w:w="1268" w:type="dxa"/>
          </w:tcPr>
          <w:p w:rsidR="00E66710" w:rsidRDefault="00E66710" w:rsidP="00EE0C8A">
            <w:pPr>
              <w:pStyle w:val="Tabletext"/>
              <w:jc w:val="center"/>
            </w:pPr>
            <w:r>
              <w:t>VC-2</w:t>
            </w:r>
          </w:p>
        </w:tc>
        <w:tc>
          <w:tcPr>
            <w:tcW w:w="1960" w:type="dxa"/>
          </w:tcPr>
          <w:p w:rsidR="00E66710" w:rsidRDefault="00E66710" w:rsidP="00EE0C8A">
            <w:pPr>
              <w:pStyle w:val="Tabletext"/>
              <w:jc w:val="center"/>
            </w:pPr>
            <w:r>
              <w:t>6</w:t>
            </w:r>
          </w:p>
        </w:tc>
        <w:tc>
          <w:tcPr>
            <w:tcW w:w="2798" w:type="dxa"/>
          </w:tcPr>
          <w:p w:rsidR="00E66710" w:rsidRDefault="00E66710" w:rsidP="00EE0C8A">
            <w:pPr>
              <w:pStyle w:val="Tabletext"/>
              <w:jc w:val="center"/>
            </w:pPr>
            <w:r>
              <w:t>1,3 </w:t>
            </w:r>
            <w:r w:rsidR="00480130">
              <w:sym w:font="Symbol" w:char="F0B4"/>
            </w:r>
            <w:r>
              <w:t> 10</w:t>
            </w:r>
            <w:r>
              <w:rPr>
                <w:vertAlign w:val="superscript"/>
              </w:rPr>
              <w:t>–</w:t>
            </w:r>
            <w:r>
              <w:rPr>
                <w:sz w:val="2"/>
                <w:vertAlign w:val="superscript"/>
              </w:rPr>
              <w:t> </w:t>
            </w:r>
            <w:r>
              <w:rPr>
                <w:vertAlign w:val="superscript"/>
              </w:rPr>
              <w:t>4</w:t>
            </w:r>
            <w:r>
              <w:t xml:space="preserve"> </w:t>
            </w:r>
            <w:r w:rsidR="00480130">
              <w:sym w:font="Symbol" w:char="F061"/>
            </w:r>
          </w:p>
        </w:tc>
        <w:tc>
          <w:tcPr>
            <w:tcW w:w="1666" w:type="dxa"/>
          </w:tcPr>
          <w:p w:rsidR="00E66710" w:rsidRDefault="00E66710" w:rsidP="00EE0C8A">
            <w:pPr>
              <w:pStyle w:val="Tabletext"/>
              <w:jc w:val="center"/>
            </w:pPr>
            <w:r>
              <w:t>2</w:t>
            </w:r>
            <w:r>
              <w:rPr>
                <w:rFonts w:ascii="Tms Rmn" w:hAnsi="Tms Rmn"/>
                <w:sz w:val="12"/>
              </w:rPr>
              <w:t> </w:t>
            </w:r>
            <w:r>
              <w:t>000</w:t>
            </w:r>
          </w:p>
        </w:tc>
        <w:tc>
          <w:tcPr>
            <w:tcW w:w="1947" w:type="dxa"/>
          </w:tcPr>
          <w:p w:rsidR="00E66710" w:rsidRDefault="00E66710" w:rsidP="00EE0C8A">
            <w:pPr>
              <w:pStyle w:val="Tabletext"/>
              <w:jc w:val="center"/>
            </w:pPr>
            <w:r>
              <w:t>3 424</w:t>
            </w:r>
          </w:p>
        </w:tc>
      </w:tr>
      <w:tr w:rsidR="00E66710" w:rsidTr="00E66710">
        <w:trPr>
          <w:jc w:val="center"/>
        </w:trPr>
        <w:tc>
          <w:tcPr>
            <w:tcW w:w="1268" w:type="dxa"/>
          </w:tcPr>
          <w:p w:rsidR="00E66710" w:rsidRDefault="00E66710" w:rsidP="00EE0C8A">
            <w:pPr>
              <w:pStyle w:val="Tabletext"/>
              <w:jc w:val="center"/>
            </w:pPr>
            <w:r>
              <w:t>VC-3</w:t>
            </w:r>
          </w:p>
        </w:tc>
        <w:tc>
          <w:tcPr>
            <w:tcW w:w="1960" w:type="dxa"/>
          </w:tcPr>
          <w:p w:rsidR="00E66710" w:rsidRDefault="00E66710" w:rsidP="00EE0C8A">
            <w:pPr>
              <w:pStyle w:val="Tabletext"/>
              <w:jc w:val="center"/>
            </w:pPr>
            <w:r>
              <w:t>34</w:t>
            </w:r>
          </w:p>
        </w:tc>
        <w:tc>
          <w:tcPr>
            <w:tcW w:w="2798" w:type="dxa"/>
          </w:tcPr>
          <w:p w:rsidR="00E66710" w:rsidRDefault="00E66710" w:rsidP="00EE0C8A">
            <w:pPr>
              <w:pStyle w:val="Tabletext"/>
              <w:jc w:val="center"/>
            </w:pPr>
            <w:r>
              <w:t>6,5 </w:t>
            </w:r>
            <w:r w:rsidR="00480130">
              <w:sym w:font="Symbol" w:char="F0B4"/>
            </w:r>
            <w:r>
              <w:t> 10</w:t>
            </w:r>
            <w:r>
              <w:rPr>
                <w:vertAlign w:val="superscript"/>
              </w:rPr>
              <w:t>–5</w:t>
            </w:r>
            <w:r>
              <w:t xml:space="preserve"> </w:t>
            </w:r>
            <w:r w:rsidR="00480130">
              <w:sym w:font="Symbol" w:char="F061"/>
            </w:r>
          </w:p>
        </w:tc>
        <w:tc>
          <w:tcPr>
            <w:tcW w:w="1666" w:type="dxa"/>
          </w:tcPr>
          <w:p w:rsidR="00E66710" w:rsidRDefault="00E66710" w:rsidP="00EE0C8A">
            <w:pPr>
              <w:pStyle w:val="Tabletext"/>
              <w:jc w:val="center"/>
            </w:pPr>
            <w:r>
              <w:t>8</w:t>
            </w:r>
            <w:r>
              <w:rPr>
                <w:rFonts w:ascii="Tms Rmn" w:hAnsi="Tms Rmn"/>
                <w:sz w:val="12"/>
              </w:rPr>
              <w:t> </w:t>
            </w:r>
            <w:r>
              <w:t>000</w:t>
            </w:r>
          </w:p>
        </w:tc>
        <w:tc>
          <w:tcPr>
            <w:tcW w:w="1947" w:type="dxa"/>
          </w:tcPr>
          <w:p w:rsidR="00E66710" w:rsidRDefault="00E66710" w:rsidP="00EE0C8A">
            <w:pPr>
              <w:pStyle w:val="Tabletext"/>
              <w:jc w:val="center"/>
            </w:pPr>
            <w:r>
              <w:t>6 120</w:t>
            </w:r>
          </w:p>
        </w:tc>
      </w:tr>
      <w:tr w:rsidR="00E66710" w:rsidTr="00E66710">
        <w:trPr>
          <w:jc w:val="center"/>
        </w:trPr>
        <w:tc>
          <w:tcPr>
            <w:tcW w:w="1268" w:type="dxa"/>
          </w:tcPr>
          <w:p w:rsidR="00E66710" w:rsidRDefault="00E66710" w:rsidP="00EE0C8A">
            <w:pPr>
              <w:pStyle w:val="Tabletext"/>
              <w:jc w:val="center"/>
            </w:pPr>
            <w:r>
              <w:t>VC-4</w:t>
            </w:r>
          </w:p>
        </w:tc>
        <w:tc>
          <w:tcPr>
            <w:tcW w:w="1960" w:type="dxa"/>
          </w:tcPr>
          <w:p w:rsidR="00E66710" w:rsidRDefault="00E66710" w:rsidP="00EE0C8A">
            <w:pPr>
              <w:pStyle w:val="Tabletext"/>
              <w:jc w:val="center"/>
            </w:pPr>
            <w:r>
              <w:t>140</w:t>
            </w:r>
          </w:p>
        </w:tc>
        <w:tc>
          <w:tcPr>
            <w:tcW w:w="2798" w:type="dxa"/>
          </w:tcPr>
          <w:p w:rsidR="00E66710" w:rsidRDefault="00E66710" w:rsidP="00EE0C8A">
            <w:pPr>
              <w:pStyle w:val="Tabletext"/>
              <w:jc w:val="center"/>
            </w:pPr>
            <w:r>
              <w:t>2,1 </w:t>
            </w:r>
            <w:r w:rsidR="00480130">
              <w:sym w:font="Symbol" w:char="F0B4"/>
            </w:r>
            <w:r>
              <w:t> 10</w:t>
            </w:r>
            <w:r>
              <w:rPr>
                <w:vertAlign w:val="superscript"/>
              </w:rPr>
              <w:t>–5</w:t>
            </w:r>
            <w:r>
              <w:t xml:space="preserve"> </w:t>
            </w:r>
            <w:r w:rsidR="00480130">
              <w:sym w:font="Symbol" w:char="F061"/>
            </w:r>
          </w:p>
        </w:tc>
        <w:tc>
          <w:tcPr>
            <w:tcW w:w="1666" w:type="dxa"/>
          </w:tcPr>
          <w:p w:rsidR="00E66710" w:rsidRDefault="00E66710" w:rsidP="00EE0C8A">
            <w:pPr>
              <w:pStyle w:val="Tabletext"/>
              <w:jc w:val="center"/>
            </w:pPr>
            <w:r>
              <w:t>8 000</w:t>
            </w:r>
          </w:p>
        </w:tc>
        <w:tc>
          <w:tcPr>
            <w:tcW w:w="1947" w:type="dxa"/>
          </w:tcPr>
          <w:p w:rsidR="00E66710" w:rsidRDefault="00E66710" w:rsidP="00EE0C8A">
            <w:pPr>
              <w:pStyle w:val="Tabletext"/>
              <w:jc w:val="center"/>
            </w:pPr>
            <w:r>
              <w:t>18 792</w:t>
            </w:r>
          </w:p>
        </w:tc>
      </w:tr>
      <w:tr w:rsidR="00E66710" w:rsidTr="00E66710">
        <w:trPr>
          <w:jc w:val="center"/>
        </w:trPr>
        <w:tc>
          <w:tcPr>
            <w:tcW w:w="1268" w:type="dxa"/>
            <w:tcBorders>
              <w:bottom w:val="single" w:sz="4" w:space="0" w:color="auto"/>
            </w:tcBorders>
          </w:tcPr>
          <w:p w:rsidR="00E66710" w:rsidRDefault="00E66710" w:rsidP="00EE0C8A">
            <w:pPr>
              <w:pStyle w:val="Tabletext"/>
              <w:jc w:val="center"/>
            </w:pPr>
            <w:r>
              <w:t>STM-1</w:t>
            </w:r>
          </w:p>
        </w:tc>
        <w:tc>
          <w:tcPr>
            <w:tcW w:w="1960" w:type="dxa"/>
            <w:tcBorders>
              <w:bottom w:val="single" w:sz="4" w:space="0" w:color="auto"/>
            </w:tcBorders>
          </w:tcPr>
          <w:p w:rsidR="00E66710" w:rsidRDefault="00E66710" w:rsidP="00EE0C8A">
            <w:pPr>
              <w:pStyle w:val="Tabletext"/>
              <w:jc w:val="center"/>
            </w:pPr>
            <w:r>
              <w:t>155</w:t>
            </w:r>
          </w:p>
        </w:tc>
        <w:tc>
          <w:tcPr>
            <w:tcW w:w="2798" w:type="dxa"/>
            <w:tcBorders>
              <w:bottom w:val="single" w:sz="4" w:space="0" w:color="auto"/>
            </w:tcBorders>
          </w:tcPr>
          <w:p w:rsidR="00E66710" w:rsidRDefault="00E66710" w:rsidP="00EE0C8A">
            <w:pPr>
              <w:pStyle w:val="Tabletext"/>
              <w:jc w:val="center"/>
            </w:pPr>
            <w:r>
              <w:t>2,3 </w:t>
            </w:r>
            <w:r w:rsidR="00480130">
              <w:sym w:font="Symbol" w:char="F0B4"/>
            </w:r>
            <w:r>
              <w:t> 10</w:t>
            </w:r>
            <w:r>
              <w:rPr>
                <w:vertAlign w:val="superscript"/>
              </w:rPr>
              <w:t>–5</w:t>
            </w:r>
            <w:r>
              <w:t xml:space="preserve"> </w:t>
            </w:r>
            <w:r w:rsidR="00480130">
              <w:sym w:font="Symbol" w:char="F061"/>
            </w:r>
          </w:p>
          <w:p w:rsidR="00E66710" w:rsidRDefault="00E66710" w:rsidP="00EE0C8A">
            <w:pPr>
              <w:pStyle w:val="Tabletext"/>
              <w:jc w:val="center"/>
            </w:pPr>
            <w:r>
              <w:t>1,3 </w:t>
            </w:r>
            <w:r w:rsidR="00480130">
              <w:sym w:font="Symbol" w:char="F0B4"/>
            </w:r>
            <w:r>
              <w:t> 10</w:t>
            </w:r>
            <w:r>
              <w:rPr>
                <w:vertAlign w:val="superscript"/>
              </w:rPr>
              <w:t>–5</w:t>
            </w:r>
            <w:r>
              <w:t xml:space="preserve"> </w:t>
            </w:r>
            <w:r w:rsidR="00480130">
              <w:sym w:font="Symbol" w:char="F061"/>
            </w:r>
            <w:r>
              <w:t> </w:t>
            </w:r>
            <w:r w:rsidR="00480130">
              <w:sym w:font="Symbol" w:char="F02B"/>
            </w:r>
            <w:r>
              <w:t> 2,2 </w:t>
            </w:r>
            <w:r w:rsidR="00480130">
              <w:sym w:font="Symbol" w:char="F0B4"/>
            </w:r>
            <w:r>
              <w:t> 10</w:t>
            </w:r>
            <w:r>
              <w:rPr>
                <w:vertAlign w:val="superscript"/>
              </w:rPr>
              <w:t>–</w:t>
            </w:r>
            <w:r w:rsidR="009258DB">
              <w:rPr>
                <w:vertAlign w:val="superscript"/>
              </w:rPr>
              <w:t>4</w:t>
            </w:r>
          </w:p>
        </w:tc>
        <w:tc>
          <w:tcPr>
            <w:tcW w:w="1666" w:type="dxa"/>
            <w:tcBorders>
              <w:bottom w:val="single" w:sz="4" w:space="0" w:color="auto"/>
            </w:tcBorders>
          </w:tcPr>
          <w:p w:rsidR="00E66710" w:rsidRDefault="00E66710" w:rsidP="00EE0C8A">
            <w:pPr>
              <w:pStyle w:val="Tabletext"/>
              <w:tabs>
                <w:tab w:val="clear" w:pos="284"/>
                <w:tab w:val="left" w:pos="274"/>
              </w:tabs>
              <w:jc w:val="center"/>
            </w:pPr>
            <w:r>
              <w:t>8</w:t>
            </w:r>
            <w:r>
              <w:rPr>
                <w:rFonts w:ascii="Tms Rmn" w:hAnsi="Tms Rmn"/>
                <w:sz w:val="12"/>
              </w:rPr>
              <w:t> </w:t>
            </w:r>
            <w:r>
              <w:t>000</w:t>
            </w:r>
          </w:p>
          <w:p w:rsidR="00E66710" w:rsidRDefault="00E66710" w:rsidP="00EE0C8A">
            <w:pPr>
              <w:pStyle w:val="Tabletext"/>
              <w:jc w:val="center"/>
            </w:pPr>
            <w:r>
              <w:t>192</w:t>
            </w:r>
            <w:r>
              <w:rPr>
                <w:rFonts w:ascii="Tms Rmn" w:hAnsi="Tms Rmn"/>
                <w:sz w:val="12"/>
              </w:rPr>
              <w:t> </w:t>
            </w:r>
            <w:r>
              <w:t>000</w:t>
            </w:r>
          </w:p>
        </w:tc>
        <w:tc>
          <w:tcPr>
            <w:tcW w:w="1947" w:type="dxa"/>
            <w:tcBorders>
              <w:bottom w:val="single" w:sz="4" w:space="0" w:color="auto"/>
            </w:tcBorders>
          </w:tcPr>
          <w:p w:rsidR="00E66710" w:rsidRDefault="00E66710" w:rsidP="00EE0C8A">
            <w:pPr>
              <w:pStyle w:val="Tabletext"/>
              <w:jc w:val="center"/>
            </w:pPr>
            <w:r>
              <w:t>19 940</w:t>
            </w:r>
          </w:p>
          <w:p w:rsidR="00E66710" w:rsidRDefault="00E66710" w:rsidP="00EE0C8A">
            <w:pPr>
              <w:pStyle w:val="Tabletext"/>
              <w:jc w:val="center"/>
            </w:pPr>
            <w:r>
              <w:t>801</w:t>
            </w:r>
          </w:p>
        </w:tc>
      </w:tr>
      <w:tr w:rsidR="00E66710" w:rsidTr="00E66710">
        <w:trPr>
          <w:cantSplit/>
          <w:jc w:val="center"/>
        </w:trPr>
        <w:tc>
          <w:tcPr>
            <w:tcW w:w="9639" w:type="dxa"/>
            <w:gridSpan w:val="5"/>
            <w:tcBorders>
              <w:top w:val="single" w:sz="4" w:space="0" w:color="auto"/>
              <w:left w:val="nil"/>
              <w:bottom w:val="nil"/>
              <w:right w:val="nil"/>
            </w:tcBorders>
          </w:tcPr>
          <w:p w:rsidR="00E66710" w:rsidRDefault="00E66710" w:rsidP="00E66710">
            <w:pPr>
              <w:pStyle w:val="Tablelegend"/>
            </w:pPr>
            <w:r>
              <w:rPr>
                <w:vertAlign w:val="superscript"/>
              </w:rPr>
              <w:t>(1)</w:t>
            </w:r>
            <w:r>
              <w:rPr>
                <w:position w:val="6"/>
                <w:sz w:val="18"/>
              </w:rPr>
              <w:tab/>
            </w:r>
            <w:r>
              <w:rPr>
                <w:rFonts w:ascii="Symbol" w:hAnsi="Symbol"/>
              </w:rPr>
              <w:sym w:font="Symbol" w:char="F061"/>
            </w:r>
            <w:r>
              <w:t> </w:t>
            </w:r>
            <w:r>
              <w:rPr>
                <w:rFonts w:ascii="Symbol" w:hAnsi="Symbol"/>
              </w:rPr>
              <w:t></w:t>
            </w:r>
            <w:r>
              <w:t> 1 indique une distribution de Poisson des erreurs.</w:t>
            </w:r>
          </w:p>
          <w:p w:rsidR="00E66710" w:rsidRDefault="00E66710" w:rsidP="00C02753">
            <w:pPr>
              <w:pStyle w:val="Tablelegend"/>
            </w:pPr>
            <w:r>
              <w:rPr>
                <w:vertAlign w:val="superscript"/>
              </w:rPr>
              <w:t>(2)</w:t>
            </w:r>
            <w:r>
              <w:rPr>
                <w:position w:val="6"/>
                <w:sz w:val="18"/>
              </w:rPr>
              <w:tab/>
            </w:r>
            <w:r>
              <w:t>Le nombre de blocs/s est défini dans les Recommandations UIT-T G.826 et UIT-T G.828 pour le conduit SDH et dans la Recommandation UIT-T G.829 pour les sections SDH. Certains équipements STM</w:t>
            </w:r>
            <w:r>
              <w:noBreakHyphen/>
              <w:t>1 pourraient être conçus pour fonctionner à un débit de 8 000 blocs/s (19</w:t>
            </w:r>
            <w:r>
              <w:rPr>
                <w:rFonts w:ascii="Tms Rmn" w:hAnsi="Tms Rmn"/>
                <w:sz w:val="12"/>
              </w:rPr>
              <w:t> </w:t>
            </w:r>
            <w:r>
              <w:t>940 bits/bloc), mais les valeurs définies dans la Recommandation UIT-T G.829 pour le débit et la longueur des blocs sont respectivement de 192</w:t>
            </w:r>
            <w:r>
              <w:rPr>
                <w:rFonts w:ascii="Tms Rmn" w:hAnsi="Tms Rmn"/>
                <w:sz w:val="12"/>
              </w:rPr>
              <w:t> </w:t>
            </w:r>
            <w:r>
              <w:t>000 blocs/s et 801 bits/bloc.</w:t>
            </w:r>
          </w:p>
        </w:tc>
      </w:tr>
    </w:tbl>
    <w:p w:rsidR="00E66710" w:rsidRPr="00DE7F68" w:rsidRDefault="00E66710" w:rsidP="00E66710">
      <w:pPr>
        <w:pStyle w:val="Tablefin"/>
        <w:rPr>
          <w:lang w:val="fr-FR"/>
        </w:rPr>
      </w:pPr>
    </w:p>
    <w:p w:rsidR="00E66710" w:rsidRDefault="00BD1EF3" w:rsidP="00E66710">
      <w:pPr>
        <w:pStyle w:val="Heading2"/>
      </w:pPr>
      <w:r>
        <w:br w:type="page"/>
      </w:r>
      <w:r w:rsidR="00E66710">
        <w:lastRenderedPageBreak/>
        <w:t>3.1</w:t>
      </w:r>
      <w:r w:rsidR="00E66710">
        <w:tab/>
        <w:t>Prévision du taux SESR</w:t>
      </w:r>
    </w:p>
    <w:p w:rsidR="00E66710" w:rsidRDefault="00E66710" w:rsidP="00E66710">
      <w:r>
        <w:t>La procédure de prévision du taux SESR repose sur la relation entre le paramètre SES et le taux BER</w:t>
      </w:r>
      <w:r>
        <w:rPr>
          <w:i/>
        </w:rPr>
        <w:t>,</w:t>
      </w:r>
      <w:r>
        <w:t xml:space="preserve"> les méthodes de prévision des interruptions définies par un taux BER donné étant indiquées dans l'Annexe 1 de la Recommandation UIT-R P.530. En règle générale, la prévision du taux SESR est donnée par l'équation suivante:</w:t>
      </w:r>
    </w:p>
    <w:p w:rsidR="00E66710" w:rsidRDefault="00E66710" w:rsidP="00E66710">
      <w:pPr>
        <w:pStyle w:val="Equation"/>
      </w:pPr>
      <w:r>
        <w:tab/>
      </w:r>
      <w:r>
        <w:tab/>
      </w:r>
      <w:r w:rsidRPr="000747DC">
        <w:rPr>
          <w:position w:val="-32"/>
        </w:rPr>
        <w:object w:dxaOrig="409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38pt" o:ole="" fillcolor="window">
            <v:imagedata r:id="rId14" o:title=""/>
          </v:shape>
          <o:OLEObject Type="Embed" ProgID="Equation.3" ShapeID="_x0000_i1025" DrawAspect="Content" ObjectID="_1326718043" r:id="rId15"/>
        </w:object>
      </w:r>
      <w:r>
        <w:tab/>
        <w:t>(1)</w:t>
      </w:r>
    </w:p>
    <w:p w:rsidR="00E66710" w:rsidRDefault="00E66710" w:rsidP="00E66710">
      <w:r>
        <w:t xml:space="preserve">où: </w:t>
      </w:r>
    </w:p>
    <w:p w:rsidR="00E66710" w:rsidRDefault="00E66710" w:rsidP="00E66710">
      <w:pPr>
        <w:pStyle w:val="Equationlegend"/>
        <w:rPr>
          <w:lang w:val="fr-CH"/>
        </w:rPr>
      </w:pPr>
      <w:r>
        <w:rPr>
          <w:i/>
          <w:lang w:val="fr-CH"/>
        </w:rPr>
        <w:tab/>
      </w:r>
      <w:r w:rsidRPr="000747DC">
        <w:rPr>
          <w:position w:val="-12"/>
        </w:rPr>
        <w:object w:dxaOrig="859" w:dyaOrig="360">
          <v:shape id="_x0000_i1026" type="#_x0000_t75" style="width:43pt;height:18pt" o:ole="">
            <v:imagedata r:id="rId16" o:title=""/>
          </v:shape>
          <o:OLEObject Type="Embed" ProgID="Equation.3" ShapeID="_x0000_i1026" DrawAspect="Content" ObjectID="_1326718044" r:id="rId17"/>
        </w:object>
      </w:r>
      <w:r>
        <w:rPr>
          <w:lang w:val="fr-CH"/>
        </w:rPr>
        <w:t>:</w:t>
      </w:r>
      <w:r>
        <w:rPr>
          <w:lang w:val="fr-CH"/>
        </w:rPr>
        <w:tab/>
        <w:t>relation entre le paramètre SES et le taux BER</w:t>
      </w:r>
    </w:p>
    <w:p w:rsidR="00E66710" w:rsidRDefault="00E66710" w:rsidP="00E66710">
      <w:pPr>
        <w:pStyle w:val="Equationlegend"/>
        <w:rPr>
          <w:lang w:val="fr-CH"/>
        </w:rPr>
      </w:pPr>
      <w:r>
        <w:rPr>
          <w:i/>
          <w:lang w:val="fr-CH"/>
        </w:rPr>
        <w:tab/>
      </w:r>
      <w:r w:rsidRPr="000747DC">
        <w:rPr>
          <w:position w:val="-10"/>
        </w:rPr>
        <w:object w:dxaOrig="900" w:dyaOrig="340">
          <v:shape id="_x0000_i1027" type="#_x0000_t75" style="width:45pt;height:17pt" o:ole="">
            <v:imagedata r:id="rId18" o:title=""/>
          </v:shape>
          <o:OLEObject Type="Embed" ProgID="Equation.3" ShapeID="_x0000_i1027" DrawAspect="Content" ObjectID="_1326718045" r:id="rId19"/>
        </w:object>
      </w:r>
      <w:r>
        <w:rPr>
          <w:lang w:val="fr-CH"/>
        </w:rPr>
        <w:t>:</w:t>
      </w:r>
      <w:r>
        <w:rPr>
          <w:lang w:val="fr-CH"/>
        </w:rPr>
        <w:tab/>
        <w:t xml:space="preserve">fonction de densité de probabilité du BER </w:t>
      </w:r>
    </w:p>
    <w:p w:rsidR="00E66710" w:rsidRDefault="00E66710" w:rsidP="00480130">
      <w:pPr>
        <w:pStyle w:val="Equationlegend"/>
        <w:rPr>
          <w:lang w:val="fr-CH"/>
        </w:rPr>
      </w:pPr>
      <w:r>
        <w:rPr>
          <w:i/>
          <w:lang w:val="fr-CH"/>
        </w:rPr>
        <w:tab/>
        <w:t>BER</w:t>
      </w:r>
      <w:r>
        <w:rPr>
          <w:i/>
          <w:iCs/>
          <w:vertAlign w:val="subscript"/>
          <w:lang w:val="fr-CH"/>
        </w:rPr>
        <w:t>A</w:t>
      </w:r>
      <w:r>
        <w:rPr>
          <w:lang w:val="fr-CH"/>
        </w:rPr>
        <w:t xml:space="preserve"> et </w:t>
      </w:r>
      <w:r>
        <w:rPr>
          <w:i/>
          <w:lang w:val="fr-CH"/>
        </w:rPr>
        <w:t>BER</w:t>
      </w:r>
      <w:r>
        <w:rPr>
          <w:i/>
          <w:iCs/>
          <w:vertAlign w:val="subscript"/>
          <w:lang w:val="fr-CH"/>
        </w:rPr>
        <w:t>B</w:t>
      </w:r>
      <w:r>
        <w:rPr>
          <w:i/>
          <w:iCs/>
          <w:sz w:val="12"/>
          <w:vertAlign w:val="subscript"/>
          <w:lang w:val="fr-CH"/>
        </w:rPr>
        <w:t> </w:t>
      </w:r>
      <w:r>
        <w:rPr>
          <w:lang w:val="fr-CH"/>
        </w:rPr>
        <w:t>:</w:t>
      </w:r>
      <w:r>
        <w:rPr>
          <w:iCs/>
          <w:sz w:val="20"/>
          <w:lang w:val="fr-CH"/>
        </w:rPr>
        <w:tab/>
      </w:r>
      <w:r>
        <w:rPr>
          <w:lang w:val="fr-CH"/>
        </w:rPr>
        <w:t>limites d'intégration (valeurs types de 1 </w:t>
      </w:r>
      <w:r w:rsidR="00480130">
        <w:rPr>
          <w:lang w:val="fr-CH"/>
        </w:rPr>
        <w:sym w:font="Symbol" w:char="F0B4"/>
      </w:r>
      <w:r>
        <w:rPr>
          <w:lang w:val="fr-CH"/>
        </w:rPr>
        <w:t> 10</w:t>
      </w:r>
      <w:r>
        <w:rPr>
          <w:vertAlign w:val="superscript"/>
          <w:lang w:val="fr-CH"/>
        </w:rPr>
        <w:t>–9</w:t>
      </w:r>
      <w:r>
        <w:rPr>
          <w:lang w:val="fr-CH"/>
        </w:rPr>
        <w:t xml:space="preserve"> et 1 </w:t>
      </w:r>
      <w:r w:rsidR="00480130">
        <w:rPr>
          <w:lang w:val="fr-CH"/>
        </w:rPr>
        <w:sym w:font="Symbol" w:char="F0B4"/>
      </w:r>
      <w:r>
        <w:rPr>
          <w:lang w:val="fr-CH"/>
        </w:rPr>
        <w:t> 10</w:t>
      </w:r>
      <w:r>
        <w:rPr>
          <w:vertAlign w:val="superscript"/>
          <w:lang w:val="fr-CH"/>
        </w:rPr>
        <w:t>–3</w:t>
      </w:r>
      <w:r>
        <w:rPr>
          <w:lang w:val="fr-CH"/>
        </w:rPr>
        <w:t>).</w:t>
      </w:r>
    </w:p>
    <w:p w:rsidR="00E66710" w:rsidRDefault="00E66710" w:rsidP="00E66710">
      <w:pPr>
        <w:pStyle w:val="Heading3"/>
      </w:pPr>
      <w:r>
        <w:t>3.1.1</w:t>
      </w:r>
      <w:r>
        <w:tab/>
        <w:t>Prévision du taux SESR dû aux effets de la propagation par trajets multiples</w:t>
      </w:r>
    </w:p>
    <w:p w:rsidR="00E66710" w:rsidRDefault="00E66710" w:rsidP="00E66710">
      <w:pPr>
        <w:rPr>
          <w:lang w:val="fr-CH"/>
        </w:rPr>
      </w:pPr>
      <w:r>
        <w:t xml:space="preserve">Le paramètre SESR est donné par l'équation (1), dans laquelle le deuxième terme est la fonction PDF du taux BER. En cas de propagation par trajets multiples, le taux BER est strictement lié à la probabilité d'interruption </w:t>
      </w:r>
      <w:r>
        <w:rPr>
          <w:i/>
        </w:rPr>
        <w:t>P</w:t>
      </w:r>
      <w:r>
        <w:rPr>
          <w:i/>
          <w:iCs/>
          <w:vertAlign w:val="subscript"/>
        </w:rPr>
        <w:t>t</w:t>
      </w:r>
      <w:r>
        <w:t xml:space="preserve">, évaluée selon les méthodes énoncées dans l'Annexe 1 de la Recommandation UIT-R P.530. Il est possible de déterminer la probabilité d'interruption </w:t>
      </w:r>
      <w:r>
        <w:rPr>
          <w:i/>
        </w:rPr>
        <w:t>P</w:t>
      </w:r>
      <w:r>
        <w:rPr>
          <w:i/>
          <w:iCs/>
          <w:vertAlign w:val="subscript"/>
        </w:rPr>
        <w:t>t</w:t>
      </w:r>
      <w:r>
        <w:t xml:space="preserve"> par rapport au taux BER selon les méthodes appropriées pour le système de transmission considéré (voir, par exemple, la Fig. 1). La fonction </w:t>
      </w:r>
      <w:r>
        <w:rPr>
          <w:i/>
          <w:iCs/>
          <w:lang w:val="fr-CH"/>
        </w:rPr>
        <w:t>g</w:t>
      </w:r>
      <w:r>
        <w:rPr>
          <w:i/>
          <w:vertAlign w:val="subscript"/>
          <w:lang w:val="fr-CH"/>
        </w:rPr>
        <w:t>BER</w:t>
      </w:r>
      <w:r>
        <w:t xml:space="preserve"> est déterminée à partir de la figure appropriée, semblable à la Fig. 1, c'est-à-dire que</w:t>
      </w:r>
      <w:r>
        <w:rPr>
          <w:i/>
          <w:iCs/>
          <w:lang w:val="fr-CH"/>
        </w:rPr>
        <w:t xml:space="preserve"> g</w:t>
      </w:r>
      <w:r>
        <w:rPr>
          <w:i/>
          <w:iCs/>
          <w:vertAlign w:val="subscript"/>
          <w:lang w:val="fr-CH"/>
        </w:rPr>
        <w:t>BER</w:t>
      </w:r>
      <w:r>
        <w:rPr>
          <w:lang w:val="fr-CH"/>
        </w:rPr>
        <w:t> </w:t>
      </w:r>
      <w:r>
        <w:rPr>
          <w:rFonts w:ascii="Symbol" w:hAnsi="Symbol"/>
        </w:rPr>
        <w:t></w:t>
      </w:r>
      <w:r>
        <w:rPr>
          <w:lang w:val="fr-CH"/>
        </w:rPr>
        <w:t> d</w:t>
      </w:r>
      <w:r>
        <w:rPr>
          <w:i/>
          <w:lang w:val="fr-CH"/>
        </w:rPr>
        <w:t>P</w:t>
      </w:r>
      <w:r>
        <w:rPr>
          <w:i/>
          <w:vertAlign w:val="subscript"/>
          <w:lang w:val="fr-CH"/>
        </w:rPr>
        <w:t>t</w:t>
      </w:r>
      <w:r>
        <w:rPr>
          <w:rFonts w:ascii="Tms Rmn" w:hAnsi="Tms Rmn"/>
          <w:i/>
          <w:position w:val="-4"/>
          <w:sz w:val="12"/>
          <w:lang w:val="fr-CH"/>
        </w:rPr>
        <w:t> </w:t>
      </w:r>
      <w:r>
        <w:rPr>
          <w:lang w:val="fr-CH"/>
        </w:rPr>
        <w:t>/d</w:t>
      </w:r>
      <w:r>
        <w:rPr>
          <w:i/>
          <w:vertAlign w:val="subscript"/>
          <w:lang w:val="fr-CH"/>
        </w:rPr>
        <w:t>BER</w:t>
      </w:r>
      <w:r>
        <w:rPr>
          <w:lang w:val="fr-CH"/>
        </w:rPr>
        <w:t>.</w:t>
      </w:r>
    </w:p>
    <w:p w:rsidR="00E66710" w:rsidRDefault="00B96F6F" w:rsidP="00E66710">
      <w:pPr>
        <w:pStyle w:val="FigureNo"/>
        <w:rPr>
          <w:lang w:val="fr-CH"/>
        </w:rPr>
      </w:pPr>
      <w:r>
        <w:rPr>
          <w:noProof/>
          <w:lang w:val="en-US" w:eastAsia="zh-CN"/>
        </w:rPr>
        <w:drawing>
          <wp:inline distT="0" distB="0" distL="0" distR="0">
            <wp:extent cx="3531235" cy="3172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531235" cy="3172460"/>
                    </a:xfrm>
                    <a:prstGeom prst="rect">
                      <a:avLst/>
                    </a:prstGeom>
                    <a:noFill/>
                    <a:ln w="9525">
                      <a:noFill/>
                      <a:miter lim="800000"/>
                      <a:headEnd/>
                      <a:tailEnd/>
                    </a:ln>
                  </pic:spPr>
                </pic:pic>
              </a:graphicData>
            </a:graphic>
          </wp:inline>
        </w:drawing>
      </w:r>
    </w:p>
    <w:p w:rsidR="00E66710" w:rsidRDefault="00E66710" w:rsidP="00E66710">
      <w:pPr>
        <w:pStyle w:val="Normalaftertitle"/>
      </w:pPr>
      <w:r>
        <w:t>En règle générale, on n'obtient les valeurs de la probabilité d'interruption que pour quelques valeurs du taux BER, lorsque l'on connaît la signature de l'équipement et la valeur de seuil. Si un jeu étendu de valeurs BER est disponible, on peut obtenir une courbe plus précise.</w:t>
      </w:r>
    </w:p>
    <w:p w:rsidR="00E66710" w:rsidRDefault="00E66710" w:rsidP="00E66710">
      <w:r>
        <w:lastRenderedPageBreak/>
        <w:t>L'évaluation du taux SESR se fait en deux étapes, l'une servant à déterminer le nombre de secondes SES dues aux blocs erronés et l'autre servant à calculer la partie généralement insignifiante correspondant à la perte de pointeur LoP.</w:t>
      </w:r>
    </w:p>
    <w:p w:rsidR="00E66710" w:rsidRDefault="00E66710" w:rsidP="00E66710">
      <w:r>
        <w:t xml:space="preserve">Une approximation de la courbe du taux SES dû aux blocs erronés est possible au moyen d'une fonction échelon. La valeur BER à laquelle la probabilité d'apparition de secondes SES passe de 0 à 1 est dénommée </w:t>
      </w:r>
      <w:r>
        <w:rPr>
          <w:i/>
        </w:rPr>
        <w:t>BER</w:t>
      </w:r>
      <w:r>
        <w:rPr>
          <w:i/>
          <w:iCs/>
          <w:vertAlign w:val="subscript"/>
        </w:rPr>
        <w:t>SES</w:t>
      </w:r>
      <w:r>
        <w:t>:</w:t>
      </w:r>
    </w:p>
    <w:p w:rsidR="00E66710" w:rsidRDefault="00E66710" w:rsidP="00E66710">
      <w:pPr>
        <w:pStyle w:val="Equation"/>
      </w:pPr>
      <w:r>
        <w:tab/>
      </w:r>
      <w:r>
        <w:tab/>
      </w:r>
      <w:r w:rsidRPr="000747DC">
        <w:rPr>
          <w:position w:val="-46"/>
        </w:rPr>
        <w:object w:dxaOrig="4640" w:dyaOrig="1040">
          <v:shape id="_x0000_i1028" type="#_x0000_t75" style="width:232pt;height:52pt" o:ole="" fillcolor="window">
            <v:imagedata r:id="rId21" o:title=""/>
          </v:shape>
          <o:OLEObject Type="Embed" ProgID="Equation.3" ShapeID="_x0000_i1028" DrawAspect="Content" ObjectID="_1326718046" r:id="rId22"/>
        </w:object>
      </w:r>
      <w:r>
        <w:tab/>
        <w:t>(2)</w:t>
      </w:r>
    </w:p>
    <w:p w:rsidR="00E66710" w:rsidRDefault="00E66710" w:rsidP="00587536">
      <w:r>
        <w:t xml:space="preserve">La valeur de </w:t>
      </w:r>
      <w:r>
        <w:rPr>
          <w:i/>
        </w:rPr>
        <w:t>BER</w:t>
      </w:r>
      <w:r>
        <w:rPr>
          <w:i/>
          <w:iCs/>
          <w:vertAlign w:val="subscript"/>
        </w:rPr>
        <w:t>SES</w:t>
      </w:r>
      <w:r>
        <w:t xml:space="preserve"> normalisée en fonction du nombre moyen d'erreurs par rafale </w:t>
      </w:r>
      <w:r w:rsidR="00587536">
        <w:rPr>
          <w:iCs/>
        </w:rPr>
        <w:sym w:font="Symbol" w:char="F061"/>
      </w:r>
      <w:r>
        <w:rPr>
          <w:i/>
        </w:rPr>
        <w:t xml:space="preserve"> </w:t>
      </w:r>
      <w:r>
        <w:t>(</w:t>
      </w:r>
      <w:r w:rsidR="00587536">
        <w:rPr>
          <w:iCs/>
        </w:rPr>
        <w:sym w:font="Symbol" w:char="F061"/>
      </w:r>
      <w:r>
        <w:t> </w:t>
      </w:r>
      <w:r>
        <w:rPr>
          <w:rFonts w:ascii="Symbol" w:hAnsi="Symbol"/>
        </w:rPr>
        <w:t></w:t>
      </w:r>
      <w:r>
        <w:t> 1 pour la distribution de Poisson) est indiquée dans le Tableau 1.</w:t>
      </w:r>
    </w:p>
    <w:p w:rsidR="00E66710" w:rsidRDefault="00E66710" w:rsidP="00E66710">
      <w:r>
        <w:t>Compte tenu de l'équation (2), lorsque les secondes SES sont dues aux blocs erronés, l'équation (1) devient:</w:t>
      </w:r>
    </w:p>
    <w:p w:rsidR="00E66710" w:rsidRDefault="00E66710" w:rsidP="00E66710">
      <w:pPr>
        <w:pStyle w:val="Equation"/>
      </w:pPr>
      <w:r>
        <w:tab/>
      </w:r>
      <w:r>
        <w:tab/>
      </w:r>
      <w:r w:rsidRPr="000747DC">
        <w:rPr>
          <w:position w:val="-32"/>
        </w:rPr>
        <w:object w:dxaOrig="5660" w:dyaOrig="760">
          <v:shape id="_x0000_i1029" type="#_x0000_t75" style="width:283.5pt;height:38pt" o:ole="" fillcolor="window">
            <v:imagedata r:id="rId23" o:title=""/>
          </v:shape>
          <o:OLEObject Type="Embed" ProgID="Equation.3" ShapeID="_x0000_i1029" DrawAspect="Content" ObjectID="_1326718047" r:id="rId24"/>
        </w:object>
      </w:r>
      <w:r>
        <w:tab/>
        <w:t>(3)</w:t>
      </w:r>
    </w:p>
    <w:p w:rsidR="00E66710" w:rsidRDefault="00E66710" w:rsidP="00E66710">
      <w:pPr>
        <w:pStyle w:val="Headingi"/>
      </w:pPr>
      <w:r>
        <w:t>Limite supérieure pour les secondes SES dues à la perte de pointeur LoP</w:t>
      </w:r>
    </w:p>
    <w:p w:rsidR="00E66710" w:rsidRDefault="00E66710" w:rsidP="00E66710">
      <w:r>
        <w:t xml:space="preserve">Pour évaluer la limite supérieure </w:t>
      </w:r>
      <w:r>
        <w:rPr>
          <w:i/>
        </w:rPr>
        <w:t>SESR</w:t>
      </w:r>
      <w:r>
        <w:rPr>
          <w:i/>
          <w:iCs/>
          <w:vertAlign w:val="subscript"/>
        </w:rPr>
        <w:t>LoPu</w:t>
      </w:r>
      <w:r>
        <w:t xml:space="preserve">, on suppose que la probabilité d'apparition de secondes SES pour des valeurs de BER inférieures à </w:t>
      </w:r>
      <w:r>
        <w:rPr>
          <w:i/>
        </w:rPr>
        <w:t>BER</w:t>
      </w:r>
      <w:r>
        <w:rPr>
          <w:i/>
          <w:iCs/>
          <w:vertAlign w:val="subscript"/>
        </w:rPr>
        <w:t>SES</w:t>
      </w:r>
      <w:r>
        <w:t xml:space="preserve"> est une constante. Ainsi,</w:t>
      </w:r>
    </w:p>
    <w:p w:rsidR="00E66710" w:rsidRDefault="00E66710" w:rsidP="00E66710">
      <w:pPr>
        <w:pStyle w:val="Equation"/>
      </w:pPr>
      <w:r>
        <w:tab/>
      </w:r>
      <w:r>
        <w:tab/>
      </w:r>
      <w:r w:rsidRPr="000747DC">
        <w:rPr>
          <w:position w:val="-14"/>
        </w:rPr>
        <w:object w:dxaOrig="5960" w:dyaOrig="400">
          <v:shape id="_x0000_i1030" type="#_x0000_t75" style="width:298.5pt;height:20pt" o:ole="" fillcolor="window">
            <v:imagedata r:id="rId25" o:title=""/>
          </v:shape>
          <o:OLEObject Type="Embed" ProgID="Equation.3" ShapeID="_x0000_i1030" DrawAspect="Content" ObjectID="_1326718048" r:id="rId26"/>
        </w:object>
      </w:r>
      <w:r>
        <w:tab/>
        <w:t>(4)</w:t>
      </w:r>
    </w:p>
    <w:p w:rsidR="00E66710" w:rsidRDefault="00E66710" w:rsidP="00E66710">
      <w:pPr>
        <w:pStyle w:val="Note"/>
      </w:pPr>
      <w:r>
        <w:t>NOTE 1 – On a établi que la contribution du paramètre LoP était minime et pouvait donc ne pas être prise en compte.</w:t>
      </w:r>
    </w:p>
    <w:p w:rsidR="00E66710" w:rsidRDefault="00E66710" w:rsidP="00E66710">
      <w:pPr>
        <w:pStyle w:val="Heading4"/>
      </w:pPr>
      <w:r>
        <w:t>3.1.1.1</w:t>
      </w:r>
      <w:r>
        <w:tab/>
        <w:t>Procédure de calcul du nombre de secondes SESR dues à la propagation par trajets multiples (étape par étape)</w:t>
      </w:r>
    </w:p>
    <w:p w:rsidR="00E66710" w:rsidRDefault="00E66710" w:rsidP="00E66710">
      <w:r>
        <w:rPr>
          <w:i/>
        </w:rPr>
        <w:t>Etape 1</w:t>
      </w:r>
      <w:r>
        <w:rPr>
          <w:i/>
          <w:iCs/>
        </w:rPr>
        <w:t>:</w:t>
      </w:r>
      <w:r>
        <w:tab/>
        <w:t xml:space="preserve">Calculer la probabilité d'interruption </w:t>
      </w:r>
      <w:r>
        <w:rPr>
          <w:i/>
        </w:rPr>
        <w:t>P</w:t>
      </w:r>
      <w:r>
        <w:rPr>
          <w:i/>
          <w:iCs/>
          <w:vertAlign w:val="subscript"/>
        </w:rPr>
        <w:t>tSES</w:t>
      </w:r>
      <w:r>
        <w:t xml:space="preserve"> pour </w:t>
      </w:r>
      <w:r>
        <w:rPr>
          <w:i/>
        </w:rPr>
        <w:t>BER </w:t>
      </w:r>
      <w:r>
        <w:rPr>
          <w:rFonts w:ascii="Symbol" w:hAnsi="Symbol"/>
        </w:rPr>
        <w:t></w:t>
      </w:r>
      <w:r>
        <w:t> </w:t>
      </w:r>
      <w:r>
        <w:rPr>
          <w:i/>
        </w:rPr>
        <w:t>BER</w:t>
      </w:r>
      <w:r>
        <w:rPr>
          <w:i/>
          <w:iCs/>
          <w:vertAlign w:val="subscript"/>
        </w:rPr>
        <w:t>SES</w:t>
      </w:r>
      <w:r>
        <w:t>, pour le système approprié, à l'aide des méthodes de prévision des interruptions décrites dans l'Annexe 1 de la Recommandation UIT-R P.530:</w:t>
      </w:r>
    </w:p>
    <w:p w:rsidR="00E66710" w:rsidRPr="00DE7F68" w:rsidRDefault="00E66710" w:rsidP="00E66710">
      <w:pPr>
        <w:pStyle w:val="Equation"/>
      </w:pPr>
      <w:r>
        <w:tab/>
      </w:r>
      <w:r>
        <w:tab/>
      </w:r>
      <w:r w:rsidRPr="000747DC">
        <w:rPr>
          <w:position w:val="-12"/>
        </w:rPr>
        <w:object w:dxaOrig="2860" w:dyaOrig="360">
          <v:shape id="_x0000_i1031" type="#_x0000_t75" style="width:143pt;height:18pt" o:ole="" fillcolor="window">
            <v:imagedata r:id="rId27" o:title=""/>
          </v:shape>
          <o:OLEObject Type="Embed" ProgID="Equation.3" ShapeID="_x0000_i1031" DrawAspect="Content" ObjectID="_1326718049" r:id="rId28"/>
        </w:object>
      </w:r>
      <w:r w:rsidRPr="00DE7F68">
        <w:tab/>
        <w:t>(5)</w:t>
      </w:r>
    </w:p>
    <w:p w:rsidR="00E66710" w:rsidRDefault="00E66710" w:rsidP="00E66710">
      <w:r>
        <w:rPr>
          <w:i/>
        </w:rPr>
        <w:t>BER</w:t>
      </w:r>
      <w:r>
        <w:rPr>
          <w:i/>
          <w:iCs/>
          <w:vertAlign w:val="subscript"/>
        </w:rPr>
        <w:t>SES</w:t>
      </w:r>
      <w:r>
        <w:t xml:space="preserve"> étant indiqué dans le Tableau 1.</w:t>
      </w:r>
    </w:p>
    <w:p w:rsidR="00E66710" w:rsidRDefault="00E66710" w:rsidP="00E66710">
      <w:pPr>
        <w:pStyle w:val="Heading3"/>
      </w:pPr>
      <w:r>
        <w:t xml:space="preserve">3.1.2 </w:t>
      </w:r>
      <w:r>
        <w:tab/>
        <w:t>Prévision du taux SESR dû à l'affaiblissement par la pluie</w:t>
      </w:r>
    </w:p>
    <w:p w:rsidR="00E66710" w:rsidRDefault="00E66710" w:rsidP="002E7522">
      <w:r>
        <w:t xml:space="preserve">La pluie peut entraîner un important affaiblissement. La plupart du temps, </w:t>
      </w:r>
      <w:r>
        <w:rPr>
          <w:i/>
        </w:rPr>
        <w:t>X</w:t>
      </w:r>
      <w:r w:rsidR="002E7522" w:rsidRPr="002E7522">
        <w:rPr>
          <w:i/>
          <w:sz w:val="8"/>
        </w:rPr>
        <w:t> </w:t>
      </w:r>
      <w:r>
        <w:t xml:space="preserve">%, lorsque l'affaiblissement dû à la pluie dépasse le seuil </w:t>
      </w:r>
      <w:r>
        <w:rPr>
          <w:i/>
        </w:rPr>
        <w:t>A</w:t>
      </w:r>
      <w:r>
        <w:rPr>
          <w:i/>
          <w:iCs/>
          <w:vertAlign w:val="subscript"/>
        </w:rPr>
        <w:t>SES</w:t>
      </w:r>
      <w:r>
        <w:t>, il se produira une condition d'indisponibilité. Le temps restant 100 – </w:t>
      </w:r>
      <w:r>
        <w:rPr>
          <w:i/>
        </w:rPr>
        <w:t>X</w:t>
      </w:r>
      <w:r w:rsidR="002E7522" w:rsidRPr="002E7522">
        <w:rPr>
          <w:i/>
          <w:sz w:val="8"/>
        </w:rPr>
        <w:t> </w:t>
      </w:r>
      <w:r>
        <w:t>% </w:t>
      </w:r>
      <w:r>
        <w:rPr>
          <w:rFonts w:ascii="Symbol" w:hAnsi="Symbol"/>
        </w:rPr>
        <w:t></w:t>
      </w:r>
      <w:r>
        <w:t> </w:t>
      </w:r>
      <w:r>
        <w:rPr>
          <w:i/>
        </w:rPr>
        <w:t>Y</w:t>
      </w:r>
      <w:r w:rsidR="002E7522" w:rsidRPr="002E7522">
        <w:rPr>
          <w:i/>
          <w:sz w:val="8"/>
        </w:rPr>
        <w:t> </w:t>
      </w:r>
      <w:r>
        <w:t>% est considéré comme une période de disponibilité donnant lieu à des secondes SES. La répartition entre la période de disponibilité et la période d'indisponibilité pour toute région climatique doit être déterminée à partir de mesures expérimentales.</w:t>
      </w:r>
    </w:p>
    <w:p w:rsidR="00E66710" w:rsidRDefault="00E66710" w:rsidP="002E7522">
      <w:r>
        <w:t xml:space="preserve">Le calcul du taux SESR dû à la pluie consiste à déterminer la marge d'affaiblissement, </w:t>
      </w:r>
      <w:r>
        <w:rPr>
          <w:i/>
        </w:rPr>
        <w:t>A</w:t>
      </w:r>
      <w:r>
        <w:rPr>
          <w:i/>
          <w:iCs/>
          <w:vertAlign w:val="subscript"/>
        </w:rPr>
        <w:t>SES</w:t>
      </w:r>
      <w:r>
        <w:t xml:space="preserve">, de la liaison radioélectrique pour un taux BER, </w:t>
      </w:r>
      <w:r>
        <w:rPr>
          <w:i/>
        </w:rPr>
        <w:t>BER</w:t>
      </w:r>
      <w:r>
        <w:rPr>
          <w:i/>
          <w:iCs/>
          <w:vertAlign w:val="subscript"/>
        </w:rPr>
        <w:t>SES</w:t>
      </w:r>
      <w:r>
        <w:t xml:space="preserve">, toutes les secondes étant des secondes SES. Il est possible ensuite d'évaluer le pourcentage de temps pendant le mois le plus défavorable, pendant lequel l'affaiblissement dû à la pluie dépasse cette marge, et enfin d'évaluer le pourcentage de temps annuel correspondant. La valeur du taux SESR dû à la pluie sera de </w:t>
      </w:r>
      <w:r>
        <w:rPr>
          <w:i/>
        </w:rPr>
        <w:t>Y</w:t>
      </w:r>
      <w:r w:rsidR="002E7522" w:rsidRPr="002E7522">
        <w:rPr>
          <w:i/>
          <w:sz w:val="8"/>
        </w:rPr>
        <w:t> </w:t>
      </w:r>
      <w:r>
        <w:t>% de cette probabilité.</w:t>
      </w:r>
    </w:p>
    <w:p w:rsidR="00E66710" w:rsidRDefault="008C3DFF" w:rsidP="00E66710">
      <w:pPr>
        <w:pStyle w:val="Heading4"/>
      </w:pPr>
      <w:r>
        <w:br w:type="page"/>
      </w:r>
      <w:r w:rsidR="00E66710">
        <w:lastRenderedPageBreak/>
        <w:t>3.1.2.1</w:t>
      </w:r>
      <w:r w:rsidR="00E66710">
        <w:tab/>
        <w:t>Procédure de calcul du taux SESR dû à l'affaiblissement par la pluie (étape par étape)</w:t>
      </w:r>
    </w:p>
    <w:p w:rsidR="00E66710" w:rsidRDefault="00E66710" w:rsidP="00E66710">
      <w:r>
        <w:t>On trouvera ci-après, indiquée étape par étape, une procédure d'évaluation du taux SESR dû à la pluie. Les paramètres d'entrée sont les suivants: fréquence, longueur de bond, polarisation, zone de pluie, puissance à l'émission, gain de l'antenne d'émission, gain de l'antenne de réception, relation entre la puissance reçue et le BER, type de conduit SDH et longueur des rafales d'erreurs.</w:t>
      </w:r>
    </w:p>
    <w:p w:rsidR="00E66710" w:rsidRDefault="00E66710" w:rsidP="00E66710">
      <w:pPr>
        <w:rPr>
          <w:lang w:val="fr-CH"/>
        </w:rPr>
      </w:pPr>
      <w:r>
        <w:rPr>
          <w:i/>
        </w:rPr>
        <w:t>Etape 1</w:t>
      </w:r>
      <w:r>
        <w:rPr>
          <w:i/>
          <w:iCs/>
        </w:rPr>
        <w:t>:</w:t>
      </w:r>
      <w:r>
        <w:tab/>
        <w:t xml:space="preserve">Calculer l'affaiblissement dû à la pluie dépassé pour 0,01% de temps, </w:t>
      </w:r>
      <w:r>
        <w:rPr>
          <w:i/>
        </w:rPr>
        <w:t>A</w:t>
      </w:r>
      <w:r>
        <w:rPr>
          <w:vertAlign w:val="subscript"/>
        </w:rPr>
        <w:t>0,01</w:t>
      </w:r>
      <w:r>
        <w:t>, selon la méthode décrite dans l'Annexe 1 de la Recommandation UIT-R P.530.</w:t>
      </w:r>
    </w:p>
    <w:p w:rsidR="00E66710" w:rsidRDefault="00E66710" w:rsidP="00E66710">
      <w:r>
        <w:rPr>
          <w:i/>
        </w:rPr>
        <w:t>Etape 2</w:t>
      </w:r>
      <w:r>
        <w:rPr>
          <w:i/>
          <w:iCs/>
        </w:rPr>
        <w:t>:</w:t>
      </w:r>
      <w:r>
        <w:tab/>
        <w:t xml:space="preserve">Calculer la puissance nominale reçue sans affaiblissement dû à la pluie </w:t>
      </w:r>
      <w:r>
        <w:rPr>
          <w:i/>
        </w:rPr>
        <w:t>P</w:t>
      </w:r>
      <w:r>
        <w:rPr>
          <w:i/>
          <w:iCs/>
          <w:vertAlign w:val="subscript"/>
        </w:rPr>
        <w:t>RXnominal</w:t>
      </w:r>
      <w:r>
        <w:t>.</w:t>
      </w:r>
    </w:p>
    <w:p w:rsidR="00E66710" w:rsidRDefault="00E66710" w:rsidP="00E66710">
      <w:r>
        <w:rPr>
          <w:i/>
        </w:rPr>
        <w:t>Etape 3</w:t>
      </w:r>
      <w:r>
        <w:rPr>
          <w:i/>
          <w:iCs/>
        </w:rPr>
        <w:t>:</w:t>
      </w:r>
      <w:r>
        <w:tab/>
        <w:t xml:space="preserve">A partir de la relation entre la puissance reçue et le BER (généralement obtenue auprès des fabricants d'équipements), déterminer la valeur de </w:t>
      </w:r>
      <w:r>
        <w:rPr>
          <w:i/>
        </w:rPr>
        <w:t>A</w:t>
      </w:r>
      <w:r>
        <w:rPr>
          <w:i/>
          <w:iCs/>
          <w:vertAlign w:val="subscript"/>
        </w:rPr>
        <w:t>SES</w:t>
      </w:r>
      <w:r>
        <w:t xml:space="preserve">, </w:t>
      </w:r>
      <w:r>
        <w:rPr>
          <w:i/>
        </w:rPr>
        <w:t>A</w:t>
      </w:r>
      <w:r>
        <w:rPr>
          <w:i/>
          <w:iCs/>
          <w:vertAlign w:val="subscript"/>
        </w:rPr>
        <w:t>SES</w:t>
      </w:r>
      <w:r>
        <w:t xml:space="preserve"> étant la marge d'affaiblissement de la liaison radioélectrique pour </w:t>
      </w:r>
      <w:r>
        <w:rPr>
          <w:i/>
        </w:rPr>
        <w:t>BER </w:t>
      </w:r>
      <w:r>
        <w:rPr>
          <w:rFonts w:ascii="Symbol" w:hAnsi="Symbol"/>
        </w:rPr>
        <w:t></w:t>
      </w:r>
      <w:r>
        <w:rPr>
          <w:i/>
        </w:rPr>
        <w:t> BER</w:t>
      </w:r>
      <w:r>
        <w:rPr>
          <w:i/>
          <w:iCs/>
          <w:vertAlign w:val="subscript"/>
        </w:rPr>
        <w:t>SES</w:t>
      </w:r>
      <w:r>
        <w:t xml:space="preserve"> (voir le Tableau 1).</w:t>
      </w:r>
    </w:p>
    <w:p w:rsidR="00E66710" w:rsidRDefault="00E66710" w:rsidP="009465D0">
      <w:r>
        <w:rPr>
          <w:i/>
        </w:rPr>
        <w:t>Etape 4</w:t>
      </w:r>
      <w:r>
        <w:rPr>
          <w:i/>
          <w:iCs/>
        </w:rPr>
        <w:t>:</w:t>
      </w:r>
      <w:r>
        <w:tab/>
        <w:t xml:space="preserve">Calculer le pourcentage de temps annuel, </w:t>
      </w:r>
      <w:r>
        <w:rPr>
          <w:i/>
        </w:rPr>
        <w:t>p</w:t>
      </w:r>
      <w:r>
        <w:rPr>
          <w:i/>
          <w:iCs/>
          <w:vertAlign w:val="subscript"/>
        </w:rPr>
        <w:t>aSES</w:t>
      </w:r>
      <w:r>
        <w:t xml:space="preserve">, pendant lequel l'affaiblissement dû à la pluie est supérieur à </w:t>
      </w:r>
      <w:r>
        <w:rPr>
          <w:i/>
        </w:rPr>
        <w:t>A</w:t>
      </w:r>
      <w:r>
        <w:rPr>
          <w:i/>
          <w:iCs/>
          <w:vertAlign w:val="subscript"/>
        </w:rPr>
        <w:t>SES</w:t>
      </w:r>
      <w:r>
        <w:t>, selon la méthode indiquée dans l'Annexe 1 de la Recomman</w:t>
      </w:r>
      <w:r w:rsidR="009465D0">
        <w:t xml:space="preserve">dation </w:t>
      </w:r>
      <w:r>
        <w:t>UIT</w:t>
      </w:r>
      <w:r>
        <w:noBreakHyphen/>
        <w:t>R P.530.</w:t>
      </w:r>
    </w:p>
    <w:p w:rsidR="00E66710" w:rsidRDefault="00E66710" w:rsidP="00E66710">
      <w:r>
        <w:rPr>
          <w:i/>
        </w:rPr>
        <w:t>Etape 5</w:t>
      </w:r>
      <w:r>
        <w:rPr>
          <w:i/>
          <w:iCs/>
        </w:rPr>
        <w:t>:</w:t>
      </w:r>
      <w:r>
        <w:tab/>
        <w:t xml:space="preserve">Convertir le pourcentage de temps annuel, </w:t>
      </w:r>
      <w:r>
        <w:rPr>
          <w:i/>
        </w:rPr>
        <w:t>p</w:t>
      </w:r>
      <w:r>
        <w:rPr>
          <w:i/>
          <w:iCs/>
          <w:vertAlign w:val="subscript"/>
        </w:rPr>
        <w:t>aSES</w:t>
      </w:r>
      <w:r>
        <w:t xml:space="preserve">, en pourcentage de temps pendant le mois le plus défavorable, </w:t>
      </w:r>
      <w:r>
        <w:rPr>
          <w:i/>
        </w:rPr>
        <w:t>p</w:t>
      </w:r>
      <w:r>
        <w:rPr>
          <w:i/>
          <w:iCs/>
          <w:vertAlign w:val="subscript"/>
        </w:rPr>
        <w:t>wSES</w:t>
      </w:r>
      <w:r>
        <w:t>, selon la méthode indiquée dans la Recommandation UIT-R P.841.</w:t>
      </w:r>
    </w:p>
    <w:p w:rsidR="00E66710" w:rsidRDefault="00E66710" w:rsidP="00E66710">
      <w:r>
        <w:rPr>
          <w:i/>
        </w:rPr>
        <w:t>Etape 6</w:t>
      </w:r>
      <w:r>
        <w:rPr>
          <w:i/>
          <w:iCs/>
        </w:rPr>
        <w:t>:</w:t>
      </w:r>
      <w:r>
        <w:tab/>
        <w:t>Calculer le taux SESR comme suit:</w:t>
      </w:r>
    </w:p>
    <w:p w:rsidR="00E66710" w:rsidRPr="00DE7F68" w:rsidRDefault="00E66710" w:rsidP="00E66710">
      <w:pPr>
        <w:pStyle w:val="Equation"/>
      </w:pPr>
      <w:r>
        <w:tab/>
      </w:r>
      <w:r>
        <w:tab/>
      </w:r>
      <w:r w:rsidRPr="000747DC">
        <w:rPr>
          <w:position w:val="-12"/>
          <w:lang w:val="es-ES"/>
        </w:rPr>
        <w:object w:dxaOrig="2020" w:dyaOrig="360">
          <v:shape id="_x0000_i1032" type="#_x0000_t75" style="width:101pt;height:18pt" o:ole="">
            <v:imagedata r:id="rId29" o:title=""/>
          </v:shape>
          <o:OLEObject Type="Embed" ProgID="Equation.3" ShapeID="_x0000_i1032" DrawAspect="Content" ObjectID="_1326718050" r:id="rId30"/>
        </w:object>
      </w:r>
      <w:r w:rsidRPr="00DE7F68">
        <w:tab/>
        <w:t>(6)</w:t>
      </w:r>
    </w:p>
    <w:p w:rsidR="00E66710" w:rsidRDefault="00E66710" w:rsidP="00E66710">
      <w:r>
        <w:rPr>
          <w:iCs/>
        </w:rPr>
        <w:t xml:space="preserve">où </w:t>
      </w:r>
      <w:r>
        <w:rPr>
          <w:i/>
        </w:rPr>
        <w:t>P</w:t>
      </w:r>
      <w:r>
        <w:rPr>
          <w:i/>
          <w:iCs/>
          <w:vertAlign w:val="subscript"/>
        </w:rPr>
        <w:t>wSES</w:t>
      </w:r>
      <w:r>
        <w:t xml:space="preserve"> est la probabilité de mois le plus défavorable (</w:t>
      </w:r>
      <w:r>
        <w:rPr>
          <w:i/>
        </w:rPr>
        <w:t>P</w:t>
      </w:r>
      <w:r>
        <w:rPr>
          <w:i/>
          <w:iCs/>
          <w:vertAlign w:val="subscript"/>
        </w:rPr>
        <w:t>wSES</w:t>
      </w:r>
      <w:r>
        <w:t> </w:t>
      </w:r>
      <w:r>
        <w:rPr>
          <w:rFonts w:ascii="Symbol" w:hAnsi="Symbol"/>
        </w:rPr>
        <w:t></w:t>
      </w:r>
      <w:r>
        <w:t> </w:t>
      </w:r>
      <w:r>
        <w:rPr>
          <w:i/>
        </w:rPr>
        <w:t>p</w:t>
      </w:r>
      <w:r>
        <w:rPr>
          <w:i/>
          <w:iCs/>
          <w:vertAlign w:val="subscript"/>
        </w:rPr>
        <w:t>wSES</w:t>
      </w:r>
      <w:r>
        <w:t>/100).</w:t>
      </w:r>
    </w:p>
    <w:p w:rsidR="00E66710" w:rsidRDefault="00E66710" w:rsidP="00E66710">
      <w:pPr>
        <w:pStyle w:val="Note"/>
      </w:pPr>
      <w:r>
        <w:t xml:space="preserve">NOTE 1 – La valeur de </w:t>
      </w:r>
      <w:r>
        <w:rPr>
          <w:i/>
        </w:rPr>
        <w:t>X</w:t>
      </w:r>
      <w:r>
        <w:t xml:space="preserve"> est à l'étude; la valeur </w:t>
      </w:r>
      <w:r>
        <w:rPr>
          <w:i/>
        </w:rPr>
        <w:t>Y </w:t>
      </w:r>
      <w:r>
        <w:rPr>
          <w:rFonts w:ascii="Symbol" w:hAnsi="Symbol"/>
        </w:rPr>
        <w:t></w:t>
      </w:r>
      <w:r>
        <w:t xml:space="preserve"> 0% est proposée pour le moment, l'affaiblissement dû à la pluie se traduisant par une indisponibilité de </w:t>
      </w:r>
      <w:r>
        <w:rPr>
          <w:i/>
        </w:rPr>
        <w:t>P</w:t>
      </w:r>
      <w:r>
        <w:rPr>
          <w:i/>
          <w:iCs/>
          <w:sz w:val="24"/>
          <w:vertAlign w:val="subscript"/>
        </w:rPr>
        <w:t>wSES</w:t>
      </w:r>
      <w:r>
        <w:t xml:space="preserve"> pendant le mois le plus défavorable.</w:t>
      </w:r>
    </w:p>
    <w:p w:rsidR="00E66710" w:rsidRDefault="00E66710" w:rsidP="00E66710">
      <w:pPr>
        <w:pStyle w:val="Heading2"/>
      </w:pPr>
      <w:r>
        <w:t>3.2</w:t>
      </w:r>
      <w:r>
        <w:tab/>
        <w:t>Prévision du taux BBER</w:t>
      </w:r>
    </w:p>
    <w:p w:rsidR="00E66710" w:rsidRDefault="00E66710" w:rsidP="00E66710">
      <w:r>
        <w:t>Le taux BBER dû à la propagation par trajets multiples et à la pluie est évalué comme suit:</w:t>
      </w:r>
    </w:p>
    <w:p w:rsidR="00E66710" w:rsidRDefault="00E66710" w:rsidP="00E66710">
      <w:pPr>
        <w:pStyle w:val="Equation"/>
      </w:pPr>
      <w:r>
        <w:tab/>
      </w:r>
      <w:r>
        <w:tab/>
      </w:r>
      <w:r w:rsidRPr="000747DC">
        <w:rPr>
          <w:position w:val="-32"/>
        </w:rPr>
        <w:object w:dxaOrig="4320" w:dyaOrig="760">
          <v:shape id="_x0000_i1033" type="#_x0000_t75" style="width:3in;height:38pt" o:ole="" fillcolor="window">
            <v:imagedata r:id="rId31" o:title=""/>
          </v:shape>
          <o:OLEObject Type="Embed" ProgID="Equation.3" ShapeID="_x0000_i1033" DrawAspect="Content" ObjectID="_1326718051" r:id="rId32"/>
        </w:object>
      </w:r>
      <w:r>
        <w:tab/>
        <w:t>(7)</w:t>
      </w:r>
    </w:p>
    <w:p w:rsidR="00E66710" w:rsidRDefault="00E66710" w:rsidP="00E66710">
      <w:pPr>
        <w:rPr>
          <w:iCs/>
        </w:rPr>
      </w:pPr>
      <w:r>
        <w:rPr>
          <w:iCs/>
        </w:rPr>
        <w:t>où:</w:t>
      </w:r>
    </w:p>
    <w:p w:rsidR="008C63BB" w:rsidRPr="003F2D9B" w:rsidRDefault="008C63BB" w:rsidP="00BD1EF3">
      <w:pPr>
        <w:pStyle w:val="Equationlegend"/>
        <w:rPr>
          <w:lang w:val="fr-CH"/>
        </w:rPr>
      </w:pPr>
      <w:r w:rsidRPr="003F2D9B">
        <w:rPr>
          <w:lang w:val="fr-CH"/>
        </w:rPr>
        <w:tab/>
      </w:r>
      <w:r w:rsidR="005F3B62">
        <w:pict>
          <v:shape id="_x0000_i1034" type="#_x0000_t75" style="width:50pt;height:17pt">
            <v:imagedata r:id="rId33" o:title=""/>
          </v:shape>
        </w:pict>
      </w:r>
      <w:r w:rsidRPr="003F2D9B">
        <w:rPr>
          <w:lang w:val="fr-CH"/>
        </w:rPr>
        <w:t>:</w:t>
      </w:r>
      <w:r w:rsidRPr="003F2D9B">
        <w:rPr>
          <w:lang w:val="fr-CH"/>
        </w:rPr>
        <w:tab/>
        <w:t>relation entre les taux BBE et BER</w:t>
      </w:r>
    </w:p>
    <w:p w:rsidR="008C63BB" w:rsidRPr="003F2D9B" w:rsidRDefault="008C63BB" w:rsidP="00BD1EF3">
      <w:pPr>
        <w:pStyle w:val="Equationlegend"/>
        <w:rPr>
          <w:lang w:val="fr-CH"/>
        </w:rPr>
      </w:pPr>
      <w:r w:rsidRPr="003F2D9B">
        <w:rPr>
          <w:lang w:val="fr-CH"/>
        </w:rPr>
        <w:tab/>
      </w:r>
      <w:r w:rsidR="005F3B62">
        <w:pict>
          <v:shape id="_x0000_i1035" type="#_x0000_t75" style="width:45pt;height:17pt">
            <v:imagedata r:id="rId34" o:title=""/>
          </v:shape>
        </w:pict>
      </w:r>
      <w:r w:rsidRPr="003F2D9B">
        <w:rPr>
          <w:lang w:val="fr-CH"/>
        </w:rPr>
        <w:t>:</w:t>
      </w:r>
      <w:r w:rsidRPr="003F2D9B">
        <w:rPr>
          <w:lang w:val="fr-CH"/>
        </w:rPr>
        <w:tab/>
        <w:t>fonction de densité de probabilité du taux BER</w:t>
      </w:r>
    </w:p>
    <w:p w:rsidR="008C3DFF" w:rsidRPr="008C3DFF" w:rsidRDefault="008C63BB" w:rsidP="008C3DFF">
      <w:pPr>
        <w:pStyle w:val="Equationlegend"/>
        <w:rPr>
          <w:lang w:val="fr-FR"/>
        </w:rPr>
      </w:pPr>
      <w:r w:rsidRPr="003F2D9B">
        <w:rPr>
          <w:lang w:val="fr-CH"/>
        </w:rPr>
        <w:tab/>
      </w:r>
      <w:r w:rsidRPr="00BD1EF3">
        <w:rPr>
          <w:i/>
          <w:iCs/>
          <w:lang w:val="fr-FR"/>
        </w:rPr>
        <w:t>BER</w:t>
      </w:r>
      <w:r w:rsidRPr="00BD1EF3">
        <w:rPr>
          <w:i/>
          <w:iCs/>
          <w:vertAlign w:val="subscript"/>
          <w:lang w:val="fr-FR"/>
        </w:rPr>
        <w:t>A</w:t>
      </w:r>
      <w:r w:rsidRPr="00BD1EF3">
        <w:rPr>
          <w:lang w:val="fr-FR"/>
        </w:rPr>
        <w:t xml:space="preserve"> et </w:t>
      </w:r>
      <w:r w:rsidRPr="00BD1EF3">
        <w:rPr>
          <w:i/>
          <w:iCs/>
          <w:lang w:val="fr-FR"/>
        </w:rPr>
        <w:t>BER</w:t>
      </w:r>
      <w:r w:rsidRPr="00BD1EF3">
        <w:rPr>
          <w:i/>
          <w:iCs/>
          <w:vertAlign w:val="subscript"/>
          <w:lang w:val="fr-FR"/>
        </w:rPr>
        <w:t>B</w:t>
      </w:r>
      <w:r w:rsidRPr="00BD1EF3">
        <w:rPr>
          <w:lang w:val="fr-FR"/>
        </w:rPr>
        <w:t> :</w:t>
      </w:r>
      <w:r w:rsidRPr="00BD1EF3">
        <w:rPr>
          <w:lang w:val="fr-FR"/>
        </w:rPr>
        <w:tab/>
        <w:t>limites d'intégration (valeurs types de 1 </w:t>
      </w:r>
      <w:r w:rsidR="00BD1EF3">
        <w:sym w:font="Symbol" w:char="F0B4"/>
      </w:r>
      <w:r w:rsidRPr="00BD1EF3">
        <w:rPr>
          <w:lang w:val="fr-FR"/>
        </w:rPr>
        <w:t> 10</w:t>
      </w:r>
      <w:r w:rsidRPr="00BD1EF3">
        <w:rPr>
          <w:vertAlign w:val="superscript"/>
          <w:lang w:val="fr-FR"/>
        </w:rPr>
        <w:t>–12</w:t>
      </w:r>
      <w:r w:rsidR="008C3DFF">
        <w:rPr>
          <w:vertAlign w:val="superscript"/>
          <w:lang w:val="fr-FR"/>
        </w:rPr>
        <w:t xml:space="preserve"> </w:t>
      </w:r>
      <w:r w:rsidR="008C3DFF">
        <w:rPr>
          <w:lang w:val="fr-FR"/>
        </w:rPr>
        <w:t xml:space="preserve">et 1 </w:t>
      </w:r>
      <w:r w:rsidR="008C3DFF">
        <w:rPr>
          <w:lang w:val="fr-FR"/>
        </w:rPr>
        <w:sym w:font="Symbol" w:char="F0B4"/>
      </w:r>
      <w:r w:rsidR="008C3DFF">
        <w:rPr>
          <w:lang w:val="fr-FR"/>
        </w:rPr>
        <w:t xml:space="preserve"> 10</w:t>
      </w:r>
      <w:r w:rsidR="008C3DFF">
        <w:rPr>
          <w:vertAlign w:val="superscript"/>
          <w:lang w:val="fr-FR"/>
        </w:rPr>
        <w:t>–3</w:t>
      </w:r>
      <w:r w:rsidR="008C3DFF">
        <w:rPr>
          <w:lang w:val="fr-FR"/>
        </w:rPr>
        <w:t>).</w:t>
      </w:r>
    </w:p>
    <w:p w:rsidR="00E66710" w:rsidRDefault="00E66710" w:rsidP="00E66710">
      <w:pPr>
        <w:pStyle w:val="Heading3"/>
      </w:pPr>
      <w:r>
        <w:t>3.2.1</w:t>
      </w:r>
      <w:r>
        <w:tab/>
        <w:t>Prévision du taux BBER dû à la propagation par trajets multiples</w:t>
      </w:r>
    </w:p>
    <w:p w:rsidR="00E66710" w:rsidRDefault="00E66710" w:rsidP="00E66710">
      <w:r>
        <w:t xml:space="preserve">Deux méthodes sont possibles. La première méthode est une méthode complète fondée sur la solution analytique de l'intégrale qui figure dans l'équation (7), </w:t>
      </w:r>
      <w:r>
        <w:rPr>
          <w:i/>
          <w:iCs/>
          <w:lang w:val="fr-CH"/>
        </w:rPr>
        <w:t>g</w:t>
      </w:r>
      <w:r>
        <w:rPr>
          <w:i/>
          <w:iCs/>
          <w:vertAlign w:val="subscript"/>
          <w:lang w:val="fr-CH"/>
        </w:rPr>
        <w:t>BER</w:t>
      </w:r>
      <w:r>
        <w:rPr>
          <w:lang w:val="fr-CH"/>
        </w:rPr>
        <w:t>(</w:t>
      </w:r>
      <w:r>
        <w:rPr>
          <w:i/>
          <w:iCs/>
          <w:lang w:val="fr-CH"/>
        </w:rPr>
        <w:t>x</w:t>
      </w:r>
      <w:r>
        <w:rPr>
          <w:lang w:val="fr-CH"/>
        </w:rPr>
        <w:t xml:space="preserve">) </w:t>
      </w:r>
      <w:r>
        <w:t xml:space="preserve">étant obtenu à partir du modèle de prévision des interruptions (voir la figure appropriée, semblable à la Fig. 1) et </w:t>
      </w:r>
      <w:r>
        <w:rPr>
          <w:i/>
          <w:iCs/>
          <w:lang w:val="fr-CH"/>
        </w:rPr>
        <w:t>f</w:t>
      </w:r>
      <w:r>
        <w:rPr>
          <w:i/>
          <w:iCs/>
          <w:vertAlign w:val="subscript"/>
          <w:lang w:val="fr-CH"/>
        </w:rPr>
        <w:t>BBER</w:t>
      </w:r>
      <w:r>
        <w:rPr>
          <w:lang w:val="fr-CH"/>
        </w:rPr>
        <w:t>(</w:t>
      </w:r>
      <w:r>
        <w:rPr>
          <w:i/>
          <w:iCs/>
          <w:lang w:val="fr-CH"/>
        </w:rPr>
        <w:t>x</w:t>
      </w:r>
      <w:r>
        <w:rPr>
          <w:lang w:val="fr-CH"/>
        </w:rPr>
        <w:t>)</w:t>
      </w:r>
      <w:r>
        <w:t xml:space="preserve"> étant la relation théorique entre les taux BBE et BER</w:t>
      </w:r>
      <w:r>
        <w:rPr>
          <w:i/>
        </w:rPr>
        <w:t>.</w:t>
      </w:r>
      <w:r>
        <w:t xml:space="preserve"> La deuxième méthode est une méthode simplifiée fondée sur une approximation de </w:t>
      </w:r>
      <w:r>
        <w:rPr>
          <w:i/>
          <w:iCs/>
          <w:lang w:val="fr-CH"/>
        </w:rPr>
        <w:t>f</w:t>
      </w:r>
      <w:r>
        <w:rPr>
          <w:i/>
          <w:iCs/>
          <w:vertAlign w:val="subscript"/>
          <w:lang w:val="fr-CH"/>
        </w:rPr>
        <w:t>BBER</w:t>
      </w:r>
      <w:r>
        <w:rPr>
          <w:lang w:val="fr-CH"/>
        </w:rPr>
        <w:t>(</w:t>
      </w:r>
      <w:r>
        <w:rPr>
          <w:i/>
          <w:iCs/>
          <w:lang w:val="fr-CH"/>
        </w:rPr>
        <w:t>x</w:t>
      </w:r>
      <w:r>
        <w:rPr>
          <w:lang w:val="fr-CH"/>
        </w:rPr>
        <w:t>)</w:t>
      </w:r>
      <w:r>
        <w:t xml:space="preserve"> et de</w:t>
      </w:r>
      <w:r>
        <w:rPr>
          <w:i/>
          <w:iCs/>
          <w:lang w:val="fr-CH"/>
        </w:rPr>
        <w:t xml:space="preserve"> g</w:t>
      </w:r>
      <w:r>
        <w:rPr>
          <w:i/>
          <w:iCs/>
          <w:vertAlign w:val="subscript"/>
          <w:lang w:val="fr-CH"/>
        </w:rPr>
        <w:t>BER</w:t>
      </w:r>
      <w:r>
        <w:rPr>
          <w:lang w:val="fr-CH"/>
        </w:rPr>
        <w:t>(</w:t>
      </w:r>
      <w:r>
        <w:rPr>
          <w:i/>
          <w:iCs/>
          <w:lang w:val="fr-CH"/>
        </w:rPr>
        <w:t>x</w:t>
      </w:r>
      <w:r>
        <w:rPr>
          <w:lang w:val="fr-CH"/>
        </w:rPr>
        <w:t>)</w:t>
      </w:r>
      <w:r>
        <w:t>.</w:t>
      </w:r>
    </w:p>
    <w:p w:rsidR="00E66710" w:rsidRDefault="00E66710" w:rsidP="00E66710">
      <w:pPr>
        <w:pStyle w:val="Heading4"/>
      </w:pPr>
      <w:r>
        <w:lastRenderedPageBreak/>
        <w:t>3.2.1.1</w:t>
      </w:r>
      <w:r>
        <w:tab/>
        <w:t>Procédure de calcul du taux BBER dû à la propagation par trajets multiples (étape par étape)</w:t>
      </w:r>
    </w:p>
    <w:p w:rsidR="00E66710" w:rsidRDefault="00E66710" w:rsidP="00E66710">
      <w:r>
        <w:t>On trouvera dans ce paragraphe, indiquée étape par étape, une procédure fondée sur le modèle de prévision simplifié.</w:t>
      </w:r>
    </w:p>
    <w:p w:rsidR="00E66710" w:rsidRDefault="00E66710" w:rsidP="00E66710">
      <w:r>
        <w:rPr>
          <w:i/>
        </w:rPr>
        <w:t>Etape 1</w:t>
      </w:r>
      <w:r>
        <w:rPr>
          <w:i/>
          <w:iCs/>
        </w:rPr>
        <w:t>:</w:t>
      </w:r>
      <w:r>
        <w:tab/>
        <w:t xml:space="preserve">Calculer la probabilité d'interruption, </w:t>
      </w:r>
      <w:r>
        <w:rPr>
          <w:i/>
        </w:rPr>
        <w:t>P</w:t>
      </w:r>
      <w:r>
        <w:rPr>
          <w:i/>
          <w:iCs/>
          <w:vertAlign w:val="subscript"/>
        </w:rPr>
        <w:t>tR</w:t>
      </w:r>
      <w:r>
        <w:t>, pour le BER résiduel (RBER) (généralement dans la plage comprise entre 1 </w:t>
      </w:r>
      <w:r>
        <w:rPr>
          <w:rFonts w:ascii="Symbol" w:hAnsi="Symbol"/>
        </w:rPr>
        <w:t></w:t>
      </w:r>
      <w:r>
        <w:t> 10</w:t>
      </w:r>
      <w:r>
        <w:rPr>
          <w:vertAlign w:val="superscript"/>
        </w:rPr>
        <w:t>–10</w:t>
      </w:r>
      <w:r>
        <w:rPr>
          <w:sz w:val="23"/>
        </w:rPr>
        <w:t xml:space="preserve"> et </w:t>
      </w:r>
      <w:r>
        <w:t>1 </w:t>
      </w:r>
      <w:r>
        <w:rPr>
          <w:rFonts w:ascii="Symbol" w:hAnsi="Symbol"/>
        </w:rPr>
        <w:t></w:t>
      </w:r>
      <w:r>
        <w:t> 10</w:t>
      </w:r>
      <w:r>
        <w:rPr>
          <w:vertAlign w:val="superscript"/>
        </w:rPr>
        <w:t>–13</w:t>
      </w:r>
      <w:r>
        <w:t>, pour des débits binaires allant de 2 à 155 Mbit/s), selon les méthodes de prévision des interruptions décrites dans l'Annexe 1 de la Recommandation UIT-R P.530 pour le système approprié:</w:t>
      </w:r>
    </w:p>
    <w:p w:rsidR="00E66710" w:rsidRDefault="00E66710" w:rsidP="00E66710">
      <w:pPr>
        <w:pStyle w:val="Equation"/>
        <w:rPr>
          <w:lang w:val="fr-CH"/>
        </w:rPr>
      </w:pPr>
      <w:r>
        <w:tab/>
      </w:r>
      <w:r>
        <w:tab/>
      </w:r>
      <w:r w:rsidRPr="000747DC">
        <w:rPr>
          <w:position w:val="-12"/>
          <w:lang w:val="en-US"/>
        </w:rPr>
        <w:object w:dxaOrig="1620" w:dyaOrig="360">
          <v:shape id="_x0000_i1036" type="#_x0000_t75" style="width:81pt;height:18pt" o:ole="">
            <v:imagedata r:id="rId35" o:title=""/>
          </v:shape>
          <o:OLEObject Type="Embed" ProgID="Equation.3" ShapeID="_x0000_i1036" DrawAspect="Content" ObjectID="_1326718052" r:id="rId36"/>
        </w:object>
      </w:r>
      <w:r>
        <w:rPr>
          <w:lang w:val="fr-CH"/>
        </w:rPr>
        <w:tab/>
        <w:t>(8)</w:t>
      </w:r>
    </w:p>
    <w:p w:rsidR="00E66710" w:rsidRDefault="00E66710" w:rsidP="00E66710">
      <w:r>
        <w:rPr>
          <w:i/>
        </w:rPr>
        <w:t>Etape 2</w:t>
      </w:r>
      <w:r>
        <w:rPr>
          <w:i/>
          <w:iCs/>
        </w:rPr>
        <w:t>:</w:t>
      </w:r>
      <w:r>
        <w:tab/>
        <w:t xml:space="preserve">Calculer la probabilité d'interruption à </w:t>
      </w:r>
      <w:r>
        <w:rPr>
          <w:i/>
        </w:rPr>
        <w:t>BER </w:t>
      </w:r>
      <w:r>
        <w:rPr>
          <w:rFonts w:ascii="Symbol" w:hAnsi="Symbol"/>
        </w:rPr>
        <w:t></w:t>
      </w:r>
      <w:r>
        <w:rPr>
          <w:i/>
        </w:rPr>
        <w:t> BER</w:t>
      </w:r>
      <w:r>
        <w:rPr>
          <w:i/>
          <w:iCs/>
          <w:vertAlign w:val="subscript"/>
        </w:rPr>
        <w:t>SES</w:t>
      </w:r>
      <w:r>
        <w:t xml:space="preserve"> comme indiqué à l'Etape 1:</w:t>
      </w:r>
    </w:p>
    <w:p w:rsidR="00E66710" w:rsidRPr="00DE7F68" w:rsidRDefault="00E66710" w:rsidP="00E66710">
      <w:pPr>
        <w:pStyle w:val="Equation"/>
      </w:pPr>
      <w:r>
        <w:tab/>
      </w:r>
      <w:r>
        <w:tab/>
      </w:r>
      <w:r w:rsidRPr="00DE7F68">
        <w:rPr>
          <w:position w:val="-12"/>
          <w:lang w:val="en-US"/>
        </w:rPr>
        <w:object w:dxaOrig="1980" w:dyaOrig="360">
          <v:shape id="_x0000_i1037" type="#_x0000_t75" style="width:99pt;height:18pt" o:ole="">
            <v:imagedata r:id="rId37" o:title=""/>
          </v:shape>
          <o:OLEObject Type="Embed" ProgID="Equation.3" ShapeID="_x0000_i1037" DrawAspect="Content" ObjectID="_1326718053" r:id="rId38"/>
        </w:object>
      </w:r>
      <w:r w:rsidRPr="00DE7F68">
        <w:tab/>
        <w:t>(9)</w:t>
      </w:r>
    </w:p>
    <w:p w:rsidR="00E66710" w:rsidRDefault="00E66710" w:rsidP="00E66710">
      <w:r>
        <w:rPr>
          <w:i/>
        </w:rPr>
        <w:t>BER</w:t>
      </w:r>
      <w:r>
        <w:rPr>
          <w:i/>
          <w:iCs/>
          <w:vertAlign w:val="subscript"/>
        </w:rPr>
        <w:t>SES</w:t>
      </w:r>
      <w:r>
        <w:t xml:space="preserve"> étant indiqué dans le Tableau 1.</w:t>
      </w:r>
    </w:p>
    <w:p w:rsidR="00E66710" w:rsidRDefault="00E66710" w:rsidP="00E66710">
      <w:r>
        <w:rPr>
          <w:i/>
        </w:rPr>
        <w:t>Etape 3</w:t>
      </w:r>
      <w:r>
        <w:rPr>
          <w:i/>
          <w:iCs/>
        </w:rPr>
        <w:t>:</w:t>
      </w:r>
      <w:r>
        <w:tab/>
        <w:t>Calculer le taux SESR comme indiqué à l'Etape 1 pour la propagation par trajets multiples (voir le § 3.1.1.1):</w:t>
      </w:r>
    </w:p>
    <w:p w:rsidR="00E66710" w:rsidRPr="00DE7F68" w:rsidRDefault="00E66710" w:rsidP="00E66710">
      <w:pPr>
        <w:pStyle w:val="Equation"/>
      </w:pPr>
      <w:r>
        <w:tab/>
      </w:r>
      <w:r>
        <w:tab/>
      </w:r>
      <w:r w:rsidRPr="000747DC">
        <w:rPr>
          <w:position w:val="-12"/>
          <w:lang w:val="en-US"/>
        </w:rPr>
        <w:object w:dxaOrig="2820" w:dyaOrig="360">
          <v:shape id="_x0000_i1038" type="#_x0000_t75" style="width:141pt;height:18pt" o:ole="">
            <v:imagedata r:id="rId39" o:title=""/>
          </v:shape>
          <o:OLEObject Type="Embed" ProgID="Equation.3" ShapeID="_x0000_i1038" DrawAspect="Content" ObjectID="_1326718054" r:id="rId40"/>
        </w:object>
      </w:r>
      <w:r w:rsidRPr="00DE7F68">
        <w:tab/>
        <w:t>(10)</w:t>
      </w:r>
    </w:p>
    <w:p w:rsidR="00E66710" w:rsidRDefault="00E66710" w:rsidP="00E66710">
      <w:r>
        <w:rPr>
          <w:i/>
        </w:rPr>
        <w:t>Etape 4</w:t>
      </w:r>
      <w:r>
        <w:rPr>
          <w:i/>
          <w:iCs/>
        </w:rPr>
        <w:t>:</w:t>
      </w:r>
      <w:r>
        <w:tab/>
        <w:t>Calculer le taux BBER comme suit:</w:t>
      </w:r>
    </w:p>
    <w:p w:rsidR="00E66710" w:rsidRDefault="00E66710" w:rsidP="00E66710">
      <w:pPr>
        <w:pStyle w:val="Equation"/>
      </w:pPr>
      <w:r>
        <w:tab/>
      </w:r>
      <w:r>
        <w:tab/>
      </w:r>
      <w:r w:rsidRPr="000747DC">
        <w:rPr>
          <w:position w:val="-30"/>
        </w:rPr>
        <w:object w:dxaOrig="4780" w:dyaOrig="680">
          <v:shape id="_x0000_i1039" type="#_x0000_t75" style="width:239pt;height:34pt" o:ole="" fillcolor="window">
            <v:imagedata r:id="rId41" o:title=""/>
          </v:shape>
          <o:OLEObject Type="Embed" ProgID="Equation.3" ShapeID="_x0000_i1039" DrawAspect="Content" ObjectID="_1326718055" r:id="rId42"/>
        </w:object>
      </w:r>
      <w:r>
        <w:tab/>
        <w:t>(11)</w:t>
      </w:r>
    </w:p>
    <w:p w:rsidR="00E66710" w:rsidRDefault="00E66710" w:rsidP="00E66710">
      <w:r>
        <w:t>où:</w:t>
      </w:r>
    </w:p>
    <w:p w:rsidR="009465D0" w:rsidRPr="008F595F" w:rsidRDefault="009465D0" w:rsidP="00480130">
      <w:pPr>
        <w:pStyle w:val="Equationlegend"/>
        <w:rPr>
          <w:lang w:val="fr-FR"/>
        </w:rPr>
      </w:pPr>
      <w:r w:rsidRPr="003F2D9B">
        <w:rPr>
          <w:lang w:val="fr-CH"/>
        </w:rPr>
        <w:tab/>
      </w:r>
      <w:r w:rsidRPr="008F595F">
        <w:sym w:font="Symbol" w:char="F061"/>
      </w:r>
      <w:r w:rsidRPr="00B46045">
        <w:rPr>
          <w:position w:val="-6"/>
          <w:sz w:val="18"/>
          <w:lang w:val="fr-FR"/>
        </w:rPr>
        <w:t>1</w:t>
      </w:r>
      <w:r w:rsidRPr="008F595F">
        <w:rPr>
          <w:lang w:val="fr-FR"/>
        </w:rPr>
        <w:t> </w:t>
      </w:r>
      <w:r w:rsidR="008F595F" w:rsidRPr="008F595F">
        <w:rPr>
          <w:lang w:val="fr-FR"/>
        </w:rPr>
        <w:t>=</w:t>
      </w:r>
      <w:r w:rsidR="008F595F">
        <w:rPr>
          <w:lang w:val="fr-FR"/>
        </w:rPr>
        <w:tab/>
      </w:r>
      <w:r w:rsidRPr="008F595F">
        <w:rPr>
          <w:lang w:val="fr-FR"/>
        </w:rPr>
        <w:t>10 à 30, nombre d'erreurs par rafale pour un BER compris entre 1 </w:t>
      </w:r>
      <w:r w:rsidR="008F595F">
        <w:rPr>
          <w:lang w:val="fr-FR"/>
        </w:rPr>
        <w:sym w:font="Symbol" w:char="F0B4"/>
      </w:r>
      <w:r w:rsidRPr="008F595F">
        <w:rPr>
          <w:lang w:val="fr-FR"/>
        </w:rPr>
        <w:t> 10</w:t>
      </w:r>
      <w:r w:rsidRPr="008F595F">
        <w:rPr>
          <w:vertAlign w:val="superscript"/>
          <w:lang w:val="fr-FR"/>
        </w:rPr>
        <w:t>–3</w:t>
      </w:r>
      <w:r w:rsidRPr="008F595F">
        <w:rPr>
          <w:lang w:val="fr-FR"/>
        </w:rPr>
        <w:t xml:space="preserve"> et </w:t>
      </w:r>
      <w:r w:rsidRPr="00BD1EF3">
        <w:rPr>
          <w:i/>
          <w:iCs/>
          <w:lang w:val="fr-FR"/>
        </w:rPr>
        <w:t>BER</w:t>
      </w:r>
      <w:r w:rsidRPr="00BD1EF3">
        <w:rPr>
          <w:i/>
          <w:iCs/>
          <w:vertAlign w:val="subscript"/>
          <w:lang w:val="fr-FR"/>
        </w:rPr>
        <w:t>SES</w:t>
      </w:r>
    </w:p>
    <w:p w:rsidR="009465D0" w:rsidRPr="008F595F" w:rsidRDefault="008F595F" w:rsidP="008F595F">
      <w:pPr>
        <w:pStyle w:val="Equationlegend"/>
        <w:rPr>
          <w:lang w:val="fr-FR"/>
        </w:rPr>
      </w:pPr>
      <w:r w:rsidRPr="00480130">
        <w:rPr>
          <w:lang w:val="fr-FR"/>
        </w:rPr>
        <w:tab/>
      </w:r>
      <w:r w:rsidR="009465D0" w:rsidRPr="008F595F">
        <w:sym w:font="Symbol" w:char="F061"/>
      </w:r>
      <w:r w:rsidR="009465D0" w:rsidRPr="00B46045">
        <w:rPr>
          <w:position w:val="-6"/>
          <w:sz w:val="18"/>
          <w:lang w:val="fr-FR"/>
        </w:rPr>
        <w:t>2</w:t>
      </w:r>
      <w:r w:rsidR="009465D0" w:rsidRPr="008F595F">
        <w:rPr>
          <w:lang w:val="fr-FR"/>
        </w:rPr>
        <w:t> </w:t>
      </w:r>
      <w:r w:rsidRPr="008F595F">
        <w:rPr>
          <w:lang w:val="fr-FR"/>
        </w:rPr>
        <w:t>=</w:t>
      </w:r>
      <w:r>
        <w:rPr>
          <w:lang w:val="fr-FR"/>
        </w:rPr>
        <w:tab/>
      </w:r>
      <w:r w:rsidR="009465D0" w:rsidRPr="008F595F">
        <w:rPr>
          <w:lang w:val="fr-FR"/>
        </w:rPr>
        <w:t xml:space="preserve">1 à 10, nombre d'erreurs par rafale pour un BER compris entre </w:t>
      </w:r>
      <w:r w:rsidR="009465D0" w:rsidRPr="00BD1EF3">
        <w:rPr>
          <w:i/>
          <w:iCs/>
          <w:lang w:val="fr-FR"/>
        </w:rPr>
        <w:t>BER</w:t>
      </w:r>
      <w:r w:rsidR="009465D0" w:rsidRPr="00BD1EF3">
        <w:rPr>
          <w:i/>
          <w:iCs/>
          <w:vertAlign w:val="subscript"/>
          <w:lang w:val="fr-FR"/>
        </w:rPr>
        <w:t>SES</w:t>
      </w:r>
      <w:r w:rsidR="009465D0" w:rsidRPr="008F595F">
        <w:rPr>
          <w:lang w:val="fr-FR"/>
        </w:rPr>
        <w:t xml:space="preserve"> et RBER</w:t>
      </w:r>
    </w:p>
    <w:p w:rsidR="009465D0" w:rsidRPr="008F595F" w:rsidRDefault="009465D0" w:rsidP="008F595F">
      <w:pPr>
        <w:pStyle w:val="Equationlegend"/>
        <w:rPr>
          <w:lang w:val="fr-FR"/>
        </w:rPr>
      </w:pPr>
      <w:r w:rsidRPr="008F595F">
        <w:rPr>
          <w:lang w:val="fr-FR"/>
        </w:rPr>
        <w:tab/>
      </w:r>
      <w:r w:rsidRPr="008F595F">
        <w:sym w:font="Symbol" w:char="F061"/>
      </w:r>
      <w:r w:rsidRPr="00B46045">
        <w:rPr>
          <w:position w:val="-6"/>
          <w:sz w:val="18"/>
          <w:lang w:val="fr-FR"/>
        </w:rPr>
        <w:t>3</w:t>
      </w:r>
      <w:r w:rsidRPr="008F595F">
        <w:rPr>
          <w:lang w:val="fr-FR"/>
        </w:rPr>
        <w:t> </w:t>
      </w:r>
      <w:r w:rsidR="008F595F" w:rsidRPr="008F595F">
        <w:rPr>
          <w:lang w:val="fr-FR"/>
        </w:rPr>
        <w:t>=</w:t>
      </w:r>
      <w:r w:rsidR="008F595F">
        <w:rPr>
          <w:lang w:val="fr-FR"/>
        </w:rPr>
        <w:tab/>
      </w:r>
      <w:r w:rsidRPr="008F595F">
        <w:rPr>
          <w:lang w:val="fr-FR"/>
        </w:rPr>
        <w:t>1, nombre d'erreurs par rafale pour un BER inférieur à RBER</w:t>
      </w:r>
    </w:p>
    <w:p w:rsidR="009465D0" w:rsidRPr="008F595F" w:rsidRDefault="009465D0" w:rsidP="008F595F">
      <w:pPr>
        <w:pStyle w:val="Equationlegend"/>
        <w:rPr>
          <w:lang w:val="fr-FR"/>
        </w:rPr>
      </w:pPr>
      <w:r w:rsidRPr="008F595F">
        <w:rPr>
          <w:lang w:val="fr-FR"/>
        </w:rPr>
        <w:tab/>
      </w:r>
      <w:r w:rsidRPr="00BD1EF3">
        <w:rPr>
          <w:i/>
          <w:iCs/>
          <w:lang w:val="fr-FR"/>
        </w:rPr>
        <w:t>N</w:t>
      </w:r>
      <w:r w:rsidRPr="00BD1EF3">
        <w:rPr>
          <w:i/>
          <w:iCs/>
          <w:vertAlign w:val="subscript"/>
          <w:lang w:val="fr-FR"/>
        </w:rPr>
        <w:t>B</w:t>
      </w:r>
      <w:r w:rsidRPr="008F595F">
        <w:rPr>
          <w:lang w:val="fr-FR"/>
        </w:rPr>
        <w:t> :</w:t>
      </w:r>
      <w:r w:rsidR="008F595F">
        <w:rPr>
          <w:lang w:val="fr-FR"/>
        </w:rPr>
        <w:tab/>
      </w:r>
      <w:r w:rsidRPr="008F595F">
        <w:rPr>
          <w:lang w:val="fr-FR"/>
        </w:rPr>
        <w:t>nombre de bits par bloc (voir le Tableau 1)</w:t>
      </w:r>
    </w:p>
    <w:p w:rsidR="009465D0" w:rsidRDefault="009465D0" w:rsidP="008F595F">
      <w:pPr>
        <w:pStyle w:val="Equationlegend"/>
        <w:rPr>
          <w:lang w:val="fr-FR"/>
        </w:rPr>
      </w:pPr>
      <w:r w:rsidRPr="008F595F">
        <w:rPr>
          <w:lang w:val="fr-FR"/>
        </w:rPr>
        <w:tab/>
      </w:r>
      <w:r w:rsidRPr="00BD1EF3">
        <w:rPr>
          <w:i/>
          <w:iCs/>
          <w:lang w:val="fr-FR"/>
        </w:rPr>
        <w:t>m</w:t>
      </w:r>
      <w:r w:rsidRPr="008F595F">
        <w:rPr>
          <w:lang w:val="fr-FR"/>
        </w:rPr>
        <w:t> :</w:t>
      </w:r>
      <w:r w:rsidR="008F595F">
        <w:rPr>
          <w:lang w:val="fr-FR"/>
        </w:rPr>
        <w:tab/>
      </w:r>
      <w:r w:rsidRPr="008F595F">
        <w:rPr>
          <w:lang w:val="fr-FR"/>
        </w:rPr>
        <w:t xml:space="preserve">pente de la courbe de distribution BER sur une échelle logarithmique pour un taux BER compris entre </w:t>
      </w:r>
      <w:r w:rsidRPr="00BD1EF3">
        <w:rPr>
          <w:i/>
          <w:iCs/>
          <w:lang w:val="fr-FR"/>
        </w:rPr>
        <w:t>BER</w:t>
      </w:r>
      <w:r w:rsidRPr="00BD1EF3">
        <w:rPr>
          <w:i/>
          <w:iCs/>
          <w:vertAlign w:val="subscript"/>
          <w:lang w:val="fr-FR"/>
        </w:rPr>
        <w:t>SES</w:t>
      </w:r>
      <w:r w:rsidRPr="008F595F">
        <w:rPr>
          <w:lang w:val="fr-FR"/>
        </w:rPr>
        <w:t xml:space="preserve"> et RBER, donnée par l'équation suivante:</w:t>
      </w:r>
    </w:p>
    <w:p w:rsidR="001004BB" w:rsidRPr="003F2D9B" w:rsidRDefault="001004BB" w:rsidP="001004BB">
      <w:pPr>
        <w:pStyle w:val="Blanc"/>
        <w:rPr>
          <w:lang w:val="fr-CH"/>
        </w:rPr>
      </w:pPr>
    </w:p>
    <w:p w:rsidR="00E66710" w:rsidRDefault="00E66710" w:rsidP="00E66710">
      <w:pPr>
        <w:pStyle w:val="Equation"/>
      </w:pPr>
      <w:r>
        <w:tab/>
      </w:r>
      <w:r>
        <w:tab/>
      </w:r>
      <w:r w:rsidRPr="000747DC">
        <w:rPr>
          <w:position w:val="-32"/>
        </w:rPr>
        <w:object w:dxaOrig="3760" w:dyaOrig="760">
          <v:shape id="_x0000_i1040" type="#_x0000_t75" style="width:188pt;height:38pt" o:ole="" fillcolor="window">
            <v:imagedata r:id="rId43" o:title=""/>
          </v:shape>
          <o:OLEObject Type="Embed" ProgID="Equation.3" ShapeID="_x0000_i1040" DrawAspect="Content" ObjectID="_1326718056" r:id="rId44"/>
        </w:object>
      </w:r>
      <w:r>
        <w:tab/>
        <w:t>(12)</w:t>
      </w:r>
    </w:p>
    <w:p w:rsidR="00E66710" w:rsidRDefault="00E66710" w:rsidP="00E66710">
      <w:pPr>
        <w:pStyle w:val="Heading3"/>
      </w:pPr>
      <w:r>
        <w:t>3.2.2</w:t>
      </w:r>
      <w:r>
        <w:tab/>
        <w:t>Prévision du taux BBER dû à l'affaiblissement par la pluie</w:t>
      </w:r>
    </w:p>
    <w:p w:rsidR="00E66710" w:rsidRDefault="00E66710" w:rsidP="00E66710">
      <w:pPr>
        <w:rPr>
          <w:i/>
        </w:rPr>
      </w:pPr>
      <w:r>
        <w:t>Le modèle de prévision du taux BBER dû à la pluie est fondé sur la relation entre le modèle d'affaiblissement dû à la pluie de l'UIT-R et la relation entre la puissance reçue et le BER du système de transmission considéré.</w:t>
      </w:r>
    </w:p>
    <w:p w:rsidR="00E66710" w:rsidRDefault="00E66710" w:rsidP="00E66710">
      <w:pPr>
        <w:pStyle w:val="Heading4"/>
      </w:pPr>
      <w:r>
        <w:t>3.2.2.1</w:t>
      </w:r>
      <w:r>
        <w:tab/>
        <w:t>Procédure de calcul du taux BBER dû à l'affaiblissement par la pluie (étape par étape)</w:t>
      </w:r>
    </w:p>
    <w:p w:rsidR="00E66710" w:rsidRDefault="00E66710" w:rsidP="00E66710">
      <w:r>
        <w:t>Les paramètres d'entrée sont les suivants: fréquence, longueur de bond, polarisation, zone de pluie, puissance à l'émission</w:t>
      </w:r>
      <w:r>
        <w:rPr>
          <w:vertAlign w:val="subscript"/>
        </w:rPr>
        <w:t>,</w:t>
      </w:r>
      <w:r>
        <w:rPr>
          <w:i/>
          <w:vertAlign w:val="subscript"/>
        </w:rPr>
        <w:t xml:space="preserve"> </w:t>
      </w:r>
      <w:r>
        <w:t>gain de l'antenne d'émission, gain de l'antenne de réception</w:t>
      </w:r>
      <w:r>
        <w:rPr>
          <w:i/>
        </w:rPr>
        <w:t>,</w:t>
      </w:r>
      <w:r>
        <w:t xml:space="preserve"> relation entre la puissance reçue et le BER, type de conduit SDH et longueur des rafales d'erreurs.</w:t>
      </w:r>
    </w:p>
    <w:p w:rsidR="00E66710" w:rsidRDefault="00E66710" w:rsidP="00E66710">
      <w:r>
        <w:rPr>
          <w:i/>
        </w:rPr>
        <w:lastRenderedPageBreak/>
        <w:t>Etape 1</w:t>
      </w:r>
      <w:r>
        <w:rPr>
          <w:i/>
          <w:iCs/>
        </w:rPr>
        <w:t>:</w:t>
      </w:r>
      <w:r>
        <w:tab/>
        <w:t xml:space="preserve">Calculer l'affaiblissement dû à la pluie dépassé pour 0,01% de temps, </w:t>
      </w:r>
      <w:r>
        <w:rPr>
          <w:i/>
        </w:rPr>
        <w:t>A</w:t>
      </w:r>
      <w:r>
        <w:rPr>
          <w:vertAlign w:val="subscript"/>
        </w:rPr>
        <w:t>0,01</w:t>
      </w:r>
      <w:r>
        <w:t>, selon la méthode décrite dans l'Annexe 1 de la Recommandation UIT-R P.530.</w:t>
      </w:r>
    </w:p>
    <w:p w:rsidR="00E66710" w:rsidRDefault="00E66710" w:rsidP="00E66710">
      <w:r>
        <w:rPr>
          <w:i/>
        </w:rPr>
        <w:t>Etape 2</w:t>
      </w:r>
      <w:r>
        <w:rPr>
          <w:i/>
          <w:iCs/>
        </w:rPr>
        <w:t>:</w:t>
      </w:r>
      <w:r>
        <w:tab/>
        <w:t xml:space="preserve">Calculer la puissance nominale reçue sans affaiblissement dû à la pluie </w:t>
      </w:r>
      <w:r>
        <w:rPr>
          <w:i/>
        </w:rPr>
        <w:t>P</w:t>
      </w:r>
      <w:r>
        <w:rPr>
          <w:i/>
          <w:iCs/>
          <w:vertAlign w:val="subscript"/>
        </w:rPr>
        <w:t>RXnominal</w:t>
      </w:r>
      <w:r>
        <w:t>.</w:t>
      </w:r>
    </w:p>
    <w:p w:rsidR="00E66710" w:rsidRDefault="00E66710" w:rsidP="00E66710">
      <w:r>
        <w:rPr>
          <w:i/>
        </w:rPr>
        <w:t>Etape 3</w:t>
      </w:r>
      <w:r>
        <w:rPr>
          <w:i/>
          <w:iCs/>
        </w:rPr>
        <w:t>:</w:t>
      </w:r>
      <w:r>
        <w:tab/>
        <w:t xml:space="preserve">A partir de la relation entre la puissance reçue et le BER (généralement obtenue auprès des fabricants d'équipements), déterminer la valeur de </w:t>
      </w:r>
      <w:r>
        <w:rPr>
          <w:i/>
        </w:rPr>
        <w:t>A</w:t>
      </w:r>
      <w:r>
        <w:rPr>
          <w:i/>
          <w:iCs/>
          <w:vertAlign w:val="subscript"/>
        </w:rPr>
        <w:t>SES</w:t>
      </w:r>
      <w:r>
        <w:t xml:space="preserve">, </w:t>
      </w:r>
      <w:r>
        <w:rPr>
          <w:i/>
        </w:rPr>
        <w:t>A</w:t>
      </w:r>
      <w:r>
        <w:rPr>
          <w:i/>
          <w:iCs/>
          <w:vertAlign w:val="subscript"/>
        </w:rPr>
        <w:t>SES</w:t>
      </w:r>
      <w:r>
        <w:t xml:space="preserve"> étant la marge d'affaiblissement de la liaison radioélectrique pour </w:t>
      </w:r>
      <w:r>
        <w:rPr>
          <w:i/>
        </w:rPr>
        <w:t>BER </w:t>
      </w:r>
      <w:r>
        <w:rPr>
          <w:rFonts w:ascii="Symbol" w:hAnsi="Symbol"/>
        </w:rPr>
        <w:t></w:t>
      </w:r>
      <w:r>
        <w:rPr>
          <w:i/>
        </w:rPr>
        <w:t> BER</w:t>
      </w:r>
      <w:r>
        <w:rPr>
          <w:i/>
          <w:iCs/>
          <w:vertAlign w:val="subscript"/>
        </w:rPr>
        <w:t>SES</w:t>
      </w:r>
      <w:r>
        <w:t xml:space="preserve"> (voir le Tableau 1).</w:t>
      </w:r>
    </w:p>
    <w:p w:rsidR="00E66710" w:rsidRDefault="00E66710" w:rsidP="00E66710">
      <w:r>
        <w:rPr>
          <w:i/>
        </w:rPr>
        <w:t>Etape 4</w:t>
      </w:r>
      <w:r>
        <w:rPr>
          <w:i/>
          <w:iCs/>
        </w:rPr>
        <w:t>:</w:t>
      </w:r>
      <w:r>
        <w:tab/>
        <w:t xml:space="preserve">Calculer le pourcentage de temps annuel </w:t>
      </w:r>
      <w:r>
        <w:rPr>
          <w:i/>
        </w:rPr>
        <w:t>p</w:t>
      </w:r>
      <w:r>
        <w:rPr>
          <w:i/>
          <w:iCs/>
          <w:vertAlign w:val="subscript"/>
        </w:rPr>
        <w:t>aSES</w:t>
      </w:r>
      <w:r>
        <w:t xml:space="preserve"> pendant lequel l'affaiblissement dû à la pluie est supérieur à </w:t>
      </w:r>
      <w:r>
        <w:rPr>
          <w:i/>
        </w:rPr>
        <w:t>A</w:t>
      </w:r>
      <w:r>
        <w:rPr>
          <w:i/>
          <w:iCs/>
          <w:vertAlign w:val="subscript"/>
        </w:rPr>
        <w:t>SES</w:t>
      </w:r>
      <w:r>
        <w:t>, selon la méthode indiquée dans l'Annexe 1 de la Recommandation UIT</w:t>
      </w:r>
      <w:r>
        <w:noBreakHyphen/>
        <w:t>R P.530.</w:t>
      </w:r>
    </w:p>
    <w:p w:rsidR="00E66710" w:rsidRDefault="00E66710" w:rsidP="00E66710">
      <w:r>
        <w:rPr>
          <w:i/>
        </w:rPr>
        <w:t>Etape 5</w:t>
      </w:r>
      <w:r>
        <w:rPr>
          <w:i/>
          <w:iCs/>
        </w:rPr>
        <w:t>:</w:t>
      </w:r>
      <w:r>
        <w:tab/>
        <w:t xml:space="preserve">Convertir le pourcentage de temps annuel </w:t>
      </w:r>
      <w:r>
        <w:rPr>
          <w:i/>
        </w:rPr>
        <w:t>p</w:t>
      </w:r>
      <w:r>
        <w:rPr>
          <w:i/>
          <w:iCs/>
          <w:vertAlign w:val="subscript"/>
        </w:rPr>
        <w:t>aSES</w:t>
      </w:r>
      <w:r>
        <w:t xml:space="preserve"> en pourcentage de temps pendant le mois le plus défavorable, </w:t>
      </w:r>
      <w:r>
        <w:rPr>
          <w:i/>
        </w:rPr>
        <w:t>p</w:t>
      </w:r>
      <w:r>
        <w:rPr>
          <w:i/>
          <w:iCs/>
          <w:vertAlign w:val="subscript"/>
        </w:rPr>
        <w:t>wSES</w:t>
      </w:r>
      <w:r>
        <w:t>, selon la méthode indiquée dans la Recommandation UIT-R P.841.</w:t>
      </w:r>
    </w:p>
    <w:p w:rsidR="00E66710" w:rsidRDefault="00E66710" w:rsidP="00E66710">
      <w:r>
        <w:rPr>
          <w:i/>
        </w:rPr>
        <w:t>Etape 6</w:t>
      </w:r>
      <w:r>
        <w:rPr>
          <w:i/>
          <w:iCs/>
        </w:rPr>
        <w:t>:</w:t>
      </w:r>
      <w:r>
        <w:tab/>
        <w:t xml:space="preserve">A partir de la relation entre la puissance reçue et le BER (généralement obtenue auprès des fabricants d'équipements), déterminer la valeur de </w:t>
      </w:r>
      <w:r>
        <w:rPr>
          <w:i/>
        </w:rPr>
        <w:t>A</w:t>
      </w:r>
      <w:r>
        <w:rPr>
          <w:i/>
          <w:iCs/>
          <w:vertAlign w:val="subscript"/>
        </w:rPr>
        <w:t>R</w:t>
      </w:r>
      <w:r>
        <w:t xml:space="preserve">, </w:t>
      </w:r>
      <w:r>
        <w:rPr>
          <w:i/>
        </w:rPr>
        <w:t>A</w:t>
      </w:r>
      <w:r>
        <w:rPr>
          <w:i/>
          <w:iCs/>
          <w:vertAlign w:val="subscript"/>
        </w:rPr>
        <w:t>R</w:t>
      </w:r>
      <w:r>
        <w:t xml:space="preserve"> étant la marge d'affaiblissement de la liaison radioélectrique pour le taux RBER).</w:t>
      </w:r>
    </w:p>
    <w:p w:rsidR="00E66710" w:rsidRDefault="00E66710" w:rsidP="00B46045">
      <w:r>
        <w:rPr>
          <w:i/>
        </w:rPr>
        <w:t>Etape 7</w:t>
      </w:r>
      <w:r>
        <w:rPr>
          <w:i/>
          <w:iCs/>
        </w:rPr>
        <w:t>:</w:t>
      </w:r>
      <w:r>
        <w:tab/>
        <w:t xml:space="preserve">Calculer le pourcentage de temps annuel, </w:t>
      </w:r>
      <w:r>
        <w:rPr>
          <w:i/>
        </w:rPr>
        <w:t>p</w:t>
      </w:r>
      <w:r>
        <w:rPr>
          <w:i/>
          <w:iCs/>
          <w:vertAlign w:val="subscript"/>
        </w:rPr>
        <w:t>aR</w:t>
      </w:r>
      <w:r>
        <w:rPr>
          <w:vertAlign w:val="subscript"/>
        </w:rPr>
        <w:t xml:space="preserve">, </w:t>
      </w:r>
      <w:r>
        <w:t xml:space="preserve">pendant lequel l'affaiblissement dû à la pluie est supérieur à </w:t>
      </w:r>
      <w:r>
        <w:rPr>
          <w:i/>
        </w:rPr>
        <w:t>A</w:t>
      </w:r>
      <w:r>
        <w:rPr>
          <w:i/>
          <w:iCs/>
          <w:vertAlign w:val="subscript"/>
        </w:rPr>
        <w:t>R</w:t>
      </w:r>
      <w:r>
        <w:t>, selon la méthode indiquée dans l'Annexe 1 de la Recommandation UIT</w:t>
      </w:r>
      <w:r>
        <w:noBreakHyphen/>
        <w:t>R P.530.</w:t>
      </w:r>
    </w:p>
    <w:p w:rsidR="00E66710" w:rsidRDefault="00E66710" w:rsidP="00E66710">
      <w:r>
        <w:rPr>
          <w:i/>
        </w:rPr>
        <w:t>Etape 8</w:t>
      </w:r>
      <w:r>
        <w:rPr>
          <w:i/>
          <w:iCs/>
        </w:rPr>
        <w:t>:</w:t>
      </w:r>
      <w:r>
        <w:tab/>
        <w:t xml:space="preserve">Convertir le pourcentage de temps annuel, </w:t>
      </w:r>
      <w:r>
        <w:rPr>
          <w:i/>
        </w:rPr>
        <w:t>p</w:t>
      </w:r>
      <w:r>
        <w:rPr>
          <w:i/>
          <w:iCs/>
          <w:vertAlign w:val="subscript"/>
        </w:rPr>
        <w:t>aR</w:t>
      </w:r>
      <w:r>
        <w:t xml:space="preserve">, en pourcentage de temps pendant le mois le plus défavorable, </w:t>
      </w:r>
      <w:r>
        <w:rPr>
          <w:i/>
        </w:rPr>
        <w:t>p</w:t>
      </w:r>
      <w:r>
        <w:rPr>
          <w:i/>
          <w:iCs/>
          <w:vertAlign w:val="subscript"/>
        </w:rPr>
        <w:t>wR</w:t>
      </w:r>
      <w:r>
        <w:t>, selon la méthode indiquée dans la Recommandation UIT-R P.841.</w:t>
      </w:r>
    </w:p>
    <w:p w:rsidR="00E66710" w:rsidRDefault="00E66710" w:rsidP="00E66710">
      <w:r>
        <w:rPr>
          <w:i/>
        </w:rPr>
        <w:t>Etape 9</w:t>
      </w:r>
      <w:r>
        <w:rPr>
          <w:i/>
          <w:iCs/>
        </w:rPr>
        <w:t>:</w:t>
      </w:r>
      <w:r>
        <w:tab/>
        <w:t xml:space="preserve">Convertir les pourcentages de temps pendant le mois le plus défavorable, </w:t>
      </w:r>
      <w:r>
        <w:rPr>
          <w:i/>
        </w:rPr>
        <w:t>p</w:t>
      </w:r>
      <w:r>
        <w:rPr>
          <w:i/>
          <w:iCs/>
          <w:vertAlign w:val="subscript"/>
        </w:rPr>
        <w:t>wSES</w:t>
      </w:r>
      <w:r>
        <w:t xml:space="preserve">, et </w:t>
      </w:r>
      <w:r>
        <w:rPr>
          <w:i/>
        </w:rPr>
        <w:t>p</w:t>
      </w:r>
      <w:r>
        <w:rPr>
          <w:i/>
          <w:iCs/>
          <w:vertAlign w:val="subscript"/>
        </w:rPr>
        <w:t>wR</w:t>
      </w:r>
      <w:r>
        <w:t xml:space="preserve">, en valeurs de probabilité correspondantes </w:t>
      </w:r>
      <w:r>
        <w:rPr>
          <w:i/>
        </w:rPr>
        <w:t>P</w:t>
      </w:r>
      <w:r>
        <w:rPr>
          <w:i/>
          <w:iCs/>
          <w:vertAlign w:val="subscript"/>
        </w:rPr>
        <w:t>wSES</w:t>
      </w:r>
      <w:r>
        <w:t xml:space="preserve"> et </w:t>
      </w:r>
      <w:r>
        <w:rPr>
          <w:i/>
        </w:rPr>
        <w:t>P</w:t>
      </w:r>
      <w:r>
        <w:rPr>
          <w:i/>
          <w:iCs/>
          <w:vertAlign w:val="subscript"/>
        </w:rPr>
        <w:t>wR</w:t>
      </w:r>
      <w:r>
        <w:t>, où: (</w:t>
      </w:r>
      <w:r>
        <w:rPr>
          <w:i/>
          <w:iCs/>
        </w:rPr>
        <w:t>P</w:t>
      </w:r>
      <w:r>
        <w:rPr>
          <w:i/>
          <w:iCs/>
          <w:vertAlign w:val="subscript"/>
        </w:rPr>
        <w:t>wSES</w:t>
      </w:r>
      <w:r>
        <w:t xml:space="preserve"> </w:t>
      </w:r>
      <w:r>
        <w:rPr>
          <w:rFonts w:ascii="Symbol" w:hAnsi="Symbol"/>
        </w:rPr>
        <w:t></w:t>
      </w:r>
      <w:r>
        <w:t xml:space="preserve"> </w:t>
      </w:r>
      <w:r>
        <w:rPr>
          <w:i/>
          <w:iCs/>
        </w:rPr>
        <w:t>p</w:t>
      </w:r>
      <w:r>
        <w:rPr>
          <w:i/>
          <w:iCs/>
          <w:vertAlign w:val="subscript"/>
        </w:rPr>
        <w:t>wSES</w:t>
      </w:r>
      <w:r>
        <w:t xml:space="preserve">/100 et </w:t>
      </w:r>
      <w:r>
        <w:rPr>
          <w:i/>
          <w:iCs/>
        </w:rPr>
        <w:t>P</w:t>
      </w:r>
      <w:r>
        <w:rPr>
          <w:i/>
          <w:iCs/>
          <w:vertAlign w:val="subscript"/>
        </w:rPr>
        <w:t>wR</w:t>
      </w:r>
      <w:r>
        <w:t xml:space="preserve"> </w:t>
      </w:r>
      <w:r>
        <w:rPr>
          <w:rFonts w:ascii="Symbol" w:hAnsi="Symbol"/>
        </w:rPr>
        <w:t></w:t>
      </w:r>
      <w:r>
        <w:t xml:space="preserve"> </w:t>
      </w:r>
      <w:r>
        <w:rPr>
          <w:i/>
          <w:iCs/>
        </w:rPr>
        <w:t>p</w:t>
      </w:r>
      <w:r>
        <w:rPr>
          <w:i/>
          <w:iCs/>
          <w:vertAlign w:val="subscript"/>
        </w:rPr>
        <w:t>wR</w:t>
      </w:r>
      <w:r>
        <w:t>/100).</w:t>
      </w:r>
    </w:p>
    <w:p w:rsidR="00E66710" w:rsidRDefault="00E66710" w:rsidP="00E66710">
      <w:r>
        <w:t>Etape 10</w:t>
      </w:r>
      <w:r>
        <w:rPr>
          <w:i/>
          <w:iCs/>
        </w:rPr>
        <w:t>:</w:t>
      </w:r>
      <w:r>
        <w:tab/>
        <w:t>Calculer le taux BBER comme suit:</w:t>
      </w:r>
    </w:p>
    <w:p w:rsidR="00E66710" w:rsidRDefault="00E66710" w:rsidP="00E66710">
      <w:pPr>
        <w:pStyle w:val="Equation"/>
      </w:pPr>
      <w:r>
        <w:tab/>
      </w:r>
      <w:r>
        <w:tab/>
      </w:r>
      <w:r w:rsidRPr="00DE7F68">
        <w:rPr>
          <w:position w:val="-30"/>
        </w:rPr>
        <w:object w:dxaOrig="4380" w:dyaOrig="680">
          <v:shape id="_x0000_i1041" type="#_x0000_t75" style="width:219pt;height:34pt" o:ole="" fillcolor="window">
            <v:imagedata r:id="rId45" o:title=""/>
          </v:shape>
          <o:OLEObject Type="Embed" ProgID="Equation.3" ShapeID="_x0000_i1041" DrawAspect="Content" ObjectID="_1326718057" r:id="rId46"/>
        </w:object>
      </w:r>
      <w:r>
        <w:tab/>
        <w:t>(13)</w:t>
      </w:r>
    </w:p>
    <w:p w:rsidR="00E66710" w:rsidRDefault="00E66710" w:rsidP="00E66710">
      <w:r>
        <w:t>où SESR est obtenu au moyen de l'équation (6)</w:t>
      </w:r>
    </w:p>
    <w:p w:rsidR="00E66710" w:rsidRDefault="00E66710" w:rsidP="00E66710">
      <w:r>
        <w:t>et</w:t>
      </w:r>
    </w:p>
    <w:p w:rsidR="008C63BB" w:rsidRPr="00BD1EF3" w:rsidRDefault="008C63BB" w:rsidP="00BD1EF3">
      <w:pPr>
        <w:pStyle w:val="Equationlegend"/>
        <w:rPr>
          <w:lang w:val="fr-FR"/>
        </w:rPr>
      </w:pPr>
      <w:r w:rsidRPr="003F2D9B">
        <w:rPr>
          <w:lang w:val="fr-CH"/>
        </w:rPr>
        <w:tab/>
      </w:r>
      <w:r w:rsidR="00BD1EF3">
        <w:sym w:font="Symbol" w:char="F061"/>
      </w:r>
      <w:r w:rsidRPr="00BD1EF3">
        <w:rPr>
          <w:vertAlign w:val="subscript"/>
          <w:lang w:val="fr-FR"/>
        </w:rPr>
        <w:t>1</w:t>
      </w:r>
      <w:r w:rsidRPr="00BD1EF3">
        <w:rPr>
          <w:lang w:val="fr-FR"/>
        </w:rPr>
        <w:t> </w:t>
      </w:r>
      <w:r>
        <w:rPr>
          <w:rFonts w:ascii="Symbol" w:hAnsi="Symbol"/>
        </w:rPr>
        <w:t></w:t>
      </w:r>
      <w:r w:rsidR="008F595F" w:rsidRPr="00BD1EF3">
        <w:rPr>
          <w:lang w:val="fr-FR"/>
        </w:rPr>
        <w:tab/>
      </w:r>
      <w:r w:rsidRPr="00BD1EF3">
        <w:rPr>
          <w:lang w:val="fr-FR"/>
        </w:rPr>
        <w:t>1 à 30, nombre d'erreurs par rafale pour un BER compris entre 1 </w:t>
      </w:r>
      <w:r w:rsidR="00BD1EF3">
        <w:sym w:font="Symbol" w:char="F0B4"/>
      </w:r>
      <w:r w:rsidRPr="00BD1EF3">
        <w:rPr>
          <w:lang w:val="fr-FR"/>
        </w:rPr>
        <w:t xml:space="preserve"> 10 et </w:t>
      </w:r>
      <w:r w:rsidRPr="00BD1EF3">
        <w:rPr>
          <w:i/>
          <w:iCs/>
          <w:lang w:val="fr-FR"/>
        </w:rPr>
        <w:t>BER</w:t>
      </w:r>
      <w:r w:rsidRPr="00BD1EF3">
        <w:rPr>
          <w:i/>
          <w:iCs/>
          <w:vertAlign w:val="subscript"/>
          <w:lang w:val="fr-FR"/>
        </w:rPr>
        <w:t>SES</w:t>
      </w:r>
    </w:p>
    <w:p w:rsidR="008C63BB" w:rsidRPr="00BD1EF3" w:rsidRDefault="008C63BB" w:rsidP="00BD1EF3">
      <w:pPr>
        <w:pStyle w:val="Equationlegend"/>
        <w:rPr>
          <w:lang w:val="fr-FR"/>
        </w:rPr>
      </w:pPr>
      <w:r w:rsidRPr="00BD1EF3">
        <w:rPr>
          <w:lang w:val="fr-FR"/>
        </w:rPr>
        <w:tab/>
      </w:r>
      <w:r w:rsidR="00BD1EF3">
        <w:sym w:font="Symbol" w:char="F061"/>
      </w:r>
      <w:r w:rsidRPr="00BD1EF3">
        <w:rPr>
          <w:vertAlign w:val="subscript"/>
          <w:lang w:val="fr-FR"/>
        </w:rPr>
        <w:t>2</w:t>
      </w:r>
      <w:r w:rsidRPr="00BD1EF3">
        <w:rPr>
          <w:lang w:val="fr-FR"/>
        </w:rPr>
        <w:t> </w:t>
      </w:r>
      <w:r>
        <w:rPr>
          <w:rFonts w:ascii="Symbol" w:hAnsi="Symbol"/>
        </w:rPr>
        <w:t></w:t>
      </w:r>
      <w:r w:rsidR="008F595F" w:rsidRPr="00BD1EF3">
        <w:rPr>
          <w:rFonts w:ascii="Symbol" w:hAnsi="Symbol"/>
          <w:lang w:val="fr-FR"/>
        </w:rPr>
        <w:tab/>
      </w:r>
      <w:r w:rsidRPr="00BD1EF3">
        <w:rPr>
          <w:lang w:val="fr-FR"/>
        </w:rPr>
        <w:t xml:space="preserve">1 à 20, nombre d'erreurs par rafale pour un BER compris entre </w:t>
      </w:r>
      <w:r w:rsidRPr="00BD1EF3">
        <w:rPr>
          <w:i/>
          <w:iCs/>
          <w:lang w:val="fr-FR"/>
        </w:rPr>
        <w:t>BER</w:t>
      </w:r>
      <w:r w:rsidRPr="00BD1EF3">
        <w:rPr>
          <w:i/>
          <w:iCs/>
          <w:vertAlign w:val="subscript"/>
          <w:lang w:val="fr-FR"/>
        </w:rPr>
        <w:t>SES</w:t>
      </w:r>
      <w:r w:rsidRPr="00BD1EF3">
        <w:rPr>
          <w:lang w:val="fr-FR"/>
        </w:rPr>
        <w:t xml:space="preserve"> et RBER,</w:t>
      </w:r>
      <w:r w:rsidR="008F595F" w:rsidRPr="00BD1EF3">
        <w:rPr>
          <w:lang w:val="fr-FR"/>
        </w:rPr>
        <w:t xml:space="preserve"> </w:t>
      </w:r>
      <w:r w:rsidRPr="00BD1EF3">
        <w:rPr>
          <w:lang w:val="fr-FR"/>
        </w:rPr>
        <w:t>où </w:t>
      </w:r>
      <w:r w:rsidR="00BD1EF3">
        <w:sym w:font="Symbol" w:char="F061"/>
      </w:r>
      <w:r w:rsidRPr="00BD1EF3">
        <w:rPr>
          <w:vertAlign w:val="subscript"/>
          <w:lang w:val="fr-FR"/>
        </w:rPr>
        <w:t>1</w:t>
      </w:r>
      <w:r w:rsidRPr="00BD1EF3">
        <w:rPr>
          <w:lang w:val="fr-FR"/>
        </w:rPr>
        <w:t>/</w:t>
      </w:r>
      <w:r w:rsidR="00BD1EF3">
        <w:sym w:font="Symbol" w:char="F061"/>
      </w:r>
      <w:r w:rsidRPr="00BD1EF3">
        <w:rPr>
          <w:vertAlign w:val="subscript"/>
          <w:lang w:val="fr-FR"/>
        </w:rPr>
        <w:t>2</w:t>
      </w:r>
      <w:r w:rsidRPr="00BD1EF3">
        <w:rPr>
          <w:lang w:val="fr-FR"/>
        </w:rPr>
        <w:t> </w:t>
      </w:r>
      <w:r w:rsidR="00BD1EF3">
        <w:sym w:font="Symbol" w:char="F0A3"/>
      </w:r>
      <w:r w:rsidRPr="00BD1EF3">
        <w:rPr>
          <w:lang w:val="fr-FR"/>
        </w:rPr>
        <w:t> 2</w:t>
      </w:r>
    </w:p>
    <w:p w:rsidR="008C63BB" w:rsidRPr="00BD1EF3" w:rsidRDefault="008C63BB" w:rsidP="00BD1EF3">
      <w:pPr>
        <w:pStyle w:val="Equationlegend"/>
        <w:rPr>
          <w:lang w:val="fr-FR"/>
        </w:rPr>
      </w:pPr>
      <w:r w:rsidRPr="00BD1EF3">
        <w:rPr>
          <w:lang w:val="fr-FR"/>
        </w:rPr>
        <w:tab/>
      </w:r>
      <w:r w:rsidR="00BD1EF3">
        <w:sym w:font="Symbol" w:char="F061"/>
      </w:r>
      <w:r w:rsidRPr="00BD1EF3">
        <w:rPr>
          <w:vertAlign w:val="subscript"/>
          <w:lang w:val="fr-FR"/>
        </w:rPr>
        <w:t>3</w:t>
      </w:r>
      <w:r w:rsidRPr="00BD1EF3">
        <w:rPr>
          <w:lang w:val="fr-FR"/>
        </w:rPr>
        <w:t> </w:t>
      </w:r>
      <w:r>
        <w:rPr>
          <w:rFonts w:ascii="Symbol" w:hAnsi="Symbol"/>
        </w:rPr>
        <w:t></w:t>
      </w:r>
      <w:r w:rsidR="00BD1EF3" w:rsidRPr="00BD1EF3">
        <w:rPr>
          <w:rFonts w:ascii="Symbol" w:hAnsi="Symbol"/>
          <w:lang w:val="fr-FR"/>
        </w:rPr>
        <w:tab/>
      </w:r>
      <w:r w:rsidRPr="00BD1EF3">
        <w:rPr>
          <w:lang w:val="fr-FR"/>
        </w:rPr>
        <w:t>1, nombre d'erreurs par rafale pour un BER égal ou inférieur au RBER</w:t>
      </w:r>
    </w:p>
    <w:p w:rsidR="008C63BB" w:rsidRPr="00BD1EF3" w:rsidRDefault="00BD1EF3" w:rsidP="008F595F">
      <w:pPr>
        <w:pStyle w:val="Equationlegend"/>
        <w:rPr>
          <w:lang w:val="fr-FR"/>
        </w:rPr>
      </w:pPr>
      <w:r>
        <w:rPr>
          <w:lang w:val="fr-CH"/>
        </w:rPr>
        <w:tab/>
      </w:r>
      <w:r w:rsidR="008C63BB">
        <w:rPr>
          <w:i/>
          <w:iCs/>
          <w:lang w:val="fr-CH"/>
        </w:rPr>
        <w:t>N</w:t>
      </w:r>
      <w:r w:rsidR="008C63BB">
        <w:rPr>
          <w:i/>
          <w:iCs/>
          <w:vertAlign w:val="subscript"/>
          <w:lang w:val="fr-CH"/>
        </w:rPr>
        <w:t>B</w:t>
      </w:r>
      <w:r w:rsidR="008C63BB">
        <w:rPr>
          <w:i/>
          <w:iCs/>
          <w:sz w:val="12"/>
          <w:vertAlign w:val="subscript"/>
          <w:lang w:val="fr-CH"/>
        </w:rPr>
        <w:t> </w:t>
      </w:r>
      <w:r w:rsidR="008C63BB">
        <w:rPr>
          <w:rFonts w:ascii="Symbol" w:hAnsi="Symbol"/>
        </w:rPr>
        <w:t></w:t>
      </w:r>
      <w:r w:rsidRPr="00BD1EF3">
        <w:rPr>
          <w:rFonts w:ascii="Symbol" w:hAnsi="Symbol"/>
          <w:lang w:val="fr-FR"/>
        </w:rPr>
        <w:tab/>
      </w:r>
      <w:r w:rsidR="008C63BB">
        <w:rPr>
          <w:lang w:val="fr-CH"/>
        </w:rPr>
        <w:t>nombre de bits/bloc (voir le Tableau 1)</w:t>
      </w:r>
    </w:p>
    <w:p w:rsidR="008C63BB" w:rsidRDefault="008C63BB" w:rsidP="008F595F">
      <w:pPr>
        <w:pStyle w:val="Equationlegend"/>
        <w:rPr>
          <w:lang w:val="fr-CH"/>
        </w:rPr>
      </w:pPr>
      <w:r>
        <w:rPr>
          <w:lang w:val="fr-CH"/>
        </w:rPr>
        <w:tab/>
      </w:r>
      <w:r>
        <w:rPr>
          <w:i/>
          <w:iCs/>
          <w:lang w:val="fr-CH"/>
        </w:rPr>
        <w:t>m</w:t>
      </w:r>
      <w:r>
        <w:rPr>
          <w:i/>
          <w:iCs/>
          <w:sz w:val="12"/>
          <w:vertAlign w:val="subscript"/>
          <w:lang w:val="fr-CH"/>
        </w:rPr>
        <w:t> </w:t>
      </w:r>
      <w:r>
        <w:rPr>
          <w:rFonts w:ascii="Symbol" w:hAnsi="Symbol"/>
        </w:rPr>
        <w:t></w:t>
      </w:r>
      <w:r w:rsidR="00BD1EF3" w:rsidRPr="00BD1EF3">
        <w:rPr>
          <w:rFonts w:ascii="Symbol" w:hAnsi="Symbol"/>
          <w:lang w:val="fr-FR"/>
        </w:rPr>
        <w:tab/>
      </w:r>
      <w:r>
        <w:rPr>
          <w:lang w:val="fr-CH"/>
        </w:rPr>
        <w:t xml:space="preserve">pente de la courbe de distribution BER sur une échelle logarithmique pour un BER compris entre </w:t>
      </w:r>
      <w:r>
        <w:rPr>
          <w:i/>
          <w:lang w:val="fr-CH"/>
        </w:rPr>
        <w:t>BER</w:t>
      </w:r>
      <w:r>
        <w:rPr>
          <w:i/>
          <w:iCs/>
          <w:vertAlign w:val="subscript"/>
          <w:lang w:val="fr-CH"/>
        </w:rPr>
        <w:t>SES</w:t>
      </w:r>
      <w:r>
        <w:rPr>
          <w:i/>
          <w:iCs/>
          <w:lang w:val="fr-CH"/>
        </w:rPr>
        <w:t xml:space="preserve"> </w:t>
      </w:r>
      <w:r>
        <w:rPr>
          <w:lang w:val="fr-CH"/>
        </w:rPr>
        <w:t>et RBER, donnée par l'équation suivante:</w:t>
      </w:r>
    </w:p>
    <w:p w:rsidR="00480130" w:rsidRPr="003F2D9B" w:rsidRDefault="00480130" w:rsidP="00480130">
      <w:pPr>
        <w:pStyle w:val="Blanc"/>
        <w:rPr>
          <w:lang w:val="fr-CH"/>
        </w:rPr>
      </w:pPr>
    </w:p>
    <w:p w:rsidR="00E66710" w:rsidRDefault="00E66710" w:rsidP="00E66710">
      <w:pPr>
        <w:pStyle w:val="Equation"/>
      </w:pPr>
      <w:r>
        <w:tab/>
      </w:r>
      <w:r>
        <w:tab/>
      </w:r>
      <w:r w:rsidRPr="00DE7F68">
        <w:rPr>
          <w:position w:val="-32"/>
        </w:rPr>
        <w:object w:dxaOrig="3660" w:dyaOrig="760">
          <v:shape id="_x0000_i1042" type="#_x0000_t75" style="width:183pt;height:38pt" o:ole="">
            <v:imagedata r:id="rId47" o:title=""/>
          </v:shape>
          <o:OLEObject Type="Embed" ProgID="Equation.3" ShapeID="_x0000_i1042" DrawAspect="Content" ObjectID="_1326718058" r:id="rId48"/>
        </w:object>
      </w:r>
      <w:r>
        <w:tab/>
        <w:t>(14)</w:t>
      </w:r>
    </w:p>
    <w:p w:rsidR="00E66710" w:rsidRDefault="0041750E" w:rsidP="00E66710">
      <w:pPr>
        <w:pStyle w:val="Heading2"/>
      </w:pPr>
      <w:r>
        <w:br w:type="page"/>
      </w:r>
      <w:r w:rsidR="00E66710">
        <w:lastRenderedPageBreak/>
        <w:t>3.3</w:t>
      </w:r>
      <w:r w:rsidR="00E66710">
        <w:tab/>
        <w:t xml:space="preserve">Prévision du taux ESR </w:t>
      </w:r>
    </w:p>
    <w:p w:rsidR="00E66710" w:rsidRDefault="00E66710" w:rsidP="00E66710">
      <w:r>
        <w:t>Le taux ESR dû à la propagation par trajets multiples et à la pluie est évalué comme suit:</w:t>
      </w:r>
    </w:p>
    <w:p w:rsidR="00E66710" w:rsidRDefault="00E66710" w:rsidP="00E66710">
      <w:pPr>
        <w:pStyle w:val="Equation"/>
      </w:pPr>
      <w:r>
        <w:tab/>
      </w:r>
      <w:r>
        <w:tab/>
      </w:r>
      <w:r w:rsidRPr="00DE7F68">
        <w:rPr>
          <w:position w:val="-24"/>
        </w:rPr>
        <w:object w:dxaOrig="3739" w:dyaOrig="600">
          <v:shape id="_x0000_i1043" type="#_x0000_t75" style="width:187pt;height:30pt" o:ole="" fillcolor="window">
            <v:imagedata r:id="rId49" o:title=""/>
          </v:shape>
          <o:OLEObject Type="Embed" ProgID="Equation.3" ShapeID="_x0000_i1043" DrawAspect="Content" ObjectID="_1326718059" r:id="rId50"/>
        </w:object>
      </w:r>
      <w:r>
        <w:tab/>
        <w:t>(15)</w:t>
      </w:r>
    </w:p>
    <w:p w:rsidR="00E66710" w:rsidRDefault="00E66710" w:rsidP="00E66710">
      <w:r>
        <w:t>où:</w:t>
      </w:r>
    </w:p>
    <w:p w:rsidR="00E66710" w:rsidRDefault="00E66710" w:rsidP="00E66710">
      <w:pPr>
        <w:pStyle w:val="Equationlegend"/>
        <w:rPr>
          <w:lang w:val="fr-CH"/>
        </w:rPr>
      </w:pPr>
      <w:r>
        <w:rPr>
          <w:i/>
          <w:lang w:val="fr-CH"/>
        </w:rPr>
        <w:tab/>
      </w:r>
      <w:r w:rsidRPr="000747DC">
        <w:rPr>
          <w:i/>
          <w:position w:val="-12"/>
        </w:rPr>
        <w:object w:dxaOrig="880" w:dyaOrig="360">
          <v:shape id="_x0000_i1044" type="#_x0000_t75" style="width:44pt;height:18pt" o:ole="" fillcolor="window">
            <v:imagedata r:id="rId51" o:title=""/>
          </v:shape>
          <o:OLEObject Type="Embed" ProgID="Equation.3" ShapeID="_x0000_i1044" DrawAspect="Content" ObjectID="_1326718060" r:id="rId52"/>
        </w:object>
      </w:r>
      <w:r>
        <w:rPr>
          <w:lang w:val="fr-CH"/>
        </w:rPr>
        <w:t>:</w:t>
      </w:r>
      <w:r>
        <w:rPr>
          <w:lang w:val="fr-CH"/>
        </w:rPr>
        <w:tab/>
        <w:t>relation entre ES et BER</w:t>
      </w:r>
    </w:p>
    <w:p w:rsidR="00E66710" w:rsidRDefault="00E66710" w:rsidP="00E66710">
      <w:pPr>
        <w:pStyle w:val="Equationlegend"/>
        <w:rPr>
          <w:lang w:val="fr-CH"/>
        </w:rPr>
      </w:pPr>
      <w:r>
        <w:rPr>
          <w:i/>
          <w:lang w:val="fr-CH"/>
        </w:rPr>
        <w:tab/>
      </w:r>
      <w:r w:rsidRPr="000747DC">
        <w:rPr>
          <w:position w:val="-12"/>
        </w:rPr>
        <w:object w:dxaOrig="920" w:dyaOrig="360">
          <v:shape id="_x0000_i1045" type="#_x0000_t75" style="width:46pt;height:18pt" o:ole="" fillcolor="window">
            <v:imagedata r:id="rId53" o:title=""/>
          </v:shape>
          <o:OLEObject Type="Embed" ProgID="Equation.3" ShapeID="_x0000_i1045" DrawAspect="Content" ObjectID="_1326718061" r:id="rId54"/>
        </w:object>
      </w:r>
      <w:r>
        <w:rPr>
          <w:lang w:val="fr-CH"/>
        </w:rPr>
        <w:t>:</w:t>
      </w:r>
      <w:r>
        <w:rPr>
          <w:lang w:val="fr-CH"/>
        </w:rPr>
        <w:tab/>
        <w:t>fonction de densité de probabilité du BER</w:t>
      </w:r>
    </w:p>
    <w:p w:rsidR="00E66710" w:rsidRDefault="00E66710" w:rsidP="00BD1EF3">
      <w:pPr>
        <w:pStyle w:val="Equationlegend"/>
        <w:rPr>
          <w:lang w:val="fr-CH"/>
        </w:rPr>
      </w:pPr>
      <w:r>
        <w:rPr>
          <w:i/>
          <w:lang w:val="fr-CH"/>
        </w:rPr>
        <w:tab/>
        <w:t>BER</w:t>
      </w:r>
      <w:r>
        <w:rPr>
          <w:i/>
          <w:iCs/>
          <w:vertAlign w:val="subscript"/>
          <w:lang w:val="fr-CH"/>
        </w:rPr>
        <w:t>A</w:t>
      </w:r>
      <w:r>
        <w:rPr>
          <w:lang w:val="fr-CH"/>
        </w:rPr>
        <w:t xml:space="preserve"> et </w:t>
      </w:r>
      <w:r>
        <w:rPr>
          <w:i/>
          <w:lang w:val="fr-CH"/>
        </w:rPr>
        <w:t>BER</w:t>
      </w:r>
      <w:r>
        <w:rPr>
          <w:i/>
          <w:iCs/>
          <w:vertAlign w:val="subscript"/>
          <w:lang w:val="fr-CH"/>
        </w:rPr>
        <w:t>B</w:t>
      </w:r>
      <w:r>
        <w:rPr>
          <w:i/>
          <w:iCs/>
          <w:sz w:val="12"/>
          <w:vertAlign w:val="subscript"/>
          <w:lang w:val="fr-CH"/>
        </w:rPr>
        <w:t> </w:t>
      </w:r>
      <w:r>
        <w:rPr>
          <w:lang w:val="fr-CH"/>
        </w:rPr>
        <w:t>:</w:t>
      </w:r>
      <w:r>
        <w:rPr>
          <w:iCs/>
          <w:sz w:val="20"/>
          <w:lang w:val="fr-CH"/>
        </w:rPr>
        <w:tab/>
      </w:r>
      <w:r>
        <w:rPr>
          <w:lang w:val="fr-CH"/>
        </w:rPr>
        <w:t>limites d'intégration (valeurs types de 1 </w:t>
      </w:r>
      <w:r w:rsidR="00BD1EF3">
        <w:sym w:font="Symbol" w:char="F0B4"/>
      </w:r>
      <w:r>
        <w:rPr>
          <w:lang w:val="fr-CH"/>
        </w:rPr>
        <w:t> 10</w:t>
      </w:r>
      <w:r>
        <w:rPr>
          <w:vertAlign w:val="superscript"/>
          <w:lang w:val="fr-CH"/>
        </w:rPr>
        <w:t>–12</w:t>
      </w:r>
      <w:r>
        <w:rPr>
          <w:lang w:val="fr-CH"/>
        </w:rPr>
        <w:t xml:space="preserve"> et 1 </w:t>
      </w:r>
      <w:r w:rsidR="00BD1EF3">
        <w:sym w:font="Symbol" w:char="F0B4"/>
      </w:r>
      <w:r>
        <w:rPr>
          <w:rFonts w:hint="eastAsia"/>
          <w:lang w:val="fr-CH"/>
        </w:rPr>
        <w:t> </w:t>
      </w:r>
      <w:r>
        <w:rPr>
          <w:rFonts w:ascii="Symbol" w:hAnsi="Symbol"/>
        </w:rPr>
        <w:t></w:t>
      </w:r>
      <w:r>
        <w:rPr>
          <w:rFonts w:ascii="Symbol" w:hAnsi="Symbol"/>
        </w:rPr>
        <w:t></w:t>
      </w:r>
      <w:r>
        <w:rPr>
          <w:vertAlign w:val="superscript"/>
          <w:lang w:val="fr-CH"/>
        </w:rPr>
        <w:t>–3</w:t>
      </w:r>
      <w:r>
        <w:rPr>
          <w:lang w:val="fr-CH"/>
        </w:rPr>
        <w:t>).</w:t>
      </w:r>
    </w:p>
    <w:p w:rsidR="00E66710" w:rsidRDefault="00E66710" w:rsidP="00B165FD">
      <w:pPr>
        <w:pStyle w:val="Heading3"/>
      </w:pPr>
      <w:r>
        <w:t>3.3.1</w:t>
      </w:r>
      <w:r>
        <w:tab/>
        <w:t>Prévision du taux ESR dû à la propagation par trajets multiples</w:t>
      </w:r>
    </w:p>
    <w:p w:rsidR="00E66710" w:rsidRDefault="00E66710" w:rsidP="00E66710">
      <w:r>
        <w:t>La méthode de prévision du taux ESR est fondée sur une approximation de l'intégrale qui figure dans l'équation (15).</w:t>
      </w:r>
    </w:p>
    <w:p w:rsidR="00E66710" w:rsidRDefault="00E66710" w:rsidP="00E66710">
      <w:pPr>
        <w:pStyle w:val="Heading4"/>
      </w:pPr>
      <w:r>
        <w:t>3.3.1.1</w:t>
      </w:r>
      <w:r>
        <w:tab/>
        <w:t>Procédure de calcul du taux ESR dû aux trajets multiples (étape par étape)</w:t>
      </w:r>
    </w:p>
    <w:p w:rsidR="00E66710" w:rsidRDefault="00E66710" w:rsidP="00B46045">
      <w:r>
        <w:t>On trouvera ci-après une procédure, indiquée étape par étape, d'évaluation du taux ESR dû à des trajets multiples.</w:t>
      </w:r>
    </w:p>
    <w:p w:rsidR="00E66710" w:rsidRDefault="00E66710" w:rsidP="00E66710">
      <w:r>
        <w:rPr>
          <w:i/>
        </w:rPr>
        <w:t>Etape 1</w:t>
      </w:r>
      <w:r>
        <w:rPr>
          <w:i/>
          <w:iCs/>
        </w:rPr>
        <w:t>:</w:t>
      </w:r>
      <w:r>
        <w:tab/>
        <w:t xml:space="preserve">Calculer la probabilité d'interruption, </w:t>
      </w:r>
      <w:r>
        <w:rPr>
          <w:i/>
        </w:rPr>
        <w:t>P</w:t>
      </w:r>
      <w:r>
        <w:rPr>
          <w:i/>
          <w:iCs/>
          <w:vertAlign w:val="subscript"/>
        </w:rPr>
        <w:t>tR</w:t>
      </w:r>
      <w:r>
        <w:t>, pour le taux RBER, selon les méthodes de prévision des interruptions décrites dans l'Annexe 1 de la Recommandation UIT-R P.530 pour le système approprié:</w:t>
      </w:r>
    </w:p>
    <w:p w:rsidR="00E66710" w:rsidRDefault="00E66710" w:rsidP="00E66710">
      <w:pPr>
        <w:pStyle w:val="Equation"/>
        <w:rPr>
          <w:lang w:val="fr-CH"/>
        </w:rPr>
      </w:pPr>
      <w:r>
        <w:tab/>
      </w:r>
      <w:r>
        <w:tab/>
      </w:r>
      <w:r w:rsidRPr="000747DC">
        <w:rPr>
          <w:position w:val="-12"/>
          <w:lang w:val="en-US"/>
        </w:rPr>
        <w:object w:dxaOrig="1620" w:dyaOrig="360">
          <v:shape id="_x0000_i1046" type="#_x0000_t75" style="width:81pt;height:18pt" o:ole="">
            <v:imagedata r:id="rId55" o:title=""/>
          </v:shape>
          <o:OLEObject Type="Embed" ProgID="Equation.3" ShapeID="_x0000_i1046" DrawAspect="Content" ObjectID="_1326718062" r:id="rId56"/>
        </w:object>
      </w:r>
      <w:r>
        <w:rPr>
          <w:lang w:val="fr-CH"/>
        </w:rPr>
        <w:tab/>
        <w:t>(16)</w:t>
      </w:r>
    </w:p>
    <w:p w:rsidR="00E66710" w:rsidRDefault="00E66710" w:rsidP="00E66710">
      <w:r>
        <w:rPr>
          <w:i/>
        </w:rPr>
        <w:t>Etape 2</w:t>
      </w:r>
      <w:r>
        <w:rPr>
          <w:i/>
          <w:iCs/>
        </w:rPr>
        <w:t>:</w:t>
      </w:r>
      <w:r>
        <w:tab/>
        <w:t xml:space="preserve">Calculer la probabilité d'interruption à </w:t>
      </w:r>
      <w:r>
        <w:rPr>
          <w:i/>
        </w:rPr>
        <w:t>BER </w:t>
      </w:r>
      <w:r>
        <w:rPr>
          <w:rFonts w:ascii="Symbol" w:hAnsi="Symbol"/>
        </w:rPr>
        <w:t></w:t>
      </w:r>
      <w:r>
        <w:rPr>
          <w:i/>
        </w:rPr>
        <w:t> BER</w:t>
      </w:r>
      <w:r>
        <w:rPr>
          <w:i/>
          <w:iCs/>
          <w:vertAlign w:val="subscript"/>
        </w:rPr>
        <w:t>SES</w:t>
      </w:r>
      <w:r>
        <w:rPr>
          <w:i/>
        </w:rPr>
        <w:t xml:space="preserve"> </w:t>
      </w:r>
      <w:r>
        <w:t>comme à l'Etape 1:</w:t>
      </w:r>
    </w:p>
    <w:p w:rsidR="00E66710" w:rsidRPr="00DE7F68" w:rsidRDefault="00E66710" w:rsidP="00E66710">
      <w:pPr>
        <w:pStyle w:val="Equation"/>
      </w:pPr>
      <w:r>
        <w:tab/>
      </w:r>
      <w:r>
        <w:tab/>
      </w:r>
      <w:r w:rsidRPr="000747DC">
        <w:rPr>
          <w:position w:val="-12"/>
          <w:lang w:val="en-US"/>
        </w:rPr>
        <w:object w:dxaOrig="2040" w:dyaOrig="360">
          <v:shape id="_x0000_i1047" type="#_x0000_t75" style="width:102pt;height:18pt" o:ole="">
            <v:imagedata r:id="rId57" o:title=""/>
          </v:shape>
          <o:OLEObject Type="Embed" ProgID="Equation.3" ShapeID="_x0000_i1047" DrawAspect="Content" ObjectID="_1326718063" r:id="rId58"/>
        </w:object>
      </w:r>
      <w:r w:rsidRPr="00DE7F68">
        <w:tab/>
        <w:t>(17)</w:t>
      </w:r>
    </w:p>
    <w:p w:rsidR="00E66710" w:rsidRDefault="00E66710" w:rsidP="00E66710">
      <w:pPr>
        <w:rPr>
          <w:i/>
        </w:rPr>
      </w:pPr>
      <w:r>
        <w:rPr>
          <w:i/>
        </w:rPr>
        <w:t>BER</w:t>
      </w:r>
      <w:r>
        <w:rPr>
          <w:i/>
          <w:iCs/>
          <w:vertAlign w:val="subscript"/>
        </w:rPr>
        <w:t>SES</w:t>
      </w:r>
      <w:r>
        <w:t xml:space="preserve"> étant indiqué dans le Tableau 1.</w:t>
      </w:r>
    </w:p>
    <w:p w:rsidR="00E66710" w:rsidRDefault="00E66710" w:rsidP="00E66710">
      <w:r>
        <w:rPr>
          <w:i/>
        </w:rPr>
        <w:t>Etape 3</w:t>
      </w:r>
      <w:r>
        <w:rPr>
          <w:i/>
          <w:iCs/>
        </w:rPr>
        <w:t>:</w:t>
      </w:r>
      <w:r>
        <w:tab/>
        <w:t>Calculer le taux SESR comme suit:</w:t>
      </w:r>
    </w:p>
    <w:p w:rsidR="00E66710" w:rsidRPr="00DE7F68" w:rsidRDefault="00E66710" w:rsidP="00E66710">
      <w:pPr>
        <w:pStyle w:val="Equation"/>
      </w:pPr>
      <w:r>
        <w:tab/>
      </w:r>
      <w:r>
        <w:tab/>
      </w:r>
      <w:r w:rsidRPr="000747DC">
        <w:rPr>
          <w:position w:val="-12"/>
          <w:lang w:val="en-US"/>
        </w:rPr>
        <w:object w:dxaOrig="2820" w:dyaOrig="360">
          <v:shape id="_x0000_i1048" type="#_x0000_t75" style="width:141pt;height:18pt" o:ole="">
            <v:imagedata r:id="rId59" o:title=""/>
          </v:shape>
          <o:OLEObject Type="Embed" ProgID="Equation.3" ShapeID="_x0000_i1048" DrawAspect="Content" ObjectID="_1326718064" r:id="rId60"/>
        </w:object>
      </w:r>
      <w:r w:rsidRPr="00DE7F68">
        <w:tab/>
        <w:t>(18)</w:t>
      </w:r>
    </w:p>
    <w:p w:rsidR="00E66710" w:rsidRDefault="00E66710" w:rsidP="00E66710">
      <w:r>
        <w:rPr>
          <w:i/>
        </w:rPr>
        <w:t>Etape 4</w:t>
      </w:r>
      <w:r>
        <w:rPr>
          <w:i/>
          <w:iCs/>
        </w:rPr>
        <w:t>:</w:t>
      </w:r>
      <w:r>
        <w:tab/>
        <w:t>Calculer le taux ESR comme suit:</w:t>
      </w:r>
    </w:p>
    <w:p w:rsidR="00E66710" w:rsidRDefault="00E66710" w:rsidP="00E66710">
      <w:pPr>
        <w:pStyle w:val="Equation"/>
      </w:pPr>
      <w:r>
        <w:tab/>
      </w:r>
      <w:r>
        <w:tab/>
      </w:r>
      <w:r w:rsidRPr="000747DC">
        <w:rPr>
          <w:position w:val="-30"/>
        </w:rPr>
        <w:object w:dxaOrig="3440" w:dyaOrig="680">
          <v:shape id="_x0000_i1049" type="#_x0000_t75" style="width:172pt;height:34pt" o:ole="" fillcolor="window">
            <v:imagedata r:id="rId61" o:title=""/>
          </v:shape>
          <o:OLEObject Type="Embed" ProgID="Equation.3" ShapeID="_x0000_i1049" DrawAspect="Content" ObjectID="_1326718065" r:id="rId62"/>
        </w:object>
      </w:r>
      <w:r>
        <w:tab/>
        <w:t>(19)</w:t>
      </w:r>
    </w:p>
    <w:p w:rsidR="00E66710" w:rsidRDefault="00E66710" w:rsidP="00E66710">
      <w:r>
        <w:t>où:</w:t>
      </w:r>
    </w:p>
    <w:p w:rsidR="00E66710" w:rsidRDefault="00E66710" w:rsidP="00E66710">
      <w:pPr>
        <w:pStyle w:val="Equationlegend"/>
        <w:rPr>
          <w:lang w:val="fr-CH"/>
        </w:rPr>
      </w:pPr>
      <w:r w:rsidRPr="00DE7F68">
        <w:rPr>
          <w:lang w:val="fr-FR"/>
        </w:rPr>
        <w:tab/>
      </w:r>
      <w:r>
        <w:sym w:font="Symbol" w:char="F061"/>
      </w:r>
      <w:r>
        <w:rPr>
          <w:vertAlign w:val="subscript"/>
          <w:lang w:val="fr-CH"/>
        </w:rPr>
        <w:t>3</w:t>
      </w:r>
      <w:r>
        <w:rPr>
          <w:lang w:val="fr-CH"/>
        </w:rPr>
        <w:t> </w:t>
      </w:r>
      <w:r>
        <w:rPr>
          <w:rFonts w:ascii="Symbol" w:hAnsi="Symbol"/>
        </w:rPr>
        <w:t></w:t>
      </w:r>
      <w:r>
        <w:rPr>
          <w:lang w:val="fr-CH"/>
        </w:rPr>
        <w:tab/>
        <w:t>1, nombre d'erreurs par rafale pour un BER inférieur à RBER</w:t>
      </w:r>
    </w:p>
    <w:p w:rsidR="00E66710" w:rsidRDefault="00E66710" w:rsidP="00E66710">
      <w:pPr>
        <w:pStyle w:val="Equationlegend"/>
        <w:rPr>
          <w:lang w:val="fr-CH"/>
        </w:rPr>
      </w:pPr>
      <w:r>
        <w:rPr>
          <w:lang w:val="fr-CH"/>
        </w:rPr>
        <w:tab/>
      </w:r>
      <w:r>
        <w:rPr>
          <w:i/>
          <w:lang w:val="fr-CH"/>
        </w:rPr>
        <w:t>N</w:t>
      </w:r>
      <w:r>
        <w:rPr>
          <w:i/>
          <w:vertAlign w:val="subscript"/>
          <w:lang w:val="fr-CH"/>
        </w:rPr>
        <w:t>B</w:t>
      </w:r>
      <w:r>
        <w:rPr>
          <w:i/>
          <w:sz w:val="12"/>
          <w:vertAlign w:val="subscript"/>
          <w:lang w:val="fr-CH"/>
        </w:rPr>
        <w:t> </w:t>
      </w:r>
      <w:r>
        <w:rPr>
          <w:rFonts w:ascii="Symbol" w:hAnsi="Symbol"/>
        </w:rPr>
        <w:t></w:t>
      </w:r>
      <w:r>
        <w:rPr>
          <w:lang w:val="fr-CH"/>
        </w:rPr>
        <w:tab/>
        <w:t>nombre de bits/bloc (voir le Tableau 1)</w:t>
      </w:r>
    </w:p>
    <w:p w:rsidR="00E66710" w:rsidRDefault="00E66710" w:rsidP="00E66710">
      <w:pPr>
        <w:pStyle w:val="Equationlegend"/>
        <w:rPr>
          <w:lang w:val="fr-CH"/>
        </w:rPr>
      </w:pPr>
      <w:r>
        <w:rPr>
          <w:lang w:val="fr-CH"/>
        </w:rPr>
        <w:tab/>
      </w:r>
      <w:r>
        <w:rPr>
          <w:i/>
          <w:lang w:val="fr-CH"/>
        </w:rPr>
        <w:t>n</w:t>
      </w:r>
      <w:r>
        <w:rPr>
          <w:i/>
          <w:sz w:val="12"/>
          <w:lang w:val="fr-CH"/>
        </w:rPr>
        <w:t> </w:t>
      </w:r>
      <w:r>
        <w:rPr>
          <w:rFonts w:ascii="Symbol" w:hAnsi="Symbol"/>
        </w:rPr>
        <w:t></w:t>
      </w:r>
      <w:r>
        <w:rPr>
          <w:lang w:val="fr-CH"/>
        </w:rPr>
        <w:tab/>
        <w:t>nombre de blocs/s (voir le Tableau 1)</w:t>
      </w:r>
    </w:p>
    <w:p w:rsidR="00E66710" w:rsidRDefault="00E66710" w:rsidP="00E66710">
      <w:pPr>
        <w:pStyle w:val="Equationlegend"/>
        <w:rPr>
          <w:lang w:val="fr-CH"/>
        </w:rPr>
      </w:pPr>
      <w:r>
        <w:rPr>
          <w:lang w:val="fr-CH"/>
        </w:rPr>
        <w:tab/>
      </w:r>
      <w:r>
        <w:rPr>
          <w:i/>
          <w:lang w:val="fr-CH"/>
        </w:rPr>
        <w:t>m</w:t>
      </w:r>
      <w:r>
        <w:rPr>
          <w:i/>
          <w:sz w:val="12"/>
          <w:lang w:val="fr-CH"/>
        </w:rPr>
        <w:t> </w:t>
      </w:r>
      <w:r>
        <w:rPr>
          <w:rFonts w:ascii="Symbol" w:hAnsi="Symbol"/>
        </w:rPr>
        <w:t></w:t>
      </w:r>
      <w:r>
        <w:rPr>
          <w:lang w:val="fr-CH"/>
        </w:rPr>
        <w:tab/>
        <w:t xml:space="preserve">pente de la courbe de distribution BER sur une échelle logarithmique pour un BER compris entre </w:t>
      </w:r>
      <w:r>
        <w:rPr>
          <w:i/>
          <w:lang w:val="fr-CH"/>
        </w:rPr>
        <w:t>BER</w:t>
      </w:r>
      <w:r>
        <w:rPr>
          <w:i/>
          <w:iCs/>
          <w:vertAlign w:val="subscript"/>
          <w:lang w:val="fr-CH"/>
        </w:rPr>
        <w:t>SES</w:t>
      </w:r>
      <w:r>
        <w:rPr>
          <w:lang w:val="fr-CH"/>
        </w:rPr>
        <w:t xml:space="preserve"> et RBER, donnée par l'équation suivante:</w:t>
      </w:r>
    </w:p>
    <w:p w:rsidR="00480130" w:rsidRPr="003F2D9B" w:rsidRDefault="00480130" w:rsidP="00480130">
      <w:pPr>
        <w:pStyle w:val="Blanc"/>
        <w:rPr>
          <w:lang w:val="fr-CH"/>
        </w:rPr>
      </w:pPr>
    </w:p>
    <w:p w:rsidR="00E66710" w:rsidRDefault="00E66710" w:rsidP="00E66710">
      <w:pPr>
        <w:pStyle w:val="Equation"/>
      </w:pPr>
      <w:r>
        <w:tab/>
      </w:r>
      <w:r>
        <w:tab/>
      </w:r>
      <w:r w:rsidRPr="000747DC">
        <w:rPr>
          <w:position w:val="-32"/>
        </w:rPr>
        <w:object w:dxaOrig="3840" w:dyaOrig="760">
          <v:shape id="_x0000_i1050" type="#_x0000_t75" style="width:192pt;height:38pt" o:ole="">
            <v:imagedata r:id="rId63" o:title=""/>
          </v:shape>
          <o:OLEObject Type="Embed" ProgID="Equation.3" ShapeID="_x0000_i1050" DrawAspect="Content" ObjectID="_1326718066" r:id="rId64"/>
        </w:object>
      </w:r>
      <w:r>
        <w:tab/>
        <w:t>(20)</w:t>
      </w:r>
    </w:p>
    <w:p w:rsidR="00E66710" w:rsidRDefault="00E66710" w:rsidP="00E66710">
      <w:pPr>
        <w:pStyle w:val="Heading3"/>
      </w:pPr>
      <w:r>
        <w:lastRenderedPageBreak/>
        <w:t>3.3.2</w:t>
      </w:r>
      <w:r>
        <w:tab/>
        <w:t>Prévision du taux ESR dû à l'affaiblissement par la pluie</w:t>
      </w:r>
    </w:p>
    <w:p w:rsidR="00E66710" w:rsidRDefault="00E66710" w:rsidP="00E66710">
      <w:r>
        <w:t>Le modèle de prévision du taux ESR dû à la pluie est fondé sur la relation entre le modèle d'affaiblissement dû à la pluie de l'UIT-R et la relation entre la puissance reçue et le BER du système de transmission considéré.</w:t>
      </w:r>
    </w:p>
    <w:p w:rsidR="00E66710" w:rsidRDefault="00E66710" w:rsidP="00E66710">
      <w:pPr>
        <w:pStyle w:val="Heading4"/>
      </w:pPr>
      <w:r>
        <w:t>3.3.2.1</w:t>
      </w:r>
      <w:r>
        <w:tab/>
        <w:t>Procédure de calcul du taux ESR dû à la pluie (étape par étape)</w:t>
      </w:r>
    </w:p>
    <w:p w:rsidR="00E66710" w:rsidRDefault="00E66710" w:rsidP="00E66710">
      <w:r>
        <w:t>Les paramètres d'entrée sont les suivants: fréquence, longueur de bond, polarisation, zone de pluie, puissance à l'émission</w:t>
      </w:r>
      <w:r>
        <w:rPr>
          <w:vertAlign w:val="subscript"/>
        </w:rPr>
        <w:t>,</w:t>
      </w:r>
      <w:r>
        <w:rPr>
          <w:i/>
          <w:vertAlign w:val="subscript"/>
        </w:rPr>
        <w:t xml:space="preserve"> </w:t>
      </w:r>
      <w:r>
        <w:t>gain de l'antenne d'émission, gain de l'antenne de réception</w:t>
      </w:r>
      <w:r>
        <w:rPr>
          <w:i/>
        </w:rPr>
        <w:t>,</w:t>
      </w:r>
      <w:r>
        <w:t xml:space="preserve"> relation entre la puissance reçue et le BER, type de conduit SDH et longueur des rafales d'erreurs.</w:t>
      </w:r>
    </w:p>
    <w:p w:rsidR="00E66710" w:rsidRDefault="00E66710" w:rsidP="00E66710">
      <w:r>
        <w:rPr>
          <w:i/>
        </w:rPr>
        <w:t>Etape 1</w:t>
      </w:r>
      <w:r>
        <w:rPr>
          <w:i/>
          <w:iCs/>
        </w:rPr>
        <w:t>:</w:t>
      </w:r>
      <w:r>
        <w:tab/>
        <w:t xml:space="preserve">Calculer l'affaiblissement dû à la pluie dépassé pour 0,01% de temps </w:t>
      </w:r>
      <w:r>
        <w:rPr>
          <w:i/>
        </w:rPr>
        <w:t>A</w:t>
      </w:r>
      <w:r>
        <w:rPr>
          <w:vertAlign w:val="subscript"/>
        </w:rPr>
        <w:t>0,01</w:t>
      </w:r>
      <w:r>
        <w:t xml:space="preserve">, selon la méthode décrite dans l'Annexe 1 de la Recommandation UIT-R P.530. </w:t>
      </w:r>
    </w:p>
    <w:p w:rsidR="00E66710" w:rsidRDefault="00E66710" w:rsidP="00E66710">
      <w:r>
        <w:rPr>
          <w:i/>
        </w:rPr>
        <w:t>Etape 2</w:t>
      </w:r>
      <w:r>
        <w:rPr>
          <w:i/>
          <w:iCs/>
        </w:rPr>
        <w:t>:</w:t>
      </w:r>
      <w:r>
        <w:tab/>
        <w:t xml:space="preserve">Calculer la puissance nominale reçue sans affaiblissement dû à la pluie </w:t>
      </w:r>
      <w:r>
        <w:rPr>
          <w:i/>
        </w:rPr>
        <w:t>P</w:t>
      </w:r>
      <w:r>
        <w:rPr>
          <w:i/>
          <w:iCs/>
          <w:vertAlign w:val="subscript"/>
        </w:rPr>
        <w:t>RXnominal</w:t>
      </w:r>
      <w:r>
        <w:t>.</w:t>
      </w:r>
    </w:p>
    <w:p w:rsidR="00E66710" w:rsidRDefault="00E66710" w:rsidP="00E66710">
      <w:r>
        <w:rPr>
          <w:i/>
        </w:rPr>
        <w:t>Etape 3</w:t>
      </w:r>
      <w:r>
        <w:rPr>
          <w:i/>
          <w:iCs/>
        </w:rPr>
        <w:t>:</w:t>
      </w:r>
      <w:r>
        <w:tab/>
        <w:t xml:space="preserve">A partir de la relation entre la puissance reçue et le BER (généralement obtenue auprès des fabricants d'équipements), déterminer la valeur de </w:t>
      </w:r>
      <w:r>
        <w:rPr>
          <w:i/>
        </w:rPr>
        <w:t>A</w:t>
      </w:r>
      <w:r>
        <w:rPr>
          <w:i/>
          <w:iCs/>
          <w:vertAlign w:val="subscript"/>
        </w:rPr>
        <w:t>SES</w:t>
      </w:r>
      <w:r>
        <w:t xml:space="preserve">, </w:t>
      </w:r>
      <w:r>
        <w:rPr>
          <w:i/>
        </w:rPr>
        <w:t>A</w:t>
      </w:r>
      <w:r>
        <w:rPr>
          <w:i/>
          <w:iCs/>
          <w:vertAlign w:val="subscript"/>
        </w:rPr>
        <w:t>SES</w:t>
      </w:r>
      <w:r>
        <w:t xml:space="preserve"> étant la marge d'affaiblissement de la liaison radioélectrique pour </w:t>
      </w:r>
      <w:r>
        <w:rPr>
          <w:i/>
        </w:rPr>
        <w:t>BER </w:t>
      </w:r>
      <w:r>
        <w:rPr>
          <w:rFonts w:ascii="Symbol" w:hAnsi="Symbol"/>
        </w:rPr>
        <w:t></w:t>
      </w:r>
      <w:r>
        <w:rPr>
          <w:i/>
        </w:rPr>
        <w:t> BER</w:t>
      </w:r>
      <w:r>
        <w:rPr>
          <w:i/>
          <w:iCs/>
          <w:vertAlign w:val="subscript"/>
        </w:rPr>
        <w:t xml:space="preserve">SES </w:t>
      </w:r>
      <w:r>
        <w:t>(voir le Tableau 1).</w:t>
      </w:r>
    </w:p>
    <w:p w:rsidR="00E66710" w:rsidRDefault="00E66710" w:rsidP="00E66710">
      <w:r>
        <w:rPr>
          <w:i/>
        </w:rPr>
        <w:t>Etape 4</w:t>
      </w:r>
      <w:r>
        <w:rPr>
          <w:i/>
          <w:iCs/>
        </w:rPr>
        <w:t>:</w:t>
      </w:r>
      <w:r>
        <w:tab/>
        <w:t xml:space="preserve">Calculer le pourcentage de temps annuel, </w:t>
      </w:r>
      <w:r>
        <w:rPr>
          <w:i/>
        </w:rPr>
        <w:t>p</w:t>
      </w:r>
      <w:r>
        <w:rPr>
          <w:i/>
          <w:iCs/>
          <w:vertAlign w:val="subscript"/>
        </w:rPr>
        <w:t>aSES</w:t>
      </w:r>
      <w:r>
        <w:t xml:space="preserve">, pendant lequel l'affaiblissement dû à la pluie est supérieur à </w:t>
      </w:r>
      <w:r>
        <w:rPr>
          <w:i/>
        </w:rPr>
        <w:t>A</w:t>
      </w:r>
      <w:r>
        <w:rPr>
          <w:i/>
          <w:iCs/>
          <w:vertAlign w:val="subscript"/>
        </w:rPr>
        <w:t>SES</w:t>
      </w:r>
      <w:r>
        <w:t>, comme indiqué dans l'Annexe 1 de la Recommandation UIT-R P.530.</w:t>
      </w:r>
    </w:p>
    <w:p w:rsidR="00E66710" w:rsidRDefault="00E66710" w:rsidP="00E66710">
      <w:r>
        <w:rPr>
          <w:i/>
        </w:rPr>
        <w:t>Etape 5</w:t>
      </w:r>
      <w:r>
        <w:rPr>
          <w:i/>
          <w:iCs/>
        </w:rPr>
        <w:t>:</w:t>
      </w:r>
      <w:r>
        <w:tab/>
        <w:t xml:space="preserve">Convertir le pourcentage de temps annuel, </w:t>
      </w:r>
      <w:r>
        <w:rPr>
          <w:i/>
        </w:rPr>
        <w:t>p</w:t>
      </w:r>
      <w:r>
        <w:rPr>
          <w:i/>
          <w:iCs/>
          <w:vertAlign w:val="subscript"/>
        </w:rPr>
        <w:t>aSES</w:t>
      </w:r>
      <w:r>
        <w:t xml:space="preserve">, en pourcentage de temps pendant le mois le plus défavorable, </w:t>
      </w:r>
      <w:r>
        <w:rPr>
          <w:i/>
        </w:rPr>
        <w:t>p</w:t>
      </w:r>
      <w:r>
        <w:rPr>
          <w:i/>
          <w:iCs/>
          <w:vertAlign w:val="subscript"/>
        </w:rPr>
        <w:t>wSES</w:t>
      </w:r>
      <w:r>
        <w:t xml:space="preserve">, selon la méthode indiquée dans la Recommandation UIT-R P.841. </w:t>
      </w:r>
    </w:p>
    <w:p w:rsidR="00E66710" w:rsidRDefault="00E66710" w:rsidP="00E66710">
      <w:r>
        <w:rPr>
          <w:i/>
        </w:rPr>
        <w:t>Etape 6</w:t>
      </w:r>
      <w:r>
        <w:rPr>
          <w:i/>
          <w:iCs/>
        </w:rPr>
        <w:t>:</w:t>
      </w:r>
      <w:r>
        <w:tab/>
        <w:t xml:space="preserve">A partir de la relation entre la puissance reçue et le BER (généralement obtenue auprès des fabricants d'équipements), déterminer la valeur de </w:t>
      </w:r>
      <w:r>
        <w:rPr>
          <w:i/>
        </w:rPr>
        <w:t>A</w:t>
      </w:r>
      <w:r>
        <w:rPr>
          <w:i/>
          <w:iCs/>
          <w:vertAlign w:val="subscript"/>
        </w:rPr>
        <w:t>R</w:t>
      </w:r>
      <w:r>
        <w:t xml:space="preserve">, </w:t>
      </w:r>
      <w:r>
        <w:rPr>
          <w:i/>
        </w:rPr>
        <w:t>A</w:t>
      </w:r>
      <w:r>
        <w:rPr>
          <w:i/>
          <w:iCs/>
          <w:vertAlign w:val="subscript"/>
        </w:rPr>
        <w:t>R</w:t>
      </w:r>
      <w:r>
        <w:t xml:space="preserve"> étant la marge d'affaiblissement de la liaison radioélectrique pour le taux RBER).</w:t>
      </w:r>
    </w:p>
    <w:p w:rsidR="00E66710" w:rsidRDefault="00E66710" w:rsidP="00E66710">
      <w:r>
        <w:rPr>
          <w:i/>
        </w:rPr>
        <w:t>Etape 7</w:t>
      </w:r>
      <w:r>
        <w:rPr>
          <w:i/>
          <w:iCs/>
        </w:rPr>
        <w:t>:</w:t>
      </w:r>
      <w:r>
        <w:tab/>
        <w:t xml:space="preserve">Calculer le pourcentage de temps annuel, </w:t>
      </w:r>
      <w:r>
        <w:rPr>
          <w:i/>
        </w:rPr>
        <w:t>p</w:t>
      </w:r>
      <w:r>
        <w:rPr>
          <w:i/>
          <w:iCs/>
          <w:vertAlign w:val="subscript"/>
        </w:rPr>
        <w:t>aR</w:t>
      </w:r>
      <w:r>
        <w:t xml:space="preserve">, pendant lequel l'affaiblissement dû à la pluie est supérieur à </w:t>
      </w:r>
      <w:r>
        <w:rPr>
          <w:i/>
        </w:rPr>
        <w:t>A</w:t>
      </w:r>
      <w:r>
        <w:rPr>
          <w:i/>
          <w:iCs/>
          <w:vertAlign w:val="subscript"/>
        </w:rPr>
        <w:t>R</w:t>
      </w:r>
      <w:r>
        <w:t>, comme indiqué dans l'Annexe 1 de la Recommandation UIT-R P.530.</w:t>
      </w:r>
    </w:p>
    <w:p w:rsidR="00E66710" w:rsidRDefault="00E66710" w:rsidP="00E66710">
      <w:r>
        <w:rPr>
          <w:i/>
        </w:rPr>
        <w:t>Etape 8</w:t>
      </w:r>
      <w:r>
        <w:rPr>
          <w:i/>
          <w:iCs/>
        </w:rPr>
        <w:t>:</w:t>
      </w:r>
      <w:r>
        <w:tab/>
        <w:t xml:space="preserve">Convertir le pourcentage de temps annuel, </w:t>
      </w:r>
      <w:r>
        <w:rPr>
          <w:i/>
        </w:rPr>
        <w:t>p</w:t>
      </w:r>
      <w:r>
        <w:rPr>
          <w:i/>
          <w:iCs/>
          <w:vertAlign w:val="subscript"/>
        </w:rPr>
        <w:t>aR</w:t>
      </w:r>
      <w:r>
        <w:t xml:space="preserve">, en pourcentage de temps pendant le mois le plus défavorable, </w:t>
      </w:r>
      <w:r>
        <w:rPr>
          <w:i/>
        </w:rPr>
        <w:t>p</w:t>
      </w:r>
      <w:r>
        <w:rPr>
          <w:i/>
          <w:iCs/>
          <w:vertAlign w:val="subscript"/>
        </w:rPr>
        <w:t>wR</w:t>
      </w:r>
      <w:r>
        <w:t>, selon la méthode indiquée dans la Recommandation UIT-R P.841.</w:t>
      </w:r>
    </w:p>
    <w:p w:rsidR="00E66710" w:rsidRDefault="00E66710" w:rsidP="00E66710">
      <w:r>
        <w:rPr>
          <w:i/>
        </w:rPr>
        <w:t>Etape 9</w:t>
      </w:r>
      <w:r>
        <w:rPr>
          <w:i/>
          <w:iCs/>
        </w:rPr>
        <w:t>:</w:t>
      </w:r>
      <w:r>
        <w:tab/>
        <w:t xml:space="preserve">Convertir les pourcentages de temps pendant le mois le plus défavorable </w:t>
      </w:r>
      <w:r>
        <w:rPr>
          <w:i/>
        </w:rPr>
        <w:t>p</w:t>
      </w:r>
      <w:r>
        <w:rPr>
          <w:i/>
          <w:iCs/>
          <w:vertAlign w:val="subscript"/>
        </w:rPr>
        <w:t>wSES</w:t>
      </w:r>
      <w:r>
        <w:t xml:space="preserve"> et </w:t>
      </w:r>
      <w:r>
        <w:rPr>
          <w:i/>
        </w:rPr>
        <w:t>p</w:t>
      </w:r>
      <w:r>
        <w:rPr>
          <w:i/>
          <w:iCs/>
          <w:vertAlign w:val="subscript"/>
        </w:rPr>
        <w:t>wR</w:t>
      </w:r>
      <w:r>
        <w:t xml:space="preserve"> en valeurs de probabilité correspondantes, </w:t>
      </w:r>
      <w:r>
        <w:rPr>
          <w:i/>
        </w:rPr>
        <w:t>P</w:t>
      </w:r>
      <w:r>
        <w:rPr>
          <w:i/>
          <w:iCs/>
          <w:vertAlign w:val="subscript"/>
        </w:rPr>
        <w:t>wSES</w:t>
      </w:r>
      <w:r>
        <w:t xml:space="preserve">, et </w:t>
      </w:r>
      <w:r>
        <w:rPr>
          <w:i/>
        </w:rPr>
        <w:t>P</w:t>
      </w:r>
      <w:r>
        <w:rPr>
          <w:i/>
          <w:iCs/>
          <w:vertAlign w:val="subscript"/>
        </w:rPr>
        <w:t>wR</w:t>
      </w:r>
      <w:r>
        <w:t>, de sorte que:</w:t>
      </w:r>
    </w:p>
    <w:p w:rsidR="00E66710" w:rsidRDefault="00E66710" w:rsidP="00E66710">
      <w:pPr>
        <w:pStyle w:val="Equation"/>
      </w:pPr>
      <w:r>
        <w:tab/>
      </w:r>
      <w:r>
        <w:tab/>
      </w:r>
      <w:r w:rsidRPr="000747DC">
        <w:rPr>
          <w:position w:val="-16"/>
          <w:lang w:val="en-US"/>
        </w:rPr>
        <w:object w:dxaOrig="3860" w:dyaOrig="400">
          <v:shape id="_x0000_i1051" type="#_x0000_t75" style="width:193pt;height:20pt" o:ole="">
            <v:imagedata r:id="rId65" o:title=""/>
          </v:shape>
          <o:OLEObject Type="Embed" ProgID="Equation.3" ShapeID="_x0000_i1051" DrawAspect="Content" ObjectID="_1326718067" r:id="rId66"/>
        </w:object>
      </w:r>
    </w:p>
    <w:p w:rsidR="00E66710" w:rsidRDefault="00E66710" w:rsidP="00E66710">
      <w:r>
        <w:rPr>
          <w:i/>
        </w:rPr>
        <w:t>Etape 10</w:t>
      </w:r>
      <w:r>
        <w:rPr>
          <w:i/>
          <w:iCs/>
        </w:rPr>
        <w:t>:</w:t>
      </w:r>
      <w:r>
        <w:tab/>
        <w:t>Calculer le taux ESR comme suit:</w:t>
      </w:r>
    </w:p>
    <w:p w:rsidR="00E66710" w:rsidRDefault="00E66710" w:rsidP="00E66710">
      <w:pPr>
        <w:pStyle w:val="Equation"/>
      </w:pPr>
      <w:r>
        <w:tab/>
      </w:r>
      <w:r>
        <w:tab/>
      </w:r>
      <w:r w:rsidRPr="000747DC">
        <w:rPr>
          <w:position w:val="-30"/>
        </w:rPr>
        <w:object w:dxaOrig="3440" w:dyaOrig="680">
          <v:shape id="_x0000_i1052" type="#_x0000_t75" style="width:172pt;height:34pt" o:ole="" fillcolor="window">
            <v:imagedata r:id="rId67" o:title=""/>
          </v:shape>
          <o:OLEObject Type="Embed" ProgID="Equation.3" ShapeID="_x0000_i1052" DrawAspect="Content" ObjectID="_1326718068" r:id="rId68"/>
        </w:object>
      </w:r>
      <w:r>
        <w:tab/>
        <w:t>(21)</w:t>
      </w:r>
    </w:p>
    <w:p w:rsidR="00E66710" w:rsidRDefault="00E66710" w:rsidP="00E66710">
      <w:r>
        <w:t>où le taux SESR est obtenu au moyen de l'équation (6)</w:t>
      </w:r>
    </w:p>
    <w:p w:rsidR="00E66710" w:rsidRDefault="00E66710" w:rsidP="00E66710">
      <w:r>
        <w:t>et</w:t>
      </w:r>
    </w:p>
    <w:p w:rsidR="00E66710" w:rsidRDefault="00E66710" w:rsidP="00E66710">
      <w:pPr>
        <w:pStyle w:val="Equationlegend"/>
        <w:rPr>
          <w:lang w:val="fr-CH"/>
        </w:rPr>
      </w:pPr>
      <w:r w:rsidRPr="00DE7F68">
        <w:rPr>
          <w:lang w:val="fr-FR"/>
        </w:rPr>
        <w:tab/>
      </w:r>
      <w:r>
        <w:sym w:font="Symbol" w:char="F061"/>
      </w:r>
      <w:r>
        <w:rPr>
          <w:vertAlign w:val="subscript"/>
          <w:lang w:val="fr-CH"/>
        </w:rPr>
        <w:t>3</w:t>
      </w:r>
      <w:r>
        <w:rPr>
          <w:lang w:val="fr-CH"/>
        </w:rPr>
        <w:t> </w:t>
      </w:r>
      <w:r>
        <w:rPr>
          <w:rFonts w:ascii="Symbol" w:hAnsi="Symbol"/>
        </w:rPr>
        <w:t></w:t>
      </w:r>
      <w:r>
        <w:rPr>
          <w:lang w:val="fr-CH"/>
        </w:rPr>
        <w:tab/>
        <w:t>1, nombre d'erreurs par rafale pour un BER inférieur au taux RBER</w:t>
      </w:r>
    </w:p>
    <w:p w:rsidR="00E66710" w:rsidRDefault="00E66710" w:rsidP="00E66710">
      <w:pPr>
        <w:pStyle w:val="Equationlegend"/>
        <w:rPr>
          <w:lang w:val="fr-CH"/>
        </w:rPr>
      </w:pPr>
      <w:r>
        <w:rPr>
          <w:lang w:val="fr-CH"/>
        </w:rPr>
        <w:tab/>
      </w:r>
      <w:r>
        <w:rPr>
          <w:i/>
          <w:lang w:val="fr-CH"/>
        </w:rPr>
        <w:t>N</w:t>
      </w:r>
      <w:r>
        <w:rPr>
          <w:i/>
          <w:vertAlign w:val="subscript"/>
          <w:lang w:val="fr-CH"/>
        </w:rPr>
        <w:t>B</w:t>
      </w:r>
      <w:r>
        <w:rPr>
          <w:i/>
          <w:sz w:val="12"/>
          <w:vertAlign w:val="subscript"/>
          <w:lang w:val="fr-CH"/>
        </w:rPr>
        <w:t> </w:t>
      </w:r>
      <w:r>
        <w:rPr>
          <w:rFonts w:ascii="Symbol" w:hAnsi="Symbol"/>
        </w:rPr>
        <w:t></w:t>
      </w:r>
      <w:r>
        <w:rPr>
          <w:lang w:val="fr-CH"/>
        </w:rPr>
        <w:tab/>
        <w:t>nombre de bits/bloc (voir le Tableau 1)</w:t>
      </w:r>
    </w:p>
    <w:p w:rsidR="00E66710" w:rsidRDefault="00E66710" w:rsidP="00E66710">
      <w:pPr>
        <w:pStyle w:val="Equationlegend"/>
        <w:rPr>
          <w:lang w:val="fr-CH"/>
        </w:rPr>
      </w:pPr>
      <w:r>
        <w:rPr>
          <w:lang w:val="fr-CH"/>
        </w:rPr>
        <w:tab/>
      </w:r>
      <w:r>
        <w:rPr>
          <w:i/>
          <w:lang w:val="fr-CH"/>
        </w:rPr>
        <w:t>n</w:t>
      </w:r>
      <w:r>
        <w:rPr>
          <w:i/>
          <w:sz w:val="12"/>
          <w:vertAlign w:val="subscript"/>
          <w:lang w:val="fr-CH"/>
        </w:rPr>
        <w:t> </w:t>
      </w:r>
      <w:r>
        <w:rPr>
          <w:rFonts w:ascii="Symbol" w:hAnsi="Symbol"/>
        </w:rPr>
        <w:t></w:t>
      </w:r>
      <w:r>
        <w:rPr>
          <w:rFonts w:ascii="Symbol" w:hAnsi="Symbol"/>
          <w:lang w:val="fr-CH"/>
        </w:rPr>
        <w:tab/>
      </w:r>
      <w:r>
        <w:rPr>
          <w:lang w:val="fr-CH"/>
        </w:rPr>
        <w:t>nombre de blocs/s (voir le Tableau 1)</w:t>
      </w:r>
    </w:p>
    <w:p w:rsidR="00E66710" w:rsidRDefault="00E66710" w:rsidP="00E66710">
      <w:pPr>
        <w:pStyle w:val="Equationlegend"/>
        <w:rPr>
          <w:lang w:val="fr-CH"/>
        </w:rPr>
      </w:pPr>
      <w:r>
        <w:rPr>
          <w:lang w:val="fr-CH"/>
        </w:rPr>
        <w:tab/>
      </w:r>
      <w:r>
        <w:rPr>
          <w:i/>
          <w:lang w:val="fr-CH"/>
        </w:rPr>
        <w:t>m</w:t>
      </w:r>
      <w:r>
        <w:rPr>
          <w:i/>
          <w:sz w:val="12"/>
          <w:vertAlign w:val="subscript"/>
          <w:lang w:val="fr-CH"/>
        </w:rPr>
        <w:t> </w:t>
      </w:r>
      <w:r>
        <w:rPr>
          <w:rFonts w:ascii="Symbol" w:hAnsi="Symbol"/>
        </w:rPr>
        <w:t></w:t>
      </w:r>
      <w:r>
        <w:rPr>
          <w:lang w:val="fr-CH"/>
        </w:rPr>
        <w:tab/>
        <w:t xml:space="preserve">pente de la courbe de distribution BER sur une échelle logarithmique pour un BER compris entre </w:t>
      </w:r>
      <w:r>
        <w:rPr>
          <w:i/>
          <w:lang w:val="fr-CH"/>
        </w:rPr>
        <w:t>BER</w:t>
      </w:r>
      <w:r>
        <w:rPr>
          <w:i/>
          <w:iCs/>
          <w:vertAlign w:val="subscript"/>
          <w:lang w:val="fr-CH"/>
        </w:rPr>
        <w:t>SES</w:t>
      </w:r>
      <w:r>
        <w:rPr>
          <w:lang w:val="fr-CH"/>
        </w:rPr>
        <w:t xml:space="preserve"> et RBER, donnée par l'équation suivante:</w:t>
      </w:r>
    </w:p>
    <w:p w:rsidR="00E66710" w:rsidRDefault="00E66710" w:rsidP="00E66710">
      <w:pPr>
        <w:pStyle w:val="Equation"/>
      </w:pPr>
      <w:r>
        <w:tab/>
      </w:r>
      <w:r>
        <w:tab/>
      </w:r>
      <w:r w:rsidRPr="000747DC">
        <w:rPr>
          <w:position w:val="-32"/>
        </w:rPr>
        <w:object w:dxaOrig="3840" w:dyaOrig="760">
          <v:shape id="_x0000_i1053" type="#_x0000_t75" style="width:192pt;height:38pt" o:ole="">
            <v:imagedata r:id="rId69" o:title=""/>
          </v:shape>
          <o:OLEObject Type="Embed" ProgID="Equation.3" ShapeID="_x0000_i1053" DrawAspect="Content" ObjectID="_1326718069" r:id="rId70"/>
        </w:object>
      </w:r>
      <w:r>
        <w:tab/>
        <w:t>(22)</w:t>
      </w:r>
    </w:p>
    <w:p w:rsidR="00E66710" w:rsidRDefault="00E66710" w:rsidP="00E66710">
      <w:pPr>
        <w:pStyle w:val="Heading2"/>
      </w:pPr>
      <w:r>
        <w:lastRenderedPageBreak/>
        <w:t>3.4</w:t>
      </w:r>
      <w:r>
        <w:tab/>
        <w:t>Prévision de l'indisponibilité due aux effets de la propagation</w:t>
      </w:r>
    </w:p>
    <w:p w:rsidR="00E66710" w:rsidRDefault="00E66710" w:rsidP="00E66710">
      <w:r>
        <w:t>Selon la définition en vigueur, l'indisponibilité est due à de longues périodes SES. Un système radioélectrique se trouve soit dans l'état de disponibilité soit dans l'état d'indisponibilité. S'il se trouve dans l'état de disponibilité et qu'une période SES supérieure à 10 s consécutives survient, il passe à l'état d'indisponibilité et la période SES devient une période d'indisponibilité. S'il se trouve dans l'état d'indisponibilité, il faut, pour qu'il passe à l'état de disponibilité, qu'il s'écoule une période de 10 s consécutives sans secondes SES. Pour le moment, on suppose que la période d'indisponibilité est due uniquement aux évanouissements causés par la pluie. Il est donc plus aisé de déterminer l'indisponibilité due à l'affaiblissement par la pluie selon la méthode de calcul du taux SESR dû à la pluie (voir les § 3.1.2 et 3.1.2.1).</w:t>
      </w:r>
    </w:p>
    <w:p w:rsidR="00E66710" w:rsidRDefault="00E66710" w:rsidP="00E66710">
      <w:r>
        <w:t xml:space="preserve">Si </w:t>
      </w:r>
      <w:r>
        <w:rPr>
          <w:i/>
          <w:iCs/>
        </w:rPr>
        <w:t>Y</w:t>
      </w:r>
      <w:r>
        <w:t> </w:t>
      </w:r>
      <w:r>
        <w:rPr>
          <w:rFonts w:ascii="Symbol" w:hAnsi="Symbol"/>
        </w:rPr>
        <w:t></w:t>
      </w:r>
      <w:r>
        <w:t xml:space="preserve"> 0% (voir la Note 1 du § 3.1.2.1), le taux, </w:t>
      </w:r>
      <w:r>
        <w:rPr>
          <w:i/>
          <w:iCs/>
        </w:rPr>
        <w:t>UR</w:t>
      </w:r>
      <w:r>
        <w:t> </w:t>
      </w:r>
      <w:r>
        <w:rPr>
          <w:rFonts w:ascii="Symbol" w:hAnsi="Symbol"/>
        </w:rPr>
        <w:t></w:t>
      </w:r>
      <w:r>
        <w:t> </w:t>
      </w:r>
      <w:r>
        <w:rPr>
          <w:i/>
          <w:iCs/>
        </w:rPr>
        <w:t>P</w:t>
      </w:r>
      <w:r>
        <w:rPr>
          <w:i/>
          <w:iCs/>
          <w:vertAlign w:val="subscript"/>
        </w:rPr>
        <w:t>aSES</w:t>
      </w:r>
      <w:r>
        <w:t xml:space="preserve"> pour l'affaiblissement dû à la pluie, où </w:t>
      </w:r>
      <w:r>
        <w:rPr>
          <w:i/>
          <w:iCs/>
        </w:rPr>
        <w:t>P</w:t>
      </w:r>
      <w:r>
        <w:rPr>
          <w:i/>
          <w:iCs/>
          <w:vertAlign w:val="subscript"/>
        </w:rPr>
        <w:t>aSES</w:t>
      </w:r>
      <w:r>
        <w:t> </w:t>
      </w:r>
      <w:r>
        <w:rPr>
          <w:rFonts w:ascii="Symbol" w:hAnsi="Symbol"/>
        </w:rPr>
        <w:t></w:t>
      </w:r>
      <w:r>
        <w:t> </w:t>
      </w:r>
      <w:r>
        <w:rPr>
          <w:i/>
          <w:iCs/>
        </w:rPr>
        <w:t>p</w:t>
      </w:r>
      <w:r>
        <w:rPr>
          <w:i/>
          <w:iCs/>
          <w:vertAlign w:val="subscript"/>
        </w:rPr>
        <w:t>aSES</w:t>
      </w:r>
      <w:r w:rsidR="00B46045" w:rsidRPr="00B46045">
        <w:rPr>
          <w:i/>
          <w:iCs/>
          <w:sz w:val="12"/>
          <w:vertAlign w:val="subscript"/>
        </w:rPr>
        <w:t xml:space="preserve"> </w:t>
      </w:r>
      <w:r>
        <w:t>/100 (voir l'Etape 4 du § 3.1.2.1).</w:t>
      </w:r>
    </w:p>
    <w:p w:rsidR="00E66710" w:rsidRDefault="00E66710" w:rsidP="00E66710">
      <w:r>
        <w:t>Il est bien connu que l'évanouissement dû aux trajets multiples peut aussi provoquer des événements d'indisponibilité. Toutefois, à l'heure actuelle, aucune méthode admise de prévision d'indisponibilité due à la propagation par trajets multiples ou à d'autres effets dus au temps clair, n'est disponible.</w:t>
      </w:r>
    </w:p>
    <w:p w:rsidR="00E66710" w:rsidRDefault="00E66710" w:rsidP="00E66710"/>
    <w:p w:rsidR="00E66710" w:rsidRDefault="00E66710" w:rsidP="00E66710"/>
    <w:p w:rsidR="00E66710" w:rsidRPr="003F2D9B" w:rsidRDefault="00E66710" w:rsidP="00E66710">
      <w:pPr>
        <w:pStyle w:val="Line"/>
        <w:rPr>
          <w:lang w:val="fr-CH"/>
        </w:rPr>
      </w:pPr>
    </w:p>
    <w:sectPr w:rsidR="00E66710" w:rsidRPr="003F2D9B" w:rsidSect="00626106">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666" w:rsidRDefault="001B3666">
      <w:r>
        <w:separator/>
      </w:r>
    </w:p>
  </w:endnote>
  <w:endnote w:type="continuationSeparator" w:id="0">
    <w:p w:rsidR="001B3666" w:rsidRDefault="001B36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66" w:rsidRDefault="001B3666">
    <w:pPr>
      <w:pStyle w:val="Footer"/>
      <w:rPr>
        <w:lang w:val="en-US"/>
      </w:rPr>
    </w:pPr>
  </w:p>
  <w:p w:rsidR="001B3666" w:rsidRPr="001B3666" w:rsidRDefault="001B3666">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666" w:rsidRDefault="001B3666">
      <w:r>
        <w:separator/>
      </w:r>
    </w:p>
  </w:footnote>
  <w:footnote w:type="continuationSeparator" w:id="0">
    <w:p w:rsidR="001B3666" w:rsidRDefault="001B3666">
      <w:r>
        <w:continuationSeparator/>
      </w:r>
    </w:p>
  </w:footnote>
  <w:footnote w:id="1">
    <w:p w:rsidR="001B3666" w:rsidRPr="00AB34CE" w:rsidRDefault="001B3666" w:rsidP="00E44850">
      <w:pPr>
        <w:pStyle w:val="FootnoteText"/>
        <w:rPr>
          <w:lang w:val="fr-CH"/>
        </w:rPr>
      </w:pPr>
      <w:r>
        <w:rPr>
          <w:rStyle w:val="FootnoteReference"/>
        </w:rPr>
        <w:t>*</w:t>
      </w:r>
      <w:r>
        <w:t xml:space="preserve"> </w:t>
      </w:r>
      <w:r>
        <w:rPr>
          <w:lang w:val="fr-CH"/>
        </w:rPr>
        <w:tab/>
        <w:t>La Commission d'études 5 des radiocommunications a apporté des modifications rédactionnelles à cette Recommandation en 2009 conformément aux dispositions de la Résolution UIT</w:t>
      </w:r>
      <w:r>
        <w:rPr>
          <w:lang w:val="fr-CH"/>
        </w:rPr>
        <w:noBreakHyphen/>
        <w: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66" w:rsidRDefault="001B366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66" w:rsidRDefault="001B3666" w:rsidP="00E66710">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66" w:rsidRPr="00837CB5" w:rsidRDefault="001B36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837CB5">
      <w:tab/>
    </w:r>
    <w:fldSimple w:instr=" DOCPROPERTY &quot;Header&quot; \* MERGEFORMAT ">
      <w:r w:rsidRPr="0059598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F.1605</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3666" w:rsidRDefault="001B3666">
    <w:pPr>
      <w:pStyle w:val="Header"/>
    </w:pPr>
    <w:r>
      <w:tab/>
    </w:r>
    <w:fldSimple w:instr=" DOCPROPERTY &quot;Header&quot; \* MERGEFORMAT ">
      <w:r w:rsidRPr="0059598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F.1605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hdrShapeDefaults>
    <o:shapedefaults v:ext="edit" spidmax="2079"/>
  </w:hdrShapeDefaults>
  <w:footnotePr>
    <w:footnote w:id="-1"/>
    <w:footnote w:id="0"/>
  </w:footnotePr>
  <w:endnotePr>
    <w:endnote w:id="-1"/>
    <w:endnote w:id="0"/>
  </w:endnotePr>
  <w:compat/>
  <w:rsids>
    <w:rsidRoot w:val="00E66710"/>
    <w:rsid w:val="000747DC"/>
    <w:rsid w:val="001004BB"/>
    <w:rsid w:val="001154C6"/>
    <w:rsid w:val="001444A8"/>
    <w:rsid w:val="001802FC"/>
    <w:rsid w:val="001B3666"/>
    <w:rsid w:val="001B4B9A"/>
    <w:rsid w:val="002D76C4"/>
    <w:rsid w:val="002E7522"/>
    <w:rsid w:val="003844F5"/>
    <w:rsid w:val="003A1464"/>
    <w:rsid w:val="003F2D9B"/>
    <w:rsid w:val="0041750E"/>
    <w:rsid w:val="00442D2A"/>
    <w:rsid w:val="0047241D"/>
    <w:rsid w:val="00480130"/>
    <w:rsid w:val="00587536"/>
    <w:rsid w:val="00595983"/>
    <w:rsid w:val="005F3B62"/>
    <w:rsid w:val="00607D68"/>
    <w:rsid w:val="00626106"/>
    <w:rsid w:val="007468DA"/>
    <w:rsid w:val="008B1DC5"/>
    <w:rsid w:val="008C3DFF"/>
    <w:rsid w:val="008C63BB"/>
    <w:rsid w:val="008E0233"/>
    <w:rsid w:val="008F595F"/>
    <w:rsid w:val="009258DB"/>
    <w:rsid w:val="009465D0"/>
    <w:rsid w:val="00A6617B"/>
    <w:rsid w:val="00AB0DC8"/>
    <w:rsid w:val="00B165FD"/>
    <w:rsid w:val="00B44E24"/>
    <w:rsid w:val="00B46045"/>
    <w:rsid w:val="00B96F6F"/>
    <w:rsid w:val="00BD1EF3"/>
    <w:rsid w:val="00C02753"/>
    <w:rsid w:val="00C13ABD"/>
    <w:rsid w:val="00D17D99"/>
    <w:rsid w:val="00DF4176"/>
    <w:rsid w:val="00E31771"/>
    <w:rsid w:val="00E42E88"/>
    <w:rsid w:val="00E44850"/>
    <w:rsid w:val="00E66710"/>
    <w:rsid w:val="00EA10A6"/>
    <w:rsid w:val="00ED0236"/>
    <w:rsid w:val="00EE0C8A"/>
    <w:rsid w:val="00F17A81"/>
    <w:rsid w:val="00F705B4"/>
    <w:rsid w:val="00FD4BA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47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747DC"/>
    <w:pPr>
      <w:keepNext/>
      <w:keepLines/>
      <w:spacing w:before="480"/>
      <w:ind w:left="794" w:hanging="794"/>
      <w:outlineLvl w:val="0"/>
    </w:pPr>
    <w:rPr>
      <w:b/>
    </w:rPr>
  </w:style>
  <w:style w:type="paragraph" w:styleId="Heading2">
    <w:name w:val="heading 2"/>
    <w:basedOn w:val="Heading1"/>
    <w:next w:val="Normal"/>
    <w:qFormat/>
    <w:rsid w:val="000747DC"/>
    <w:pPr>
      <w:spacing w:before="320"/>
      <w:outlineLvl w:val="1"/>
    </w:pPr>
  </w:style>
  <w:style w:type="paragraph" w:styleId="Heading3">
    <w:name w:val="heading 3"/>
    <w:basedOn w:val="Heading1"/>
    <w:next w:val="Normal"/>
    <w:qFormat/>
    <w:rsid w:val="000747DC"/>
    <w:pPr>
      <w:spacing w:before="200"/>
      <w:outlineLvl w:val="2"/>
    </w:pPr>
  </w:style>
  <w:style w:type="paragraph" w:styleId="Heading4">
    <w:name w:val="heading 4"/>
    <w:basedOn w:val="Heading3"/>
    <w:next w:val="Normal"/>
    <w:qFormat/>
    <w:rsid w:val="000747DC"/>
    <w:pPr>
      <w:tabs>
        <w:tab w:val="clear" w:pos="794"/>
        <w:tab w:val="left" w:pos="992"/>
      </w:tabs>
      <w:ind w:left="992" w:hanging="992"/>
      <w:outlineLvl w:val="3"/>
    </w:pPr>
  </w:style>
  <w:style w:type="paragraph" w:styleId="Heading5">
    <w:name w:val="heading 5"/>
    <w:basedOn w:val="Heading4"/>
    <w:next w:val="Normal"/>
    <w:qFormat/>
    <w:rsid w:val="000747DC"/>
    <w:pPr>
      <w:outlineLvl w:val="4"/>
    </w:pPr>
  </w:style>
  <w:style w:type="paragraph" w:styleId="Heading6">
    <w:name w:val="heading 6"/>
    <w:basedOn w:val="Heading4"/>
    <w:next w:val="Normal"/>
    <w:qFormat/>
    <w:rsid w:val="000747DC"/>
    <w:pPr>
      <w:tabs>
        <w:tab w:val="clear" w:pos="992"/>
        <w:tab w:val="clear" w:pos="1191"/>
      </w:tabs>
      <w:ind w:left="1588" w:hanging="1588"/>
      <w:outlineLvl w:val="5"/>
    </w:pPr>
  </w:style>
  <w:style w:type="paragraph" w:styleId="Heading7">
    <w:name w:val="heading 7"/>
    <w:basedOn w:val="Heading6"/>
    <w:next w:val="Normal"/>
    <w:qFormat/>
    <w:rsid w:val="000747DC"/>
    <w:pPr>
      <w:outlineLvl w:val="6"/>
    </w:pPr>
  </w:style>
  <w:style w:type="paragraph" w:styleId="Heading8">
    <w:name w:val="heading 8"/>
    <w:basedOn w:val="Heading6"/>
    <w:next w:val="Normal"/>
    <w:qFormat/>
    <w:rsid w:val="000747DC"/>
    <w:pPr>
      <w:outlineLvl w:val="7"/>
    </w:pPr>
  </w:style>
  <w:style w:type="paragraph" w:styleId="Heading9">
    <w:name w:val="heading 9"/>
    <w:basedOn w:val="Heading6"/>
    <w:next w:val="Normal"/>
    <w:qFormat/>
    <w:rsid w:val="000747D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0747DC"/>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0747D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747DC"/>
  </w:style>
  <w:style w:type="paragraph" w:customStyle="1" w:styleId="Headingb">
    <w:name w:val="Heading_b"/>
    <w:basedOn w:val="Heading3"/>
    <w:next w:val="Normal"/>
    <w:rsid w:val="000747DC"/>
    <w:pPr>
      <w:spacing w:before="160"/>
      <w:ind w:left="0" w:firstLine="0"/>
      <w:outlineLvl w:val="9"/>
    </w:pPr>
  </w:style>
  <w:style w:type="paragraph" w:customStyle="1" w:styleId="Headingi">
    <w:name w:val="Heading_i"/>
    <w:basedOn w:val="Heading3"/>
    <w:next w:val="Normal"/>
    <w:rsid w:val="000747DC"/>
    <w:pPr>
      <w:spacing w:before="160"/>
      <w:ind w:left="0" w:firstLine="0"/>
    </w:pPr>
    <w:rPr>
      <w:b w:val="0"/>
      <w:i/>
    </w:rPr>
  </w:style>
  <w:style w:type="character" w:customStyle="1" w:styleId="href">
    <w:name w:val="href"/>
    <w:basedOn w:val="DefaultParagraphFont"/>
    <w:rsid w:val="000747DC"/>
  </w:style>
  <w:style w:type="paragraph" w:customStyle="1" w:styleId="enumlev1">
    <w:name w:val="enumlev1"/>
    <w:basedOn w:val="Normal"/>
    <w:rsid w:val="000747DC"/>
    <w:pPr>
      <w:spacing w:before="80"/>
      <w:ind w:left="794" w:hanging="794"/>
    </w:pPr>
  </w:style>
  <w:style w:type="paragraph" w:customStyle="1" w:styleId="enumlev2">
    <w:name w:val="enumlev2"/>
    <w:basedOn w:val="enumlev1"/>
    <w:rsid w:val="000747DC"/>
    <w:pPr>
      <w:ind w:left="1191" w:hanging="397"/>
    </w:pPr>
  </w:style>
  <w:style w:type="paragraph" w:customStyle="1" w:styleId="enumlev3">
    <w:name w:val="enumlev3"/>
    <w:basedOn w:val="enumlev2"/>
    <w:rsid w:val="000747DC"/>
    <w:pPr>
      <w:ind w:left="1588"/>
    </w:pPr>
  </w:style>
  <w:style w:type="paragraph" w:customStyle="1" w:styleId="Normalaftertitle">
    <w:name w:val="Normal_after_title"/>
    <w:basedOn w:val="Normal"/>
    <w:next w:val="Normal"/>
    <w:rsid w:val="000747DC"/>
    <w:pPr>
      <w:spacing w:before="320"/>
    </w:pPr>
  </w:style>
  <w:style w:type="paragraph" w:customStyle="1" w:styleId="Note">
    <w:name w:val="Note"/>
    <w:basedOn w:val="Normal"/>
    <w:rsid w:val="000747D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747D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747DC"/>
    <w:pPr>
      <w:spacing w:before="240"/>
    </w:pPr>
    <w:rPr>
      <w:sz w:val="22"/>
      <w:lang w:val="es-ES_tradnl"/>
    </w:rPr>
  </w:style>
  <w:style w:type="paragraph" w:customStyle="1" w:styleId="Recref">
    <w:name w:val="Rec_ref"/>
    <w:basedOn w:val="Normal"/>
    <w:next w:val="Recdate"/>
    <w:rsid w:val="000747DC"/>
    <w:pPr>
      <w:jc w:val="center"/>
    </w:pPr>
  </w:style>
  <w:style w:type="paragraph" w:customStyle="1" w:styleId="Recdate">
    <w:name w:val="Rec_date"/>
    <w:basedOn w:val="Recref"/>
    <w:next w:val="Normalaftertitle"/>
    <w:rsid w:val="000747DC"/>
    <w:pPr>
      <w:jc w:val="right"/>
    </w:pPr>
  </w:style>
  <w:style w:type="paragraph" w:customStyle="1" w:styleId="AnnexNoTitle">
    <w:name w:val="Annex_NoTitle"/>
    <w:basedOn w:val="Normal"/>
    <w:next w:val="Normalaftertitle"/>
    <w:rsid w:val="000747DC"/>
    <w:pPr>
      <w:keepNext/>
      <w:keepLines/>
      <w:spacing w:before="480" w:after="80"/>
      <w:jc w:val="center"/>
    </w:pPr>
    <w:rPr>
      <w:b/>
      <w:sz w:val="28"/>
    </w:rPr>
  </w:style>
  <w:style w:type="paragraph" w:customStyle="1" w:styleId="AppendixNoTitle">
    <w:name w:val="Appendix_NoTitle"/>
    <w:basedOn w:val="AnnexNoTitle"/>
    <w:next w:val="Normal"/>
    <w:rsid w:val="000747DC"/>
  </w:style>
  <w:style w:type="paragraph" w:customStyle="1" w:styleId="Tablefin">
    <w:name w:val="Table_fin"/>
    <w:basedOn w:val="Normal"/>
    <w:next w:val="Normal"/>
    <w:rsid w:val="000747DC"/>
    <w:pPr>
      <w:spacing w:before="0"/>
    </w:pPr>
    <w:rPr>
      <w:sz w:val="20"/>
      <w:lang w:val="en-GB"/>
    </w:rPr>
  </w:style>
  <w:style w:type="paragraph" w:customStyle="1" w:styleId="Tablehead">
    <w:name w:val="Table_head"/>
    <w:basedOn w:val="Normal"/>
    <w:next w:val="Normal"/>
    <w:rsid w:val="000747D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747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747DC"/>
    <w:pPr>
      <w:keepNext/>
      <w:spacing w:before="360" w:after="120"/>
      <w:jc w:val="center"/>
    </w:pPr>
  </w:style>
  <w:style w:type="paragraph" w:customStyle="1" w:styleId="Tabletext">
    <w:name w:val="Table_text"/>
    <w:basedOn w:val="Normal"/>
    <w:rsid w:val="000747D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747DC"/>
    <w:pPr>
      <w:tabs>
        <w:tab w:val="clear" w:pos="1191"/>
        <w:tab w:val="clear" w:pos="1588"/>
        <w:tab w:val="clear" w:pos="1985"/>
        <w:tab w:val="center" w:pos="4820"/>
        <w:tab w:val="right" w:pos="9639"/>
      </w:tabs>
    </w:pPr>
  </w:style>
  <w:style w:type="paragraph" w:customStyle="1" w:styleId="Equationlegend">
    <w:name w:val="Equation_legend"/>
    <w:basedOn w:val="NormalIndent"/>
    <w:rsid w:val="000747D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747DC"/>
    <w:pPr>
      <w:ind w:left="794"/>
    </w:pPr>
  </w:style>
  <w:style w:type="paragraph" w:customStyle="1" w:styleId="Figurelegend">
    <w:name w:val="Figure_legend"/>
    <w:basedOn w:val="Normal"/>
    <w:rsid w:val="000747D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0747D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747DC"/>
    <w:pPr>
      <w:keepNext/>
      <w:keepLines/>
      <w:spacing w:before="480"/>
      <w:jc w:val="center"/>
    </w:pPr>
    <w:rPr>
      <w:sz w:val="28"/>
    </w:rPr>
  </w:style>
  <w:style w:type="paragraph" w:customStyle="1" w:styleId="Arttitle">
    <w:name w:val="Art_title"/>
    <w:basedOn w:val="Normal"/>
    <w:next w:val="Normalaftertitle"/>
    <w:rsid w:val="000747DC"/>
    <w:pPr>
      <w:keepNext/>
      <w:keepLines/>
      <w:spacing w:before="240"/>
      <w:jc w:val="center"/>
    </w:pPr>
    <w:rPr>
      <w:b/>
      <w:sz w:val="28"/>
    </w:rPr>
  </w:style>
  <w:style w:type="paragraph" w:customStyle="1" w:styleId="Blanc">
    <w:name w:val="Blanc"/>
    <w:basedOn w:val="Normal"/>
    <w:next w:val="Tabletext"/>
    <w:rsid w:val="000747D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747D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747DC"/>
    <w:pPr>
      <w:keepNext/>
      <w:keepLines/>
      <w:spacing w:before="160"/>
      <w:ind w:left="794"/>
    </w:pPr>
    <w:rPr>
      <w:i/>
    </w:rPr>
  </w:style>
  <w:style w:type="paragraph" w:customStyle="1" w:styleId="ChapNo">
    <w:name w:val="Chap_No"/>
    <w:basedOn w:val="ArtNo"/>
    <w:next w:val="Chaptitle"/>
    <w:rsid w:val="000747DC"/>
    <w:rPr>
      <w:b/>
    </w:rPr>
  </w:style>
  <w:style w:type="paragraph" w:customStyle="1" w:styleId="Chaptitle">
    <w:name w:val="Chap_title"/>
    <w:basedOn w:val="Arttitle"/>
    <w:next w:val="Normalaftertitle"/>
    <w:rsid w:val="000747DC"/>
  </w:style>
  <w:style w:type="character" w:styleId="FootnoteReference">
    <w:name w:val="footnote reference"/>
    <w:basedOn w:val="DefaultParagraphFont"/>
    <w:semiHidden/>
    <w:rsid w:val="000747DC"/>
    <w:rPr>
      <w:position w:val="6"/>
      <w:sz w:val="18"/>
    </w:rPr>
  </w:style>
  <w:style w:type="paragraph" w:styleId="FootnoteText">
    <w:name w:val="footnote text"/>
    <w:basedOn w:val="Normal"/>
    <w:semiHidden/>
    <w:rsid w:val="000747DC"/>
    <w:pPr>
      <w:keepLines/>
      <w:tabs>
        <w:tab w:val="left" w:pos="255"/>
      </w:tabs>
      <w:ind w:left="255" w:hanging="255"/>
    </w:pPr>
    <w:rPr>
      <w:sz w:val="22"/>
    </w:rPr>
  </w:style>
  <w:style w:type="paragraph" w:styleId="Index1">
    <w:name w:val="index 1"/>
    <w:basedOn w:val="Normal"/>
    <w:next w:val="Normal"/>
    <w:semiHidden/>
    <w:rsid w:val="000747DC"/>
  </w:style>
  <w:style w:type="paragraph" w:styleId="Index2">
    <w:name w:val="index 2"/>
    <w:basedOn w:val="Normal"/>
    <w:next w:val="Normal"/>
    <w:semiHidden/>
    <w:rsid w:val="000747DC"/>
    <w:pPr>
      <w:ind w:left="283"/>
    </w:pPr>
  </w:style>
  <w:style w:type="paragraph" w:styleId="Index3">
    <w:name w:val="index 3"/>
    <w:basedOn w:val="Normal"/>
    <w:next w:val="Normal"/>
    <w:semiHidden/>
    <w:rsid w:val="000747DC"/>
    <w:pPr>
      <w:ind w:left="566"/>
    </w:pPr>
  </w:style>
  <w:style w:type="paragraph" w:styleId="IndexHeading">
    <w:name w:val="index heading"/>
    <w:basedOn w:val="Normal"/>
    <w:next w:val="Index1"/>
    <w:semiHidden/>
    <w:rsid w:val="000747DC"/>
  </w:style>
  <w:style w:type="paragraph" w:customStyle="1" w:styleId="Line">
    <w:name w:val="Line"/>
    <w:basedOn w:val="Normal"/>
    <w:next w:val="Normal"/>
    <w:rsid w:val="000747D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747D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747DC"/>
  </w:style>
  <w:style w:type="paragraph" w:customStyle="1" w:styleId="Partref">
    <w:name w:val="Part_ref"/>
    <w:basedOn w:val="Normal"/>
    <w:next w:val="Normal"/>
    <w:rsid w:val="000747DC"/>
    <w:pPr>
      <w:keepNext/>
      <w:keepLines/>
      <w:spacing w:after="280"/>
      <w:jc w:val="center"/>
    </w:pPr>
  </w:style>
  <w:style w:type="paragraph" w:customStyle="1" w:styleId="Parttitle">
    <w:name w:val="Part_title"/>
    <w:basedOn w:val="Normal"/>
    <w:next w:val="Normalaftertitle"/>
    <w:rsid w:val="000747D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747DC"/>
  </w:style>
  <w:style w:type="paragraph" w:customStyle="1" w:styleId="QuestionNo">
    <w:name w:val="Question_No"/>
    <w:basedOn w:val="RecNo"/>
    <w:next w:val="Normal"/>
    <w:rsid w:val="000747DC"/>
  </w:style>
  <w:style w:type="paragraph" w:customStyle="1" w:styleId="Questionref">
    <w:name w:val="Question_ref"/>
    <w:basedOn w:val="Recref"/>
    <w:next w:val="Questiondate"/>
    <w:rsid w:val="000747DC"/>
  </w:style>
  <w:style w:type="paragraph" w:customStyle="1" w:styleId="Questiontitle">
    <w:name w:val="Question_title"/>
    <w:basedOn w:val="Normal"/>
    <w:next w:val="Questionref"/>
    <w:rsid w:val="000747DC"/>
  </w:style>
  <w:style w:type="paragraph" w:customStyle="1" w:styleId="Reftext">
    <w:name w:val="Ref_text"/>
    <w:basedOn w:val="Normal"/>
    <w:rsid w:val="000747DC"/>
    <w:pPr>
      <w:ind w:left="794" w:hanging="794"/>
    </w:pPr>
    <w:rPr>
      <w:sz w:val="22"/>
    </w:rPr>
  </w:style>
  <w:style w:type="paragraph" w:customStyle="1" w:styleId="Reftitle">
    <w:name w:val="Ref_title"/>
    <w:basedOn w:val="Normal"/>
    <w:next w:val="Reftext"/>
    <w:rsid w:val="000747D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747DC"/>
  </w:style>
  <w:style w:type="paragraph" w:customStyle="1" w:styleId="RepNo">
    <w:name w:val="Rep_No"/>
    <w:basedOn w:val="RecNo"/>
    <w:next w:val="Reptitle"/>
    <w:rsid w:val="000747DC"/>
  </w:style>
  <w:style w:type="paragraph" w:customStyle="1" w:styleId="Repref">
    <w:name w:val="Rep_ref"/>
    <w:basedOn w:val="Recref"/>
    <w:next w:val="Repdate"/>
    <w:rsid w:val="000747DC"/>
  </w:style>
  <w:style w:type="paragraph" w:customStyle="1" w:styleId="Reptitle">
    <w:name w:val="Rep_title"/>
    <w:basedOn w:val="Rectitle"/>
    <w:next w:val="Repref"/>
    <w:rsid w:val="000747DC"/>
  </w:style>
  <w:style w:type="paragraph" w:customStyle="1" w:styleId="Resdate">
    <w:name w:val="Res_date"/>
    <w:basedOn w:val="Recdate"/>
    <w:next w:val="Normalaftertitle"/>
    <w:rsid w:val="000747DC"/>
  </w:style>
  <w:style w:type="paragraph" w:customStyle="1" w:styleId="ResNo">
    <w:name w:val="Res_No"/>
    <w:basedOn w:val="RecNo"/>
    <w:next w:val="Restitle"/>
    <w:rsid w:val="000747DC"/>
  </w:style>
  <w:style w:type="paragraph" w:customStyle="1" w:styleId="Resref">
    <w:name w:val="Res_ref"/>
    <w:basedOn w:val="Recref"/>
    <w:next w:val="Resdate"/>
    <w:rsid w:val="000747DC"/>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0747DC"/>
  </w:style>
  <w:style w:type="paragraph" w:customStyle="1" w:styleId="Sectiontitle">
    <w:name w:val="Section_title"/>
    <w:basedOn w:val="Normal"/>
    <w:next w:val="Normalaftertitle"/>
    <w:rsid w:val="000747D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747DC"/>
    <w:pPr>
      <w:tabs>
        <w:tab w:val="clear" w:pos="794"/>
        <w:tab w:val="clear" w:pos="1191"/>
        <w:tab w:val="clear" w:pos="1588"/>
        <w:tab w:val="clear" w:pos="1985"/>
        <w:tab w:val="right" w:pos="9611"/>
      </w:tabs>
    </w:pPr>
    <w:rPr>
      <w:i/>
    </w:rPr>
  </w:style>
  <w:style w:type="paragraph" w:styleId="TOC1">
    <w:name w:val="toc 1"/>
    <w:basedOn w:val="Normal"/>
    <w:semiHidden/>
    <w:rsid w:val="000747D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747DC"/>
    <w:pPr>
      <w:tabs>
        <w:tab w:val="clear" w:pos="567"/>
        <w:tab w:val="left" w:pos="1276"/>
      </w:tabs>
      <w:spacing w:before="160"/>
      <w:ind w:left="1276" w:hanging="709"/>
    </w:pPr>
  </w:style>
  <w:style w:type="paragraph" w:styleId="TOC3">
    <w:name w:val="toc 3"/>
    <w:basedOn w:val="TOC2"/>
    <w:semiHidden/>
    <w:rsid w:val="000747DC"/>
    <w:pPr>
      <w:tabs>
        <w:tab w:val="clear" w:pos="1276"/>
        <w:tab w:val="left" w:pos="2155"/>
      </w:tabs>
      <w:ind w:left="2155" w:hanging="879"/>
    </w:pPr>
  </w:style>
  <w:style w:type="paragraph" w:styleId="TOC4">
    <w:name w:val="toc 4"/>
    <w:basedOn w:val="TOC3"/>
    <w:semiHidden/>
    <w:rsid w:val="000747DC"/>
    <w:pPr>
      <w:tabs>
        <w:tab w:val="left" w:pos="3261"/>
      </w:tabs>
      <w:spacing w:before="80"/>
      <w:ind w:left="3261" w:hanging="993"/>
    </w:pPr>
  </w:style>
  <w:style w:type="paragraph" w:styleId="TOC5">
    <w:name w:val="toc 5"/>
    <w:basedOn w:val="TOC4"/>
    <w:semiHidden/>
    <w:rsid w:val="000747DC"/>
  </w:style>
  <w:style w:type="paragraph" w:styleId="TOC6">
    <w:name w:val="toc 6"/>
    <w:basedOn w:val="TOC4"/>
    <w:semiHidden/>
    <w:rsid w:val="000747DC"/>
  </w:style>
  <w:style w:type="paragraph" w:styleId="TOC7">
    <w:name w:val="toc 7"/>
    <w:basedOn w:val="TOC4"/>
    <w:semiHidden/>
    <w:rsid w:val="000747DC"/>
  </w:style>
  <w:style w:type="paragraph" w:styleId="TOC8">
    <w:name w:val="toc 8"/>
    <w:basedOn w:val="TOC4"/>
    <w:semiHidden/>
    <w:rsid w:val="000747DC"/>
  </w:style>
  <w:style w:type="paragraph" w:customStyle="1" w:styleId="Rectitle">
    <w:name w:val="Rec_title"/>
    <w:basedOn w:val="Normal"/>
    <w:next w:val="Recref"/>
    <w:rsid w:val="000747DC"/>
    <w:pPr>
      <w:keepNext/>
      <w:keepLines/>
      <w:spacing w:before="240"/>
      <w:jc w:val="center"/>
    </w:pPr>
    <w:rPr>
      <w:b/>
      <w:sz w:val="28"/>
    </w:rPr>
  </w:style>
  <w:style w:type="paragraph" w:customStyle="1" w:styleId="Annexref">
    <w:name w:val="Annex_ref"/>
    <w:basedOn w:val="Normal"/>
    <w:next w:val="Normalaftertitle"/>
    <w:rsid w:val="000747DC"/>
    <w:pPr>
      <w:keepNext/>
      <w:keepLines/>
      <w:spacing w:after="280"/>
      <w:jc w:val="center"/>
    </w:pPr>
  </w:style>
  <w:style w:type="paragraph" w:customStyle="1" w:styleId="Appendixref">
    <w:name w:val="Appendix_ref"/>
    <w:basedOn w:val="Annexref"/>
    <w:next w:val="Normalaftertitle"/>
    <w:rsid w:val="000747DC"/>
  </w:style>
  <w:style w:type="paragraph" w:customStyle="1" w:styleId="Figuretitle">
    <w:name w:val="Figure_title"/>
    <w:basedOn w:val="Normal"/>
    <w:next w:val="Figure"/>
    <w:rsid w:val="000747D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747DC"/>
    <w:pPr>
      <w:keepNext/>
      <w:spacing w:before="0" w:after="120"/>
      <w:jc w:val="center"/>
    </w:pPr>
    <w:rPr>
      <w:b/>
    </w:rPr>
  </w:style>
  <w:style w:type="paragraph" w:customStyle="1" w:styleId="Summary">
    <w:name w:val="Summary"/>
    <w:basedOn w:val="Normal"/>
    <w:next w:val="Normalaftertitle"/>
    <w:rsid w:val="000747DC"/>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E66710"/>
    <w:rPr>
      <w:color w:val="0000FF"/>
      <w:u w:val="single"/>
    </w:rPr>
  </w:style>
  <w:style w:type="table" w:styleId="TableGrid">
    <w:name w:val="Table Grid"/>
    <w:basedOn w:val="TableNormal"/>
    <w:rsid w:val="00E6671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595983"/>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6.wmf"/><Relationship Id="rId21" Type="http://schemas.openxmlformats.org/officeDocument/2006/relationships/image" Target="media/image6.wmf"/><Relationship Id="rId34" Type="http://schemas.openxmlformats.org/officeDocument/2006/relationships/image" Target="media/image13.wmf"/><Relationship Id="rId42" Type="http://schemas.openxmlformats.org/officeDocument/2006/relationships/oleObject" Target="embeddings/oleObject13.bin"/><Relationship Id="rId47" Type="http://schemas.openxmlformats.org/officeDocument/2006/relationships/image" Target="media/image20.wmf"/><Relationship Id="rId50" Type="http://schemas.openxmlformats.org/officeDocument/2006/relationships/oleObject" Target="embeddings/oleObject17.bin"/><Relationship Id="rId55" Type="http://schemas.openxmlformats.org/officeDocument/2006/relationships/image" Target="media/image24.wmf"/><Relationship Id="rId63" Type="http://schemas.openxmlformats.org/officeDocument/2006/relationships/image" Target="media/image28.wmf"/><Relationship Id="rId68" Type="http://schemas.openxmlformats.org/officeDocument/2006/relationships/oleObject" Target="embeddings/oleObject26.bin"/><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wmf"/><Relationship Id="rId40" Type="http://schemas.openxmlformats.org/officeDocument/2006/relationships/oleObject" Target="embeddings/oleObject12.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1.bin"/><Relationship Id="rId66" Type="http://schemas.openxmlformats.org/officeDocument/2006/relationships/oleObject" Target="embeddings/oleObject25.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image" Target="media/image21.wmf"/><Relationship Id="rId57" Type="http://schemas.openxmlformats.org/officeDocument/2006/relationships/image" Target="media/image25.wmf"/><Relationship Id="rId61" Type="http://schemas.openxmlformats.org/officeDocument/2006/relationships/image" Target="media/image27.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29.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1.wmf"/><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6.wmf"/><Relationship Id="rId67" Type="http://schemas.openxmlformats.org/officeDocument/2006/relationships/image" Target="media/image30.wmf"/><Relationship Id="rId20" Type="http://schemas.openxmlformats.org/officeDocument/2006/relationships/image" Target="media/image5.wmf"/><Relationship Id="rId41" Type="http://schemas.openxmlformats.org/officeDocument/2006/relationships/image" Target="media/image17.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9B167-742D-4F65-BEA3-FD9FFF68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64</TotalTime>
  <Pages>14</Pages>
  <Words>5004</Words>
  <Characters>27072</Characters>
  <Application>Microsoft Office Word</Application>
  <DocSecurity>0</DocSecurity>
  <Lines>225</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32012</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22.01.10-sc</dc:description>
  <cp:lastModifiedBy>christe</cp:lastModifiedBy>
  <cp:revision>5</cp:revision>
  <cp:lastPrinted>2005-02-10T15:54:00Z</cp:lastPrinted>
  <dcterms:created xsi:type="dcterms:W3CDTF">2010-02-02T13:39:00Z</dcterms:created>
  <dcterms:modified xsi:type="dcterms:W3CDTF">2010-02-03T14:59:00Z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