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2BD" w:rsidRDefault="00C032BD" w:rsidP="00C032BD">
      <w:bookmarkStart w:id="0" w:name="_GoBack"/>
      <w:bookmarkEnd w:id="0"/>
    </w:p>
    <w:p w:rsidR="00C032BD" w:rsidRDefault="00C032BD" w:rsidP="00C032BD"/>
    <w:p w:rsidR="00C032BD" w:rsidRDefault="00C032BD" w:rsidP="00C032BD"/>
    <w:p w:rsidR="00C032BD" w:rsidRDefault="00C032BD" w:rsidP="00C032BD"/>
    <w:p w:rsidR="00C032BD" w:rsidRDefault="00C032BD" w:rsidP="00C032BD"/>
    <w:p w:rsidR="00C032BD" w:rsidRDefault="00C032BD" w:rsidP="00C032BD"/>
    <w:p w:rsidR="00C032BD" w:rsidRDefault="00C032BD" w:rsidP="00C032BD"/>
    <w:p w:rsidR="00C032BD" w:rsidRDefault="00C032BD" w:rsidP="00C032BD"/>
    <w:p w:rsidR="00C032BD" w:rsidRDefault="00C032BD" w:rsidP="00C032BD"/>
    <w:p w:rsidR="00C032BD" w:rsidRDefault="00C032BD" w:rsidP="00C032BD"/>
    <w:p w:rsidR="00C032BD" w:rsidRDefault="00C032BD" w:rsidP="00C032BD"/>
    <w:p w:rsidR="00C032BD" w:rsidRDefault="00C032BD" w:rsidP="00C032BD"/>
    <w:tbl>
      <w:tblPr>
        <w:tblW w:w="10089" w:type="dxa"/>
        <w:tblLook w:val="01E0" w:firstRow="1" w:lastRow="1" w:firstColumn="1" w:lastColumn="1" w:noHBand="0" w:noVBand="0"/>
      </w:tblPr>
      <w:tblGrid>
        <w:gridCol w:w="10089"/>
      </w:tblGrid>
      <w:tr w:rsidR="00C032BD" w:rsidRPr="004F65E4" w:rsidTr="006D1A01">
        <w:tc>
          <w:tcPr>
            <w:tcW w:w="10089" w:type="dxa"/>
          </w:tcPr>
          <w:p w:rsidR="00C032BD" w:rsidRPr="001511A6" w:rsidRDefault="00C032BD" w:rsidP="006D1A01">
            <w:pPr>
              <w:spacing w:before="380" w:line="280" w:lineRule="exact"/>
              <w:jc w:val="right"/>
              <w:rPr>
                <w:rFonts w:ascii="Tahoma" w:hAnsi="Tahoma" w:cs="Tahoma"/>
                <w:b/>
                <w:bCs/>
                <w:iCs/>
                <w:color w:val="243285"/>
                <w:sz w:val="32"/>
                <w:szCs w:val="32"/>
                <w:lang w:val="en-US"/>
              </w:rPr>
            </w:pPr>
          </w:p>
          <w:p w:rsidR="00C032BD" w:rsidRPr="004F65E4" w:rsidRDefault="00C032BD" w:rsidP="00C032B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1778-1</w:t>
            </w:r>
          </w:p>
          <w:p w:rsidR="00C032BD" w:rsidRPr="004F65E4" w:rsidRDefault="00C032BD" w:rsidP="00C032B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C032BD" w:rsidRPr="00EE6DBE" w:rsidTr="006D1A01">
        <w:tc>
          <w:tcPr>
            <w:tcW w:w="10089" w:type="dxa"/>
          </w:tcPr>
          <w:p w:rsidR="00C032BD" w:rsidRPr="00C032BD" w:rsidRDefault="00C032BD" w:rsidP="006D1A01">
            <w:pPr>
              <w:spacing w:before="80" w:line="500" w:lineRule="exact"/>
              <w:jc w:val="right"/>
              <w:rPr>
                <w:rFonts w:ascii="Tahoma" w:hAnsi="Tahoma" w:cs="Tahoma"/>
                <w:b/>
                <w:bCs/>
                <w:iCs/>
                <w:color w:val="243285"/>
                <w:sz w:val="44"/>
                <w:szCs w:val="44"/>
                <w:lang w:val="en-US"/>
              </w:rPr>
            </w:pPr>
          </w:p>
          <w:p w:rsidR="00C032BD" w:rsidRPr="001511A6" w:rsidRDefault="00C032BD" w:rsidP="00C032BD">
            <w:pPr>
              <w:spacing w:before="80" w:line="500" w:lineRule="exact"/>
              <w:jc w:val="right"/>
              <w:rPr>
                <w:rFonts w:ascii="Tahoma" w:hAnsi="Tahoma" w:cs="Tahoma"/>
                <w:b/>
                <w:bCs/>
                <w:iCs/>
                <w:color w:val="243285"/>
                <w:sz w:val="44"/>
                <w:szCs w:val="44"/>
                <w:lang w:val="en-US"/>
              </w:rPr>
            </w:pPr>
            <w:r w:rsidRPr="00C032BD">
              <w:rPr>
                <w:rFonts w:ascii="Tahoma" w:hAnsi="Tahoma" w:cs="Tahoma"/>
                <w:b/>
                <w:bCs/>
                <w:iCs/>
                <w:color w:val="243285"/>
                <w:sz w:val="44"/>
                <w:szCs w:val="44"/>
                <w:lang w:val="en-US"/>
              </w:rPr>
              <w:t>Channel access requirements for HF adaptive systems</w:t>
            </w:r>
            <w:r>
              <w:rPr>
                <w:rFonts w:ascii="Tahoma" w:hAnsi="Tahoma" w:cs="Tahoma"/>
                <w:b/>
                <w:bCs/>
                <w:iCs/>
                <w:color w:val="243285"/>
                <w:sz w:val="44"/>
                <w:szCs w:val="44"/>
                <w:lang w:val="en-US"/>
              </w:rPr>
              <w:t xml:space="preserve"> </w:t>
            </w:r>
            <w:r w:rsidRPr="00C032BD">
              <w:rPr>
                <w:rFonts w:ascii="Tahoma" w:hAnsi="Tahoma" w:cs="Tahoma"/>
                <w:b/>
                <w:bCs/>
                <w:iCs/>
                <w:color w:val="243285"/>
                <w:sz w:val="44"/>
                <w:szCs w:val="44"/>
                <w:lang w:val="en-US"/>
              </w:rPr>
              <w:t xml:space="preserve">in the fixed </w:t>
            </w:r>
            <w:r>
              <w:rPr>
                <w:rFonts w:ascii="Tahoma" w:hAnsi="Tahoma" w:cs="Tahoma"/>
                <w:b/>
                <w:bCs/>
                <w:iCs/>
                <w:color w:val="243285"/>
                <w:sz w:val="44"/>
                <w:szCs w:val="44"/>
                <w:lang w:val="en-US"/>
              </w:rPr>
              <w:br/>
            </w:r>
            <w:r w:rsidRPr="00C032BD">
              <w:rPr>
                <w:rFonts w:ascii="Tahoma" w:hAnsi="Tahoma" w:cs="Tahoma"/>
                <w:b/>
                <w:bCs/>
                <w:iCs/>
                <w:color w:val="243285"/>
                <w:sz w:val="44"/>
                <w:szCs w:val="44"/>
                <w:lang w:val="en-US"/>
              </w:rPr>
              <w:t>and land mobile services</w:t>
            </w:r>
          </w:p>
          <w:p w:rsidR="00C032BD" w:rsidRPr="001511A6" w:rsidRDefault="00C032BD" w:rsidP="006D1A01">
            <w:pPr>
              <w:spacing w:before="80" w:line="500" w:lineRule="exact"/>
              <w:jc w:val="right"/>
              <w:rPr>
                <w:rFonts w:ascii="Tahoma" w:hAnsi="Tahoma" w:cs="Tahoma"/>
                <w:b/>
                <w:bCs/>
                <w:iCs/>
                <w:color w:val="243285"/>
                <w:sz w:val="40"/>
                <w:szCs w:val="40"/>
                <w:lang w:val="en-US"/>
              </w:rPr>
            </w:pPr>
          </w:p>
        </w:tc>
      </w:tr>
      <w:tr w:rsidR="00C032BD" w:rsidTr="006D1A01">
        <w:tc>
          <w:tcPr>
            <w:tcW w:w="10089" w:type="dxa"/>
          </w:tcPr>
          <w:p w:rsidR="00C032BD" w:rsidRPr="00C032BD" w:rsidRDefault="00C032BD" w:rsidP="006D1A01">
            <w:pPr>
              <w:spacing w:before="80" w:line="280" w:lineRule="exact"/>
              <w:ind w:right="640"/>
              <w:rPr>
                <w:rFonts w:ascii="Tahoma" w:hAnsi="Tahoma" w:cs="Tahoma"/>
                <w:b/>
                <w:bCs/>
                <w:iCs/>
                <w:color w:val="243285"/>
                <w:sz w:val="32"/>
                <w:szCs w:val="32"/>
                <w:lang w:val="en-US"/>
              </w:rPr>
            </w:pPr>
          </w:p>
          <w:p w:rsidR="00C032BD" w:rsidRPr="00C032BD" w:rsidRDefault="00C032BD" w:rsidP="006D1A01">
            <w:pPr>
              <w:spacing w:before="80" w:line="280" w:lineRule="exact"/>
              <w:ind w:right="640"/>
              <w:rPr>
                <w:rFonts w:ascii="Tahoma" w:hAnsi="Tahoma" w:cs="Tahoma"/>
                <w:b/>
                <w:bCs/>
                <w:iCs/>
                <w:color w:val="243285"/>
                <w:sz w:val="32"/>
                <w:szCs w:val="32"/>
                <w:lang w:val="en-US"/>
              </w:rPr>
            </w:pPr>
          </w:p>
          <w:p w:rsidR="00C032BD" w:rsidRPr="00C032BD" w:rsidRDefault="00C032BD" w:rsidP="006D1A01">
            <w:pPr>
              <w:spacing w:before="80" w:after="180" w:line="360" w:lineRule="exact"/>
              <w:ind w:right="720"/>
              <w:rPr>
                <w:rFonts w:ascii="Tahoma" w:hAnsi="Tahoma" w:cs="Tahoma"/>
                <w:b/>
                <w:bCs/>
                <w:iCs/>
                <w:color w:val="243285"/>
                <w:sz w:val="36"/>
                <w:szCs w:val="36"/>
                <w:lang w:val="en-US"/>
              </w:rPr>
            </w:pPr>
          </w:p>
          <w:p w:rsidR="00C032BD" w:rsidRPr="001511A6" w:rsidRDefault="00C032BD" w:rsidP="006D1A0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C032BD" w:rsidRPr="00E406BD" w:rsidRDefault="00C032BD" w:rsidP="006D1A01">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C032BD" w:rsidRDefault="00C032BD" w:rsidP="00C032BD">
      <w:pPr>
        <w:spacing w:before="80"/>
        <w:rPr>
          <w:i/>
          <w:sz w:val="22"/>
          <w:lang w:val="en-US"/>
        </w:rPr>
      </w:pPr>
    </w:p>
    <w:p w:rsidR="00C032BD" w:rsidRDefault="00C032BD" w:rsidP="00C032BD">
      <w:pPr>
        <w:spacing w:before="80"/>
        <w:rPr>
          <w:i/>
          <w:sz w:val="22"/>
          <w:lang w:val="en-US"/>
        </w:rPr>
      </w:pPr>
    </w:p>
    <w:p w:rsidR="00C032BD" w:rsidRDefault="00C032BD" w:rsidP="00C032BD">
      <w:pPr>
        <w:spacing w:before="80"/>
        <w:rPr>
          <w:i/>
          <w:sz w:val="22"/>
          <w:lang w:val="en-US"/>
        </w:rPr>
      </w:pPr>
    </w:p>
    <w:p w:rsidR="00C032BD" w:rsidRDefault="00C032BD" w:rsidP="00C032BD">
      <w:pPr>
        <w:spacing w:before="80"/>
        <w:rPr>
          <w:i/>
          <w:sz w:val="22"/>
          <w:lang w:val="en-US"/>
        </w:rPr>
      </w:pPr>
    </w:p>
    <w:p w:rsidR="00C032BD" w:rsidRDefault="00C032BD" w:rsidP="00C032BD">
      <w:pPr>
        <w:spacing w:before="80"/>
        <w:rPr>
          <w:i/>
          <w:sz w:val="22"/>
          <w:lang w:val="en-US"/>
        </w:rPr>
      </w:pPr>
    </w:p>
    <w:p w:rsidR="00C032BD" w:rsidRDefault="00C032BD" w:rsidP="00C032BD">
      <w:pPr>
        <w:spacing w:before="80"/>
        <w:rPr>
          <w:i/>
          <w:sz w:val="22"/>
          <w:lang w:val="en-US"/>
        </w:rPr>
      </w:pPr>
    </w:p>
    <w:p w:rsidR="00C032BD" w:rsidRDefault="00C032BD" w:rsidP="00C032BD">
      <w:pPr>
        <w:pStyle w:val="Equation"/>
        <w:tabs>
          <w:tab w:val="clear" w:pos="4820"/>
          <w:tab w:val="clear" w:pos="9639"/>
          <w:tab w:val="left" w:pos="1191"/>
          <w:tab w:val="left" w:pos="1588"/>
          <w:tab w:val="left" w:pos="1985"/>
        </w:tabs>
        <w:rPr>
          <w:rFonts w:ascii="Palatino Linotype" w:hAnsi="Palatino Linotype"/>
          <w:lang w:val="en-US"/>
        </w:rPr>
        <w:sectPr w:rsidR="00C032BD">
          <w:headerReference w:type="even" r:id="rId6"/>
          <w:headerReference w:type="default" r:id="rId7"/>
          <w:pgSz w:w="11907" w:h="16840" w:code="9"/>
          <w:pgMar w:top="1089" w:right="1089" w:bottom="284" w:left="1089" w:header="567" w:footer="284" w:gutter="0"/>
          <w:pgNumType w:start="1"/>
          <w:cols w:space="720"/>
        </w:sectPr>
      </w:pPr>
    </w:p>
    <w:p w:rsidR="00C032BD" w:rsidRPr="00586EF8" w:rsidRDefault="00C032BD" w:rsidP="00C032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C032BD" w:rsidRDefault="00C032BD" w:rsidP="00C032B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032BD" w:rsidRDefault="00C032BD" w:rsidP="00C032B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032BD" w:rsidRPr="00B714F3" w:rsidRDefault="00C032BD" w:rsidP="00C032BD">
      <w:pPr>
        <w:pStyle w:val="Heading1"/>
        <w:spacing w:before="680"/>
        <w:jc w:val="center"/>
        <w:rPr>
          <w:szCs w:val="24"/>
          <w:lang w:val="en-US"/>
        </w:rPr>
      </w:pPr>
      <w:r w:rsidRPr="00B714F3">
        <w:rPr>
          <w:szCs w:val="24"/>
          <w:lang w:val="en-US"/>
        </w:rPr>
        <w:t>Policy on Intellectual Property Right (IPR)</w:t>
      </w:r>
    </w:p>
    <w:p w:rsidR="00C032BD" w:rsidRPr="00B714F3" w:rsidRDefault="00C032BD" w:rsidP="00C032B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032BD" w:rsidRDefault="00C032BD" w:rsidP="00C032BD">
      <w:pPr>
        <w:jc w:val="center"/>
        <w:rPr>
          <w:sz w:val="22"/>
          <w:lang w:val="en-US"/>
        </w:rPr>
      </w:pPr>
    </w:p>
    <w:p w:rsidR="00C032BD" w:rsidRDefault="00C032BD" w:rsidP="00C032B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032BD" w:rsidRPr="00EE6DBE" w:rsidTr="006D1A01">
        <w:tc>
          <w:tcPr>
            <w:tcW w:w="9360" w:type="dxa"/>
            <w:gridSpan w:val="2"/>
          </w:tcPr>
          <w:p w:rsidR="00C032BD" w:rsidRPr="00036EE3" w:rsidRDefault="00C032BD" w:rsidP="006D1A0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032BD" w:rsidRPr="00036EE3" w:rsidRDefault="00C032BD"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C032BD" w:rsidRPr="00036EE3" w:rsidTr="006D1A01">
        <w:tc>
          <w:tcPr>
            <w:tcW w:w="1140" w:type="dxa"/>
          </w:tcPr>
          <w:p w:rsidR="00C032BD" w:rsidRPr="00036EE3" w:rsidRDefault="00C032BD" w:rsidP="006D1A01">
            <w:pPr>
              <w:spacing w:before="200" w:after="100"/>
              <w:ind w:left="57"/>
              <w:rPr>
                <w:b/>
                <w:bCs/>
                <w:sz w:val="20"/>
                <w:lang w:val="en-US"/>
              </w:rPr>
            </w:pPr>
            <w:r w:rsidRPr="00036EE3">
              <w:rPr>
                <w:b/>
                <w:bCs/>
                <w:sz w:val="20"/>
                <w:lang w:val="en-US"/>
              </w:rPr>
              <w:t>Series</w:t>
            </w:r>
          </w:p>
        </w:tc>
        <w:tc>
          <w:tcPr>
            <w:tcW w:w="8220" w:type="dxa"/>
          </w:tcPr>
          <w:p w:rsidR="00C032BD" w:rsidRPr="00036EE3" w:rsidRDefault="00C032BD"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032BD" w:rsidRPr="00036EE3" w:rsidTr="006D1A01">
        <w:tc>
          <w:tcPr>
            <w:tcW w:w="1140" w:type="dxa"/>
          </w:tcPr>
          <w:p w:rsidR="00C032BD" w:rsidRPr="00036EE3" w:rsidRDefault="00C032BD" w:rsidP="006D1A01">
            <w:pPr>
              <w:spacing w:before="30" w:after="30"/>
              <w:ind w:left="57"/>
              <w:jc w:val="left"/>
              <w:rPr>
                <w:b/>
                <w:bCs/>
                <w:sz w:val="20"/>
                <w:lang w:val="en-US"/>
              </w:rPr>
            </w:pPr>
            <w:r w:rsidRPr="00036EE3">
              <w:rPr>
                <w:b/>
                <w:bCs/>
                <w:sz w:val="20"/>
                <w:lang w:val="en-US"/>
              </w:rPr>
              <w:t>BO</w:t>
            </w:r>
          </w:p>
        </w:tc>
        <w:tc>
          <w:tcPr>
            <w:tcW w:w="8220" w:type="dxa"/>
          </w:tcPr>
          <w:p w:rsidR="00C032BD" w:rsidRPr="00036EE3" w:rsidRDefault="00C032BD"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032BD" w:rsidRPr="00EE6DBE" w:rsidTr="006D1A01">
        <w:tc>
          <w:tcPr>
            <w:tcW w:w="1140" w:type="dxa"/>
            <w:tcBorders>
              <w:bottom w:val="nil"/>
            </w:tcBorders>
          </w:tcPr>
          <w:p w:rsidR="00C032BD" w:rsidRPr="00036EE3" w:rsidRDefault="00C032BD" w:rsidP="006D1A01">
            <w:pPr>
              <w:spacing w:before="30" w:after="30"/>
              <w:ind w:left="57"/>
              <w:jc w:val="left"/>
              <w:rPr>
                <w:b/>
                <w:bCs/>
                <w:sz w:val="20"/>
                <w:lang w:val="en-US"/>
              </w:rPr>
            </w:pPr>
            <w:r w:rsidRPr="00036EE3">
              <w:rPr>
                <w:b/>
                <w:bCs/>
                <w:sz w:val="20"/>
                <w:lang w:val="en-US"/>
              </w:rPr>
              <w:t>BR</w:t>
            </w:r>
          </w:p>
        </w:tc>
        <w:tc>
          <w:tcPr>
            <w:tcW w:w="8220" w:type="dxa"/>
            <w:tcBorders>
              <w:bottom w:val="nil"/>
            </w:tcBorders>
          </w:tcPr>
          <w:p w:rsidR="00C032BD" w:rsidRPr="00036EE3" w:rsidRDefault="00C032BD"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032BD" w:rsidRPr="00036EE3" w:rsidTr="006D1A01">
        <w:tc>
          <w:tcPr>
            <w:tcW w:w="1140" w:type="dxa"/>
            <w:tcBorders>
              <w:top w:val="nil"/>
              <w:bottom w:val="nil"/>
            </w:tcBorders>
            <w:shd w:val="clear" w:color="auto" w:fill="auto"/>
          </w:tcPr>
          <w:p w:rsidR="00C032BD" w:rsidRPr="007D224F" w:rsidRDefault="00C032BD" w:rsidP="006D1A0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032BD" w:rsidRPr="007D224F" w:rsidRDefault="00C032BD"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032BD" w:rsidRPr="00ED2695" w:rsidTr="006D1A01">
        <w:tc>
          <w:tcPr>
            <w:tcW w:w="1140" w:type="dxa"/>
            <w:tcBorders>
              <w:top w:val="nil"/>
              <w:bottom w:val="nil"/>
            </w:tcBorders>
            <w:shd w:val="clear" w:color="auto" w:fill="auto"/>
          </w:tcPr>
          <w:p w:rsidR="00C032BD" w:rsidRPr="00ED2695" w:rsidRDefault="00C032BD" w:rsidP="006D1A0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032BD" w:rsidRPr="00ED2695" w:rsidRDefault="00C032BD"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032BD" w:rsidRPr="007D224F" w:rsidTr="006D1A01">
        <w:tc>
          <w:tcPr>
            <w:tcW w:w="1140" w:type="dxa"/>
            <w:tcBorders>
              <w:top w:val="nil"/>
              <w:bottom w:val="nil"/>
            </w:tcBorders>
            <w:shd w:val="clear" w:color="auto" w:fill="F3F3F3"/>
          </w:tcPr>
          <w:p w:rsidR="00C032BD" w:rsidRPr="007D224F" w:rsidRDefault="00C032BD" w:rsidP="006D1A01">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C032BD" w:rsidRPr="007D224F" w:rsidRDefault="00C032BD"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C032BD" w:rsidRPr="00036EE3" w:rsidTr="006D1A01">
        <w:tc>
          <w:tcPr>
            <w:tcW w:w="1140" w:type="dxa"/>
            <w:tcBorders>
              <w:top w:val="nil"/>
            </w:tcBorders>
            <w:shd w:val="clear" w:color="auto" w:fill="auto"/>
          </w:tcPr>
          <w:p w:rsidR="00C032BD" w:rsidRPr="00906589" w:rsidRDefault="00C032BD" w:rsidP="006D1A01">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C032BD" w:rsidRPr="00906589" w:rsidRDefault="00C032BD" w:rsidP="006D1A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C032BD" w:rsidRPr="00036EE3" w:rsidTr="006D1A01">
        <w:tc>
          <w:tcPr>
            <w:tcW w:w="1140" w:type="dxa"/>
          </w:tcPr>
          <w:p w:rsidR="00C032BD" w:rsidRPr="00036EE3" w:rsidRDefault="00C032BD" w:rsidP="006D1A01">
            <w:pPr>
              <w:spacing w:before="30" w:after="30"/>
              <w:ind w:left="57"/>
              <w:jc w:val="left"/>
              <w:rPr>
                <w:b/>
                <w:bCs/>
                <w:sz w:val="20"/>
                <w:lang w:val="fr-CH"/>
              </w:rPr>
            </w:pPr>
            <w:r w:rsidRPr="00036EE3">
              <w:rPr>
                <w:b/>
                <w:bCs/>
                <w:sz w:val="20"/>
                <w:lang w:val="fr-CH"/>
              </w:rPr>
              <w:t>P</w:t>
            </w:r>
          </w:p>
        </w:tc>
        <w:tc>
          <w:tcPr>
            <w:tcW w:w="8220" w:type="dxa"/>
          </w:tcPr>
          <w:p w:rsidR="00C032BD" w:rsidRPr="00036EE3" w:rsidRDefault="00C032BD" w:rsidP="006D1A01">
            <w:pPr>
              <w:spacing w:before="30" w:after="30"/>
              <w:jc w:val="left"/>
              <w:rPr>
                <w:sz w:val="20"/>
                <w:lang w:val="fr-CH"/>
              </w:rPr>
            </w:pPr>
            <w:r w:rsidRPr="00036EE3">
              <w:rPr>
                <w:sz w:val="20"/>
                <w:lang w:val="fr-CH"/>
              </w:rPr>
              <w:t>Radiowave propagation</w:t>
            </w:r>
          </w:p>
        </w:tc>
      </w:tr>
      <w:tr w:rsidR="00C032BD" w:rsidRPr="00036EE3" w:rsidTr="006D1A01">
        <w:tc>
          <w:tcPr>
            <w:tcW w:w="1140" w:type="dxa"/>
          </w:tcPr>
          <w:p w:rsidR="00C032BD" w:rsidRPr="00036EE3" w:rsidRDefault="00C032BD" w:rsidP="006D1A01">
            <w:pPr>
              <w:spacing w:before="30" w:after="30"/>
              <w:ind w:left="57"/>
              <w:jc w:val="left"/>
              <w:rPr>
                <w:b/>
                <w:bCs/>
                <w:sz w:val="20"/>
                <w:lang w:val="en-US"/>
              </w:rPr>
            </w:pPr>
            <w:r w:rsidRPr="00036EE3">
              <w:rPr>
                <w:b/>
                <w:bCs/>
                <w:sz w:val="20"/>
                <w:lang w:val="en-US"/>
              </w:rPr>
              <w:t>RA</w:t>
            </w:r>
          </w:p>
        </w:tc>
        <w:tc>
          <w:tcPr>
            <w:tcW w:w="8220" w:type="dxa"/>
          </w:tcPr>
          <w:p w:rsidR="00C032BD" w:rsidRPr="00036EE3" w:rsidRDefault="00C032BD"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032BD" w:rsidRPr="00036EE3" w:rsidTr="006D1A01">
        <w:tc>
          <w:tcPr>
            <w:tcW w:w="1140" w:type="dxa"/>
          </w:tcPr>
          <w:p w:rsidR="00C032BD" w:rsidRPr="00036EE3" w:rsidRDefault="00C032BD" w:rsidP="006D1A01">
            <w:pPr>
              <w:spacing w:before="30" w:after="30"/>
              <w:ind w:left="57"/>
              <w:jc w:val="left"/>
              <w:rPr>
                <w:b/>
                <w:bCs/>
                <w:sz w:val="20"/>
                <w:lang w:val="en-US"/>
              </w:rPr>
            </w:pPr>
            <w:r w:rsidRPr="00036EE3">
              <w:rPr>
                <w:b/>
                <w:bCs/>
                <w:sz w:val="20"/>
                <w:lang w:val="en-US"/>
              </w:rPr>
              <w:t>RS</w:t>
            </w:r>
          </w:p>
        </w:tc>
        <w:tc>
          <w:tcPr>
            <w:tcW w:w="8220" w:type="dxa"/>
          </w:tcPr>
          <w:p w:rsidR="00C032BD" w:rsidRPr="00036EE3" w:rsidRDefault="00C032BD" w:rsidP="006D1A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032BD" w:rsidRPr="00036EE3" w:rsidTr="006D1A01">
        <w:tc>
          <w:tcPr>
            <w:tcW w:w="1140" w:type="dxa"/>
          </w:tcPr>
          <w:p w:rsidR="00C032BD" w:rsidRPr="00036EE3" w:rsidRDefault="00C032BD" w:rsidP="006D1A01">
            <w:pPr>
              <w:spacing w:before="30" w:after="30"/>
              <w:ind w:left="57"/>
              <w:jc w:val="left"/>
              <w:rPr>
                <w:b/>
                <w:bCs/>
                <w:sz w:val="20"/>
                <w:lang w:val="en-US"/>
              </w:rPr>
            </w:pPr>
            <w:r w:rsidRPr="00036EE3">
              <w:rPr>
                <w:b/>
                <w:bCs/>
                <w:sz w:val="20"/>
                <w:lang w:val="en-US"/>
              </w:rPr>
              <w:t>S</w:t>
            </w:r>
          </w:p>
        </w:tc>
        <w:tc>
          <w:tcPr>
            <w:tcW w:w="8220" w:type="dxa"/>
          </w:tcPr>
          <w:p w:rsidR="00C032BD" w:rsidRPr="00036EE3" w:rsidRDefault="00C032BD" w:rsidP="006D1A01">
            <w:pPr>
              <w:spacing w:before="30" w:after="30"/>
              <w:jc w:val="left"/>
              <w:rPr>
                <w:sz w:val="20"/>
                <w:lang w:val="en-US"/>
              </w:rPr>
            </w:pPr>
            <w:r w:rsidRPr="00036EE3">
              <w:rPr>
                <w:sz w:val="20"/>
                <w:lang w:val="en-US"/>
              </w:rPr>
              <w:t>Fixed-satellite service</w:t>
            </w:r>
          </w:p>
        </w:tc>
      </w:tr>
      <w:tr w:rsidR="00C032BD" w:rsidRPr="00036EE3" w:rsidTr="006D1A01">
        <w:tc>
          <w:tcPr>
            <w:tcW w:w="1140" w:type="dxa"/>
          </w:tcPr>
          <w:p w:rsidR="00C032BD" w:rsidRPr="00036EE3" w:rsidRDefault="00C032BD" w:rsidP="006D1A01">
            <w:pPr>
              <w:spacing w:before="30" w:after="30"/>
              <w:ind w:left="57"/>
              <w:jc w:val="left"/>
              <w:rPr>
                <w:b/>
                <w:bCs/>
                <w:sz w:val="20"/>
                <w:lang w:val="en-US"/>
              </w:rPr>
            </w:pPr>
            <w:r w:rsidRPr="00036EE3">
              <w:rPr>
                <w:b/>
                <w:bCs/>
                <w:sz w:val="20"/>
                <w:lang w:val="en-US"/>
              </w:rPr>
              <w:t>SA</w:t>
            </w:r>
          </w:p>
        </w:tc>
        <w:tc>
          <w:tcPr>
            <w:tcW w:w="8220" w:type="dxa"/>
          </w:tcPr>
          <w:p w:rsidR="00C032BD" w:rsidRPr="00036EE3" w:rsidRDefault="00C032BD" w:rsidP="006D1A01">
            <w:pPr>
              <w:spacing w:before="30" w:after="30"/>
              <w:jc w:val="left"/>
              <w:rPr>
                <w:sz w:val="20"/>
                <w:lang w:val="en-US"/>
              </w:rPr>
            </w:pPr>
            <w:r w:rsidRPr="00036EE3">
              <w:rPr>
                <w:sz w:val="20"/>
                <w:lang w:val="en-US"/>
              </w:rPr>
              <w:t>Space applications and meteorology</w:t>
            </w:r>
          </w:p>
        </w:tc>
      </w:tr>
      <w:tr w:rsidR="00C032BD" w:rsidRPr="00EE6DBE" w:rsidTr="006D1A01">
        <w:tc>
          <w:tcPr>
            <w:tcW w:w="1140" w:type="dxa"/>
            <w:tcBorders>
              <w:bottom w:val="nil"/>
            </w:tcBorders>
          </w:tcPr>
          <w:p w:rsidR="00C032BD" w:rsidRPr="00036EE3" w:rsidRDefault="00C032BD" w:rsidP="006D1A01">
            <w:pPr>
              <w:spacing w:before="30" w:after="30"/>
              <w:ind w:left="57"/>
              <w:jc w:val="left"/>
              <w:rPr>
                <w:b/>
                <w:bCs/>
                <w:sz w:val="20"/>
                <w:lang w:val="en-US"/>
              </w:rPr>
            </w:pPr>
            <w:r w:rsidRPr="00036EE3">
              <w:rPr>
                <w:b/>
                <w:bCs/>
                <w:sz w:val="20"/>
                <w:lang w:val="en-US"/>
              </w:rPr>
              <w:t>SF</w:t>
            </w:r>
          </w:p>
        </w:tc>
        <w:tc>
          <w:tcPr>
            <w:tcW w:w="8220" w:type="dxa"/>
            <w:tcBorders>
              <w:bottom w:val="nil"/>
            </w:tcBorders>
          </w:tcPr>
          <w:p w:rsidR="00C032BD" w:rsidRPr="00036EE3" w:rsidRDefault="00C032BD" w:rsidP="006D1A01">
            <w:pPr>
              <w:spacing w:before="30" w:after="30"/>
              <w:jc w:val="left"/>
              <w:rPr>
                <w:sz w:val="20"/>
                <w:lang w:val="en-US"/>
              </w:rPr>
            </w:pPr>
            <w:r w:rsidRPr="00036EE3">
              <w:rPr>
                <w:sz w:val="20"/>
                <w:lang w:val="en-US"/>
              </w:rPr>
              <w:t>Frequency sharing and coordination between fixed-satellite and fixed service systems</w:t>
            </w:r>
          </w:p>
        </w:tc>
      </w:tr>
      <w:tr w:rsidR="00C032BD" w:rsidRPr="00036EE3" w:rsidTr="006D1A01">
        <w:tc>
          <w:tcPr>
            <w:tcW w:w="1140" w:type="dxa"/>
            <w:tcBorders>
              <w:top w:val="nil"/>
              <w:bottom w:val="nil"/>
            </w:tcBorders>
            <w:shd w:val="clear" w:color="auto" w:fill="auto"/>
          </w:tcPr>
          <w:p w:rsidR="00C032BD" w:rsidRPr="000A4386" w:rsidRDefault="00C032BD" w:rsidP="006D1A0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032BD" w:rsidRPr="000A4386" w:rsidRDefault="00C032BD" w:rsidP="006D1A01">
            <w:pPr>
              <w:spacing w:before="30" w:after="30"/>
              <w:jc w:val="left"/>
              <w:rPr>
                <w:sz w:val="20"/>
                <w:lang w:val="en-US"/>
              </w:rPr>
            </w:pPr>
            <w:r w:rsidRPr="000A4386">
              <w:rPr>
                <w:sz w:val="20"/>
                <w:lang w:val="en-US"/>
              </w:rPr>
              <w:t>Spectrum management</w:t>
            </w:r>
          </w:p>
        </w:tc>
      </w:tr>
      <w:tr w:rsidR="00C032BD" w:rsidRPr="00036EE3" w:rsidTr="006D1A01">
        <w:tc>
          <w:tcPr>
            <w:tcW w:w="1140" w:type="dxa"/>
            <w:tcBorders>
              <w:top w:val="nil"/>
            </w:tcBorders>
          </w:tcPr>
          <w:p w:rsidR="00C032BD" w:rsidRPr="00036EE3" w:rsidRDefault="00C032BD" w:rsidP="006D1A01">
            <w:pPr>
              <w:spacing w:before="30" w:after="30"/>
              <w:ind w:left="57"/>
              <w:jc w:val="left"/>
              <w:rPr>
                <w:b/>
                <w:bCs/>
                <w:sz w:val="20"/>
                <w:lang w:val="en-US"/>
              </w:rPr>
            </w:pPr>
            <w:r w:rsidRPr="00036EE3">
              <w:rPr>
                <w:b/>
                <w:bCs/>
                <w:sz w:val="20"/>
                <w:lang w:val="en-US"/>
              </w:rPr>
              <w:t>SNG</w:t>
            </w:r>
          </w:p>
        </w:tc>
        <w:tc>
          <w:tcPr>
            <w:tcW w:w="8220" w:type="dxa"/>
            <w:tcBorders>
              <w:top w:val="nil"/>
            </w:tcBorders>
          </w:tcPr>
          <w:p w:rsidR="00C032BD" w:rsidRPr="00036EE3" w:rsidRDefault="00C032BD" w:rsidP="006D1A01">
            <w:pPr>
              <w:spacing w:before="30" w:after="30"/>
              <w:jc w:val="left"/>
              <w:rPr>
                <w:sz w:val="20"/>
                <w:lang w:val="en-US"/>
              </w:rPr>
            </w:pPr>
            <w:r w:rsidRPr="00036EE3">
              <w:rPr>
                <w:sz w:val="20"/>
                <w:lang w:val="en-US"/>
              </w:rPr>
              <w:t>Satellite news gathering</w:t>
            </w:r>
          </w:p>
        </w:tc>
      </w:tr>
      <w:tr w:rsidR="00C032BD" w:rsidRPr="00EE6DBE" w:rsidTr="006D1A01">
        <w:tc>
          <w:tcPr>
            <w:tcW w:w="1140" w:type="dxa"/>
          </w:tcPr>
          <w:p w:rsidR="00C032BD" w:rsidRPr="00036EE3" w:rsidRDefault="00C032BD" w:rsidP="006D1A01">
            <w:pPr>
              <w:spacing w:before="30" w:after="30"/>
              <w:ind w:left="57"/>
              <w:jc w:val="left"/>
              <w:rPr>
                <w:b/>
                <w:bCs/>
                <w:sz w:val="20"/>
                <w:lang w:val="en-US"/>
              </w:rPr>
            </w:pPr>
            <w:r w:rsidRPr="00036EE3">
              <w:rPr>
                <w:b/>
                <w:bCs/>
                <w:sz w:val="20"/>
                <w:lang w:val="en-US"/>
              </w:rPr>
              <w:t>TF</w:t>
            </w:r>
          </w:p>
        </w:tc>
        <w:tc>
          <w:tcPr>
            <w:tcW w:w="8220" w:type="dxa"/>
          </w:tcPr>
          <w:p w:rsidR="00C032BD" w:rsidRPr="00036EE3" w:rsidRDefault="00C032BD" w:rsidP="006D1A01">
            <w:pPr>
              <w:spacing w:before="30" w:after="30"/>
              <w:jc w:val="left"/>
              <w:rPr>
                <w:sz w:val="20"/>
                <w:lang w:val="en-US"/>
              </w:rPr>
            </w:pPr>
            <w:r w:rsidRPr="00036EE3">
              <w:rPr>
                <w:sz w:val="20"/>
                <w:lang w:val="en-US"/>
              </w:rPr>
              <w:t>Time signals and frequency standards emissions</w:t>
            </w:r>
          </w:p>
        </w:tc>
      </w:tr>
      <w:tr w:rsidR="00C032BD" w:rsidRPr="00036EE3" w:rsidTr="006D1A01">
        <w:tc>
          <w:tcPr>
            <w:tcW w:w="1140" w:type="dxa"/>
          </w:tcPr>
          <w:p w:rsidR="00C032BD" w:rsidRPr="00036EE3" w:rsidRDefault="00C032BD" w:rsidP="006D1A01">
            <w:pPr>
              <w:spacing w:before="30" w:after="30"/>
              <w:ind w:left="57"/>
              <w:jc w:val="left"/>
              <w:rPr>
                <w:b/>
                <w:bCs/>
                <w:sz w:val="20"/>
                <w:lang w:val="en-US"/>
              </w:rPr>
            </w:pPr>
            <w:r w:rsidRPr="00036EE3">
              <w:rPr>
                <w:b/>
                <w:bCs/>
                <w:sz w:val="20"/>
                <w:lang w:val="en-US"/>
              </w:rPr>
              <w:t>V</w:t>
            </w:r>
          </w:p>
        </w:tc>
        <w:tc>
          <w:tcPr>
            <w:tcW w:w="8220" w:type="dxa"/>
          </w:tcPr>
          <w:p w:rsidR="00C032BD" w:rsidRPr="00036EE3" w:rsidRDefault="00C032BD" w:rsidP="006D1A01">
            <w:pPr>
              <w:spacing w:before="30" w:after="180"/>
              <w:jc w:val="left"/>
              <w:rPr>
                <w:sz w:val="20"/>
                <w:lang w:val="en-US"/>
              </w:rPr>
            </w:pPr>
            <w:r w:rsidRPr="00036EE3">
              <w:rPr>
                <w:sz w:val="20"/>
                <w:lang w:val="en-US"/>
              </w:rPr>
              <w:t>Vocabulary and related subjects</w:t>
            </w:r>
          </w:p>
        </w:tc>
      </w:tr>
    </w:tbl>
    <w:p w:rsidR="00C032BD" w:rsidRPr="00036EE3" w:rsidRDefault="00C032BD" w:rsidP="00C032B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032BD" w:rsidTr="006D1A01">
        <w:tc>
          <w:tcPr>
            <w:tcW w:w="720" w:type="dxa"/>
          </w:tcPr>
          <w:p w:rsidR="00C032BD" w:rsidRDefault="00C032BD" w:rsidP="006D1A01">
            <w:pPr>
              <w:jc w:val="center"/>
              <w:rPr>
                <w:sz w:val="22"/>
                <w:lang w:val="en-US"/>
              </w:rPr>
            </w:pPr>
          </w:p>
        </w:tc>
      </w:tr>
    </w:tbl>
    <w:p w:rsidR="00C032BD" w:rsidRPr="00036EE3" w:rsidRDefault="00C032BD" w:rsidP="00C032B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032BD" w:rsidRPr="00EE6DBE" w:rsidTr="006D1A01">
        <w:tc>
          <w:tcPr>
            <w:tcW w:w="9360" w:type="dxa"/>
          </w:tcPr>
          <w:p w:rsidR="00C032BD" w:rsidRPr="002F5199" w:rsidRDefault="00C032BD" w:rsidP="006D1A0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C032BD" w:rsidRDefault="00C032BD" w:rsidP="00C032BD">
      <w:pPr>
        <w:spacing w:before="0"/>
        <w:jc w:val="center"/>
        <w:rPr>
          <w:sz w:val="22"/>
          <w:lang w:val="en-US"/>
        </w:rPr>
      </w:pPr>
    </w:p>
    <w:p w:rsidR="00C032BD" w:rsidRDefault="00C032BD" w:rsidP="00C032BD">
      <w:pPr>
        <w:spacing w:before="0"/>
        <w:jc w:val="center"/>
        <w:rPr>
          <w:sz w:val="22"/>
          <w:lang w:val="en-US"/>
        </w:rPr>
      </w:pPr>
    </w:p>
    <w:p w:rsidR="00C032BD" w:rsidRPr="002F5199" w:rsidRDefault="00C032BD" w:rsidP="00C032BD">
      <w:pPr>
        <w:spacing w:before="0"/>
        <w:jc w:val="right"/>
        <w:rPr>
          <w:i/>
          <w:iCs/>
          <w:sz w:val="20"/>
          <w:lang w:val="en-US"/>
        </w:rPr>
      </w:pPr>
      <w:r w:rsidRPr="002F5199">
        <w:rPr>
          <w:i/>
          <w:iCs/>
          <w:sz w:val="20"/>
          <w:lang w:val="en-US"/>
        </w:rPr>
        <w:t>Electronic Publication</w:t>
      </w:r>
    </w:p>
    <w:p w:rsidR="00C032BD" w:rsidRPr="002F5199" w:rsidRDefault="00C032BD" w:rsidP="00C032BD">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C032BD" w:rsidRDefault="00C032BD" w:rsidP="00C032BD">
      <w:pPr>
        <w:jc w:val="center"/>
        <w:rPr>
          <w:sz w:val="22"/>
          <w:lang w:val="en-US"/>
        </w:rPr>
      </w:pPr>
    </w:p>
    <w:p w:rsidR="00C032BD" w:rsidRPr="00470E28" w:rsidRDefault="00C032BD" w:rsidP="00C032B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C032BD" w:rsidRPr="00470E28" w:rsidRDefault="00C032BD" w:rsidP="00C032B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032BD" w:rsidRDefault="00C032BD" w:rsidP="00C032BD">
      <w:pPr>
        <w:spacing w:before="160"/>
        <w:rPr>
          <w:i/>
          <w:sz w:val="20"/>
          <w:lang w:val="en-US"/>
        </w:rPr>
        <w:sectPr w:rsidR="00C032BD"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C032BD" w:rsidRPr="00BF487A" w:rsidRDefault="00C032BD" w:rsidP="00C032BD">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1778-1</w:t>
      </w:r>
    </w:p>
    <w:p w:rsidR="00A6617B" w:rsidRDefault="00C032BD" w:rsidP="00C032BD">
      <w:pPr>
        <w:pStyle w:val="Rectitle"/>
        <w:rPr>
          <w:lang w:val="en-US"/>
        </w:rPr>
      </w:pPr>
      <w:r w:rsidRPr="00C032BD">
        <w:rPr>
          <w:lang w:val="en-US"/>
        </w:rPr>
        <w:t xml:space="preserve">Channel access requirements for HF adaptive systems </w:t>
      </w:r>
      <w:r w:rsidRPr="00C032BD">
        <w:rPr>
          <w:lang w:val="en-US"/>
        </w:rPr>
        <w:br/>
        <w:t>in the fixed and land mobile services</w:t>
      </w:r>
    </w:p>
    <w:p w:rsidR="00590360" w:rsidRDefault="00C032BD" w:rsidP="00590360">
      <w:pPr>
        <w:pStyle w:val="Questionref"/>
        <w:rPr>
          <w:lang w:val="en-US"/>
        </w:rPr>
      </w:pPr>
      <w:r w:rsidRPr="00C032BD">
        <w:rPr>
          <w:lang w:val="en-US"/>
        </w:rPr>
        <w:t>(Question ITU-R 246/5</w:t>
      </w:r>
      <w:r w:rsidR="00590360">
        <w:rPr>
          <w:lang w:val="en-US"/>
        </w:rPr>
        <w:t>)</w:t>
      </w:r>
    </w:p>
    <w:p w:rsidR="00C032BD" w:rsidRPr="00C032BD" w:rsidRDefault="00C032BD" w:rsidP="00EE6DBE">
      <w:pPr>
        <w:pStyle w:val="Recdate"/>
        <w:rPr>
          <w:lang w:val="en-US"/>
        </w:rPr>
      </w:pPr>
      <w:r w:rsidRPr="00C032BD">
        <w:rPr>
          <w:lang w:val="en-US"/>
        </w:rPr>
        <w:t>(2007</w:t>
      </w:r>
      <w:r w:rsidR="00590360">
        <w:rPr>
          <w:lang w:val="en-US"/>
        </w:rPr>
        <w:t>-201</w:t>
      </w:r>
      <w:r w:rsidR="00EE6DBE">
        <w:rPr>
          <w:lang w:val="en-US"/>
        </w:rPr>
        <w:t>5</w:t>
      </w:r>
      <w:r w:rsidRPr="00C032BD">
        <w:rPr>
          <w:lang w:val="en-US"/>
        </w:rPr>
        <w:t>)</w:t>
      </w:r>
    </w:p>
    <w:p w:rsidR="00C032BD" w:rsidRPr="00EE6DBE" w:rsidRDefault="00C032BD" w:rsidP="00590360">
      <w:pPr>
        <w:pStyle w:val="HeadingSum"/>
        <w:rPr>
          <w:lang w:val="en-US"/>
        </w:rPr>
      </w:pPr>
      <w:r w:rsidRPr="00EE6DBE">
        <w:rPr>
          <w:lang w:val="en-US"/>
        </w:rPr>
        <w:t>Scope</w:t>
      </w:r>
    </w:p>
    <w:p w:rsidR="00C032BD" w:rsidRPr="00EE6DBE" w:rsidRDefault="00C032BD" w:rsidP="00590360">
      <w:pPr>
        <w:pStyle w:val="Summary"/>
        <w:rPr>
          <w:lang w:val="en-US"/>
        </w:rPr>
      </w:pPr>
      <w:r w:rsidRPr="00EE6DBE">
        <w:rPr>
          <w:lang w:val="en-US"/>
        </w:rPr>
        <w:t>This Recommendation describes channel access objectives and techniques for HF adaptive systems in the fixed and land mobile services to minimize interference to and from other systems.</w:t>
      </w:r>
    </w:p>
    <w:p w:rsidR="00590360" w:rsidRPr="00C032BD" w:rsidRDefault="00590360" w:rsidP="00590360">
      <w:pPr>
        <w:pStyle w:val="Headingb"/>
        <w:rPr>
          <w:lang w:val="en-US" w:eastAsia="ja-JP"/>
        </w:rPr>
      </w:pPr>
      <w:bookmarkStart w:id="4" w:name="Annex1"/>
      <w:bookmarkEnd w:id="4"/>
      <w:r w:rsidRPr="00C032BD">
        <w:rPr>
          <w:lang w:val="en-US" w:eastAsia="ja-JP"/>
        </w:rPr>
        <w:t>Keywords</w:t>
      </w:r>
    </w:p>
    <w:p w:rsidR="00590360" w:rsidRPr="00C032BD" w:rsidRDefault="00590360" w:rsidP="00590360">
      <w:pPr>
        <w:rPr>
          <w:b/>
          <w:bCs/>
          <w:lang w:val="en-US" w:eastAsia="ja-JP"/>
        </w:rPr>
      </w:pPr>
      <w:r w:rsidRPr="00C032BD">
        <w:rPr>
          <w:lang w:val="en-US" w:eastAsia="ja-JP"/>
        </w:rPr>
        <w:t xml:space="preserve">Land mobile service, HF adaptive systems, Dynamic </w:t>
      </w:r>
      <w:r w:rsidR="003B7B98" w:rsidRPr="00C032BD">
        <w:rPr>
          <w:lang w:val="en-US" w:eastAsia="ja-JP"/>
        </w:rPr>
        <w:t>frequency selection</w:t>
      </w:r>
    </w:p>
    <w:p w:rsidR="00C032BD" w:rsidRPr="00C032BD" w:rsidRDefault="00C032BD" w:rsidP="00C032BD">
      <w:pPr>
        <w:pStyle w:val="Normalaftertitle"/>
        <w:rPr>
          <w:lang w:val="en-US"/>
        </w:rPr>
      </w:pPr>
      <w:r w:rsidRPr="00C032BD">
        <w:rPr>
          <w:lang w:val="en-US"/>
        </w:rPr>
        <w:t>The ITU Radiocommunication Assembly,</w:t>
      </w:r>
    </w:p>
    <w:p w:rsidR="00C032BD" w:rsidRPr="00C032BD" w:rsidRDefault="00C032BD" w:rsidP="00C032BD">
      <w:pPr>
        <w:pStyle w:val="Call"/>
        <w:rPr>
          <w:lang w:val="en-US"/>
        </w:rPr>
      </w:pPr>
      <w:r w:rsidRPr="00C032BD">
        <w:rPr>
          <w:lang w:val="en-US"/>
        </w:rPr>
        <w:t>considering</w:t>
      </w:r>
    </w:p>
    <w:p w:rsidR="00C032BD" w:rsidRPr="00C032BD" w:rsidRDefault="00C032BD" w:rsidP="00C032BD">
      <w:pPr>
        <w:rPr>
          <w:lang w:val="en-US"/>
        </w:rPr>
      </w:pPr>
      <w:r w:rsidRPr="00C032BD">
        <w:rPr>
          <w:rFonts w:ascii="Times" w:hAnsi="Times"/>
          <w:i/>
          <w:iCs/>
          <w:lang w:val="en-US"/>
        </w:rPr>
        <w:t>a)</w:t>
      </w:r>
      <w:r w:rsidRPr="00C032BD">
        <w:rPr>
          <w:rFonts w:ascii="Times" w:hAnsi="Times"/>
          <w:lang w:val="en-US"/>
        </w:rPr>
        <w:tab/>
      </w:r>
      <w:r w:rsidRPr="00C032BD">
        <w:rPr>
          <w:lang w:val="en-US"/>
        </w:rPr>
        <w:t>that the advancement in technologies and use of the Internet are creating new opportunities for HF fixed</w:t>
      </w:r>
      <w:r w:rsidRPr="00C032BD">
        <w:rPr>
          <w:szCs w:val="24"/>
          <w:lang w:val="en-US"/>
        </w:rPr>
        <w:t xml:space="preserve"> and land mobile </w:t>
      </w:r>
      <w:r w:rsidRPr="00C032BD">
        <w:rPr>
          <w:lang w:val="en-US"/>
        </w:rPr>
        <w:t>services system applications using frequency-adaptive techniques;</w:t>
      </w:r>
    </w:p>
    <w:p w:rsidR="00C032BD" w:rsidRPr="00C032BD" w:rsidRDefault="00C032BD" w:rsidP="00C032BD">
      <w:pPr>
        <w:rPr>
          <w:lang w:val="en-US"/>
        </w:rPr>
      </w:pPr>
      <w:r w:rsidRPr="00C032BD">
        <w:rPr>
          <w:rFonts w:ascii="Times" w:hAnsi="Times"/>
          <w:i/>
          <w:iCs/>
          <w:lang w:val="en-US"/>
        </w:rPr>
        <w:t>b)</w:t>
      </w:r>
      <w:r w:rsidRPr="00C032BD">
        <w:rPr>
          <w:lang w:val="en-US"/>
        </w:rPr>
        <w:tab/>
        <w:t>that the effectiveness of spectrum use will be improved by the use of HF frequency-adaptive systems in the fixed and land mobile services, which is required to operate effectively in its allocated spectrum;</w:t>
      </w:r>
    </w:p>
    <w:p w:rsidR="00C032BD" w:rsidRPr="00C032BD" w:rsidRDefault="00C032BD" w:rsidP="00C032BD">
      <w:pPr>
        <w:rPr>
          <w:lang w:val="en-US"/>
        </w:rPr>
      </w:pPr>
      <w:r w:rsidRPr="00C032BD">
        <w:rPr>
          <w:rFonts w:ascii="Times" w:hAnsi="Times"/>
          <w:i/>
          <w:iCs/>
          <w:lang w:val="en-US"/>
        </w:rPr>
        <w:t>c)</w:t>
      </w:r>
      <w:r w:rsidRPr="00C032BD">
        <w:rPr>
          <w:lang w:val="en-US"/>
        </w:rPr>
        <w:tab/>
        <w:t>that Recommendation ITU-R F.1110 specifies the general characteristics of adaptive HF systems, and specifically recognizes that adaptive HF systems make it possible to achieve a higher quality of service, reduce transmission times, increase spectrum effectiveness and minimize interference between users;</w:t>
      </w:r>
    </w:p>
    <w:p w:rsidR="00C032BD" w:rsidRPr="00C032BD" w:rsidRDefault="00C032BD" w:rsidP="00C032BD">
      <w:pPr>
        <w:rPr>
          <w:lang w:val="en-US"/>
        </w:rPr>
      </w:pPr>
      <w:r w:rsidRPr="00C032BD">
        <w:rPr>
          <w:rFonts w:ascii="Times" w:hAnsi="Times"/>
          <w:i/>
          <w:iCs/>
          <w:lang w:val="en-US"/>
        </w:rPr>
        <w:t>d)</w:t>
      </w:r>
      <w:r w:rsidRPr="00C032BD">
        <w:rPr>
          <w:rFonts w:ascii="Times" w:hAnsi="Times"/>
          <w:lang w:val="en-US"/>
        </w:rPr>
        <w:tab/>
      </w:r>
      <w:r w:rsidRPr="00C032BD">
        <w:rPr>
          <w:lang w:val="en-US"/>
        </w:rPr>
        <w:t xml:space="preserve">that Recommendation ITU-R F.1611 describes the frequency planning and operation of adaptive HF systems; </w:t>
      </w:r>
    </w:p>
    <w:p w:rsidR="00C032BD" w:rsidRPr="00C032BD" w:rsidRDefault="00C032BD" w:rsidP="00C032BD">
      <w:pPr>
        <w:rPr>
          <w:rFonts w:ascii="Times" w:hAnsi="Times"/>
          <w:color w:val="000000"/>
          <w:lang w:val="en-US"/>
        </w:rPr>
      </w:pPr>
      <w:r w:rsidRPr="00C032BD">
        <w:rPr>
          <w:rFonts w:ascii="Times" w:hAnsi="Times"/>
          <w:i/>
          <w:iCs/>
          <w:lang w:val="en-US"/>
        </w:rPr>
        <w:t>e)</w:t>
      </w:r>
      <w:r w:rsidRPr="00C032BD">
        <w:rPr>
          <w:rFonts w:ascii="Times" w:hAnsi="Times"/>
          <w:lang w:val="en-US"/>
        </w:rPr>
        <w:tab/>
      </w:r>
      <w:r w:rsidRPr="00C032BD">
        <w:rPr>
          <w:lang w:val="en-US"/>
        </w:rPr>
        <w:t>that the ITU-R Handbook – Frequency adaptive communication systems and networks in the MF/HF bands, gives guidance on HF frequency-adaptive systems,</w:t>
      </w:r>
    </w:p>
    <w:p w:rsidR="00C032BD" w:rsidRPr="00C032BD" w:rsidRDefault="00C032BD" w:rsidP="00C032BD">
      <w:pPr>
        <w:pStyle w:val="Call"/>
        <w:rPr>
          <w:lang w:val="en-US"/>
        </w:rPr>
      </w:pPr>
      <w:r w:rsidRPr="00C032BD">
        <w:rPr>
          <w:lang w:val="en-US"/>
        </w:rPr>
        <w:t>noting</w:t>
      </w:r>
    </w:p>
    <w:p w:rsidR="00C032BD" w:rsidRPr="00C032BD" w:rsidRDefault="00C032BD" w:rsidP="00C032BD">
      <w:pPr>
        <w:rPr>
          <w:lang w:val="en-US"/>
        </w:rPr>
      </w:pPr>
      <w:r w:rsidRPr="00C032BD">
        <w:rPr>
          <w:lang w:val="en-US"/>
        </w:rPr>
        <w:t>that administrations may consider procedures to confirm the ability of interference avoidance mechanisms to function correctly for HF adaptive systems,</w:t>
      </w:r>
    </w:p>
    <w:p w:rsidR="00C032BD" w:rsidRPr="00C032BD" w:rsidRDefault="00C032BD" w:rsidP="00C032BD">
      <w:pPr>
        <w:pStyle w:val="Call"/>
        <w:rPr>
          <w:lang w:val="en-US"/>
        </w:rPr>
      </w:pPr>
      <w:r w:rsidRPr="00C032BD">
        <w:rPr>
          <w:lang w:val="en-US"/>
        </w:rPr>
        <w:t>recommends</w:t>
      </w:r>
    </w:p>
    <w:p w:rsidR="00C032BD" w:rsidRPr="00C032BD" w:rsidRDefault="00C032BD" w:rsidP="00C032BD">
      <w:pPr>
        <w:rPr>
          <w:lang w:val="en-US"/>
        </w:rPr>
      </w:pPr>
      <w:r w:rsidRPr="009E5187">
        <w:rPr>
          <w:b/>
          <w:bCs/>
          <w:lang w:val="en-US"/>
        </w:rPr>
        <w:t>1</w:t>
      </w:r>
      <w:r w:rsidRPr="00C032BD">
        <w:rPr>
          <w:lang w:val="en-US"/>
        </w:rPr>
        <w:tab/>
        <w:t>that frequency-adaptive HF systems should use the minimum number of active (in use at any moment) frequency channels out of its available frequency pool in order to limit the potential for interference to other users;</w:t>
      </w:r>
    </w:p>
    <w:p w:rsidR="00C032BD" w:rsidRPr="00C032BD" w:rsidRDefault="00C032BD" w:rsidP="00C032BD">
      <w:pPr>
        <w:rPr>
          <w:bCs/>
          <w:lang w:val="en-US"/>
        </w:rPr>
      </w:pPr>
      <w:r w:rsidRPr="009E5187">
        <w:rPr>
          <w:b/>
          <w:bCs/>
          <w:lang w:val="en-US"/>
        </w:rPr>
        <w:t>2</w:t>
      </w:r>
      <w:r w:rsidRPr="00C032BD">
        <w:rPr>
          <w:lang w:val="en-US"/>
        </w:rPr>
        <w:tab/>
      </w:r>
      <w:r w:rsidRPr="00C032BD">
        <w:rPr>
          <w:bCs/>
          <w:lang w:val="en-US"/>
        </w:rPr>
        <w:t xml:space="preserve">that, to minimize interference to and from other systems, HF fixed </w:t>
      </w:r>
      <w:r w:rsidRPr="00C032BD">
        <w:rPr>
          <w:lang w:val="en-US"/>
        </w:rPr>
        <w:t xml:space="preserve">and land mobile </w:t>
      </w:r>
      <w:r w:rsidRPr="00C032BD">
        <w:rPr>
          <w:bCs/>
          <w:lang w:val="en-US"/>
        </w:rPr>
        <w:t>services adaptive systems should use dynamic frequency selection (DFS) and procedures to evaluate the channel prior to and during operation as described in Annex 1.</w:t>
      </w:r>
    </w:p>
    <w:p w:rsidR="00C032BD" w:rsidRPr="009E5187" w:rsidRDefault="00C032BD" w:rsidP="009E5187">
      <w:pPr>
        <w:pStyle w:val="AnnexNoTitle"/>
        <w:rPr>
          <w:lang w:val="en-US"/>
        </w:rPr>
      </w:pPr>
      <w:r w:rsidRPr="009E5187">
        <w:rPr>
          <w:lang w:val="en-US"/>
        </w:rPr>
        <w:lastRenderedPageBreak/>
        <w:t>Annex 1</w:t>
      </w:r>
      <w:r w:rsidR="009E5187" w:rsidRPr="009E5187">
        <w:rPr>
          <w:lang w:val="en-US"/>
        </w:rPr>
        <w:br/>
      </w:r>
      <w:r w:rsidR="009E5187" w:rsidRPr="009E5187">
        <w:rPr>
          <w:lang w:val="en-US"/>
        </w:rPr>
        <w:br/>
      </w:r>
      <w:r w:rsidRPr="009E5187">
        <w:rPr>
          <w:lang w:val="en-US"/>
        </w:rPr>
        <w:t>Adaptive HF systems channel access requirements</w:t>
      </w:r>
    </w:p>
    <w:p w:rsidR="00C032BD" w:rsidRPr="00C032BD" w:rsidRDefault="00C032BD" w:rsidP="00C032BD">
      <w:pPr>
        <w:pStyle w:val="Heading1"/>
        <w:rPr>
          <w:lang w:val="en-US"/>
        </w:rPr>
      </w:pPr>
      <w:r w:rsidRPr="00C032BD">
        <w:rPr>
          <w:lang w:val="en-US"/>
        </w:rPr>
        <w:t>1</w:t>
      </w:r>
      <w:r w:rsidRPr="00C032BD">
        <w:rPr>
          <w:lang w:val="en-US"/>
        </w:rPr>
        <w:tab/>
        <w:t>Introduction</w:t>
      </w:r>
    </w:p>
    <w:p w:rsidR="00C032BD" w:rsidRPr="00C032BD" w:rsidRDefault="00C032BD" w:rsidP="00C032BD">
      <w:pPr>
        <w:rPr>
          <w:lang w:val="en-US"/>
        </w:rPr>
      </w:pPr>
      <w:r w:rsidRPr="00C032BD">
        <w:rPr>
          <w:lang w:val="en-US"/>
        </w:rPr>
        <w:t>HF fixed and land mobile service adaptive systems operating below 30 MHz have the potential to mutually interfere when operating at the same frequencies and within range of other HF systems. This Annex describes objectives and means to mitigate such interference.</w:t>
      </w:r>
    </w:p>
    <w:p w:rsidR="00C032BD" w:rsidRPr="00C032BD" w:rsidRDefault="00C032BD" w:rsidP="00C032BD">
      <w:pPr>
        <w:pStyle w:val="Heading2"/>
        <w:rPr>
          <w:lang w:val="en-US"/>
        </w:rPr>
      </w:pPr>
      <w:r w:rsidRPr="00C032BD">
        <w:rPr>
          <w:lang w:val="en-US"/>
        </w:rPr>
        <w:t>1.1</w:t>
      </w:r>
      <w:r w:rsidRPr="00C032BD">
        <w:rPr>
          <w:lang w:val="en-US"/>
        </w:rPr>
        <w:tab/>
        <w:t>Dynamic frequency selection (DFS)</w:t>
      </w:r>
    </w:p>
    <w:p w:rsidR="00C032BD" w:rsidRPr="00C032BD" w:rsidRDefault="00C032BD" w:rsidP="00C032BD">
      <w:pPr>
        <w:rPr>
          <w:lang w:val="en-US"/>
        </w:rPr>
      </w:pPr>
      <w:r w:rsidRPr="00C032BD">
        <w:rPr>
          <w:lang w:val="en-US"/>
        </w:rPr>
        <w:t>Modern technology now offers a solution to the problem of matching the HF system characteristics to the ionospheric channel variability. Adaptive radio systems operate by analysing link performance which evaluate the channel during operation and change the operating frequency, or other system parameters. Whilst the use of frequency agile systems may not necessarily use the minimum overall number of frequencies, the assurance of reliable communication given by such systems result in more efficient operation, and the minimization of the number of frequencies in use at any one time. Channel occupancy detection algorithms seek to avoid situations where interference might be caused by adaptive systems.</w:t>
      </w:r>
    </w:p>
    <w:p w:rsidR="00C032BD" w:rsidRPr="00C032BD" w:rsidRDefault="00C032BD" w:rsidP="00C032BD">
      <w:pPr>
        <w:rPr>
          <w:lang w:val="en-US"/>
        </w:rPr>
      </w:pPr>
      <w:r w:rsidRPr="00C032BD">
        <w:rPr>
          <w:lang w:val="en-US"/>
        </w:rPr>
        <w:t xml:space="preserve">Moreover the assurance of circuit availability when required for traffic will result in a reduction of idling transmissions which are in use by some circuit operators to maintain a channel when there is no current traffic. The advantages of adaptive system operation were recognized by the World Radiocommunication Conference 2007 through the revision of Resolution </w:t>
      </w:r>
      <w:r w:rsidRPr="00C032BD">
        <w:rPr>
          <w:b/>
          <w:bCs/>
          <w:lang w:val="en-US"/>
        </w:rPr>
        <w:t>729 (Rev.WRC</w:t>
      </w:r>
      <w:r w:rsidRPr="00C032BD">
        <w:rPr>
          <w:b/>
          <w:bCs/>
          <w:lang w:val="en-US"/>
        </w:rPr>
        <w:noBreakHyphen/>
        <w:t>07).</w:t>
      </w:r>
      <w:r w:rsidRPr="00C032BD">
        <w:rPr>
          <w:lang w:val="en-US"/>
        </w:rPr>
        <w:t xml:space="preserve"> This resolution sets a number of provisions to ensure that such use is contained within appropriate bands, to ensure that interference is minimized, and to safeguard continued use by non</w:t>
      </w:r>
      <w:r w:rsidRPr="00C032BD">
        <w:rPr>
          <w:lang w:val="en-US"/>
        </w:rPr>
        <w:noBreakHyphen/>
        <w:t>adaptive systems. When adaptive systems become more widely used, there will be an improvement in spectrum utilization which will benefit both the users of adaptive systems as well as those who continue to use non</w:t>
      </w:r>
      <w:r w:rsidRPr="00C032BD">
        <w:rPr>
          <w:lang w:val="en-US"/>
        </w:rPr>
        <w:noBreakHyphen/>
        <w:t xml:space="preserve">adaptive systems. </w:t>
      </w:r>
    </w:p>
    <w:p w:rsidR="00C032BD" w:rsidRPr="00C032BD" w:rsidRDefault="00C032BD" w:rsidP="00C032BD">
      <w:pPr>
        <w:rPr>
          <w:lang w:val="en-US"/>
        </w:rPr>
      </w:pPr>
      <w:r w:rsidRPr="00C032BD">
        <w:rPr>
          <w:lang w:val="en-US"/>
        </w:rPr>
        <w:t xml:space="preserve">Resolution </w:t>
      </w:r>
      <w:r w:rsidRPr="00C032BD">
        <w:rPr>
          <w:b/>
          <w:bCs/>
          <w:lang w:val="en-US"/>
        </w:rPr>
        <w:t xml:space="preserve">729 (Rev.WRC-07) </w:t>
      </w:r>
      <w:r w:rsidRPr="00C032BD">
        <w:rPr>
          <w:lang w:val="en-US"/>
        </w:rPr>
        <w:t>provides framework for adaptive use and sharing between HF systems in the MF/HF bands.</w:t>
      </w:r>
    </w:p>
    <w:p w:rsidR="00C032BD" w:rsidRPr="00C032BD" w:rsidRDefault="00C032BD" w:rsidP="00C032BD">
      <w:pPr>
        <w:rPr>
          <w:lang w:val="en-US"/>
        </w:rPr>
      </w:pPr>
      <w:r w:rsidRPr="00C032BD">
        <w:rPr>
          <w:lang w:val="en-US"/>
        </w:rPr>
        <w:t>DFS has then been envisaged to:</w:t>
      </w:r>
    </w:p>
    <w:p w:rsidR="00C032BD" w:rsidRPr="00C032BD" w:rsidRDefault="00C032BD" w:rsidP="00C032BD">
      <w:pPr>
        <w:pStyle w:val="enumlev1"/>
        <w:rPr>
          <w:lang w:val="en-US"/>
        </w:rPr>
      </w:pPr>
      <w:r w:rsidRPr="00C032BD">
        <w:rPr>
          <w:lang w:val="en-US"/>
        </w:rPr>
        <w:t>–</w:t>
      </w:r>
      <w:r w:rsidRPr="00C032BD">
        <w:rPr>
          <w:lang w:val="en-US"/>
        </w:rPr>
        <w:tab/>
        <w:t>ensure a spread of the loading across the available spectrum;</w:t>
      </w:r>
    </w:p>
    <w:p w:rsidR="00C032BD" w:rsidRPr="00C032BD" w:rsidRDefault="00C032BD" w:rsidP="00C032BD">
      <w:pPr>
        <w:pStyle w:val="enumlev1"/>
        <w:rPr>
          <w:lang w:val="en-US"/>
        </w:rPr>
      </w:pPr>
      <w:r w:rsidRPr="00C032BD">
        <w:rPr>
          <w:lang w:val="en-US"/>
        </w:rPr>
        <w:t>–</w:t>
      </w:r>
      <w:r w:rsidRPr="00C032BD">
        <w:rPr>
          <w:lang w:val="en-US"/>
        </w:rPr>
        <w:tab/>
        <w:t>avoid co-channel operation with other systems.</w:t>
      </w:r>
    </w:p>
    <w:p w:rsidR="00C032BD" w:rsidRPr="00C032BD" w:rsidRDefault="00C032BD" w:rsidP="00C032BD">
      <w:pPr>
        <w:rPr>
          <w:lang w:val="en-US"/>
        </w:rPr>
      </w:pPr>
      <w:r w:rsidRPr="00C032BD">
        <w:rPr>
          <w:lang w:val="en-US"/>
        </w:rPr>
        <w:t>Adaptive HF systems manage call set-up and call progress using digital data formats with embedded network and station addresses. They are able to mitigate interference to other systems by implementing these DFS procedures to avoid occupied channels. Non-adaptive receivers may develop intelligent squelch systems to mitigate interference received from other co-channel adaptive systems.</w:t>
      </w:r>
    </w:p>
    <w:p w:rsidR="00C032BD" w:rsidRPr="00C032BD" w:rsidRDefault="00C032BD" w:rsidP="00C032BD">
      <w:pPr>
        <w:pStyle w:val="Heading2"/>
        <w:rPr>
          <w:lang w:val="en-US"/>
        </w:rPr>
      </w:pPr>
      <w:r w:rsidRPr="00C032BD">
        <w:rPr>
          <w:lang w:val="en-US"/>
        </w:rPr>
        <w:t>1.2</w:t>
      </w:r>
      <w:r w:rsidRPr="00C032BD">
        <w:rPr>
          <w:lang w:val="en-US"/>
        </w:rPr>
        <w:tab/>
        <w:t>Objective of the use of DFS with respect to HF adaptive systems</w:t>
      </w:r>
    </w:p>
    <w:p w:rsidR="00C032BD" w:rsidRPr="00C032BD" w:rsidRDefault="00C032BD" w:rsidP="00C032BD">
      <w:pPr>
        <w:rPr>
          <w:lang w:val="en-US"/>
        </w:rPr>
      </w:pPr>
      <w:r w:rsidRPr="00C032BD">
        <w:rPr>
          <w:lang w:val="en-US"/>
        </w:rPr>
        <w:t xml:space="preserve">The objective of using DFS in HF adaptive systems is to protect users of HF bands from mutual interference. This is achieved by avoiding the use of, or vacating, a channel identified as being occupied by other systems on detection of their signals. </w:t>
      </w:r>
    </w:p>
    <w:p w:rsidR="00C032BD" w:rsidRPr="00C032BD" w:rsidRDefault="00C032BD" w:rsidP="00C032BD">
      <w:pPr>
        <w:rPr>
          <w:lang w:val="en-US"/>
        </w:rPr>
      </w:pPr>
      <w:r w:rsidRPr="00C032BD">
        <w:rPr>
          <w:lang w:val="en-US"/>
        </w:rPr>
        <w:t>The implementation of detection mechanisms and procedures used by adaptive systems are outside the scope of this document. The main reasons for this are that:</w:t>
      </w:r>
    </w:p>
    <w:p w:rsidR="00C032BD" w:rsidRPr="00C032BD" w:rsidRDefault="00C032BD" w:rsidP="00C032BD">
      <w:pPr>
        <w:pStyle w:val="enumlev1"/>
        <w:rPr>
          <w:lang w:val="en-US"/>
        </w:rPr>
      </w:pPr>
      <w:r w:rsidRPr="00C032BD">
        <w:rPr>
          <w:lang w:val="en-US"/>
        </w:rPr>
        <w:t>–</w:t>
      </w:r>
      <w:r w:rsidRPr="00C032BD">
        <w:rPr>
          <w:lang w:val="en-US"/>
        </w:rPr>
        <w:tab/>
        <w:t>adaptive system design affects implementation;</w:t>
      </w:r>
    </w:p>
    <w:p w:rsidR="00C032BD" w:rsidRPr="00C032BD" w:rsidRDefault="00C032BD" w:rsidP="00C032BD">
      <w:pPr>
        <w:pStyle w:val="enumlev1"/>
        <w:rPr>
          <w:lang w:val="en-US"/>
        </w:rPr>
      </w:pPr>
      <w:r w:rsidRPr="00C032BD">
        <w:rPr>
          <w:lang w:val="en-US"/>
        </w:rPr>
        <w:lastRenderedPageBreak/>
        <w:t>–</w:t>
      </w:r>
      <w:r w:rsidRPr="00C032BD">
        <w:rPr>
          <w:lang w:val="en-US"/>
        </w:rPr>
        <w:tab/>
        <w:t>practical experience may lead to innovative and more efficient means than can be formulated today;</w:t>
      </w:r>
    </w:p>
    <w:p w:rsidR="00C032BD" w:rsidRPr="00C032BD" w:rsidRDefault="00C032BD" w:rsidP="00C032BD">
      <w:pPr>
        <w:pStyle w:val="enumlev1"/>
        <w:rPr>
          <w:lang w:val="en-US"/>
        </w:rPr>
      </w:pPr>
      <w:r w:rsidRPr="00C032BD">
        <w:rPr>
          <w:lang w:val="en-US"/>
        </w:rPr>
        <w:t>–</w:t>
      </w:r>
      <w:r w:rsidRPr="00C032BD">
        <w:rPr>
          <w:lang w:val="en-US"/>
        </w:rPr>
        <w:tab/>
        <w:t>manufacturers may choose different implementation methods to achieve a given level of performance; therefore only performance criteria rather than specifications for a particular mechanism should be given in regulatory documents.</w:t>
      </w:r>
    </w:p>
    <w:p w:rsidR="00C032BD" w:rsidRPr="00C032BD" w:rsidRDefault="00C032BD" w:rsidP="00C032BD">
      <w:pPr>
        <w:pStyle w:val="Heading1"/>
        <w:rPr>
          <w:lang w:val="en-US"/>
        </w:rPr>
      </w:pPr>
      <w:r w:rsidRPr="00C032BD">
        <w:rPr>
          <w:lang w:val="en-US"/>
        </w:rPr>
        <w:t>2</w:t>
      </w:r>
      <w:r w:rsidRPr="00C032BD">
        <w:rPr>
          <w:lang w:val="en-US"/>
        </w:rPr>
        <w:tab/>
        <w:t>DFS performance requirements</w:t>
      </w:r>
    </w:p>
    <w:p w:rsidR="00C032BD" w:rsidRPr="00C032BD" w:rsidRDefault="00C032BD" w:rsidP="00C032BD">
      <w:pPr>
        <w:rPr>
          <w:lang w:val="en-US"/>
        </w:rPr>
      </w:pPr>
      <w:r w:rsidRPr="00C032BD">
        <w:rPr>
          <w:lang w:val="en-US"/>
        </w:rPr>
        <w:t>The DFS performance requirement is stated in terms of response to detection of a signal. Adaptive HF system channel access should meet the following detection and response requirements.</w:t>
      </w:r>
    </w:p>
    <w:p w:rsidR="00C032BD" w:rsidRPr="00C032BD" w:rsidRDefault="00C032BD" w:rsidP="00C032BD">
      <w:pPr>
        <w:pStyle w:val="Heading2"/>
        <w:rPr>
          <w:lang w:val="en-US"/>
        </w:rPr>
      </w:pPr>
      <w:r w:rsidRPr="00C032BD">
        <w:rPr>
          <w:lang w:val="en-US"/>
        </w:rPr>
        <w:t>2.1</w:t>
      </w:r>
      <w:r w:rsidRPr="00C032BD">
        <w:rPr>
          <w:lang w:val="en-US"/>
        </w:rPr>
        <w:tab/>
        <w:t>Detection requirements</w:t>
      </w:r>
    </w:p>
    <w:p w:rsidR="00C032BD" w:rsidRPr="00C032BD" w:rsidRDefault="00C032BD" w:rsidP="008B3E60">
      <w:pPr>
        <w:rPr>
          <w:lang w:val="en-US"/>
        </w:rPr>
      </w:pPr>
      <w:r w:rsidRPr="00C032BD">
        <w:rPr>
          <w:lang w:val="en-US"/>
        </w:rPr>
        <w:t>The DFS mechanism should be able to detect signals for the purpose of in-service monitoring and channel availability checks above a minimum DFS detection threshold as shown in Table 1.</w:t>
      </w:r>
    </w:p>
    <w:p w:rsidR="00C032BD" w:rsidRPr="00887FFB" w:rsidRDefault="00C032BD" w:rsidP="00C032BD">
      <w:pPr>
        <w:rPr>
          <w:lang w:val="en-CA"/>
        </w:rPr>
      </w:pPr>
      <w:r w:rsidRPr="00C032BD">
        <w:rPr>
          <w:lang w:val="en-US"/>
        </w:rPr>
        <w:t xml:space="preserve">HF adaptive systems should correctly recognise that a channel is occupied at least as reliably as indicated in Table 1 during a listen-before-transmit period of 900 milliseconds, and should not transmit on that frequency. </w:t>
      </w:r>
    </w:p>
    <w:p w:rsidR="00C032BD" w:rsidRDefault="00C032BD" w:rsidP="00C032BD">
      <w:pPr>
        <w:pStyle w:val="TableNo"/>
      </w:pPr>
      <w:r>
        <w:t>TABLE</w:t>
      </w:r>
      <w:r w:rsidRPr="00887FFB">
        <w:t xml:space="preserve"> </w:t>
      </w:r>
      <w:r>
        <w:t>1</w:t>
      </w:r>
    </w:p>
    <w:p w:rsidR="00C032BD" w:rsidRPr="00887FFB" w:rsidRDefault="00C032BD" w:rsidP="00C032BD">
      <w:pPr>
        <w:pStyle w:val="Tabletitle"/>
      </w:pPr>
      <w:r w:rsidRPr="00887FFB">
        <w:t>Detection requirements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43"/>
        <w:gridCol w:w="3132"/>
        <w:gridCol w:w="3364"/>
      </w:tblGrid>
      <w:tr w:rsidR="00C032BD" w:rsidRPr="00796F92" w:rsidTr="008B3E60">
        <w:trPr>
          <w:cantSplit/>
          <w:trHeight w:val="128"/>
          <w:jc w:val="center"/>
        </w:trPr>
        <w:tc>
          <w:tcPr>
            <w:tcW w:w="2708" w:type="dxa"/>
            <w:tcBorders>
              <w:bottom w:val="single" w:sz="6" w:space="0" w:color="auto"/>
            </w:tcBorders>
            <w:shd w:val="clear" w:color="auto" w:fill="auto"/>
            <w:vAlign w:val="center"/>
          </w:tcPr>
          <w:p w:rsidR="00C032BD" w:rsidRPr="00764E2A" w:rsidRDefault="00C032BD" w:rsidP="006D1A01">
            <w:pPr>
              <w:pStyle w:val="Tablehead"/>
              <w:keepLines/>
            </w:pPr>
            <w:r w:rsidRPr="00764E2A">
              <w:t>Waveform</w:t>
            </w:r>
          </w:p>
        </w:tc>
        <w:tc>
          <w:tcPr>
            <w:tcW w:w="2699" w:type="dxa"/>
            <w:tcBorders>
              <w:bottom w:val="single" w:sz="6" w:space="0" w:color="auto"/>
            </w:tcBorders>
            <w:shd w:val="clear" w:color="auto" w:fill="auto"/>
            <w:vAlign w:val="center"/>
          </w:tcPr>
          <w:p w:rsidR="00C032BD" w:rsidRPr="00764E2A" w:rsidRDefault="00C032BD" w:rsidP="006D1A01">
            <w:pPr>
              <w:pStyle w:val="Tablehead"/>
              <w:keepLines/>
            </w:pPr>
            <w:r w:rsidRPr="00764E2A">
              <w:t>AWGN 3 kHz SNR (dB)</w:t>
            </w:r>
            <w:r w:rsidRPr="00F33F6A">
              <w:rPr>
                <w:vertAlign w:val="superscript"/>
              </w:rPr>
              <w:t>(1)</w:t>
            </w:r>
          </w:p>
        </w:tc>
        <w:tc>
          <w:tcPr>
            <w:tcW w:w="2899" w:type="dxa"/>
            <w:tcBorders>
              <w:bottom w:val="single" w:sz="6" w:space="0" w:color="auto"/>
            </w:tcBorders>
            <w:shd w:val="clear" w:color="auto" w:fill="auto"/>
            <w:vAlign w:val="center"/>
          </w:tcPr>
          <w:p w:rsidR="00C032BD" w:rsidRPr="00764E2A" w:rsidRDefault="00C032BD" w:rsidP="006D1A01">
            <w:pPr>
              <w:pStyle w:val="Tablehead"/>
              <w:keepLines/>
            </w:pPr>
            <w:r w:rsidRPr="00764E2A">
              <w:t xml:space="preserve">Minimum </w:t>
            </w:r>
            <w:r w:rsidR="00DF7012" w:rsidRPr="00764E2A">
              <w:t>detection probability</w:t>
            </w:r>
          </w:p>
        </w:tc>
      </w:tr>
      <w:tr w:rsidR="00C032BD" w:rsidRPr="00796F92" w:rsidTr="008B3E60">
        <w:trPr>
          <w:cantSplit/>
          <w:trHeight w:val="128"/>
          <w:jc w:val="center"/>
        </w:trPr>
        <w:tc>
          <w:tcPr>
            <w:tcW w:w="2708" w:type="dxa"/>
            <w:tcBorders>
              <w:bottom w:val="nil"/>
            </w:tcBorders>
            <w:vAlign w:val="center"/>
          </w:tcPr>
          <w:p w:rsidR="00C032BD" w:rsidRPr="00EB2598" w:rsidRDefault="00C032BD" w:rsidP="006D1A01">
            <w:pPr>
              <w:pStyle w:val="Tabletext"/>
              <w:keepNext/>
              <w:keepLines/>
              <w:jc w:val="center"/>
            </w:pPr>
            <w:r w:rsidRPr="00EB2598">
              <w:t>2G-ALE</w:t>
            </w:r>
            <w:r>
              <w:t xml:space="preserve"> Waveform</w:t>
            </w:r>
            <w:r w:rsidRPr="00EB2598">
              <w:rPr>
                <w:vertAlign w:val="superscript"/>
              </w:rPr>
              <w:t>(2)</w:t>
            </w:r>
          </w:p>
        </w:tc>
        <w:tc>
          <w:tcPr>
            <w:tcW w:w="2699" w:type="dxa"/>
            <w:tcBorders>
              <w:bottom w:val="nil"/>
            </w:tcBorders>
            <w:vAlign w:val="center"/>
          </w:tcPr>
          <w:p w:rsidR="00C032BD" w:rsidRPr="00EB2598" w:rsidRDefault="00C032BD" w:rsidP="006D1A01">
            <w:pPr>
              <w:pStyle w:val="Tabletext"/>
              <w:keepNext/>
              <w:keepLines/>
              <w:jc w:val="center"/>
            </w:pPr>
            <w:r w:rsidRPr="00EB2598">
              <w:t>0</w:t>
            </w:r>
          </w:p>
        </w:tc>
        <w:tc>
          <w:tcPr>
            <w:tcW w:w="2899" w:type="dxa"/>
            <w:tcBorders>
              <w:bottom w:val="nil"/>
            </w:tcBorders>
            <w:vAlign w:val="center"/>
          </w:tcPr>
          <w:p w:rsidR="00C032BD" w:rsidRPr="00EB2598" w:rsidRDefault="00C032BD" w:rsidP="006D1A01">
            <w:pPr>
              <w:pStyle w:val="Tabletext"/>
              <w:keepNext/>
              <w:keepLines/>
              <w:jc w:val="center"/>
            </w:pPr>
            <w:r w:rsidRPr="00EB2598">
              <w:t>50%</w:t>
            </w:r>
          </w:p>
        </w:tc>
      </w:tr>
      <w:tr w:rsidR="00C032BD" w:rsidRPr="00796F92" w:rsidTr="008B3E60">
        <w:trPr>
          <w:cantSplit/>
          <w:trHeight w:val="128"/>
          <w:jc w:val="center"/>
        </w:trPr>
        <w:tc>
          <w:tcPr>
            <w:tcW w:w="2708" w:type="dxa"/>
            <w:tcBorders>
              <w:top w:val="nil"/>
              <w:bottom w:val="single" w:sz="6" w:space="0" w:color="auto"/>
            </w:tcBorders>
            <w:vAlign w:val="center"/>
          </w:tcPr>
          <w:p w:rsidR="00C032BD" w:rsidRPr="00764E2A" w:rsidRDefault="00C032BD" w:rsidP="006D1A01">
            <w:pPr>
              <w:pStyle w:val="Tabletext"/>
              <w:keepNext/>
              <w:keepLines/>
              <w:jc w:val="center"/>
            </w:pPr>
          </w:p>
        </w:tc>
        <w:tc>
          <w:tcPr>
            <w:tcW w:w="2699" w:type="dxa"/>
            <w:tcBorders>
              <w:top w:val="nil"/>
              <w:bottom w:val="single" w:sz="6" w:space="0" w:color="auto"/>
            </w:tcBorders>
            <w:vAlign w:val="center"/>
          </w:tcPr>
          <w:p w:rsidR="00C032BD" w:rsidRPr="00764E2A" w:rsidRDefault="00C032BD" w:rsidP="006D1A01">
            <w:pPr>
              <w:pStyle w:val="Tabletext"/>
              <w:keepNext/>
              <w:keepLines/>
              <w:jc w:val="center"/>
            </w:pPr>
            <w:r w:rsidRPr="00764E2A">
              <w:t>6</w:t>
            </w:r>
          </w:p>
        </w:tc>
        <w:tc>
          <w:tcPr>
            <w:tcW w:w="2899" w:type="dxa"/>
            <w:tcBorders>
              <w:top w:val="nil"/>
              <w:bottom w:val="single" w:sz="6" w:space="0" w:color="auto"/>
            </w:tcBorders>
            <w:vAlign w:val="center"/>
          </w:tcPr>
          <w:p w:rsidR="00C032BD" w:rsidRPr="00764E2A" w:rsidRDefault="00C032BD" w:rsidP="006D1A01">
            <w:pPr>
              <w:pStyle w:val="Tabletext"/>
              <w:keepNext/>
              <w:keepLines/>
              <w:jc w:val="center"/>
            </w:pPr>
            <w:r w:rsidRPr="00764E2A">
              <w:t>90%</w:t>
            </w:r>
          </w:p>
        </w:tc>
      </w:tr>
      <w:tr w:rsidR="00C032BD" w:rsidRPr="00796F92" w:rsidTr="008B3E60">
        <w:trPr>
          <w:cantSplit/>
          <w:trHeight w:val="128"/>
          <w:jc w:val="center"/>
        </w:trPr>
        <w:tc>
          <w:tcPr>
            <w:tcW w:w="2708" w:type="dxa"/>
            <w:tcBorders>
              <w:bottom w:val="nil"/>
            </w:tcBorders>
            <w:vAlign w:val="center"/>
          </w:tcPr>
          <w:p w:rsidR="00C032BD" w:rsidRPr="00C032BD" w:rsidRDefault="00C032BD" w:rsidP="006D1A01">
            <w:pPr>
              <w:pStyle w:val="Tabletext"/>
              <w:keepNext/>
              <w:keepLines/>
              <w:jc w:val="center"/>
              <w:rPr>
                <w:lang w:val="en-US"/>
              </w:rPr>
            </w:pPr>
            <w:r w:rsidRPr="00C032BD">
              <w:rPr>
                <w:lang w:val="en-US"/>
              </w:rPr>
              <w:t>3G-ALE Robust LSU (BW0)</w:t>
            </w:r>
            <w:r w:rsidRPr="00C032BD">
              <w:rPr>
                <w:vertAlign w:val="superscript"/>
                <w:lang w:val="en-US"/>
              </w:rPr>
              <w:t>(3)</w:t>
            </w:r>
          </w:p>
        </w:tc>
        <w:tc>
          <w:tcPr>
            <w:tcW w:w="2699" w:type="dxa"/>
            <w:tcBorders>
              <w:bottom w:val="nil"/>
            </w:tcBorders>
            <w:vAlign w:val="center"/>
          </w:tcPr>
          <w:p w:rsidR="00C032BD" w:rsidRPr="00764E2A" w:rsidRDefault="00C032BD" w:rsidP="006D1A01">
            <w:pPr>
              <w:pStyle w:val="Tabletext"/>
              <w:keepNext/>
              <w:keepLines/>
              <w:jc w:val="center"/>
            </w:pPr>
            <w:r>
              <w:t>–</w:t>
            </w:r>
            <w:r w:rsidRPr="00764E2A">
              <w:t>9</w:t>
            </w:r>
          </w:p>
        </w:tc>
        <w:tc>
          <w:tcPr>
            <w:tcW w:w="2899" w:type="dxa"/>
            <w:tcBorders>
              <w:bottom w:val="nil"/>
            </w:tcBorders>
            <w:vAlign w:val="center"/>
          </w:tcPr>
          <w:p w:rsidR="00C032BD" w:rsidRPr="00764E2A" w:rsidRDefault="00C032BD" w:rsidP="006D1A01">
            <w:pPr>
              <w:pStyle w:val="Tabletext"/>
              <w:keepNext/>
              <w:keepLines/>
              <w:jc w:val="center"/>
            </w:pPr>
            <w:r w:rsidRPr="00764E2A">
              <w:t>50%</w:t>
            </w:r>
          </w:p>
        </w:tc>
      </w:tr>
      <w:tr w:rsidR="00C032BD" w:rsidRPr="00796F92" w:rsidTr="008B3E60">
        <w:trPr>
          <w:cantSplit/>
          <w:trHeight w:val="128"/>
          <w:jc w:val="center"/>
        </w:trPr>
        <w:tc>
          <w:tcPr>
            <w:tcW w:w="2708" w:type="dxa"/>
            <w:tcBorders>
              <w:top w:val="nil"/>
              <w:bottom w:val="single" w:sz="6" w:space="0" w:color="auto"/>
            </w:tcBorders>
            <w:vAlign w:val="center"/>
          </w:tcPr>
          <w:p w:rsidR="00C032BD" w:rsidRPr="00764E2A" w:rsidRDefault="00C032BD" w:rsidP="006D1A01">
            <w:pPr>
              <w:pStyle w:val="Tabletext"/>
              <w:keepNext/>
              <w:keepLines/>
              <w:jc w:val="center"/>
            </w:pPr>
          </w:p>
        </w:tc>
        <w:tc>
          <w:tcPr>
            <w:tcW w:w="2699" w:type="dxa"/>
            <w:tcBorders>
              <w:top w:val="nil"/>
              <w:bottom w:val="single" w:sz="6" w:space="0" w:color="auto"/>
            </w:tcBorders>
            <w:vAlign w:val="center"/>
          </w:tcPr>
          <w:p w:rsidR="00C032BD" w:rsidRPr="00764E2A" w:rsidRDefault="00C032BD" w:rsidP="006D1A01">
            <w:pPr>
              <w:pStyle w:val="Tabletext"/>
              <w:keepNext/>
              <w:keepLines/>
              <w:jc w:val="center"/>
            </w:pPr>
            <w:r>
              <w:t>–</w:t>
            </w:r>
            <w:r w:rsidRPr="00764E2A">
              <w:t>6</w:t>
            </w:r>
          </w:p>
        </w:tc>
        <w:tc>
          <w:tcPr>
            <w:tcW w:w="2899" w:type="dxa"/>
            <w:tcBorders>
              <w:top w:val="nil"/>
              <w:bottom w:val="single" w:sz="6" w:space="0" w:color="auto"/>
            </w:tcBorders>
            <w:vAlign w:val="center"/>
          </w:tcPr>
          <w:p w:rsidR="00C032BD" w:rsidRPr="00764E2A" w:rsidRDefault="00C032BD" w:rsidP="006D1A01">
            <w:pPr>
              <w:pStyle w:val="Tabletext"/>
              <w:keepNext/>
              <w:keepLines/>
              <w:jc w:val="center"/>
            </w:pPr>
            <w:r w:rsidRPr="00764E2A">
              <w:t>95%</w:t>
            </w:r>
          </w:p>
        </w:tc>
      </w:tr>
      <w:tr w:rsidR="00C032BD" w:rsidRPr="00796F92" w:rsidTr="008B3E60">
        <w:trPr>
          <w:cantSplit/>
          <w:trHeight w:val="128"/>
          <w:jc w:val="center"/>
        </w:trPr>
        <w:tc>
          <w:tcPr>
            <w:tcW w:w="2708" w:type="dxa"/>
            <w:tcBorders>
              <w:bottom w:val="nil"/>
            </w:tcBorders>
            <w:vAlign w:val="center"/>
          </w:tcPr>
          <w:p w:rsidR="00C032BD" w:rsidRPr="00764E2A" w:rsidRDefault="00C032BD" w:rsidP="006D1A01">
            <w:pPr>
              <w:pStyle w:val="Tabletext"/>
              <w:keepNext/>
              <w:keepLines/>
              <w:jc w:val="center"/>
            </w:pPr>
            <w:r w:rsidRPr="00764E2A">
              <w:t>3G-ALE (BW2)</w:t>
            </w:r>
            <w:r w:rsidRPr="00F33F6A">
              <w:rPr>
                <w:vertAlign w:val="superscript"/>
              </w:rPr>
              <w:t>(3)</w:t>
            </w:r>
          </w:p>
        </w:tc>
        <w:tc>
          <w:tcPr>
            <w:tcW w:w="2699" w:type="dxa"/>
            <w:tcBorders>
              <w:bottom w:val="nil"/>
            </w:tcBorders>
            <w:vAlign w:val="center"/>
          </w:tcPr>
          <w:p w:rsidR="00C032BD" w:rsidRPr="00764E2A" w:rsidRDefault="00C032BD" w:rsidP="006D1A01">
            <w:pPr>
              <w:pStyle w:val="Tabletext"/>
              <w:keepNext/>
              <w:keepLines/>
              <w:jc w:val="center"/>
            </w:pPr>
            <w:r w:rsidRPr="00764E2A">
              <w:t>0</w:t>
            </w:r>
          </w:p>
        </w:tc>
        <w:tc>
          <w:tcPr>
            <w:tcW w:w="2899" w:type="dxa"/>
            <w:tcBorders>
              <w:bottom w:val="nil"/>
            </w:tcBorders>
            <w:vAlign w:val="center"/>
          </w:tcPr>
          <w:p w:rsidR="00C032BD" w:rsidRPr="00764E2A" w:rsidRDefault="00C032BD" w:rsidP="006D1A01">
            <w:pPr>
              <w:pStyle w:val="Tabletext"/>
              <w:keepNext/>
              <w:keepLines/>
              <w:jc w:val="center"/>
            </w:pPr>
            <w:r w:rsidRPr="00764E2A">
              <w:t>30%</w:t>
            </w:r>
          </w:p>
        </w:tc>
      </w:tr>
      <w:tr w:rsidR="00C032BD" w:rsidRPr="00796F92" w:rsidTr="008B3E60">
        <w:trPr>
          <w:cantSplit/>
          <w:trHeight w:val="128"/>
          <w:jc w:val="center"/>
        </w:trPr>
        <w:tc>
          <w:tcPr>
            <w:tcW w:w="2708" w:type="dxa"/>
            <w:tcBorders>
              <w:top w:val="nil"/>
              <w:bottom w:val="single" w:sz="6" w:space="0" w:color="auto"/>
            </w:tcBorders>
            <w:vAlign w:val="center"/>
          </w:tcPr>
          <w:p w:rsidR="00C032BD" w:rsidRPr="00764E2A" w:rsidRDefault="00C032BD" w:rsidP="006D1A01">
            <w:pPr>
              <w:pStyle w:val="Tabletext"/>
              <w:keepNext/>
              <w:keepLines/>
              <w:jc w:val="center"/>
            </w:pPr>
          </w:p>
        </w:tc>
        <w:tc>
          <w:tcPr>
            <w:tcW w:w="2699" w:type="dxa"/>
            <w:tcBorders>
              <w:top w:val="nil"/>
              <w:bottom w:val="single" w:sz="6" w:space="0" w:color="auto"/>
            </w:tcBorders>
            <w:vAlign w:val="center"/>
          </w:tcPr>
          <w:p w:rsidR="00C032BD" w:rsidRPr="00764E2A" w:rsidRDefault="00C032BD" w:rsidP="006D1A01">
            <w:pPr>
              <w:pStyle w:val="Tabletext"/>
              <w:keepNext/>
              <w:keepLines/>
              <w:jc w:val="center"/>
            </w:pPr>
            <w:r w:rsidRPr="00764E2A">
              <w:t>6</w:t>
            </w:r>
          </w:p>
        </w:tc>
        <w:tc>
          <w:tcPr>
            <w:tcW w:w="2899" w:type="dxa"/>
            <w:tcBorders>
              <w:top w:val="nil"/>
              <w:bottom w:val="single" w:sz="6" w:space="0" w:color="auto"/>
            </w:tcBorders>
            <w:vAlign w:val="center"/>
          </w:tcPr>
          <w:p w:rsidR="00C032BD" w:rsidRPr="00764E2A" w:rsidRDefault="00C032BD" w:rsidP="006D1A01">
            <w:pPr>
              <w:pStyle w:val="Tabletext"/>
              <w:keepNext/>
              <w:keepLines/>
              <w:jc w:val="center"/>
            </w:pPr>
            <w:r w:rsidRPr="00764E2A">
              <w:t>70%</w:t>
            </w:r>
          </w:p>
        </w:tc>
      </w:tr>
      <w:tr w:rsidR="00C032BD" w:rsidRPr="00796F92" w:rsidTr="008B3E60">
        <w:trPr>
          <w:cantSplit/>
          <w:trHeight w:val="128"/>
          <w:jc w:val="center"/>
        </w:trPr>
        <w:tc>
          <w:tcPr>
            <w:tcW w:w="2708" w:type="dxa"/>
            <w:tcBorders>
              <w:bottom w:val="nil"/>
            </w:tcBorders>
            <w:vAlign w:val="center"/>
          </w:tcPr>
          <w:p w:rsidR="00C032BD" w:rsidRPr="00764E2A" w:rsidRDefault="00DF7012" w:rsidP="006D1A01">
            <w:pPr>
              <w:pStyle w:val="Tabletext"/>
              <w:keepNext/>
              <w:keepLines/>
              <w:jc w:val="center"/>
            </w:pPr>
            <w:r>
              <w:t>S</w:t>
            </w:r>
            <w:r w:rsidR="00C032BD" w:rsidRPr="00764E2A">
              <w:t>ingle sideband (SSB) Voice</w:t>
            </w:r>
          </w:p>
        </w:tc>
        <w:tc>
          <w:tcPr>
            <w:tcW w:w="2699" w:type="dxa"/>
            <w:tcBorders>
              <w:bottom w:val="nil"/>
            </w:tcBorders>
            <w:vAlign w:val="center"/>
          </w:tcPr>
          <w:p w:rsidR="00C032BD" w:rsidRPr="00764E2A" w:rsidRDefault="00C032BD" w:rsidP="006D1A01">
            <w:pPr>
              <w:pStyle w:val="Tabletext"/>
              <w:keepNext/>
              <w:keepLines/>
              <w:jc w:val="center"/>
            </w:pPr>
            <w:r w:rsidRPr="00764E2A">
              <w:t>6</w:t>
            </w:r>
          </w:p>
        </w:tc>
        <w:tc>
          <w:tcPr>
            <w:tcW w:w="2899" w:type="dxa"/>
            <w:tcBorders>
              <w:bottom w:val="nil"/>
            </w:tcBorders>
            <w:vAlign w:val="center"/>
          </w:tcPr>
          <w:p w:rsidR="00C032BD" w:rsidRPr="00764E2A" w:rsidRDefault="00C032BD" w:rsidP="006D1A01">
            <w:pPr>
              <w:pStyle w:val="Tabletext"/>
              <w:keepNext/>
              <w:keepLines/>
              <w:jc w:val="center"/>
            </w:pPr>
            <w:r w:rsidRPr="00764E2A">
              <w:t>50%</w:t>
            </w:r>
          </w:p>
        </w:tc>
      </w:tr>
      <w:tr w:rsidR="00C032BD" w:rsidRPr="00796F92" w:rsidTr="008B3E60">
        <w:trPr>
          <w:cantSplit/>
          <w:trHeight w:val="128"/>
          <w:jc w:val="center"/>
        </w:trPr>
        <w:tc>
          <w:tcPr>
            <w:tcW w:w="2708" w:type="dxa"/>
            <w:tcBorders>
              <w:top w:val="nil"/>
              <w:bottom w:val="single" w:sz="6" w:space="0" w:color="auto"/>
            </w:tcBorders>
            <w:vAlign w:val="center"/>
          </w:tcPr>
          <w:p w:rsidR="00C032BD" w:rsidRPr="00764E2A" w:rsidRDefault="00C032BD" w:rsidP="006D1A01">
            <w:pPr>
              <w:pStyle w:val="Tabletext"/>
              <w:keepNext/>
              <w:keepLines/>
              <w:jc w:val="center"/>
            </w:pPr>
          </w:p>
        </w:tc>
        <w:tc>
          <w:tcPr>
            <w:tcW w:w="2699" w:type="dxa"/>
            <w:tcBorders>
              <w:top w:val="nil"/>
              <w:bottom w:val="single" w:sz="6" w:space="0" w:color="auto"/>
            </w:tcBorders>
            <w:vAlign w:val="center"/>
          </w:tcPr>
          <w:p w:rsidR="00C032BD" w:rsidRPr="00764E2A" w:rsidRDefault="00C032BD" w:rsidP="006D1A01">
            <w:pPr>
              <w:pStyle w:val="Tabletext"/>
              <w:keepNext/>
              <w:keepLines/>
              <w:jc w:val="center"/>
            </w:pPr>
            <w:r w:rsidRPr="00764E2A">
              <w:t>9</w:t>
            </w:r>
          </w:p>
        </w:tc>
        <w:tc>
          <w:tcPr>
            <w:tcW w:w="2899" w:type="dxa"/>
            <w:tcBorders>
              <w:top w:val="nil"/>
              <w:bottom w:val="single" w:sz="6" w:space="0" w:color="auto"/>
            </w:tcBorders>
            <w:vAlign w:val="center"/>
          </w:tcPr>
          <w:p w:rsidR="00C032BD" w:rsidRPr="00764E2A" w:rsidRDefault="00C032BD" w:rsidP="006D1A01">
            <w:pPr>
              <w:pStyle w:val="Tabletext"/>
              <w:keepNext/>
              <w:keepLines/>
              <w:jc w:val="center"/>
            </w:pPr>
            <w:r w:rsidRPr="00764E2A">
              <w:t>75%</w:t>
            </w:r>
          </w:p>
        </w:tc>
      </w:tr>
      <w:tr w:rsidR="00C032BD" w:rsidRPr="00796F92" w:rsidTr="008B3E60">
        <w:trPr>
          <w:cantSplit/>
          <w:trHeight w:val="128"/>
          <w:jc w:val="center"/>
        </w:trPr>
        <w:tc>
          <w:tcPr>
            <w:tcW w:w="2708" w:type="dxa"/>
            <w:tcBorders>
              <w:bottom w:val="nil"/>
            </w:tcBorders>
            <w:vAlign w:val="center"/>
          </w:tcPr>
          <w:p w:rsidR="00C032BD" w:rsidRPr="00764E2A" w:rsidRDefault="00C032BD" w:rsidP="006D1A01">
            <w:pPr>
              <w:pStyle w:val="Tabletext"/>
              <w:keepNext/>
              <w:keepLines/>
              <w:jc w:val="center"/>
            </w:pPr>
            <w:r w:rsidRPr="00764E2A">
              <w:t>9 600 bps 64-QAM</w:t>
            </w:r>
            <w:r w:rsidRPr="00F33F6A">
              <w:rPr>
                <w:vertAlign w:val="superscript"/>
              </w:rPr>
              <w:t>(4)</w:t>
            </w:r>
          </w:p>
        </w:tc>
        <w:tc>
          <w:tcPr>
            <w:tcW w:w="2699" w:type="dxa"/>
            <w:tcBorders>
              <w:bottom w:val="nil"/>
            </w:tcBorders>
            <w:vAlign w:val="center"/>
          </w:tcPr>
          <w:p w:rsidR="00C032BD" w:rsidRPr="00764E2A" w:rsidRDefault="00C032BD" w:rsidP="006D1A01">
            <w:pPr>
              <w:pStyle w:val="Tabletext"/>
              <w:keepNext/>
              <w:keepLines/>
              <w:jc w:val="center"/>
            </w:pPr>
            <w:r w:rsidRPr="00764E2A">
              <w:t>0</w:t>
            </w:r>
          </w:p>
        </w:tc>
        <w:tc>
          <w:tcPr>
            <w:tcW w:w="2899" w:type="dxa"/>
            <w:tcBorders>
              <w:bottom w:val="nil"/>
            </w:tcBorders>
            <w:vAlign w:val="center"/>
          </w:tcPr>
          <w:p w:rsidR="00C032BD" w:rsidRPr="00764E2A" w:rsidRDefault="00C032BD" w:rsidP="006D1A01">
            <w:pPr>
              <w:pStyle w:val="Tabletext"/>
              <w:keepNext/>
              <w:keepLines/>
              <w:jc w:val="center"/>
            </w:pPr>
            <w:r w:rsidRPr="00764E2A">
              <w:t>30%</w:t>
            </w:r>
          </w:p>
        </w:tc>
      </w:tr>
      <w:tr w:rsidR="00C032BD" w:rsidRPr="00796F92" w:rsidTr="008B3E60">
        <w:trPr>
          <w:cantSplit/>
          <w:trHeight w:val="128"/>
          <w:jc w:val="center"/>
        </w:trPr>
        <w:tc>
          <w:tcPr>
            <w:tcW w:w="2708" w:type="dxa"/>
            <w:tcBorders>
              <w:top w:val="nil"/>
              <w:bottom w:val="single" w:sz="6" w:space="0" w:color="auto"/>
            </w:tcBorders>
            <w:vAlign w:val="center"/>
          </w:tcPr>
          <w:p w:rsidR="00C032BD" w:rsidRPr="00764E2A" w:rsidRDefault="00C032BD" w:rsidP="006D1A01">
            <w:pPr>
              <w:pStyle w:val="Tabletext"/>
              <w:keepNext/>
              <w:keepLines/>
              <w:jc w:val="center"/>
            </w:pPr>
          </w:p>
        </w:tc>
        <w:tc>
          <w:tcPr>
            <w:tcW w:w="2699" w:type="dxa"/>
            <w:tcBorders>
              <w:top w:val="nil"/>
              <w:bottom w:val="single" w:sz="6" w:space="0" w:color="auto"/>
            </w:tcBorders>
            <w:vAlign w:val="center"/>
          </w:tcPr>
          <w:p w:rsidR="00C032BD" w:rsidRPr="00764E2A" w:rsidRDefault="00C032BD" w:rsidP="006D1A01">
            <w:pPr>
              <w:pStyle w:val="Tabletext"/>
              <w:keepNext/>
              <w:keepLines/>
              <w:jc w:val="center"/>
            </w:pPr>
            <w:r w:rsidRPr="00764E2A">
              <w:t>6</w:t>
            </w:r>
          </w:p>
        </w:tc>
        <w:tc>
          <w:tcPr>
            <w:tcW w:w="2899" w:type="dxa"/>
            <w:tcBorders>
              <w:top w:val="nil"/>
              <w:bottom w:val="single" w:sz="6" w:space="0" w:color="auto"/>
            </w:tcBorders>
            <w:vAlign w:val="center"/>
          </w:tcPr>
          <w:p w:rsidR="00C032BD" w:rsidRPr="00764E2A" w:rsidRDefault="00C032BD" w:rsidP="006D1A01">
            <w:pPr>
              <w:pStyle w:val="Tabletext"/>
              <w:keepNext/>
              <w:keepLines/>
              <w:jc w:val="center"/>
            </w:pPr>
            <w:r w:rsidRPr="00764E2A">
              <w:t>70%</w:t>
            </w:r>
          </w:p>
        </w:tc>
      </w:tr>
      <w:tr w:rsidR="00C032BD" w:rsidRPr="00796F92" w:rsidTr="008B3E60">
        <w:trPr>
          <w:cantSplit/>
          <w:trHeight w:val="128"/>
          <w:jc w:val="center"/>
        </w:trPr>
        <w:tc>
          <w:tcPr>
            <w:tcW w:w="2708" w:type="dxa"/>
            <w:tcBorders>
              <w:bottom w:val="nil"/>
            </w:tcBorders>
            <w:vAlign w:val="center"/>
          </w:tcPr>
          <w:p w:rsidR="00C032BD" w:rsidRPr="00764E2A" w:rsidRDefault="00C032BD" w:rsidP="006D1A01">
            <w:pPr>
              <w:pStyle w:val="Tabletext"/>
              <w:keepNext/>
              <w:keepLines/>
              <w:jc w:val="center"/>
            </w:pPr>
            <w:r w:rsidRPr="00764E2A">
              <w:t>2 400 bps 8-PSK</w:t>
            </w:r>
            <w:r w:rsidRPr="00F33F6A">
              <w:rPr>
                <w:vertAlign w:val="superscript"/>
              </w:rPr>
              <w:t>(5)</w:t>
            </w:r>
          </w:p>
        </w:tc>
        <w:tc>
          <w:tcPr>
            <w:tcW w:w="2699" w:type="dxa"/>
            <w:tcBorders>
              <w:bottom w:val="nil"/>
            </w:tcBorders>
            <w:vAlign w:val="center"/>
          </w:tcPr>
          <w:p w:rsidR="00C032BD" w:rsidRPr="00764E2A" w:rsidRDefault="00C032BD" w:rsidP="006D1A01">
            <w:pPr>
              <w:pStyle w:val="Tabletext"/>
              <w:keepNext/>
              <w:keepLines/>
              <w:jc w:val="center"/>
            </w:pPr>
            <w:r w:rsidRPr="00764E2A">
              <w:t>0</w:t>
            </w:r>
          </w:p>
        </w:tc>
        <w:tc>
          <w:tcPr>
            <w:tcW w:w="2899" w:type="dxa"/>
            <w:tcBorders>
              <w:bottom w:val="nil"/>
            </w:tcBorders>
            <w:vAlign w:val="center"/>
          </w:tcPr>
          <w:p w:rsidR="00C032BD" w:rsidRPr="00764E2A" w:rsidRDefault="00C032BD" w:rsidP="006D1A01">
            <w:pPr>
              <w:pStyle w:val="Tabletext"/>
              <w:keepNext/>
              <w:keepLines/>
              <w:jc w:val="center"/>
            </w:pPr>
            <w:r w:rsidRPr="00764E2A">
              <w:t>30%</w:t>
            </w:r>
          </w:p>
        </w:tc>
      </w:tr>
      <w:tr w:rsidR="00C032BD" w:rsidRPr="00796F92" w:rsidTr="008B3E60">
        <w:trPr>
          <w:cantSplit/>
          <w:trHeight w:val="128"/>
          <w:jc w:val="center"/>
        </w:trPr>
        <w:tc>
          <w:tcPr>
            <w:tcW w:w="2708" w:type="dxa"/>
            <w:tcBorders>
              <w:top w:val="nil"/>
              <w:bottom w:val="single" w:sz="6" w:space="0" w:color="auto"/>
            </w:tcBorders>
            <w:vAlign w:val="center"/>
          </w:tcPr>
          <w:p w:rsidR="00C032BD" w:rsidRPr="00764E2A" w:rsidRDefault="00C032BD" w:rsidP="006D1A01">
            <w:pPr>
              <w:pStyle w:val="Tabletext"/>
              <w:keepNext/>
              <w:keepLines/>
              <w:jc w:val="center"/>
            </w:pPr>
          </w:p>
        </w:tc>
        <w:tc>
          <w:tcPr>
            <w:tcW w:w="2699" w:type="dxa"/>
            <w:tcBorders>
              <w:top w:val="nil"/>
              <w:bottom w:val="single" w:sz="6" w:space="0" w:color="auto"/>
            </w:tcBorders>
            <w:vAlign w:val="center"/>
          </w:tcPr>
          <w:p w:rsidR="00C032BD" w:rsidRPr="00764E2A" w:rsidRDefault="00C032BD" w:rsidP="006D1A01">
            <w:pPr>
              <w:pStyle w:val="Tabletext"/>
              <w:keepNext/>
              <w:keepLines/>
              <w:jc w:val="center"/>
            </w:pPr>
            <w:r w:rsidRPr="00764E2A">
              <w:t>6</w:t>
            </w:r>
          </w:p>
        </w:tc>
        <w:tc>
          <w:tcPr>
            <w:tcW w:w="2899" w:type="dxa"/>
            <w:tcBorders>
              <w:top w:val="nil"/>
              <w:bottom w:val="single" w:sz="6" w:space="0" w:color="auto"/>
            </w:tcBorders>
            <w:vAlign w:val="center"/>
          </w:tcPr>
          <w:p w:rsidR="00C032BD" w:rsidRPr="00764E2A" w:rsidRDefault="00C032BD" w:rsidP="006D1A01">
            <w:pPr>
              <w:pStyle w:val="Tabletext"/>
              <w:keepNext/>
              <w:keepLines/>
              <w:jc w:val="center"/>
            </w:pPr>
            <w:r w:rsidRPr="00764E2A">
              <w:t>70%</w:t>
            </w:r>
          </w:p>
        </w:tc>
      </w:tr>
      <w:tr w:rsidR="00C032BD" w:rsidRPr="00EE6DBE" w:rsidTr="008B3E60">
        <w:trPr>
          <w:cantSplit/>
          <w:trHeight w:val="128"/>
          <w:jc w:val="center"/>
        </w:trPr>
        <w:tc>
          <w:tcPr>
            <w:tcW w:w="8306" w:type="dxa"/>
            <w:gridSpan w:val="3"/>
            <w:tcBorders>
              <w:top w:val="single" w:sz="6" w:space="0" w:color="auto"/>
              <w:left w:val="nil"/>
              <w:bottom w:val="nil"/>
              <w:right w:val="nil"/>
            </w:tcBorders>
            <w:vAlign w:val="center"/>
          </w:tcPr>
          <w:p w:rsidR="00C032BD" w:rsidRPr="006D796E" w:rsidRDefault="00C032BD" w:rsidP="00DF7012">
            <w:pPr>
              <w:pStyle w:val="Tabletext"/>
              <w:ind w:left="284" w:hanging="284"/>
              <w:rPr>
                <w:i/>
                <w:iCs/>
                <w:lang w:val="en-US"/>
              </w:rPr>
            </w:pPr>
            <w:r w:rsidRPr="006D796E">
              <w:rPr>
                <w:i/>
                <w:iCs/>
                <w:lang w:val="en-US"/>
              </w:rPr>
              <w:t>Notes relative to Table 1:</w:t>
            </w:r>
          </w:p>
          <w:p w:rsidR="00C032BD" w:rsidRPr="00C032BD" w:rsidRDefault="00C032BD" w:rsidP="00DF7012">
            <w:pPr>
              <w:pStyle w:val="Tabletext"/>
              <w:ind w:left="284" w:hanging="284"/>
              <w:rPr>
                <w:lang w:val="en-US"/>
              </w:rPr>
            </w:pPr>
            <w:r w:rsidRPr="00C032BD">
              <w:rPr>
                <w:vertAlign w:val="superscript"/>
                <w:lang w:val="en-US"/>
              </w:rPr>
              <w:t>(1)</w:t>
            </w:r>
            <w:r w:rsidRPr="00C032BD">
              <w:rPr>
                <w:vertAlign w:val="superscript"/>
                <w:lang w:val="en-US"/>
              </w:rPr>
              <w:tab/>
            </w:r>
            <w:r w:rsidRPr="00C032BD">
              <w:rPr>
                <w:lang w:val="en-US"/>
              </w:rPr>
              <w:t xml:space="preserve">SNR measured in </w:t>
            </w:r>
            <w:r>
              <w:rPr>
                <w:lang w:val="en-US"/>
              </w:rPr>
              <w:t>u</w:t>
            </w:r>
            <w:r w:rsidRPr="00FF5545">
              <w:rPr>
                <w:lang w:val="en-US"/>
              </w:rPr>
              <w:t>n-faded channel with additive white Gaussian noise</w:t>
            </w:r>
            <w:r>
              <w:rPr>
                <w:lang w:val="en-US"/>
              </w:rPr>
              <w:t xml:space="preserve"> (AWGN)</w:t>
            </w:r>
            <w:r w:rsidRPr="00C032BD">
              <w:rPr>
                <w:lang w:val="en-US"/>
              </w:rPr>
              <w:t xml:space="preserve"> and bandwidth of</w:t>
            </w:r>
            <w:r w:rsidR="00DF7012">
              <w:rPr>
                <w:lang w:val="en-US"/>
              </w:rPr>
              <w:t> </w:t>
            </w:r>
            <w:r w:rsidRPr="00C032BD">
              <w:rPr>
                <w:lang w:val="en-US"/>
              </w:rPr>
              <w:t>3 kHz.</w:t>
            </w:r>
          </w:p>
          <w:p w:rsidR="00C032BD" w:rsidRPr="00C032BD" w:rsidRDefault="00C032BD" w:rsidP="00DF7012">
            <w:pPr>
              <w:pStyle w:val="Tabletext"/>
              <w:ind w:left="284" w:hanging="284"/>
              <w:rPr>
                <w:bCs/>
                <w:lang w:val="en-US"/>
              </w:rPr>
            </w:pPr>
            <w:r w:rsidRPr="00C032BD">
              <w:rPr>
                <w:vertAlign w:val="superscript"/>
                <w:lang w:val="en-US"/>
              </w:rPr>
              <w:t>(2)</w:t>
            </w:r>
            <w:r w:rsidRPr="00C032BD">
              <w:rPr>
                <w:vertAlign w:val="superscript"/>
                <w:lang w:val="en-US"/>
              </w:rPr>
              <w:tab/>
            </w:r>
            <w:r w:rsidRPr="00C032BD">
              <w:rPr>
                <w:lang w:val="en-US"/>
              </w:rPr>
              <w:t>See §</w:t>
            </w:r>
            <w:r w:rsidR="00DF7012">
              <w:rPr>
                <w:lang w:val="en-US"/>
              </w:rPr>
              <w:t xml:space="preserve"> </w:t>
            </w:r>
            <w:r w:rsidRPr="00C032BD">
              <w:rPr>
                <w:lang w:val="en-US"/>
              </w:rPr>
              <w:t xml:space="preserve">7.2.1.1 FSK ALE modems (second generation) in the Handbook ITU-R </w:t>
            </w:r>
            <w:r w:rsidRPr="00C032BD">
              <w:rPr>
                <w:bCs/>
                <w:lang w:val="en-US"/>
              </w:rPr>
              <w:t>Frequency adaptive communication systems and networks in the MF/HF bands, edition 2002.</w:t>
            </w:r>
          </w:p>
          <w:p w:rsidR="00C032BD" w:rsidRPr="00C032BD" w:rsidRDefault="00C032BD" w:rsidP="00DF7012">
            <w:pPr>
              <w:pStyle w:val="Tabletext"/>
              <w:ind w:left="284" w:hanging="284"/>
              <w:rPr>
                <w:bCs/>
                <w:lang w:val="en-US"/>
              </w:rPr>
            </w:pPr>
            <w:r w:rsidRPr="00C032BD">
              <w:rPr>
                <w:vertAlign w:val="superscript"/>
                <w:lang w:val="en-US"/>
              </w:rPr>
              <w:t>(3)</w:t>
            </w:r>
            <w:r w:rsidRPr="00C032BD">
              <w:rPr>
                <w:lang w:val="en-US"/>
              </w:rPr>
              <w:tab/>
              <w:t>See §</w:t>
            </w:r>
            <w:r w:rsidR="00DF7012">
              <w:rPr>
                <w:lang w:val="en-US"/>
              </w:rPr>
              <w:t xml:space="preserve"> </w:t>
            </w:r>
            <w:r w:rsidRPr="00C032BD">
              <w:rPr>
                <w:lang w:val="en-US"/>
              </w:rPr>
              <w:t xml:space="preserve">7.2.1.2 Burst PSK ALE modem (third generation) in the Handbook ITU-R </w:t>
            </w:r>
            <w:r w:rsidRPr="00C032BD">
              <w:rPr>
                <w:bCs/>
                <w:lang w:val="en-US"/>
              </w:rPr>
              <w:t>Frequency adaptive communication systems and networks in the MF/HF bands, edition 2002.</w:t>
            </w:r>
          </w:p>
          <w:p w:rsidR="00C032BD" w:rsidRDefault="00C032BD" w:rsidP="00DF7012">
            <w:pPr>
              <w:pStyle w:val="Tabletext"/>
              <w:ind w:left="284" w:hanging="284"/>
              <w:rPr>
                <w:bCs/>
                <w:lang w:val="en-US"/>
              </w:rPr>
            </w:pPr>
            <w:r w:rsidRPr="00EB2598">
              <w:rPr>
                <w:bCs/>
                <w:vertAlign w:val="superscript"/>
                <w:lang w:val="en-US"/>
              </w:rPr>
              <w:t>(4)</w:t>
            </w:r>
            <w:r>
              <w:rPr>
                <w:bCs/>
                <w:lang w:val="en-US"/>
              </w:rPr>
              <w:tab/>
            </w:r>
            <w:r w:rsidRPr="00F62CA5">
              <w:rPr>
                <w:bCs/>
                <w:lang w:val="en-US"/>
              </w:rPr>
              <w:t>Waveform described in Annex 6 of Recommendation ITU-R F.763-5</w:t>
            </w:r>
            <w:r w:rsidRPr="00C032BD">
              <w:rPr>
                <w:lang w:val="en-US"/>
              </w:rPr>
              <w:t xml:space="preserve"> </w:t>
            </w:r>
            <w:r w:rsidR="00DF7012">
              <w:rPr>
                <w:lang w:val="en-US"/>
              </w:rPr>
              <w:t xml:space="preserve">– </w:t>
            </w:r>
            <w:r w:rsidRPr="00933FAD">
              <w:rPr>
                <w:bCs/>
                <w:lang w:val="en-US"/>
              </w:rPr>
              <w:t>Data transmission over HF circuits using phase shift keying or quadrature amplitude modulation</w:t>
            </w:r>
            <w:r w:rsidRPr="00F62CA5">
              <w:rPr>
                <w:bCs/>
                <w:lang w:val="en-US"/>
              </w:rPr>
              <w:t>.</w:t>
            </w:r>
          </w:p>
          <w:p w:rsidR="00C032BD" w:rsidRPr="00C032BD" w:rsidRDefault="00C032BD" w:rsidP="00DF7012">
            <w:pPr>
              <w:pStyle w:val="Tabletext"/>
              <w:ind w:left="284" w:hanging="284"/>
              <w:rPr>
                <w:lang w:val="en-US"/>
              </w:rPr>
            </w:pPr>
            <w:r w:rsidRPr="00C032BD">
              <w:rPr>
                <w:vertAlign w:val="superscript"/>
                <w:lang w:val="en-US"/>
              </w:rPr>
              <w:t>(5)</w:t>
            </w:r>
            <w:r w:rsidRPr="00C032BD">
              <w:rPr>
                <w:lang w:val="en-US"/>
              </w:rPr>
              <w:tab/>
            </w:r>
            <w:r w:rsidRPr="00F62CA5">
              <w:rPr>
                <w:lang w:val="en-US"/>
              </w:rPr>
              <w:t>Waveform described in Annex 2 of Recommendation ITU-R F.763-5</w:t>
            </w:r>
            <w:r w:rsidRPr="00933FAD">
              <w:rPr>
                <w:bCs/>
                <w:lang w:val="en-US"/>
              </w:rPr>
              <w:t xml:space="preserve"> </w:t>
            </w:r>
            <w:r w:rsidR="00DF7012">
              <w:rPr>
                <w:bCs/>
                <w:lang w:val="en-US"/>
              </w:rPr>
              <w:t xml:space="preserve">– </w:t>
            </w:r>
            <w:r w:rsidRPr="00933FAD">
              <w:rPr>
                <w:bCs/>
                <w:lang w:val="en-US"/>
              </w:rPr>
              <w:t>Data transmission over HF circuits using phase shift keying or quadrature amplitude modulation</w:t>
            </w:r>
            <w:r w:rsidRPr="00F62CA5">
              <w:rPr>
                <w:lang w:val="en-US"/>
              </w:rPr>
              <w:t>.</w:t>
            </w:r>
          </w:p>
        </w:tc>
      </w:tr>
    </w:tbl>
    <w:p w:rsidR="00C032BD" w:rsidRPr="00C87E62" w:rsidRDefault="00C032BD" w:rsidP="00C032BD">
      <w:pPr>
        <w:pStyle w:val="Tablefin"/>
      </w:pPr>
    </w:p>
    <w:p w:rsidR="00C032BD" w:rsidRPr="00C032BD" w:rsidRDefault="00C032BD" w:rsidP="00C032BD">
      <w:pPr>
        <w:pStyle w:val="Heading2"/>
        <w:rPr>
          <w:lang w:val="en-US"/>
        </w:rPr>
      </w:pPr>
      <w:r w:rsidRPr="00C032BD">
        <w:rPr>
          <w:lang w:val="en-US"/>
        </w:rPr>
        <w:lastRenderedPageBreak/>
        <w:t>2.2</w:t>
      </w:r>
      <w:r w:rsidRPr="00C032BD">
        <w:rPr>
          <w:lang w:val="en-US"/>
        </w:rPr>
        <w:tab/>
        <w:t>Operational requirements</w:t>
      </w:r>
    </w:p>
    <w:p w:rsidR="00C032BD" w:rsidRPr="00C032BD" w:rsidRDefault="00C032BD" w:rsidP="00C032BD">
      <w:pPr>
        <w:rPr>
          <w:lang w:val="en-US"/>
        </w:rPr>
      </w:pPr>
      <w:r w:rsidRPr="00C032BD">
        <w:rPr>
          <w:lang w:val="en-US"/>
        </w:rPr>
        <w:t>The HF adaptive system should be able to perform a channel availability check during which time the system listens on a particular radio channel for 900 milliseconds to identify whether there is another system operating on that radio channel.</w:t>
      </w:r>
    </w:p>
    <w:p w:rsidR="00C032BD" w:rsidRPr="00C032BD" w:rsidRDefault="00C032BD" w:rsidP="00C032BD">
      <w:pPr>
        <w:rPr>
          <w:lang w:val="en-US"/>
        </w:rPr>
      </w:pPr>
      <w:r w:rsidRPr="00C032BD">
        <w:rPr>
          <w:lang w:val="en-US"/>
        </w:rPr>
        <w:t xml:space="preserve">The adaptive system should be able to perform in-service monitoring of the </w:t>
      </w:r>
      <w:r w:rsidRPr="00C032BD">
        <w:rPr>
          <w:iCs/>
          <w:lang w:val="en-US"/>
        </w:rPr>
        <w:t>operating channel</w:t>
      </w:r>
      <w:r w:rsidRPr="00C032BD">
        <w:rPr>
          <w:lang w:val="en-US"/>
        </w:rPr>
        <w:t xml:space="preserve"> to check that a co-channel system has not started operation. During </w:t>
      </w:r>
      <w:r w:rsidRPr="00C032BD">
        <w:rPr>
          <w:iCs/>
          <w:lang w:val="en-US"/>
        </w:rPr>
        <w:t xml:space="preserve">in-service monitoring </w:t>
      </w:r>
      <w:r w:rsidRPr="00C032BD">
        <w:rPr>
          <w:lang w:val="en-US"/>
        </w:rPr>
        <w:t>the signal detection function continuously searches for other system signals in-between normal adaptive system transmissions. This requires the use of quiet spaces between successive transmissions.</w:t>
      </w:r>
    </w:p>
    <w:p w:rsidR="00C032BD" w:rsidRPr="00C032BD" w:rsidRDefault="00C032BD" w:rsidP="0082341B">
      <w:pPr>
        <w:rPr>
          <w:lang w:val="en-US"/>
        </w:rPr>
      </w:pPr>
      <w:r w:rsidRPr="00C032BD">
        <w:rPr>
          <w:lang w:val="en-US"/>
        </w:rPr>
        <w:t>If the adaptive HF system has not previously been in operation or has not continuously monitored the channel with in-service monitoring, it should not start transmission in any channel before completion of a channel availability check. The channel availability and in-service monitoring operations will utilize minimum DFS detection thresholds as shown in Table 1.</w:t>
      </w:r>
    </w:p>
    <w:p w:rsidR="00C032BD" w:rsidRPr="00C032BD" w:rsidRDefault="00C032BD" w:rsidP="00C032BD">
      <w:pPr>
        <w:pStyle w:val="Heading2"/>
        <w:rPr>
          <w:lang w:val="en-US"/>
        </w:rPr>
      </w:pPr>
      <w:r w:rsidRPr="00C032BD">
        <w:rPr>
          <w:lang w:val="en-US"/>
        </w:rPr>
        <w:t>2.3</w:t>
      </w:r>
      <w:r w:rsidRPr="00C032BD">
        <w:rPr>
          <w:lang w:val="en-US"/>
        </w:rPr>
        <w:tab/>
        <w:t>Response requirements</w:t>
      </w:r>
    </w:p>
    <w:p w:rsidR="00C032BD" w:rsidRPr="00C032BD" w:rsidRDefault="00C032BD" w:rsidP="00C032BD">
      <w:pPr>
        <w:rPr>
          <w:lang w:val="en-US"/>
        </w:rPr>
      </w:pPr>
      <w:r w:rsidRPr="00C032BD">
        <w:rPr>
          <w:lang w:val="en-US"/>
        </w:rPr>
        <w:t>A channel that has been flagged as containing a radio transmitter, either by a channel availability check or in-service monitoring, is subject to a 2-min period (non-availability period) during which it should not be used by the adaptive HF system. The non-availability period should start at the time when the radio signal is detected. The non-availability period monitoring operation may be continuous or sampled in time.</w:t>
      </w:r>
    </w:p>
    <w:p w:rsidR="00C032BD" w:rsidRPr="00C032BD" w:rsidRDefault="00C032BD" w:rsidP="00C032BD">
      <w:pPr>
        <w:rPr>
          <w:lang w:val="en-US"/>
        </w:rPr>
      </w:pPr>
      <w:r w:rsidRPr="00C032BD">
        <w:rPr>
          <w:lang w:val="en-US"/>
        </w:rPr>
        <w:t xml:space="preserve">Channel move time is defined as the period of less than or equal to 125 s needed by an adaptive HF system to cease transmissions on the operating channel upon detection of a signal above the DFS detection threshold. Transmissions during this period may consist of normal traffic for typically less than 125 s. Management and control signals can be sent during this time period to facilitate vacating the operating channel. </w:t>
      </w:r>
    </w:p>
    <w:p w:rsidR="00C032BD" w:rsidRPr="00C032BD" w:rsidRDefault="00C032BD" w:rsidP="00C032BD">
      <w:pPr>
        <w:pStyle w:val="Heading2"/>
        <w:rPr>
          <w:lang w:val="en-US"/>
        </w:rPr>
      </w:pPr>
      <w:r w:rsidRPr="00C032BD">
        <w:rPr>
          <w:lang w:val="en-US"/>
        </w:rPr>
        <w:t>2.4</w:t>
      </w:r>
      <w:r w:rsidRPr="00C032BD">
        <w:rPr>
          <w:lang w:val="en-US"/>
        </w:rPr>
        <w:tab/>
        <w:t>Summary of the DFS performance requirements</w:t>
      </w:r>
    </w:p>
    <w:p w:rsidR="00C032BD" w:rsidRPr="00C032BD" w:rsidRDefault="00C032BD" w:rsidP="00C032BD">
      <w:pPr>
        <w:rPr>
          <w:lang w:val="en-US"/>
        </w:rPr>
      </w:pPr>
      <w:r w:rsidRPr="00C032BD">
        <w:rPr>
          <w:lang w:val="en-US"/>
        </w:rPr>
        <w:t>Table 2 provides a summary of the DFS performance requirements described above.</w:t>
      </w:r>
    </w:p>
    <w:p w:rsidR="00C032BD" w:rsidRPr="00C032BD" w:rsidRDefault="00C032BD" w:rsidP="00C032BD">
      <w:pPr>
        <w:pStyle w:val="TableNo"/>
        <w:rPr>
          <w:lang w:val="en-US"/>
        </w:rPr>
      </w:pPr>
      <w:r w:rsidRPr="00C032BD">
        <w:rPr>
          <w:lang w:val="en-US"/>
        </w:rPr>
        <w:t>TABLE 2</w:t>
      </w:r>
    </w:p>
    <w:p w:rsidR="00C032BD" w:rsidRPr="00C032BD" w:rsidRDefault="00C032BD" w:rsidP="00C032BD">
      <w:pPr>
        <w:pStyle w:val="Tabletitle"/>
        <w:rPr>
          <w:lang w:val="en-US"/>
        </w:rPr>
      </w:pPr>
      <w:r w:rsidRPr="00C032BD">
        <w:rPr>
          <w:lang w:val="en-US"/>
        </w:rPr>
        <w:t>Summary of the DFS performance requirements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85"/>
        <w:gridCol w:w="3618"/>
      </w:tblGrid>
      <w:tr w:rsidR="00C032BD" w:rsidRPr="00F725F1" w:rsidTr="006D1A01">
        <w:trPr>
          <w:jc w:val="center"/>
        </w:trPr>
        <w:tc>
          <w:tcPr>
            <w:tcW w:w="3385" w:type="dxa"/>
          </w:tcPr>
          <w:p w:rsidR="00C032BD" w:rsidRPr="00C87E62" w:rsidRDefault="00C032BD" w:rsidP="006D1A01">
            <w:pPr>
              <w:pStyle w:val="Tablehead"/>
            </w:pPr>
            <w:r w:rsidRPr="00C87E62">
              <w:t>Parameter</w:t>
            </w:r>
          </w:p>
        </w:tc>
        <w:tc>
          <w:tcPr>
            <w:tcW w:w="3618" w:type="dxa"/>
          </w:tcPr>
          <w:p w:rsidR="00C032BD" w:rsidRPr="00C87E62" w:rsidRDefault="00C032BD" w:rsidP="006D1A01">
            <w:pPr>
              <w:pStyle w:val="Tablehead"/>
            </w:pPr>
            <w:r w:rsidRPr="00C87E62">
              <w:t>Value</w:t>
            </w:r>
          </w:p>
        </w:tc>
      </w:tr>
      <w:tr w:rsidR="00C032BD" w:rsidRPr="00F725F1" w:rsidTr="006D1A01">
        <w:trPr>
          <w:jc w:val="center"/>
        </w:trPr>
        <w:tc>
          <w:tcPr>
            <w:tcW w:w="3385" w:type="dxa"/>
          </w:tcPr>
          <w:p w:rsidR="00C032BD" w:rsidRPr="00C87E62" w:rsidRDefault="00C032BD" w:rsidP="006D1A01">
            <w:pPr>
              <w:pStyle w:val="Tabletext"/>
            </w:pPr>
            <w:r w:rsidRPr="00C87E62">
              <w:t>DFS detection threshold</w:t>
            </w:r>
          </w:p>
        </w:tc>
        <w:tc>
          <w:tcPr>
            <w:tcW w:w="3618" w:type="dxa"/>
          </w:tcPr>
          <w:p w:rsidR="00C032BD" w:rsidRPr="00C87E62" w:rsidRDefault="00C032BD" w:rsidP="006D1A01">
            <w:pPr>
              <w:pStyle w:val="Tabletext"/>
              <w:jc w:val="center"/>
            </w:pPr>
            <w:r w:rsidRPr="00C87E62">
              <w:t>See Table 1</w:t>
            </w:r>
          </w:p>
        </w:tc>
      </w:tr>
      <w:tr w:rsidR="00C032BD" w:rsidRPr="00F725F1" w:rsidTr="006D1A01">
        <w:trPr>
          <w:jc w:val="center"/>
        </w:trPr>
        <w:tc>
          <w:tcPr>
            <w:tcW w:w="3385" w:type="dxa"/>
          </w:tcPr>
          <w:p w:rsidR="00C032BD" w:rsidRPr="00C87E62" w:rsidRDefault="00C032BD" w:rsidP="006D1A01">
            <w:pPr>
              <w:pStyle w:val="Tabletext"/>
            </w:pPr>
            <w:r w:rsidRPr="00C87E62">
              <w:t>Channel availability check time</w:t>
            </w:r>
          </w:p>
        </w:tc>
        <w:tc>
          <w:tcPr>
            <w:tcW w:w="3618" w:type="dxa"/>
          </w:tcPr>
          <w:p w:rsidR="00C032BD" w:rsidRPr="00C87E62" w:rsidRDefault="00C032BD" w:rsidP="006D1A01">
            <w:pPr>
              <w:pStyle w:val="Tabletext"/>
              <w:jc w:val="center"/>
            </w:pPr>
            <w:r w:rsidRPr="00C87E62">
              <w:t>900 ms</w:t>
            </w:r>
          </w:p>
        </w:tc>
      </w:tr>
      <w:tr w:rsidR="00C032BD" w:rsidRPr="00794D79" w:rsidTr="006D1A01">
        <w:trPr>
          <w:jc w:val="center"/>
        </w:trPr>
        <w:tc>
          <w:tcPr>
            <w:tcW w:w="3385" w:type="dxa"/>
          </w:tcPr>
          <w:p w:rsidR="00C032BD" w:rsidRPr="0082341B" w:rsidRDefault="00C032BD" w:rsidP="006D1A01">
            <w:pPr>
              <w:pStyle w:val="Tabletext"/>
              <w:rPr>
                <w:szCs w:val="22"/>
                <w:lang w:val="en-GB"/>
              </w:rPr>
            </w:pPr>
            <w:r w:rsidRPr="0082341B">
              <w:rPr>
                <w:szCs w:val="22"/>
                <w:lang w:val="en-GB"/>
              </w:rPr>
              <w:t>Non-availability period</w:t>
            </w:r>
          </w:p>
        </w:tc>
        <w:tc>
          <w:tcPr>
            <w:tcW w:w="3618" w:type="dxa"/>
          </w:tcPr>
          <w:p w:rsidR="00C032BD" w:rsidRPr="0082341B" w:rsidRDefault="00C032BD" w:rsidP="006D1A01">
            <w:pPr>
              <w:pStyle w:val="Tabletext"/>
              <w:jc w:val="center"/>
              <w:rPr>
                <w:szCs w:val="22"/>
                <w:lang w:val="en-GB"/>
              </w:rPr>
            </w:pPr>
            <w:r w:rsidRPr="0082341B">
              <w:rPr>
                <w:szCs w:val="22"/>
                <w:lang w:val="en-GB"/>
              </w:rPr>
              <w:t>2 min</w:t>
            </w:r>
          </w:p>
        </w:tc>
      </w:tr>
      <w:tr w:rsidR="00C032BD" w:rsidRPr="00794D79" w:rsidTr="006D1A01">
        <w:trPr>
          <w:jc w:val="center"/>
        </w:trPr>
        <w:tc>
          <w:tcPr>
            <w:tcW w:w="3385" w:type="dxa"/>
          </w:tcPr>
          <w:p w:rsidR="00C032BD" w:rsidRPr="0082341B" w:rsidRDefault="00C032BD" w:rsidP="006D1A01">
            <w:pPr>
              <w:pStyle w:val="Tabletext"/>
              <w:rPr>
                <w:szCs w:val="22"/>
                <w:lang w:val="en-GB"/>
              </w:rPr>
            </w:pPr>
            <w:r w:rsidRPr="0082341B">
              <w:rPr>
                <w:szCs w:val="22"/>
                <w:lang w:val="en-GB"/>
              </w:rPr>
              <w:t>Channel move time</w:t>
            </w:r>
          </w:p>
        </w:tc>
        <w:tc>
          <w:tcPr>
            <w:tcW w:w="3618" w:type="dxa"/>
          </w:tcPr>
          <w:p w:rsidR="00C032BD" w:rsidRPr="0082341B" w:rsidRDefault="00C032BD" w:rsidP="006D1A01">
            <w:pPr>
              <w:pStyle w:val="Tabletext"/>
              <w:jc w:val="center"/>
              <w:rPr>
                <w:szCs w:val="22"/>
                <w:lang w:val="en-GB"/>
              </w:rPr>
            </w:pPr>
            <w:r w:rsidRPr="0082341B">
              <w:rPr>
                <w:szCs w:val="22"/>
              </w:rPr>
              <w:sym w:font="Symbol" w:char="F0A3"/>
            </w:r>
            <w:r w:rsidRPr="0082341B">
              <w:rPr>
                <w:szCs w:val="22"/>
                <w:lang w:val="en-GB"/>
              </w:rPr>
              <w:t xml:space="preserve"> 125 s</w:t>
            </w:r>
          </w:p>
        </w:tc>
      </w:tr>
    </w:tbl>
    <w:p w:rsidR="00C032BD" w:rsidRDefault="00C032BD" w:rsidP="00C032BD"/>
    <w:p w:rsidR="00C032BD" w:rsidRPr="00C032BD" w:rsidRDefault="00C032BD" w:rsidP="0082341B">
      <w:pPr>
        <w:pStyle w:val="Line"/>
      </w:pPr>
    </w:p>
    <w:sectPr w:rsidR="00C032BD" w:rsidRPr="00C032BD" w:rsidSect="00590360">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2BD" w:rsidRDefault="00C032BD">
      <w:r>
        <w:separator/>
      </w:r>
    </w:p>
  </w:endnote>
  <w:endnote w:type="continuationSeparator" w:id="0">
    <w:p w:rsidR="00C032BD" w:rsidRDefault="00C03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2BD" w:rsidRDefault="00C032BD">
      <w:r>
        <w:separator/>
      </w:r>
    </w:p>
  </w:footnote>
  <w:footnote w:type="continuationSeparator" w:id="0">
    <w:p w:rsidR="00C032BD" w:rsidRDefault="00C032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2BD" w:rsidRDefault="00C032B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2BD" w:rsidRDefault="00C032BD" w:rsidP="00B033C8">
    <w:pPr>
      <w:pStyle w:val="Header"/>
      <w:ind w:right="360" w:firstLine="360"/>
    </w:pPr>
    <w:r>
      <w:rPr>
        <w:noProof/>
        <w:lang w:val="en-US" w:eastAsia="zh-CN"/>
      </w:rPr>
      <w:drawing>
        <wp:anchor distT="0" distB="0" distL="114300" distR="114300" simplePos="0" relativeHeight="251661312" behindDoc="0" locked="0" layoutInCell="1" allowOverlap="1" wp14:anchorId="744E068A" wp14:editId="705DC28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57FDCD7A" wp14:editId="3EC09FF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2BD" w:rsidRPr="00FC42AF" w:rsidRDefault="00C032B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564B1">
      <w:rPr>
        <w:rStyle w:val="PageNumber"/>
        <w:b/>
        <w:bCs/>
        <w:noProof/>
      </w:rPr>
      <w:t>ii</w:t>
    </w:r>
    <w:r>
      <w:rPr>
        <w:rStyle w:val="PageNumber"/>
        <w:b/>
        <w:bCs/>
      </w:rPr>
      <w:fldChar w:fldCharType="end"/>
    </w:r>
    <w:r w:rsidRPr="00FC42AF">
      <w:tab/>
    </w:r>
    <w:fldSimple w:instr=" DOCPROPERTY &quot;Header&quot; \* MERGEFORMAT ">
      <w:r w:rsidR="007564B1" w:rsidRPr="007564B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7564B1">
      <w:rPr>
        <w:b/>
        <w:bCs/>
        <w:noProof/>
      </w:rPr>
      <w:t>ITU-R  F.1778-1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2BD" w:rsidRDefault="00C032BD">
    <w:pPr>
      <w:pStyle w:val="Header"/>
    </w:pPr>
    <w:r>
      <w:tab/>
    </w:r>
    <w:fldSimple w:instr=" DOCPROPERTY &quot;Header&quot; \* MERGEFORMAT ">
      <w:r w:rsidR="007564B1" w:rsidRPr="007564B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564B1">
      <w:rPr>
        <w:b/>
        <w:bCs/>
        <w:noProof/>
      </w:rPr>
      <w:t>ITU-R  F.1778-1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564B1">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564B1" w:rsidRPr="007564B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564B1">
      <w:rPr>
        <w:b/>
        <w:bCs/>
        <w:noProof/>
      </w:rPr>
      <w:t>ITU-R  F.1778-1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7564B1" w:rsidRPr="007564B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564B1">
      <w:rPr>
        <w:b/>
        <w:bCs/>
        <w:noProof/>
      </w:rPr>
      <w:t>ITU-R  F.1778-1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564B1">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2BD"/>
    <w:rsid w:val="00217EBF"/>
    <w:rsid w:val="00242AEE"/>
    <w:rsid w:val="002D76C4"/>
    <w:rsid w:val="003B7B98"/>
    <w:rsid w:val="004E7687"/>
    <w:rsid w:val="0052529D"/>
    <w:rsid w:val="00590360"/>
    <w:rsid w:val="00607D68"/>
    <w:rsid w:val="00615024"/>
    <w:rsid w:val="006D796E"/>
    <w:rsid w:val="007119A4"/>
    <w:rsid w:val="007468DA"/>
    <w:rsid w:val="007564B1"/>
    <w:rsid w:val="0082341B"/>
    <w:rsid w:val="008B3E60"/>
    <w:rsid w:val="009E00A8"/>
    <w:rsid w:val="009E5187"/>
    <w:rsid w:val="00A23AF8"/>
    <w:rsid w:val="00A6617B"/>
    <w:rsid w:val="00A75A67"/>
    <w:rsid w:val="00AB0DC8"/>
    <w:rsid w:val="00B44E24"/>
    <w:rsid w:val="00BD38DB"/>
    <w:rsid w:val="00C032BD"/>
    <w:rsid w:val="00C10A59"/>
    <w:rsid w:val="00DF4176"/>
    <w:rsid w:val="00DF7012"/>
    <w:rsid w:val="00EE6D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C3C45CD5-CE10-41D9-A5A0-D260C0640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2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032BD"/>
    <w:rPr>
      <w:b/>
      <w:sz w:val="24"/>
      <w:lang w:val="fr-FR" w:eastAsia="en-US"/>
    </w:rPr>
  </w:style>
  <w:style w:type="character" w:customStyle="1" w:styleId="HeaderChar">
    <w:name w:val="Header Char"/>
    <w:basedOn w:val="DefaultParagraphFont"/>
    <w:link w:val="Header"/>
    <w:rsid w:val="00C032BD"/>
    <w:rPr>
      <w:sz w:val="24"/>
      <w:lang w:val="fr-FR" w:eastAsia="en-US"/>
    </w:rPr>
  </w:style>
  <w:style w:type="character" w:customStyle="1" w:styleId="FooterChar">
    <w:name w:val="Footer Char"/>
    <w:basedOn w:val="DefaultParagraphFont"/>
    <w:link w:val="Footer"/>
    <w:rsid w:val="00C032BD"/>
    <w:rPr>
      <w:noProof/>
      <w:sz w:val="18"/>
      <w:lang w:val="fr-FR" w:eastAsia="en-US"/>
    </w:rPr>
  </w:style>
  <w:style w:type="character" w:styleId="Hyperlink">
    <w:name w:val="Hyperlink"/>
    <w:basedOn w:val="DefaultParagraphFont"/>
    <w:rsid w:val="00C032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1</Pages>
  <Words>1658</Words>
  <Characters>10118</Characters>
  <Application>Microsoft Office Word</Application>
  <DocSecurity>0</DocSecurity>
  <Lines>421</Lines>
  <Paragraphs>69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17</cp:revision>
  <cp:lastPrinted>2015-02-19T10:11:00Z</cp:lastPrinted>
  <dcterms:created xsi:type="dcterms:W3CDTF">2015-01-26T10:31:00Z</dcterms:created>
  <dcterms:modified xsi:type="dcterms:W3CDTF">2015-02-19T10:11:00Z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