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A23A72" w:rsidRDefault="00B1717A" w:rsidP="00B1717A">
      <w:pPr>
        <w:rPr>
          <w:lang w:val="es-ES_tradnl"/>
        </w:rPr>
      </w:pPr>
      <w:bookmarkStart w:id="0" w:name="dbreak"/>
      <w:bookmarkStart w:id="1" w:name="_GoBack"/>
      <w:bookmarkEnd w:id="0"/>
      <w:bookmarkEnd w:id="1"/>
    </w:p>
    <w:p w:rsidR="00B1717A" w:rsidRPr="00A23A72" w:rsidRDefault="00B1717A" w:rsidP="00B1717A">
      <w:pPr>
        <w:rPr>
          <w:lang w:val="es-ES_tradnl"/>
        </w:rPr>
      </w:pPr>
    </w:p>
    <w:p w:rsidR="00B1717A" w:rsidRPr="00A23A72" w:rsidRDefault="00B1717A" w:rsidP="00B1717A">
      <w:pPr>
        <w:rPr>
          <w:lang w:val="es-ES_tradnl"/>
        </w:rPr>
      </w:pPr>
    </w:p>
    <w:p w:rsidR="00B1717A" w:rsidRPr="00A23A72" w:rsidRDefault="00B1717A" w:rsidP="00B1717A">
      <w:pPr>
        <w:rPr>
          <w:lang w:val="es-ES_tradnl"/>
        </w:rPr>
      </w:pPr>
    </w:p>
    <w:p w:rsidR="00B1717A" w:rsidRPr="00A23A72" w:rsidRDefault="00B1717A" w:rsidP="00B1717A">
      <w:pPr>
        <w:rPr>
          <w:lang w:val="es-ES_tradnl"/>
        </w:rPr>
      </w:pPr>
    </w:p>
    <w:p w:rsidR="00B1717A" w:rsidRPr="00A23A72" w:rsidRDefault="00B1717A" w:rsidP="00B1717A">
      <w:pPr>
        <w:rPr>
          <w:lang w:val="es-ES_tradnl"/>
        </w:rPr>
      </w:pPr>
    </w:p>
    <w:p w:rsidR="00B1717A" w:rsidRPr="00A23A72" w:rsidRDefault="00B1717A" w:rsidP="00B1717A">
      <w:pPr>
        <w:rPr>
          <w:lang w:val="es-ES_tradnl"/>
        </w:rPr>
      </w:pPr>
    </w:p>
    <w:p w:rsidR="00B1717A" w:rsidRPr="00A23A72" w:rsidRDefault="00B1717A" w:rsidP="00B1717A">
      <w:pPr>
        <w:rPr>
          <w:lang w:val="es-ES_tradnl"/>
        </w:rPr>
      </w:pPr>
    </w:p>
    <w:p w:rsidR="00B1717A" w:rsidRPr="00A23A72" w:rsidRDefault="00B1717A" w:rsidP="00B1717A">
      <w:pPr>
        <w:rPr>
          <w:lang w:val="es-ES_tradnl"/>
        </w:rPr>
      </w:pPr>
    </w:p>
    <w:p w:rsidR="00B1717A" w:rsidRPr="00A23A72" w:rsidRDefault="00B1717A" w:rsidP="00B1717A">
      <w:pPr>
        <w:rPr>
          <w:lang w:val="es-ES_tradnl"/>
        </w:rPr>
      </w:pPr>
    </w:p>
    <w:p w:rsidR="00B1717A" w:rsidRPr="00A23A72" w:rsidRDefault="00B1717A" w:rsidP="00B1717A">
      <w:pPr>
        <w:rPr>
          <w:lang w:val="es-ES_tradnl"/>
        </w:rPr>
      </w:pPr>
    </w:p>
    <w:p w:rsidR="00B1717A" w:rsidRPr="00A23A72" w:rsidRDefault="00B1717A" w:rsidP="00B1717A">
      <w:pPr>
        <w:rPr>
          <w:lang w:val="es-ES_tradnl"/>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A23A72" w:rsidTr="00D62884">
        <w:tc>
          <w:tcPr>
            <w:tcW w:w="10089" w:type="dxa"/>
          </w:tcPr>
          <w:p w:rsidR="00B1717A" w:rsidRPr="00A23A72" w:rsidRDefault="00B1717A" w:rsidP="00D62884">
            <w:pPr>
              <w:spacing w:before="380" w:line="280" w:lineRule="exact"/>
              <w:jc w:val="right"/>
              <w:rPr>
                <w:rFonts w:ascii="Tahoma" w:hAnsi="Tahoma" w:cs="Tahoma"/>
                <w:b/>
                <w:bCs/>
                <w:iCs/>
                <w:color w:val="243285"/>
                <w:sz w:val="32"/>
                <w:szCs w:val="32"/>
                <w:lang w:val="es-ES_tradnl"/>
              </w:rPr>
            </w:pPr>
          </w:p>
          <w:p w:rsidR="00B1717A" w:rsidRPr="00A23A72" w:rsidRDefault="00B1717A" w:rsidP="00847DD5">
            <w:pPr>
              <w:spacing w:before="380" w:line="280" w:lineRule="exact"/>
              <w:jc w:val="right"/>
              <w:rPr>
                <w:rFonts w:ascii="Tahoma" w:hAnsi="Tahoma" w:cs="Tahoma"/>
                <w:b/>
                <w:bCs/>
                <w:iCs/>
                <w:color w:val="243285"/>
                <w:sz w:val="36"/>
                <w:szCs w:val="36"/>
                <w:lang w:val="es-ES_tradnl"/>
              </w:rPr>
            </w:pPr>
            <w:r w:rsidRPr="00A23A72">
              <w:rPr>
                <w:rFonts w:ascii="Tahoma" w:hAnsi="Tahoma" w:cs="Tahoma"/>
                <w:b/>
                <w:bCs/>
                <w:iCs/>
                <w:color w:val="243285"/>
                <w:sz w:val="36"/>
                <w:szCs w:val="36"/>
                <w:lang w:val="es-ES_tradnl"/>
              </w:rPr>
              <w:t xml:space="preserve">Recomendación  UIT-R  </w:t>
            </w:r>
            <w:r w:rsidR="00847DD5" w:rsidRPr="00A23A72">
              <w:rPr>
                <w:rFonts w:ascii="Tahoma" w:hAnsi="Tahoma" w:cs="Tahoma"/>
                <w:b/>
                <w:bCs/>
                <w:iCs/>
                <w:color w:val="243285"/>
                <w:sz w:val="36"/>
                <w:szCs w:val="36"/>
                <w:lang w:val="es-ES_tradnl"/>
              </w:rPr>
              <w:t>F</w:t>
            </w:r>
            <w:r w:rsidRPr="00A23A72">
              <w:rPr>
                <w:rFonts w:ascii="Tahoma" w:hAnsi="Tahoma" w:cs="Tahoma"/>
                <w:b/>
                <w:bCs/>
                <w:iCs/>
                <w:color w:val="243285"/>
                <w:sz w:val="36"/>
                <w:szCs w:val="36"/>
                <w:lang w:val="es-ES_tradnl"/>
              </w:rPr>
              <w:t>.</w:t>
            </w:r>
            <w:r w:rsidR="00911F97" w:rsidRPr="00A23A72">
              <w:rPr>
                <w:rFonts w:ascii="Tahoma" w:hAnsi="Tahoma" w:cs="Tahoma"/>
                <w:b/>
                <w:bCs/>
                <w:iCs/>
                <w:color w:val="243285"/>
                <w:sz w:val="36"/>
                <w:szCs w:val="36"/>
                <w:lang w:val="es-ES_tradnl"/>
              </w:rPr>
              <w:t>1778-1</w:t>
            </w:r>
          </w:p>
          <w:p w:rsidR="00B1717A" w:rsidRPr="00A23A72" w:rsidRDefault="00B1717A" w:rsidP="00D62884">
            <w:pPr>
              <w:spacing w:before="80" w:line="280" w:lineRule="exact"/>
              <w:jc w:val="right"/>
              <w:rPr>
                <w:rFonts w:ascii="Tahoma" w:hAnsi="Tahoma" w:cs="Tahoma"/>
                <w:b/>
                <w:bCs/>
                <w:iCs/>
                <w:color w:val="243285"/>
                <w:szCs w:val="24"/>
                <w:lang w:val="es-ES_tradnl"/>
              </w:rPr>
            </w:pPr>
            <w:r w:rsidRPr="00A23A72">
              <w:rPr>
                <w:rFonts w:ascii="Tahoma" w:hAnsi="Tahoma" w:cs="Tahoma"/>
                <w:b/>
                <w:bCs/>
                <w:iCs/>
                <w:color w:val="243285"/>
                <w:szCs w:val="24"/>
                <w:lang w:val="es-ES_tradnl"/>
              </w:rPr>
              <w:t>(</w:t>
            </w:r>
            <w:r w:rsidR="00911F97" w:rsidRPr="00A23A72">
              <w:rPr>
                <w:rFonts w:ascii="Tahoma" w:hAnsi="Tahoma" w:cs="Tahoma"/>
                <w:b/>
                <w:bCs/>
                <w:iCs/>
                <w:color w:val="243285"/>
                <w:szCs w:val="24"/>
                <w:lang w:val="es-ES_tradnl"/>
              </w:rPr>
              <w:t>02</w:t>
            </w:r>
            <w:r w:rsidRPr="00A23A72">
              <w:rPr>
                <w:rFonts w:ascii="Tahoma" w:hAnsi="Tahoma" w:cs="Tahoma"/>
                <w:b/>
                <w:bCs/>
                <w:iCs/>
                <w:color w:val="243285"/>
                <w:szCs w:val="24"/>
                <w:lang w:val="es-ES_tradnl"/>
              </w:rPr>
              <w:t>/</w:t>
            </w:r>
            <w:r w:rsidR="00911F97" w:rsidRPr="00A23A72">
              <w:rPr>
                <w:rFonts w:ascii="Tahoma" w:hAnsi="Tahoma" w:cs="Tahoma"/>
                <w:b/>
                <w:bCs/>
                <w:iCs/>
                <w:color w:val="243285"/>
                <w:szCs w:val="24"/>
                <w:lang w:val="es-ES_tradnl"/>
              </w:rPr>
              <w:t>2015</w:t>
            </w:r>
            <w:r w:rsidRPr="00A23A72">
              <w:rPr>
                <w:rFonts w:ascii="Tahoma" w:hAnsi="Tahoma" w:cs="Tahoma"/>
                <w:b/>
                <w:bCs/>
                <w:iCs/>
                <w:color w:val="243285"/>
                <w:szCs w:val="24"/>
                <w:lang w:val="es-ES_tradnl"/>
              </w:rPr>
              <w:t>)</w:t>
            </w:r>
          </w:p>
        </w:tc>
      </w:tr>
      <w:tr w:rsidR="00B1717A" w:rsidRPr="00B63481" w:rsidTr="00D62884">
        <w:tc>
          <w:tcPr>
            <w:tcW w:w="10089" w:type="dxa"/>
          </w:tcPr>
          <w:p w:rsidR="00B1717A" w:rsidRPr="00A23A72" w:rsidRDefault="00B1717A" w:rsidP="00D62884">
            <w:pPr>
              <w:spacing w:before="80" w:line="500" w:lineRule="exact"/>
              <w:jc w:val="right"/>
              <w:rPr>
                <w:rFonts w:ascii="Tahoma" w:hAnsi="Tahoma" w:cs="Tahoma"/>
                <w:b/>
                <w:bCs/>
                <w:iCs/>
                <w:color w:val="243285"/>
                <w:sz w:val="44"/>
                <w:szCs w:val="44"/>
                <w:lang w:val="es-ES_tradnl"/>
              </w:rPr>
            </w:pPr>
          </w:p>
          <w:p w:rsidR="00B1717A" w:rsidRPr="00A23A72" w:rsidRDefault="00911F97" w:rsidP="00911F97">
            <w:pPr>
              <w:spacing w:before="80" w:line="500" w:lineRule="exact"/>
              <w:jc w:val="right"/>
              <w:rPr>
                <w:rFonts w:ascii="Tahoma" w:hAnsi="Tahoma" w:cs="Tahoma"/>
                <w:b/>
                <w:bCs/>
                <w:color w:val="243285"/>
                <w:sz w:val="44"/>
                <w:szCs w:val="44"/>
                <w:lang w:val="es-ES_tradnl"/>
              </w:rPr>
            </w:pPr>
            <w:r w:rsidRPr="00A23A72">
              <w:rPr>
                <w:rFonts w:ascii="Tahoma" w:hAnsi="Tahoma" w:cs="Tahoma"/>
                <w:b/>
                <w:bCs/>
                <w:iCs/>
                <w:color w:val="243285"/>
                <w:sz w:val="44"/>
                <w:szCs w:val="44"/>
                <w:lang w:val="es-ES_tradnl"/>
              </w:rPr>
              <w:t>Requisitos de acceso de canal para sistemas adaptativos en ondas decamétricas de los servicios fijo</w:t>
            </w:r>
            <w:r w:rsidRPr="00A23A72">
              <w:rPr>
                <w:lang w:val="es-ES_tradnl"/>
              </w:rPr>
              <w:t xml:space="preserve"> </w:t>
            </w:r>
            <w:r w:rsidRPr="00A23A72">
              <w:rPr>
                <w:rFonts w:ascii="Tahoma" w:hAnsi="Tahoma" w:cs="Tahoma"/>
                <w:b/>
                <w:bCs/>
                <w:iCs/>
                <w:color w:val="243285"/>
                <w:sz w:val="44"/>
                <w:szCs w:val="44"/>
                <w:lang w:val="es-ES_tradnl"/>
              </w:rPr>
              <w:t>y móvil terrestre</w:t>
            </w:r>
          </w:p>
        </w:tc>
      </w:tr>
      <w:tr w:rsidR="00B1717A" w:rsidRPr="00A23A72" w:rsidTr="00D62884">
        <w:tc>
          <w:tcPr>
            <w:tcW w:w="10089" w:type="dxa"/>
          </w:tcPr>
          <w:p w:rsidR="00B1717A" w:rsidRPr="00A23A72" w:rsidRDefault="00B1717A" w:rsidP="00D62884">
            <w:pPr>
              <w:spacing w:before="80" w:line="280" w:lineRule="exact"/>
              <w:ind w:right="640"/>
              <w:rPr>
                <w:rFonts w:ascii="Tahoma" w:hAnsi="Tahoma" w:cs="Tahoma"/>
                <w:b/>
                <w:bCs/>
                <w:iCs/>
                <w:color w:val="243285"/>
                <w:sz w:val="32"/>
                <w:szCs w:val="32"/>
                <w:lang w:val="es-ES_tradnl"/>
              </w:rPr>
            </w:pPr>
          </w:p>
          <w:p w:rsidR="00B1717A" w:rsidRPr="00A23A72" w:rsidRDefault="00B1717A" w:rsidP="00D62884">
            <w:pPr>
              <w:spacing w:before="80" w:line="280" w:lineRule="exact"/>
              <w:ind w:right="640"/>
              <w:rPr>
                <w:rFonts w:ascii="Tahoma" w:hAnsi="Tahoma" w:cs="Tahoma"/>
                <w:b/>
                <w:bCs/>
                <w:iCs/>
                <w:color w:val="243285"/>
                <w:sz w:val="32"/>
                <w:szCs w:val="32"/>
                <w:lang w:val="es-ES_tradnl"/>
              </w:rPr>
            </w:pPr>
          </w:p>
          <w:p w:rsidR="00B1717A" w:rsidRPr="00A23A72" w:rsidRDefault="00B1717A" w:rsidP="00D62884">
            <w:pPr>
              <w:spacing w:before="80" w:after="180" w:line="360" w:lineRule="exact"/>
              <w:ind w:right="720"/>
              <w:rPr>
                <w:rFonts w:ascii="Tahoma" w:hAnsi="Tahoma" w:cs="Tahoma"/>
                <w:b/>
                <w:bCs/>
                <w:iCs/>
                <w:color w:val="243285"/>
                <w:sz w:val="36"/>
                <w:szCs w:val="36"/>
                <w:lang w:val="es-ES_tradnl"/>
              </w:rPr>
            </w:pPr>
          </w:p>
          <w:p w:rsidR="00B1717A" w:rsidRPr="00A23A72" w:rsidRDefault="00B1717A" w:rsidP="00847DD5">
            <w:pPr>
              <w:spacing w:before="80" w:after="180" w:line="360" w:lineRule="exact"/>
              <w:jc w:val="right"/>
              <w:rPr>
                <w:rFonts w:ascii="Tahoma" w:hAnsi="Tahoma" w:cs="Tahoma"/>
                <w:b/>
                <w:bCs/>
                <w:iCs/>
                <w:color w:val="243285"/>
                <w:sz w:val="36"/>
                <w:szCs w:val="36"/>
                <w:lang w:val="es-ES_tradnl"/>
              </w:rPr>
            </w:pPr>
            <w:r w:rsidRPr="00A23A72">
              <w:rPr>
                <w:rFonts w:ascii="Tahoma" w:hAnsi="Tahoma" w:cs="Tahoma"/>
                <w:b/>
                <w:bCs/>
                <w:iCs/>
                <w:color w:val="243285"/>
                <w:sz w:val="36"/>
                <w:szCs w:val="36"/>
                <w:lang w:val="es-ES_tradnl"/>
              </w:rPr>
              <w:t xml:space="preserve">Serie </w:t>
            </w:r>
            <w:r w:rsidR="00847DD5" w:rsidRPr="00A23A72">
              <w:rPr>
                <w:rFonts w:ascii="Tahoma" w:hAnsi="Tahoma" w:cs="Tahoma"/>
                <w:b/>
                <w:bCs/>
                <w:iCs/>
                <w:color w:val="243285"/>
                <w:sz w:val="36"/>
                <w:szCs w:val="36"/>
                <w:lang w:val="es-ES_tradnl"/>
              </w:rPr>
              <w:t>F</w:t>
            </w:r>
          </w:p>
          <w:p w:rsidR="00B1717A" w:rsidRPr="00A23A72" w:rsidRDefault="004532F7" w:rsidP="00D62884">
            <w:pPr>
              <w:spacing w:before="80" w:line="420" w:lineRule="exact"/>
              <w:jc w:val="right"/>
              <w:rPr>
                <w:rFonts w:ascii="Tahoma" w:hAnsi="Tahoma" w:cs="Tahoma"/>
                <w:b/>
                <w:bCs/>
                <w:iCs/>
                <w:color w:val="243285"/>
                <w:sz w:val="36"/>
                <w:szCs w:val="36"/>
                <w:lang w:val="es-ES_tradnl"/>
              </w:rPr>
            </w:pPr>
            <w:r w:rsidRPr="00A23A72">
              <w:rPr>
                <w:rFonts w:ascii="Tahoma" w:hAnsi="Tahoma" w:cs="Tahoma"/>
                <w:b/>
                <w:bCs/>
                <w:iCs/>
                <w:color w:val="243285"/>
                <w:sz w:val="36"/>
                <w:szCs w:val="36"/>
                <w:lang w:val="es-ES_tradnl"/>
              </w:rPr>
              <w:t xml:space="preserve">Servicio </w:t>
            </w:r>
            <w:r w:rsidR="00847DD5" w:rsidRPr="00A23A72">
              <w:rPr>
                <w:rFonts w:ascii="Tahoma" w:hAnsi="Tahoma" w:cs="Tahoma"/>
                <w:b/>
                <w:bCs/>
                <w:iCs/>
                <w:color w:val="243285"/>
                <w:sz w:val="36"/>
                <w:szCs w:val="36"/>
                <w:lang w:val="es-ES_tradnl"/>
              </w:rPr>
              <w:t>fijo</w:t>
            </w:r>
          </w:p>
        </w:tc>
      </w:tr>
    </w:tbl>
    <w:p w:rsidR="00B1717A" w:rsidRPr="00A23A72" w:rsidRDefault="00B1717A" w:rsidP="00B1717A">
      <w:pPr>
        <w:spacing w:before="80"/>
        <w:rPr>
          <w:i/>
          <w:sz w:val="22"/>
          <w:lang w:val="es-ES_tradnl"/>
        </w:rPr>
      </w:pPr>
    </w:p>
    <w:p w:rsidR="00B1717A" w:rsidRPr="00A23A72" w:rsidRDefault="00B1717A" w:rsidP="00B1717A">
      <w:pPr>
        <w:spacing w:before="80"/>
        <w:rPr>
          <w:i/>
          <w:sz w:val="22"/>
          <w:lang w:val="es-ES_tradnl"/>
        </w:rPr>
      </w:pPr>
    </w:p>
    <w:p w:rsidR="00B1717A" w:rsidRPr="00A23A72" w:rsidRDefault="00B1717A" w:rsidP="00B1717A">
      <w:pPr>
        <w:spacing w:before="80"/>
        <w:rPr>
          <w:i/>
          <w:sz w:val="22"/>
          <w:lang w:val="es-ES_tradnl"/>
        </w:rPr>
      </w:pPr>
    </w:p>
    <w:p w:rsidR="00B1717A" w:rsidRPr="00A23A72" w:rsidRDefault="00B1717A" w:rsidP="00B1717A">
      <w:pPr>
        <w:spacing w:before="80"/>
        <w:rPr>
          <w:i/>
          <w:sz w:val="22"/>
          <w:lang w:val="es-ES_tradnl"/>
        </w:rPr>
      </w:pPr>
    </w:p>
    <w:p w:rsidR="00B1717A" w:rsidRPr="00A23A72" w:rsidRDefault="00B1717A" w:rsidP="00B1717A">
      <w:pPr>
        <w:spacing w:before="80"/>
        <w:rPr>
          <w:i/>
          <w:sz w:val="22"/>
          <w:lang w:val="es-ES_tradnl"/>
        </w:rPr>
      </w:pPr>
    </w:p>
    <w:p w:rsidR="00B1717A" w:rsidRPr="00A23A72" w:rsidRDefault="00B1717A" w:rsidP="00B1717A">
      <w:pPr>
        <w:spacing w:before="80"/>
        <w:rPr>
          <w:i/>
          <w:sz w:val="22"/>
          <w:lang w:val="es-ES_tradnl"/>
        </w:rPr>
      </w:pPr>
    </w:p>
    <w:p w:rsidR="00B1717A" w:rsidRPr="00A23A72"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A23A72">
          <w:headerReference w:type="even" r:id="rId6"/>
          <w:headerReference w:type="default" r:id="rId7"/>
          <w:pgSz w:w="11907" w:h="16840" w:code="9"/>
          <w:pgMar w:top="1089" w:right="1089" w:bottom="284" w:left="1089" w:header="567" w:footer="284" w:gutter="0"/>
          <w:pgNumType w:start="1"/>
          <w:cols w:space="720"/>
        </w:sectPr>
      </w:pPr>
    </w:p>
    <w:p w:rsidR="00B1717A" w:rsidRPr="00A23A72"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A23A72">
        <w:rPr>
          <w:bCs/>
          <w:sz w:val="24"/>
          <w:szCs w:val="24"/>
          <w:lang w:val="es-ES_tradnl"/>
        </w:rPr>
        <w:lastRenderedPageBreak/>
        <w:t>Prólogo</w:t>
      </w:r>
    </w:p>
    <w:p w:rsidR="00B1717A" w:rsidRPr="00A23A72" w:rsidRDefault="00B1717A" w:rsidP="00B1717A">
      <w:pPr>
        <w:spacing w:before="180"/>
        <w:rPr>
          <w:sz w:val="20"/>
          <w:lang w:val="es-ES_tradnl"/>
        </w:rPr>
      </w:pPr>
      <w:r w:rsidRPr="00A23A72">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A23A72" w:rsidRDefault="00B1717A" w:rsidP="00B1717A">
      <w:pPr>
        <w:rPr>
          <w:sz w:val="20"/>
          <w:lang w:val="es-ES_tradnl"/>
        </w:rPr>
      </w:pPr>
      <w:r w:rsidRPr="00A23A72">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B1717A" w:rsidRPr="00A23A72" w:rsidRDefault="00B1717A" w:rsidP="00B1717A">
      <w:pPr>
        <w:pStyle w:val="Heading1"/>
        <w:spacing w:before="340"/>
        <w:jc w:val="center"/>
        <w:rPr>
          <w:szCs w:val="24"/>
          <w:lang w:val="es-ES_tradnl"/>
        </w:rPr>
      </w:pPr>
      <w:r w:rsidRPr="00A23A72">
        <w:rPr>
          <w:lang w:val="es-ES_tradnl"/>
        </w:rPr>
        <w:t>Política sobre Derechos de Propiedad Intelectual</w:t>
      </w:r>
      <w:r w:rsidRPr="00A23A72">
        <w:rPr>
          <w:szCs w:val="24"/>
          <w:lang w:val="es-ES_tradnl"/>
        </w:rPr>
        <w:t xml:space="preserve"> (IPR)</w:t>
      </w:r>
    </w:p>
    <w:p w:rsidR="00B1717A" w:rsidRPr="00A23A72" w:rsidRDefault="00B1717A" w:rsidP="00B1717A">
      <w:pPr>
        <w:spacing w:before="180"/>
        <w:rPr>
          <w:sz w:val="20"/>
          <w:lang w:val="es-ES_tradnl"/>
        </w:rPr>
      </w:pPr>
      <w:r w:rsidRPr="00A23A72">
        <w:rPr>
          <w:sz w:val="20"/>
          <w:lang w:val="es-ES_tradnl"/>
        </w:rPr>
        <w:t>La política del UIT</w:t>
      </w:r>
      <w:r w:rsidRPr="00A23A72">
        <w:rPr>
          <w:sz w:val="20"/>
          <w:lang w:val="es-ES_tradnl"/>
        </w:rPr>
        <w:noBreakHyphen/>
        <w:t>R sobre Derechos de Propiedad Intelectual se describe en la Política Común de Patentes UIT</w:t>
      </w:r>
      <w:r w:rsidRPr="00A23A72">
        <w:rPr>
          <w:sz w:val="20"/>
          <w:lang w:val="es-ES_tradnl"/>
        </w:rPr>
        <w:noBreakHyphen/>
        <w:t>T/UIT</w:t>
      </w:r>
      <w:r w:rsidRPr="00A23A72">
        <w:rPr>
          <w:sz w:val="20"/>
          <w:lang w:val="es-ES_tradnl"/>
        </w:rPr>
        <w:noBreakHyphen/>
        <w:t>R/ISO/CEI a la que se hace referencia en el Anexo 1 a la Resolución UIT</w:t>
      </w:r>
      <w:r w:rsidRPr="00A23A72">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A23A72">
          <w:rPr>
            <w:rStyle w:val="Hyperlink"/>
            <w:sz w:val="20"/>
            <w:lang w:val="es-ES_tradnl"/>
          </w:rPr>
          <w:t>http://www.itu.int/ITU-R/go/patents/es</w:t>
        </w:r>
      </w:hyperlink>
      <w:r w:rsidRPr="00A23A72">
        <w:rPr>
          <w:sz w:val="20"/>
          <w:lang w:val="es-ES_tradnl"/>
        </w:rPr>
        <w:t>, donde también aparecen las Directrices para la implementación de la Política Común de Patentes UIT</w:t>
      </w:r>
      <w:r w:rsidRPr="00A23A72">
        <w:rPr>
          <w:sz w:val="20"/>
          <w:lang w:val="es-ES_tradnl"/>
        </w:rPr>
        <w:noBreakHyphen/>
        <w:t>T/UIT</w:t>
      </w:r>
      <w:r w:rsidRPr="00A23A72">
        <w:rPr>
          <w:sz w:val="20"/>
          <w:lang w:val="es-ES_tradnl"/>
        </w:rPr>
        <w:noBreakHyphen/>
        <w:t>R/ISO/CEI y la base de datos sobre información de patentes del UIT</w:t>
      </w:r>
      <w:r w:rsidRPr="00A23A72">
        <w:rPr>
          <w:sz w:val="20"/>
          <w:lang w:val="es-ES_tradnl"/>
        </w:rPr>
        <w:noBreakHyphen/>
        <w:t>R sobre este asunto.</w:t>
      </w:r>
    </w:p>
    <w:p w:rsidR="00B1717A" w:rsidRPr="00A23A72" w:rsidRDefault="00B1717A" w:rsidP="00B1717A">
      <w:pPr>
        <w:spacing w:before="0"/>
        <w:jc w:val="center"/>
        <w:rPr>
          <w:sz w:val="22"/>
          <w:lang w:val="es-ES_tradnl"/>
        </w:rPr>
      </w:pPr>
    </w:p>
    <w:p w:rsidR="00B1717A" w:rsidRPr="00A23A72"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B63481" w:rsidTr="00D62884">
        <w:tc>
          <w:tcPr>
            <w:tcW w:w="9360" w:type="dxa"/>
            <w:gridSpan w:val="2"/>
          </w:tcPr>
          <w:p w:rsidR="00B1717A" w:rsidRPr="00A23A72"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A23A72">
              <w:rPr>
                <w:sz w:val="22"/>
                <w:szCs w:val="22"/>
                <w:lang w:val="es-ES_tradnl"/>
              </w:rPr>
              <w:t xml:space="preserve">Series de las Recomendaciones UIT-R </w:t>
            </w:r>
          </w:p>
          <w:p w:rsidR="00B1717A" w:rsidRPr="00A23A72"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A23A72">
              <w:rPr>
                <w:b w:val="0"/>
                <w:sz w:val="18"/>
                <w:szCs w:val="18"/>
                <w:lang w:val="es-ES_tradnl"/>
              </w:rPr>
              <w:t xml:space="preserve">(También disponible en línea en </w:t>
            </w:r>
            <w:hyperlink r:id="rId9" w:history="1">
              <w:r w:rsidRPr="00A23A72">
                <w:rPr>
                  <w:rStyle w:val="Hyperlink"/>
                  <w:b w:val="0"/>
                  <w:bCs/>
                  <w:sz w:val="18"/>
                  <w:szCs w:val="18"/>
                  <w:lang w:val="es-ES_tradnl"/>
                </w:rPr>
                <w:t>http://www.itu.int/publ/R-REC/es</w:t>
              </w:r>
            </w:hyperlink>
            <w:r w:rsidRPr="00A23A72">
              <w:rPr>
                <w:b w:val="0"/>
                <w:bCs/>
                <w:sz w:val="18"/>
                <w:szCs w:val="18"/>
                <w:lang w:val="es-ES_tradnl"/>
              </w:rPr>
              <w:t>)</w:t>
            </w:r>
          </w:p>
        </w:tc>
      </w:tr>
      <w:tr w:rsidR="00B1717A" w:rsidRPr="00A23A72" w:rsidTr="004532F7">
        <w:tc>
          <w:tcPr>
            <w:tcW w:w="1140" w:type="dxa"/>
            <w:tcBorders>
              <w:bottom w:val="nil"/>
            </w:tcBorders>
          </w:tcPr>
          <w:p w:rsidR="00B1717A" w:rsidRPr="00A23A72" w:rsidRDefault="00B1717A" w:rsidP="00D62884">
            <w:pPr>
              <w:spacing w:before="180" w:after="100"/>
              <w:ind w:left="57"/>
              <w:rPr>
                <w:b/>
                <w:bCs/>
                <w:sz w:val="20"/>
                <w:lang w:val="es-ES_tradnl"/>
              </w:rPr>
            </w:pPr>
            <w:r w:rsidRPr="00A23A72">
              <w:rPr>
                <w:b/>
                <w:bCs/>
                <w:sz w:val="20"/>
                <w:lang w:val="es-ES_tradnl"/>
              </w:rPr>
              <w:t>Series</w:t>
            </w:r>
          </w:p>
        </w:tc>
        <w:tc>
          <w:tcPr>
            <w:tcW w:w="8220" w:type="dxa"/>
            <w:tcBorders>
              <w:bottom w:val="nil"/>
            </w:tcBorders>
          </w:tcPr>
          <w:p w:rsidR="00B1717A" w:rsidRPr="00A23A72"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A23A72">
              <w:rPr>
                <w:bCs/>
                <w:sz w:val="20"/>
                <w:lang w:val="es-ES_tradnl"/>
              </w:rPr>
              <w:t>Título</w:t>
            </w:r>
          </w:p>
        </w:tc>
      </w:tr>
      <w:tr w:rsidR="00B1717A" w:rsidRPr="00A23A72" w:rsidTr="004532F7">
        <w:tc>
          <w:tcPr>
            <w:tcW w:w="1140" w:type="dxa"/>
            <w:tcBorders>
              <w:top w:val="nil"/>
              <w:bottom w:val="nil"/>
            </w:tcBorders>
            <w:shd w:val="clear" w:color="auto" w:fill="auto"/>
          </w:tcPr>
          <w:p w:rsidR="00B1717A" w:rsidRPr="00A23A72" w:rsidRDefault="00B1717A" w:rsidP="00D62884">
            <w:pPr>
              <w:spacing w:before="30" w:after="30"/>
              <w:ind w:left="57"/>
              <w:jc w:val="left"/>
              <w:rPr>
                <w:b/>
                <w:bCs/>
                <w:sz w:val="20"/>
                <w:lang w:val="es-ES_tradnl"/>
              </w:rPr>
            </w:pPr>
            <w:r w:rsidRPr="00A23A72">
              <w:rPr>
                <w:b/>
                <w:bCs/>
                <w:sz w:val="20"/>
                <w:lang w:val="es-ES_tradnl"/>
              </w:rPr>
              <w:t>BO</w:t>
            </w:r>
          </w:p>
        </w:tc>
        <w:tc>
          <w:tcPr>
            <w:tcW w:w="8220" w:type="dxa"/>
            <w:tcBorders>
              <w:top w:val="nil"/>
              <w:bottom w:val="nil"/>
            </w:tcBorders>
            <w:shd w:val="clear" w:color="auto" w:fill="auto"/>
          </w:tcPr>
          <w:p w:rsidR="00B1717A" w:rsidRPr="00A23A72"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A23A72">
              <w:rPr>
                <w:b w:val="0"/>
                <w:sz w:val="20"/>
                <w:lang w:val="es-ES_tradnl"/>
              </w:rPr>
              <w:t>Distribución por satélite</w:t>
            </w:r>
          </w:p>
        </w:tc>
      </w:tr>
      <w:tr w:rsidR="00B1717A" w:rsidRPr="00B63481" w:rsidTr="00847DD5">
        <w:tc>
          <w:tcPr>
            <w:tcW w:w="1140" w:type="dxa"/>
            <w:tcBorders>
              <w:top w:val="nil"/>
              <w:bottom w:val="nil"/>
            </w:tcBorders>
            <w:shd w:val="clear" w:color="auto" w:fill="auto"/>
          </w:tcPr>
          <w:p w:rsidR="00B1717A" w:rsidRPr="00A23A72" w:rsidRDefault="00B1717A" w:rsidP="00D62884">
            <w:pPr>
              <w:spacing w:before="30" w:after="30"/>
              <w:ind w:left="57"/>
              <w:jc w:val="left"/>
              <w:rPr>
                <w:b/>
                <w:bCs/>
                <w:sz w:val="20"/>
                <w:lang w:val="es-ES_tradnl"/>
              </w:rPr>
            </w:pPr>
            <w:r w:rsidRPr="00A23A72">
              <w:rPr>
                <w:b/>
                <w:bCs/>
                <w:sz w:val="20"/>
                <w:lang w:val="es-ES_tradnl"/>
              </w:rPr>
              <w:t>BR</w:t>
            </w:r>
          </w:p>
        </w:tc>
        <w:tc>
          <w:tcPr>
            <w:tcW w:w="8220" w:type="dxa"/>
            <w:tcBorders>
              <w:top w:val="nil"/>
              <w:bottom w:val="nil"/>
            </w:tcBorders>
            <w:shd w:val="clear" w:color="auto" w:fill="auto"/>
          </w:tcPr>
          <w:p w:rsidR="00B1717A" w:rsidRPr="00A23A72"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A23A72">
              <w:rPr>
                <w:b w:val="0"/>
                <w:sz w:val="20"/>
                <w:lang w:val="es-ES_tradnl"/>
              </w:rPr>
              <w:t>Registro para producción, archivo y reproducción; películas en televisión</w:t>
            </w:r>
          </w:p>
        </w:tc>
      </w:tr>
      <w:tr w:rsidR="00B1717A" w:rsidRPr="00A23A72" w:rsidTr="00847DD5">
        <w:tc>
          <w:tcPr>
            <w:tcW w:w="1140" w:type="dxa"/>
            <w:tcBorders>
              <w:top w:val="nil"/>
              <w:bottom w:val="nil"/>
            </w:tcBorders>
            <w:shd w:val="clear" w:color="auto" w:fill="auto"/>
          </w:tcPr>
          <w:p w:rsidR="00B1717A" w:rsidRPr="00A23A72" w:rsidRDefault="00B1717A" w:rsidP="00D62884">
            <w:pPr>
              <w:spacing w:before="30" w:after="30"/>
              <w:ind w:left="57"/>
              <w:jc w:val="left"/>
              <w:rPr>
                <w:b/>
                <w:bCs/>
                <w:sz w:val="20"/>
                <w:lang w:val="es-ES_tradnl"/>
              </w:rPr>
            </w:pPr>
            <w:r w:rsidRPr="00A23A72">
              <w:rPr>
                <w:b/>
                <w:bCs/>
                <w:sz w:val="20"/>
                <w:lang w:val="es-ES_tradnl"/>
              </w:rPr>
              <w:t>BS</w:t>
            </w:r>
          </w:p>
        </w:tc>
        <w:tc>
          <w:tcPr>
            <w:tcW w:w="8220" w:type="dxa"/>
            <w:tcBorders>
              <w:top w:val="nil"/>
              <w:bottom w:val="nil"/>
            </w:tcBorders>
            <w:shd w:val="clear" w:color="auto" w:fill="auto"/>
          </w:tcPr>
          <w:p w:rsidR="00B1717A" w:rsidRPr="00A23A72" w:rsidRDefault="00604D06"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A23A72">
              <w:rPr>
                <w:b w:val="0"/>
                <w:bCs/>
                <w:sz w:val="20"/>
                <w:lang w:val="es-ES_tradnl"/>
              </w:rPr>
              <w:t>Servicio de radiodifusión (sonora)</w:t>
            </w:r>
          </w:p>
        </w:tc>
      </w:tr>
      <w:tr w:rsidR="00B1717A" w:rsidRPr="00A23A72" w:rsidTr="00847DD5">
        <w:tc>
          <w:tcPr>
            <w:tcW w:w="1140" w:type="dxa"/>
            <w:tcBorders>
              <w:top w:val="nil"/>
              <w:bottom w:val="nil"/>
            </w:tcBorders>
            <w:shd w:val="clear" w:color="auto" w:fill="auto"/>
          </w:tcPr>
          <w:p w:rsidR="00B1717A" w:rsidRPr="00A23A72" w:rsidRDefault="00B1717A" w:rsidP="00D62884">
            <w:pPr>
              <w:spacing w:before="30" w:after="30"/>
              <w:ind w:left="57"/>
              <w:jc w:val="left"/>
              <w:rPr>
                <w:b/>
                <w:bCs/>
                <w:sz w:val="20"/>
                <w:lang w:val="es-ES_tradnl"/>
              </w:rPr>
            </w:pPr>
            <w:r w:rsidRPr="00A23A72">
              <w:rPr>
                <w:b/>
                <w:bCs/>
                <w:sz w:val="20"/>
                <w:lang w:val="es-ES_tradnl"/>
              </w:rPr>
              <w:t>BT</w:t>
            </w:r>
          </w:p>
        </w:tc>
        <w:tc>
          <w:tcPr>
            <w:tcW w:w="8220" w:type="dxa"/>
            <w:tcBorders>
              <w:top w:val="nil"/>
              <w:bottom w:val="nil"/>
            </w:tcBorders>
            <w:shd w:val="clear" w:color="auto" w:fill="auto"/>
          </w:tcPr>
          <w:p w:rsidR="00B1717A" w:rsidRPr="00A23A72"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A23A72">
              <w:rPr>
                <w:b w:val="0"/>
                <w:bCs/>
                <w:sz w:val="20"/>
                <w:lang w:val="es-ES_tradnl"/>
              </w:rPr>
              <w:t>Servicio de radiodifusión (televisión)</w:t>
            </w:r>
          </w:p>
        </w:tc>
      </w:tr>
      <w:tr w:rsidR="00B1717A" w:rsidRPr="00A23A72" w:rsidTr="00847DD5">
        <w:tc>
          <w:tcPr>
            <w:tcW w:w="1140" w:type="dxa"/>
            <w:tcBorders>
              <w:top w:val="nil"/>
              <w:bottom w:val="nil"/>
            </w:tcBorders>
            <w:shd w:val="clear" w:color="auto" w:fill="F3F3F3"/>
          </w:tcPr>
          <w:p w:rsidR="00B1717A" w:rsidRPr="00A23A72" w:rsidRDefault="00B1717A" w:rsidP="00D62884">
            <w:pPr>
              <w:spacing w:before="30" w:after="30"/>
              <w:ind w:left="57"/>
              <w:jc w:val="left"/>
              <w:rPr>
                <w:b/>
                <w:bCs/>
                <w:color w:val="000080"/>
                <w:sz w:val="20"/>
                <w:lang w:val="es-ES_tradnl"/>
              </w:rPr>
            </w:pPr>
            <w:r w:rsidRPr="00A23A72">
              <w:rPr>
                <w:b/>
                <w:bCs/>
                <w:color w:val="000080"/>
                <w:sz w:val="20"/>
                <w:lang w:val="es-ES_tradnl"/>
              </w:rPr>
              <w:t>F</w:t>
            </w:r>
          </w:p>
        </w:tc>
        <w:tc>
          <w:tcPr>
            <w:tcW w:w="8220" w:type="dxa"/>
            <w:tcBorders>
              <w:top w:val="nil"/>
              <w:bottom w:val="nil"/>
            </w:tcBorders>
            <w:shd w:val="clear" w:color="auto" w:fill="F3F3F3"/>
          </w:tcPr>
          <w:p w:rsidR="00B1717A" w:rsidRPr="00A23A72"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s-ES_tradnl"/>
              </w:rPr>
            </w:pPr>
            <w:r w:rsidRPr="00A23A72">
              <w:rPr>
                <w:b/>
                <w:bCs/>
                <w:color w:val="000080"/>
                <w:sz w:val="20"/>
                <w:lang w:val="es-ES_tradnl"/>
              </w:rPr>
              <w:t>Servicio fijo</w:t>
            </w:r>
          </w:p>
        </w:tc>
      </w:tr>
      <w:tr w:rsidR="00B1717A" w:rsidRPr="00B63481" w:rsidTr="00D62884">
        <w:tc>
          <w:tcPr>
            <w:tcW w:w="1140" w:type="dxa"/>
            <w:tcBorders>
              <w:top w:val="nil"/>
              <w:bottom w:val="nil"/>
            </w:tcBorders>
            <w:shd w:val="clear" w:color="auto" w:fill="auto"/>
          </w:tcPr>
          <w:p w:rsidR="00B1717A" w:rsidRPr="00A23A72" w:rsidRDefault="00B1717A" w:rsidP="00D62884">
            <w:pPr>
              <w:spacing w:before="30" w:after="30"/>
              <w:ind w:left="57"/>
              <w:jc w:val="left"/>
              <w:rPr>
                <w:rFonts w:hAnsi="Times New Roman Bold"/>
                <w:b/>
                <w:bCs/>
                <w:sz w:val="20"/>
                <w:lang w:val="es-ES_tradnl"/>
              </w:rPr>
            </w:pPr>
            <w:r w:rsidRPr="00A23A72">
              <w:rPr>
                <w:rFonts w:hAnsi="Times New Roman Bold"/>
                <w:b/>
                <w:bCs/>
                <w:sz w:val="20"/>
                <w:lang w:val="es-ES_tradnl"/>
              </w:rPr>
              <w:t>M</w:t>
            </w:r>
          </w:p>
        </w:tc>
        <w:tc>
          <w:tcPr>
            <w:tcW w:w="8220" w:type="dxa"/>
            <w:tcBorders>
              <w:top w:val="nil"/>
              <w:bottom w:val="nil"/>
            </w:tcBorders>
            <w:shd w:val="clear" w:color="auto" w:fill="auto"/>
          </w:tcPr>
          <w:p w:rsidR="00B1717A" w:rsidRPr="00A23A72"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A23A72">
              <w:rPr>
                <w:rFonts w:hAnsi="Times New Roman Bold"/>
                <w:b w:val="0"/>
                <w:sz w:val="20"/>
                <w:lang w:val="es-ES_tradnl"/>
              </w:rPr>
              <w:t>Servicios m</w:t>
            </w:r>
            <w:r w:rsidRPr="00A23A72">
              <w:rPr>
                <w:rFonts w:hAnsi="Times New Roman Bold"/>
                <w:b w:val="0"/>
                <w:sz w:val="20"/>
                <w:lang w:val="es-ES_tradnl"/>
              </w:rPr>
              <w:t>ó</w:t>
            </w:r>
            <w:r w:rsidRPr="00A23A72">
              <w:rPr>
                <w:rFonts w:hAnsi="Times New Roman Bold"/>
                <w:b w:val="0"/>
                <w:sz w:val="20"/>
                <w:lang w:val="es-ES_tradnl"/>
              </w:rPr>
              <w:t>viles, de radiodeterminaci</w:t>
            </w:r>
            <w:r w:rsidRPr="00A23A72">
              <w:rPr>
                <w:rFonts w:hAnsi="Times New Roman Bold"/>
                <w:b w:val="0"/>
                <w:sz w:val="20"/>
                <w:lang w:val="es-ES_tradnl"/>
              </w:rPr>
              <w:t>ó</w:t>
            </w:r>
            <w:r w:rsidRPr="00A23A72">
              <w:rPr>
                <w:rFonts w:hAnsi="Times New Roman Bold"/>
                <w:b w:val="0"/>
                <w:sz w:val="20"/>
                <w:lang w:val="es-ES_tradnl"/>
              </w:rPr>
              <w:t>n, de aficionados y otros servicios por sat</w:t>
            </w:r>
            <w:r w:rsidRPr="00A23A72">
              <w:rPr>
                <w:rFonts w:hAnsi="Times New Roman Bold"/>
                <w:b w:val="0"/>
                <w:sz w:val="20"/>
                <w:lang w:val="es-ES_tradnl"/>
              </w:rPr>
              <w:t>é</w:t>
            </w:r>
            <w:r w:rsidRPr="00A23A72">
              <w:rPr>
                <w:rFonts w:hAnsi="Times New Roman Bold"/>
                <w:b w:val="0"/>
                <w:sz w:val="20"/>
                <w:lang w:val="es-ES_tradnl"/>
              </w:rPr>
              <w:t>lite conexos</w:t>
            </w:r>
          </w:p>
        </w:tc>
      </w:tr>
      <w:tr w:rsidR="00B1717A" w:rsidRPr="00B63481" w:rsidTr="00D62884">
        <w:tc>
          <w:tcPr>
            <w:tcW w:w="1140" w:type="dxa"/>
            <w:tcBorders>
              <w:top w:val="nil"/>
            </w:tcBorders>
          </w:tcPr>
          <w:p w:rsidR="00B1717A" w:rsidRPr="00A23A72" w:rsidRDefault="00B1717A" w:rsidP="00D62884">
            <w:pPr>
              <w:spacing w:before="30" w:after="30"/>
              <w:ind w:left="57"/>
              <w:jc w:val="left"/>
              <w:rPr>
                <w:b/>
                <w:bCs/>
                <w:sz w:val="20"/>
                <w:lang w:val="es-ES_tradnl"/>
              </w:rPr>
            </w:pPr>
            <w:r w:rsidRPr="00A23A72">
              <w:rPr>
                <w:b/>
                <w:bCs/>
                <w:sz w:val="20"/>
                <w:lang w:val="es-ES_tradnl"/>
              </w:rPr>
              <w:t>P</w:t>
            </w:r>
          </w:p>
        </w:tc>
        <w:tc>
          <w:tcPr>
            <w:tcW w:w="8220" w:type="dxa"/>
            <w:tcBorders>
              <w:top w:val="nil"/>
            </w:tcBorders>
          </w:tcPr>
          <w:p w:rsidR="00B1717A" w:rsidRPr="00A23A72" w:rsidRDefault="00B1717A" w:rsidP="00D62884">
            <w:pPr>
              <w:spacing w:before="30" w:after="30"/>
              <w:jc w:val="left"/>
              <w:rPr>
                <w:bCs/>
                <w:sz w:val="20"/>
                <w:lang w:val="es-ES_tradnl"/>
              </w:rPr>
            </w:pPr>
            <w:r w:rsidRPr="00A23A72">
              <w:rPr>
                <w:bCs/>
                <w:sz w:val="20"/>
                <w:lang w:val="es-ES_tradnl"/>
              </w:rPr>
              <w:t>Propagación de las ondas radioeléctricas</w:t>
            </w:r>
          </w:p>
        </w:tc>
      </w:tr>
      <w:tr w:rsidR="00B1717A" w:rsidRPr="00A23A72" w:rsidTr="00D62884">
        <w:tc>
          <w:tcPr>
            <w:tcW w:w="1140" w:type="dxa"/>
          </w:tcPr>
          <w:p w:rsidR="00B1717A" w:rsidRPr="00A23A72" w:rsidRDefault="00B1717A" w:rsidP="00D62884">
            <w:pPr>
              <w:spacing w:before="30" w:after="30"/>
              <w:ind w:left="57"/>
              <w:jc w:val="left"/>
              <w:rPr>
                <w:b/>
                <w:bCs/>
                <w:sz w:val="20"/>
                <w:lang w:val="es-ES_tradnl"/>
              </w:rPr>
            </w:pPr>
            <w:r w:rsidRPr="00A23A72">
              <w:rPr>
                <w:b/>
                <w:bCs/>
                <w:sz w:val="20"/>
                <w:lang w:val="es-ES_tradnl"/>
              </w:rPr>
              <w:t>RA</w:t>
            </w:r>
          </w:p>
        </w:tc>
        <w:tc>
          <w:tcPr>
            <w:tcW w:w="8220" w:type="dxa"/>
          </w:tcPr>
          <w:p w:rsidR="00B1717A" w:rsidRPr="00A23A72" w:rsidRDefault="004D0BFD"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A23A72">
              <w:rPr>
                <w:bCs/>
                <w:sz w:val="20"/>
                <w:lang w:val="es-ES_tradnl"/>
              </w:rPr>
              <w:t>Radio</w:t>
            </w:r>
            <w:r w:rsidR="00B1717A" w:rsidRPr="00A23A72">
              <w:rPr>
                <w:bCs/>
                <w:sz w:val="20"/>
                <w:lang w:val="es-ES_tradnl"/>
              </w:rPr>
              <w:t>astronomía</w:t>
            </w:r>
          </w:p>
        </w:tc>
      </w:tr>
      <w:tr w:rsidR="00B1717A" w:rsidRPr="00B63481" w:rsidTr="00D62884">
        <w:tc>
          <w:tcPr>
            <w:tcW w:w="1140" w:type="dxa"/>
          </w:tcPr>
          <w:p w:rsidR="00B1717A" w:rsidRPr="00A23A72" w:rsidRDefault="00B1717A" w:rsidP="00D62884">
            <w:pPr>
              <w:spacing w:before="30" w:after="30"/>
              <w:ind w:left="57"/>
              <w:jc w:val="left"/>
              <w:rPr>
                <w:b/>
                <w:bCs/>
                <w:sz w:val="20"/>
                <w:lang w:val="es-ES_tradnl"/>
              </w:rPr>
            </w:pPr>
            <w:r w:rsidRPr="00A23A72">
              <w:rPr>
                <w:b/>
                <w:bCs/>
                <w:sz w:val="20"/>
                <w:lang w:val="es-ES_tradnl"/>
              </w:rPr>
              <w:t>RS</w:t>
            </w:r>
          </w:p>
        </w:tc>
        <w:tc>
          <w:tcPr>
            <w:tcW w:w="8220" w:type="dxa"/>
          </w:tcPr>
          <w:p w:rsidR="00B1717A" w:rsidRPr="00A23A72"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A23A72">
              <w:rPr>
                <w:bCs/>
                <w:sz w:val="20"/>
                <w:lang w:val="es-ES_tradnl"/>
              </w:rPr>
              <w:t>Sistemas de detección a distancia</w:t>
            </w:r>
          </w:p>
        </w:tc>
      </w:tr>
      <w:tr w:rsidR="00B1717A" w:rsidRPr="00A23A72" w:rsidTr="00D62884">
        <w:tc>
          <w:tcPr>
            <w:tcW w:w="1140" w:type="dxa"/>
          </w:tcPr>
          <w:p w:rsidR="00B1717A" w:rsidRPr="00A23A72" w:rsidRDefault="00B1717A" w:rsidP="00D62884">
            <w:pPr>
              <w:spacing w:before="30" w:after="30"/>
              <w:ind w:left="57"/>
              <w:jc w:val="left"/>
              <w:rPr>
                <w:b/>
                <w:bCs/>
                <w:sz w:val="20"/>
                <w:lang w:val="es-ES_tradnl"/>
              </w:rPr>
            </w:pPr>
            <w:r w:rsidRPr="00A23A72">
              <w:rPr>
                <w:b/>
                <w:bCs/>
                <w:sz w:val="20"/>
                <w:lang w:val="es-ES_tradnl"/>
              </w:rPr>
              <w:t>S</w:t>
            </w:r>
          </w:p>
        </w:tc>
        <w:tc>
          <w:tcPr>
            <w:tcW w:w="8220" w:type="dxa"/>
          </w:tcPr>
          <w:p w:rsidR="00B1717A" w:rsidRPr="00A23A72" w:rsidRDefault="00B1717A" w:rsidP="00D62884">
            <w:pPr>
              <w:spacing w:before="30" w:after="30"/>
              <w:jc w:val="left"/>
              <w:rPr>
                <w:bCs/>
                <w:sz w:val="20"/>
                <w:lang w:val="es-ES_tradnl"/>
              </w:rPr>
            </w:pPr>
            <w:r w:rsidRPr="00A23A72">
              <w:rPr>
                <w:bCs/>
                <w:sz w:val="20"/>
                <w:lang w:val="es-ES_tradnl"/>
              </w:rPr>
              <w:t>Servicio fijo por satélite</w:t>
            </w:r>
          </w:p>
        </w:tc>
      </w:tr>
      <w:tr w:rsidR="00B1717A" w:rsidRPr="00A23A72" w:rsidTr="00D62884">
        <w:tc>
          <w:tcPr>
            <w:tcW w:w="1140" w:type="dxa"/>
          </w:tcPr>
          <w:p w:rsidR="00B1717A" w:rsidRPr="00A23A72" w:rsidRDefault="00B1717A" w:rsidP="00D62884">
            <w:pPr>
              <w:spacing w:before="30" w:after="30"/>
              <w:ind w:left="57"/>
              <w:jc w:val="left"/>
              <w:rPr>
                <w:b/>
                <w:bCs/>
                <w:sz w:val="20"/>
                <w:lang w:val="es-ES_tradnl"/>
              </w:rPr>
            </w:pPr>
            <w:r w:rsidRPr="00A23A72">
              <w:rPr>
                <w:b/>
                <w:bCs/>
                <w:sz w:val="20"/>
                <w:lang w:val="es-ES_tradnl"/>
              </w:rPr>
              <w:t>SA</w:t>
            </w:r>
          </w:p>
        </w:tc>
        <w:tc>
          <w:tcPr>
            <w:tcW w:w="8220" w:type="dxa"/>
          </w:tcPr>
          <w:p w:rsidR="00B1717A" w:rsidRPr="00A23A72" w:rsidRDefault="00B1717A" w:rsidP="00D62884">
            <w:pPr>
              <w:spacing w:before="30" w:after="30"/>
              <w:jc w:val="left"/>
              <w:rPr>
                <w:bCs/>
                <w:sz w:val="20"/>
                <w:lang w:val="es-ES_tradnl"/>
              </w:rPr>
            </w:pPr>
            <w:r w:rsidRPr="00A23A72">
              <w:rPr>
                <w:bCs/>
                <w:sz w:val="20"/>
                <w:lang w:val="es-ES_tradnl"/>
              </w:rPr>
              <w:t>Aplicaciones espaciales y meteorología</w:t>
            </w:r>
          </w:p>
        </w:tc>
      </w:tr>
      <w:tr w:rsidR="00B1717A" w:rsidRPr="00B63481" w:rsidTr="00D62884">
        <w:tc>
          <w:tcPr>
            <w:tcW w:w="1140" w:type="dxa"/>
          </w:tcPr>
          <w:p w:rsidR="00B1717A" w:rsidRPr="00A23A72" w:rsidRDefault="00B1717A" w:rsidP="00D62884">
            <w:pPr>
              <w:spacing w:before="30" w:after="30"/>
              <w:ind w:left="57"/>
              <w:jc w:val="left"/>
              <w:rPr>
                <w:b/>
                <w:bCs/>
                <w:sz w:val="20"/>
                <w:lang w:val="es-ES_tradnl"/>
              </w:rPr>
            </w:pPr>
            <w:r w:rsidRPr="00A23A72">
              <w:rPr>
                <w:b/>
                <w:bCs/>
                <w:sz w:val="20"/>
                <w:lang w:val="es-ES_tradnl"/>
              </w:rPr>
              <w:t>SF</w:t>
            </w:r>
          </w:p>
        </w:tc>
        <w:tc>
          <w:tcPr>
            <w:tcW w:w="8220" w:type="dxa"/>
          </w:tcPr>
          <w:p w:rsidR="00B1717A" w:rsidRPr="00A23A72" w:rsidRDefault="00B1717A" w:rsidP="00D62884">
            <w:pPr>
              <w:spacing w:before="30" w:after="30"/>
              <w:jc w:val="left"/>
              <w:rPr>
                <w:bCs/>
                <w:sz w:val="20"/>
                <w:lang w:val="es-ES_tradnl"/>
              </w:rPr>
            </w:pPr>
            <w:r w:rsidRPr="00A23A72">
              <w:rPr>
                <w:bCs/>
                <w:sz w:val="20"/>
                <w:lang w:val="es-ES_tradnl"/>
              </w:rPr>
              <w:t>Compartición de frecuencias y coordinación entre los sistemas del servicio fijo por satélite y del servicio fijo</w:t>
            </w:r>
          </w:p>
        </w:tc>
      </w:tr>
      <w:tr w:rsidR="00B1717A" w:rsidRPr="00A23A72" w:rsidTr="00D62884">
        <w:tc>
          <w:tcPr>
            <w:tcW w:w="1140" w:type="dxa"/>
            <w:shd w:val="clear" w:color="auto" w:fill="auto"/>
          </w:tcPr>
          <w:p w:rsidR="00B1717A" w:rsidRPr="00A23A72" w:rsidRDefault="00B1717A" w:rsidP="00D62884">
            <w:pPr>
              <w:spacing w:before="30" w:after="30"/>
              <w:ind w:left="57"/>
              <w:jc w:val="left"/>
              <w:rPr>
                <w:b/>
                <w:bCs/>
                <w:sz w:val="20"/>
                <w:lang w:val="es-ES_tradnl"/>
              </w:rPr>
            </w:pPr>
            <w:r w:rsidRPr="00A23A72">
              <w:rPr>
                <w:b/>
                <w:bCs/>
                <w:sz w:val="20"/>
                <w:lang w:val="es-ES_tradnl"/>
              </w:rPr>
              <w:t>SM</w:t>
            </w:r>
          </w:p>
        </w:tc>
        <w:tc>
          <w:tcPr>
            <w:tcW w:w="8220" w:type="dxa"/>
            <w:shd w:val="clear" w:color="auto" w:fill="auto"/>
          </w:tcPr>
          <w:p w:rsidR="00B1717A" w:rsidRPr="00A23A72" w:rsidRDefault="00B1717A" w:rsidP="00D62884">
            <w:pPr>
              <w:spacing w:before="30" w:after="30"/>
              <w:jc w:val="left"/>
              <w:rPr>
                <w:sz w:val="20"/>
                <w:lang w:val="es-ES_tradnl"/>
              </w:rPr>
            </w:pPr>
            <w:r w:rsidRPr="00A23A72">
              <w:rPr>
                <w:sz w:val="20"/>
                <w:lang w:val="es-ES_tradnl"/>
              </w:rPr>
              <w:t>Gestión del espectro</w:t>
            </w:r>
          </w:p>
        </w:tc>
      </w:tr>
      <w:tr w:rsidR="00B1717A" w:rsidRPr="00A23A72" w:rsidTr="00D62884">
        <w:tc>
          <w:tcPr>
            <w:tcW w:w="1140" w:type="dxa"/>
          </w:tcPr>
          <w:p w:rsidR="00B1717A" w:rsidRPr="00A23A72" w:rsidRDefault="00B1717A" w:rsidP="00D62884">
            <w:pPr>
              <w:spacing w:before="30" w:after="30"/>
              <w:ind w:left="57"/>
              <w:jc w:val="left"/>
              <w:rPr>
                <w:b/>
                <w:bCs/>
                <w:sz w:val="20"/>
                <w:lang w:val="es-ES_tradnl"/>
              </w:rPr>
            </w:pPr>
            <w:r w:rsidRPr="00A23A72">
              <w:rPr>
                <w:b/>
                <w:bCs/>
                <w:sz w:val="20"/>
                <w:lang w:val="es-ES_tradnl"/>
              </w:rPr>
              <w:t>SNG</w:t>
            </w:r>
          </w:p>
        </w:tc>
        <w:tc>
          <w:tcPr>
            <w:tcW w:w="8220" w:type="dxa"/>
          </w:tcPr>
          <w:p w:rsidR="00B1717A" w:rsidRPr="00A23A72" w:rsidRDefault="00B1717A" w:rsidP="00D62884">
            <w:pPr>
              <w:spacing w:before="30" w:after="30"/>
              <w:jc w:val="left"/>
              <w:rPr>
                <w:bCs/>
                <w:sz w:val="20"/>
                <w:lang w:val="es-ES_tradnl"/>
              </w:rPr>
            </w:pPr>
            <w:r w:rsidRPr="00A23A72">
              <w:rPr>
                <w:bCs/>
                <w:sz w:val="20"/>
                <w:lang w:val="es-ES_tradnl"/>
              </w:rPr>
              <w:t>Periodismo electrónico por satélite</w:t>
            </w:r>
          </w:p>
        </w:tc>
      </w:tr>
      <w:tr w:rsidR="00B1717A" w:rsidRPr="00B63481" w:rsidTr="00D62884">
        <w:tc>
          <w:tcPr>
            <w:tcW w:w="1140" w:type="dxa"/>
          </w:tcPr>
          <w:p w:rsidR="00B1717A" w:rsidRPr="00A23A72" w:rsidRDefault="00B1717A" w:rsidP="00D62884">
            <w:pPr>
              <w:spacing w:before="30" w:after="30"/>
              <w:ind w:left="57"/>
              <w:jc w:val="left"/>
              <w:rPr>
                <w:b/>
                <w:bCs/>
                <w:sz w:val="20"/>
                <w:lang w:val="es-ES_tradnl"/>
              </w:rPr>
            </w:pPr>
            <w:r w:rsidRPr="00A23A72">
              <w:rPr>
                <w:b/>
                <w:bCs/>
                <w:sz w:val="20"/>
                <w:lang w:val="es-ES_tradnl"/>
              </w:rPr>
              <w:t>TF</w:t>
            </w:r>
          </w:p>
        </w:tc>
        <w:tc>
          <w:tcPr>
            <w:tcW w:w="8220" w:type="dxa"/>
          </w:tcPr>
          <w:p w:rsidR="00B1717A" w:rsidRPr="00A23A72" w:rsidRDefault="00B1717A" w:rsidP="00D62884">
            <w:pPr>
              <w:spacing w:before="30" w:after="30"/>
              <w:jc w:val="left"/>
              <w:rPr>
                <w:bCs/>
                <w:sz w:val="20"/>
                <w:lang w:val="es-ES_tradnl"/>
              </w:rPr>
            </w:pPr>
            <w:r w:rsidRPr="00A23A72">
              <w:rPr>
                <w:bCs/>
                <w:sz w:val="20"/>
                <w:lang w:val="es-ES_tradnl"/>
              </w:rPr>
              <w:t>Emisiones de frecuencias patrón y señales horarias</w:t>
            </w:r>
          </w:p>
        </w:tc>
      </w:tr>
      <w:tr w:rsidR="00B1717A" w:rsidRPr="00A23A72" w:rsidTr="00D62884">
        <w:tc>
          <w:tcPr>
            <w:tcW w:w="1140" w:type="dxa"/>
          </w:tcPr>
          <w:p w:rsidR="00B1717A" w:rsidRPr="00A23A72" w:rsidRDefault="00B1717A" w:rsidP="00D62884">
            <w:pPr>
              <w:spacing w:before="30" w:after="30"/>
              <w:ind w:left="57"/>
              <w:jc w:val="left"/>
              <w:rPr>
                <w:b/>
                <w:bCs/>
                <w:sz w:val="20"/>
                <w:lang w:val="es-ES_tradnl"/>
              </w:rPr>
            </w:pPr>
            <w:r w:rsidRPr="00A23A72">
              <w:rPr>
                <w:b/>
                <w:bCs/>
                <w:sz w:val="20"/>
                <w:lang w:val="es-ES_tradnl"/>
              </w:rPr>
              <w:t>V</w:t>
            </w:r>
          </w:p>
        </w:tc>
        <w:tc>
          <w:tcPr>
            <w:tcW w:w="8220" w:type="dxa"/>
          </w:tcPr>
          <w:p w:rsidR="00B1717A" w:rsidRPr="00A23A72" w:rsidRDefault="00B1717A" w:rsidP="00D62884">
            <w:pPr>
              <w:spacing w:before="30" w:after="140"/>
              <w:jc w:val="left"/>
              <w:rPr>
                <w:bCs/>
                <w:sz w:val="20"/>
                <w:lang w:val="es-ES_tradnl"/>
              </w:rPr>
            </w:pPr>
            <w:r w:rsidRPr="00A23A72">
              <w:rPr>
                <w:bCs/>
                <w:sz w:val="20"/>
                <w:lang w:val="es-ES_tradnl"/>
              </w:rPr>
              <w:t>Vocabulario y cuestiones afines</w:t>
            </w:r>
          </w:p>
        </w:tc>
      </w:tr>
    </w:tbl>
    <w:p w:rsidR="00B1717A" w:rsidRPr="00A23A72" w:rsidRDefault="00B1717A" w:rsidP="00B1717A">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B1717A" w:rsidRPr="00A23A72" w:rsidTr="00D62884">
        <w:tc>
          <w:tcPr>
            <w:tcW w:w="720" w:type="dxa"/>
          </w:tcPr>
          <w:p w:rsidR="00B1717A" w:rsidRPr="00A23A72" w:rsidRDefault="00B1717A" w:rsidP="00D62884">
            <w:pPr>
              <w:spacing w:before="0"/>
              <w:jc w:val="center"/>
              <w:rPr>
                <w:sz w:val="22"/>
                <w:lang w:val="es-ES_tradnl"/>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B63481" w:rsidTr="00D62884">
        <w:tc>
          <w:tcPr>
            <w:tcW w:w="9360" w:type="dxa"/>
          </w:tcPr>
          <w:p w:rsidR="00B1717A" w:rsidRPr="00A23A72" w:rsidRDefault="00B1717A" w:rsidP="00A213C0">
            <w:pPr>
              <w:spacing w:before="92" w:after="92"/>
              <w:jc w:val="left"/>
              <w:rPr>
                <w:i/>
                <w:iCs/>
                <w:sz w:val="20"/>
                <w:lang w:val="es-ES_tradnl"/>
              </w:rPr>
            </w:pPr>
            <w:r w:rsidRPr="00A23A72">
              <w:rPr>
                <w:b/>
                <w:bCs/>
                <w:i/>
                <w:iCs/>
                <w:sz w:val="20"/>
                <w:lang w:val="es-ES_tradnl"/>
              </w:rPr>
              <w:t>Nota</w:t>
            </w:r>
            <w:r w:rsidRPr="00A23A72">
              <w:rPr>
                <w:i/>
                <w:iCs/>
                <w:sz w:val="20"/>
                <w:lang w:val="es-ES_tradnl"/>
              </w:rPr>
              <w:t xml:space="preserve">: Esta Recomendación UIT-R fue aprobada en inglés conforme al procedimiento detallado en la </w:t>
            </w:r>
            <w:r w:rsidRPr="00A23A72">
              <w:rPr>
                <w:i/>
                <w:iCs/>
                <w:sz w:val="20"/>
                <w:lang w:val="es-ES_tradnl"/>
              </w:rPr>
              <w:br/>
              <w:t>Resolución UIT-R 1.</w:t>
            </w:r>
          </w:p>
        </w:tc>
      </w:tr>
    </w:tbl>
    <w:p w:rsidR="00B1717A" w:rsidRPr="00A23A72" w:rsidRDefault="00B1717A" w:rsidP="00B1717A">
      <w:pPr>
        <w:spacing w:before="0"/>
        <w:jc w:val="center"/>
        <w:rPr>
          <w:sz w:val="22"/>
          <w:lang w:val="es-ES_tradnl"/>
        </w:rPr>
      </w:pPr>
    </w:p>
    <w:p w:rsidR="00B1717A" w:rsidRPr="00A23A72" w:rsidRDefault="00B1717A" w:rsidP="00B1717A">
      <w:pPr>
        <w:spacing w:before="60"/>
        <w:jc w:val="right"/>
        <w:rPr>
          <w:i/>
          <w:iCs/>
          <w:sz w:val="20"/>
          <w:lang w:val="es-ES_tradnl"/>
        </w:rPr>
      </w:pPr>
      <w:r w:rsidRPr="00A23A72">
        <w:rPr>
          <w:i/>
          <w:iCs/>
          <w:sz w:val="20"/>
          <w:lang w:val="es-ES_tradnl"/>
        </w:rPr>
        <w:t>Publicación electrónica</w:t>
      </w:r>
    </w:p>
    <w:p w:rsidR="00B1717A" w:rsidRPr="00A23A72" w:rsidRDefault="00B1717A" w:rsidP="00CA0934">
      <w:pPr>
        <w:spacing w:before="0" w:after="40"/>
        <w:jc w:val="right"/>
        <w:rPr>
          <w:sz w:val="20"/>
          <w:lang w:val="es-ES_tradnl"/>
        </w:rPr>
      </w:pPr>
      <w:r w:rsidRPr="00A23A72">
        <w:rPr>
          <w:sz w:val="20"/>
          <w:lang w:val="es-ES_tradnl"/>
        </w:rPr>
        <w:t>Ginebra, 20</w:t>
      </w:r>
      <w:r w:rsidR="00834A65" w:rsidRPr="00A23A72">
        <w:rPr>
          <w:sz w:val="20"/>
          <w:lang w:val="es-ES_tradnl"/>
        </w:rPr>
        <w:t>1</w:t>
      </w:r>
      <w:r w:rsidR="00B63481">
        <w:rPr>
          <w:sz w:val="20"/>
          <w:lang w:val="es-ES_tradnl"/>
        </w:rPr>
        <w:t>6</w:t>
      </w:r>
    </w:p>
    <w:p w:rsidR="00B1717A" w:rsidRPr="00A23A72" w:rsidRDefault="00B1717A" w:rsidP="00B1717A">
      <w:pPr>
        <w:spacing w:before="0"/>
        <w:jc w:val="center"/>
        <w:rPr>
          <w:sz w:val="22"/>
          <w:lang w:val="es-ES_tradnl"/>
        </w:rPr>
      </w:pPr>
    </w:p>
    <w:p w:rsidR="00B1717A" w:rsidRPr="00A23A72" w:rsidRDefault="00B1717A" w:rsidP="009A3628">
      <w:pPr>
        <w:spacing w:before="0"/>
        <w:jc w:val="center"/>
        <w:rPr>
          <w:sz w:val="20"/>
          <w:lang w:val="es-ES_tradnl"/>
        </w:rPr>
      </w:pPr>
      <w:r w:rsidRPr="00A23A72">
        <w:rPr>
          <w:sz w:val="20"/>
          <w:lang w:val="es-ES_tradnl"/>
        </w:rPr>
        <w:sym w:font="Symbol" w:char="F0E3"/>
      </w:r>
      <w:r w:rsidRPr="00A23A72">
        <w:rPr>
          <w:sz w:val="20"/>
          <w:lang w:val="es-ES_tradnl"/>
        </w:rPr>
        <w:t xml:space="preserve"> UIT </w:t>
      </w:r>
      <w:bookmarkStart w:id="3" w:name="iiannee"/>
      <w:bookmarkEnd w:id="3"/>
      <w:r w:rsidRPr="00A23A72">
        <w:rPr>
          <w:sz w:val="20"/>
          <w:lang w:val="es-ES_tradnl"/>
        </w:rPr>
        <w:t>20</w:t>
      </w:r>
      <w:r w:rsidR="00834A65" w:rsidRPr="00A23A72">
        <w:rPr>
          <w:sz w:val="20"/>
          <w:lang w:val="es-ES_tradnl"/>
        </w:rPr>
        <w:t>1</w:t>
      </w:r>
      <w:r w:rsidR="00B63481">
        <w:rPr>
          <w:sz w:val="20"/>
          <w:lang w:val="es-ES_tradnl"/>
        </w:rPr>
        <w:t>6</w:t>
      </w:r>
    </w:p>
    <w:p w:rsidR="00B1717A" w:rsidRPr="00A23A72" w:rsidRDefault="00B1717A" w:rsidP="00B1717A">
      <w:pPr>
        <w:spacing w:before="80"/>
        <w:rPr>
          <w:sz w:val="18"/>
          <w:szCs w:val="18"/>
          <w:lang w:val="es-ES_tradnl"/>
        </w:rPr>
      </w:pPr>
      <w:r w:rsidRPr="00A23A72">
        <w:rPr>
          <w:sz w:val="18"/>
          <w:szCs w:val="18"/>
          <w:lang w:val="es-ES_tradnl"/>
        </w:rPr>
        <w:t>Reservados todos los derechos. Ninguna parte de esta publicación puede reproducirse por ningún procedimiento sin previa autorización escrita por parte de la UIT.</w:t>
      </w:r>
    </w:p>
    <w:p w:rsidR="00B1717A" w:rsidRPr="00A23A72" w:rsidRDefault="00B1717A" w:rsidP="00B1717A">
      <w:pPr>
        <w:spacing w:before="160"/>
        <w:rPr>
          <w:i/>
          <w:sz w:val="20"/>
          <w:highlight w:val="yellow"/>
          <w:lang w:val="es-ES_tradnl"/>
        </w:rPr>
        <w:sectPr w:rsidR="00B1717A" w:rsidRPr="00A23A72"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46477D" w:rsidRPr="00A23A72" w:rsidRDefault="0046477D" w:rsidP="0046477D">
      <w:pPr>
        <w:pStyle w:val="RecNo"/>
        <w:spacing w:before="0"/>
        <w:rPr>
          <w:lang w:val="es-ES_tradnl"/>
        </w:rPr>
      </w:pPr>
      <w:bookmarkStart w:id="4" w:name="irecnoe"/>
      <w:bookmarkEnd w:id="4"/>
      <w:r w:rsidRPr="00A23A72">
        <w:rPr>
          <w:lang w:val="es-ES_tradnl"/>
        </w:rPr>
        <w:lastRenderedPageBreak/>
        <w:t xml:space="preserve">RECOMENDACIÓN  </w:t>
      </w:r>
      <w:r w:rsidRPr="00A23A72">
        <w:rPr>
          <w:rStyle w:val="href"/>
          <w:lang w:val="es-ES_tradnl"/>
        </w:rPr>
        <w:t xml:space="preserve">UIT-R  </w:t>
      </w:r>
      <w:r w:rsidR="00911F97" w:rsidRPr="00A23A72">
        <w:rPr>
          <w:rStyle w:val="href"/>
          <w:lang w:val="es-ES_tradnl"/>
        </w:rPr>
        <w:t>F</w:t>
      </w:r>
      <w:r w:rsidRPr="00A23A72">
        <w:rPr>
          <w:rStyle w:val="href"/>
          <w:lang w:val="es-ES_tradnl"/>
        </w:rPr>
        <w:t>.1778-1</w:t>
      </w:r>
    </w:p>
    <w:p w:rsidR="00A107FE" w:rsidRPr="00A23A72" w:rsidRDefault="00911F97" w:rsidP="00911F97">
      <w:pPr>
        <w:pStyle w:val="Rectitle"/>
        <w:rPr>
          <w:lang w:val="es-ES_tradnl"/>
        </w:rPr>
      </w:pPr>
      <w:r w:rsidRPr="00A23A72">
        <w:rPr>
          <w:lang w:val="es-ES_tradnl"/>
        </w:rPr>
        <w:t xml:space="preserve">Requisitos de acceso de canal para sistemas adaptativos en ondas </w:t>
      </w:r>
      <w:r w:rsidRPr="00A23A72">
        <w:rPr>
          <w:lang w:val="es-ES_tradnl"/>
        </w:rPr>
        <w:br/>
        <w:t>decamétricas de los servicios fijo y móvil terrestre</w:t>
      </w:r>
    </w:p>
    <w:p w:rsidR="00A107FE" w:rsidRPr="00A23A72" w:rsidRDefault="00A107FE" w:rsidP="00911F97">
      <w:pPr>
        <w:pStyle w:val="Recref"/>
        <w:rPr>
          <w:lang w:val="es-ES_tradnl"/>
        </w:rPr>
      </w:pPr>
      <w:bookmarkStart w:id="5" w:name="Related_Questions"/>
      <w:r w:rsidRPr="00A23A72">
        <w:rPr>
          <w:lang w:val="es-ES_tradnl"/>
        </w:rPr>
        <w:t>(</w:t>
      </w:r>
      <w:r w:rsidR="00911F97" w:rsidRPr="00A23A72">
        <w:rPr>
          <w:lang w:val="es-ES_tradnl"/>
        </w:rPr>
        <w:t>Cuestión UIT-R 246/5</w:t>
      </w:r>
      <w:r w:rsidRPr="00A23A72">
        <w:rPr>
          <w:lang w:val="es-ES_tradnl"/>
        </w:rPr>
        <w:t>)</w:t>
      </w:r>
      <w:bookmarkEnd w:id="5"/>
    </w:p>
    <w:p w:rsidR="00A107FE" w:rsidRPr="00A23A72" w:rsidRDefault="00A107FE" w:rsidP="00911F97">
      <w:pPr>
        <w:pStyle w:val="Recdate"/>
        <w:rPr>
          <w:lang w:val="es-ES_tradnl"/>
        </w:rPr>
      </w:pPr>
      <w:bookmarkStart w:id="6" w:name="Revision_history"/>
      <w:r w:rsidRPr="00A23A72">
        <w:rPr>
          <w:lang w:val="es-ES_tradnl"/>
        </w:rPr>
        <w:t>(</w:t>
      </w:r>
      <w:r w:rsidR="00911F97" w:rsidRPr="00A23A72">
        <w:rPr>
          <w:lang w:val="es-ES_tradnl"/>
        </w:rPr>
        <w:t>2007-2015</w:t>
      </w:r>
      <w:r w:rsidRPr="00A23A72">
        <w:rPr>
          <w:lang w:val="es-ES_tradnl"/>
        </w:rPr>
        <w:t>)</w:t>
      </w:r>
      <w:bookmarkEnd w:id="6"/>
    </w:p>
    <w:p w:rsidR="00A107FE" w:rsidRPr="00A23A72" w:rsidRDefault="00A107FE" w:rsidP="00A107FE">
      <w:pPr>
        <w:pStyle w:val="HeadingSum"/>
        <w:rPr>
          <w:sz w:val="22"/>
        </w:rPr>
      </w:pPr>
      <w:r w:rsidRPr="00A23A72">
        <w:rPr>
          <w:sz w:val="22"/>
        </w:rPr>
        <w:t>Cometido</w:t>
      </w:r>
    </w:p>
    <w:p w:rsidR="00A107FE" w:rsidRPr="00A23A72" w:rsidRDefault="00911F97" w:rsidP="003B0FAE">
      <w:pPr>
        <w:pStyle w:val="Summary"/>
        <w:spacing w:after="480"/>
        <w:rPr>
          <w:sz w:val="22"/>
        </w:rPr>
      </w:pPr>
      <w:r w:rsidRPr="00A23A72">
        <w:rPr>
          <w:sz w:val="22"/>
        </w:rPr>
        <w:t>Esta Recomendación describe los objetivos y técnicas de acceso de canal para sistemas adaptativos en ondas decamétricas de los servicios fijo y móvil terrestre a fin de minimizar la interferencia causada a otros sistemas.</w:t>
      </w:r>
    </w:p>
    <w:p w:rsidR="00911F97" w:rsidRPr="00A23A72" w:rsidRDefault="00911F97" w:rsidP="003B0FAE">
      <w:pPr>
        <w:pStyle w:val="Headingb"/>
        <w:rPr>
          <w:lang w:val="es-ES_tradnl" w:eastAsia="ja-JP"/>
        </w:rPr>
      </w:pPr>
      <w:r w:rsidRPr="00A23A72">
        <w:rPr>
          <w:lang w:val="es-ES_tradnl" w:eastAsia="ja-JP"/>
        </w:rPr>
        <w:t>Palabras clave</w:t>
      </w:r>
    </w:p>
    <w:p w:rsidR="00911F97" w:rsidRPr="00B63481" w:rsidRDefault="00911F97" w:rsidP="00A600AD">
      <w:pPr>
        <w:rPr>
          <w:lang w:val="es-ES_tradnl" w:eastAsia="ja-JP"/>
        </w:rPr>
      </w:pPr>
      <w:r w:rsidRPr="00B63481">
        <w:rPr>
          <w:lang w:val="es-ES_tradnl" w:eastAsia="ja-JP"/>
        </w:rPr>
        <w:t>Servicio móvil terrestre, sistemas adaptativos en ondas decamétricas, selección dinámica de frecuencias</w:t>
      </w:r>
    </w:p>
    <w:p w:rsidR="00911F97" w:rsidRPr="00A23A72" w:rsidRDefault="00911F97" w:rsidP="008F3601">
      <w:pPr>
        <w:pStyle w:val="Normalaftertitle"/>
        <w:spacing w:before="240"/>
        <w:rPr>
          <w:lang w:val="es-ES_tradnl"/>
        </w:rPr>
      </w:pPr>
      <w:r w:rsidRPr="00A23A72">
        <w:rPr>
          <w:lang w:val="es-ES_tradnl"/>
        </w:rPr>
        <w:t>La Asamblea de</w:t>
      </w:r>
      <w:r w:rsidR="003B0FAE" w:rsidRPr="00A23A72">
        <w:rPr>
          <w:lang w:val="es-ES_tradnl"/>
        </w:rPr>
        <w:t xml:space="preserve"> Radiocomunicaciones de la UIT,</w:t>
      </w:r>
    </w:p>
    <w:p w:rsidR="00911F97" w:rsidRPr="00A23A72" w:rsidRDefault="00911F97" w:rsidP="00C866B4">
      <w:pPr>
        <w:pStyle w:val="Call"/>
        <w:rPr>
          <w:lang w:val="es-ES_tradnl"/>
        </w:rPr>
      </w:pPr>
      <w:r w:rsidRPr="00A23A72">
        <w:rPr>
          <w:lang w:val="es-ES_tradnl"/>
        </w:rPr>
        <w:t>considerando</w:t>
      </w:r>
    </w:p>
    <w:p w:rsidR="00911F97" w:rsidRPr="00A23A72" w:rsidRDefault="00911F97" w:rsidP="00911F97">
      <w:pPr>
        <w:rPr>
          <w:lang w:val="es-ES_tradnl"/>
        </w:rPr>
      </w:pPr>
      <w:r w:rsidRPr="00A23A72">
        <w:rPr>
          <w:i/>
          <w:lang w:val="es-ES_tradnl"/>
        </w:rPr>
        <w:t>a)</w:t>
      </w:r>
      <w:r w:rsidRPr="00A23A72">
        <w:rPr>
          <w:lang w:val="es-ES_tradnl"/>
        </w:rPr>
        <w:tab/>
        <w:t>que los avances tecnológicos y la utilización de Internet están creando nuevas oportunidades para aplicaciones de sistemas del servicio fijo y del servicio móvil terrestre en ondas decamétricas que utilizan técnicas adaptativas en frecuencia;</w:t>
      </w:r>
    </w:p>
    <w:p w:rsidR="00911F97" w:rsidRPr="00A23A72" w:rsidRDefault="00911F97" w:rsidP="00911F97">
      <w:pPr>
        <w:rPr>
          <w:lang w:val="es-ES_tradnl"/>
        </w:rPr>
      </w:pPr>
      <w:r w:rsidRPr="00A23A72">
        <w:rPr>
          <w:i/>
          <w:lang w:val="es-ES_tradnl"/>
        </w:rPr>
        <w:t>b)</w:t>
      </w:r>
      <w:r w:rsidRPr="00A23A72">
        <w:rPr>
          <w:lang w:val="es-ES_tradnl"/>
        </w:rPr>
        <w:tab/>
        <w:t>que la eficacia en la utilización del espectro mejorará si se emplean sistemas adaptativos en frecuencia en ondas decamétricas del servicio fijo y del servicio móvil terrestre, lo cual es necesario para explotar de manera efectiva su espectro atribuido;</w:t>
      </w:r>
    </w:p>
    <w:p w:rsidR="00911F97" w:rsidRPr="00A23A72" w:rsidRDefault="00911F97" w:rsidP="00911F97">
      <w:pPr>
        <w:rPr>
          <w:lang w:val="es-ES_tradnl"/>
        </w:rPr>
      </w:pPr>
      <w:r w:rsidRPr="00A23A72">
        <w:rPr>
          <w:i/>
          <w:lang w:val="es-ES_tradnl"/>
        </w:rPr>
        <w:t>c)</w:t>
      </w:r>
      <w:r w:rsidRPr="00A23A72">
        <w:rPr>
          <w:lang w:val="es-ES_tradnl"/>
        </w:rPr>
        <w:tab/>
        <w:t>que la Recomendación UIT</w:t>
      </w:r>
      <w:r w:rsidRPr="00A23A72">
        <w:rPr>
          <w:lang w:val="es-ES_tradnl"/>
        </w:rPr>
        <w:noBreakHyphen/>
        <w:t>R F.1110 especifica las características generales de los sistemas adaptables en ondas decamétricas y reconoce específicamente que con dichos sistemas se puede proporcionar una mayor calidad de servicio, reducir los tiempos de transmisión, aumentar la eficacia en la utilización del espectro y minimizar la interferencia entre los usuarios;</w:t>
      </w:r>
    </w:p>
    <w:p w:rsidR="00911F97" w:rsidRPr="00A23A72" w:rsidRDefault="00911F97" w:rsidP="00911F97">
      <w:pPr>
        <w:rPr>
          <w:lang w:val="es-ES_tradnl"/>
        </w:rPr>
      </w:pPr>
      <w:r w:rsidRPr="00A23A72">
        <w:rPr>
          <w:i/>
          <w:lang w:val="es-ES_tradnl"/>
        </w:rPr>
        <w:t>d)</w:t>
      </w:r>
      <w:r w:rsidRPr="00A23A72">
        <w:rPr>
          <w:lang w:val="es-ES_tradnl"/>
        </w:rPr>
        <w:tab/>
        <w:t>que la Recomendación UIT</w:t>
      </w:r>
      <w:r w:rsidRPr="00A23A72">
        <w:rPr>
          <w:lang w:val="es-ES_tradnl"/>
        </w:rPr>
        <w:noBreakHyphen/>
        <w:t>R F.1611 describe la planificación de frecuencias y la explotación de sistemas adaptables en ondas decamétricas;</w:t>
      </w:r>
    </w:p>
    <w:p w:rsidR="00911F97" w:rsidRPr="00A23A72" w:rsidRDefault="00911F97" w:rsidP="00911F97">
      <w:pPr>
        <w:rPr>
          <w:lang w:val="es-ES_tradnl"/>
        </w:rPr>
      </w:pPr>
      <w:r w:rsidRPr="00A23A72">
        <w:rPr>
          <w:i/>
          <w:lang w:val="es-ES_tradnl"/>
        </w:rPr>
        <w:t>e)</w:t>
      </w:r>
      <w:r w:rsidRPr="00A23A72">
        <w:rPr>
          <w:lang w:val="es-ES_tradnl"/>
        </w:rPr>
        <w:tab/>
        <w:t>que el Manual UIT</w:t>
      </w:r>
      <w:r w:rsidRPr="00A23A72">
        <w:rPr>
          <w:lang w:val="es-ES_tradnl"/>
        </w:rPr>
        <w:noBreakHyphen/>
        <w:t>R – Sistemas y redes de comunicación adaptativos en frecuencia en las bandas de ondas hectométricas y decamétricas, proporciona directrices sobre los sistemas en ondas decamétricas adaptativos en frecuencia,</w:t>
      </w:r>
    </w:p>
    <w:p w:rsidR="00911F97" w:rsidRPr="00A23A72" w:rsidRDefault="00911F97" w:rsidP="00791E36">
      <w:pPr>
        <w:pStyle w:val="Call"/>
        <w:rPr>
          <w:lang w:val="es-ES_tradnl"/>
        </w:rPr>
      </w:pPr>
      <w:r w:rsidRPr="00A23A72">
        <w:rPr>
          <w:lang w:val="es-ES_tradnl"/>
        </w:rPr>
        <w:t>observando</w:t>
      </w:r>
    </w:p>
    <w:p w:rsidR="00911F97" w:rsidRPr="00A23A72" w:rsidRDefault="00911F97" w:rsidP="00911F97">
      <w:pPr>
        <w:rPr>
          <w:lang w:val="es-ES_tradnl"/>
        </w:rPr>
      </w:pPr>
      <w:r w:rsidRPr="00A23A72">
        <w:rPr>
          <w:lang w:val="es-ES_tradnl"/>
        </w:rPr>
        <w:t>que las administraciones pueden considerar el establecimiento de procedimientos para confirmar la posibilidad de introducir mecanismos que eviten la interferencia y funcionen correctamente en los sistemas adaptativos en ondas decamétricas,</w:t>
      </w:r>
    </w:p>
    <w:p w:rsidR="00911F97" w:rsidRPr="00A23A72" w:rsidRDefault="00911F97" w:rsidP="00791E36">
      <w:pPr>
        <w:pStyle w:val="Call"/>
        <w:rPr>
          <w:lang w:val="es-ES_tradnl"/>
        </w:rPr>
      </w:pPr>
      <w:r w:rsidRPr="00A23A72">
        <w:rPr>
          <w:lang w:val="es-ES_tradnl"/>
        </w:rPr>
        <w:t>recomienda</w:t>
      </w:r>
    </w:p>
    <w:p w:rsidR="00911F97" w:rsidRPr="00A23A72" w:rsidRDefault="00911F97" w:rsidP="00911F97">
      <w:pPr>
        <w:rPr>
          <w:lang w:val="es-ES_tradnl"/>
        </w:rPr>
      </w:pPr>
      <w:r w:rsidRPr="00A23A72">
        <w:rPr>
          <w:b/>
          <w:bCs/>
          <w:lang w:val="es-ES_tradnl"/>
        </w:rPr>
        <w:t>1</w:t>
      </w:r>
      <w:r w:rsidRPr="00A23A72">
        <w:rPr>
          <w:b/>
          <w:bCs/>
          <w:lang w:val="es-ES_tradnl"/>
        </w:rPr>
        <w:tab/>
      </w:r>
      <w:r w:rsidRPr="00A23A72">
        <w:rPr>
          <w:lang w:val="es-ES_tradnl"/>
        </w:rPr>
        <w:t>que los sistemas adaptativos en frecuencia en ondas decamétricas utilicen el mínimo número de canales de frecuencia activos (utilizados en cualquier momento) entre todo el conjunto de frecuencias disponibles a fin de limitar la posible interferencia causada a otros usuarios;</w:t>
      </w:r>
    </w:p>
    <w:p w:rsidR="00911F97" w:rsidRPr="00A23A72" w:rsidRDefault="00911F97" w:rsidP="00911F97">
      <w:pPr>
        <w:rPr>
          <w:lang w:val="es-ES_tradnl"/>
        </w:rPr>
      </w:pPr>
      <w:r w:rsidRPr="00A23A72">
        <w:rPr>
          <w:b/>
          <w:bCs/>
          <w:lang w:val="es-ES_tradnl"/>
        </w:rPr>
        <w:t>2</w:t>
      </w:r>
      <w:r w:rsidRPr="00A23A72">
        <w:rPr>
          <w:b/>
          <w:bCs/>
          <w:lang w:val="es-ES_tradnl"/>
        </w:rPr>
        <w:tab/>
      </w:r>
      <w:r w:rsidRPr="00A23A72">
        <w:rPr>
          <w:lang w:val="es-ES_tradnl"/>
        </w:rPr>
        <w:t>que, para minimizar la interferencia provocada a otros sistemas y procedente de los mismos, los sistemas adaptativos en ondas decamétricas del servicio fijo y del servicio móvil terrestre utilicen la selección dinámica de frecuencias (SDF) y procedimientos adecuados para evaluar el estado del canal antes y durante el funcionamiento, según se describe en el Anexo 1.</w:t>
      </w:r>
    </w:p>
    <w:p w:rsidR="00911F97" w:rsidRPr="00A23A72" w:rsidRDefault="00911F97" w:rsidP="00744CC5">
      <w:pPr>
        <w:pStyle w:val="AnnexNoTitle"/>
        <w:rPr>
          <w:lang w:val="es-ES_tradnl"/>
        </w:rPr>
      </w:pPr>
      <w:r w:rsidRPr="00A23A72">
        <w:rPr>
          <w:lang w:val="es-ES_tradnl"/>
        </w:rPr>
        <w:lastRenderedPageBreak/>
        <w:t>Anexo 1</w:t>
      </w:r>
      <w:r w:rsidRPr="00A23A72">
        <w:rPr>
          <w:lang w:val="es-ES_tradnl"/>
        </w:rPr>
        <w:br/>
      </w:r>
      <w:r w:rsidRPr="00A23A72">
        <w:rPr>
          <w:lang w:val="es-ES_tradnl"/>
        </w:rPr>
        <w:br/>
        <w:t>Requisitos de acceso de canal para sistemas adaptativos en ondas decamétricas</w:t>
      </w:r>
    </w:p>
    <w:p w:rsidR="00911F97" w:rsidRPr="00A23A72" w:rsidRDefault="00911F97" w:rsidP="00744CC5">
      <w:pPr>
        <w:pStyle w:val="Heading1"/>
        <w:rPr>
          <w:lang w:val="es-ES_tradnl"/>
        </w:rPr>
      </w:pPr>
      <w:r w:rsidRPr="00A23A72">
        <w:rPr>
          <w:lang w:val="es-ES_tradnl"/>
        </w:rPr>
        <w:t>1</w:t>
      </w:r>
      <w:r w:rsidRPr="00A23A72">
        <w:rPr>
          <w:lang w:val="es-ES_tradnl"/>
        </w:rPr>
        <w:tab/>
        <w:t>Introducción</w:t>
      </w:r>
    </w:p>
    <w:p w:rsidR="00911F97" w:rsidRPr="00A23A72" w:rsidRDefault="00911F97" w:rsidP="00911F97">
      <w:pPr>
        <w:rPr>
          <w:lang w:val="es-ES_tradnl"/>
        </w:rPr>
      </w:pPr>
      <w:r w:rsidRPr="00A23A72">
        <w:rPr>
          <w:lang w:val="es-ES_tradnl"/>
        </w:rPr>
        <w:t>Los sistemas adaptativos en ondas decamétricas del servicio fijo y del servicio móvil terrestre que funcionan por debajo de 30 MHz pueden interferirse mutuamente cuando funcionan con las mismas frecuencias dentro de la gama de frecuencias de otros sistemas en ondas decamétricas. Este Anexo describe los objetivos y los medios para reducir dicha interferencia.</w:t>
      </w:r>
    </w:p>
    <w:p w:rsidR="00911F97" w:rsidRPr="00A23A72" w:rsidRDefault="00911F97" w:rsidP="00463455">
      <w:pPr>
        <w:pStyle w:val="Heading2"/>
        <w:rPr>
          <w:lang w:val="es-ES_tradnl"/>
        </w:rPr>
      </w:pPr>
      <w:r w:rsidRPr="00A23A72">
        <w:rPr>
          <w:lang w:val="es-ES_tradnl"/>
        </w:rPr>
        <w:t>1.1</w:t>
      </w:r>
      <w:r w:rsidRPr="00A23A72">
        <w:rPr>
          <w:lang w:val="es-ES_tradnl"/>
        </w:rPr>
        <w:tab/>
        <w:t>Selección dinámica de frecuencias</w:t>
      </w:r>
      <w:r w:rsidR="002939D6">
        <w:rPr>
          <w:lang w:val="es-ES_tradnl"/>
        </w:rPr>
        <w:t xml:space="preserve"> (</w:t>
      </w:r>
      <w:r w:rsidR="00463455">
        <w:rPr>
          <w:lang w:val="es-ES_tradnl"/>
        </w:rPr>
        <w:t>S</w:t>
      </w:r>
      <w:r w:rsidR="002939D6">
        <w:rPr>
          <w:lang w:val="es-ES_tradnl"/>
        </w:rPr>
        <w:t>DF)</w:t>
      </w:r>
    </w:p>
    <w:p w:rsidR="00911F97" w:rsidRPr="00A23A72" w:rsidRDefault="00911F97" w:rsidP="00911F97">
      <w:pPr>
        <w:rPr>
          <w:lang w:val="es-ES_tradnl"/>
        </w:rPr>
      </w:pPr>
      <w:r w:rsidRPr="00A23A72">
        <w:rPr>
          <w:lang w:val="es-ES_tradnl"/>
        </w:rPr>
        <w:t>La tecnología moderna ofrece actualmente una solución al problema de ajustar las características de los sistemas de ondas decamétricas a la variabilidad del canal ionosférico. Los sistemas de radiocomunicaciones adaptativos funcionan analizando la calidad del enlace que evalúa el canal durante su funcionamiento y modifican la frecuencia de explotación, u otros parámetros del sistema. Aunque los sistemas con agilidad de frecuencia no agotan forzosamente el número total de frecuencias mínimo, la fiabilidad de las comunicaciones que dichos sistemas proporcionan debe traducirse en un funcionamiento más eficaz y en la reducción al mínimo del número de frecuencias utilizadas en cualquier instante. Los algoritmos de detección de la ocupación de canales tratan de evitar las situaciones en que los sistemas adaptativos puedan crear interferencias.</w:t>
      </w:r>
    </w:p>
    <w:p w:rsidR="00911F97" w:rsidRPr="00A23A72" w:rsidRDefault="00911F97" w:rsidP="00911F97">
      <w:pPr>
        <w:rPr>
          <w:lang w:val="es-ES_tradnl"/>
        </w:rPr>
      </w:pPr>
      <w:r w:rsidRPr="00A23A72">
        <w:rPr>
          <w:lang w:val="es-ES_tradnl"/>
        </w:rPr>
        <w:t xml:space="preserve">Por otra parte, la garantía de disponibilidad de circuitos cuando lo requiera el tráfico resultará en una reducción de las transmisiones sin contenido utilizadas por ciertos operadores de circuitos para conservar un canal cuando no hay tráfico activo. Las ventajas del funcionamiento del sistema adaptativo fueron reconocidas por la Conferencia Mundial de Radiocomunicaciones de 2007 mediante la </w:t>
      </w:r>
      <w:r w:rsidR="002A6BB1" w:rsidRPr="00A23A72">
        <w:rPr>
          <w:lang w:val="es-ES_tradnl"/>
        </w:rPr>
        <w:t xml:space="preserve">Resolución </w:t>
      </w:r>
      <w:r w:rsidR="002A6BB1">
        <w:rPr>
          <w:b/>
          <w:bCs/>
          <w:lang w:val="es-ES_tradnl"/>
        </w:rPr>
        <w:t>729 (Rev.</w:t>
      </w:r>
      <w:r w:rsidRPr="002A6BB1">
        <w:rPr>
          <w:b/>
          <w:bCs/>
          <w:lang w:val="es-ES_tradnl"/>
        </w:rPr>
        <w:t>CMR-07)</w:t>
      </w:r>
      <w:r w:rsidRPr="00A23A72">
        <w:rPr>
          <w:lang w:val="es-ES_tradnl"/>
        </w:rPr>
        <w:t>. En esta Resolución se recogen disposiciones que garantizan la limitación de los citados usos a las bandas correspondientes para minimizar la interferencia y para salvaguardar su utilización ininterrumpida por parte de los sistemas no adaptativos. Cuando los sistemas adaptativos alcancen una gran difusión, mejorará la utilización del espectro, lo que redundará en beneficio tanto de los usuarios de los sistemas adaptativos como de los que continúen utilizando sistemas no adaptativos.</w:t>
      </w:r>
    </w:p>
    <w:p w:rsidR="00911F97" w:rsidRPr="00A23A72" w:rsidRDefault="00911F97" w:rsidP="00BD2413">
      <w:pPr>
        <w:rPr>
          <w:lang w:val="es-ES_tradnl"/>
        </w:rPr>
      </w:pPr>
      <w:r w:rsidRPr="00A23A72">
        <w:rPr>
          <w:lang w:val="es-ES_tradnl"/>
        </w:rPr>
        <w:t>La Resolución </w:t>
      </w:r>
      <w:r w:rsidRPr="00BD2413">
        <w:rPr>
          <w:b/>
          <w:bCs/>
          <w:lang w:val="es-ES_tradnl"/>
        </w:rPr>
        <w:t>729</w:t>
      </w:r>
      <w:r w:rsidRPr="00A23A72">
        <w:rPr>
          <w:lang w:val="es-ES_tradnl"/>
        </w:rPr>
        <w:t xml:space="preserve"> (</w:t>
      </w:r>
      <w:r w:rsidR="00BD2413">
        <w:rPr>
          <w:b/>
          <w:bCs/>
          <w:lang w:val="es-ES_tradnl"/>
        </w:rPr>
        <w:t>Rev.</w:t>
      </w:r>
      <w:r w:rsidR="00BD2413" w:rsidRPr="002A6BB1">
        <w:rPr>
          <w:b/>
          <w:bCs/>
          <w:lang w:val="es-ES_tradnl"/>
        </w:rPr>
        <w:t>CMR-07</w:t>
      </w:r>
      <w:r w:rsidRPr="00A23A72">
        <w:rPr>
          <w:lang w:val="es-ES_tradnl"/>
        </w:rPr>
        <w:t>) ofrece un marco para la utilización adaptativa y la compartición entre sistemas de ondas decamétricas en las bandas de ondas hectométricas y decamétricas.</w:t>
      </w:r>
    </w:p>
    <w:p w:rsidR="00911F97" w:rsidRPr="00A23A72" w:rsidRDefault="00911F97" w:rsidP="00911F97">
      <w:pPr>
        <w:rPr>
          <w:lang w:val="es-ES_tradnl"/>
        </w:rPr>
      </w:pPr>
      <w:r w:rsidRPr="00A23A72">
        <w:rPr>
          <w:lang w:val="es-ES_tradnl"/>
        </w:rPr>
        <w:t>Se ha previsto utilizar SDF para:</w:t>
      </w:r>
    </w:p>
    <w:p w:rsidR="00911F97" w:rsidRPr="00A23A72" w:rsidRDefault="00911F97" w:rsidP="00744CC5">
      <w:pPr>
        <w:pStyle w:val="enumlev1"/>
        <w:rPr>
          <w:lang w:val="es-ES_tradnl"/>
        </w:rPr>
      </w:pPr>
      <w:r w:rsidRPr="00A23A72">
        <w:rPr>
          <w:lang w:val="es-ES_tradnl"/>
        </w:rPr>
        <w:t>–</w:t>
      </w:r>
      <w:r w:rsidRPr="00A23A72">
        <w:rPr>
          <w:lang w:val="es-ES_tradnl"/>
        </w:rPr>
        <w:tab/>
        <w:t>garantizar una distribución de la carga a lo largo del espectro disponible; y</w:t>
      </w:r>
    </w:p>
    <w:p w:rsidR="00911F97" w:rsidRPr="00A23A72" w:rsidRDefault="00911F97" w:rsidP="00744CC5">
      <w:pPr>
        <w:pStyle w:val="enumlev1"/>
        <w:rPr>
          <w:lang w:val="es-ES_tradnl"/>
        </w:rPr>
      </w:pPr>
      <w:r w:rsidRPr="00A23A72">
        <w:rPr>
          <w:lang w:val="es-ES_tradnl"/>
        </w:rPr>
        <w:t>–</w:t>
      </w:r>
      <w:r w:rsidRPr="00A23A72">
        <w:rPr>
          <w:lang w:val="es-ES_tradnl"/>
        </w:rPr>
        <w:tab/>
        <w:t>evitar el funcionamiento cocanal con otros sistemas.</w:t>
      </w:r>
    </w:p>
    <w:p w:rsidR="00911F97" w:rsidRPr="00A23A72" w:rsidRDefault="00911F97" w:rsidP="00911F97">
      <w:pPr>
        <w:rPr>
          <w:lang w:val="es-ES_tradnl"/>
        </w:rPr>
      </w:pPr>
      <w:r w:rsidRPr="00A23A72">
        <w:rPr>
          <w:lang w:val="es-ES_tradnl"/>
        </w:rPr>
        <w:t>Los sistemas adaptables en ondas decamétricas gestionan el establecimiento y el progreso de las llamadas utilizando formatos de datos digitales que incluyen las direcciones de red y de estación. Pueden reducir la interferencia causada a otros sistemas si se aplican estos procedimientos de SDF para evitar la utilización de canales ocupados. Los receptores no adaptables pueden desarrollar sistemas silenciadores inteligentes para reducir la interferencia recibida de otros sistemas adaptables cocanal.</w:t>
      </w:r>
    </w:p>
    <w:p w:rsidR="00911F97" w:rsidRPr="00A23A72" w:rsidRDefault="00911F97" w:rsidP="00744CC5">
      <w:pPr>
        <w:pStyle w:val="Heading2"/>
        <w:rPr>
          <w:lang w:val="es-ES_tradnl"/>
        </w:rPr>
      </w:pPr>
      <w:r w:rsidRPr="00A23A72">
        <w:rPr>
          <w:lang w:val="es-ES_tradnl"/>
        </w:rPr>
        <w:lastRenderedPageBreak/>
        <w:t>1.2</w:t>
      </w:r>
      <w:r w:rsidRPr="00A23A72">
        <w:rPr>
          <w:lang w:val="es-ES_tradnl"/>
        </w:rPr>
        <w:tab/>
        <w:t>Objetivos de utilización de la SDF con respecto a los sistemas adaptativos en ondas decamétricas</w:t>
      </w:r>
    </w:p>
    <w:p w:rsidR="00911F97" w:rsidRPr="00A23A72" w:rsidRDefault="00911F97" w:rsidP="00911F97">
      <w:pPr>
        <w:rPr>
          <w:lang w:val="es-ES_tradnl"/>
        </w:rPr>
      </w:pPr>
      <w:r w:rsidRPr="00A23A72">
        <w:rPr>
          <w:lang w:val="es-ES_tradnl"/>
        </w:rPr>
        <w:t>El objetivo de utilizar SDF en sistemas adaptativos en ondas decamétricas es proteger a los usuarios de estas bandas contra la interferencia mutua. Ello se logra evitando la utilización de un canal, o desocupándolo, identificado como ocupado por otros sistemas al detectar sus señales.</w:t>
      </w:r>
    </w:p>
    <w:p w:rsidR="00911F97" w:rsidRPr="00A23A72" w:rsidRDefault="00911F97" w:rsidP="00911F97">
      <w:pPr>
        <w:rPr>
          <w:lang w:val="es-ES_tradnl"/>
        </w:rPr>
      </w:pPr>
      <w:r w:rsidRPr="00A23A72">
        <w:rPr>
          <w:lang w:val="es-ES_tradnl"/>
        </w:rPr>
        <w:t>La aplicación de los mecanismos y procedimientos de detección utilizados por los sistemas adaptativos queda fuera del ámbito de esta Recomendación por las siguientes razones principales:</w:t>
      </w:r>
    </w:p>
    <w:p w:rsidR="00911F97" w:rsidRPr="00A23A72" w:rsidRDefault="00911F97" w:rsidP="00744CC5">
      <w:pPr>
        <w:pStyle w:val="enumlev1"/>
        <w:rPr>
          <w:lang w:val="es-ES_tradnl"/>
        </w:rPr>
      </w:pPr>
      <w:r w:rsidRPr="00A23A72">
        <w:rPr>
          <w:lang w:val="es-ES_tradnl"/>
        </w:rPr>
        <w:t>–</w:t>
      </w:r>
      <w:r w:rsidRPr="00A23A72">
        <w:rPr>
          <w:lang w:val="es-ES_tradnl"/>
        </w:rPr>
        <w:tab/>
        <w:t>el diseño de un sistema adaptativo afecta a su aplicación;</w:t>
      </w:r>
    </w:p>
    <w:p w:rsidR="00911F97" w:rsidRPr="00A23A72" w:rsidRDefault="00911F97" w:rsidP="00744CC5">
      <w:pPr>
        <w:pStyle w:val="enumlev1"/>
        <w:rPr>
          <w:lang w:val="es-ES_tradnl"/>
        </w:rPr>
      </w:pPr>
      <w:r w:rsidRPr="00A23A72">
        <w:rPr>
          <w:lang w:val="es-ES_tradnl"/>
        </w:rPr>
        <w:t>–</w:t>
      </w:r>
      <w:r w:rsidRPr="00A23A72">
        <w:rPr>
          <w:lang w:val="es-ES_tradnl"/>
        </w:rPr>
        <w:tab/>
        <w:t>la experiencia práctica puede favorecer la aplicación de medios innovadores y más eficaces que los utilizados hoy en día; y</w:t>
      </w:r>
    </w:p>
    <w:p w:rsidR="00911F97" w:rsidRPr="00A23A72" w:rsidRDefault="00911F97" w:rsidP="00744CC5">
      <w:pPr>
        <w:pStyle w:val="enumlev1"/>
        <w:rPr>
          <w:lang w:val="es-ES_tradnl"/>
        </w:rPr>
      </w:pPr>
      <w:r w:rsidRPr="00A23A72">
        <w:rPr>
          <w:lang w:val="es-ES_tradnl"/>
        </w:rPr>
        <w:t>–</w:t>
      </w:r>
      <w:r w:rsidRPr="00A23A72">
        <w:rPr>
          <w:lang w:val="es-ES_tradnl"/>
        </w:rPr>
        <w:tab/>
        <w:t>los fabricantes pueden elegir diferentes métodos de implantación para lograr un determinado nivel de calidad de funcionamiento; por consiguiente, en los documentos reglamentarios sólo deben aparecer los criterios de calidad de funcionamiento en vez de las especificaciones para un mecanismo en particular.</w:t>
      </w:r>
    </w:p>
    <w:p w:rsidR="00911F97" w:rsidRPr="00A23A72" w:rsidRDefault="00911F97" w:rsidP="00744CC5">
      <w:pPr>
        <w:pStyle w:val="Heading1"/>
        <w:rPr>
          <w:lang w:val="es-ES_tradnl"/>
        </w:rPr>
      </w:pPr>
      <w:r w:rsidRPr="00A23A72">
        <w:rPr>
          <w:lang w:val="es-ES_tradnl"/>
        </w:rPr>
        <w:t>2</w:t>
      </w:r>
      <w:r w:rsidRPr="00A23A72">
        <w:rPr>
          <w:lang w:val="es-ES_tradnl"/>
        </w:rPr>
        <w:tab/>
        <w:t>Requisitos de calidad de funcionamiento de la SDF</w:t>
      </w:r>
    </w:p>
    <w:p w:rsidR="00911F97" w:rsidRPr="00A23A72" w:rsidRDefault="00911F97" w:rsidP="00911F97">
      <w:pPr>
        <w:rPr>
          <w:lang w:val="es-ES_tradnl"/>
        </w:rPr>
      </w:pPr>
      <w:r w:rsidRPr="00A23A72">
        <w:rPr>
          <w:lang w:val="es-ES_tradnl"/>
        </w:rPr>
        <w:t>Los requisitos de calidad de funcionamiento de la SDF se determinan en términos de respuesta a la detección de una señal. El acceso a un canal de un sistema adaptativo en ondas decamétricas debe satisfacer los siguientes requisitos de detección y respuesta.</w:t>
      </w:r>
    </w:p>
    <w:p w:rsidR="00911F97" w:rsidRPr="00A23A72" w:rsidRDefault="00911F97" w:rsidP="00744CC5">
      <w:pPr>
        <w:pStyle w:val="Heading2"/>
        <w:rPr>
          <w:lang w:val="es-ES_tradnl"/>
        </w:rPr>
      </w:pPr>
      <w:r w:rsidRPr="00A23A72">
        <w:rPr>
          <w:lang w:val="es-ES_tradnl"/>
        </w:rPr>
        <w:t>2.1</w:t>
      </w:r>
      <w:r w:rsidRPr="00A23A72">
        <w:rPr>
          <w:lang w:val="es-ES_tradnl"/>
        </w:rPr>
        <w:tab/>
        <w:t>Requisitos de detección</w:t>
      </w:r>
    </w:p>
    <w:p w:rsidR="00911F97" w:rsidRPr="00A23A72" w:rsidRDefault="00911F97" w:rsidP="00911F97">
      <w:pPr>
        <w:rPr>
          <w:lang w:val="es-ES_tradnl"/>
        </w:rPr>
      </w:pPr>
      <w:r w:rsidRPr="00A23A72">
        <w:rPr>
          <w:lang w:val="es-ES_tradnl"/>
        </w:rPr>
        <w:t>El mecanismo de SDF debe poder detectar señales con objeto de realizar comprobaciones técnicas en servicio y verificar la disponibilidad de canal por encima de un mínimo valor umbral de detección SDF según se muestra en el Cuadro 1.</w:t>
      </w:r>
    </w:p>
    <w:p w:rsidR="00911F97" w:rsidRPr="00A23A72" w:rsidRDefault="00911F97" w:rsidP="00911F97">
      <w:pPr>
        <w:rPr>
          <w:lang w:val="es-ES_tradnl"/>
        </w:rPr>
      </w:pPr>
      <w:r w:rsidRPr="00A23A72">
        <w:rPr>
          <w:lang w:val="es-ES_tradnl"/>
        </w:rPr>
        <w:t>Los sistemas adaptativos en ondas decamétricas deben reconocer correctamente que un canal está ocupado como mínimo de manera tan fiable como la que se muestra en el Cuadro 1 durante un periodo de escucha antes de transmitir de 900 milisegundos, y no deb</w:t>
      </w:r>
      <w:r w:rsidR="00744CC5" w:rsidRPr="00A23A72">
        <w:rPr>
          <w:lang w:val="es-ES_tradnl"/>
        </w:rPr>
        <w:t>e transmitir en esa frecuencia.</w:t>
      </w:r>
    </w:p>
    <w:p w:rsidR="00911F97" w:rsidRPr="00A23A72" w:rsidRDefault="00911F97" w:rsidP="00911F97">
      <w:pPr>
        <w:pStyle w:val="TableNo"/>
        <w:rPr>
          <w:lang w:val="es-ES_tradnl"/>
        </w:rPr>
      </w:pPr>
      <w:r w:rsidRPr="00A23A72">
        <w:rPr>
          <w:lang w:val="es-ES_tradnl"/>
        </w:rPr>
        <w:lastRenderedPageBreak/>
        <w:t>CUADRO 1</w:t>
      </w:r>
    </w:p>
    <w:p w:rsidR="00911F97" w:rsidRPr="00A23A72" w:rsidRDefault="00911F97" w:rsidP="00911F97">
      <w:pPr>
        <w:pStyle w:val="Tabletitle"/>
        <w:rPr>
          <w:lang w:val="es-ES_tradnl"/>
        </w:rPr>
      </w:pPr>
      <w:r w:rsidRPr="00A23A72">
        <w:rPr>
          <w:lang w:val="es-ES_tradnl"/>
        </w:rPr>
        <w:t>Requisitos de detección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143"/>
        <w:gridCol w:w="3132"/>
        <w:gridCol w:w="3364"/>
      </w:tblGrid>
      <w:tr w:rsidR="00911F97" w:rsidRPr="00A23A72" w:rsidTr="00D42D37">
        <w:trPr>
          <w:cantSplit/>
          <w:trHeight w:val="128"/>
          <w:jc w:val="center"/>
        </w:trPr>
        <w:tc>
          <w:tcPr>
            <w:tcW w:w="2708" w:type="dxa"/>
            <w:tcBorders>
              <w:bottom w:val="single" w:sz="6" w:space="0" w:color="auto"/>
            </w:tcBorders>
            <w:shd w:val="clear" w:color="auto" w:fill="auto"/>
            <w:vAlign w:val="center"/>
          </w:tcPr>
          <w:p w:rsidR="00911F97" w:rsidRPr="00A23A72" w:rsidRDefault="00911F97" w:rsidP="00D42D37">
            <w:pPr>
              <w:pStyle w:val="Tablehead"/>
              <w:keepLines/>
              <w:rPr>
                <w:lang w:val="es-ES_tradnl"/>
              </w:rPr>
            </w:pPr>
            <w:r w:rsidRPr="00A23A72">
              <w:rPr>
                <w:lang w:val="es-ES_tradnl"/>
              </w:rPr>
              <w:t>Onda</w:t>
            </w:r>
          </w:p>
        </w:tc>
        <w:tc>
          <w:tcPr>
            <w:tcW w:w="2699" w:type="dxa"/>
            <w:tcBorders>
              <w:bottom w:val="single" w:sz="6" w:space="0" w:color="auto"/>
            </w:tcBorders>
            <w:shd w:val="clear" w:color="auto" w:fill="auto"/>
            <w:vAlign w:val="center"/>
          </w:tcPr>
          <w:p w:rsidR="00911F97" w:rsidRPr="00A23A72" w:rsidRDefault="00911F97" w:rsidP="00D42D37">
            <w:pPr>
              <w:pStyle w:val="Tablehead"/>
              <w:keepLines/>
              <w:rPr>
                <w:lang w:val="es-ES_tradnl"/>
              </w:rPr>
            </w:pPr>
            <w:r w:rsidRPr="00A23A72">
              <w:rPr>
                <w:lang w:val="es-ES_tradnl"/>
              </w:rPr>
              <w:t>SNR AWGN 3 kHz (dB)</w:t>
            </w:r>
            <w:r w:rsidRPr="00A23A72">
              <w:rPr>
                <w:vertAlign w:val="superscript"/>
                <w:lang w:val="es-ES_tradnl"/>
              </w:rPr>
              <w:t>(1)</w:t>
            </w:r>
          </w:p>
        </w:tc>
        <w:tc>
          <w:tcPr>
            <w:tcW w:w="2899" w:type="dxa"/>
            <w:tcBorders>
              <w:bottom w:val="single" w:sz="6" w:space="0" w:color="auto"/>
            </w:tcBorders>
            <w:shd w:val="clear" w:color="auto" w:fill="auto"/>
            <w:vAlign w:val="center"/>
          </w:tcPr>
          <w:p w:rsidR="00911F97" w:rsidRPr="00A23A72" w:rsidRDefault="00911F97" w:rsidP="00D42D37">
            <w:pPr>
              <w:pStyle w:val="Tablehead"/>
              <w:keepLines/>
              <w:rPr>
                <w:lang w:val="es-ES_tradnl"/>
              </w:rPr>
            </w:pPr>
            <w:r w:rsidRPr="00A23A72">
              <w:rPr>
                <w:lang w:val="es-ES_tradnl"/>
              </w:rPr>
              <w:t xml:space="preserve">Mínima probabilidad de detección </w:t>
            </w:r>
          </w:p>
        </w:tc>
      </w:tr>
      <w:tr w:rsidR="00911F97" w:rsidRPr="00A23A72" w:rsidTr="00D42D37">
        <w:trPr>
          <w:cantSplit/>
          <w:trHeight w:val="128"/>
          <w:jc w:val="center"/>
        </w:trPr>
        <w:tc>
          <w:tcPr>
            <w:tcW w:w="2708" w:type="dxa"/>
            <w:tcBorders>
              <w:bottom w:val="nil"/>
            </w:tcBorders>
            <w:vAlign w:val="center"/>
          </w:tcPr>
          <w:p w:rsidR="00911F97" w:rsidRPr="00A23A72" w:rsidRDefault="00911F97" w:rsidP="00D42D37">
            <w:pPr>
              <w:pStyle w:val="Tabletext"/>
              <w:keepNext/>
              <w:keepLines/>
              <w:jc w:val="center"/>
              <w:rPr>
                <w:lang w:val="es-ES_tradnl"/>
              </w:rPr>
            </w:pPr>
            <w:r w:rsidRPr="00A23A72">
              <w:rPr>
                <w:lang w:val="es-ES_tradnl"/>
              </w:rPr>
              <w:t xml:space="preserve">Onda 2G-ALE </w:t>
            </w:r>
            <w:r w:rsidRPr="00A23A72">
              <w:rPr>
                <w:vertAlign w:val="superscript"/>
                <w:lang w:val="es-ES_tradnl"/>
              </w:rPr>
              <w:t>(2)</w:t>
            </w:r>
          </w:p>
        </w:tc>
        <w:tc>
          <w:tcPr>
            <w:tcW w:w="2699" w:type="dxa"/>
            <w:tcBorders>
              <w:bottom w:val="nil"/>
            </w:tcBorders>
            <w:vAlign w:val="center"/>
          </w:tcPr>
          <w:p w:rsidR="00911F97" w:rsidRPr="00A23A72" w:rsidRDefault="00911F97" w:rsidP="00D42D37">
            <w:pPr>
              <w:pStyle w:val="Tabletext"/>
              <w:keepNext/>
              <w:keepLines/>
              <w:jc w:val="center"/>
              <w:rPr>
                <w:lang w:val="es-ES_tradnl"/>
              </w:rPr>
            </w:pPr>
            <w:r w:rsidRPr="00A23A72">
              <w:rPr>
                <w:lang w:val="es-ES_tradnl"/>
              </w:rPr>
              <w:t>0</w:t>
            </w:r>
          </w:p>
        </w:tc>
        <w:tc>
          <w:tcPr>
            <w:tcW w:w="2899" w:type="dxa"/>
            <w:tcBorders>
              <w:bottom w:val="nil"/>
            </w:tcBorders>
            <w:vAlign w:val="center"/>
          </w:tcPr>
          <w:p w:rsidR="00911F97" w:rsidRPr="00A23A72" w:rsidRDefault="00911F97" w:rsidP="00D42D37">
            <w:pPr>
              <w:pStyle w:val="Tabletext"/>
              <w:keepNext/>
              <w:keepLines/>
              <w:jc w:val="center"/>
              <w:rPr>
                <w:lang w:val="es-ES_tradnl"/>
              </w:rPr>
            </w:pPr>
            <w:r w:rsidRPr="00A23A72">
              <w:rPr>
                <w:lang w:val="es-ES_tradnl"/>
              </w:rPr>
              <w:t>50%</w:t>
            </w:r>
          </w:p>
        </w:tc>
      </w:tr>
      <w:tr w:rsidR="00911F97" w:rsidRPr="00A23A72" w:rsidTr="00D42D37">
        <w:trPr>
          <w:cantSplit/>
          <w:trHeight w:val="128"/>
          <w:jc w:val="center"/>
        </w:trPr>
        <w:tc>
          <w:tcPr>
            <w:tcW w:w="2708" w:type="dxa"/>
            <w:tcBorders>
              <w:top w:val="nil"/>
              <w:bottom w:val="single" w:sz="6" w:space="0" w:color="auto"/>
            </w:tcBorders>
            <w:vAlign w:val="center"/>
          </w:tcPr>
          <w:p w:rsidR="00911F97" w:rsidRPr="00A23A72" w:rsidRDefault="00911F97" w:rsidP="00D42D37">
            <w:pPr>
              <w:pStyle w:val="Tabletext"/>
              <w:keepNext/>
              <w:keepLines/>
              <w:jc w:val="center"/>
              <w:rPr>
                <w:lang w:val="es-ES_tradnl"/>
              </w:rPr>
            </w:pPr>
          </w:p>
        </w:tc>
        <w:tc>
          <w:tcPr>
            <w:tcW w:w="2699" w:type="dxa"/>
            <w:tcBorders>
              <w:top w:val="nil"/>
              <w:bottom w:val="single" w:sz="6" w:space="0" w:color="auto"/>
            </w:tcBorders>
            <w:vAlign w:val="center"/>
          </w:tcPr>
          <w:p w:rsidR="00911F97" w:rsidRPr="00A23A72" w:rsidRDefault="00911F97" w:rsidP="00D42D37">
            <w:pPr>
              <w:pStyle w:val="Tabletext"/>
              <w:keepNext/>
              <w:keepLines/>
              <w:jc w:val="center"/>
              <w:rPr>
                <w:lang w:val="es-ES_tradnl"/>
              </w:rPr>
            </w:pPr>
            <w:r w:rsidRPr="00A23A72">
              <w:rPr>
                <w:lang w:val="es-ES_tradnl"/>
              </w:rPr>
              <w:t>6</w:t>
            </w:r>
          </w:p>
        </w:tc>
        <w:tc>
          <w:tcPr>
            <w:tcW w:w="2899" w:type="dxa"/>
            <w:tcBorders>
              <w:top w:val="nil"/>
              <w:bottom w:val="single" w:sz="6" w:space="0" w:color="auto"/>
            </w:tcBorders>
            <w:vAlign w:val="center"/>
          </w:tcPr>
          <w:p w:rsidR="00911F97" w:rsidRPr="00A23A72" w:rsidRDefault="00911F97" w:rsidP="00D42D37">
            <w:pPr>
              <w:pStyle w:val="Tabletext"/>
              <w:keepNext/>
              <w:keepLines/>
              <w:jc w:val="center"/>
              <w:rPr>
                <w:lang w:val="es-ES_tradnl"/>
              </w:rPr>
            </w:pPr>
            <w:r w:rsidRPr="00A23A72">
              <w:rPr>
                <w:lang w:val="es-ES_tradnl"/>
              </w:rPr>
              <w:t>90%</w:t>
            </w:r>
          </w:p>
        </w:tc>
      </w:tr>
      <w:tr w:rsidR="00911F97" w:rsidRPr="00A23A72" w:rsidTr="00D42D37">
        <w:trPr>
          <w:cantSplit/>
          <w:trHeight w:val="128"/>
          <w:jc w:val="center"/>
        </w:trPr>
        <w:tc>
          <w:tcPr>
            <w:tcW w:w="2708" w:type="dxa"/>
            <w:tcBorders>
              <w:bottom w:val="nil"/>
            </w:tcBorders>
            <w:vAlign w:val="center"/>
          </w:tcPr>
          <w:p w:rsidR="00911F97" w:rsidRPr="00B63481" w:rsidRDefault="00911F97" w:rsidP="00D42D37">
            <w:pPr>
              <w:pStyle w:val="Tabletext"/>
              <w:keepNext/>
              <w:keepLines/>
              <w:jc w:val="center"/>
              <w:rPr>
                <w:lang w:val="en-US"/>
              </w:rPr>
            </w:pPr>
            <w:r w:rsidRPr="00B63481">
              <w:rPr>
                <w:lang w:val="en-US"/>
              </w:rPr>
              <w:t>3G-ALE Robust LSU (BW0)</w:t>
            </w:r>
            <w:r w:rsidRPr="00B63481">
              <w:rPr>
                <w:vertAlign w:val="superscript"/>
                <w:lang w:val="en-US"/>
              </w:rPr>
              <w:t>(3)</w:t>
            </w:r>
          </w:p>
        </w:tc>
        <w:tc>
          <w:tcPr>
            <w:tcW w:w="2699" w:type="dxa"/>
            <w:tcBorders>
              <w:bottom w:val="nil"/>
            </w:tcBorders>
            <w:vAlign w:val="center"/>
          </w:tcPr>
          <w:p w:rsidR="00911F97" w:rsidRPr="00A23A72" w:rsidRDefault="00911F97" w:rsidP="00D42D37">
            <w:pPr>
              <w:pStyle w:val="Tabletext"/>
              <w:keepNext/>
              <w:keepLines/>
              <w:jc w:val="center"/>
              <w:rPr>
                <w:lang w:val="es-ES_tradnl"/>
              </w:rPr>
            </w:pPr>
            <w:r w:rsidRPr="00A23A72">
              <w:rPr>
                <w:lang w:val="es-ES_tradnl"/>
              </w:rPr>
              <w:t>–9</w:t>
            </w:r>
          </w:p>
        </w:tc>
        <w:tc>
          <w:tcPr>
            <w:tcW w:w="2899" w:type="dxa"/>
            <w:tcBorders>
              <w:bottom w:val="nil"/>
            </w:tcBorders>
            <w:vAlign w:val="center"/>
          </w:tcPr>
          <w:p w:rsidR="00911F97" w:rsidRPr="00A23A72" w:rsidRDefault="00911F97" w:rsidP="00D42D37">
            <w:pPr>
              <w:pStyle w:val="Tabletext"/>
              <w:keepNext/>
              <w:keepLines/>
              <w:jc w:val="center"/>
              <w:rPr>
                <w:lang w:val="es-ES_tradnl"/>
              </w:rPr>
            </w:pPr>
            <w:r w:rsidRPr="00A23A72">
              <w:rPr>
                <w:lang w:val="es-ES_tradnl"/>
              </w:rPr>
              <w:t>50%</w:t>
            </w:r>
          </w:p>
        </w:tc>
      </w:tr>
      <w:tr w:rsidR="00911F97" w:rsidRPr="00A23A72" w:rsidTr="00D42D37">
        <w:trPr>
          <w:cantSplit/>
          <w:trHeight w:val="128"/>
          <w:jc w:val="center"/>
        </w:trPr>
        <w:tc>
          <w:tcPr>
            <w:tcW w:w="2708" w:type="dxa"/>
            <w:tcBorders>
              <w:top w:val="nil"/>
              <w:bottom w:val="single" w:sz="6" w:space="0" w:color="auto"/>
            </w:tcBorders>
            <w:vAlign w:val="center"/>
          </w:tcPr>
          <w:p w:rsidR="00911F97" w:rsidRPr="00A23A72" w:rsidRDefault="00911F97" w:rsidP="00D42D37">
            <w:pPr>
              <w:pStyle w:val="Tabletext"/>
              <w:keepNext/>
              <w:keepLines/>
              <w:jc w:val="center"/>
              <w:rPr>
                <w:lang w:val="es-ES_tradnl"/>
              </w:rPr>
            </w:pPr>
          </w:p>
        </w:tc>
        <w:tc>
          <w:tcPr>
            <w:tcW w:w="2699" w:type="dxa"/>
            <w:tcBorders>
              <w:top w:val="nil"/>
              <w:bottom w:val="single" w:sz="6" w:space="0" w:color="auto"/>
            </w:tcBorders>
            <w:vAlign w:val="center"/>
          </w:tcPr>
          <w:p w:rsidR="00911F97" w:rsidRPr="00A23A72" w:rsidRDefault="00911F97" w:rsidP="00D42D37">
            <w:pPr>
              <w:pStyle w:val="Tabletext"/>
              <w:keepNext/>
              <w:keepLines/>
              <w:jc w:val="center"/>
              <w:rPr>
                <w:lang w:val="es-ES_tradnl"/>
              </w:rPr>
            </w:pPr>
            <w:r w:rsidRPr="00A23A72">
              <w:rPr>
                <w:lang w:val="es-ES_tradnl"/>
              </w:rPr>
              <w:t>–6</w:t>
            </w:r>
          </w:p>
        </w:tc>
        <w:tc>
          <w:tcPr>
            <w:tcW w:w="2899" w:type="dxa"/>
            <w:tcBorders>
              <w:top w:val="nil"/>
              <w:bottom w:val="single" w:sz="6" w:space="0" w:color="auto"/>
            </w:tcBorders>
            <w:vAlign w:val="center"/>
          </w:tcPr>
          <w:p w:rsidR="00911F97" w:rsidRPr="00A23A72" w:rsidRDefault="00911F97" w:rsidP="00D42D37">
            <w:pPr>
              <w:pStyle w:val="Tabletext"/>
              <w:keepNext/>
              <w:keepLines/>
              <w:jc w:val="center"/>
              <w:rPr>
                <w:lang w:val="es-ES_tradnl"/>
              </w:rPr>
            </w:pPr>
            <w:r w:rsidRPr="00A23A72">
              <w:rPr>
                <w:lang w:val="es-ES_tradnl"/>
              </w:rPr>
              <w:t>95%</w:t>
            </w:r>
          </w:p>
        </w:tc>
      </w:tr>
      <w:tr w:rsidR="00911F97" w:rsidRPr="00A23A72" w:rsidTr="00D42D37">
        <w:trPr>
          <w:cantSplit/>
          <w:trHeight w:val="128"/>
          <w:jc w:val="center"/>
        </w:trPr>
        <w:tc>
          <w:tcPr>
            <w:tcW w:w="2708" w:type="dxa"/>
            <w:tcBorders>
              <w:bottom w:val="nil"/>
            </w:tcBorders>
            <w:vAlign w:val="center"/>
          </w:tcPr>
          <w:p w:rsidR="00911F97" w:rsidRPr="00A23A72" w:rsidRDefault="00911F97" w:rsidP="00D42D37">
            <w:pPr>
              <w:pStyle w:val="Tabletext"/>
              <w:keepNext/>
              <w:keepLines/>
              <w:jc w:val="center"/>
              <w:rPr>
                <w:lang w:val="es-ES_tradnl"/>
              </w:rPr>
            </w:pPr>
            <w:r w:rsidRPr="00A23A72">
              <w:rPr>
                <w:lang w:val="es-ES_tradnl"/>
              </w:rPr>
              <w:t>3G-ALE (BW2)</w:t>
            </w:r>
            <w:r w:rsidRPr="00A23A72">
              <w:rPr>
                <w:vertAlign w:val="superscript"/>
                <w:lang w:val="es-ES_tradnl"/>
              </w:rPr>
              <w:t>(3)</w:t>
            </w:r>
          </w:p>
        </w:tc>
        <w:tc>
          <w:tcPr>
            <w:tcW w:w="2699" w:type="dxa"/>
            <w:tcBorders>
              <w:bottom w:val="nil"/>
            </w:tcBorders>
            <w:vAlign w:val="center"/>
          </w:tcPr>
          <w:p w:rsidR="00911F97" w:rsidRPr="00A23A72" w:rsidRDefault="00911F97" w:rsidP="00D42D37">
            <w:pPr>
              <w:pStyle w:val="Tabletext"/>
              <w:keepNext/>
              <w:keepLines/>
              <w:jc w:val="center"/>
              <w:rPr>
                <w:lang w:val="es-ES_tradnl"/>
              </w:rPr>
            </w:pPr>
            <w:r w:rsidRPr="00A23A72">
              <w:rPr>
                <w:lang w:val="es-ES_tradnl"/>
              </w:rPr>
              <w:t>0</w:t>
            </w:r>
          </w:p>
        </w:tc>
        <w:tc>
          <w:tcPr>
            <w:tcW w:w="2899" w:type="dxa"/>
            <w:tcBorders>
              <w:bottom w:val="nil"/>
            </w:tcBorders>
            <w:vAlign w:val="center"/>
          </w:tcPr>
          <w:p w:rsidR="00911F97" w:rsidRPr="00A23A72" w:rsidRDefault="00911F97" w:rsidP="00D42D37">
            <w:pPr>
              <w:pStyle w:val="Tabletext"/>
              <w:keepNext/>
              <w:keepLines/>
              <w:jc w:val="center"/>
              <w:rPr>
                <w:lang w:val="es-ES_tradnl"/>
              </w:rPr>
            </w:pPr>
            <w:r w:rsidRPr="00A23A72">
              <w:rPr>
                <w:lang w:val="es-ES_tradnl"/>
              </w:rPr>
              <w:t>30%</w:t>
            </w:r>
          </w:p>
        </w:tc>
      </w:tr>
      <w:tr w:rsidR="00911F97" w:rsidRPr="00A23A72" w:rsidTr="00D42D37">
        <w:trPr>
          <w:cantSplit/>
          <w:trHeight w:val="128"/>
          <w:jc w:val="center"/>
        </w:trPr>
        <w:tc>
          <w:tcPr>
            <w:tcW w:w="2708" w:type="dxa"/>
            <w:tcBorders>
              <w:top w:val="nil"/>
              <w:bottom w:val="single" w:sz="6" w:space="0" w:color="auto"/>
            </w:tcBorders>
            <w:vAlign w:val="center"/>
          </w:tcPr>
          <w:p w:rsidR="00911F97" w:rsidRPr="00A23A72" w:rsidRDefault="00911F97" w:rsidP="00D42D37">
            <w:pPr>
              <w:pStyle w:val="Tabletext"/>
              <w:keepNext/>
              <w:keepLines/>
              <w:jc w:val="center"/>
              <w:rPr>
                <w:lang w:val="es-ES_tradnl"/>
              </w:rPr>
            </w:pPr>
          </w:p>
        </w:tc>
        <w:tc>
          <w:tcPr>
            <w:tcW w:w="2699" w:type="dxa"/>
            <w:tcBorders>
              <w:top w:val="nil"/>
              <w:bottom w:val="single" w:sz="6" w:space="0" w:color="auto"/>
            </w:tcBorders>
            <w:vAlign w:val="center"/>
          </w:tcPr>
          <w:p w:rsidR="00911F97" w:rsidRPr="00A23A72" w:rsidRDefault="00911F97" w:rsidP="00D42D37">
            <w:pPr>
              <w:pStyle w:val="Tabletext"/>
              <w:keepNext/>
              <w:keepLines/>
              <w:jc w:val="center"/>
              <w:rPr>
                <w:lang w:val="es-ES_tradnl"/>
              </w:rPr>
            </w:pPr>
            <w:r w:rsidRPr="00A23A72">
              <w:rPr>
                <w:lang w:val="es-ES_tradnl"/>
              </w:rPr>
              <w:t>6</w:t>
            </w:r>
          </w:p>
        </w:tc>
        <w:tc>
          <w:tcPr>
            <w:tcW w:w="2899" w:type="dxa"/>
            <w:tcBorders>
              <w:top w:val="nil"/>
              <w:bottom w:val="single" w:sz="6" w:space="0" w:color="auto"/>
            </w:tcBorders>
            <w:vAlign w:val="center"/>
          </w:tcPr>
          <w:p w:rsidR="00911F97" w:rsidRPr="00A23A72" w:rsidRDefault="00911F97" w:rsidP="00D42D37">
            <w:pPr>
              <w:pStyle w:val="Tabletext"/>
              <w:keepNext/>
              <w:keepLines/>
              <w:jc w:val="center"/>
              <w:rPr>
                <w:lang w:val="es-ES_tradnl"/>
              </w:rPr>
            </w:pPr>
            <w:r w:rsidRPr="00A23A72">
              <w:rPr>
                <w:lang w:val="es-ES_tradnl"/>
              </w:rPr>
              <w:t>70%</w:t>
            </w:r>
          </w:p>
        </w:tc>
      </w:tr>
      <w:tr w:rsidR="00911F97" w:rsidRPr="00A23A72" w:rsidTr="00D42D37">
        <w:trPr>
          <w:cantSplit/>
          <w:trHeight w:val="128"/>
          <w:jc w:val="center"/>
        </w:trPr>
        <w:tc>
          <w:tcPr>
            <w:tcW w:w="2708" w:type="dxa"/>
            <w:tcBorders>
              <w:bottom w:val="nil"/>
            </w:tcBorders>
            <w:vAlign w:val="center"/>
          </w:tcPr>
          <w:p w:rsidR="00911F97" w:rsidRPr="00A23A72" w:rsidRDefault="00911F97" w:rsidP="00D42D37">
            <w:pPr>
              <w:pStyle w:val="Tabletext"/>
              <w:keepNext/>
              <w:keepLines/>
              <w:jc w:val="center"/>
              <w:rPr>
                <w:lang w:val="es-ES_tradnl"/>
              </w:rPr>
            </w:pPr>
            <w:r w:rsidRPr="00A23A72">
              <w:rPr>
                <w:lang w:val="es-ES_tradnl"/>
              </w:rPr>
              <w:t>Voz de banda lateral única (BLU)</w:t>
            </w:r>
          </w:p>
        </w:tc>
        <w:tc>
          <w:tcPr>
            <w:tcW w:w="2699" w:type="dxa"/>
            <w:tcBorders>
              <w:bottom w:val="nil"/>
            </w:tcBorders>
            <w:vAlign w:val="center"/>
          </w:tcPr>
          <w:p w:rsidR="00911F97" w:rsidRPr="00A23A72" w:rsidRDefault="00911F97" w:rsidP="00D42D37">
            <w:pPr>
              <w:pStyle w:val="Tabletext"/>
              <w:keepNext/>
              <w:keepLines/>
              <w:jc w:val="center"/>
              <w:rPr>
                <w:lang w:val="es-ES_tradnl"/>
              </w:rPr>
            </w:pPr>
            <w:r w:rsidRPr="00A23A72">
              <w:rPr>
                <w:lang w:val="es-ES_tradnl"/>
              </w:rPr>
              <w:t>6</w:t>
            </w:r>
          </w:p>
        </w:tc>
        <w:tc>
          <w:tcPr>
            <w:tcW w:w="2899" w:type="dxa"/>
            <w:tcBorders>
              <w:bottom w:val="nil"/>
            </w:tcBorders>
            <w:vAlign w:val="center"/>
          </w:tcPr>
          <w:p w:rsidR="00911F97" w:rsidRPr="00A23A72" w:rsidRDefault="00911F97" w:rsidP="00D42D37">
            <w:pPr>
              <w:pStyle w:val="Tabletext"/>
              <w:keepNext/>
              <w:keepLines/>
              <w:jc w:val="center"/>
              <w:rPr>
                <w:lang w:val="es-ES_tradnl"/>
              </w:rPr>
            </w:pPr>
            <w:r w:rsidRPr="00A23A72">
              <w:rPr>
                <w:lang w:val="es-ES_tradnl"/>
              </w:rPr>
              <w:t>50%</w:t>
            </w:r>
          </w:p>
        </w:tc>
      </w:tr>
      <w:tr w:rsidR="00911F97" w:rsidRPr="00A23A72" w:rsidTr="00D42D37">
        <w:trPr>
          <w:cantSplit/>
          <w:trHeight w:val="128"/>
          <w:jc w:val="center"/>
        </w:trPr>
        <w:tc>
          <w:tcPr>
            <w:tcW w:w="2708" w:type="dxa"/>
            <w:tcBorders>
              <w:top w:val="nil"/>
              <w:bottom w:val="single" w:sz="6" w:space="0" w:color="auto"/>
            </w:tcBorders>
            <w:vAlign w:val="center"/>
          </w:tcPr>
          <w:p w:rsidR="00911F97" w:rsidRPr="00A23A72" w:rsidRDefault="00911F97" w:rsidP="00D42D37">
            <w:pPr>
              <w:pStyle w:val="Tabletext"/>
              <w:keepNext/>
              <w:keepLines/>
              <w:jc w:val="center"/>
              <w:rPr>
                <w:lang w:val="es-ES_tradnl"/>
              </w:rPr>
            </w:pPr>
          </w:p>
        </w:tc>
        <w:tc>
          <w:tcPr>
            <w:tcW w:w="2699" w:type="dxa"/>
            <w:tcBorders>
              <w:top w:val="nil"/>
              <w:bottom w:val="single" w:sz="6" w:space="0" w:color="auto"/>
            </w:tcBorders>
            <w:vAlign w:val="center"/>
          </w:tcPr>
          <w:p w:rsidR="00911F97" w:rsidRPr="00A23A72" w:rsidRDefault="00911F97" w:rsidP="00D42D37">
            <w:pPr>
              <w:pStyle w:val="Tabletext"/>
              <w:keepNext/>
              <w:keepLines/>
              <w:jc w:val="center"/>
              <w:rPr>
                <w:lang w:val="es-ES_tradnl"/>
              </w:rPr>
            </w:pPr>
            <w:r w:rsidRPr="00A23A72">
              <w:rPr>
                <w:lang w:val="es-ES_tradnl"/>
              </w:rPr>
              <w:t>9</w:t>
            </w:r>
          </w:p>
        </w:tc>
        <w:tc>
          <w:tcPr>
            <w:tcW w:w="2899" w:type="dxa"/>
            <w:tcBorders>
              <w:top w:val="nil"/>
              <w:bottom w:val="single" w:sz="6" w:space="0" w:color="auto"/>
            </w:tcBorders>
            <w:vAlign w:val="center"/>
          </w:tcPr>
          <w:p w:rsidR="00911F97" w:rsidRPr="00A23A72" w:rsidRDefault="00911F97" w:rsidP="00D42D37">
            <w:pPr>
              <w:pStyle w:val="Tabletext"/>
              <w:keepNext/>
              <w:keepLines/>
              <w:jc w:val="center"/>
              <w:rPr>
                <w:lang w:val="es-ES_tradnl"/>
              </w:rPr>
            </w:pPr>
            <w:r w:rsidRPr="00A23A72">
              <w:rPr>
                <w:lang w:val="es-ES_tradnl"/>
              </w:rPr>
              <w:t>75%</w:t>
            </w:r>
          </w:p>
        </w:tc>
      </w:tr>
      <w:tr w:rsidR="00911F97" w:rsidRPr="00A23A72" w:rsidTr="00D42D37">
        <w:trPr>
          <w:cantSplit/>
          <w:trHeight w:val="128"/>
          <w:jc w:val="center"/>
        </w:trPr>
        <w:tc>
          <w:tcPr>
            <w:tcW w:w="2708" w:type="dxa"/>
            <w:tcBorders>
              <w:bottom w:val="nil"/>
            </w:tcBorders>
            <w:vAlign w:val="center"/>
          </w:tcPr>
          <w:p w:rsidR="00911F97" w:rsidRPr="00A23A72" w:rsidRDefault="00911F97" w:rsidP="00D42D37">
            <w:pPr>
              <w:pStyle w:val="Tabletext"/>
              <w:keepNext/>
              <w:keepLines/>
              <w:jc w:val="center"/>
              <w:rPr>
                <w:lang w:val="es-ES_tradnl"/>
              </w:rPr>
            </w:pPr>
            <w:r w:rsidRPr="00A23A72">
              <w:rPr>
                <w:lang w:val="es-ES_tradnl"/>
              </w:rPr>
              <w:t>9 600 bps 64-QAM</w:t>
            </w:r>
            <w:r w:rsidRPr="00A23A72">
              <w:rPr>
                <w:vertAlign w:val="superscript"/>
                <w:lang w:val="es-ES_tradnl"/>
              </w:rPr>
              <w:t>(4)</w:t>
            </w:r>
          </w:p>
        </w:tc>
        <w:tc>
          <w:tcPr>
            <w:tcW w:w="2699" w:type="dxa"/>
            <w:tcBorders>
              <w:bottom w:val="nil"/>
            </w:tcBorders>
            <w:vAlign w:val="center"/>
          </w:tcPr>
          <w:p w:rsidR="00911F97" w:rsidRPr="00A23A72" w:rsidRDefault="00911F97" w:rsidP="00D42D37">
            <w:pPr>
              <w:pStyle w:val="Tabletext"/>
              <w:keepNext/>
              <w:keepLines/>
              <w:jc w:val="center"/>
              <w:rPr>
                <w:lang w:val="es-ES_tradnl"/>
              </w:rPr>
            </w:pPr>
            <w:r w:rsidRPr="00A23A72">
              <w:rPr>
                <w:lang w:val="es-ES_tradnl"/>
              </w:rPr>
              <w:t>0</w:t>
            </w:r>
          </w:p>
        </w:tc>
        <w:tc>
          <w:tcPr>
            <w:tcW w:w="2899" w:type="dxa"/>
            <w:tcBorders>
              <w:bottom w:val="nil"/>
            </w:tcBorders>
            <w:vAlign w:val="center"/>
          </w:tcPr>
          <w:p w:rsidR="00911F97" w:rsidRPr="00A23A72" w:rsidRDefault="00911F97" w:rsidP="00D42D37">
            <w:pPr>
              <w:pStyle w:val="Tabletext"/>
              <w:keepNext/>
              <w:keepLines/>
              <w:jc w:val="center"/>
              <w:rPr>
                <w:lang w:val="es-ES_tradnl"/>
              </w:rPr>
            </w:pPr>
            <w:r w:rsidRPr="00A23A72">
              <w:rPr>
                <w:lang w:val="es-ES_tradnl"/>
              </w:rPr>
              <w:t>30%</w:t>
            </w:r>
          </w:p>
        </w:tc>
      </w:tr>
      <w:tr w:rsidR="00911F97" w:rsidRPr="00A23A72" w:rsidTr="00D42D37">
        <w:trPr>
          <w:cantSplit/>
          <w:trHeight w:val="128"/>
          <w:jc w:val="center"/>
        </w:trPr>
        <w:tc>
          <w:tcPr>
            <w:tcW w:w="2708" w:type="dxa"/>
            <w:tcBorders>
              <w:top w:val="nil"/>
              <w:bottom w:val="single" w:sz="6" w:space="0" w:color="auto"/>
            </w:tcBorders>
            <w:vAlign w:val="center"/>
          </w:tcPr>
          <w:p w:rsidR="00911F97" w:rsidRPr="00A23A72" w:rsidRDefault="00911F97" w:rsidP="00D42D37">
            <w:pPr>
              <w:pStyle w:val="Tabletext"/>
              <w:keepNext/>
              <w:keepLines/>
              <w:jc w:val="center"/>
              <w:rPr>
                <w:lang w:val="es-ES_tradnl"/>
              </w:rPr>
            </w:pPr>
          </w:p>
        </w:tc>
        <w:tc>
          <w:tcPr>
            <w:tcW w:w="2699" w:type="dxa"/>
            <w:tcBorders>
              <w:top w:val="nil"/>
              <w:bottom w:val="single" w:sz="6" w:space="0" w:color="auto"/>
            </w:tcBorders>
            <w:vAlign w:val="center"/>
          </w:tcPr>
          <w:p w:rsidR="00911F97" w:rsidRPr="00A23A72" w:rsidRDefault="00911F97" w:rsidP="00D42D37">
            <w:pPr>
              <w:pStyle w:val="Tabletext"/>
              <w:keepNext/>
              <w:keepLines/>
              <w:jc w:val="center"/>
              <w:rPr>
                <w:lang w:val="es-ES_tradnl"/>
              </w:rPr>
            </w:pPr>
            <w:r w:rsidRPr="00A23A72">
              <w:rPr>
                <w:lang w:val="es-ES_tradnl"/>
              </w:rPr>
              <w:t>6</w:t>
            </w:r>
          </w:p>
        </w:tc>
        <w:tc>
          <w:tcPr>
            <w:tcW w:w="2899" w:type="dxa"/>
            <w:tcBorders>
              <w:top w:val="nil"/>
              <w:bottom w:val="single" w:sz="6" w:space="0" w:color="auto"/>
            </w:tcBorders>
            <w:vAlign w:val="center"/>
          </w:tcPr>
          <w:p w:rsidR="00911F97" w:rsidRPr="00A23A72" w:rsidRDefault="00911F97" w:rsidP="00D42D37">
            <w:pPr>
              <w:pStyle w:val="Tabletext"/>
              <w:keepNext/>
              <w:keepLines/>
              <w:jc w:val="center"/>
              <w:rPr>
                <w:lang w:val="es-ES_tradnl"/>
              </w:rPr>
            </w:pPr>
            <w:r w:rsidRPr="00A23A72">
              <w:rPr>
                <w:lang w:val="es-ES_tradnl"/>
              </w:rPr>
              <w:t>70%</w:t>
            </w:r>
          </w:p>
        </w:tc>
      </w:tr>
      <w:tr w:rsidR="00911F97" w:rsidRPr="00A23A72" w:rsidTr="00D42D37">
        <w:trPr>
          <w:cantSplit/>
          <w:trHeight w:val="128"/>
          <w:jc w:val="center"/>
        </w:trPr>
        <w:tc>
          <w:tcPr>
            <w:tcW w:w="2708" w:type="dxa"/>
            <w:tcBorders>
              <w:bottom w:val="nil"/>
            </w:tcBorders>
            <w:vAlign w:val="center"/>
          </w:tcPr>
          <w:p w:rsidR="00911F97" w:rsidRPr="00A23A72" w:rsidRDefault="00911F97" w:rsidP="00D42D37">
            <w:pPr>
              <w:pStyle w:val="Tabletext"/>
              <w:keepNext/>
              <w:keepLines/>
              <w:jc w:val="center"/>
              <w:rPr>
                <w:lang w:val="es-ES_tradnl"/>
              </w:rPr>
            </w:pPr>
            <w:r w:rsidRPr="00A23A72">
              <w:rPr>
                <w:lang w:val="es-ES_tradnl"/>
              </w:rPr>
              <w:t>2 400 bps 8-PSK</w:t>
            </w:r>
            <w:r w:rsidRPr="00A23A72">
              <w:rPr>
                <w:vertAlign w:val="superscript"/>
                <w:lang w:val="es-ES_tradnl"/>
              </w:rPr>
              <w:t>(5)</w:t>
            </w:r>
          </w:p>
        </w:tc>
        <w:tc>
          <w:tcPr>
            <w:tcW w:w="2699" w:type="dxa"/>
            <w:tcBorders>
              <w:bottom w:val="nil"/>
            </w:tcBorders>
            <w:vAlign w:val="center"/>
          </w:tcPr>
          <w:p w:rsidR="00911F97" w:rsidRPr="00A23A72" w:rsidRDefault="00911F97" w:rsidP="00D42D37">
            <w:pPr>
              <w:pStyle w:val="Tabletext"/>
              <w:keepNext/>
              <w:keepLines/>
              <w:jc w:val="center"/>
              <w:rPr>
                <w:lang w:val="es-ES_tradnl"/>
              </w:rPr>
            </w:pPr>
            <w:r w:rsidRPr="00A23A72">
              <w:rPr>
                <w:lang w:val="es-ES_tradnl"/>
              </w:rPr>
              <w:t>0</w:t>
            </w:r>
          </w:p>
        </w:tc>
        <w:tc>
          <w:tcPr>
            <w:tcW w:w="2899" w:type="dxa"/>
            <w:tcBorders>
              <w:bottom w:val="nil"/>
            </w:tcBorders>
            <w:vAlign w:val="center"/>
          </w:tcPr>
          <w:p w:rsidR="00911F97" w:rsidRPr="00A23A72" w:rsidRDefault="00911F97" w:rsidP="00D42D37">
            <w:pPr>
              <w:pStyle w:val="Tabletext"/>
              <w:keepNext/>
              <w:keepLines/>
              <w:jc w:val="center"/>
              <w:rPr>
                <w:lang w:val="es-ES_tradnl"/>
              </w:rPr>
            </w:pPr>
            <w:r w:rsidRPr="00A23A72">
              <w:rPr>
                <w:lang w:val="es-ES_tradnl"/>
              </w:rPr>
              <w:t>30%</w:t>
            </w:r>
          </w:p>
        </w:tc>
      </w:tr>
      <w:tr w:rsidR="00911F97" w:rsidRPr="00A23A72" w:rsidTr="00D42D37">
        <w:trPr>
          <w:cantSplit/>
          <w:trHeight w:val="128"/>
          <w:jc w:val="center"/>
        </w:trPr>
        <w:tc>
          <w:tcPr>
            <w:tcW w:w="2708" w:type="dxa"/>
            <w:tcBorders>
              <w:top w:val="nil"/>
              <w:bottom w:val="single" w:sz="6" w:space="0" w:color="auto"/>
            </w:tcBorders>
            <w:vAlign w:val="center"/>
          </w:tcPr>
          <w:p w:rsidR="00911F97" w:rsidRPr="00A23A72" w:rsidRDefault="00911F97" w:rsidP="00D42D37">
            <w:pPr>
              <w:pStyle w:val="Tabletext"/>
              <w:keepNext/>
              <w:keepLines/>
              <w:jc w:val="center"/>
              <w:rPr>
                <w:lang w:val="es-ES_tradnl"/>
              </w:rPr>
            </w:pPr>
          </w:p>
        </w:tc>
        <w:tc>
          <w:tcPr>
            <w:tcW w:w="2699" w:type="dxa"/>
            <w:tcBorders>
              <w:top w:val="nil"/>
              <w:bottom w:val="single" w:sz="6" w:space="0" w:color="auto"/>
            </w:tcBorders>
            <w:vAlign w:val="center"/>
          </w:tcPr>
          <w:p w:rsidR="00911F97" w:rsidRPr="00A23A72" w:rsidRDefault="00911F97" w:rsidP="00D42D37">
            <w:pPr>
              <w:pStyle w:val="Tabletext"/>
              <w:keepNext/>
              <w:keepLines/>
              <w:jc w:val="center"/>
              <w:rPr>
                <w:lang w:val="es-ES_tradnl"/>
              </w:rPr>
            </w:pPr>
            <w:r w:rsidRPr="00A23A72">
              <w:rPr>
                <w:lang w:val="es-ES_tradnl"/>
              </w:rPr>
              <w:t>6</w:t>
            </w:r>
          </w:p>
        </w:tc>
        <w:tc>
          <w:tcPr>
            <w:tcW w:w="2899" w:type="dxa"/>
            <w:tcBorders>
              <w:top w:val="nil"/>
              <w:bottom w:val="single" w:sz="6" w:space="0" w:color="auto"/>
            </w:tcBorders>
            <w:vAlign w:val="center"/>
          </w:tcPr>
          <w:p w:rsidR="00911F97" w:rsidRPr="00A23A72" w:rsidRDefault="00911F97" w:rsidP="00D42D37">
            <w:pPr>
              <w:pStyle w:val="Tabletext"/>
              <w:keepNext/>
              <w:keepLines/>
              <w:jc w:val="center"/>
              <w:rPr>
                <w:lang w:val="es-ES_tradnl"/>
              </w:rPr>
            </w:pPr>
            <w:r w:rsidRPr="00A23A72">
              <w:rPr>
                <w:lang w:val="es-ES_tradnl"/>
              </w:rPr>
              <w:t>70%</w:t>
            </w:r>
          </w:p>
        </w:tc>
      </w:tr>
      <w:tr w:rsidR="00911F97" w:rsidRPr="00B63481" w:rsidTr="00D42D37">
        <w:trPr>
          <w:cantSplit/>
          <w:trHeight w:val="128"/>
          <w:jc w:val="center"/>
        </w:trPr>
        <w:tc>
          <w:tcPr>
            <w:tcW w:w="8306" w:type="dxa"/>
            <w:gridSpan w:val="3"/>
            <w:tcBorders>
              <w:top w:val="single" w:sz="6" w:space="0" w:color="auto"/>
              <w:left w:val="nil"/>
              <w:bottom w:val="nil"/>
              <w:right w:val="nil"/>
            </w:tcBorders>
            <w:vAlign w:val="center"/>
          </w:tcPr>
          <w:p w:rsidR="00911F97" w:rsidRPr="00A23A72" w:rsidRDefault="00911F97" w:rsidP="00D42D37">
            <w:pPr>
              <w:pStyle w:val="Tabletext"/>
              <w:ind w:left="284" w:hanging="284"/>
              <w:rPr>
                <w:i/>
                <w:iCs/>
                <w:lang w:val="es-ES_tradnl"/>
              </w:rPr>
            </w:pPr>
            <w:r w:rsidRPr="00A23A72">
              <w:rPr>
                <w:i/>
                <w:iCs/>
                <w:lang w:val="es-ES_tradnl"/>
              </w:rPr>
              <w:t>Notas relativas al Cuadro 1:</w:t>
            </w:r>
          </w:p>
          <w:p w:rsidR="00911F97" w:rsidRPr="00A23A72" w:rsidRDefault="00911F97" w:rsidP="00D42D37">
            <w:pPr>
              <w:pStyle w:val="Tabletext"/>
              <w:ind w:left="284" w:hanging="284"/>
              <w:rPr>
                <w:lang w:val="es-ES_tradnl"/>
              </w:rPr>
            </w:pPr>
            <w:r w:rsidRPr="00A23A72">
              <w:rPr>
                <w:vertAlign w:val="superscript"/>
                <w:lang w:val="es-ES_tradnl"/>
              </w:rPr>
              <w:t>(1)</w:t>
            </w:r>
            <w:r w:rsidRPr="00A23A72">
              <w:rPr>
                <w:vertAlign w:val="superscript"/>
                <w:lang w:val="es-ES_tradnl"/>
              </w:rPr>
              <w:tab/>
            </w:r>
            <w:r w:rsidRPr="00A23A72">
              <w:rPr>
                <w:lang w:val="es-ES_tradnl"/>
              </w:rPr>
              <w:t>SNR medida en un canal con desvanecimiento con ruido gaussiano blanco aditivo (AWGN) y ancho de banda de 3 kHz.</w:t>
            </w:r>
          </w:p>
          <w:p w:rsidR="00911F97" w:rsidRPr="00A23A72" w:rsidRDefault="00911F97" w:rsidP="004B4462">
            <w:pPr>
              <w:pStyle w:val="Tabletext"/>
              <w:ind w:left="284" w:hanging="284"/>
              <w:rPr>
                <w:bCs/>
                <w:lang w:val="es-ES_tradnl"/>
              </w:rPr>
            </w:pPr>
            <w:r w:rsidRPr="00A23A72">
              <w:rPr>
                <w:vertAlign w:val="superscript"/>
                <w:lang w:val="es-ES_tradnl"/>
              </w:rPr>
              <w:t>(2)</w:t>
            </w:r>
            <w:r w:rsidRPr="00A23A72">
              <w:rPr>
                <w:vertAlign w:val="superscript"/>
                <w:lang w:val="es-ES_tradnl"/>
              </w:rPr>
              <w:tab/>
            </w:r>
            <w:r w:rsidRPr="00A23A72">
              <w:rPr>
                <w:lang w:val="es-ES_tradnl"/>
              </w:rPr>
              <w:t xml:space="preserve">Véase </w:t>
            </w:r>
            <w:r w:rsidR="0014016B">
              <w:rPr>
                <w:lang w:val="es-ES_tradnl"/>
              </w:rPr>
              <w:t>el § </w:t>
            </w:r>
            <w:r w:rsidRPr="00A23A72">
              <w:rPr>
                <w:lang w:val="es-ES_tradnl"/>
              </w:rPr>
              <w:t xml:space="preserve">7.2.1.1 módem </w:t>
            </w:r>
            <w:r w:rsidR="004B4462">
              <w:rPr>
                <w:lang w:val="es-ES_tradnl"/>
              </w:rPr>
              <w:t>MDF</w:t>
            </w:r>
            <w:r w:rsidRPr="00A23A72">
              <w:rPr>
                <w:lang w:val="es-ES_tradnl"/>
              </w:rPr>
              <w:t xml:space="preserve"> ALE (segunda </w:t>
            </w:r>
            <w:r w:rsidR="00D6764C" w:rsidRPr="00A23A72">
              <w:rPr>
                <w:lang w:val="es-ES_tradnl"/>
              </w:rPr>
              <w:t>generación</w:t>
            </w:r>
            <w:r w:rsidRPr="00A23A72">
              <w:rPr>
                <w:lang w:val="es-ES_tradnl"/>
              </w:rPr>
              <w:t>) en el Manual del UIT-R Sistemas y redes de comunicación adaptativos en frecuencia en las bandas de ondas hectométricas y decamétricas</w:t>
            </w:r>
            <w:r w:rsidRPr="00A23A72">
              <w:rPr>
                <w:bCs/>
                <w:lang w:val="es-ES_tradnl"/>
              </w:rPr>
              <w:t>, edición de 2002.</w:t>
            </w:r>
          </w:p>
          <w:p w:rsidR="00911F97" w:rsidRPr="00A23A72" w:rsidRDefault="00911F97" w:rsidP="00D6764C">
            <w:pPr>
              <w:pStyle w:val="Tabletext"/>
              <w:ind w:left="284" w:hanging="284"/>
              <w:rPr>
                <w:bCs/>
                <w:lang w:val="es-ES_tradnl"/>
              </w:rPr>
            </w:pPr>
            <w:r w:rsidRPr="00A23A72">
              <w:rPr>
                <w:vertAlign w:val="superscript"/>
                <w:lang w:val="es-ES_tradnl"/>
              </w:rPr>
              <w:t>(3)</w:t>
            </w:r>
            <w:r w:rsidRPr="00A23A72">
              <w:rPr>
                <w:lang w:val="es-ES_tradnl"/>
              </w:rPr>
              <w:tab/>
              <w:t xml:space="preserve">Véase </w:t>
            </w:r>
            <w:r w:rsidR="0014016B">
              <w:rPr>
                <w:lang w:val="es-ES_tradnl"/>
              </w:rPr>
              <w:t>el § </w:t>
            </w:r>
            <w:r w:rsidRPr="00A23A72">
              <w:rPr>
                <w:lang w:val="es-ES_tradnl"/>
              </w:rPr>
              <w:t xml:space="preserve">7.2.1.2 módem </w:t>
            </w:r>
            <w:r w:rsidR="00D6764C" w:rsidRPr="00B63481">
              <w:rPr>
                <w:lang w:val="es-ES_tradnl"/>
              </w:rPr>
              <w:t xml:space="preserve">MDP ALE </w:t>
            </w:r>
            <w:r w:rsidRPr="00A23A72">
              <w:rPr>
                <w:lang w:val="es-ES_tradnl"/>
              </w:rPr>
              <w:t>de ráfaga (tercera generación) en el Manual del UIT-R Sistemas y redes de comunicación adaptativos en frecuencia en las bandas de ondas hectométricas y decamétricas, edición de 2002.</w:t>
            </w:r>
          </w:p>
          <w:p w:rsidR="00911F97" w:rsidRPr="00A23A72" w:rsidRDefault="00911F97" w:rsidP="00D42D37">
            <w:pPr>
              <w:pStyle w:val="Tabletext"/>
              <w:ind w:left="284" w:hanging="284"/>
              <w:rPr>
                <w:bCs/>
                <w:lang w:val="es-ES_tradnl"/>
              </w:rPr>
            </w:pPr>
            <w:r w:rsidRPr="00A23A72">
              <w:rPr>
                <w:bCs/>
                <w:vertAlign w:val="superscript"/>
                <w:lang w:val="es-ES_tradnl"/>
              </w:rPr>
              <w:t>(4)</w:t>
            </w:r>
            <w:r w:rsidRPr="00A23A72">
              <w:rPr>
                <w:bCs/>
                <w:lang w:val="es-ES_tradnl"/>
              </w:rPr>
              <w:tab/>
              <w:t>Onda descrita en el Anexo 6 de la Recomendación UIT-R F.763-5</w:t>
            </w:r>
            <w:r w:rsidRPr="00A23A72">
              <w:rPr>
                <w:lang w:val="es-ES_tradnl"/>
              </w:rPr>
              <w:t xml:space="preserve"> – </w:t>
            </w:r>
            <w:r w:rsidRPr="00A23A72">
              <w:rPr>
                <w:bCs/>
                <w:lang w:val="es-ES_tradnl"/>
              </w:rPr>
              <w:t>Transmisión de datos por circuitos de ondas decamétricas que utilizan modulación por desplazamiento de fase o modulación de amplitud en cuadratura.</w:t>
            </w:r>
          </w:p>
          <w:p w:rsidR="00911F97" w:rsidRPr="00A23A72" w:rsidRDefault="00911F97" w:rsidP="00D42D37">
            <w:pPr>
              <w:pStyle w:val="Tabletext"/>
              <w:ind w:left="284" w:hanging="284"/>
              <w:rPr>
                <w:lang w:val="es-ES_tradnl"/>
              </w:rPr>
            </w:pPr>
            <w:r w:rsidRPr="00A23A72">
              <w:rPr>
                <w:vertAlign w:val="superscript"/>
                <w:lang w:val="es-ES_tradnl"/>
              </w:rPr>
              <w:t>(5)</w:t>
            </w:r>
            <w:r w:rsidRPr="00A23A72">
              <w:rPr>
                <w:lang w:val="es-ES_tradnl"/>
              </w:rPr>
              <w:tab/>
              <w:t xml:space="preserve">Onda descrita en el Anexo 2 </w:t>
            </w:r>
            <w:r w:rsidRPr="00A23A72">
              <w:rPr>
                <w:bCs/>
                <w:lang w:val="es-ES_tradnl"/>
              </w:rPr>
              <w:t xml:space="preserve">de la Recomendación UIT-R </w:t>
            </w:r>
            <w:r w:rsidRPr="00A23A72">
              <w:rPr>
                <w:lang w:val="es-ES_tradnl"/>
              </w:rPr>
              <w:t>F.763-5</w:t>
            </w:r>
            <w:r w:rsidRPr="00A23A72">
              <w:rPr>
                <w:bCs/>
                <w:lang w:val="es-ES_tradnl"/>
              </w:rPr>
              <w:t xml:space="preserve"> – Transmisión de datos por circuitos de ondas decamétricas que utilizan modulación por desplazamiento de fase o modulación de amplitud en cuadratura</w:t>
            </w:r>
            <w:r w:rsidRPr="00A23A72">
              <w:rPr>
                <w:lang w:val="es-ES_tradnl"/>
              </w:rPr>
              <w:t>.</w:t>
            </w:r>
          </w:p>
        </w:tc>
      </w:tr>
    </w:tbl>
    <w:p w:rsidR="00911F97" w:rsidRPr="00A23A72" w:rsidRDefault="00911F97" w:rsidP="008007F5">
      <w:pPr>
        <w:pStyle w:val="Heading2"/>
        <w:rPr>
          <w:lang w:val="es-ES_tradnl"/>
        </w:rPr>
      </w:pPr>
      <w:r w:rsidRPr="00A23A72">
        <w:rPr>
          <w:lang w:val="es-ES_tradnl"/>
        </w:rPr>
        <w:t>2.2</w:t>
      </w:r>
      <w:r w:rsidRPr="00A23A72">
        <w:rPr>
          <w:lang w:val="es-ES_tradnl"/>
        </w:rPr>
        <w:tab/>
      </w:r>
      <w:r w:rsidR="008007F5" w:rsidRPr="00A23A72">
        <w:rPr>
          <w:lang w:val="es-ES_tradnl"/>
        </w:rPr>
        <w:t>Requisitos de explotación</w:t>
      </w:r>
    </w:p>
    <w:p w:rsidR="00911F97" w:rsidRPr="00A23A72" w:rsidRDefault="00911F97" w:rsidP="00911F97">
      <w:pPr>
        <w:rPr>
          <w:lang w:val="es-ES_tradnl"/>
        </w:rPr>
      </w:pPr>
      <w:r w:rsidRPr="00A23A72">
        <w:rPr>
          <w:lang w:val="es-ES_tradnl"/>
        </w:rPr>
        <w:t>El sistema adaptativo en ondas decamétricas debe ser capaz de realizar una verificación de disponibilidad de canal durante la cual el sistema permanece a la escucha de un determinado radiocanal durante 900 milisegundos para identificar si hay otro sistema que esté funcionando en ese mismo radiocanal.</w:t>
      </w:r>
    </w:p>
    <w:p w:rsidR="00911F97" w:rsidRPr="00A23A72" w:rsidRDefault="00911F97" w:rsidP="00911F97">
      <w:pPr>
        <w:rPr>
          <w:lang w:val="es-ES_tradnl"/>
        </w:rPr>
      </w:pPr>
      <w:r w:rsidRPr="00A23A72">
        <w:rPr>
          <w:lang w:val="es-ES_tradnl"/>
        </w:rPr>
        <w:t>El sistema adaptable debe poder realizar comprobaciones técnicas en servicio del canal de funcionamiento para verificar que un sistema cocanal no ha iniciado el funcionamiento. Durante dicha comprobación técnica en servicio la función de detección de la señal busca de manera continua señales de otros sistemas en el intervalo entre transmisiones de sistemas adaptativos normales. Exige la utilización de intervalos de silencio entre transmisiones sucesivas.</w:t>
      </w:r>
    </w:p>
    <w:p w:rsidR="00911F97" w:rsidRPr="00A23A72" w:rsidRDefault="00911F97" w:rsidP="00911F97">
      <w:pPr>
        <w:rPr>
          <w:lang w:val="es-ES_tradnl"/>
        </w:rPr>
      </w:pPr>
      <w:r w:rsidRPr="00A23A72">
        <w:rPr>
          <w:lang w:val="es-ES_tradnl"/>
        </w:rPr>
        <w:t>Si el sistema adaptativo en ondas decamétricas no ha estado previamente en funcionamiento o no ha verificado de manera continua el canal con el mecanismo de comprobación técnica en servicio, no debe iniciar la transmisión en ningún canal antes de completar la verificación de disponibilidad de canal. Las operaciones de disponibilidad de canal y comprobación técnica en servicio utilizarán umbrales mínimos de detección SDF con arreglo al Cuadro 1.</w:t>
      </w:r>
    </w:p>
    <w:p w:rsidR="00911F97" w:rsidRPr="00A23A72" w:rsidRDefault="00911F97" w:rsidP="008007F5">
      <w:pPr>
        <w:pStyle w:val="Heading2"/>
        <w:rPr>
          <w:lang w:val="es-ES_tradnl"/>
        </w:rPr>
      </w:pPr>
      <w:r w:rsidRPr="00A23A72">
        <w:rPr>
          <w:lang w:val="es-ES_tradnl"/>
        </w:rPr>
        <w:lastRenderedPageBreak/>
        <w:t>2.3</w:t>
      </w:r>
      <w:r w:rsidRPr="00A23A72">
        <w:rPr>
          <w:lang w:val="es-ES_tradnl"/>
        </w:rPr>
        <w:tab/>
        <w:t>Requisitos de respuesta</w:t>
      </w:r>
    </w:p>
    <w:p w:rsidR="00911F97" w:rsidRPr="00A23A72" w:rsidRDefault="00911F97" w:rsidP="00911F97">
      <w:pPr>
        <w:rPr>
          <w:lang w:val="es-ES_tradnl"/>
        </w:rPr>
      </w:pPr>
      <w:r w:rsidRPr="00A23A72">
        <w:rPr>
          <w:lang w:val="es-ES_tradnl"/>
        </w:rPr>
        <w:t>Un canal en el que se ha verificado que está funcionando un transmisor radioeléctrico, ya sea mediante la verificación de disponibilidad de canal o la realización de comprobación técnica en servicio, está sujeto a un periodo de 2 min (periodo de no disponibilidad) durante el cual no debe ser utilizado por el sistema adaptativo en ondas decamétricas. El periodo de no disponibilidad debe iniciarse en el instante que se detecta la señal radioeléctrica. La operación de comprobación técnica durante dicho periodo puede ser continua o con muestreo en el tiempo.</w:t>
      </w:r>
    </w:p>
    <w:p w:rsidR="00911F97" w:rsidRPr="00A23A72" w:rsidRDefault="00911F97" w:rsidP="00911F97">
      <w:pPr>
        <w:rPr>
          <w:lang w:val="es-ES_tradnl"/>
        </w:rPr>
      </w:pPr>
      <w:r w:rsidRPr="00A23A72">
        <w:rPr>
          <w:lang w:val="es-ES_tradnl"/>
        </w:rPr>
        <w:t>El tiempo de desplazamiento de canal se define como el periodo inferior o igual a 125 s necesario para que un sistema adaptativo en ondas decamétricas cese las transmisiones en el canal de funcionamiento tras detectar una señal con un valor superior al umbral de detección SDF. Las transmisiones durante este periodo pueden consistir en tráfico normal durante un intervalo generalmente inferior a 125 s. Las señales de gestión y control pueden enviarse durante este periodo de tiempo a fin de facilitar la liberación del canal de funcionamiento.</w:t>
      </w:r>
    </w:p>
    <w:p w:rsidR="00911F97" w:rsidRPr="00A23A72" w:rsidRDefault="00911F97" w:rsidP="008007F5">
      <w:pPr>
        <w:pStyle w:val="Heading2"/>
        <w:rPr>
          <w:lang w:val="es-ES_tradnl"/>
        </w:rPr>
      </w:pPr>
      <w:r w:rsidRPr="00A23A72">
        <w:rPr>
          <w:lang w:val="es-ES_tradnl"/>
        </w:rPr>
        <w:t>2.4</w:t>
      </w:r>
      <w:r w:rsidRPr="00A23A72">
        <w:rPr>
          <w:lang w:val="es-ES_tradnl"/>
        </w:rPr>
        <w:tab/>
        <w:t>Resumen de los requisitos de canal de funcionamiento de la SDF</w:t>
      </w:r>
    </w:p>
    <w:p w:rsidR="00911F97" w:rsidRPr="00A23A72" w:rsidRDefault="00911F97" w:rsidP="00911F97">
      <w:pPr>
        <w:rPr>
          <w:lang w:val="es-ES_tradnl"/>
        </w:rPr>
      </w:pPr>
      <w:r w:rsidRPr="00A23A72">
        <w:rPr>
          <w:lang w:val="es-ES_tradnl"/>
        </w:rPr>
        <w:t>En el Cuadro 2 aparece un resumen de los requisitos de la calidad de funcionamiento de la SDF antes descrita.</w:t>
      </w:r>
    </w:p>
    <w:p w:rsidR="00911F97" w:rsidRPr="00A23A72" w:rsidRDefault="00911F97" w:rsidP="008007F5">
      <w:pPr>
        <w:pStyle w:val="TableNo"/>
        <w:rPr>
          <w:lang w:val="es-ES_tradnl"/>
        </w:rPr>
      </w:pPr>
      <w:r w:rsidRPr="00A23A72">
        <w:rPr>
          <w:lang w:val="es-ES_tradnl"/>
        </w:rPr>
        <w:t>CUADRO 2</w:t>
      </w:r>
    </w:p>
    <w:p w:rsidR="008007F5" w:rsidRPr="00A23A72" w:rsidRDefault="008007F5" w:rsidP="008007F5">
      <w:pPr>
        <w:pStyle w:val="Tabletitle"/>
        <w:rPr>
          <w:lang w:val="es-ES_tradnl"/>
        </w:rPr>
      </w:pPr>
      <w:r w:rsidRPr="00A23A72">
        <w:rPr>
          <w:lang w:val="es-ES_tradnl"/>
        </w:rPr>
        <w:t>Resumen de los requisitos de la calidad de funcionamiento de la SDF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85"/>
        <w:gridCol w:w="3618"/>
      </w:tblGrid>
      <w:tr w:rsidR="00911F97" w:rsidRPr="00A23A72" w:rsidTr="00D42D37">
        <w:trPr>
          <w:jc w:val="center"/>
        </w:trPr>
        <w:tc>
          <w:tcPr>
            <w:tcW w:w="3385" w:type="dxa"/>
          </w:tcPr>
          <w:p w:rsidR="00911F97" w:rsidRPr="00A23A72" w:rsidRDefault="00911F97" w:rsidP="008007F5">
            <w:pPr>
              <w:pStyle w:val="Tablehead"/>
              <w:rPr>
                <w:lang w:val="es-ES_tradnl"/>
              </w:rPr>
            </w:pPr>
            <w:r w:rsidRPr="00A23A72">
              <w:rPr>
                <w:lang w:val="es-ES_tradnl"/>
              </w:rPr>
              <w:t xml:space="preserve">Parámetro </w:t>
            </w:r>
          </w:p>
        </w:tc>
        <w:tc>
          <w:tcPr>
            <w:tcW w:w="3618" w:type="dxa"/>
          </w:tcPr>
          <w:p w:rsidR="00911F97" w:rsidRPr="00A23A72" w:rsidRDefault="00911F97" w:rsidP="008007F5">
            <w:pPr>
              <w:pStyle w:val="Tablehead"/>
              <w:rPr>
                <w:lang w:val="es-ES_tradnl"/>
              </w:rPr>
            </w:pPr>
            <w:r w:rsidRPr="00A23A72">
              <w:rPr>
                <w:lang w:val="es-ES_tradnl"/>
              </w:rPr>
              <w:t>Valor</w:t>
            </w:r>
          </w:p>
        </w:tc>
      </w:tr>
      <w:tr w:rsidR="00911F97" w:rsidRPr="00A23A72" w:rsidTr="00B9759E">
        <w:trPr>
          <w:jc w:val="center"/>
        </w:trPr>
        <w:tc>
          <w:tcPr>
            <w:tcW w:w="3385" w:type="dxa"/>
          </w:tcPr>
          <w:p w:rsidR="00911F97" w:rsidRPr="00A23A72" w:rsidRDefault="00911F97" w:rsidP="008007F5">
            <w:pPr>
              <w:pStyle w:val="Tabletext"/>
              <w:jc w:val="left"/>
              <w:rPr>
                <w:lang w:val="es-ES_tradnl"/>
              </w:rPr>
            </w:pPr>
            <w:r w:rsidRPr="00A23A72">
              <w:rPr>
                <w:lang w:val="es-ES_tradnl"/>
              </w:rPr>
              <w:t>Umbral de detección SDF</w:t>
            </w:r>
          </w:p>
        </w:tc>
        <w:tc>
          <w:tcPr>
            <w:tcW w:w="3618" w:type="dxa"/>
            <w:vAlign w:val="center"/>
          </w:tcPr>
          <w:p w:rsidR="00911F97" w:rsidRPr="00A23A72" w:rsidRDefault="00911F97" w:rsidP="008007F5">
            <w:pPr>
              <w:pStyle w:val="Tabletext"/>
              <w:jc w:val="center"/>
              <w:rPr>
                <w:lang w:val="es-ES_tradnl"/>
              </w:rPr>
            </w:pPr>
            <w:r w:rsidRPr="00A23A72">
              <w:rPr>
                <w:lang w:val="es-ES_tradnl"/>
              </w:rPr>
              <w:t xml:space="preserve">Véase el Cuadro 1 </w:t>
            </w:r>
          </w:p>
        </w:tc>
      </w:tr>
      <w:tr w:rsidR="00911F97" w:rsidRPr="00A23A72" w:rsidTr="00B9759E">
        <w:trPr>
          <w:jc w:val="center"/>
        </w:trPr>
        <w:tc>
          <w:tcPr>
            <w:tcW w:w="3385" w:type="dxa"/>
          </w:tcPr>
          <w:p w:rsidR="00911F97" w:rsidRPr="00A23A72" w:rsidRDefault="00911F97" w:rsidP="008007F5">
            <w:pPr>
              <w:pStyle w:val="Tabletext"/>
              <w:jc w:val="left"/>
              <w:rPr>
                <w:lang w:val="es-ES_tradnl"/>
              </w:rPr>
            </w:pPr>
            <w:r w:rsidRPr="00A23A72">
              <w:rPr>
                <w:lang w:val="es-ES_tradnl"/>
              </w:rPr>
              <w:t xml:space="preserve">Tiempo de verificación de disponibilidad de canal </w:t>
            </w:r>
          </w:p>
        </w:tc>
        <w:tc>
          <w:tcPr>
            <w:tcW w:w="3618" w:type="dxa"/>
            <w:vAlign w:val="center"/>
          </w:tcPr>
          <w:p w:rsidR="00911F97" w:rsidRPr="00A23A72" w:rsidRDefault="00911F97" w:rsidP="008007F5">
            <w:pPr>
              <w:pStyle w:val="Tabletext"/>
              <w:jc w:val="center"/>
              <w:rPr>
                <w:lang w:val="es-ES_tradnl"/>
              </w:rPr>
            </w:pPr>
            <w:r w:rsidRPr="00A23A72">
              <w:rPr>
                <w:lang w:val="es-ES_tradnl"/>
              </w:rPr>
              <w:t xml:space="preserve">900 ms </w:t>
            </w:r>
          </w:p>
        </w:tc>
      </w:tr>
      <w:tr w:rsidR="00911F97" w:rsidRPr="00A23A72" w:rsidTr="00B9759E">
        <w:trPr>
          <w:jc w:val="center"/>
        </w:trPr>
        <w:tc>
          <w:tcPr>
            <w:tcW w:w="3385" w:type="dxa"/>
          </w:tcPr>
          <w:p w:rsidR="00911F97" w:rsidRPr="00A23A72" w:rsidRDefault="00911F97" w:rsidP="008007F5">
            <w:pPr>
              <w:pStyle w:val="Tabletext"/>
              <w:jc w:val="left"/>
              <w:rPr>
                <w:lang w:val="es-ES_tradnl"/>
              </w:rPr>
            </w:pPr>
            <w:r w:rsidRPr="00A23A72">
              <w:rPr>
                <w:lang w:val="es-ES_tradnl"/>
              </w:rPr>
              <w:t xml:space="preserve">Periodo de no disponibilidad </w:t>
            </w:r>
          </w:p>
        </w:tc>
        <w:tc>
          <w:tcPr>
            <w:tcW w:w="3618" w:type="dxa"/>
            <w:vAlign w:val="center"/>
          </w:tcPr>
          <w:p w:rsidR="00911F97" w:rsidRPr="00A23A72" w:rsidRDefault="00911F97" w:rsidP="008007F5">
            <w:pPr>
              <w:pStyle w:val="Tabletext"/>
              <w:jc w:val="center"/>
              <w:rPr>
                <w:lang w:val="es-ES_tradnl"/>
              </w:rPr>
            </w:pPr>
            <w:r w:rsidRPr="00A23A72">
              <w:rPr>
                <w:lang w:val="es-ES_tradnl"/>
              </w:rPr>
              <w:t>2 min</w:t>
            </w:r>
          </w:p>
        </w:tc>
      </w:tr>
      <w:tr w:rsidR="00911F97" w:rsidRPr="00A23A72" w:rsidTr="00B9759E">
        <w:trPr>
          <w:jc w:val="center"/>
        </w:trPr>
        <w:tc>
          <w:tcPr>
            <w:tcW w:w="3385" w:type="dxa"/>
          </w:tcPr>
          <w:p w:rsidR="00911F97" w:rsidRPr="00A23A72" w:rsidRDefault="00911F97" w:rsidP="008007F5">
            <w:pPr>
              <w:pStyle w:val="Tabletext"/>
              <w:jc w:val="left"/>
              <w:rPr>
                <w:lang w:val="es-ES_tradnl"/>
              </w:rPr>
            </w:pPr>
            <w:r w:rsidRPr="00A23A72">
              <w:rPr>
                <w:lang w:val="es-ES_tradnl"/>
              </w:rPr>
              <w:t xml:space="preserve">Tiempo de desplazamiento de canal </w:t>
            </w:r>
          </w:p>
        </w:tc>
        <w:tc>
          <w:tcPr>
            <w:tcW w:w="3618" w:type="dxa"/>
            <w:vAlign w:val="center"/>
          </w:tcPr>
          <w:p w:rsidR="00911F97" w:rsidRPr="00A23A72" w:rsidRDefault="00911F97" w:rsidP="008007F5">
            <w:pPr>
              <w:pStyle w:val="Tabletext"/>
              <w:jc w:val="center"/>
              <w:rPr>
                <w:lang w:val="es-ES_tradnl"/>
              </w:rPr>
            </w:pPr>
            <w:r w:rsidRPr="00A23A72">
              <w:rPr>
                <w:lang w:val="es-ES_tradnl"/>
              </w:rPr>
              <w:sym w:font="Symbol" w:char="F0A3"/>
            </w:r>
            <w:r w:rsidRPr="00A23A72">
              <w:rPr>
                <w:lang w:val="es-ES_tradnl"/>
              </w:rPr>
              <w:t xml:space="preserve"> 125 s</w:t>
            </w:r>
          </w:p>
        </w:tc>
      </w:tr>
    </w:tbl>
    <w:p w:rsidR="00F933A6" w:rsidRPr="00A23A72" w:rsidRDefault="00F933A6" w:rsidP="0032202E">
      <w:pPr>
        <w:pStyle w:val="Reasons"/>
        <w:rPr>
          <w:lang w:val="es-ES_tradnl"/>
        </w:rPr>
      </w:pPr>
    </w:p>
    <w:p w:rsidR="00F933A6" w:rsidRPr="00A23A72" w:rsidRDefault="00F933A6">
      <w:pPr>
        <w:jc w:val="center"/>
        <w:rPr>
          <w:lang w:val="es-ES_tradnl"/>
        </w:rPr>
      </w:pPr>
      <w:r w:rsidRPr="00A23A72">
        <w:rPr>
          <w:lang w:val="es-ES_tradnl"/>
        </w:rPr>
        <w:t>______________</w:t>
      </w:r>
    </w:p>
    <w:sectPr w:rsidR="00F933A6" w:rsidRPr="00A23A72" w:rsidSect="00B1717A">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929" w:rsidRDefault="00462929">
      <w:r>
        <w:separator/>
      </w:r>
    </w:p>
  </w:endnote>
  <w:endnote w:type="continuationSeparator" w:id="0">
    <w:p w:rsidR="00462929" w:rsidRDefault="00462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929" w:rsidRDefault="00462929">
      <w:r>
        <w:separator/>
      </w:r>
    </w:p>
  </w:footnote>
  <w:footnote w:type="continuationSeparator" w:id="0">
    <w:p w:rsidR="00462929" w:rsidRDefault="004629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D5" w:rsidRDefault="00847DD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D5" w:rsidRDefault="0072152F" w:rsidP="00D62884">
    <w:pPr>
      <w:pStyle w:val="Header"/>
      <w:ind w:right="360" w:firstLine="360"/>
    </w:pPr>
    <w:r>
      <w:rPr>
        <w:noProof/>
        <w:lang w:val="en-US" w:eastAsia="zh-CN"/>
      </w:rPr>
      <w:drawing>
        <wp:anchor distT="0" distB="0" distL="114300" distR="114300" simplePos="0" relativeHeight="251656704" behindDoc="1" locked="0" layoutInCell="1" allowOverlap="1" wp14:anchorId="4A27F9E5" wp14:editId="7AAAA353">
          <wp:simplePos x="0" y="0"/>
          <wp:positionH relativeFrom="page">
            <wp:posOffset>0</wp:posOffset>
          </wp:positionH>
          <wp:positionV relativeFrom="page">
            <wp:posOffset>0</wp:posOffset>
          </wp:positionV>
          <wp:extent cx="7592060" cy="10760075"/>
          <wp:effectExtent l="19050" t="0" r="8890" b="0"/>
          <wp:wrapNone/>
          <wp:docPr id="5" name="Picture 5"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D5" w:rsidRDefault="00A47C90" w:rsidP="00B1717A">
    <w:pPr>
      <w:pStyle w:val="Header"/>
      <w:jc w:val="left"/>
    </w:pPr>
    <w:r>
      <w:rPr>
        <w:rStyle w:val="PageNumber"/>
        <w:b/>
        <w:bCs/>
      </w:rPr>
      <w:fldChar w:fldCharType="begin"/>
    </w:r>
    <w:r w:rsidR="00847DD5">
      <w:rPr>
        <w:rStyle w:val="PageNumber"/>
        <w:b/>
        <w:bCs/>
      </w:rPr>
      <w:instrText xml:space="preserve"> PAGE </w:instrText>
    </w:r>
    <w:r>
      <w:rPr>
        <w:rStyle w:val="PageNumber"/>
        <w:b/>
        <w:bCs/>
      </w:rPr>
      <w:fldChar w:fldCharType="separate"/>
    </w:r>
    <w:r w:rsidR="003A3FE3">
      <w:rPr>
        <w:rStyle w:val="PageNumber"/>
        <w:b/>
        <w:bCs/>
        <w:noProof/>
      </w:rPr>
      <w:t>ii</w:t>
    </w:r>
    <w:r>
      <w:rPr>
        <w:rStyle w:val="PageNumber"/>
        <w:b/>
        <w:bCs/>
      </w:rPr>
      <w:fldChar w:fldCharType="end"/>
    </w:r>
    <w:r w:rsidR="00847DD5">
      <w:tab/>
    </w:r>
    <w:fldSimple w:instr=" DOCPROPERTY &quot;Header&quot; \* MERGEFORMAT ">
      <w:r w:rsidR="003A3FE3" w:rsidRPr="003A3FE3">
        <w:rPr>
          <w:b/>
          <w:bCs/>
          <w:lang w:val="en-US"/>
        </w:rPr>
        <w:t xml:space="preserve">Rec. </w:t>
      </w:r>
    </w:fldSimple>
    <w:r w:rsidR="00847DD5">
      <w:rPr>
        <w:b/>
        <w:bCs/>
      </w:rPr>
      <w:t xml:space="preserve"> </w:t>
    </w:r>
    <w:r>
      <w:rPr>
        <w:b/>
        <w:bCs/>
      </w:rPr>
      <w:fldChar w:fldCharType="begin"/>
    </w:r>
    <w:r w:rsidR="00847DD5">
      <w:rPr>
        <w:b/>
        <w:bCs/>
      </w:rPr>
      <w:instrText>styleref href</w:instrText>
    </w:r>
    <w:r>
      <w:rPr>
        <w:b/>
        <w:bCs/>
      </w:rPr>
      <w:fldChar w:fldCharType="separate"/>
    </w:r>
    <w:r w:rsidR="003A3FE3">
      <w:rPr>
        <w:b/>
        <w:bCs/>
        <w:noProof/>
      </w:rPr>
      <w:t>UIT-R  F.1778-1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D5" w:rsidRDefault="00847DD5">
    <w:pPr>
      <w:pStyle w:val="Header"/>
    </w:pPr>
    <w:r>
      <w:tab/>
    </w:r>
    <w:fldSimple w:instr=" DOCPROPERTY &quot;Header&quot; \* MERGEFORMAT ">
      <w:r w:rsidR="003A3FE3" w:rsidRPr="003A3FE3">
        <w:rPr>
          <w:lang w:val="en-US"/>
        </w:rPr>
        <w:t xml:space="preserve">Rec. </w:t>
      </w:r>
    </w:fldSimple>
    <w:r>
      <w:rPr>
        <w:b/>
        <w:bCs/>
      </w:rPr>
      <w:t xml:space="preserve">  </w:t>
    </w:r>
    <w:r w:rsidR="00A47C90">
      <w:rPr>
        <w:b/>
        <w:bCs/>
      </w:rPr>
      <w:fldChar w:fldCharType="begin"/>
    </w:r>
    <w:r>
      <w:rPr>
        <w:b/>
        <w:bCs/>
      </w:rPr>
      <w:instrText>styleref href</w:instrText>
    </w:r>
    <w:r w:rsidR="00A47C90">
      <w:rPr>
        <w:b/>
        <w:bCs/>
      </w:rPr>
      <w:fldChar w:fldCharType="separate"/>
    </w:r>
    <w:r w:rsidR="003A3FE3">
      <w:rPr>
        <w:b/>
        <w:bCs/>
        <w:noProof/>
      </w:rPr>
      <w:t>UIT-R  F.1778-1</w:t>
    </w:r>
    <w:r w:rsidR="00A47C90">
      <w:rPr>
        <w:b/>
        <w:bCs/>
      </w:rPr>
      <w:fldChar w:fldCharType="end"/>
    </w:r>
    <w:r>
      <w:tab/>
    </w:r>
    <w:r w:rsidR="00A47C90">
      <w:rPr>
        <w:rStyle w:val="PageNumber"/>
        <w:b/>
        <w:bCs/>
      </w:rPr>
      <w:fldChar w:fldCharType="begin"/>
    </w:r>
    <w:r>
      <w:rPr>
        <w:rStyle w:val="PageNumber"/>
        <w:b/>
        <w:bCs/>
      </w:rPr>
      <w:instrText xml:space="preserve"> PAGE </w:instrText>
    </w:r>
    <w:r w:rsidR="00A47C90">
      <w:rPr>
        <w:rStyle w:val="PageNumber"/>
        <w:b/>
        <w:bCs/>
      </w:rPr>
      <w:fldChar w:fldCharType="separate"/>
    </w:r>
    <w:r>
      <w:rPr>
        <w:rStyle w:val="PageNumber"/>
        <w:b/>
        <w:bCs/>
        <w:noProof/>
      </w:rPr>
      <w:t>1</w:t>
    </w:r>
    <w:r w:rsidR="00A47C90">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D5" w:rsidRDefault="00A47C90" w:rsidP="0046477D">
    <w:pPr>
      <w:pStyle w:val="Header"/>
      <w:jc w:val="left"/>
      <w:rPr>
        <w:lang w:val="en-US"/>
      </w:rPr>
    </w:pPr>
    <w:r>
      <w:rPr>
        <w:rStyle w:val="PageNumber"/>
        <w:b/>
        <w:bCs/>
      </w:rPr>
      <w:fldChar w:fldCharType="begin"/>
    </w:r>
    <w:r w:rsidR="00847DD5">
      <w:rPr>
        <w:rStyle w:val="PageNumber"/>
        <w:b/>
        <w:bCs/>
        <w:lang w:val="en-US"/>
      </w:rPr>
      <w:instrText xml:space="preserve"> PAGE </w:instrText>
    </w:r>
    <w:r>
      <w:rPr>
        <w:rStyle w:val="PageNumber"/>
        <w:b/>
        <w:bCs/>
      </w:rPr>
      <w:fldChar w:fldCharType="separate"/>
    </w:r>
    <w:r w:rsidR="003A3FE3">
      <w:rPr>
        <w:rStyle w:val="PageNumber"/>
        <w:b/>
        <w:bCs/>
        <w:noProof/>
        <w:lang w:val="en-US"/>
      </w:rPr>
      <w:t>4</w:t>
    </w:r>
    <w:r>
      <w:rPr>
        <w:rStyle w:val="PageNumber"/>
        <w:b/>
        <w:bCs/>
      </w:rPr>
      <w:fldChar w:fldCharType="end"/>
    </w:r>
    <w:r w:rsidR="00847DD5">
      <w:rPr>
        <w:lang w:val="en-US"/>
      </w:rPr>
      <w:tab/>
    </w:r>
    <w:fldSimple w:instr=" DOCPROPERTY &quot;Header&quot; \* MERGEFORMAT ">
      <w:r w:rsidR="003A3FE3" w:rsidRPr="003A3FE3">
        <w:rPr>
          <w:b/>
          <w:bCs/>
          <w:lang w:val="en-US"/>
        </w:rPr>
        <w:t xml:space="preserve">Rec. </w:t>
      </w:r>
    </w:fldSimple>
    <w:r w:rsidR="00847DD5">
      <w:rPr>
        <w:b/>
        <w:bCs/>
      </w:rPr>
      <w:t xml:space="preserve"> </w:t>
    </w:r>
    <w:r>
      <w:rPr>
        <w:b/>
        <w:bCs/>
      </w:rPr>
      <w:fldChar w:fldCharType="begin"/>
    </w:r>
    <w:r w:rsidR="00847DD5">
      <w:rPr>
        <w:b/>
        <w:bCs/>
        <w:lang w:val="en-US"/>
      </w:rPr>
      <w:instrText>styleref href</w:instrText>
    </w:r>
    <w:r>
      <w:rPr>
        <w:b/>
        <w:bCs/>
      </w:rPr>
      <w:fldChar w:fldCharType="separate"/>
    </w:r>
    <w:r w:rsidR="003A3FE3">
      <w:rPr>
        <w:b/>
        <w:bCs/>
        <w:noProof/>
      </w:rPr>
      <w:t>UIT-R  F.1778-1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D5" w:rsidRDefault="00B63481" w:rsidP="0046477D">
    <w:pPr>
      <w:pStyle w:val="Header"/>
      <w:tabs>
        <w:tab w:val="clear" w:pos="4848"/>
        <w:tab w:val="clear" w:pos="9696"/>
        <w:tab w:val="right" w:pos="9639"/>
      </w:tabs>
      <w:ind w:firstLine="3828"/>
    </w:pPr>
    <w:fldSimple w:instr=" DOCPROPERTY &quot;Header&quot; \* MERGEFORMAT ">
      <w:r w:rsidR="003A3FE3" w:rsidRPr="003A3FE3">
        <w:rPr>
          <w:b/>
          <w:bCs/>
        </w:rPr>
        <w:t xml:space="preserve">Rec. </w:t>
      </w:r>
    </w:fldSimple>
    <w:r w:rsidR="00847DD5">
      <w:rPr>
        <w:b/>
        <w:bCs/>
      </w:rPr>
      <w:t xml:space="preserve"> </w:t>
    </w:r>
    <w:r w:rsidR="00A47C90">
      <w:rPr>
        <w:b/>
        <w:bCs/>
      </w:rPr>
      <w:fldChar w:fldCharType="begin"/>
    </w:r>
    <w:r w:rsidR="00847DD5">
      <w:rPr>
        <w:b/>
        <w:bCs/>
      </w:rPr>
      <w:instrText>styleref href</w:instrText>
    </w:r>
    <w:r w:rsidR="00A47C90">
      <w:rPr>
        <w:b/>
        <w:bCs/>
      </w:rPr>
      <w:fldChar w:fldCharType="separate"/>
    </w:r>
    <w:r w:rsidR="003A3FE3">
      <w:rPr>
        <w:b/>
        <w:bCs/>
        <w:noProof/>
      </w:rPr>
      <w:t>UIT-R  F.1778-1</w:t>
    </w:r>
    <w:r w:rsidR="00A47C90">
      <w:rPr>
        <w:b/>
        <w:bCs/>
      </w:rPr>
      <w:fldChar w:fldCharType="end"/>
    </w:r>
    <w:r w:rsidR="00847DD5">
      <w:tab/>
    </w:r>
    <w:r w:rsidR="00A47C90">
      <w:rPr>
        <w:rStyle w:val="PageNumber"/>
        <w:b/>
        <w:bCs/>
      </w:rPr>
      <w:fldChar w:fldCharType="begin"/>
    </w:r>
    <w:r w:rsidR="00847DD5">
      <w:rPr>
        <w:rStyle w:val="PageNumber"/>
        <w:b/>
        <w:bCs/>
      </w:rPr>
      <w:instrText xml:space="preserve"> PAGE </w:instrText>
    </w:r>
    <w:r w:rsidR="00A47C90">
      <w:rPr>
        <w:rStyle w:val="PageNumber"/>
        <w:b/>
        <w:bCs/>
      </w:rPr>
      <w:fldChar w:fldCharType="separate"/>
    </w:r>
    <w:r w:rsidR="003A3FE3">
      <w:rPr>
        <w:rStyle w:val="PageNumber"/>
        <w:b/>
        <w:bCs/>
        <w:noProof/>
      </w:rPr>
      <w:t>5</w:t>
    </w:r>
    <w:r w:rsidR="00A47C90">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60"/>
  <w:mirrorMargins/>
  <w:hideSpellingErrors/>
  <w:hideGrammaticalErrors/>
  <w:activeWritingStyle w:appName="MSWord" w:lang="en-US" w:vendorID="64" w:dllVersion="131077"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5759F"/>
    <w:rsid w:val="0014016B"/>
    <w:rsid w:val="002939D6"/>
    <w:rsid w:val="002A6BB1"/>
    <w:rsid w:val="002D76C4"/>
    <w:rsid w:val="00363835"/>
    <w:rsid w:val="003A3FE3"/>
    <w:rsid w:val="003B0FAE"/>
    <w:rsid w:val="004532F7"/>
    <w:rsid w:val="00462929"/>
    <w:rsid w:val="00463455"/>
    <w:rsid w:val="0046477D"/>
    <w:rsid w:val="00494CF1"/>
    <w:rsid w:val="004B4462"/>
    <w:rsid w:val="004D0BFD"/>
    <w:rsid w:val="00593832"/>
    <w:rsid w:val="005A6102"/>
    <w:rsid w:val="00604D06"/>
    <w:rsid w:val="00607D68"/>
    <w:rsid w:val="00643006"/>
    <w:rsid w:val="006B22C3"/>
    <w:rsid w:val="006C64BB"/>
    <w:rsid w:val="0072152F"/>
    <w:rsid w:val="00744CC5"/>
    <w:rsid w:val="00791E36"/>
    <w:rsid w:val="007C7328"/>
    <w:rsid w:val="008007F5"/>
    <w:rsid w:val="008173B9"/>
    <w:rsid w:val="00834A65"/>
    <w:rsid w:val="00847DD5"/>
    <w:rsid w:val="0089256E"/>
    <w:rsid w:val="008B517D"/>
    <w:rsid w:val="008F3601"/>
    <w:rsid w:val="00911F97"/>
    <w:rsid w:val="009A3628"/>
    <w:rsid w:val="00A107FE"/>
    <w:rsid w:val="00A213C0"/>
    <w:rsid w:val="00A23A72"/>
    <w:rsid w:val="00A47C90"/>
    <w:rsid w:val="00A600AD"/>
    <w:rsid w:val="00A6617B"/>
    <w:rsid w:val="00AB0DC8"/>
    <w:rsid w:val="00B1717A"/>
    <w:rsid w:val="00B44E24"/>
    <w:rsid w:val="00B63481"/>
    <w:rsid w:val="00B900D5"/>
    <w:rsid w:val="00B9759E"/>
    <w:rsid w:val="00BD2413"/>
    <w:rsid w:val="00BF7841"/>
    <w:rsid w:val="00C13937"/>
    <w:rsid w:val="00C64A6E"/>
    <w:rsid w:val="00C866B4"/>
    <w:rsid w:val="00CA0934"/>
    <w:rsid w:val="00D50E83"/>
    <w:rsid w:val="00D62884"/>
    <w:rsid w:val="00D6764C"/>
    <w:rsid w:val="00DF4176"/>
    <w:rsid w:val="00ED3AD2"/>
    <w:rsid w:val="00F933A6"/>
    <w:rsid w:val="00FB56BF"/>
    <w:rsid w:val="00FE19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D7E942C5-21E3-49F9-A24D-1D194564C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4A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64A6E"/>
    <w:pPr>
      <w:keepNext/>
      <w:keepLines/>
      <w:spacing w:before="480"/>
      <w:ind w:left="794" w:hanging="794"/>
      <w:outlineLvl w:val="0"/>
    </w:pPr>
    <w:rPr>
      <w:b/>
    </w:rPr>
  </w:style>
  <w:style w:type="paragraph" w:styleId="Heading2">
    <w:name w:val="heading 2"/>
    <w:basedOn w:val="Heading1"/>
    <w:next w:val="Normal"/>
    <w:qFormat/>
    <w:rsid w:val="00C64A6E"/>
    <w:pPr>
      <w:spacing w:before="320"/>
      <w:outlineLvl w:val="1"/>
    </w:pPr>
  </w:style>
  <w:style w:type="paragraph" w:styleId="Heading3">
    <w:name w:val="heading 3"/>
    <w:basedOn w:val="Heading1"/>
    <w:next w:val="Normal"/>
    <w:qFormat/>
    <w:rsid w:val="00C64A6E"/>
    <w:pPr>
      <w:spacing w:before="200"/>
      <w:outlineLvl w:val="2"/>
    </w:pPr>
  </w:style>
  <w:style w:type="paragraph" w:styleId="Heading4">
    <w:name w:val="heading 4"/>
    <w:basedOn w:val="Heading3"/>
    <w:next w:val="Normal"/>
    <w:qFormat/>
    <w:rsid w:val="00C64A6E"/>
    <w:pPr>
      <w:tabs>
        <w:tab w:val="clear" w:pos="794"/>
        <w:tab w:val="left" w:pos="992"/>
      </w:tabs>
      <w:ind w:left="992" w:hanging="992"/>
      <w:outlineLvl w:val="3"/>
    </w:pPr>
  </w:style>
  <w:style w:type="paragraph" w:styleId="Heading5">
    <w:name w:val="heading 5"/>
    <w:basedOn w:val="Heading4"/>
    <w:next w:val="Normal"/>
    <w:qFormat/>
    <w:rsid w:val="00C64A6E"/>
    <w:pPr>
      <w:outlineLvl w:val="4"/>
    </w:pPr>
  </w:style>
  <w:style w:type="paragraph" w:styleId="Heading6">
    <w:name w:val="heading 6"/>
    <w:basedOn w:val="Heading4"/>
    <w:next w:val="Normal"/>
    <w:qFormat/>
    <w:rsid w:val="00C64A6E"/>
    <w:pPr>
      <w:tabs>
        <w:tab w:val="clear" w:pos="992"/>
        <w:tab w:val="clear" w:pos="1191"/>
      </w:tabs>
      <w:ind w:left="1588" w:hanging="1588"/>
      <w:outlineLvl w:val="5"/>
    </w:pPr>
  </w:style>
  <w:style w:type="paragraph" w:styleId="Heading7">
    <w:name w:val="heading 7"/>
    <w:basedOn w:val="Heading6"/>
    <w:next w:val="Normal"/>
    <w:qFormat/>
    <w:rsid w:val="00C64A6E"/>
    <w:pPr>
      <w:outlineLvl w:val="6"/>
    </w:pPr>
  </w:style>
  <w:style w:type="paragraph" w:styleId="Heading8">
    <w:name w:val="heading 8"/>
    <w:basedOn w:val="Heading6"/>
    <w:next w:val="Normal"/>
    <w:qFormat/>
    <w:rsid w:val="00C64A6E"/>
    <w:pPr>
      <w:outlineLvl w:val="7"/>
    </w:pPr>
  </w:style>
  <w:style w:type="paragraph" w:styleId="Heading9">
    <w:name w:val="heading 9"/>
    <w:basedOn w:val="Heading6"/>
    <w:next w:val="Normal"/>
    <w:qFormat/>
    <w:rsid w:val="00C64A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64A6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64A6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64A6E"/>
  </w:style>
  <w:style w:type="paragraph" w:customStyle="1" w:styleId="Headingb">
    <w:name w:val="Heading_b"/>
    <w:basedOn w:val="Heading3"/>
    <w:next w:val="Normal"/>
    <w:qFormat/>
    <w:rsid w:val="00C64A6E"/>
    <w:pPr>
      <w:spacing w:before="160"/>
      <w:ind w:left="0" w:firstLine="0"/>
      <w:outlineLvl w:val="9"/>
    </w:pPr>
  </w:style>
  <w:style w:type="paragraph" w:customStyle="1" w:styleId="Headingi">
    <w:name w:val="Heading_i"/>
    <w:basedOn w:val="Heading3"/>
    <w:next w:val="Normal"/>
    <w:rsid w:val="00C64A6E"/>
    <w:pPr>
      <w:spacing w:before="160"/>
      <w:ind w:left="0" w:firstLine="0"/>
    </w:pPr>
    <w:rPr>
      <w:b w:val="0"/>
      <w:i/>
    </w:rPr>
  </w:style>
  <w:style w:type="character" w:customStyle="1" w:styleId="href">
    <w:name w:val="href"/>
    <w:basedOn w:val="DefaultParagraphFont"/>
    <w:rsid w:val="00C64A6E"/>
  </w:style>
  <w:style w:type="paragraph" w:customStyle="1" w:styleId="enumlev1">
    <w:name w:val="enumlev1"/>
    <w:basedOn w:val="Normal"/>
    <w:rsid w:val="00C64A6E"/>
    <w:pPr>
      <w:spacing w:before="80"/>
      <w:ind w:left="794" w:hanging="794"/>
    </w:pPr>
  </w:style>
  <w:style w:type="paragraph" w:customStyle="1" w:styleId="enumlev2">
    <w:name w:val="enumlev2"/>
    <w:basedOn w:val="enumlev1"/>
    <w:rsid w:val="00C64A6E"/>
    <w:pPr>
      <w:ind w:left="1191" w:hanging="397"/>
    </w:pPr>
  </w:style>
  <w:style w:type="paragraph" w:customStyle="1" w:styleId="enumlev3">
    <w:name w:val="enumlev3"/>
    <w:basedOn w:val="enumlev2"/>
    <w:rsid w:val="00C64A6E"/>
    <w:pPr>
      <w:ind w:left="1588"/>
    </w:pPr>
  </w:style>
  <w:style w:type="paragraph" w:customStyle="1" w:styleId="Normalaftertitle">
    <w:name w:val="Normal_after_title"/>
    <w:basedOn w:val="Normal"/>
    <w:next w:val="Normal"/>
    <w:rsid w:val="00C64A6E"/>
    <w:pPr>
      <w:spacing w:before="320"/>
    </w:pPr>
  </w:style>
  <w:style w:type="paragraph" w:customStyle="1" w:styleId="Note">
    <w:name w:val="Note"/>
    <w:basedOn w:val="Normal"/>
    <w:rsid w:val="00C64A6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64A6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C64A6E"/>
    <w:pPr>
      <w:spacing w:before="240"/>
    </w:pPr>
    <w:rPr>
      <w:lang w:val="es-ES_tradnl"/>
    </w:rPr>
  </w:style>
  <w:style w:type="paragraph" w:customStyle="1" w:styleId="Recref">
    <w:name w:val="Rec_ref"/>
    <w:basedOn w:val="Normal"/>
    <w:next w:val="Recdate"/>
    <w:rsid w:val="00C64A6E"/>
    <w:pPr>
      <w:jc w:val="center"/>
    </w:pPr>
  </w:style>
  <w:style w:type="paragraph" w:customStyle="1" w:styleId="Recdate">
    <w:name w:val="Rec_date"/>
    <w:basedOn w:val="Recref"/>
    <w:next w:val="Normalaftertitle"/>
    <w:rsid w:val="00C64A6E"/>
    <w:pPr>
      <w:jc w:val="right"/>
    </w:pPr>
  </w:style>
  <w:style w:type="paragraph" w:customStyle="1" w:styleId="AnnexNoTitle">
    <w:name w:val="Annex_NoTitle"/>
    <w:basedOn w:val="Normal"/>
    <w:next w:val="Normalaftertitle"/>
    <w:rsid w:val="00C64A6E"/>
    <w:pPr>
      <w:keepNext/>
      <w:keepLines/>
      <w:spacing w:before="480" w:after="80"/>
      <w:jc w:val="center"/>
    </w:pPr>
    <w:rPr>
      <w:b/>
      <w:sz w:val="28"/>
    </w:rPr>
  </w:style>
  <w:style w:type="paragraph" w:customStyle="1" w:styleId="AppendixNoTitle">
    <w:name w:val="Appendix_NoTitle"/>
    <w:basedOn w:val="AnnexNoTitle"/>
    <w:next w:val="Normal"/>
    <w:rsid w:val="00C64A6E"/>
  </w:style>
  <w:style w:type="paragraph" w:customStyle="1" w:styleId="Tablefin">
    <w:name w:val="Table_fin"/>
    <w:basedOn w:val="Normal"/>
    <w:next w:val="Normal"/>
    <w:rsid w:val="00C64A6E"/>
    <w:pPr>
      <w:spacing w:before="0"/>
    </w:pPr>
    <w:rPr>
      <w:sz w:val="20"/>
      <w:lang w:val="en-GB"/>
    </w:rPr>
  </w:style>
  <w:style w:type="paragraph" w:customStyle="1" w:styleId="Tablehead">
    <w:name w:val="Table_head"/>
    <w:basedOn w:val="Normal"/>
    <w:next w:val="Normal"/>
    <w:link w:val="TableheadChar"/>
    <w:rsid w:val="00C64A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64A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64A6E"/>
    <w:pPr>
      <w:keepNext/>
      <w:spacing w:before="360" w:after="120"/>
      <w:jc w:val="center"/>
    </w:pPr>
  </w:style>
  <w:style w:type="paragraph" w:customStyle="1" w:styleId="Tabletext">
    <w:name w:val="Table_text"/>
    <w:basedOn w:val="Normal"/>
    <w:link w:val="TabletextChar"/>
    <w:rsid w:val="00C64A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64A6E"/>
    <w:pPr>
      <w:tabs>
        <w:tab w:val="clear" w:pos="1191"/>
        <w:tab w:val="clear" w:pos="1588"/>
        <w:tab w:val="clear" w:pos="1985"/>
        <w:tab w:val="center" w:pos="4820"/>
        <w:tab w:val="right" w:pos="9639"/>
      </w:tabs>
    </w:pPr>
  </w:style>
  <w:style w:type="paragraph" w:customStyle="1" w:styleId="Equationlegend">
    <w:name w:val="Equation_legend"/>
    <w:basedOn w:val="NormalIndent"/>
    <w:rsid w:val="00C64A6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64A6E"/>
    <w:pPr>
      <w:ind w:left="794"/>
    </w:pPr>
  </w:style>
  <w:style w:type="paragraph" w:customStyle="1" w:styleId="Figurelegend">
    <w:name w:val="Figure_legend"/>
    <w:basedOn w:val="Normal"/>
    <w:rsid w:val="00C64A6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64A6E"/>
    <w:pPr>
      <w:keepNext/>
      <w:keepLines/>
      <w:spacing w:before="480" w:after="80"/>
      <w:jc w:val="center"/>
    </w:pPr>
    <w:rPr>
      <w:caps/>
      <w:sz w:val="18"/>
    </w:rPr>
  </w:style>
  <w:style w:type="paragraph" w:customStyle="1" w:styleId="tocpart">
    <w:name w:val="tocpart"/>
    <w:basedOn w:val="Normal"/>
    <w:rsid w:val="00C64A6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64A6E"/>
    <w:pPr>
      <w:keepNext/>
      <w:keepLines/>
      <w:spacing w:before="480"/>
      <w:jc w:val="center"/>
    </w:pPr>
    <w:rPr>
      <w:sz w:val="28"/>
    </w:rPr>
  </w:style>
  <w:style w:type="paragraph" w:customStyle="1" w:styleId="Arttitle">
    <w:name w:val="Art_title"/>
    <w:basedOn w:val="Normal"/>
    <w:next w:val="Normalaftertitle"/>
    <w:rsid w:val="00C64A6E"/>
    <w:pPr>
      <w:keepNext/>
      <w:keepLines/>
      <w:spacing w:before="240"/>
      <w:jc w:val="center"/>
    </w:pPr>
    <w:rPr>
      <w:b/>
      <w:sz w:val="28"/>
    </w:rPr>
  </w:style>
  <w:style w:type="paragraph" w:customStyle="1" w:styleId="Blanc">
    <w:name w:val="Blanc"/>
    <w:basedOn w:val="Normal"/>
    <w:next w:val="Tabletext"/>
    <w:rsid w:val="00C64A6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64A6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64A6E"/>
    <w:pPr>
      <w:keepNext/>
      <w:keepLines/>
      <w:spacing w:before="160"/>
      <w:ind w:left="794"/>
    </w:pPr>
    <w:rPr>
      <w:i/>
    </w:rPr>
  </w:style>
  <w:style w:type="paragraph" w:customStyle="1" w:styleId="ChapNo">
    <w:name w:val="Chap_No"/>
    <w:basedOn w:val="ArtNo"/>
    <w:next w:val="Chaptitle"/>
    <w:rsid w:val="00C64A6E"/>
    <w:rPr>
      <w:b/>
    </w:rPr>
  </w:style>
  <w:style w:type="paragraph" w:customStyle="1" w:styleId="Chaptitle">
    <w:name w:val="Chap_title"/>
    <w:basedOn w:val="Arttitle"/>
    <w:next w:val="Normalaftertitle"/>
    <w:rsid w:val="00C64A6E"/>
  </w:style>
  <w:style w:type="character" w:styleId="FootnoteReference">
    <w:name w:val="footnote reference"/>
    <w:basedOn w:val="DefaultParagraphFont"/>
    <w:semiHidden/>
    <w:rsid w:val="00C64A6E"/>
    <w:rPr>
      <w:position w:val="6"/>
      <w:sz w:val="18"/>
    </w:rPr>
  </w:style>
  <w:style w:type="paragraph" w:styleId="FootnoteText">
    <w:name w:val="footnote text"/>
    <w:basedOn w:val="Normal"/>
    <w:semiHidden/>
    <w:rsid w:val="00C64A6E"/>
    <w:pPr>
      <w:keepLines/>
      <w:tabs>
        <w:tab w:val="left" w:pos="255"/>
      </w:tabs>
      <w:ind w:left="255" w:hanging="255"/>
    </w:pPr>
    <w:rPr>
      <w:sz w:val="22"/>
    </w:rPr>
  </w:style>
  <w:style w:type="paragraph" w:styleId="Index1">
    <w:name w:val="index 1"/>
    <w:basedOn w:val="Normal"/>
    <w:next w:val="Normal"/>
    <w:semiHidden/>
    <w:rsid w:val="00C64A6E"/>
  </w:style>
  <w:style w:type="paragraph" w:styleId="Index2">
    <w:name w:val="index 2"/>
    <w:basedOn w:val="Normal"/>
    <w:next w:val="Normal"/>
    <w:semiHidden/>
    <w:rsid w:val="00C64A6E"/>
    <w:pPr>
      <w:ind w:left="283"/>
    </w:pPr>
  </w:style>
  <w:style w:type="paragraph" w:styleId="Index3">
    <w:name w:val="index 3"/>
    <w:basedOn w:val="Normal"/>
    <w:next w:val="Normal"/>
    <w:semiHidden/>
    <w:rsid w:val="00C64A6E"/>
    <w:pPr>
      <w:ind w:left="566"/>
    </w:pPr>
  </w:style>
  <w:style w:type="paragraph" w:styleId="IndexHeading">
    <w:name w:val="index heading"/>
    <w:basedOn w:val="Normal"/>
    <w:next w:val="Index1"/>
    <w:semiHidden/>
    <w:rsid w:val="00C64A6E"/>
  </w:style>
  <w:style w:type="paragraph" w:customStyle="1" w:styleId="Line">
    <w:name w:val="Line"/>
    <w:basedOn w:val="Normal"/>
    <w:next w:val="Normal"/>
    <w:rsid w:val="00C64A6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64A6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64A6E"/>
  </w:style>
  <w:style w:type="paragraph" w:customStyle="1" w:styleId="Partref">
    <w:name w:val="Part_ref"/>
    <w:basedOn w:val="Normal"/>
    <w:next w:val="Normal"/>
    <w:rsid w:val="00C64A6E"/>
    <w:pPr>
      <w:keepNext/>
      <w:keepLines/>
      <w:spacing w:after="280"/>
      <w:jc w:val="center"/>
    </w:pPr>
  </w:style>
  <w:style w:type="paragraph" w:customStyle="1" w:styleId="Parttitle">
    <w:name w:val="Part_title"/>
    <w:basedOn w:val="Normal"/>
    <w:next w:val="Normalaftertitle"/>
    <w:rsid w:val="00C64A6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64A6E"/>
  </w:style>
  <w:style w:type="paragraph" w:customStyle="1" w:styleId="QuestionNo">
    <w:name w:val="Question_No"/>
    <w:basedOn w:val="RecNo"/>
    <w:next w:val="Normal"/>
    <w:rsid w:val="00C64A6E"/>
  </w:style>
  <w:style w:type="paragraph" w:customStyle="1" w:styleId="Questionref">
    <w:name w:val="Question_ref"/>
    <w:basedOn w:val="Recref"/>
    <w:next w:val="Questiondate"/>
    <w:rsid w:val="00C64A6E"/>
  </w:style>
  <w:style w:type="paragraph" w:customStyle="1" w:styleId="Questiontitle">
    <w:name w:val="Question_title"/>
    <w:basedOn w:val="Normal"/>
    <w:next w:val="Questionref"/>
    <w:rsid w:val="00C64A6E"/>
  </w:style>
  <w:style w:type="paragraph" w:customStyle="1" w:styleId="Reftext">
    <w:name w:val="Ref_text"/>
    <w:basedOn w:val="Normal"/>
    <w:rsid w:val="00C64A6E"/>
    <w:pPr>
      <w:ind w:left="794" w:hanging="794"/>
    </w:pPr>
    <w:rPr>
      <w:sz w:val="22"/>
    </w:rPr>
  </w:style>
  <w:style w:type="paragraph" w:customStyle="1" w:styleId="Reftitle">
    <w:name w:val="Ref_title"/>
    <w:basedOn w:val="Normal"/>
    <w:next w:val="Reftext"/>
    <w:rsid w:val="00C64A6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64A6E"/>
  </w:style>
  <w:style w:type="paragraph" w:customStyle="1" w:styleId="RepNo">
    <w:name w:val="Rep_No"/>
    <w:basedOn w:val="RecNo"/>
    <w:next w:val="Reptitle"/>
    <w:rsid w:val="00C64A6E"/>
  </w:style>
  <w:style w:type="paragraph" w:customStyle="1" w:styleId="Repref">
    <w:name w:val="Rep_ref"/>
    <w:basedOn w:val="Recref"/>
    <w:next w:val="Repdate"/>
    <w:rsid w:val="00C64A6E"/>
  </w:style>
  <w:style w:type="paragraph" w:customStyle="1" w:styleId="Reptitle">
    <w:name w:val="Rep_title"/>
    <w:basedOn w:val="Rectitle"/>
    <w:next w:val="Repref"/>
    <w:rsid w:val="00C64A6E"/>
  </w:style>
  <w:style w:type="paragraph" w:customStyle="1" w:styleId="Resdate">
    <w:name w:val="Res_date"/>
    <w:basedOn w:val="Recdate"/>
    <w:next w:val="Normalaftertitle"/>
    <w:rsid w:val="00C64A6E"/>
  </w:style>
  <w:style w:type="paragraph" w:customStyle="1" w:styleId="ResNo">
    <w:name w:val="Res_No"/>
    <w:basedOn w:val="RecNo"/>
    <w:next w:val="Restitle"/>
    <w:rsid w:val="00C64A6E"/>
  </w:style>
  <w:style w:type="paragraph" w:customStyle="1" w:styleId="Resref">
    <w:name w:val="Res_ref"/>
    <w:basedOn w:val="Recref"/>
    <w:next w:val="Resdate"/>
    <w:rsid w:val="00C64A6E"/>
  </w:style>
  <w:style w:type="paragraph" w:customStyle="1" w:styleId="Restitle">
    <w:name w:val="Res_title"/>
    <w:basedOn w:val="Normal"/>
    <w:next w:val="Resref"/>
    <w:rsid w:val="00C64A6E"/>
    <w:pPr>
      <w:spacing w:before="240"/>
      <w:jc w:val="center"/>
    </w:pPr>
    <w:rPr>
      <w:b/>
      <w:sz w:val="28"/>
    </w:rPr>
  </w:style>
  <w:style w:type="paragraph" w:customStyle="1" w:styleId="SectionNo">
    <w:name w:val="Section_No"/>
    <w:basedOn w:val="Normal"/>
    <w:next w:val="Normal"/>
    <w:rsid w:val="00C64A6E"/>
  </w:style>
  <w:style w:type="paragraph" w:customStyle="1" w:styleId="Sectiontitle">
    <w:name w:val="Section_title"/>
    <w:basedOn w:val="Normal"/>
    <w:next w:val="Normalaftertitle"/>
    <w:rsid w:val="00C64A6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64A6E"/>
    <w:pPr>
      <w:tabs>
        <w:tab w:val="clear" w:pos="794"/>
        <w:tab w:val="clear" w:pos="1191"/>
        <w:tab w:val="clear" w:pos="1588"/>
        <w:tab w:val="clear" w:pos="1985"/>
        <w:tab w:val="right" w:pos="9611"/>
      </w:tabs>
    </w:pPr>
    <w:rPr>
      <w:i/>
    </w:rPr>
  </w:style>
  <w:style w:type="paragraph" w:styleId="TOC1">
    <w:name w:val="toc 1"/>
    <w:basedOn w:val="Normal"/>
    <w:semiHidden/>
    <w:rsid w:val="00C64A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64A6E"/>
    <w:pPr>
      <w:tabs>
        <w:tab w:val="clear" w:pos="567"/>
        <w:tab w:val="left" w:pos="1276"/>
      </w:tabs>
      <w:spacing w:before="160"/>
      <w:ind w:left="1276" w:hanging="709"/>
    </w:pPr>
  </w:style>
  <w:style w:type="paragraph" w:styleId="TOC3">
    <w:name w:val="toc 3"/>
    <w:basedOn w:val="TOC2"/>
    <w:semiHidden/>
    <w:rsid w:val="00C64A6E"/>
    <w:pPr>
      <w:tabs>
        <w:tab w:val="clear" w:pos="1276"/>
        <w:tab w:val="left" w:pos="2155"/>
      </w:tabs>
      <w:ind w:left="2155" w:hanging="879"/>
    </w:pPr>
  </w:style>
  <w:style w:type="paragraph" w:styleId="TOC4">
    <w:name w:val="toc 4"/>
    <w:basedOn w:val="TOC3"/>
    <w:semiHidden/>
    <w:rsid w:val="00C64A6E"/>
    <w:pPr>
      <w:tabs>
        <w:tab w:val="left" w:pos="3261"/>
      </w:tabs>
      <w:spacing w:before="80"/>
      <w:ind w:left="3261" w:hanging="993"/>
    </w:pPr>
  </w:style>
  <w:style w:type="paragraph" w:styleId="TOC5">
    <w:name w:val="toc 5"/>
    <w:basedOn w:val="TOC4"/>
    <w:semiHidden/>
    <w:rsid w:val="00C64A6E"/>
  </w:style>
  <w:style w:type="paragraph" w:styleId="TOC6">
    <w:name w:val="toc 6"/>
    <w:basedOn w:val="TOC4"/>
    <w:semiHidden/>
    <w:rsid w:val="00C64A6E"/>
  </w:style>
  <w:style w:type="paragraph" w:styleId="TOC7">
    <w:name w:val="toc 7"/>
    <w:basedOn w:val="TOC4"/>
    <w:semiHidden/>
    <w:rsid w:val="00C64A6E"/>
  </w:style>
  <w:style w:type="paragraph" w:styleId="TOC8">
    <w:name w:val="toc 8"/>
    <w:basedOn w:val="TOC4"/>
    <w:semiHidden/>
    <w:rsid w:val="00C64A6E"/>
  </w:style>
  <w:style w:type="paragraph" w:customStyle="1" w:styleId="Rectitle">
    <w:name w:val="Rec_title"/>
    <w:basedOn w:val="Normal"/>
    <w:next w:val="Recref"/>
    <w:rsid w:val="00C64A6E"/>
    <w:pPr>
      <w:keepNext/>
      <w:keepLines/>
      <w:spacing w:before="240"/>
      <w:jc w:val="center"/>
    </w:pPr>
    <w:rPr>
      <w:b/>
      <w:sz w:val="28"/>
    </w:rPr>
  </w:style>
  <w:style w:type="paragraph" w:customStyle="1" w:styleId="Annexref">
    <w:name w:val="Annex_ref"/>
    <w:basedOn w:val="Normal"/>
    <w:next w:val="Normalaftertitle"/>
    <w:rsid w:val="00C64A6E"/>
    <w:pPr>
      <w:keepNext/>
      <w:keepLines/>
      <w:spacing w:after="280"/>
      <w:jc w:val="center"/>
    </w:pPr>
  </w:style>
  <w:style w:type="paragraph" w:customStyle="1" w:styleId="Appendixref">
    <w:name w:val="Appendix_ref"/>
    <w:basedOn w:val="Annexref"/>
    <w:next w:val="Normalaftertitle"/>
    <w:rsid w:val="00C64A6E"/>
  </w:style>
  <w:style w:type="paragraph" w:customStyle="1" w:styleId="Figuretitle">
    <w:name w:val="Figure_title"/>
    <w:basedOn w:val="Normal"/>
    <w:next w:val="Figure"/>
    <w:rsid w:val="00C64A6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C64A6E"/>
    <w:pPr>
      <w:keepNext/>
      <w:spacing w:before="0" w:after="120"/>
      <w:jc w:val="center"/>
    </w:pPr>
    <w:rPr>
      <w:b/>
    </w:rPr>
  </w:style>
  <w:style w:type="paragraph" w:customStyle="1" w:styleId="Summary">
    <w:name w:val="Summary"/>
    <w:basedOn w:val="Normal"/>
    <w:next w:val="Normalaftertitle"/>
    <w:link w:val="SummaryChar"/>
    <w:autoRedefine/>
    <w:rsid w:val="00911F97"/>
    <w:rPr>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C64A6E"/>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C64A6E"/>
    <w:pPr>
      <w:ind w:left="-85" w:firstLine="0"/>
    </w:pPr>
    <w:rPr>
      <w:lang w:val="en-US"/>
    </w:rPr>
  </w:style>
  <w:style w:type="character" w:customStyle="1" w:styleId="SummaryChar">
    <w:name w:val="Summary Char"/>
    <w:basedOn w:val="DefaultParagraphFont"/>
    <w:link w:val="Summary"/>
    <w:rsid w:val="00911F97"/>
    <w:rPr>
      <w:sz w:val="24"/>
      <w:lang w:val="es-ES_tradnl" w:eastAsia="en-US"/>
    </w:rPr>
  </w:style>
  <w:style w:type="paragraph" w:customStyle="1" w:styleId="Reasons">
    <w:name w:val="Reasons"/>
    <w:basedOn w:val="Normal"/>
    <w:qFormat/>
    <w:rsid w:val="00A107FE"/>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TableheadChar">
    <w:name w:val="Table_head Char"/>
    <w:basedOn w:val="DefaultParagraphFont"/>
    <w:link w:val="Tablehead"/>
    <w:locked/>
    <w:rsid w:val="00911F97"/>
    <w:rPr>
      <w:b/>
      <w:sz w:val="22"/>
      <w:lang w:val="fr-FR" w:eastAsia="en-US"/>
    </w:rPr>
  </w:style>
  <w:style w:type="character" w:customStyle="1" w:styleId="TabletextChar">
    <w:name w:val="Table_text Char"/>
    <w:basedOn w:val="DefaultParagraphFont"/>
    <w:link w:val="Tabletext"/>
    <w:locked/>
    <w:rsid w:val="00911F97"/>
    <w:rPr>
      <w:sz w:val="22"/>
      <w:lang w:val="fr-FR" w:eastAsia="en-US"/>
    </w:rPr>
  </w:style>
  <w:style w:type="character" w:customStyle="1" w:styleId="Heading1Char">
    <w:name w:val="Heading 1 Char"/>
    <w:basedOn w:val="DefaultParagraphFont"/>
    <w:link w:val="Heading1"/>
    <w:rsid w:val="00744CC5"/>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0</TotalTime>
  <Pages>1</Pages>
  <Words>2177</Words>
  <Characters>12577</Characters>
  <Application>Microsoft Office Word</Application>
  <DocSecurity>0</DocSecurity>
  <Lines>381</Lines>
  <Paragraphs>67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14687</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5</cp:revision>
  <cp:lastPrinted>2016-05-09T11:45:00Z</cp:lastPrinted>
  <dcterms:created xsi:type="dcterms:W3CDTF">2016-05-09T11:38:00Z</dcterms:created>
  <dcterms:modified xsi:type="dcterms:W3CDTF">2016-05-09T11:45:00Z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