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2F754C">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2F754C">
              <w:rPr>
                <w:rFonts w:ascii="Tahoma" w:hAnsi="Tahoma" w:cs="Tahoma"/>
                <w:b/>
                <w:bCs/>
                <w:iCs/>
                <w:color w:val="243285"/>
                <w:sz w:val="36"/>
                <w:szCs w:val="36"/>
              </w:rPr>
              <w:t>2006</w:t>
            </w:r>
          </w:p>
          <w:p w:rsidR="00FE79FE" w:rsidRPr="004F65E4" w:rsidRDefault="00FE79FE" w:rsidP="002F754C">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2F754C">
              <w:rPr>
                <w:rFonts w:ascii="Tahoma" w:hAnsi="Tahoma" w:cs="Tahoma"/>
                <w:b/>
                <w:bCs/>
                <w:iCs/>
                <w:color w:val="243285"/>
                <w:szCs w:val="24"/>
              </w:rPr>
              <w:t>03</w:t>
            </w:r>
            <w:r w:rsidRPr="004F65E4">
              <w:rPr>
                <w:rFonts w:ascii="Tahoma" w:hAnsi="Tahoma" w:cs="Tahoma"/>
                <w:b/>
                <w:bCs/>
                <w:iCs/>
                <w:color w:val="243285"/>
                <w:szCs w:val="24"/>
              </w:rPr>
              <w:t>/</w:t>
            </w:r>
            <w:r w:rsidR="002F754C">
              <w:rPr>
                <w:rFonts w:ascii="Tahoma" w:hAnsi="Tahoma" w:cs="Tahoma"/>
                <w:b/>
                <w:bCs/>
                <w:iCs/>
                <w:color w:val="243285"/>
                <w:szCs w:val="24"/>
              </w:rPr>
              <w:t>2012</w:t>
            </w:r>
            <w:r w:rsidRPr="004F65E4">
              <w:rPr>
                <w:rFonts w:ascii="Tahoma" w:hAnsi="Tahoma" w:cs="Tahoma"/>
                <w:b/>
                <w:bCs/>
                <w:iCs/>
                <w:color w:val="243285"/>
                <w:szCs w:val="24"/>
              </w:rPr>
              <w:t>)</w:t>
            </w:r>
          </w:p>
        </w:tc>
      </w:tr>
      <w:tr w:rsidR="00FE79FE" w:rsidRPr="000319F9">
        <w:tc>
          <w:tcPr>
            <w:tcW w:w="10089" w:type="dxa"/>
          </w:tcPr>
          <w:p w:rsidR="00013002" w:rsidRPr="00142EE8"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2F754C" w:rsidP="002F754C">
            <w:pPr>
              <w:spacing w:before="80" w:line="500" w:lineRule="exact"/>
              <w:jc w:val="right"/>
              <w:rPr>
                <w:rFonts w:ascii="Tahoma" w:hAnsi="Tahoma" w:cs="Tahoma"/>
                <w:b/>
                <w:bCs/>
                <w:iCs/>
                <w:color w:val="243285"/>
                <w:sz w:val="44"/>
                <w:szCs w:val="44"/>
                <w:lang w:val="en-US"/>
              </w:rPr>
            </w:pPr>
            <w:r w:rsidRPr="002F754C">
              <w:rPr>
                <w:rFonts w:ascii="Tahoma" w:hAnsi="Tahoma" w:cs="Tahoma"/>
                <w:b/>
                <w:bCs/>
                <w:iCs/>
                <w:color w:val="243285"/>
                <w:sz w:val="44"/>
                <w:szCs w:val="44"/>
                <w:lang w:val="en-US"/>
              </w:rPr>
              <w:t xml:space="preserve">Radio-frequency channel and block arrangements for fixed wireless systems </w:t>
            </w:r>
            <w:r w:rsidRPr="002F754C">
              <w:rPr>
                <w:rFonts w:ascii="Tahoma" w:hAnsi="Tahoma" w:cs="Tahoma"/>
                <w:b/>
                <w:bCs/>
                <w:iCs/>
                <w:color w:val="243285"/>
                <w:sz w:val="44"/>
                <w:szCs w:val="44"/>
                <w:lang w:val="en-US"/>
              </w:rPr>
              <w:br/>
              <w:t>operating in the 71-76 and 81-86 GHz bands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Pr="002F754C" w:rsidRDefault="00677965" w:rsidP="00677965">
            <w:pPr>
              <w:spacing w:before="80" w:line="280" w:lineRule="exact"/>
              <w:ind w:right="640"/>
              <w:rPr>
                <w:rFonts w:ascii="Tahoma" w:hAnsi="Tahoma" w:cs="Tahoma"/>
                <w:b/>
                <w:bCs/>
                <w:iCs/>
                <w:color w:val="243285"/>
                <w:sz w:val="32"/>
                <w:szCs w:val="32"/>
                <w:lang w:val="en-US"/>
              </w:rPr>
            </w:pPr>
          </w:p>
          <w:p w:rsidR="00677965" w:rsidRPr="002F754C" w:rsidRDefault="00677965" w:rsidP="00677965">
            <w:pPr>
              <w:spacing w:before="80" w:line="280" w:lineRule="exact"/>
              <w:ind w:right="640"/>
              <w:rPr>
                <w:rFonts w:ascii="Tahoma" w:hAnsi="Tahoma" w:cs="Tahoma"/>
                <w:b/>
                <w:bCs/>
                <w:iCs/>
                <w:color w:val="243285"/>
                <w:sz w:val="32"/>
                <w:szCs w:val="32"/>
                <w:lang w:val="en-US"/>
              </w:rPr>
            </w:pPr>
          </w:p>
          <w:p w:rsidR="00677965" w:rsidRPr="002F754C" w:rsidRDefault="00677965" w:rsidP="00677965">
            <w:pPr>
              <w:spacing w:before="80" w:after="180" w:line="360" w:lineRule="exact"/>
              <w:ind w:right="720"/>
              <w:rPr>
                <w:rFonts w:ascii="Tahoma" w:hAnsi="Tahoma" w:cs="Tahoma"/>
                <w:b/>
                <w:bCs/>
                <w:iCs/>
                <w:color w:val="243285"/>
                <w:sz w:val="36"/>
                <w:szCs w:val="36"/>
                <w:lang w:val="en-US"/>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0319F9">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19F9"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19F9"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19F9">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0319F9">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0269C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w:t>
      </w:r>
      <w:r w:rsidR="0048422F">
        <w:rPr>
          <w:sz w:val="20"/>
          <w:lang w:val="en-US"/>
        </w:rPr>
        <w:t>2</w:t>
      </w:r>
    </w:p>
    <w:p w:rsidR="00470E28" w:rsidRDefault="00470E28" w:rsidP="00906589">
      <w:pPr>
        <w:jc w:val="center"/>
        <w:rPr>
          <w:sz w:val="22"/>
          <w:lang w:val="en-US"/>
        </w:rPr>
      </w:pPr>
    </w:p>
    <w:p w:rsidR="00586EF8" w:rsidRPr="00470E28" w:rsidRDefault="00586EF8" w:rsidP="000269C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w:t>
      </w:r>
      <w:r w:rsidR="0048422F">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B515B2" w:rsidRDefault="00934ED7" w:rsidP="002F754C">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sidR="00E406BD">
        <w:rPr>
          <w:rStyle w:val="href"/>
          <w:lang w:val="en-US"/>
        </w:rPr>
        <w:t>F</w:t>
      </w:r>
      <w:r w:rsidRPr="00BF487A">
        <w:rPr>
          <w:rStyle w:val="href"/>
          <w:lang w:val="en-US"/>
        </w:rPr>
        <w:t>.</w:t>
      </w:r>
      <w:r w:rsidR="002F754C">
        <w:rPr>
          <w:rStyle w:val="href"/>
          <w:lang w:val="en-US"/>
        </w:rPr>
        <w:t>2006</w:t>
      </w:r>
    </w:p>
    <w:p w:rsidR="00464BE1" w:rsidRDefault="00464BE1" w:rsidP="00464BE1">
      <w:pPr>
        <w:pStyle w:val="Rectitle"/>
        <w:rPr>
          <w:lang w:val="en-US"/>
        </w:rPr>
      </w:pPr>
      <w:r w:rsidRPr="002F754C">
        <w:rPr>
          <w:lang w:val="en-US"/>
        </w:rPr>
        <w:t xml:space="preserve">Radio-frequency channel and block arrangements for fixed wireless systems </w:t>
      </w:r>
      <w:r w:rsidRPr="002F754C">
        <w:rPr>
          <w:lang w:val="en-US"/>
        </w:rPr>
        <w:br/>
        <w:t>operating in the 71-76 and 81-86 GHz ba</w:t>
      </w:r>
      <w:r>
        <w:rPr>
          <w:lang w:val="en-US"/>
        </w:rPr>
        <w:t>nds</w:t>
      </w:r>
    </w:p>
    <w:p w:rsidR="002F754C" w:rsidRPr="002F754C" w:rsidRDefault="002F754C" w:rsidP="00243E29">
      <w:pPr>
        <w:pStyle w:val="Recdate"/>
        <w:rPr>
          <w:lang w:val="en-US" w:eastAsia="ja-JP"/>
        </w:rPr>
      </w:pPr>
      <w:r w:rsidRPr="002F754C">
        <w:rPr>
          <w:lang w:val="en-US"/>
        </w:rPr>
        <w:t>(2012)</w:t>
      </w:r>
    </w:p>
    <w:p w:rsidR="002F754C" w:rsidRPr="00464BE1" w:rsidRDefault="002F754C" w:rsidP="00243E29">
      <w:pPr>
        <w:pStyle w:val="HeadingSum"/>
        <w:rPr>
          <w:lang w:val="en-GB" w:eastAsia="ja-JP"/>
        </w:rPr>
      </w:pPr>
      <w:r w:rsidRPr="00464BE1">
        <w:rPr>
          <w:lang w:val="en-GB"/>
        </w:rPr>
        <w:t>Scope</w:t>
      </w:r>
    </w:p>
    <w:p w:rsidR="002F754C" w:rsidRPr="00464BE1" w:rsidRDefault="002F754C" w:rsidP="00464BE1">
      <w:pPr>
        <w:pStyle w:val="Summary"/>
        <w:rPr>
          <w:lang w:val="en-GB" w:eastAsia="ko-KR"/>
        </w:rPr>
      </w:pPr>
      <w:r w:rsidRPr="00464BE1">
        <w:rPr>
          <w:lang w:val="en-GB" w:eastAsia="ja-JP"/>
        </w:rPr>
        <w:t xml:space="preserve">This Recommendation provides radio-frequency channel and </w:t>
      </w:r>
      <w:r w:rsidRPr="00464BE1">
        <w:rPr>
          <w:lang w:val="en-GB" w:eastAsia="ko-KR"/>
        </w:rPr>
        <w:t>block</w:t>
      </w:r>
      <w:r w:rsidRPr="00464BE1">
        <w:rPr>
          <w:lang w:val="en-GB" w:eastAsia="ja-JP"/>
        </w:rPr>
        <w:t xml:space="preserve"> arrangements for fixed wireless systems</w:t>
      </w:r>
      <w:r w:rsidRPr="00464BE1">
        <w:rPr>
          <w:lang w:val="en-GB" w:eastAsia="ko-KR"/>
        </w:rPr>
        <w:t xml:space="preserve"> (FWS)</w:t>
      </w:r>
      <w:r w:rsidRPr="00464BE1">
        <w:rPr>
          <w:lang w:val="en-GB" w:eastAsia="ja-JP"/>
        </w:rPr>
        <w:t xml:space="preserve"> operating in the </w:t>
      </w:r>
      <w:r w:rsidRPr="00464BE1">
        <w:rPr>
          <w:lang w:val="en-GB" w:eastAsia="ko-KR"/>
        </w:rPr>
        <w:t>71-76/81-86</w:t>
      </w:r>
      <w:r w:rsidRPr="00464BE1">
        <w:rPr>
          <w:lang w:val="en-GB"/>
        </w:rPr>
        <w:t xml:space="preserve"> GHz </w:t>
      </w:r>
      <w:r w:rsidRPr="00464BE1">
        <w:rPr>
          <w:lang w:val="en-GB" w:eastAsia="ko-KR"/>
        </w:rPr>
        <w:t>range</w:t>
      </w:r>
      <w:r w:rsidRPr="00464BE1">
        <w:rPr>
          <w:lang w:val="en-GB" w:eastAsia="ja-JP"/>
        </w:rPr>
        <w:t xml:space="preserve">, which may be used for </w:t>
      </w:r>
      <w:r w:rsidRPr="00464BE1">
        <w:rPr>
          <w:iCs/>
          <w:lang w:val="en-GB" w:eastAsia="ko-KR"/>
        </w:rPr>
        <w:t xml:space="preserve">broadband </w:t>
      </w:r>
      <w:r w:rsidRPr="00464BE1">
        <w:rPr>
          <w:iCs/>
          <w:lang w:val="en-GB" w:eastAsia="ja-JP"/>
        </w:rPr>
        <w:t>applications</w:t>
      </w:r>
      <w:r w:rsidRPr="00464BE1">
        <w:rPr>
          <w:iCs/>
          <w:lang w:val="en-GB" w:eastAsia="ko-KR"/>
        </w:rPr>
        <w:t xml:space="preserve"> and other high-speed networks</w:t>
      </w:r>
      <w:r w:rsidRPr="00464BE1">
        <w:rPr>
          <w:lang w:val="en-GB" w:eastAsia="ja-JP"/>
        </w:rPr>
        <w:t>. The preferred arrangements are based on common h</w:t>
      </w:r>
      <w:r w:rsidRPr="00464BE1">
        <w:rPr>
          <w:lang w:val="en-GB" w:eastAsia="ko-KR"/>
        </w:rPr>
        <w:t xml:space="preserve">omogeneous pattern with elementary slots of 125 MHz. </w:t>
      </w:r>
      <w:r w:rsidRPr="00464BE1">
        <w:rPr>
          <w:lang w:val="en-GB"/>
        </w:rPr>
        <w:t xml:space="preserve">The preferred radio-frequency </w:t>
      </w:r>
      <w:r w:rsidRPr="00464BE1">
        <w:rPr>
          <w:lang w:val="en-GB" w:eastAsia="ko-KR"/>
        </w:rPr>
        <w:t>block</w:t>
      </w:r>
      <w:r w:rsidRPr="00464BE1">
        <w:rPr>
          <w:lang w:val="en-GB"/>
        </w:rPr>
        <w:t xml:space="preserve"> arrangements are based on </w:t>
      </w:r>
      <w:r w:rsidRPr="00464BE1">
        <w:rPr>
          <w:lang w:val="en-GB" w:eastAsia="ko-KR"/>
        </w:rPr>
        <w:t>5</w:t>
      </w:r>
      <w:r w:rsidRPr="00464BE1">
        <w:rPr>
          <w:lang w:val="en-GB"/>
        </w:rPr>
        <w:t> </w:t>
      </w:r>
      <w:r w:rsidRPr="00464BE1">
        <w:rPr>
          <w:lang w:val="en-GB" w:eastAsia="ko-KR"/>
        </w:rPr>
        <w:t>GHz</w:t>
      </w:r>
      <w:r w:rsidRPr="00464BE1">
        <w:rPr>
          <w:lang w:val="en-GB"/>
        </w:rPr>
        <w:t xml:space="preserve"> sub</w:t>
      </w:r>
      <w:r w:rsidR="00464BE1">
        <w:rPr>
          <w:lang w:val="en-GB"/>
        </w:rPr>
        <w:noBreakHyphen/>
      </w:r>
      <w:r w:rsidRPr="00464BE1">
        <w:rPr>
          <w:lang w:val="en-GB"/>
        </w:rPr>
        <w:t xml:space="preserve">band or </w:t>
      </w:r>
      <w:r w:rsidRPr="00464BE1">
        <w:rPr>
          <w:lang w:val="en-GB" w:eastAsia="ko-KR"/>
        </w:rPr>
        <w:t>block</w:t>
      </w:r>
      <w:r w:rsidRPr="00464BE1">
        <w:rPr>
          <w:lang w:val="en-GB"/>
        </w:rPr>
        <w:t xml:space="preserve"> possibly sub</w:t>
      </w:r>
      <w:r w:rsidRPr="00464BE1">
        <w:rPr>
          <w:lang w:val="en-GB" w:eastAsia="ko-KR"/>
        </w:rPr>
        <w:t>divid</w:t>
      </w:r>
      <w:r w:rsidRPr="00464BE1">
        <w:rPr>
          <w:lang w:val="en-GB"/>
        </w:rPr>
        <w:t xml:space="preserve">ed to form </w:t>
      </w:r>
      <w:r w:rsidRPr="00464BE1">
        <w:rPr>
          <w:lang w:val="en-GB" w:eastAsia="ko-KR"/>
        </w:rPr>
        <w:t>small</w:t>
      </w:r>
      <w:r w:rsidRPr="00464BE1">
        <w:rPr>
          <w:lang w:val="en-GB"/>
        </w:rPr>
        <w:t xml:space="preserve">er </w:t>
      </w:r>
      <w:r w:rsidRPr="00464BE1">
        <w:rPr>
          <w:lang w:val="en-GB" w:eastAsia="ko-KR"/>
        </w:rPr>
        <w:t>blocks</w:t>
      </w:r>
      <w:r w:rsidRPr="00464BE1">
        <w:rPr>
          <w:lang w:val="en-GB"/>
        </w:rPr>
        <w:t>.</w:t>
      </w:r>
      <w:r w:rsidRPr="00464BE1">
        <w:rPr>
          <w:lang w:val="en-GB" w:eastAsia="ko-KR"/>
        </w:rPr>
        <w:t xml:space="preserve"> The preferred channel arrangement provides flexible identification of channel sizes from 250 MHz to 4 500 MHz and duplex frequency either of 2.5 GHz (single sub-band, 71-76 GHz or 81-86 GHz, arrangement) or 10 GHz (joint sub-bands, 71-76 GHz and 81</w:t>
      </w:r>
      <w:r w:rsidRPr="00464BE1">
        <w:rPr>
          <w:lang w:val="en-GB" w:eastAsia="ko-KR"/>
        </w:rPr>
        <w:noBreakHyphen/>
        <w:t>86 GHz together, arrangements).</w:t>
      </w:r>
    </w:p>
    <w:p w:rsidR="002F754C" w:rsidRPr="00142EE8" w:rsidRDefault="002F754C" w:rsidP="00464BE1">
      <w:pPr>
        <w:pStyle w:val="Normalaftertitle"/>
        <w:rPr>
          <w:lang w:val="en-US"/>
        </w:rPr>
      </w:pPr>
      <w:r w:rsidRPr="00142EE8">
        <w:rPr>
          <w:lang w:val="en-US"/>
        </w:rPr>
        <w:t>The ITU Radiocommunication Assembly,</w:t>
      </w:r>
    </w:p>
    <w:p w:rsidR="002F754C" w:rsidRPr="002F754C" w:rsidRDefault="002F754C" w:rsidP="002F754C">
      <w:pPr>
        <w:pStyle w:val="Call"/>
        <w:rPr>
          <w:lang w:val="en-US"/>
        </w:rPr>
      </w:pPr>
      <w:r w:rsidRPr="002F754C">
        <w:rPr>
          <w:lang w:val="en-US"/>
        </w:rPr>
        <w:t>considering</w:t>
      </w:r>
    </w:p>
    <w:p w:rsidR="002F754C" w:rsidRPr="002F754C" w:rsidRDefault="002F754C" w:rsidP="002F754C">
      <w:pPr>
        <w:rPr>
          <w:lang w:val="en-US" w:eastAsia="ko-KR"/>
        </w:rPr>
      </w:pPr>
      <w:r w:rsidRPr="002F754C">
        <w:rPr>
          <w:lang w:val="en-US" w:eastAsia="ko-KR"/>
        </w:rPr>
        <w:t>a)</w:t>
      </w:r>
      <w:r w:rsidRPr="002F754C">
        <w:rPr>
          <w:lang w:val="en-US" w:eastAsia="ko-KR"/>
        </w:rPr>
        <w:tab/>
      </w:r>
      <w:r w:rsidRPr="002F754C">
        <w:rPr>
          <w:lang w:val="en-US"/>
        </w:rPr>
        <w:t xml:space="preserve">that there is </w:t>
      </w:r>
      <w:r w:rsidRPr="002F754C">
        <w:rPr>
          <w:lang w:val="en-US" w:eastAsia="ko-KR"/>
        </w:rPr>
        <w:t xml:space="preserve">a </w:t>
      </w:r>
      <w:r w:rsidRPr="002F754C">
        <w:rPr>
          <w:lang w:val="en-US"/>
        </w:rPr>
        <w:t xml:space="preserve">particular need for fixed wireless systems </w:t>
      </w:r>
      <w:r w:rsidR="00243E29">
        <w:rPr>
          <w:lang w:val="en-US"/>
        </w:rPr>
        <w:t xml:space="preserve">(FWS) </w:t>
      </w:r>
      <w:r w:rsidRPr="002F754C">
        <w:rPr>
          <w:lang w:val="en-US"/>
        </w:rPr>
        <w:t xml:space="preserve">for large data capacity transport, e.g. </w:t>
      </w:r>
      <w:r w:rsidRPr="002F754C">
        <w:rPr>
          <w:lang w:val="en-US" w:eastAsia="ja-JP"/>
        </w:rPr>
        <w:t xml:space="preserve">for uncompressed high-definition television (HDTV) signal transmission or </w:t>
      </w:r>
      <w:r w:rsidRPr="002F754C">
        <w:rPr>
          <w:lang w:val="en-US"/>
        </w:rPr>
        <w:t>for mobile networks applications, the deployment of which is expected to rapidly grow;</w:t>
      </w:r>
    </w:p>
    <w:p w:rsidR="002F754C" w:rsidRPr="002F754C" w:rsidRDefault="002F754C" w:rsidP="002F754C">
      <w:pPr>
        <w:rPr>
          <w:lang w:val="en-US"/>
        </w:rPr>
      </w:pPr>
      <w:r w:rsidRPr="002F754C">
        <w:rPr>
          <w:lang w:val="en-US"/>
        </w:rPr>
        <w:t>b)</w:t>
      </w:r>
      <w:r w:rsidRPr="002F754C">
        <w:rPr>
          <w:lang w:val="en-US"/>
        </w:rPr>
        <w:tab/>
        <w:t>that</w:t>
      </w:r>
      <w:r w:rsidRPr="002F754C">
        <w:rPr>
          <w:lang w:val="en-US" w:eastAsia="ja-JP"/>
        </w:rPr>
        <w:t xml:space="preserve"> the frequency bands 71-76 GHz and</w:t>
      </w:r>
      <w:r w:rsidRPr="002F754C">
        <w:rPr>
          <w:lang w:val="en-US"/>
        </w:rPr>
        <w:t xml:space="preserve"> 81-86 GHz </w:t>
      </w:r>
      <w:r w:rsidRPr="002F754C">
        <w:rPr>
          <w:lang w:val="en-US" w:eastAsia="ja-JP"/>
        </w:rPr>
        <w:t>are</w:t>
      </w:r>
      <w:r w:rsidRPr="002F754C">
        <w:rPr>
          <w:lang w:val="en-US"/>
        </w:rPr>
        <w:t xml:space="preserve"> allocated to the fixed service;</w:t>
      </w:r>
    </w:p>
    <w:p w:rsidR="002F754C" w:rsidRPr="002F754C" w:rsidRDefault="002F754C" w:rsidP="002F754C">
      <w:pPr>
        <w:rPr>
          <w:lang w:val="en-US"/>
        </w:rPr>
      </w:pPr>
      <w:r w:rsidRPr="002F754C">
        <w:rPr>
          <w:lang w:val="en-US"/>
        </w:rPr>
        <w:t>c)</w:t>
      </w:r>
      <w:r w:rsidRPr="002F754C">
        <w:rPr>
          <w:lang w:val="en-US"/>
        </w:rPr>
        <w:tab/>
        <w:t>that the propagation characteristics in these bands are ideally suited for use of short-range high capacity digital radio links in high-density networks;</w:t>
      </w:r>
    </w:p>
    <w:p w:rsidR="002F754C" w:rsidRPr="002F754C" w:rsidRDefault="002F754C" w:rsidP="002F754C">
      <w:pPr>
        <w:rPr>
          <w:lang w:val="en-US"/>
        </w:rPr>
      </w:pPr>
      <w:r w:rsidRPr="002F754C">
        <w:rPr>
          <w:lang w:val="en-US"/>
        </w:rPr>
        <w:t>d)</w:t>
      </w:r>
      <w:r w:rsidRPr="002F754C">
        <w:rPr>
          <w:lang w:val="en-US"/>
        </w:rPr>
        <w:tab/>
        <w:t>that in these frequency bands high directivity antennas are achievable even with small size antennas, increasing the density of equipment and further reducing risk of interference with same and other services;</w:t>
      </w:r>
    </w:p>
    <w:p w:rsidR="002F754C" w:rsidRPr="002F754C" w:rsidRDefault="002F754C" w:rsidP="002F754C">
      <w:pPr>
        <w:rPr>
          <w:lang w:val="en-US"/>
        </w:rPr>
      </w:pPr>
      <w:r w:rsidRPr="002F754C">
        <w:rPr>
          <w:lang w:val="en-US"/>
        </w:rPr>
        <w:t>e)</w:t>
      </w:r>
      <w:r w:rsidRPr="002F754C">
        <w:rPr>
          <w:lang w:val="en-US"/>
        </w:rPr>
        <w:tab/>
        <w:t>that several services with various transmission signal characteristics and capacities may be in simultaneous use in this frequency band;</w:t>
      </w:r>
    </w:p>
    <w:p w:rsidR="002F754C" w:rsidRPr="002F754C" w:rsidRDefault="002F754C" w:rsidP="002F754C">
      <w:pPr>
        <w:rPr>
          <w:lang w:val="en-US"/>
        </w:rPr>
      </w:pPr>
      <w:r w:rsidRPr="002F754C">
        <w:rPr>
          <w:lang w:val="en-US"/>
        </w:rPr>
        <w:t>f)</w:t>
      </w:r>
      <w:r w:rsidRPr="002F754C">
        <w:rPr>
          <w:lang w:val="en-US"/>
        </w:rPr>
        <w:tab/>
        <w:t>that the applications in this frequency band may require different channel bandwidths;</w:t>
      </w:r>
    </w:p>
    <w:p w:rsidR="002F754C" w:rsidRPr="002F754C" w:rsidRDefault="002F754C" w:rsidP="002F754C">
      <w:pPr>
        <w:rPr>
          <w:lang w:val="en-US" w:eastAsia="ko-KR"/>
        </w:rPr>
      </w:pPr>
      <w:r w:rsidRPr="002F754C">
        <w:rPr>
          <w:color w:val="000000"/>
          <w:lang w:val="en-US" w:eastAsia="ko-KR"/>
        </w:rPr>
        <w:t>g)</w:t>
      </w:r>
      <w:r w:rsidRPr="002F754C">
        <w:rPr>
          <w:rFonts w:ascii="TimesNewRoman" w:hAnsi="TimesNewRoman" w:cs="TimesNewRoman"/>
          <w:szCs w:val="24"/>
          <w:lang w:val="en-US" w:eastAsia="ko-KR"/>
        </w:rPr>
        <w:tab/>
        <w:t xml:space="preserve">that, in some cases, a flexible </w:t>
      </w:r>
      <w:r w:rsidRPr="002F754C">
        <w:rPr>
          <w:rFonts w:ascii="TimesNewRoman" w:hAnsi="TimesNewRoman" w:cs="TimesNewRoman"/>
          <w:szCs w:val="24"/>
          <w:lang w:val="en-US" w:eastAsia="ja-JP"/>
        </w:rPr>
        <w:t xml:space="preserve">sub-band or </w:t>
      </w:r>
      <w:r w:rsidRPr="002F754C">
        <w:rPr>
          <w:rFonts w:ascii="TimesNewRoman" w:hAnsi="TimesNewRoman" w:cs="TimesNewRoman"/>
          <w:szCs w:val="24"/>
          <w:lang w:val="en-US" w:eastAsia="ko-KR"/>
        </w:rPr>
        <w:t>block arrangement, can accommodate various FWS technologies, whilst remaining consistent with good spectrum management principles, including provision for inter-systems/services operation and overall spectrum efficiency</w:t>
      </w:r>
      <w:r w:rsidRPr="002F754C">
        <w:rPr>
          <w:lang w:val="en-US" w:eastAsia="ko-KR"/>
        </w:rPr>
        <w:t>;</w:t>
      </w:r>
    </w:p>
    <w:p w:rsidR="002F754C" w:rsidRPr="002F754C" w:rsidRDefault="002F754C" w:rsidP="002F754C">
      <w:pPr>
        <w:rPr>
          <w:lang w:val="en-US" w:eastAsia="ja-JP"/>
        </w:rPr>
      </w:pPr>
      <w:r w:rsidRPr="002F754C">
        <w:rPr>
          <w:lang w:val="en-US"/>
        </w:rPr>
        <w:t>h)</w:t>
      </w:r>
      <w:r w:rsidRPr="002F754C">
        <w:rPr>
          <w:lang w:val="en-US"/>
        </w:rPr>
        <w:tab/>
        <w:t>that, when link-by-link frequency coordination is applied, the definition of radio-frequency channel arrangements is preferable;</w:t>
      </w:r>
    </w:p>
    <w:p w:rsidR="002F754C" w:rsidRPr="002F754C" w:rsidRDefault="002F754C" w:rsidP="002F754C">
      <w:pPr>
        <w:rPr>
          <w:lang w:val="en-US"/>
        </w:rPr>
      </w:pPr>
      <w:r w:rsidRPr="002F754C">
        <w:rPr>
          <w:lang w:val="en-US"/>
        </w:rPr>
        <w:t>j)</w:t>
      </w:r>
      <w:r w:rsidRPr="002F754C">
        <w:rPr>
          <w:lang w:val="en-US"/>
        </w:rPr>
        <w:tab/>
        <w:t xml:space="preserve">that careful frequency planning permits accommodation of </w:t>
      </w:r>
      <w:r w:rsidR="00243E29">
        <w:rPr>
          <w:lang w:val="en-US"/>
        </w:rPr>
        <w:t>frequency division duplex (</w:t>
      </w:r>
      <w:r w:rsidRPr="002F754C">
        <w:rPr>
          <w:lang w:val="en-US"/>
        </w:rPr>
        <w:t>FDD</w:t>
      </w:r>
      <w:r w:rsidR="00243E29">
        <w:rPr>
          <w:lang w:val="en-US"/>
        </w:rPr>
        <w:t>)</w:t>
      </w:r>
      <w:r w:rsidRPr="002F754C">
        <w:rPr>
          <w:lang w:val="en-US"/>
        </w:rPr>
        <w:t xml:space="preserve"> and </w:t>
      </w:r>
      <w:r w:rsidR="00243E29">
        <w:rPr>
          <w:lang w:val="en-US"/>
        </w:rPr>
        <w:t>time division duplex (</w:t>
      </w:r>
      <w:r w:rsidRPr="002F754C">
        <w:rPr>
          <w:lang w:val="en-US"/>
        </w:rPr>
        <w:t>TDD</w:t>
      </w:r>
      <w:r w:rsidR="00243E29">
        <w:rPr>
          <w:lang w:val="en-US"/>
        </w:rPr>
        <w:t>)</w:t>
      </w:r>
      <w:r w:rsidRPr="002F754C">
        <w:rPr>
          <w:lang w:val="en-US"/>
        </w:rPr>
        <w:t xml:space="preserve"> applications;</w:t>
      </w:r>
    </w:p>
    <w:p w:rsidR="002F754C" w:rsidRPr="002F754C" w:rsidRDefault="002F754C" w:rsidP="002F754C">
      <w:pPr>
        <w:rPr>
          <w:lang w:val="en-US"/>
        </w:rPr>
      </w:pPr>
      <w:r w:rsidRPr="002F754C">
        <w:rPr>
          <w:lang w:val="en-US"/>
        </w:rPr>
        <w:t>k)</w:t>
      </w:r>
      <w:r w:rsidRPr="002F754C">
        <w:rPr>
          <w:lang w:val="en-US"/>
        </w:rPr>
        <w:tab/>
        <w:t>that different applications licensed by various administrations may require different radio-frequency channel arrangements;</w:t>
      </w:r>
    </w:p>
    <w:p w:rsidR="002F754C" w:rsidRPr="002F754C" w:rsidRDefault="002F754C" w:rsidP="002F754C">
      <w:pPr>
        <w:rPr>
          <w:lang w:val="en-US" w:eastAsia="ja-JP"/>
        </w:rPr>
      </w:pPr>
      <w:r w:rsidRPr="002F754C">
        <w:rPr>
          <w:lang w:val="en-US" w:eastAsia="ko-KR"/>
        </w:rPr>
        <w:t>l)</w:t>
      </w:r>
      <w:r w:rsidRPr="002F754C">
        <w:rPr>
          <w:lang w:val="en-US" w:eastAsia="ko-KR"/>
        </w:rPr>
        <w:tab/>
        <w:t>that, in some countries, only limited portions of the two bands may be available for civil applications;</w:t>
      </w:r>
    </w:p>
    <w:p w:rsidR="002F754C" w:rsidRPr="002F754C" w:rsidRDefault="002F754C" w:rsidP="002F754C">
      <w:pPr>
        <w:rPr>
          <w:color w:val="000000"/>
          <w:lang w:val="en-US" w:eastAsia="ja-JP"/>
        </w:rPr>
      </w:pPr>
      <w:r w:rsidRPr="002F754C">
        <w:rPr>
          <w:lang w:val="en-US" w:eastAsia="ja-JP"/>
        </w:rPr>
        <w:t>m)</w:t>
      </w:r>
      <w:r w:rsidRPr="002F754C">
        <w:rPr>
          <w:lang w:val="en-US" w:eastAsia="ja-JP"/>
        </w:rPr>
        <w:tab/>
      </w:r>
      <w:r w:rsidRPr="002F754C">
        <w:rPr>
          <w:color w:val="000000"/>
          <w:lang w:val="en-US" w:eastAsia="ko-KR"/>
        </w:rPr>
        <w:t>that some countries may wish to or already have made these bands available through a flexible simplified approach without any specific channel plan</w:t>
      </w:r>
      <w:r w:rsidRPr="002F754C">
        <w:rPr>
          <w:color w:val="000000"/>
          <w:lang w:val="en-US" w:eastAsia="ja-JP"/>
        </w:rPr>
        <w:t>,</w:t>
      </w:r>
    </w:p>
    <w:p w:rsidR="002F754C" w:rsidRPr="002F754C" w:rsidRDefault="002F754C" w:rsidP="00243E29">
      <w:pPr>
        <w:pStyle w:val="Call"/>
        <w:rPr>
          <w:lang w:val="en-US" w:eastAsia="ja-JP"/>
        </w:rPr>
      </w:pPr>
      <w:r w:rsidRPr="002F754C">
        <w:rPr>
          <w:lang w:val="en-US" w:eastAsia="ko-KR"/>
        </w:rPr>
        <w:lastRenderedPageBreak/>
        <w:t>not</w:t>
      </w:r>
      <w:r w:rsidRPr="002F754C">
        <w:rPr>
          <w:lang w:val="en-US"/>
        </w:rPr>
        <w:t>ing</w:t>
      </w:r>
    </w:p>
    <w:p w:rsidR="002F754C" w:rsidRPr="002F754C" w:rsidRDefault="002F754C" w:rsidP="00142EE8">
      <w:pPr>
        <w:rPr>
          <w:color w:val="000000"/>
          <w:lang w:val="en-US" w:eastAsia="ko-KR"/>
        </w:rPr>
      </w:pPr>
      <w:r w:rsidRPr="002F754C">
        <w:rPr>
          <w:lang w:val="en-US" w:eastAsia="ja-JP"/>
        </w:rPr>
        <w:t>a</w:t>
      </w:r>
      <w:r w:rsidRPr="002F754C">
        <w:rPr>
          <w:lang w:val="en-US" w:eastAsia="ko-KR"/>
        </w:rPr>
        <w:t>)</w:t>
      </w:r>
      <w:r w:rsidRPr="002F754C">
        <w:rPr>
          <w:lang w:val="en-US" w:eastAsia="ko-KR"/>
        </w:rPr>
        <w:tab/>
      </w:r>
      <w:r w:rsidRPr="002F754C">
        <w:rPr>
          <w:lang w:val="en-US"/>
        </w:rPr>
        <w:t xml:space="preserve">that </w:t>
      </w:r>
      <w:r w:rsidRPr="002F754C">
        <w:rPr>
          <w:lang w:val="en-US" w:eastAsia="ko-KR"/>
        </w:rPr>
        <w:t>Recommendation ITU-R F.1519 provides guidance on frequency arrangements based on frequency blocks for systems in the fixed service</w:t>
      </w:r>
      <w:r w:rsidR="00142EE8">
        <w:rPr>
          <w:lang w:val="en-US" w:eastAsia="ko-KR"/>
        </w:rPr>
        <w:t>;</w:t>
      </w:r>
    </w:p>
    <w:p w:rsidR="002F754C" w:rsidRPr="002F754C" w:rsidRDefault="002F754C" w:rsidP="002F754C">
      <w:pPr>
        <w:rPr>
          <w:lang w:val="en-US" w:eastAsia="ja-JP"/>
        </w:rPr>
      </w:pPr>
      <w:r w:rsidRPr="002F754C">
        <w:rPr>
          <w:lang w:val="en-US" w:eastAsia="ja-JP"/>
        </w:rPr>
        <w:t>b)</w:t>
      </w:r>
      <w:r w:rsidRPr="002F754C">
        <w:rPr>
          <w:lang w:val="en-US" w:eastAsia="ja-JP"/>
        </w:rPr>
        <w:tab/>
        <w:t>that Report ITU-R F.2107 provides characteristics and applications of fixed wireless systems operating in frequency ranges between 57 GHz and 134 GHz,</w:t>
      </w:r>
    </w:p>
    <w:p w:rsidR="002F754C" w:rsidRPr="002F754C" w:rsidRDefault="002F754C" w:rsidP="00243E29">
      <w:pPr>
        <w:pStyle w:val="Call"/>
        <w:rPr>
          <w:lang w:val="en-US"/>
        </w:rPr>
      </w:pPr>
      <w:r w:rsidRPr="00142EE8">
        <w:rPr>
          <w:lang w:val="en-US"/>
        </w:rPr>
        <w:t>recommends</w:t>
      </w:r>
    </w:p>
    <w:p w:rsidR="002F754C" w:rsidRPr="002F754C" w:rsidRDefault="002F754C" w:rsidP="002F754C">
      <w:pPr>
        <w:rPr>
          <w:lang w:val="en-US"/>
        </w:rPr>
      </w:pPr>
      <w:r w:rsidRPr="002F754C">
        <w:rPr>
          <w:b/>
          <w:bCs/>
          <w:lang w:val="en-US"/>
        </w:rPr>
        <w:t>1</w:t>
      </w:r>
      <w:r w:rsidRPr="002F754C">
        <w:rPr>
          <w:b/>
          <w:bCs/>
          <w:lang w:val="en-US"/>
        </w:rPr>
        <w:tab/>
      </w:r>
      <w:r w:rsidRPr="002F754C">
        <w:rPr>
          <w:lang w:val="en-US"/>
        </w:rPr>
        <w:t xml:space="preserve">that administrations wishing to implement a radio-frequency channel or block arrangement for the </w:t>
      </w:r>
      <w:r w:rsidRPr="002F754C">
        <w:rPr>
          <w:lang w:val="en-US" w:eastAsia="ja-JP"/>
        </w:rPr>
        <w:t>71-76 GHz and</w:t>
      </w:r>
      <w:r w:rsidRPr="002F754C">
        <w:rPr>
          <w:lang w:val="en-US"/>
        </w:rPr>
        <w:t xml:space="preserve"> 81-86 GHz bands should consider the following homogeneous pattern of 125 MHz slots:</w:t>
      </w:r>
    </w:p>
    <w:p w:rsidR="002F754C" w:rsidRPr="002F754C" w:rsidRDefault="002F754C" w:rsidP="002F754C">
      <w:pPr>
        <w:pStyle w:val="Equation"/>
        <w:rPr>
          <w:szCs w:val="24"/>
          <w:lang w:val="en-US"/>
        </w:rPr>
      </w:pPr>
      <w:r w:rsidRPr="002F754C">
        <w:rPr>
          <w:szCs w:val="24"/>
          <w:lang w:val="en-US"/>
        </w:rPr>
        <w:tab/>
      </w:r>
      <w:r w:rsidRPr="002F754C">
        <w:rPr>
          <w:szCs w:val="24"/>
          <w:lang w:val="en-US"/>
        </w:rPr>
        <w:tab/>
      </w:r>
      <w:r w:rsidRPr="002F754C">
        <w:rPr>
          <w:i/>
          <w:szCs w:val="24"/>
          <w:lang w:val="en-US"/>
        </w:rPr>
        <w:t>f</w:t>
      </w:r>
      <w:r w:rsidRPr="002F754C">
        <w:rPr>
          <w:i/>
          <w:szCs w:val="16"/>
          <w:lang w:val="en-US"/>
        </w:rPr>
        <w:t>n</w:t>
      </w:r>
      <w:r w:rsidRPr="002F754C">
        <w:rPr>
          <w:szCs w:val="16"/>
          <w:lang w:val="en-US"/>
        </w:rPr>
        <w:t xml:space="preserve"> </w:t>
      </w:r>
      <w:r w:rsidRPr="002F754C">
        <w:rPr>
          <w:szCs w:val="24"/>
          <w:lang w:val="en-US"/>
        </w:rPr>
        <w:t>= 71.0625 + 0.125 (</w:t>
      </w:r>
      <w:r w:rsidRPr="002F754C">
        <w:rPr>
          <w:i/>
          <w:szCs w:val="24"/>
          <w:lang w:val="en-US"/>
        </w:rPr>
        <w:t>n</w:t>
      </w:r>
      <w:r w:rsidRPr="002F754C">
        <w:rPr>
          <w:szCs w:val="24"/>
          <w:lang w:val="en-US"/>
        </w:rPr>
        <w:t xml:space="preserve"> </w:t>
      </w:r>
      <w:r w:rsidRPr="00CB46A8">
        <w:rPr>
          <w:szCs w:val="24"/>
        </w:rPr>
        <w:sym w:font="Symbol" w:char="F02D"/>
      </w:r>
      <w:r w:rsidRPr="002F754C">
        <w:rPr>
          <w:szCs w:val="24"/>
          <w:lang w:val="en-US"/>
        </w:rPr>
        <w:t xml:space="preserve"> 1) GHz</w:t>
      </w:r>
    </w:p>
    <w:p w:rsidR="002F754C" w:rsidRPr="002F754C" w:rsidRDefault="002F754C" w:rsidP="002F754C">
      <w:pPr>
        <w:widowControl w:val="0"/>
        <w:overflowPunct/>
        <w:spacing w:before="240" w:after="120"/>
        <w:textAlignment w:val="auto"/>
        <w:rPr>
          <w:rFonts w:ascii="TimesNewRoman" w:hAnsi="TimesNewRoman" w:cs="TimesNewRoman"/>
          <w:szCs w:val="24"/>
          <w:lang w:val="en-US" w:eastAsia="ko-KR"/>
        </w:rPr>
      </w:pPr>
      <w:r w:rsidRPr="002F754C">
        <w:rPr>
          <w:rFonts w:ascii="TimesNewRoman" w:hAnsi="TimesNewRoman" w:cs="TimesNewRoman"/>
          <w:szCs w:val="24"/>
          <w:lang w:val="en-US" w:eastAsia="ko-KR"/>
        </w:rPr>
        <w:t>where:</w:t>
      </w:r>
    </w:p>
    <w:p w:rsidR="002F754C" w:rsidRPr="00CB46A8" w:rsidRDefault="002F754C" w:rsidP="00243E29">
      <w:pPr>
        <w:pStyle w:val="Equationlegend"/>
        <w:rPr>
          <w:rFonts w:ascii="TimesNewRoman" w:hAnsi="TimesNewRoman" w:cs="TimesNewRoman"/>
          <w:lang w:eastAsia="ko-KR"/>
        </w:rPr>
      </w:pPr>
      <w:r w:rsidRPr="00CB46A8">
        <w:rPr>
          <w:i/>
          <w:lang w:eastAsia="ko-KR"/>
        </w:rPr>
        <w:tab/>
        <w:t>fn</w:t>
      </w:r>
      <w:r w:rsidR="00053D86">
        <w:rPr>
          <w:i/>
          <w:lang w:eastAsia="ko-KR"/>
        </w:rPr>
        <w:t xml:space="preserve"> </w:t>
      </w:r>
      <w:r w:rsidR="00243E29" w:rsidRPr="00243E29">
        <w:rPr>
          <w:iCs/>
          <w:lang w:eastAsia="ko-KR"/>
        </w:rPr>
        <w:t>:</w:t>
      </w:r>
      <w:r w:rsidRPr="00CB46A8">
        <w:rPr>
          <w:lang w:eastAsia="ko-KR"/>
        </w:rPr>
        <w:tab/>
        <w:t xml:space="preserve">centre frequency of the </w:t>
      </w:r>
      <w:r w:rsidRPr="00CB46A8">
        <w:rPr>
          <w:i/>
          <w:lang w:eastAsia="ko-KR"/>
        </w:rPr>
        <w:t>n</w:t>
      </w:r>
      <w:r w:rsidRPr="00CB46A8">
        <w:rPr>
          <w:i/>
          <w:lang w:eastAsia="ko-KR"/>
        </w:rPr>
        <w:noBreakHyphen/>
      </w:r>
      <w:r w:rsidRPr="00CB46A8">
        <w:t xml:space="preserve">th </w:t>
      </w:r>
      <w:r w:rsidRPr="00CB46A8">
        <w:rPr>
          <w:lang w:eastAsia="ko-KR"/>
        </w:rPr>
        <w:t>slot</w:t>
      </w:r>
    </w:p>
    <w:p w:rsidR="002F754C" w:rsidRPr="00CB46A8" w:rsidRDefault="002F754C" w:rsidP="00243E29">
      <w:pPr>
        <w:pStyle w:val="Equationlegend"/>
        <w:jc w:val="left"/>
      </w:pPr>
      <w:r w:rsidRPr="00CB46A8">
        <w:rPr>
          <w:i/>
        </w:rPr>
        <w:tab/>
        <w:t xml:space="preserve">n </w:t>
      </w:r>
      <w:r w:rsidRPr="00CB46A8">
        <w:t xml:space="preserve">= </w:t>
      </w:r>
      <w:r w:rsidRPr="00CB46A8">
        <w:tab/>
        <w:t>1 to 40 for the band 71-76 GHz</w:t>
      </w:r>
      <w:r w:rsidRPr="00CB46A8">
        <w:br/>
        <w:t>81 to 120 for the band 81-86 GHz;</w:t>
      </w:r>
    </w:p>
    <w:p w:rsidR="002F754C" w:rsidRPr="002F754C" w:rsidRDefault="002F754C" w:rsidP="002F754C">
      <w:pPr>
        <w:rPr>
          <w:lang w:val="en-US" w:eastAsia="ko-KR"/>
        </w:rPr>
      </w:pPr>
      <w:r w:rsidRPr="002F754C">
        <w:rPr>
          <w:b/>
          <w:lang w:val="en-US" w:eastAsia="ko-KR"/>
        </w:rPr>
        <w:t>2</w:t>
      </w:r>
      <w:r w:rsidRPr="002F754C">
        <w:rPr>
          <w:lang w:val="en-US" w:eastAsia="ko-KR"/>
        </w:rPr>
        <w:tab/>
        <w:t>that administrations wishing to use specific radio-frequency channels or blocks should have size multiple of 250 MHz and should be composed by aggregating 2 or a higher even number of frequency slots from the homogeneous pattern;</w:t>
      </w:r>
    </w:p>
    <w:p w:rsidR="002F754C" w:rsidRPr="002F754C" w:rsidRDefault="002F754C" w:rsidP="00243E29">
      <w:pPr>
        <w:rPr>
          <w:rFonts w:ascii="TimesNewRoman" w:hAnsi="TimesNewRoman" w:cs="TimesNewRoman"/>
          <w:szCs w:val="24"/>
          <w:lang w:val="en-US" w:eastAsia="ko-KR"/>
        </w:rPr>
      </w:pPr>
      <w:r w:rsidRPr="002F754C">
        <w:rPr>
          <w:b/>
          <w:lang w:val="en-US" w:eastAsia="ko-KR"/>
        </w:rPr>
        <w:t>3</w:t>
      </w:r>
      <w:r w:rsidRPr="002F754C">
        <w:rPr>
          <w:lang w:val="en-US" w:eastAsia="ko-KR"/>
        </w:rPr>
        <w:tab/>
      </w:r>
      <w:r w:rsidRPr="002F754C">
        <w:rPr>
          <w:rFonts w:ascii="TimesNewRoman" w:hAnsi="TimesNewRoman" w:cs="TimesNewRoman"/>
          <w:szCs w:val="24"/>
          <w:lang w:val="en-US" w:eastAsia="ko-KR"/>
        </w:rPr>
        <w:t xml:space="preserve">that administrations </w:t>
      </w:r>
      <w:r w:rsidRPr="002F754C">
        <w:rPr>
          <w:lang w:val="en-US" w:eastAsia="ko-KR"/>
        </w:rPr>
        <w:t xml:space="preserve">wishing </w:t>
      </w:r>
      <w:r w:rsidRPr="002F754C">
        <w:rPr>
          <w:rFonts w:ascii="TimesNewRoman" w:hAnsi="TimesNewRoman" w:cs="TimesNewRoman"/>
          <w:szCs w:val="24"/>
          <w:lang w:val="en-US" w:eastAsia="ko-KR"/>
        </w:rPr>
        <w:t xml:space="preserve">to assign </w:t>
      </w:r>
      <w:r w:rsidRPr="002F754C">
        <w:rPr>
          <w:rFonts w:ascii="TimesNewRoman" w:hAnsi="TimesNewRoman" w:cs="TimesNewRoman"/>
          <w:szCs w:val="24"/>
          <w:lang w:val="en-US" w:eastAsia="ja-JP"/>
        </w:rPr>
        <w:t xml:space="preserve">sub-bands or </w:t>
      </w:r>
      <w:r w:rsidRPr="002F754C">
        <w:rPr>
          <w:rFonts w:ascii="TimesNewRoman" w:hAnsi="TimesNewRoman" w:cs="TimesNewRoman"/>
          <w:szCs w:val="24"/>
          <w:lang w:val="en-US" w:eastAsia="ko-KR"/>
        </w:rPr>
        <w:t xml:space="preserve">frequency blocks for </w:t>
      </w:r>
      <w:r w:rsidR="00243E29">
        <w:rPr>
          <w:rFonts w:ascii="TimesNewRoman" w:hAnsi="TimesNewRoman" w:cs="TimesNewRoman"/>
          <w:szCs w:val="24"/>
          <w:lang w:val="en-US" w:eastAsia="ko-KR"/>
        </w:rPr>
        <w:t>FWS</w:t>
      </w:r>
      <w:r w:rsidRPr="002F754C">
        <w:rPr>
          <w:rFonts w:ascii="TimesNewRoman" w:hAnsi="TimesNewRoman" w:cs="TimesNewRoman"/>
          <w:szCs w:val="24"/>
          <w:lang w:val="en-US" w:eastAsia="ko-KR"/>
        </w:rPr>
        <w:t xml:space="preserve"> in the frequency bands 71-76/81-86 GHz, should consider the </w:t>
      </w:r>
      <w:r w:rsidRPr="002F754C">
        <w:rPr>
          <w:rFonts w:ascii="TimesNewRoman" w:hAnsi="TimesNewRoman" w:cs="TimesNewRoman"/>
          <w:szCs w:val="24"/>
          <w:lang w:val="en-US" w:eastAsia="ja-JP"/>
        </w:rPr>
        <w:t xml:space="preserve">sub-bands or </w:t>
      </w:r>
      <w:r w:rsidRPr="002F754C">
        <w:rPr>
          <w:rFonts w:ascii="TimesNewRoman" w:hAnsi="TimesNewRoman" w:cs="TimesNewRoman"/>
          <w:szCs w:val="24"/>
          <w:lang w:val="en-US" w:eastAsia="ko-KR"/>
        </w:rPr>
        <w:t>block arrangements presented in Annex 1;</w:t>
      </w:r>
    </w:p>
    <w:p w:rsidR="002F754C" w:rsidRPr="002F754C" w:rsidRDefault="002F754C" w:rsidP="002F754C">
      <w:pPr>
        <w:rPr>
          <w:rFonts w:ascii="TimesNewRoman" w:hAnsi="TimesNewRoman" w:cs="TimesNewRoman"/>
          <w:szCs w:val="24"/>
          <w:lang w:val="en-US" w:eastAsia="ko-KR"/>
        </w:rPr>
      </w:pPr>
      <w:r w:rsidRPr="002F754C">
        <w:rPr>
          <w:rFonts w:ascii="TimesNewRoman,Bold" w:hAnsi="TimesNewRoman,Bold" w:cs="TimesNewRoman,Bold"/>
          <w:b/>
          <w:bCs/>
          <w:szCs w:val="24"/>
          <w:lang w:val="en-US" w:eastAsia="ko-KR"/>
        </w:rPr>
        <w:t>4</w:t>
      </w:r>
      <w:r w:rsidRPr="002F754C">
        <w:rPr>
          <w:rFonts w:ascii="TimesNewRoman,Bold" w:hAnsi="TimesNewRoman,Bold" w:cs="TimesNewRoman,Bold"/>
          <w:b/>
          <w:bCs/>
          <w:szCs w:val="24"/>
          <w:lang w:val="en-US" w:eastAsia="ko-KR"/>
        </w:rPr>
        <w:tab/>
      </w:r>
      <w:r w:rsidRPr="002F754C">
        <w:rPr>
          <w:rFonts w:ascii="TimesNewRoman" w:hAnsi="TimesNewRoman" w:cs="TimesNewRoman"/>
          <w:szCs w:val="24"/>
          <w:lang w:val="en-US" w:eastAsia="ko-KR"/>
        </w:rPr>
        <w:t xml:space="preserve">that administrations should consider the adoption of carrier centre frequencies, within the preferred frequency blocks, from the channel slots of 250 MHz, as derived in </w:t>
      </w:r>
      <w:r w:rsidRPr="002F754C">
        <w:rPr>
          <w:rFonts w:ascii="TimesNewRoman" w:hAnsi="TimesNewRoman" w:cs="TimesNewRoman"/>
          <w:i/>
          <w:iCs/>
          <w:szCs w:val="24"/>
          <w:lang w:val="en-US" w:eastAsia="ko-KR"/>
        </w:rPr>
        <w:t>recommends</w:t>
      </w:r>
      <w:r w:rsidRPr="002F754C">
        <w:rPr>
          <w:rFonts w:ascii="TimesNewRoman" w:hAnsi="TimesNewRoman" w:cs="TimesNewRoman"/>
          <w:szCs w:val="24"/>
          <w:lang w:val="en-US" w:eastAsia="ko-KR"/>
        </w:rPr>
        <w:t> 2;</w:t>
      </w:r>
    </w:p>
    <w:p w:rsidR="002F754C" w:rsidRPr="002F754C" w:rsidRDefault="002F754C" w:rsidP="002F754C">
      <w:pPr>
        <w:rPr>
          <w:rFonts w:ascii="TimesNewRoman" w:hAnsi="TimesNewRoman" w:cs="TimesNewRoman"/>
          <w:szCs w:val="24"/>
          <w:lang w:val="en-US" w:eastAsia="ko-KR"/>
        </w:rPr>
      </w:pPr>
      <w:r w:rsidRPr="002F754C">
        <w:rPr>
          <w:rFonts w:ascii="TimesNewRoman" w:hAnsi="TimesNewRoman" w:cs="TimesNewRoman"/>
          <w:b/>
          <w:szCs w:val="24"/>
          <w:lang w:val="en-US" w:eastAsia="ko-KR"/>
        </w:rPr>
        <w:t>5</w:t>
      </w:r>
      <w:r w:rsidRPr="002F754C">
        <w:rPr>
          <w:rFonts w:ascii="TimesNewRoman" w:hAnsi="TimesNewRoman" w:cs="TimesNewRoman"/>
          <w:szCs w:val="24"/>
          <w:lang w:val="en-US" w:eastAsia="ko-KR"/>
        </w:rPr>
        <w:tab/>
      </w:r>
      <w:r w:rsidRPr="002F754C">
        <w:rPr>
          <w:lang w:val="en-US"/>
        </w:rPr>
        <w:t>that administrations wishing to assign pre-defined channels of 250 MHz, or multiples thereof, either paired or unpaired, should consider the flexible channel arrangements illustrated in Annex 2.</w:t>
      </w:r>
    </w:p>
    <w:p w:rsidR="00E230E9" w:rsidRDefault="00E230E9" w:rsidP="00E230E9">
      <w:pPr>
        <w:rPr>
          <w:sz w:val="28"/>
          <w:lang w:val="en-US"/>
        </w:rPr>
      </w:pPr>
      <w:r>
        <w:rPr>
          <w:lang w:val="en-US"/>
        </w:rPr>
        <w:br w:type="page"/>
      </w:r>
    </w:p>
    <w:p w:rsidR="002F754C" w:rsidRPr="00243E29" w:rsidRDefault="002F754C" w:rsidP="00243E29">
      <w:pPr>
        <w:pStyle w:val="AnnexNoTitle"/>
        <w:rPr>
          <w:lang w:val="en-US" w:eastAsia="ja-JP"/>
        </w:rPr>
      </w:pPr>
      <w:r w:rsidRPr="00243E29">
        <w:rPr>
          <w:lang w:val="en-US"/>
        </w:rPr>
        <w:lastRenderedPageBreak/>
        <w:t>Annex 1</w:t>
      </w:r>
      <w:r w:rsidR="00243E29" w:rsidRPr="00243E29">
        <w:rPr>
          <w:lang w:val="en-US"/>
        </w:rPr>
        <w:br/>
      </w:r>
      <w:r w:rsidR="00243E29" w:rsidRPr="00243E29">
        <w:rPr>
          <w:lang w:val="en-US"/>
        </w:rPr>
        <w:br/>
      </w:r>
      <w:r w:rsidRPr="00243E29">
        <w:rPr>
          <w:lang w:val="en-US"/>
        </w:rPr>
        <w:t xml:space="preserve">Radio-frequency </w:t>
      </w:r>
      <w:r w:rsidRPr="00243E29">
        <w:rPr>
          <w:rFonts w:ascii="TimesNewRoman" w:hAnsi="TimesNewRoman" w:cs="TimesNewRoman"/>
          <w:szCs w:val="24"/>
          <w:lang w:val="en-US" w:eastAsia="ja-JP"/>
        </w:rPr>
        <w:t xml:space="preserve">sub-band or </w:t>
      </w:r>
      <w:r w:rsidRPr="00243E29">
        <w:rPr>
          <w:lang w:val="en-US"/>
        </w:rPr>
        <w:t xml:space="preserve">block arrangements </w:t>
      </w:r>
      <w:r w:rsidRPr="00243E29">
        <w:rPr>
          <w:lang w:val="en-US"/>
        </w:rPr>
        <w:br/>
        <w:t xml:space="preserve">in the band </w:t>
      </w:r>
      <w:r w:rsidRPr="00243E29">
        <w:rPr>
          <w:lang w:val="en-US" w:eastAsia="ko-KR"/>
        </w:rPr>
        <w:t>71</w:t>
      </w:r>
      <w:r w:rsidRPr="00243E29">
        <w:rPr>
          <w:lang w:val="en-US"/>
        </w:rPr>
        <w:t>-</w:t>
      </w:r>
      <w:r w:rsidRPr="00243E29">
        <w:rPr>
          <w:lang w:val="en-US" w:eastAsia="ko-KR"/>
        </w:rPr>
        <w:t>76/81-86</w:t>
      </w:r>
      <w:r w:rsidRPr="00243E29">
        <w:rPr>
          <w:lang w:val="en-US"/>
        </w:rPr>
        <w:t xml:space="preserve"> GHz</w:t>
      </w:r>
    </w:p>
    <w:p w:rsidR="002F754C" w:rsidRPr="00142EE8" w:rsidRDefault="002F754C" w:rsidP="00464BE1">
      <w:pPr>
        <w:pStyle w:val="Normalaftertitle"/>
        <w:rPr>
          <w:lang w:val="en-US" w:eastAsia="ko-KR"/>
        </w:rPr>
      </w:pPr>
      <w:r w:rsidRPr="00142EE8">
        <w:rPr>
          <w:lang w:val="en-US" w:eastAsia="ko-KR"/>
        </w:rPr>
        <w:t xml:space="preserve">This arrangement is </w:t>
      </w:r>
      <w:r w:rsidRPr="00142EE8">
        <w:rPr>
          <w:lang w:val="en-US"/>
        </w:rPr>
        <w:t xml:space="preserve">based on the use of the basic </w:t>
      </w:r>
      <w:r w:rsidRPr="00142EE8">
        <w:rPr>
          <w:lang w:val="en-US" w:eastAsia="ko-KR"/>
        </w:rPr>
        <w:t>5</w:t>
      </w:r>
      <w:r w:rsidRPr="00142EE8">
        <w:rPr>
          <w:lang w:val="en-US"/>
        </w:rPr>
        <w:t> </w:t>
      </w:r>
      <w:r w:rsidRPr="00142EE8">
        <w:rPr>
          <w:lang w:val="en-US" w:eastAsia="ko-KR"/>
        </w:rPr>
        <w:t>GHz</w:t>
      </w:r>
      <w:r w:rsidRPr="00142EE8">
        <w:rPr>
          <w:lang w:val="en-US"/>
        </w:rPr>
        <w:t xml:space="preserve"> </w:t>
      </w:r>
      <w:r w:rsidRPr="00142EE8">
        <w:rPr>
          <w:lang w:val="en-US" w:eastAsia="ko-KR"/>
        </w:rPr>
        <w:t>sub-bands, which can be subdivid</w:t>
      </w:r>
      <w:r w:rsidRPr="00142EE8">
        <w:rPr>
          <w:lang w:val="en-US"/>
        </w:rPr>
        <w:t xml:space="preserve">ed to form </w:t>
      </w:r>
      <w:r w:rsidRPr="00142EE8">
        <w:rPr>
          <w:lang w:val="en-US" w:eastAsia="ko-KR"/>
        </w:rPr>
        <w:t>small</w:t>
      </w:r>
      <w:r w:rsidRPr="00142EE8">
        <w:rPr>
          <w:lang w:val="en-US"/>
        </w:rPr>
        <w:t xml:space="preserve">er paired </w:t>
      </w:r>
      <w:r w:rsidRPr="00142EE8">
        <w:rPr>
          <w:lang w:val="en-US" w:eastAsia="ko-KR"/>
        </w:rPr>
        <w:t xml:space="preserve">blocks, as shown in the examples of Fig. 1. </w:t>
      </w:r>
      <w:r w:rsidRPr="00142EE8">
        <w:rPr>
          <w:lang w:val="en-US"/>
        </w:rPr>
        <w:t xml:space="preserve">According to the needs, </w:t>
      </w:r>
      <w:r w:rsidRPr="00142EE8">
        <w:rPr>
          <w:lang w:val="en-US" w:eastAsia="ko-KR"/>
        </w:rPr>
        <w:t>other block subdivisions are possible, including blocks of different size.</w:t>
      </w:r>
    </w:p>
    <w:p w:rsidR="002F754C" w:rsidRPr="002F754C" w:rsidRDefault="002F754C" w:rsidP="002F754C">
      <w:pPr>
        <w:pStyle w:val="FigureNo"/>
        <w:rPr>
          <w:lang w:val="en-US"/>
        </w:rPr>
      </w:pPr>
      <w:r w:rsidRPr="002F754C">
        <w:rPr>
          <w:lang w:val="en-US"/>
        </w:rPr>
        <w:t>Figure 1</w:t>
      </w:r>
    </w:p>
    <w:p w:rsidR="002F754C" w:rsidRPr="002F754C" w:rsidRDefault="002F754C" w:rsidP="002F754C">
      <w:pPr>
        <w:pStyle w:val="Figuretitle"/>
        <w:rPr>
          <w:lang w:val="en-US"/>
        </w:rPr>
      </w:pPr>
      <w:r w:rsidRPr="002F754C">
        <w:rPr>
          <w:lang w:val="en-US"/>
        </w:rPr>
        <w:t>Examples of frequency block arrangement for the ranges 71-76/81-86 GHz</w:t>
      </w:r>
    </w:p>
    <w:p w:rsidR="002F754C" w:rsidRPr="00CB46A8" w:rsidRDefault="00053D86" w:rsidP="00053D86">
      <w:pPr>
        <w:pStyle w:val="Figure"/>
        <w:rPr>
          <w:lang w:eastAsia="ko-KR"/>
        </w:rPr>
      </w:pPr>
      <w:r>
        <w:rPr>
          <w:lang w:eastAsia="ko-KR"/>
        </w:rPr>
        <w:object w:dxaOrig="6399" w:dyaOrig="1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pt;height:123.5pt" o:ole="">
            <v:imagedata r:id="rId14" o:title=""/>
          </v:shape>
          <o:OLEObject Type="Embed" ProgID="CorelDRAW.Graphic.14" ShapeID="_x0000_i1025" DrawAspect="Content" ObjectID="_1397654688" r:id="rId15"/>
        </w:object>
      </w:r>
    </w:p>
    <w:p w:rsidR="00053D86" w:rsidRDefault="00053D86" w:rsidP="00053D86">
      <w:pPr>
        <w:rPr>
          <w:lang w:val="en-US"/>
        </w:rPr>
      </w:pPr>
    </w:p>
    <w:p w:rsidR="002F754C" w:rsidRPr="00243E29" w:rsidRDefault="002F754C" w:rsidP="00243E29">
      <w:pPr>
        <w:pStyle w:val="AnnexNoTitle"/>
        <w:rPr>
          <w:lang w:val="en-US"/>
        </w:rPr>
      </w:pPr>
      <w:r w:rsidRPr="00243E29">
        <w:rPr>
          <w:lang w:val="en-US"/>
        </w:rPr>
        <w:t>Annex 2</w:t>
      </w:r>
      <w:r w:rsidR="00243E29" w:rsidRPr="00243E29">
        <w:rPr>
          <w:lang w:val="en-US"/>
        </w:rPr>
        <w:br/>
      </w:r>
      <w:r w:rsidR="00243E29" w:rsidRPr="00243E29">
        <w:rPr>
          <w:lang w:val="en-US"/>
        </w:rPr>
        <w:br/>
      </w:r>
      <w:r w:rsidRPr="00243E29">
        <w:rPr>
          <w:lang w:val="en-US"/>
        </w:rPr>
        <w:t xml:space="preserve">Radio-frequency channel arrangements in the band </w:t>
      </w:r>
      <w:r w:rsidRPr="00243E29">
        <w:rPr>
          <w:lang w:val="en-US" w:eastAsia="ko-KR"/>
        </w:rPr>
        <w:t>71</w:t>
      </w:r>
      <w:r w:rsidRPr="00243E29">
        <w:rPr>
          <w:lang w:val="en-US"/>
        </w:rPr>
        <w:t>-</w:t>
      </w:r>
      <w:r w:rsidRPr="00243E29">
        <w:rPr>
          <w:lang w:val="en-US" w:eastAsia="ko-KR"/>
        </w:rPr>
        <w:t>76/81-86</w:t>
      </w:r>
      <w:r w:rsidRPr="00243E29">
        <w:rPr>
          <w:lang w:val="en-US"/>
        </w:rPr>
        <w:t xml:space="preserve"> GHz</w:t>
      </w:r>
    </w:p>
    <w:p w:rsidR="002F754C" w:rsidRPr="002F754C" w:rsidRDefault="002F754C" w:rsidP="002F754C">
      <w:pPr>
        <w:pStyle w:val="Heading1"/>
        <w:rPr>
          <w:lang w:val="en-US"/>
        </w:rPr>
      </w:pPr>
      <w:r w:rsidRPr="002F754C">
        <w:rPr>
          <w:lang w:val="en-US"/>
        </w:rPr>
        <w:t>1</w:t>
      </w:r>
      <w:r w:rsidRPr="002F754C">
        <w:rPr>
          <w:lang w:val="en-US"/>
        </w:rPr>
        <w:tab/>
        <w:t>Basic 250 MHz channels in the 71-76 GHz and 81-86 GHz bands</w:t>
      </w:r>
    </w:p>
    <w:p w:rsidR="002F754C" w:rsidRPr="002F754C" w:rsidRDefault="002F754C" w:rsidP="00243E29">
      <w:pPr>
        <w:tabs>
          <w:tab w:val="clear" w:pos="794"/>
          <w:tab w:val="clear" w:pos="1191"/>
          <w:tab w:val="clear" w:pos="1588"/>
          <w:tab w:val="clear" w:pos="1985"/>
          <w:tab w:val="left" w:pos="1134"/>
          <w:tab w:val="left" w:pos="1871"/>
          <w:tab w:val="left" w:pos="2268"/>
        </w:tabs>
        <w:jc w:val="left"/>
        <w:rPr>
          <w:lang w:val="en-US"/>
        </w:rPr>
      </w:pPr>
      <w:r w:rsidRPr="002F754C">
        <w:rPr>
          <w:lang w:val="en-US"/>
        </w:rPr>
        <w:t>Let</w:t>
      </w:r>
      <w:r w:rsidRPr="002F754C">
        <w:rPr>
          <w:lang w:val="en-US"/>
        </w:rPr>
        <w:tab/>
      </w:r>
      <w:r w:rsidRPr="002F754C">
        <w:rPr>
          <w:i/>
          <w:iCs/>
          <w:lang w:val="en-US"/>
        </w:rPr>
        <w:t>fr</w:t>
      </w:r>
      <w:r w:rsidRPr="002F754C">
        <w:rPr>
          <w:lang w:val="en-US"/>
        </w:rPr>
        <w:tab/>
        <w:t xml:space="preserve">be the </w:t>
      </w:r>
      <w:r w:rsidRPr="00243E29">
        <w:rPr>
          <w:lang w:val="en-GB"/>
        </w:rPr>
        <w:t>reference</w:t>
      </w:r>
      <w:r w:rsidR="00464BE1">
        <w:rPr>
          <w:lang w:val="en-US"/>
        </w:rPr>
        <w:t xml:space="preserve"> frequency of</w:t>
      </w:r>
      <w:r w:rsidRPr="002F754C">
        <w:rPr>
          <w:lang w:val="en-US"/>
        </w:rPr>
        <w:t>:</w:t>
      </w:r>
      <w:r w:rsidRPr="002F754C">
        <w:rPr>
          <w:lang w:val="en-US"/>
        </w:rPr>
        <w:br/>
      </w:r>
      <w:r w:rsidRPr="002F754C">
        <w:rPr>
          <w:lang w:val="en-US"/>
        </w:rPr>
        <w:tab/>
      </w:r>
      <w:r w:rsidRPr="002F754C">
        <w:rPr>
          <w:lang w:val="en-US"/>
        </w:rPr>
        <w:tab/>
        <w:t>71 000 MHz for the band 71-76 GHz,</w:t>
      </w:r>
      <w:r w:rsidRPr="002F754C">
        <w:rPr>
          <w:lang w:val="en-US"/>
        </w:rPr>
        <w:br/>
      </w:r>
      <w:r w:rsidRPr="002F754C">
        <w:rPr>
          <w:lang w:val="en-US"/>
        </w:rPr>
        <w:tab/>
      </w:r>
      <w:r w:rsidRPr="002F754C">
        <w:rPr>
          <w:lang w:val="en-US"/>
        </w:rPr>
        <w:tab/>
        <w:t>81 000 MHz for the band 81-86 GHz</w:t>
      </w:r>
    </w:p>
    <w:p w:rsidR="002F754C" w:rsidRPr="002F754C" w:rsidRDefault="002F754C" w:rsidP="00243E29">
      <w:pPr>
        <w:tabs>
          <w:tab w:val="clear" w:pos="794"/>
          <w:tab w:val="clear" w:pos="1191"/>
          <w:tab w:val="clear" w:pos="1588"/>
          <w:tab w:val="clear" w:pos="1985"/>
          <w:tab w:val="left" w:pos="1134"/>
          <w:tab w:val="left" w:pos="1871"/>
          <w:tab w:val="left" w:pos="2268"/>
        </w:tabs>
        <w:jc w:val="left"/>
        <w:rPr>
          <w:lang w:val="en-US"/>
        </w:rPr>
      </w:pPr>
      <w:r w:rsidRPr="002F754C">
        <w:rPr>
          <w:lang w:val="en-US"/>
        </w:rPr>
        <w:tab/>
      </w:r>
      <w:r w:rsidRPr="002F754C">
        <w:rPr>
          <w:i/>
          <w:iCs/>
          <w:lang w:val="en-US"/>
        </w:rPr>
        <w:t>fn</w:t>
      </w:r>
      <w:r w:rsidRPr="002F754C">
        <w:rPr>
          <w:lang w:val="en-US"/>
        </w:rPr>
        <w:tab/>
        <w:t xml:space="preserve">be the centre </w:t>
      </w:r>
      <w:r w:rsidRPr="00243E29">
        <w:rPr>
          <w:lang w:val="en-GB"/>
        </w:rPr>
        <w:t>frequency</w:t>
      </w:r>
      <w:r w:rsidRPr="002F754C">
        <w:rPr>
          <w:lang w:val="en-US"/>
        </w:rPr>
        <w:t xml:space="preserve"> of a radio-frequency channel in the band 71-76 GHz</w:t>
      </w:r>
      <w:r w:rsidRPr="002F754C">
        <w:rPr>
          <w:lang w:val="en-US"/>
        </w:rPr>
        <w:br/>
      </w:r>
      <w:r w:rsidRPr="002F754C">
        <w:rPr>
          <w:lang w:val="en-US"/>
        </w:rPr>
        <w:tab/>
      </w:r>
      <w:r w:rsidRPr="002F754C">
        <w:rPr>
          <w:lang w:val="en-US"/>
        </w:rPr>
        <w:tab/>
        <w:t>or 81-86 GHz band,</w:t>
      </w:r>
    </w:p>
    <w:p w:rsidR="002F754C" w:rsidRPr="002F754C" w:rsidRDefault="002F754C" w:rsidP="00243E29">
      <w:pPr>
        <w:tabs>
          <w:tab w:val="clear" w:pos="794"/>
          <w:tab w:val="clear" w:pos="1191"/>
          <w:tab w:val="clear" w:pos="1588"/>
          <w:tab w:val="clear" w:pos="1985"/>
          <w:tab w:val="left" w:pos="1134"/>
          <w:tab w:val="left" w:pos="1871"/>
          <w:tab w:val="left" w:pos="2268"/>
        </w:tabs>
        <w:jc w:val="left"/>
        <w:rPr>
          <w:lang w:val="en-US"/>
        </w:rPr>
      </w:pPr>
      <w:r w:rsidRPr="002F754C">
        <w:rPr>
          <w:lang w:val="en-US"/>
        </w:rPr>
        <w:tab/>
      </w:r>
      <w:r w:rsidRPr="002F754C">
        <w:rPr>
          <w:i/>
          <w:iCs/>
          <w:lang w:val="en-US"/>
        </w:rPr>
        <w:t>n</w:t>
      </w:r>
      <w:r w:rsidRPr="002F754C">
        <w:rPr>
          <w:lang w:val="en-US"/>
        </w:rPr>
        <w:tab/>
        <w:t>be the channel number in each band,</w:t>
      </w:r>
    </w:p>
    <w:p w:rsidR="002F754C" w:rsidRPr="002F754C" w:rsidRDefault="002F754C" w:rsidP="002F754C">
      <w:pPr>
        <w:rPr>
          <w:lang w:val="en-US"/>
        </w:rPr>
      </w:pPr>
      <w:r w:rsidRPr="002F754C">
        <w:rPr>
          <w:lang w:val="en-US"/>
        </w:rPr>
        <w:t>then the centre frequencies of individual channels with 250 MHz separation, are expressed by the following relationship:</w:t>
      </w:r>
    </w:p>
    <w:p w:rsidR="002F754C" w:rsidRPr="002F754C" w:rsidRDefault="002F754C" w:rsidP="002F754C">
      <w:pPr>
        <w:pStyle w:val="Equation"/>
        <w:rPr>
          <w:lang w:val="en-US"/>
        </w:rPr>
      </w:pPr>
      <w:r w:rsidRPr="002F754C">
        <w:rPr>
          <w:i/>
          <w:iCs/>
          <w:lang w:val="en-US"/>
        </w:rPr>
        <w:tab/>
      </w:r>
      <w:r w:rsidRPr="002F754C">
        <w:rPr>
          <w:i/>
          <w:iCs/>
          <w:lang w:val="en-US"/>
        </w:rPr>
        <w:tab/>
        <w:t>fn</w:t>
      </w:r>
      <w:r w:rsidRPr="002F754C">
        <w:rPr>
          <w:lang w:val="en-US"/>
        </w:rPr>
        <w:t xml:space="preserve"> = </w:t>
      </w:r>
      <w:r w:rsidRPr="002F754C">
        <w:rPr>
          <w:i/>
          <w:iCs/>
          <w:lang w:val="en-US"/>
        </w:rPr>
        <w:t>fr</w:t>
      </w:r>
      <w:r w:rsidRPr="002F754C">
        <w:rPr>
          <w:lang w:val="en-US"/>
        </w:rPr>
        <w:t xml:space="preserve"> + 250·</w:t>
      </w:r>
      <w:r w:rsidRPr="002F754C">
        <w:rPr>
          <w:i/>
          <w:iCs/>
          <w:lang w:val="en-US"/>
        </w:rPr>
        <w:t>n</w:t>
      </w:r>
      <w:r w:rsidRPr="002F754C">
        <w:rPr>
          <w:lang w:val="en-US"/>
        </w:rPr>
        <w:t>      MHz</w:t>
      </w:r>
    </w:p>
    <w:p w:rsidR="002F754C" w:rsidRPr="002F754C" w:rsidRDefault="002F754C" w:rsidP="002F754C">
      <w:pPr>
        <w:rPr>
          <w:lang w:val="en-US"/>
        </w:rPr>
      </w:pPr>
      <w:r w:rsidRPr="002F754C">
        <w:rPr>
          <w:lang w:val="en-US"/>
        </w:rPr>
        <w:t>where:</w:t>
      </w:r>
    </w:p>
    <w:p w:rsidR="002F754C" w:rsidRPr="00CB46A8" w:rsidRDefault="002F754C" w:rsidP="002F754C">
      <w:pPr>
        <w:pStyle w:val="Equationlegend"/>
      </w:pPr>
      <w:r w:rsidRPr="00CB46A8">
        <w:tab/>
      </w:r>
      <w:r w:rsidRPr="00CB46A8">
        <w:rPr>
          <w:i/>
          <w:iCs/>
        </w:rPr>
        <w:t>n</w:t>
      </w:r>
      <w:r w:rsidRPr="00CB46A8">
        <w:tab/>
        <w:t>= 1, 2, 3, ..., 19 for each band</w:t>
      </w:r>
    </w:p>
    <w:p w:rsidR="002F754C" w:rsidRPr="002F754C" w:rsidRDefault="002F754C" w:rsidP="002F754C">
      <w:pPr>
        <w:rPr>
          <w:lang w:val="en-US"/>
        </w:rPr>
      </w:pPr>
      <w:r w:rsidRPr="002F754C">
        <w:rPr>
          <w:lang w:val="en-US"/>
        </w:rPr>
        <w:t>The 19 basic 250 MHz channels derived as above maintain 125 MHz guardband (i.e. ZS = 250 MHz as defined in recommendation ITU-R F.746) at each four band edges.</w:t>
      </w:r>
    </w:p>
    <w:p w:rsidR="002F754C" w:rsidRPr="002F754C" w:rsidRDefault="002F754C" w:rsidP="00E230E9">
      <w:pPr>
        <w:pStyle w:val="Heading1"/>
        <w:rPr>
          <w:lang w:val="en-US"/>
        </w:rPr>
      </w:pPr>
      <w:r w:rsidRPr="002F754C">
        <w:rPr>
          <w:lang w:val="en-US"/>
        </w:rPr>
        <w:lastRenderedPageBreak/>
        <w:t>2</w:t>
      </w:r>
      <w:r w:rsidRPr="002F754C">
        <w:rPr>
          <w:lang w:val="en-US"/>
        </w:rPr>
        <w:tab/>
        <w:t>Pairing and aggregating basic ch</w:t>
      </w:r>
      <w:r w:rsidR="00464BE1">
        <w:rPr>
          <w:lang w:val="en-US"/>
        </w:rPr>
        <w:t>annels in frequency bands 71-76</w:t>
      </w:r>
      <w:r w:rsidRPr="002F754C">
        <w:rPr>
          <w:lang w:val="en-US"/>
        </w:rPr>
        <w:t>/81-86 GHz</w:t>
      </w:r>
    </w:p>
    <w:p w:rsidR="002F754C" w:rsidRPr="002F754C" w:rsidRDefault="002F754C" w:rsidP="00E230E9">
      <w:pPr>
        <w:keepNext/>
        <w:rPr>
          <w:lang w:val="en-US"/>
        </w:rPr>
      </w:pPr>
      <w:r w:rsidRPr="002F754C">
        <w:rPr>
          <w:lang w:val="en-US"/>
        </w:rPr>
        <w:t xml:space="preserve">The principle of using the 2 </w:t>
      </w:r>
      <w:r w:rsidRPr="00CB46A8">
        <w:sym w:font="Symbol" w:char="F0B4"/>
      </w:r>
      <w:r w:rsidRPr="002F754C">
        <w:rPr>
          <w:lang w:val="en-US"/>
        </w:rPr>
        <w:t xml:space="preserve"> 19 basic channels from within the bands 71-76 GHz and 81-86 GHz jointly in a single duplex FDD arrangement with 10 GHz duplex separation is described in the Fig. 2.</w:t>
      </w:r>
    </w:p>
    <w:p w:rsidR="002F754C" w:rsidRPr="002F754C" w:rsidRDefault="002F754C" w:rsidP="002F754C">
      <w:pPr>
        <w:pStyle w:val="FigureNo"/>
        <w:rPr>
          <w:lang w:val="en-US"/>
        </w:rPr>
      </w:pPr>
      <w:r w:rsidRPr="002F754C">
        <w:rPr>
          <w:lang w:val="en-US"/>
        </w:rPr>
        <w:t>Figure 2</w:t>
      </w:r>
    </w:p>
    <w:p w:rsidR="002F754C" w:rsidRPr="002F754C" w:rsidRDefault="002F754C" w:rsidP="002F754C">
      <w:pPr>
        <w:pStyle w:val="Figuretitle"/>
        <w:rPr>
          <w:lang w:val="en-US"/>
        </w:rPr>
      </w:pPr>
      <w:r w:rsidRPr="002F754C">
        <w:rPr>
          <w:lang w:val="en-US"/>
        </w:rPr>
        <w:t xml:space="preserve">Combining </w:t>
      </w:r>
      <w:r w:rsidR="00243E29">
        <w:rPr>
          <w:lang w:val="en-US"/>
        </w:rPr>
        <w:t>the 250 MHz channels from 71-76/</w:t>
      </w:r>
      <w:r w:rsidRPr="002F754C">
        <w:rPr>
          <w:lang w:val="en-US"/>
        </w:rPr>
        <w:t>81-86 GHz bands into a single FDD arrangement</w:t>
      </w:r>
      <w:r w:rsidRPr="002F754C">
        <w:rPr>
          <w:lang w:val="en-US"/>
        </w:rPr>
        <w:br/>
        <w:t>with duplex separation of 10 GHz</w:t>
      </w:r>
    </w:p>
    <w:p w:rsidR="002F754C" w:rsidRPr="00CB46A8" w:rsidRDefault="00053D86" w:rsidP="00053D86">
      <w:pPr>
        <w:pStyle w:val="Figure"/>
      </w:pPr>
      <w:r>
        <w:object w:dxaOrig="6774" w:dyaOrig="1376">
          <v:shape id="_x0000_i1026" type="#_x0000_t75" style="width:449pt;height:91.5pt" o:ole="">
            <v:imagedata r:id="rId16" o:title=""/>
          </v:shape>
          <o:OLEObject Type="Embed" ProgID="CorelDRAW.Graphic.14" ShapeID="_x0000_i1026" DrawAspect="Content" ObjectID="_1397654689" r:id="rId17"/>
        </w:object>
      </w:r>
    </w:p>
    <w:p w:rsidR="002F754C" w:rsidRPr="00CB46A8" w:rsidRDefault="002F754C" w:rsidP="002F754C"/>
    <w:p w:rsidR="002F754C" w:rsidRPr="002F754C" w:rsidRDefault="002F754C" w:rsidP="002F754C">
      <w:pPr>
        <w:rPr>
          <w:lang w:val="en-US"/>
        </w:rPr>
      </w:pPr>
      <w:r w:rsidRPr="002F754C">
        <w:rPr>
          <w:lang w:val="en-US"/>
        </w:rPr>
        <w:t xml:space="preserve">The principle of using the 2 </w:t>
      </w:r>
      <w:r w:rsidRPr="00CB46A8">
        <w:sym w:font="Symbol" w:char="F0B4"/>
      </w:r>
      <w:r w:rsidRPr="002F754C">
        <w:rPr>
          <w:lang w:val="en-US"/>
        </w:rPr>
        <w:t xml:space="preserve"> 19 basic channels within a single band 71-76 GHz or 81-86 GHz with two separate FDD arrangement with duplex separation of 2.5 GHz is shown in Fig. 3.</w:t>
      </w:r>
    </w:p>
    <w:p w:rsidR="002F754C" w:rsidRPr="002F754C" w:rsidRDefault="002F754C" w:rsidP="002F754C">
      <w:pPr>
        <w:pStyle w:val="FigureNo"/>
        <w:rPr>
          <w:lang w:val="en-US"/>
        </w:rPr>
      </w:pPr>
      <w:r w:rsidRPr="002F754C">
        <w:rPr>
          <w:lang w:val="en-US"/>
        </w:rPr>
        <w:t>Figure 3</w:t>
      </w:r>
    </w:p>
    <w:p w:rsidR="002F754C" w:rsidRPr="002F754C" w:rsidRDefault="002F754C" w:rsidP="002F754C">
      <w:pPr>
        <w:pStyle w:val="Figuretitle"/>
        <w:rPr>
          <w:lang w:val="en-US"/>
        </w:rPr>
      </w:pPr>
      <w:r w:rsidRPr="002F754C">
        <w:rPr>
          <w:lang w:val="en-US"/>
        </w:rPr>
        <w:t xml:space="preserve">Combining the 250 MHz channels from single 71-76 GHz or 81-86 GHz band into separate FDD arrangement </w:t>
      </w:r>
      <w:r w:rsidR="001855EB">
        <w:rPr>
          <w:lang w:val="en-US"/>
        </w:rPr>
        <w:br/>
      </w:r>
      <w:r w:rsidRPr="002F754C">
        <w:rPr>
          <w:lang w:val="en-US"/>
        </w:rPr>
        <w:t>with duplex separation of 2.5 GHz</w:t>
      </w:r>
    </w:p>
    <w:p w:rsidR="002F754C" w:rsidRPr="00CB46A8" w:rsidRDefault="000319F9" w:rsidP="00053D86">
      <w:pPr>
        <w:pStyle w:val="Figure"/>
      </w:pPr>
      <w:r>
        <w:object w:dxaOrig="11664" w:dyaOrig="3969">
          <v:shape id="_x0000_i1039" type="#_x0000_t75" style="width:432.5pt;height:147.5pt;mso-position-vertical:absolute" o:ole="">
            <v:imagedata r:id="rId18" o:title=""/>
          </v:shape>
          <o:OLEObject Type="Embed" ProgID="CorelDRAW.Graphic.14" ShapeID="_x0000_i1039" DrawAspect="Content" ObjectID="_1397654690" r:id="rId19"/>
        </w:object>
      </w:r>
    </w:p>
    <w:p w:rsidR="002F754C" w:rsidRPr="00CB46A8" w:rsidRDefault="002F754C" w:rsidP="002F754C">
      <w:bookmarkStart w:id="3" w:name="_GoBack"/>
      <w:bookmarkEnd w:id="3"/>
    </w:p>
    <w:p w:rsidR="002F754C" w:rsidRPr="002F754C" w:rsidRDefault="002F754C" w:rsidP="00464BE1">
      <w:pPr>
        <w:rPr>
          <w:b/>
          <w:lang w:val="en-US"/>
        </w:rPr>
      </w:pPr>
      <w:r w:rsidRPr="002F754C">
        <w:rPr>
          <w:lang w:val="en-US"/>
        </w:rPr>
        <w:t>When wider channels are needed, e.g. for very high bitrate and high system gain applications (e.g.</w:t>
      </w:r>
      <w:r w:rsidR="00464BE1">
        <w:rPr>
          <w:lang w:val="en-US"/>
        </w:rPr>
        <w:t> </w:t>
      </w:r>
      <w:r w:rsidRPr="002F754C">
        <w:rPr>
          <w:lang w:val="en-US"/>
        </w:rPr>
        <w:t xml:space="preserve">employing </w:t>
      </w:r>
      <w:r w:rsidR="001855EB">
        <w:rPr>
          <w:lang w:val="en-US"/>
        </w:rPr>
        <w:t>frequency shift keying</w:t>
      </w:r>
      <w:r w:rsidRPr="002F754C">
        <w:rPr>
          <w:lang w:val="en-US"/>
        </w:rPr>
        <w:t xml:space="preserve"> modulation and/or gigabit/s or higher capacity), then a flexible number of consecutive 250 MHz channels may be aggregated into FDD channels, as illustrated in Fig. 4, for duplex separation equal or more than 10 GHz, or in Fig. 5, for duplex separation of 2.5 GHz. Administrations that prefer to use of multiple sizes channels in predefined positions may refer to the arrangements in section 4 of this Annex.</w:t>
      </w:r>
    </w:p>
    <w:p w:rsidR="002F754C" w:rsidRPr="002F754C" w:rsidRDefault="002F754C" w:rsidP="002F754C">
      <w:pPr>
        <w:pStyle w:val="FigureNo"/>
        <w:rPr>
          <w:lang w:val="en-US"/>
        </w:rPr>
      </w:pPr>
      <w:r w:rsidRPr="002F754C">
        <w:rPr>
          <w:lang w:val="en-US"/>
        </w:rPr>
        <w:lastRenderedPageBreak/>
        <w:t>Figure 4</w:t>
      </w:r>
    </w:p>
    <w:p w:rsidR="002F754C" w:rsidRPr="002F754C" w:rsidRDefault="002F754C" w:rsidP="002F754C">
      <w:pPr>
        <w:pStyle w:val="Figuretitle"/>
        <w:rPr>
          <w:lang w:val="en-US"/>
        </w:rPr>
      </w:pPr>
      <w:r w:rsidRPr="002F754C">
        <w:rPr>
          <w:lang w:val="en-US"/>
        </w:rPr>
        <w:t>Example of aggregating multiple 250 MHz channels, possibly alongside with original 250 MHz wide channels</w:t>
      </w:r>
      <w:r w:rsidRPr="002F754C">
        <w:rPr>
          <w:lang w:val="en-US"/>
        </w:rPr>
        <w:br/>
        <w:t>within the joint 71-76 GHz and 81-86 GHz FDD arrangement</w:t>
      </w:r>
    </w:p>
    <w:p w:rsidR="002F754C" w:rsidRPr="00CB46A8" w:rsidRDefault="006B5836" w:rsidP="006B5836">
      <w:pPr>
        <w:pStyle w:val="Figure"/>
      </w:pPr>
      <w:r>
        <w:object w:dxaOrig="7051" w:dyaOrig="1431">
          <v:shape id="_x0000_i1028" type="#_x0000_t75" style="width:467.5pt;height:95pt" o:ole="">
            <v:imagedata r:id="rId20" o:title=""/>
          </v:shape>
          <o:OLEObject Type="Embed" ProgID="CorelDRAW.Graphic.14" ShapeID="_x0000_i1028" DrawAspect="Content" ObjectID="_1397654691" r:id="rId21"/>
        </w:object>
      </w:r>
    </w:p>
    <w:p w:rsidR="002F754C" w:rsidRPr="00CB46A8" w:rsidRDefault="002F754C" w:rsidP="00E230E9"/>
    <w:p w:rsidR="002F754C" w:rsidRPr="002F754C" w:rsidRDefault="002F754C" w:rsidP="002F754C">
      <w:pPr>
        <w:pStyle w:val="FigureNo"/>
        <w:rPr>
          <w:lang w:val="en-US"/>
        </w:rPr>
      </w:pPr>
      <w:r w:rsidRPr="002F754C">
        <w:rPr>
          <w:lang w:val="en-US"/>
        </w:rPr>
        <w:t>Figure 5</w:t>
      </w:r>
    </w:p>
    <w:p w:rsidR="002F754C" w:rsidRPr="002F754C" w:rsidRDefault="002F754C" w:rsidP="002F754C">
      <w:pPr>
        <w:pStyle w:val="Figuretitle"/>
        <w:rPr>
          <w:lang w:val="en-US"/>
        </w:rPr>
      </w:pPr>
      <w:r w:rsidRPr="002F754C">
        <w:rPr>
          <w:lang w:val="en-US"/>
        </w:rPr>
        <w:t xml:space="preserve">Example of aggregating multiple 250 MHz channels, possibly alongside with original 250 MHz wide channels </w:t>
      </w:r>
      <w:r w:rsidR="00464BE1">
        <w:rPr>
          <w:lang w:val="en-US"/>
        </w:rPr>
        <w:br/>
      </w:r>
      <w:r w:rsidRPr="002F754C">
        <w:rPr>
          <w:lang w:val="en-US"/>
        </w:rPr>
        <w:t>within the single band 71-76 or 81-86 GHz FDD arrangements</w:t>
      </w:r>
    </w:p>
    <w:p w:rsidR="002F754C" w:rsidRPr="00CB46A8" w:rsidRDefault="006B5836" w:rsidP="006B5836">
      <w:pPr>
        <w:pStyle w:val="Figure"/>
      </w:pPr>
      <w:r>
        <w:object w:dxaOrig="7048" w:dyaOrig="1731">
          <v:shape id="_x0000_i1029" type="#_x0000_t75" style="width:467.5pt;height:114.5pt" o:ole="">
            <v:imagedata r:id="rId22" o:title=""/>
          </v:shape>
          <o:OLEObject Type="Embed" ProgID="CorelDRAW.Graphic.14" ShapeID="_x0000_i1029" DrawAspect="Content" ObjectID="_1397654692" r:id="rId23"/>
        </w:object>
      </w:r>
    </w:p>
    <w:p w:rsidR="002F754C" w:rsidRPr="00CB46A8" w:rsidRDefault="002F754C" w:rsidP="006B5836"/>
    <w:p w:rsidR="002F754C" w:rsidRPr="002F754C" w:rsidRDefault="002F754C" w:rsidP="002F754C">
      <w:pPr>
        <w:pStyle w:val="Heading1"/>
        <w:rPr>
          <w:lang w:val="en-US"/>
        </w:rPr>
      </w:pPr>
      <w:r w:rsidRPr="002F754C">
        <w:rPr>
          <w:lang w:val="en-US"/>
        </w:rPr>
        <w:t>3</w:t>
      </w:r>
      <w:r w:rsidRPr="002F754C">
        <w:rPr>
          <w:lang w:val="en-US"/>
        </w:rPr>
        <w:tab/>
        <w:t>Specific channel arrangements for multiple size FDD/TDD aggregated channels in frequency</w:t>
      </w:r>
      <w:r w:rsidR="00E230E9">
        <w:rPr>
          <w:lang w:val="en-US"/>
        </w:rPr>
        <w:t xml:space="preserve"> bands 71-76/</w:t>
      </w:r>
      <w:r w:rsidRPr="002F754C">
        <w:rPr>
          <w:lang w:val="en-US"/>
        </w:rPr>
        <w:t>81-86 GHz</w:t>
      </w:r>
    </w:p>
    <w:p w:rsidR="002F754C" w:rsidRPr="002F754C" w:rsidRDefault="002F754C" w:rsidP="002F754C">
      <w:pPr>
        <w:rPr>
          <w:lang w:val="en-US"/>
        </w:rPr>
      </w:pPr>
      <w:r w:rsidRPr="002F754C">
        <w:rPr>
          <w:lang w:val="en-US"/>
        </w:rPr>
        <w:t>A multiple sizes channel arrangement for these bands depends on the basic assumptions that an administration makes for the deployment, e.g.:</w:t>
      </w:r>
    </w:p>
    <w:p w:rsidR="002F754C" w:rsidRPr="002F754C" w:rsidRDefault="002F754C" w:rsidP="002F754C">
      <w:pPr>
        <w:pStyle w:val="enumlev1"/>
        <w:rPr>
          <w:lang w:val="en-US"/>
        </w:rPr>
      </w:pPr>
      <w:r w:rsidRPr="002F754C">
        <w:rPr>
          <w:lang w:val="en-US"/>
        </w:rPr>
        <w:t>–</w:t>
      </w:r>
      <w:r w:rsidRPr="002F754C">
        <w:rPr>
          <w:lang w:val="en-US"/>
        </w:rPr>
        <w:tab/>
        <w:t>TDD, FDD or their mixed use of the band;</w:t>
      </w:r>
    </w:p>
    <w:p w:rsidR="002F754C" w:rsidRPr="002F754C" w:rsidRDefault="002F754C" w:rsidP="002F754C">
      <w:pPr>
        <w:pStyle w:val="enumlev1"/>
        <w:rPr>
          <w:lang w:val="en-US"/>
        </w:rPr>
      </w:pPr>
      <w:r w:rsidRPr="002F754C">
        <w:rPr>
          <w:lang w:val="en-US"/>
        </w:rPr>
        <w:t>–</w:t>
      </w:r>
      <w:r w:rsidRPr="002F754C">
        <w:rPr>
          <w:lang w:val="en-US"/>
        </w:rPr>
        <w:tab/>
        <w:t>Paired FDD assignments with fixed duplex;</w:t>
      </w:r>
    </w:p>
    <w:p w:rsidR="002F754C" w:rsidRPr="002F754C" w:rsidRDefault="002F754C" w:rsidP="002F754C">
      <w:pPr>
        <w:pStyle w:val="enumlev1"/>
        <w:rPr>
          <w:lang w:val="en-US"/>
        </w:rPr>
      </w:pPr>
      <w:r w:rsidRPr="002F754C">
        <w:rPr>
          <w:lang w:val="en-US"/>
        </w:rPr>
        <w:t>–</w:t>
      </w:r>
      <w:r w:rsidRPr="002F754C">
        <w:rPr>
          <w:lang w:val="en-US"/>
        </w:rPr>
        <w:tab/>
        <w:t>FDD channels paired either in each single band or in cross-band pairing, or both contemporarily;</w:t>
      </w:r>
    </w:p>
    <w:p w:rsidR="002F754C" w:rsidRPr="002F754C" w:rsidRDefault="002F754C" w:rsidP="002F754C">
      <w:pPr>
        <w:rPr>
          <w:lang w:val="en-US"/>
        </w:rPr>
      </w:pPr>
      <w:r w:rsidRPr="002F754C">
        <w:rPr>
          <w:lang w:val="en-US"/>
        </w:rPr>
        <w:t xml:space="preserve">For maximum flexibility all possible channel size of N </w:t>
      </w:r>
      <w:r w:rsidRPr="00CB46A8">
        <w:sym w:font="Symbol" w:char="F0B4"/>
      </w:r>
      <w:r w:rsidRPr="002F754C">
        <w:rPr>
          <w:lang w:val="en-US"/>
        </w:rPr>
        <w:t xml:space="preserve"> 250 MHz are described in the arrangements. </w:t>
      </w:r>
    </w:p>
    <w:p w:rsidR="002F754C" w:rsidRPr="002F754C" w:rsidRDefault="002F754C" w:rsidP="002F754C">
      <w:pPr>
        <w:rPr>
          <w:lang w:val="en-US"/>
        </w:rPr>
      </w:pPr>
      <w:r w:rsidRPr="00E230E9">
        <w:rPr>
          <w:i/>
          <w:iCs/>
          <w:lang w:val="en-US"/>
        </w:rPr>
        <w:t>N</w:t>
      </w:r>
      <w:r w:rsidRPr="002F754C">
        <w:rPr>
          <w:lang w:val="en-US"/>
        </w:rPr>
        <w:t xml:space="preserve"> = 1, 2, …..9 resulting in channel size from 250 MHz to 2 250 MHz as described in Fig. 6 for the separate arrangements in 71-76 GHz or 81-86 GHz sub-bands with duplex separation 2.5 GHz.</w:t>
      </w:r>
    </w:p>
    <w:p w:rsidR="002F754C" w:rsidRPr="002F754C" w:rsidRDefault="002F754C" w:rsidP="000319F9">
      <w:pPr>
        <w:rPr>
          <w:lang w:val="en-US"/>
        </w:rPr>
      </w:pPr>
      <w:r w:rsidRPr="00E230E9">
        <w:rPr>
          <w:i/>
          <w:iCs/>
          <w:lang w:val="en-US"/>
        </w:rPr>
        <w:t>N</w:t>
      </w:r>
      <w:r w:rsidRPr="002F754C">
        <w:rPr>
          <w:lang w:val="en-US"/>
        </w:rPr>
        <w:t xml:space="preserve"> = 1, 2, …..18 resulting in channel size from 250 MHz to 4 500 MHz as described in Fig. 7 for the joint arrangement in both 71-76 GHz and 81-86 GHz sub-bands with 10 GHz</w:t>
      </w:r>
      <w:r w:rsidR="000319F9" w:rsidRPr="000319F9">
        <w:rPr>
          <w:lang w:val="en-US"/>
        </w:rPr>
        <w:t xml:space="preserve"> </w:t>
      </w:r>
      <w:r w:rsidR="000319F9" w:rsidRPr="002F754C">
        <w:rPr>
          <w:lang w:val="en-US"/>
        </w:rPr>
        <w:t>duplex separation</w:t>
      </w:r>
      <w:r w:rsidRPr="002F754C">
        <w:rPr>
          <w:lang w:val="en-US"/>
        </w:rPr>
        <w:t>. In this case channels from 250 MHz to 2 250 MHz maintain the same centre frequency of the corresponding channels in previous separate arrangements; this makes easier, when necessary, the contemporary coordination of systems with 2.5 GHz and 10 GHz duplex separation.</w:t>
      </w:r>
    </w:p>
    <w:p w:rsidR="002F754C" w:rsidRPr="002F754C" w:rsidRDefault="002F754C" w:rsidP="002F754C">
      <w:pPr>
        <w:pStyle w:val="FigureNo"/>
        <w:rPr>
          <w:lang w:val="en-US"/>
        </w:rPr>
      </w:pPr>
      <w:r w:rsidRPr="002F754C">
        <w:rPr>
          <w:lang w:val="en-US"/>
        </w:rPr>
        <w:lastRenderedPageBreak/>
        <w:t>Figure 6</w:t>
      </w:r>
    </w:p>
    <w:p w:rsidR="002F754C" w:rsidRPr="002F754C" w:rsidRDefault="002F754C" w:rsidP="002F754C">
      <w:pPr>
        <w:pStyle w:val="Figuretitle"/>
        <w:rPr>
          <w:lang w:val="en-US"/>
        </w:rPr>
      </w:pPr>
      <w:r w:rsidRPr="002F754C">
        <w:rPr>
          <w:lang w:val="en-US"/>
        </w:rPr>
        <w:t>Channel positions for TDD and single-band FDD applications</w:t>
      </w:r>
      <w:r w:rsidRPr="002F754C">
        <w:rPr>
          <w:lang w:val="en-US"/>
        </w:rPr>
        <w:br/>
        <w:t xml:space="preserve">(2.5 GHz </w:t>
      </w:r>
      <w:r w:rsidR="00E230E9" w:rsidRPr="002F754C">
        <w:rPr>
          <w:lang w:val="en-US"/>
        </w:rPr>
        <w:t xml:space="preserve">fixed </w:t>
      </w:r>
      <w:r w:rsidRPr="002F754C">
        <w:rPr>
          <w:lang w:val="en-US"/>
        </w:rPr>
        <w:t>duplex for all channels)</w:t>
      </w:r>
    </w:p>
    <w:p w:rsidR="002F754C" w:rsidRPr="00CB46A8" w:rsidRDefault="00C33819" w:rsidP="00E230E9">
      <w:pPr>
        <w:pStyle w:val="Figure"/>
      </w:pPr>
      <w:r>
        <w:object w:dxaOrig="10828" w:dyaOrig="16539">
          <v:shape id="_x0000_i1030" type="#_x0000_t75" style="width:406.5pt;height:621pt;mso-position-vertical:absolute" o:ole="">
            <v:imagedata r:id="rId24" o:title=""/>
          </v:shape>
          <o:OLEObject Type="Embed" ProgID="CorelDRAW.Graphic.14" ShapeID="_x0000_i1030" DrawAspect="Content" ObjectID="_1397654693" r:id="rId25"/>
        </w:object>
      </w:r>
    </w:p>
    <w:p w:rsidR="002F754C" w:rsidRPr="002F754C" w:rsidRDefault="002F754C" w:rsidP="002F754C">
      <w:pPr>
        <w:pStyle w:val="FigureNo"/>
        <w:rPr>
          <w:lang w:val="en-US"/>
        </w:rPr>
      </w:pPr>
      <w:r w:rsidRPr="002F754C">
        <w:rPr>
          <w:lang w:val="en-US"/>
        </w:rPr>
        <w:lastRenderedPageBreak/>
        <w:t>Figure 7</w:t>
      </w:r>
    </w:p>
    <w:p w:rsidR="002F754C" w:rsidRPr="002F754C" w:rsidRDefault="002F754C" w:rsidP="002F754C">
      <w:pPr>
        <w:pStyle w:val="Figuretitle"/>
        <w:rPr>
          <w:lang w:val="en-US"/>
        </w:rPr>
      </w:pPr>
      <w:r w:rsidRPr="002F754C">
        <w:rPr>
          <w:lang w:val="en-US"/>
        </w:rPr>
        <w:t>Channel positions for TDD and joint cross-bands FDD applications</w:t>
      </w:r>
      <w:r w:rsidRPr="002F754C">
        <w:rPr>
          <w:lang w:val="en-US"/>
        </w:rPr>
        <w:br/>
        <w:t xml:space="preserve">(10 GHz </w:t>
      </w:r>
      <w:r w:rsidR="00464BE1" w:rsidRPr="002F754C">
        <w:rPr>
          <w:lang w:val="en-US"/>
        </w:rPr>
        <w:t xml:space="preserve">fixed </w:t>
      </w:r>
      <w:r w:rsidRPr="002F754C">
        <w:rPr>
          <w:lang w:val="en-US"/>
        </w:rPr>
        <w:t>duplex for all channels)</w:t>
      </w:r>
    </w:p>
    <w:p w:rsidR="002F754C" w:rsidRPr="00CB46A8" w:rsidRDefault="00C33819" w:rsidP="00E230E9">
      <w:pPr>
        <w:pStyle w:val="Figure"/>
      </w:pPr>
      <w:r>
        <w:object w:dxaOrig="12623" w:dyaOrig="9830">
          <v:shape id="_x0000_i1031" type="#_x0000_t75" style="width:473.5pt;height:368.5pt" o:ole="">
            <v:imagedata r:id="rId26" o:title=""/>
          </v:shape>
          <o:OLEObject Type="Embed" ProgID="CorelDRAW.Graphic.14" ShapeID="_x0000_i1031" DrawAspect="Content" ObjectID="_1397654694" r:id="rId27"/>
        </w:object>
      </w:r>
    </w:p>
    <w:p w:rsidR="002F754C" w:rsidRPr="002F754C" w:rsidRDefault="002F754C" w:rsidP="002F754C">
      <w:pPr>
        <w:pStyle w:val="Heading1"/>
        <w:rPr>
          <w:lang w:val="en-US"/>
        </w:rPr>
      </w:pPr>
      <w:r w:rsidRPr="002F754C">
        <w:rPr>
          <w:lang w:val="en-US"/>
        </w:rPr>
        <w:t>4</w:t>
      </w:r>
      <w:r w:rsidRPr="002F754C">
        <w:rPr>
          <w:lang w:val="en-US"/>
        </w:rPr>
        <w:tab/>
        <w:t>Specific channel arrangements for multiple size FDD/TDD aggregated channels in th</w:t>
      </w:r>
      <w:r w:rsidR="00E230E9">
        <w:rPr>
          <w:lang w:val="en-US"/>
        </w:rPr>
        <w:t>e reduced frequency bands 74-76/</w:t>
      </w:r>
      <w:r w:rsidRPr="002F754C">
        <w:rPr>
          <w:lang w:val="en-US"/>
        </w:rPr>
        <w:t>84-86 GHz</w:t>
      </w:r>
    </w:p>
    <w:p w:rsidR="002F754C" w:rsidRPr="002F754C" w:rsidRDefault="002F754C" w:rsidP="002F754C">
      <w:pPr>
        <w:rPr>
          <w:lang w:val="en-US"/>
        </w:rPr>
      </w:pPr>
      <w:r w:rsidRPr="002F754C">
        <w:rPr>
          <w:lang w:val="en-US"/>
        </w:rPr>
        <w:t>In case only these reduced portions of the whole bands are available, only the joint arrangement with 10 GHz duplex separation is retained appropriate. It is shown in Fig. 8.</w:t>
      </w:r>
    </w:p>
    <w:p w:rsidR="002F754C" w:rsidRPr="002F754C" w:rsidRDefault="002F754C" w:rsidP="002F754C">
      <w:pPr>
        <w:pStyle w:val="FigureNo"/>
        <w:rPr>
          <w:lang w:val="en-US"/>
        </w:rPr>
      </w:pPr>
      <w:r w:rsidRPr="002F754C">
        <w:rPr>
          <w:lang w:val="en-US"/>
        </w:rPr>
        <w:lastRenderedPageBreak/>
        <w:t>Figure 8</w:t>
      </w:r>
    </w:p>
    <w:p w:rsidR="002F754C" w:rsidRPr="002F754C" w:rsidRDefault="002F754C" w:rsidP="002F754C">
      <w:pPr>
        <w:pStyle w:val="Figuretitle"/>
        <w:rPr>
          <w:lang w:val="en-US"/>
        </w:rPr>
      </w:pPr>
      <w:r w:rsidRPr="002F754C">
        <w:rPr>
          <w:lang w:val="en-US"/>
        </w:rPr>
        <w:t xml:space="preserve">Channel positions for TDD and cross-bands FDD applications </w:t>
      </w:r>
      <w:r w:rsidRPr="002F754C">
        <w:rPr>
          <w:lang w:val="en-US"/>
        </w:rPr>
        <w:br/>
        <w:t>(Limited to 74-76 GHz and 84-86 GHz bands with 10 GHz duplex separation)</w:t>
      </w:r>
    </w:p>
    <w:p w:rsidR="002F754C" w:rsidRDefault="000319F9" w:rsidP="00E230E9">
      <w:pPr>
        <w:pStyle w:val="Figure"/>
      </w:pPr>
      <w:r>
        <w:object w:dxaOrig="8233" w:dyaOrig="6715">
          <v:shape id="_x0000_i1032" type="#_x0000_t75" style="width:368pt;height:300.5pt" o:ole="">
            <v:imagedata r:id="rId28" o:title=""/>
          </v:shape>
          <o:OLEObject Type="Embed" ProgID="CorelDRAW.Graphic.14" ShapeID="_x0000_i1032" DrawAspect="Content" ObjectID="_1397654695" r:id="rId29"/>
        </w:object>
      </w:r>
    </w:p>
    <w:p w:rsidR="006B5836" w:rsidRPr="006B5836" w:rsidRDefault="006B5836" w:rsidP="006B5836">
      <w:pPr>
        <w:jc w:val="center"/>
      </w:pPr>
    </w:p>
    <w:p w:rsidR="00934ED7" w:rsidRPr="00B515B2" w:rsidRDefault="00934ED7" w:rsidP="006B5836">
      <w:pPr>
        <w:pStyle w:val="Line"/>
      </w:pPr>
    </w:p>
    <w:sectPr w:rsidR="00934ED7" w:rsidRPr="00B515B2"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836" w:rsidRDefault="006B5836">
      <w:r>
        <w:separator/>
      </w:r>
    </w:p>
  </w:endnote>
  <w:endnote w:type="continuationSeparator" w:id="0">
    <w:p w:rsidR="006B5836" w:rsidRDefault="006B5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836" w:rsidRDefault="006B5836">
      <w:r>
        <w:separator/>
      </w:r>
    </w:p>
  </w:footnote>
  <w:footnote w:type="continuationSeparator" w:id="0">
    <w:p w:rsidR="006B5836" w:rsidRDefault="006B58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836" w:rsidRDefault="006B583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836" w:rsidRDefault="006B5836" w:rsidP="00B033C8">
    <w:pPr>
      <w:pStyle w:val="Header"/>
      <w:ind w:right="360" w:firstLine="360"/>
    </w:pPr>
    <w:r>
      <w:rPr>
        <w:noProof/>
        <w:lang w:val="en-US" w:eastAsia="zh-CN"/>
      </w:rPr>
      <w:drawing>
        <wp:anchor distT="0" distB="0" distL="114300" distR="114300" simplePos="0" relativeHeight="251657728" behindDoc="1" locked="0" layoutInCell="1" allowOverlap="1" wp14:anchorId="7203E2BA" wp14:editId="1A1DF56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836" w:rsidRPr="00FC42AF" w:rsidRDefault="006B5836">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97302">
      <w:rPr>
        <w:rStyle w:val="PageNumber"/>
        <w:b/>
        <w:bCs/>
        <w:noProof/>
      </w:rPr>
      <w:t>4</w:t>
    </w:r>
    <w:r>
      <w:rPr>
        <w:rStyle w:val="PageNumber"/>
        <w:b/>
        <w:bCs/>
      </w:rPr>
      <w:fldChar w:fldCharType="end"/>
    </w:r>
    <w:r w:rsidRPr="00FC42AF">
      <w:tab/>
    </w:r>
    <w:r w:rsidR="00D97302">
      <w:fldChar w:fldCharType="begin"/>
    </w:r>
    <w:r w:rsidR="00D97302">
      <w:instrText xml:space="preserve"> DOCPROPERTY "Header" \* MERGEFORMAT </w:instrText>
    </w:r>
    <w:r w:rsidR="00D97302">
      <w:fldChar w:fldCharType="separate"/>
    </w:r>
    <w:r w:rsidRPr="00E230E9">
      <w:rPr>
        <w:b/>
        <w:bCs/>
      </w:rPr>
      <w:t xml:space="preserve">Rec. </w:t>
    </w:r>
    <w:r w:rsidR="00D97302">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97302">
      <w:rPr>
        <w:b/>
        <w:bCs/>
        <w:noProof/>
      </w:rPr>
      <w:t>ITU-R  F.2006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836" w:rsidRDefault="006B5836">
    <w:pPr>
      <w:pStyle w:val="Header"/>
    </w:pPr>
    <w:r>
      <w:tab/>
    </w:r>
    <w:r w:rsidR="00D97302">
      <w:fldChar w:fldCharType="begin"/>
    </w:r>
    <w:r w:rsidR="00D97302">
      <w:instrText xml:space="preserve"> DOCPROPERTY "Header" \* MERGEFORMAT </w:instrText>
    </w:r>
    <w:r w:rsidR="00D97302">
      <w:fldChar w:fldCharType="separate"/>
    </w:r>
    <w:r w:rsidRPr="00E230E9">
      <w:rPr>
        <w:b/>
        <w:bCs/>
      </w:rPr>
      <w:t xml:space="preserve">Rec. </w:t>
    </w:r>
    <w:r w:rsidR="00D97302">
      <w:rPr>
        <w:b/>
        <w:bCs/>
      </w:rPr>
      <w:fldChar w:fldCharType="end"/>
    </w:r>
    <w:r>
      <w:rPr>
        <w:b/>
        <w:bCs/>
      </w:rPr>
      <w:t xml:space="preserve"> </w:t>
    </w:r>
    <w:r>
      <w:rPr>
        <w:b/>
        <w:bCs/>
      </w:rPr>
      <w:fldChar w:fldCharType="begin"/>
    </w:r>
    <w:r>
      <w:rPr>
        <w:b/>
        <w:bCs/>
      </w:rPr>
      <w:instrText>styleref href</w:instrText>
    </w:r>
    <w:r>
      <w:rPr>
        <w:b/>
        <w:bCs/>
      </w:rPr>
      <w:fldChar w:fldCharType="separate"/>
    </w:r>
    <w:r w:rsidR="000319F9">
      <w:rPr>
        <w:b/>
        <w:bCs/>
        <w:noProof/>
      </w:rPr>
      <w:t>ITU-R  F.2006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319F9">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969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69CE"/>
    <w:rsid w:val="000319F9"/>
    <w:rsid w:val="00036EE3"/>
    <w:rsid w:val="00053D86"/>
    <w:rsid w:val="00057BF4"/>
    <w:rsid w:val="00072484"/>
    <w:rsid w:val="00096612"/>
    <w:rsid w:val="000A4386"/>
    <w:rsid w:val="000B7683"/>
    <w:rsid w:val="000D0677"/>
    <w:rsid w:val="000E6A6E"/>
    <w:rsid w:val="00102934"/>
    <w:rsid w:val="00123703"/>
    <w:rsid w:val="00142EE8"/>
    <w:rsid w:val="00147110"/>
    <w:rsid w:val="001511A6"/>
    <w:rsid w:val="001855EB"/>
    <w:rsid w:val="00194294"/>
    <w:rsid w:val="002058CE"/>
    <w:rsid w:val="002165F1"/>
    <w:rsid w:val="00243E29"/>
    <w:rsid w:val="00276D21"/>
    <w:rsid w:val="00296D7F"/>
    <w:rsid w:val="002A423A"/>
    <w:rsid w:val="002B3CF6"/>
    <w:rsid w:val="002C768A"/>
    <w:rsid w:val="002D76C4"/>
    <w:rsid w:val="002F5199"/>
    <w:rsid w:val="002F754C"/>
    <w:rsid w:val="00356B5D"/>
    <w:rsid w:val="003D6B3C"/>
    <w:rsid w:val="00413059"/>
    <w:rsid w:val="00420DFD"/>
    <w:rsid w:val="00437A76"/>
    <w:rsid w:val="00464BE1"/>
    <w:rsid w:val="00470E28"/>
    <w:rsid w:val="0048422F"/>
    <w:rsid w:val="004934C5"/>
    <w:rsid w:val="004F65E4"/>
    <w:rsid w:val="00556548"/>
    <w:rsid w:val="00557189"/>
    <w:rsid w:val="00586EF8"/>
    <w:rsid w:val="005B49AB"/>
    <w:rsid w:val="005B50E7"/>
    <w:rsid w:val="005C53B5"/>
    <w:rsid w:val="005E7B4F"/>
    <w:rsid w:val="00601882"/>
    <w:rsid w:val="00607D68"/>
    <w:rsid w:val="00613212"/>
    <w:rsid w:val="006149B1"/>
    <w:rsid w:val="00677965"/>
    <w:rsid w:val="00680D2B"/>
    <w:rsid w:val="00681B32"/>
    <w:rsid w:val="006A75CC"/>
    <w:rsid w:val="006B1D2B"/>
    <w:rsid w:val="006B5836"/>
    <w:rsid w:val="006E1131"/>
    <w:rsid w:val="006E2037"/>
    <w:rsid w:val="006E6199"/>
    <w:rsid w:val="00712870"/>
    <w:rsid w:val="007332AC"/>
    <w:rsid w:val="00743D85"/>
    <w:rsid w:val="00753CF4"/>
    <w:rsid w:val="007565CC"/>
    <w:rsid w:val="00763B9A"/>
    <w:rsid w:val="00794726"/>
    <w:rsid w:val="007A6AA8"/>
    <w:rsid w:val="007D224F"/>
    <w:rsid w:val="00807436"/>
    <w:rsid w:val="008310C9"/>
    <w:rsid w:val="00853CC5"/>
    <w:rsid w:val="008C1BAC"/>
    <w:rsid w:val="008C7848"/>
    <w:rsid w:val="00906589"/>
    <w:rsid w:val="00906AD6"/>
    <w:rsid w:val="00917AF2"/>
    <w:rsid w:val="0092418A"/>
    <w:rsid w:val="00934ED7"/>
    <w:rsid w:val="009543C3"/>
    <w:rsid w:val="00966E1B"/>
    <w:rsid w:val="009947C0"/>
    <w:rsid w:val="009F2D2C"/>
    <w:rsid w:val="00A11CB5"/>
    <w:rsid w:val="00A31928"/>
    <w:rsid w:val="00A51727"/>
    <w:rsid w:val="00A62A14"/>
    <w:rsid w:val="00A6617B"/>
    <w:rsid w:val="00A71FE5"/>
    <w:rsid w:val="00A971A1"/>
    <w:rsid w:val="00AA3AD8"/>
    <w:rsid w:val="00AB0DC8"/>
    <w:rsid w:val="00AC5993"/>
    <w:rsid w:val="00B033C8"/>
    <w:rsid w:val="00B33425"/>
    <w:rsid w:val="00B44E24"/>
    <w:rsid w:val="00B515B2"/>
    <w:rsid w:val="00B54ECC"/>
    <w:rsid w:val="00B714F3"/>
    <w:rsid w:val="00B87B6B"/>
    <w:rsid w:val="00BC5D77"/>
    <w:rsid w:val="00BF487A"/>
    <w:rsid w:val="00C33819"/>
    <w:rsid w:val="00C43C30"/>
    <w:rsid w:val="00C46BD9"/>
    <w:rsid w:val="00C55258"/>
    <w:rsid w:val="00C73560"/>
    <w:rsid w:val="00CB0F14"/>
    <w:rsid w:val="00CD659B"/>
    <w:rsid w:val="00CE0A43"/>
    <w:rsid w:val="00CE7A98"/>
    <w:rsid w:val="00D83556"/>
    <w:rsid w:val="00D97302"/>
    <w:rsid w:val="00DF4176"/>
    <w:rsid w:val="00E17240"/>
    <w:rsid w:val="00E230E9"/>
    <w:rsid w:val="00E406BD"/>
    <w:rsid w:val="00E74595"/>
    <w:rsid w:val="00EB7C57"/>
    <w:rsid w:val="00ED2695"/>
    <w:rsid w:val="00F30C9B"/>
    <w:rsid w:val="00F3343C"/>
    <w:rsid w:val="00F354B1"/>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969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3E2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D6B3C"/>
    <w:pPr>
      <w:keepNext/>
      <w:keepLines/>
      <w:spacing w:before="480"/>
      <w:ind w:left="794" w:hanging="794"/>
      <w:outlineLvl w:val="0"/>
    </w:pPr>
    <w:rPr>
      <w:b/>
    </w:rPr>
  </w:style>
  <w:style w:type="paragraph" w:styleId="Heading2">
    <w:name w:val="heading 2"/>
    <w:basedOn w:val="Heading1"/>
    <w:next w:val="Normal"/>
    <w:qFormat/>
    <w:rsid w:val="003D6B3C"/>
    <w:pPr>
      <w:spacing w:before="320"/>
      <w:outlineLvl w:val="1"/>
    </w:pPr>
  </w:style>
  <w:style w:type="paragraph" w:styleId="Heading3">
    <w:name w:val="heading 3"/>
    <w:basedOn w:val="Heading1"/>
    <w:next w:val="Normal"/>
    <w:qFormat/>
    <w:rsid w:val="003D6B3C"/>
    <w:pPr>
      <w:spacing w:before="200"/>
      <w:outlineLvl w:val="2"/>
    </w:pPr>
  </w:style>
  <w:style w:type="paragraph" w:styleId="Heading4">
    <w:name w:val="heading 4"/>
    <w:basedOn w:val="Heading3"/>
    <w:next w:val="Normal"/>
    <w:qFormat/>
    <w:rsid w:val="003D6B3C"/>
    <w:pPr>
      <w:tabs>
        <w:tab w:val="clear" w:pos="794"/>
        <w:tab w:val="left" w:pos="992"/>
      </w:tabs>
      <w:ind w:left="992" w:hanging="992"/>
      <w:outlineLvl w:val="3"/>
    </w:pPr>
  </w:style>
  <w:style w:type="paragraph" w:styleId="Heading5">
    <w:name w:val="heading 5"/>
    <w:basedOn w:val="Heading4"/>
    <w:next w:val="Normal"/>
    <w:qFormat/>
    <w:rsid w:val="003D6B3C"/>
    <w:pPr>
      <w:outlineLvl w:val="4"/>
    </w:pPr>
  </w:style>
  <w:style w:type="paragraph" w:styleId="Heading6">
    <w:name w:val="heading 6"/>
    <w:basedOn w:val="Heading4"/>
    <w:next w:val="Normal"/>
    <w:qFormat/>
    <w:rsid w:val="003D6B3C"/>
    <w:pPr>
      <w:tabs>
        <w:tab w:val="clear" w:pos="992"/>
        <w:tab w:val="clear" w:pos="1191"/>
      </w:tabs>
      <w:ind w:left="1588" w:hanging="1588"/>
      <w:outlineLvl w:val="5"/>
    </w:pPr>
  </w:style>
  <w:style w:type="paragraph" w:styleId="Heading7">
    <w:name w:val="heading 7"/>
    <w:basedOn w:val="Heading6"/>
    <w:next w:val="Normal"/>
    <w:qFormat/>
    <w:rsid w:val="003D6B3C"/>
    <w:pPr>
      <w:outlineLvl w:val="6"/>
    </w:pPr>
  </w:style>
  <w:style w:type="paragraph" w:styleId="Heading8">
    <w:name w:val="heading 8"/>
    <w:basedOn w:val="Heading6"/>
    <w:next w:val="Normal"/>
    <w:qFormat/>
    <w:rsid w:val="003D6B3C"/>
    <w:pPr>
      <w:outlineLvl w:val="7"/>
    </w:pPr>
  </w:style>
  <w:style w:type="paragraph" w:styleId="Heading9">
    <w:name w:val="heading 9"/>
    <w:basedOn w:val="Heading6"/>
    <w:next w:val="Normal"/>
    <w:qFormat/>
    <w:rsid w:val="003D6B3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6B3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6B3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6B3C"/>
  </w:style>
  <w:style w:type="paragraph" w:customStyle="1" w:styleId="Headingb">
    <w:name w:val="Heading_b"/>
    <w:basedOn w:val="Heading3"/>
    <w:next w:val="Normal"/>
    <w:rsid w:val="003D6B3C"/>
    <w:pPr>
      <w:spacing w:before="160"/>
      <w:ind w:left="0" w:firstLine="0"/>
      <w:outlineLvl w:val="9"/>
    </w:pPr>
  </w:style>
  <w:style w:type="paragraph" w:customStyle="1" w:styleId="Headingi">
    <w:name w:val="Heading_i"/>
    <w:basedOn w:val="Heading3"/>
    <w:next w:val="Normal"/>
    <w:rsid w:val="003D6B3C"/>
    <w:pPr>
      <w:spacing w:before="160"/>
      <w:ind w:left="0" w:firstLine="0"/>
    </w:pPr>
    <w:rPr>
      <w:b w:val="0"/>
      <w:i/>
    </w:rPr>
  </w:style>
  <w:style w:type="character" w:customStyle="1" w:styleId="href">
    <w:name w:val="href"/>
    <w:basedOn w:val="DefaultParagraphFont"/>
    <w:rsid w:val="003D6B3C"/>
  </w:style>
  <w:style w:type="paragraph" w:customStyle="1" w:styleId="AnnexNoTitle">
    <w:name w:val="Annex_NoTitle"/>
    <w:basedOn w:val="Normal"/>
    <w:next w:val="Normalaftertitle"/>
    <w:rsid w:val="003D6B3C"/>
    <w:pPr>
      <w:keepNext/>
      <w:keepLines/>
      <w:spacing w:before="480" w:after="80"/>
      <w:jc w:val="center"/>
    </w:pPr>
    <w:rPr>
      <w:b/>
      <w:sz w:val="28"/>
    </w:rPr>
  </w:style>
  <w:style w:type="paragraph" w:customStyle="1" w:styleId="Normalaftertitle">
    <w:name w:val="Normal_after_title"/>
    <w:basedOn w:val="Normal"/>
    <w:next w:val="Normal"/>
    <w:rsid w:val="003D6B3C"/>
    <w:pPr>
      <w:spacing w:before="320"/>
    </w:pPr>
  </w:style>
  <w:style w:type="paragraph" w:customStyle="1" w:styleId="enumlev2">
    <w:name w:val="enumlev2"/>
    <w:basedOn w:val="enumlev1"/>
    <w:rsid w:val="003D6B3C"/>
    <w:pPr>
      <w:ind w:left="1191" w:hanging="397"/>
    </w:pPr>
  </w:style>
  <w:style w:type="paragraph" w:customStyle="1" w:styleId="enumlev1">
    <w:name w:val="enumlev1"/>
    <w:basedOn w:val="Normal"/>
    <w:rsid w:val="003D6B3C"/>
    <w:pPr>
      <w:spacing w:before="80"/>
      <w:ind w:left="794" w:hanging="794"/>
    </w:pPr>
  </w:style>
  <w:style w:type="paragraph" w:customStyle="1" w:styleId="enumlev3">
    <w:name w:val="enumlev3"/>
    <w:basedOn w:val="enumlev2"/>
    <w:rsid w:val="003D6B3C"/>
    <w:pPr>
      <w:ind w:left="1588"/>
    </w:pPr>
  </w:style>
  <w:style w:type="paragraph" w:customStyle="1" w:styleId="Note">
    <w:name w:val="Note"/>
    <w:basedOn w:val="Normal"/>
    <w:rsid w:val="003D6B3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D6B3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D6B3C"/>
    <w:pPr>
      <w:keepNext/>
      <w:keepLines/>
      <w:spacing w:before="240"/>
      <w:jc w:val="center"/>
    </w:pPr>
    <w:rPr>
      <w:b/>
      <w:sz w:val="28"/>
    </w:rPr>
  </w:style>
  <w:style w:type="paragraph" w:customStyle="1" w:styleId="Recref">
    <w:name w:val="Rec_ref"/>
    <w:basedOn w:val="Normal"/>
    <w:next w:val="Recdate"/>
    <w:rsid w:val="003D6B3C"/>
    <w:pPr>
      <w:jc w:val="center"/>
    </w:pPr>
  </w:style>
  <w:style w:type="paragraph" w:customStyle="1" w:styleId="Recdate">
    <w:name w:val="Rec_date"/>
    <w:basedOn w:val="Recref"/>
    <w:next w:val="Normalaftertitle"/>
    <w:rsid w:val="003D6B3C"/>
    <w:pPr>
      <w:jc w:val="right"/>
    </w:pPr>
  </w:style>
  <w:style w:type="paragraph" w:customStyle="1" w:styleId="HeadingSum">
    <w:name w:val="Heading_Sum"/>
    <w:basedOn w:val="Headingb"/>
    <w:next w:val="Normal"/>
    <w:autoRedefine/>
    <w:rsid w:val="00243E29"/>
    <w:pPr>
      <w:spacing w:before="240"/>
    </w:pPr>
    <w:rPr>
      <w:sz w:val="22"/>
      <w:lang w:val="es-ES_tradnl"/>
    </w:rPr>
  </w:style>
  <w:style w:type="paragraph" w:customStyle="1" w:styleId="AppendixNoTitle">
    <w:name w:val="Appendix_NoTitle"/>
    <w:basedOn w:val="AnnexNoTitle"/>
    <w:next w:val="Normal"/>
    <w:rsid w:val="003D6B3C"/>
  </w:style>
  <w:style w:type="paragraph" w:customStyle="1" w:styleId="Tablefin">
    <w:name w:val="Table_fin"/>
    <w:basedOn w:val="Normal"/>
    <w:next w:val="Normal"/>
    <w:rsid w:val="003D6B3C"/>
    <w:pPr>
      <w:spacing w:before="0"/>
    </w:pPr>
    <w:rPr>
      <w:sz w:val="20"/>
      <w:lang w:val="en-GB"/>
    </w:rPr>
  </w:style>
  <w:style w:type="paragraph" w:customStyle="1" w:styleId="Tablehead">
    <w:name w:val="Table_head"/>
    <w:basedOn w:val="Normal"/>
    <w:next w:val="Normal"/>
    <w:rsid w:val="003D6B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D6B3C"/>
    <w:pPr>
      <w:keepNext/>
      <w:spacing w:before="360" w:after="120"/>
      <w:jc w:val="center"/>
    </w:pPr>
  </w:style>
  <w:style w:type="paragraph" w:customStyle="1" w:styleId="Tabletext">
    <w:name w:val="Table_text"/>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D6B3C"/>
    <w:pPr>
      <w:tabs>
        <w:tab w:val="clear" w:pos="1191"/>
        <w:tab w:val="clear" w:pos="1588"/>
        <w:tab w:val="clear" w:pos="1985"/>
        <w:tab w:val="center" w:pos="4820"/>
        <w:tab w:val="right" w:pos="9639"/>
      </w:tabs>
    </w:pPr>
  </w:style>
  <w:style w:type="paragraph" w:customStyle="1" w:styleId="Equationlegend">
    <w:name w:val="Equation_legend"/>
    <w:basedOn w:val="NormalIndent"/>
    <w:rsid w:val="003D6B3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6B3C"/>
    <w:pPr>
      <w:ind w:left="794"/>
    </w:pPr>
  </w:style>
  <w:style w:type="paragraph" w:customStyle="1" w:styleId="Figurelegend">
    <w:name w:val="Figure_legend"/>
    <w:basedOn w:val="Normal"/>
    <w:rsid w:val="003D6B3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D6B3C"/>
    <w:pPr>
      <w:keepNext/>
      <w:keepLines/>
      <w:spacing w:before="480" w:after="80"/>
      <w:jc w:val="center"/>
    </w:pPr>
    <w:rPr>
      <w:caps/>
      <w:sz w:val="18"/>
    </w:rPr>
  </w:style>
  <w:style w:type="paragraph" w:customStyle="1" w:styleId="Figuretitle">
    <w:name w:val="Figure_title"/>
    <w:basedOn w:val="Normal"/>
    <w:next w:val="Figure"/>
    <w:link w:val="FiguretitleChar"/>
    <w:rsid w:val="003D6B3C"/>
    <w:pPr>
      <w:keepNext/>
      <w:spacing w:before="0" w:after="120"/>
      <w:jc w:val="center"/>
    </w:pPr>
    <w:rPr>
      <w:rFonts w:ascii="Times New Roman Bold" w:hAnsi="Times New Roman Bold"/>
      <w:b/>
      <w:sz w:val="18"/>
    </w:rPr>
  </w:style>
  <w:style w:type="paragraph" w:customStyle="1" w:styleId="Figure">
    <w:name w:val="Figure"/>
    <w:basedOn w:val="FigureNo"/>
    <w:next w:val="Normal"/>
    <w:rsid w:val="003D6B3C"/>
    <w:pPr>
      <w:keepNext w:val="0"/>
      <w:spacing w:before="0" w:after="240"/>
    </w:pPr>
  </w:style>
  <w:style w:type="paragraph" w:customStyle="1" w:styleId="tocpart">
    <w:name w:val="tocpart"/>
    <w:basedOn w:val="Normal"/>
    <w:rsid w:val="003D6B3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6B3C"/>
    <w:pPr>
      <w:keepNext/>
      <w:keepLines/>
      <w:spacing w:before="480"/>
      <w:jc w:val="center"/>
    </w:pPr>
    <w:rPr>
      <w:sz w:val="28"/>
    </w:rPr>
  </w:style>
  <w:style w:type="paragraph" w:customStyle="1" w:styleId="Arttitle">
    <w:name w:val="Art_title"/>
    <w:basedOn w:val="Normal"/>
    <w:next w:val="Normalaftertitle"/>
    <w:rsid w:val="003D6B3C"/>
    <w:pPr>
      <w:keepNext/>
      <w:keepLines/>
      <w:spacing w:before="240"/>
      <w:jc w:val="center"/>
    </w:pPr>
    <w:rPr>
      <w:b/>
      <w:sz w:val="28"/>
    </w:rPr>
  </w:style>
  <w:style w:type="paragraph" w:customStyle="1" w:styleId="Blanc">
    <w:name w:val="Blanc"/>
    <w:basedOn w:val="Normal"/>
    <w:next w:val="Tabletext"/>
    <w:rsid w:val="003D6B3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6B3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D6B3C"/>
    <w:pPr>
      <w:keepNext/>
      <w:keepLines/>
      <w:spacing w:before="160"/>
      <w:ind w:left="794"/>
    </w:pPr>
    <w:rPr>
      <w:i/>
    </w:rPr>
  </w:style>
  <w:style w:type="paragraph" w:customStyle="1" w:styleId="ChapNo">
    <w:name w:val="Chap_No"/>
    <w:basedOn w:val="ArtNo"/>
    <w:next w:val="Chaptitle"/>
    <w:rsid w:val="003D6B3C"/>
    <w:rPr>
      <w:b/>
    </w:rPr>
  </w:style>
  <w:style w:type="paragraph" w:customStyle="1" w:styleId="Chaptitle">
    <w:name w:val="Chap_title"/>
    <w:basedOn w:val="Arttitle"/>
    <w:next w:val="Normalaftertitle"/>
    <w:rsid w:val="003D6B3C"/>
  </w:style>
  <w:style w:type="character" w:styleId="FootnoteReference">
    <w:name w:val="footnote reference"/>
    <w:basedOn w:val="DefaultParagraphFont"/>
    <w:semiHidden/>
    <w:rsid w:val="003D6B3C"/>
    <w:rPr>
      <w:position w:val="6"/>
      <w:sz w:val="18"/>
    </w:rPr>
  </w:style>
  <w:style w:type="paragraph" w:styleId="FootnoteText">
    <w:name w:val="footnote text"/>
    <w:basedOn w:val="Normal"/>
    <w:semiHidden/>
    <w:rsid w:val="003D6B3C"/>
    <w:pPr>
      <w:keepLines/>
      <w:tabs>
        <w:tab w:val="left" w:pos="255"/>
      </w:tabs>
      <w:ind w:left="255" w:hanging="255"/>
    </w:pPr>
    <w:rPr>
      <w:sz w:val="22"/>
    </w:rPr>
  </w:style>
  <w:style w:type="paragraph" w:styleId="Index1">
    <w:name w:val="index 1"/>
    <w:basedOn w:val="Normal"/>
    <w:next w:val="Normal"/>
    <w:semiHidden/>
    <w:rsid w:val="003D6B3C"/>
  </w:style>
  <w:style w:type="paragraph" w:styleId="Index2">
    <w:name w:val="index 2"/>
    <w:basedOn w:val="Normal"/>
    <w:next w:val="Normal"/>
    <w:semiHidden/>
    <w:rsid w:val="003D6B3C"/>
    <w:pPr>
      <w:ind w:left="283"/>
    </w:pPr>
  </w:style>
  <w:style w:type="paragraph" w:styleId="Index3">
    <w:name w:val="index 3"/>
    <w:basedOn w:val="Normal"/>
    <w:next w:val="Normal"/>
    <w:semiHidden/>
    <w:rsid w:val="003D6B3C"/>
    <w:pPr>
      <w:ind w:left="566"/>
    </w:pPr>
  </w:style>
  <w:style w:type="paragraph" w:styleId="IndexHeading">
    <w:name w:val="index heading"/>
    <w:basedOn w:val="Normal"/>
    <w:next w:val="Index1"/>
    <w:semiHidden/>
    <w:rsid w:val="003D6B3C"/>
  </w:style>
  <w:style w:type="paragraph" w:customStyle="1" w:styleId="Line">
    <w:name w:val="Line"/>
    <w:basedOn w:val="Normal"/>
    <w:next w:val="Normal"/>
    <w:rsid w:val="003D6B3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6B3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6B3C"/>
  </w:style>
  <w:style w:type="paragraph" w:customStyle="1" w:styleId="Partref">
    <w:name w:val="Part_ref"/>
    <w:basedOn w:val="Normal"/>
    <w:next w:val="Normal"/>
    <w:rsid w:val="003D6B3C"/>
    <w:pPr>
      <w:keepNext/>
      <w:keepLines/>
      <w:spacing w:after="280"/>
      <w:jc w:val="center"/>
    </w:pPr>
  </w:style>
  <w:style w:type="paragraph" w:customStyle="1" w:styleId="Parttitle">
    <w:name w:val="Part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D6B3C"/>
  </w:style>
  <w:style w:type="paragraph" w:customStyle="1" w:styleId="QuestionNo">
    <w:name w:val="Question_No"/>
    <w:basedOn w:val="RecNo"/>
    <w:next w:val="Normal"/>
    <w:rsid w:val="003D6B3C"/>
  </w:style>
  <w:style w:type="paragraph" w:customStyle="1" w:styleId="Questionref">
    <w:name w:val="Question_ref"/>
    <w:basedOn w:val="Recref"/>
    <w:next w:val="Questiondate"/>
    <w:rsid w:val="003D6B3C"/>
  </w:style>
  <w:style w:type="paragraph" w:customStyle="1" w:styleId="Questiontitle">
    <w:name w:val="Question_title"/>
    <w:basedOn w:val="Normal"/>
    <w:next w:val="Questionref"/>
    <w:rsid w:val="003D6B3C"/>
  </w:style>
  <w:style w:type="paragraph" w:customStyle="1" w:styleId="Reftext">
    <w:name w:val="Ref_text"/>
    <w:basedOn w:val="Normal"/>
    <w:rsid w:val="003D6B3C"/>
    <w:pPr>
      <w:ind w:left="794" w:hanging="794"/>
    </w:pPr>
    <w:rPr>
      <w:sz w:val="22"/>
    </w:rPr>
  </w:style>
  <w:style w:type="paragraph" w:customStyle="1" w:styleId="Reftitle">
    <w:name w:val="Ref_title"/>
    <w:basedOn w:val="Normal"/>
    <w:next w:val="Reftext"/>
    <w:rsid w:val="003D6B3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D6B3C"/>
  </w:style>
  <w:style w:type="paragraph" w:customStyle="1" w:styleId="RepNo">
    <w:name w:val="Rep_No"/>
    <w:basedOn w:val="RecNo"/>
    <w:next w:val="Reptitle"/>
    <w:rsid w:val="003D6B3C"/>
  </w:style>
  <w:style w:type="paragraph" w:customStyle="1" w:styleId="Reptitle">
    <w:name w:val="Rep_title"/>
    <w:basedOn w:val="Rectitle"/>
    <w:next w:val="Repref"/>
    <w:rsid w:val="003D6B3C"/>
  </w:style>
  <w:style w:type="paragraph" w:customStyle="1" w:styleId="Repref">
    <w:name w:val="Rep_ref"/>
    <w:basedOn w:val="Recref"/>
    <w:next w:val="Repdate"/>
    <w:rsid w:val="003D6B3C"/>
  </w:style>
  <w:style w:type="paragraph" w:customStyle="1" w:styleId="Resdate">
    <w:name w:val="Res_date"/>
    <w:basedOn w:val="Recdate"/>
    <w:next w:val="Normalaftertitle"/>
    <w:rsid w:val="003D6B3C"/>
  </w:style>
  <w:style w:type="paragraph" w:customStyle="1" w:styleId="ResNo">
    <w:name w:val="Res_No"/>
    <w:basedOn w:val="RecNo"/>
    <w:next w:val="Restitle"/>
    <w:rsid w:val="003D6B3C"/>
  </w:style>
  <w:style w:type="paragraph" w:customStyle="1" w:styleId="Restitle">
    <w:name w:val="Res_title"/>
    <w:basedOn w:val="Normal"/>
    <w:next w:val="Resref"/>
    <w:rsid w:val="003D6B3C"/>
    <w:pPr>
      <w:spacing w:before="240"/>
      <w:jc w:val="center"/>
    </w:pPr>
    <w:rPr>
      <w:b/>
      <w:sz w:val="28"/>
    </w:rPr>
  </w:style>
  <w:style w:type="paragraph" w:customStyle="1" w:styleId="Resref">
    <w:name w:val="Res_ref"/>
    <w:basedOn w:val="Recref"/>
    <w:next w:val="Resdate"/>
    <w:rsid w:val="003D6B3C"/>
  </w:style>
  <w:style w:type="paragraph" w:customStyle="1" w:styleId="SectionNo">
    <w:name w:val="Section_No"/>
    <w:basedOn w:val="Normal"/>
    <w:next w:val="Normal"/>
    <w:rsid w:val="003D6B3C"/>
  </w:style>
  <w:style w:type="paragraph" w:customStyle="1" w:styleId="Sectiontitle">
    <w:name w:val="Section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D6B3C"/>
    <w:pPr>
      <w:tabs>
        <w:tab w:val="clear" w:pos="794"/>
        <w:tab w:val="clear" w:pos="1191"/>
        <w:tab w:val="clear" w:pos="1588"/>
        <w:tab w:val="clear" w:pos="1985"/>
        <w:tab w:val="right" w:pos="9611"/>
      </w:tabs>
    </w:pPr>
    <w:rPr>
      <w:i/>
    </w:rPr>
  </w:style>
  <w:style w:type="paragraph" w:styleId="TOC1">
    <w:name w:val="toc 1"/>
    <w:basedOn w:val="Normal"/>
    <w:semiHidden/>
    <w:rsid w:val="003D6B3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6B3C"/>
    <w:pPr>
      <w:tabs>
        <w:tab w:val="clear" w:pos="567"/>
        <w:tab w:val="left" w:pos="1276"/>
      </w:tabs>
      <w:spacing w:before="160"/>
      <w:ind w:left="1276" w:hanging="709"/>
    </w:pPr>
  </w:style>
  <w:style w:type="paragraph" w:styleId="TOC3">
    <w:name w:val="toc 3"/>
    <w:basedOn w:val="TOC2"/>
    <w:semiHidden/>
    <w:rsid w:val="003D6B3C"/>
    <w:pPr>
      <w:tabs>
        <w:tab w:val="clear" w:pos="1276"/>
        <w:tab w:val="left" w:pos="2155"/>
      </w:tabs>
      <w:ind w:left="2155" w:hanging="879"/>
    </w:pPr>
  </w:style>
  <w:style w:type="paragraph" w:styleId="TOC4">
    <w:name w:val="toc 4"/>
    <w:basedOn w:val="TOC3"/>
    <w:semiHidden/>
    <w:rsid w:val="003D6B3C"/>
    <w:pPr>
      <w:tabs>
        <w:tab w:val="left" w:pos="3261"/>
      </w:tabs>
      <w:spacing w:before="80"/>
      <w:ind w:left="3261" w:hanging="993"/>
    </w:pPr>
  </w:style>
  <w:style w:type="paragraph" w:styleId="TOC5">
    <w:name w:val="toc 5"/>
    <w:basedOn w:val="TOC4"/>
    <w:semiHidden/>
    <w:rsid w:val="003D6B3C"/>
  </w:style>
  <w:style w:type="paragraph" w:styleId="TOC6">
    <w:name w:val="toc 6"/>
    <w:basedOn w:val="TOC4"/>
    <w:semiHidden/>
    <w:rsid w:val="003D6B3C"/>
  </w:style>
  <w:style w:type="paragraph" w:styleId="TOC7">
    <w:name w:val="toc 7"/>
    <w:basedOn w:val="TOC4"/>
    <w:semiHidden/>
    <w:rsid w:val="003D6B3C"/>
  </w:style>
  <w:style w:type="paragraph" w:styleId="TOC8">
    <w:name w:val="toc 8"/>
    <w:basedOn w:val="TOC4"/>
    <w:semiHidden/>
    <w:rsid w:val="003D6B3C"/>
  </w:style>
  <w:style w:type="paragraph" w:customStyle="1" w:styleId="Annexref">
    <w:name w:val="Annex_ref"/>
    <w:basedOn w:val="Normal"/>
    <w:next w:val="Normalaftertitle"/>
    <w:rsid w:val="003D6B3C"/>
    <w:pPr>
      <w:keepNext/>
      <w:keepLines/>
      <w:spacing w:after="280"/>
      <w:jc w:val="center"/>
    </w:pPr>
  </w:style>
  <w:style w:type="paragraph" w:customStyle="1" w:styleId="Appendixref">
    <w:name w:val="Appendix_ref"/>
    <w:basedOn w:val="Annexref"/>
    <w:next w:val="Normalaftertitle"/>
    <w:rsid w:val="003D6B3C"/>
  </w:style>
  <w:style w:type="paragraph" w:customStyle="1" w:styleId="Tabletitle">
    <w:name w:val="Table_title"/>
    <w:basedOn w:val="Normal"/>
    <w:next w:val="Tablehead"/>
    <w:rsid w:val="003D6B3C"/>
    <w:pPr>
      <w:keepNext/>
      <w:spacing w:before="0" w:after="120"/>
      <w:jc w:val="center"/>
    </w:pPr>
    <w:rPr>
      <w:b/>
    </w:rPr>
  </w:style>
  <w:style w:type="paragraph" w:customStyle="1" w:styleId="Summary">
    <w:name w:val="Summary"/>
    <w:basedOn w:val="Normal"/>
    <w:next w:val="Normalaftertitle"/>
    <w:autoRedefine/>
    <w:rsid w:val="00243E29"/>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D6B3C"/>
    <w:pPr>
      <w:ind w:left="-85" w:firstLine="0"/>
    </w:pPr>
    <w:rPr>
      <w:lang w:val="en-US"/>
    </w:rPr>
  </w:style>
  <w:style w:type="paragraph" w:customStyle="1" w:styleId="AnnexNo">
    <w:name w:val="Annex_No"/>
    <w:basedOn w:val="Normal"/>
    <w:next w:val="Normal"/>
    <w:rsid w:val="002F754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2F75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FiguretitleChar">
    <w:name w:val="Figure_title Char"/>
    <w:link w:val="Figuretitle"/>
    <w:locked/>
    <w:rsid w:val="002F754C"/>
    <w:rPr>
      <w:rFonts w:ascii="Times New Roman Bold" w:hAnsi="Times New Roman Bold"/>
      <w:b/>
      <w:sz w:val="18"/>
      <w:lang w:val="fr-FR" w:eastAsia="en-US"/>
    </w:rPr>
  </w:style>
  <w:style w:type="character" w:customStyle="1" w:styleId="FigureNoChar">
    <w:name w:val="Figure_No Char"/>
    <w:link w:val="FigureNo"/>
    <w:locked/>
    <w:rsid w:val="002F754C"/>
    <w:rPr>
      <w:caps/>
      <w:sz w:val="18"/>
      <w:lang w:val="fr-FR" w:eastAsia="en-US"/>
    </w:rPr>
  </w:style>
  <w:style w:type="character" w:customStyle="1" w:styleId="CallChar">
    <w:name w:val="Call Char"/>
    <w:link w:val="Call"/>
    <w:locked/>
    <w:rsid w:val="002F754C"/>
    <w:rPr>
      <w:i/>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3E2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D6B3C"/>
    <w:pPr>
      <w:keepNext/>
      <w:keepLines/>
      <w:spacing w:before="480"/>
      <w:ind w:left="794" w:hanging="794"/>
      <w:outlineLvl w:val="0"/>
    </w:pPr>
    <w:rPr>
      <w:b/>
    </w:rPr>
  </w:style>
  <w:style w:type="paragraph" w:styleId="Heading2">
    <w:name w:val="heading 2"/>
    <w:basedOn w:val="Heading1"/>
    <w:next w:val="Normal"/>
    <w:qFormat/>
    <w:rsid w:val="003D6B3C"/>
    <w:pPr>
      <w:spacing w:before="320"/>
      <w:outlineLvl w:val="1"/>
    </w:pPr>
  </w:style>
  <w:style w:type="paragraph" w:styleId="Heading3">
    <w:name w:val="heading 3"/>
    <w:basedOn w:val="Heading1"/>
    <w:next w:val="Normal"/>
    <w:qFormat/>
    <w:rsid w:val="003D6B3C"/>
    <w:pPr>
      <w:spacing w:before="200"/>
      <w:outlineLvl w:val="2"/>
    </w:pPr>
  </w:style>
  <w:style w:type="paragraph" w:styleId="Heading4">
    <w:name w:val="heading 4"/>
    <w:basedOn w:val="Heading3"/>
    <w:next w:val="Normal"/>
    <w:qFormat/>
    <w:rsid w:val="003D6B3C"/>
    <w:pPr>
      <w:tabs>
        <w:tab w:val="clear" w:pos="794"/>
        <w:tab w:val="left" w:pos="992"/>
      </w:tabs>
      <w:ind w:left="992" w:hanging="992"/>
      <w:outlineLvl w:val="3"/>
    </w:pPr>
  </w:style>
  <w:style w:type="paragraph" w:styleId="Heading5">
    <w:name w:val="heading 5"/>
    <w:basedOn w:val="Heading4"/>
    <w:next w:val="Normal"/>
    <w:qFormat/>
    <w:rsid w:val="003D6B3C"/>
    <w:pPr>
      <w:outlineLvl w:val="4"/>
    </w:pPr>
  </w:style>
  <w:style w:type="paragraph" w:styleId="Heading6">
    <w:name w:val="heading 6"/>
    <w:basedOn w:val="Heading4"/>
    <w:next w:val="Normal"/>
    <w:qFormat/>
    <w:rsid w:val="003D6B3C"/>
    <w:pPr>
      <w:tabs>
        <w:tab w:val="clear" w:pos="992"/>
        <w:tab w:val="clear" w:pos="1191"/>
      </w:tabs>
      <w:ind w:left="1588" w:hanging="1588"/>
      <w:outlineLvl w:val="5"/>
    </w:pPr>
  </w:style>
  <w:style w:type="paragraph" w:styleId="Heading7">
    <w:name w:val="heading 7"/>
    <w:basedOn w:val="Heading6"/>
    <w:next w:val="Normal"/>
    <w:qFormat/>
    <w:rsid w:val="003D6B3C"/>
    <w:pPr>
      <w:outlineLvl w:val="6"/>
    </w:pPr>
  </w:style>
  <w:style w:type="paragraph" w:styleId="Heading8">
    <w:name w:val="heading 8"/>
    <w:basedOn w:val="Heading6"/>
    <w:next w:val="Normal"/>
    <w:qFormat/>
    <w:rsid w:val="003D6B3C"/>
    <w:pPr>
      <w:outlineLvl w:val="7"/>
    </w:pPr>
  </w:style>
  <w:style w:type="paragraph" w:styleId="Heading9">
    <w:name w:val="heading 9"/>
    <w:basedOn w:val="Heading6"/>
    <w:next w:val="Normal"/>
    <w:qFormat/>
    <w:rsid w:val="003D6B3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6B3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6B3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6B3C"/>
  </w:style>
  <w:style w:type="paragraph" w:customStyle="1" w:styleId="Headingb">
    <w:name w:val="Heading_b"/>
    <w:basedOn w:val="Heading3"/>
    <w:next w:val="Normal"/>
    <w:rsid w:val="003D6B3C"/>
    <w:pPr>
      <w:spacing w:before="160"/>
      <w:ind w:left="0" w:firstLine="0"/>
      <w:outlineLvl w:val="9"/>
    </w:pPr>
  </w:style>
  <w:style w:type="paragraph" w:customStyle="1" w:styleId="Headingi">
    <w:name w:val="Heading_i"/>
    <w:basedOn w:val="Heading3"/>
    <w:next w:val="Normal"/>
    <w:rsid w:val="003D6B3C"/>
    <w:pPr>
      <w:spacing w:before="160"/>
      <w:ind w:left="0" w:firstLine="0"/>
    </w:pPr>
    <w:rPr>
      <w:b w:val="0"/>
      <w:i/>
    </w:rPr>
  </w:style>
  <w:style w:type="character" w:customStyle="1" w:styleId="href">
    <w:name w:val="href"/>
    <w:basedOn w:val="DefaultParagraphFont"/>
    <w:rsid w:val="003D6B3C"/>
  </w:style>
  <w:style w:type="paragraph" w:customStyle="1" w:styleId="AnnexNoTitle">
    <w:name w:val="Annex_NoTitle"/>
    <w:basedOn w:val="Normal"/>
    <w:next w:val="Normalaftertitle"/>
    <w:rsid w:val="003D6B3C"/>
    <w:pPr>
      <w:keepNext/>
      <w:keepLines/>
      <w:spacing w:before="480" w:after="80"/>
      <w:jc w:val="center"/>
    </w:pPr>
    <w:rPr>
      <w:b/>
      <w:sz w:val="28"/>
    </w:rPr>
  </w:style>
  <w:style w:type="paragraph" w:customStyle="1" w:styleId="Normalaftertitle">
    <w:name w:val="Normal_after_title"/>
    <w:basedOn w:val="Normal"/>
    <w:next w:val="Normal"/>
    <w:rsid w:val="003D6B3C"/>
    <w:pPr>
      <w:spacing w:before="320"/>
    </w:pPr>
  </w:style>
  <w:style w:type="paragraph" w:customStyle="1" w:styleId="enumlev2">
    <w:name w:val="enumlev2"/>
    <w:basedOn w:val="enumlev1"/>
    <w:rsid w:val="003D6B3C"/>
    <w:pPr>
      <w:ind w:left="1191" w:hanging="397"/>
    </w:pPr>
  </w:style>
  <w:style w:type="paragraph" w:customStyle="1" w:styleId="enumlev1">
    <w:name w:val="enumlev1"/>
    <w:basedOn w:val="Normal"/>
    <w:rsid w:val="003D6B3C"/>
    <w:pPr>
      <w:spacing w:before="80"/>
      <w:ind w:left="794" w:hanging="794"/>
    </w:pPr>
  </w:style>
  <w:style w:type="paragraph" w:customStyle="1" w:styleId="enumlev3">
    <w:name w:val="enumlev3"/>
    <w:basedOn w:val="enumlev2"/>
    <w:rsid w:val="003D6B3C"/>
    <w:pPr>
      <w:ind w:left="1588"/>
    </w:pPr>
  </w:style>
  <w:style w:type="paragraph" w:customStyle="1" w:styleId="Note">
    <w:name w:val="Note"/>
    <w:basedOn w:val="Normal"/>
    <w:rsid w:val="003D6B3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D6B3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D6B3C"/>
    <w:pPr>
      <w:keepNext/>
      <w:keepLines/>
      <w:spacing w:before="240"/>
      <w:jc w:val="center"/>
    </w:pPr>
    <w:rPr>
      <w:b/>
      <w:sz w:val="28"/>
    </w:rPr>
  </w:style>
  <w:style w:type="paragraph" w:customStyle="1" w:styleId="Recref">
    <w:name w:val="Rec_ref"/>
    <w:basedOn w:val="Normal"/>
    <w:next w:val="Recdate"/>
    <w:rsid w:val="003D6B3C"/>
    <w:pPr>
      <w:jc w:val="center"/>
    </w:pPr>
  </w:style>
  <w:style w:type="paragraph" w:customStyle="1" w:styleId="Recdate">
    <w:name w:val="Rec_date"/>
    <w:basedOn w:val="Recref"/>
    <w:next w:val="Normalaftertitle"/>
    <w:rsid w:val="003D6B3C"/>
    <w:pPr>
      <w:jc w:val="right"/>
    </w:pPr>
  </w:style>
  <w:style w:type="paragraph" w:customStyle="1" w:styleId="HeadingSum">
    <w:name w:val="Heading_Sum"/>
    <w:basedOn w:val="Headingb"/>
    <w:next w:val="Normal"/>
    <w:autoRedefine/>
    <w:rsid w:val="00243E29"/>
    <w:pPr>
      <w:spacing w:before="240"/>
    </w:pPr>
    <w:rPr>
      <w:sz w:val="22"/>
      <w:lang w:val="es-ES_tradnl"/>
    </w:rPr>
  </w:style>
  <w:style w:type="paragraph" w:customStyle="1" w:styleId="AppendixNoTitle">
    <w:name w:val="Appendix_NoTitle"/>
    <w:basedOn w:val="AnnexNoTitle"/>
    <w:next w:val="Normal"/>
    <w:rsid w:val="003D6B3C"/>
  </w:style>
  <w:style w:type="paragraph" w:customStyle="1" w:styleId="Tablefin">
    <w:name w:val="Table_fin"/>
    <w:basedOn w:val="Normal"/>
    <w:next w:val="Normal"/>
    <w:rsid w:val="003D6B3C"/>
    <w:pPr>
      <w:spacing w:before="0"/>
    </w:pPr>
    <w:rPr>
      <w:sz w:val="20"/>
      <w:lang w:val="en-GB"/>
    </w:rPr>
  </w:style>
  <w:style w:type="paragraph" w:customStyle="1" w:styleId="Tablehead">
    <w:name w:val="Table_head"/>
    <w:basedOn w:val="Normal"/>
    <w:next w:val="Normal"/>
    <w:rsid w:val="003D6B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D6B3C"/>
    <w:pPr>
      <w:keepNext/>
      <w:spacing w:before="360" w:after="120"/>
      <w:jc w:val="center"/>
    </w:pPr>
  </w:style>
  <w:style w:type="paragraph" w:customStyle="1" w:styleId="Tabletext">
    <w:name w:val="Table_text"/>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D6B3C"/>
    <w:pPr>
      <w:tabs>
        <w:tab w:val="clear" w:pos="1191"/>
        <w:tab w:val="clear" w:pos="1588"/>
        <w:tab w:val="clear" w:pos="1985"/>
        <w:tab w:val="center" w:pos="4820"/>
        <w:tab w:val="right" w:pos="9639"/>
      </w:tabs>
    </w:pPr>
  </w:style>
  <w:style w:type="paragraph" w:customStyle="1" w:styleId="Equationlegend">
    <w:name w:val="Equation_legend"/>
    <w:basedOn w:val="NormalIndent"/>
    <w:rsid w:val="003D6B3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6B3C"/>
    <w:pPr>
      <w:ind w:left="794"/>
    </w:pPr>
  </w:style>
  <w:style w:type="paragraph" w:customStyle="1" w:styleId="Figurelegend">
    <w:name w:val="Figure_legend"/>
    <w:basedOn w:val="Normal"/>
    <w:rsid w:val="003D6B3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D6B3C"/>
    <w:pPr>
      <w:keepNext/>
      <w:keepLines/>
      <w:spacing w:before="480" w:after="80"/>
      <w:jc w:val="center"/>
    </w:pPr>
    <w:rPr>
      <w:caps/>
      <w:sz w:val="18"/>
    </w:rPr>
  </w:style>
  <w:style w:type="paragraph" w:customStyle="1" w:styleId="Figuretitle">
    <w:name w:val="Figure_title"/>
    <w:basedOn w:val="Normal"/>
    <w:next w:val="Figure"/>
    <w:link w:val="FiguretitleChar"/>
    <w:rsid w:val="003D6B3C"/>
    <w:pPr>
      <w:keepNext/>
      <w:spacing w:before="0" w:after="120"/>
      <w:jc w:val="center"/>
    </w:pPr>
    <w:rPr>
      <w:rFonts w:ascii="Times New Roman Bold" w:hAnsi="Times New Roman Bold"/>
      <w:b/>
      <w:sz w:val="18"/>
    </w:rPr>
  </w:style>
  <w:style w:type="paragraph" w:customStyle="1" w:styleId="Figure">
    <w:name w:val="Figure"/>
    <w:basedOn w:val="FigureNo"/>
    <w:next w:val="Normal"/>
    <w:rsid w:val="003D6B3C"/>
    <w:pPr>
      <w:keepNext w:val="0"/>
      <w:spacing w:before="0" w:after="240"/>
    </w:pPr>
  </w:style>
  <w:style w:type="paragraph" w:customStyle="1" w:styleId="tocpart">
    <w:name w:val="tocpart"/>
    <w:basedOn w:val="Normal"/>
    <w:rsid w:val="003D6B3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6B3C"/>
    <w:pPr>
      <w:keepNext/>
      <w:keepLines/>
      <w:spacing w:before="480"/>
      <w:jc w:val="center"/>
    </w:pPr>
    <w:rPr>
      <w:sz w:val="28"/>
    </w:rPr>
  </w:style>
  <w:style w:type="paragraph" w:customStyle="1" w:styleId="Arttitle">
    <w:name w:val="Art_title"/>
    <w:basedOn w:val="Normal"/>
    <w:next w:val="Normalaftertitle"/>
    <w:rsid w:val="003D6B3C"/>
    <w:pPr>
      <w:keepNext/>
      <w:keepLines/>
      <w:spacing w:before="240"/>
      <w:jc w:val="center"/>
    </w:pPr>
    <w:rPr>
      <w:b/>
      <w:sz w:val="28"/>
    </w:rPr>
  </w:style>
  <w:style w:type="paragraph" w:customStyle="1" w:styleId="Blanc">
    <w:name w:val="Blanc"/>
    <w:basedOn w:val="Normal"/>
    <w:next w:val="Tabletext"/>
    <w:rsid w:val="003D6B3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6B3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D6B3C"/>
    <w:pPr>
      <w:keepNext/>
      <w:keepLines/>
      <w:spacing w:before="160"/>
      <w:ind w:left="794"/>
    </w:pPr>
    <w:rPr>
      <w:i/>
    </w:rPr>
  </w:style>
  <w:style w:type="paragraph" w:customStyle="1" w:styleId="ChapNo">
    <w:name w:val="Chap_No"/>
    <w:basedOn w:val="ArtNo"/>
    <w:next w:val="Chaptitle"/>
    <w:rsid w:val="003D6B3C"/>
    <w:rPr>
      <w:b/>
    </w:rPr>
  </w:style>
  <w:style w:type="paragraph" w:customStyle="1" w:styleId="Chaptitle">
    <w:name w:val="Chap_title"/>
    <w:basedOn w:val="Arttitle"/>
    <w:next w:val="Normalaftertitle"/>
    <w:rsid w:val="003D6B3C"/>
  </w:style>
  <w:style w:type="character" w:styleId="FootnoteReference">
    <w:name w:val="footnote reference"/>
    <w:basedOn w:val="DefaultParagraphFont"/>
    <w:semiHidden/>
    <w:rsid w:val="003D6B3C"/>
    <w:rPr>
      <w:position w:val="6"/>
      <w:sz w:val="18"/>
    </w:rPr>
  </w:style>
  <w:style w:type="paragraph" w:styleId="FootnoteText">
    <w:name w:val="footnote text"/>
    <w:basedOn w:val="Normal"/>
    <w:semiHidden/>
    <w:rsid w:val="003D6B3C"/>
    <w:pPr>
      <w:keepLines/>
      <w:tabs>
        <w:tab w:val="left" w:pos="255"/>
      </w:tabs>
      <w:ind w:left="255" w:hanging="255"/>
    </w:pPr>
    <w:rPr>
      <w:sz w:val="22"/>
    </w:rPr>
  </w:style>
  <w:style w:type="paragraph" w:styleId="Index1">
    <w:name w:val="index 1"/>
    <w:basedOn w:val="Normal"/>
    <w:next w:val="Normal"/>
    <w:semiHidden/>
    <w:rsid w:val="003D6B3C"/>
  </w:style>
  <w:style w:type="paragraph" w:styleId="Index2">
    <w:name w:val="index 2"/>
    <w:basedOn w:val="Normal"/>
    <w:next w:val="Normal"/>
    <w:semiHidden/>
    <w:rsid w:val="003D6B3C"/>
    <w:pPr>
      <w:ind w:left="283"/>
    </w:pPr>
  </w:style>
  <w:style w:type="paragraph" w:styleId="Index3">
    <w:name w:val="index 3"/>
    <w:basedOn w:val="Normal"/>
    <w:next w:val="Normal"/>
    <w:semiHidden/>
    <w:rsid w:val="003D6B3C"/>
    <w:pPr>
      <w:ind w:left="566"/>
    </w:pPr>
  </w:style>
  <w:style w:type="paragraph" w:styleId="IndexHeading">
    <w:name w:val="index heading"/>
    <w:basedOn w:val="Normal"/>
    <w:next w:val="Index1"/>
    <w:semiHidden/>
    <w:rsid w:val="003D6B3C"/>
  </w:style>
  <w:style w:type="paragraph" w:customStyle="1" w:styleId="Line">
    <w:name w:val="Line"/>
    <w:basedOn w:val="Normal"/>
    <w:next w:val="Normal"/>
    <w:rsid w:val="003D6B3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6B3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6B3C"/>
  </w:style>
  <w:style w:type="paragraph" w:customStyle="1" w:styleId="Partref">
    <w:name w:val="Part_ref"/>
    <w:basedOn w:val="Normal"/>
    <w:next w:val="Normal"/>
    <w:rsid w:val="003D6B3C"/>
    <w:pPr>
      <w:keepNext/>
      <w:keepLines/>
      <w:spacing w:after="280"/>
      <w:jc w:val="center"/>
    </w:pPr>
  </w:style>
  <w:style w:type="paragraph" w:customStyle="1" w:styleId="Parttitle">
    <w:name w:val="Part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D6B3C"/>
  </w:style>
  <w:style w:type="paragraph" w:customStyle="1" w:styleId="QuestionNo">
    <w:name w:val="Question_No"/>
    <w:basedOn w:val="RecNo"/>
    <w:next w:val="Normal"/>
    <w:rsid w:val="003D6B3C"/>
  </w:style>
  <w:style w:type="paragraph" w:customStyle="1" w:styleId="Questionref">
    <w:name w:val="Question_ref"/>
    <w:basedOn w:val="Recref"/>
    <w:next w:val="Questiondate"/>
    <w:rsid w:val="003D6B3C"/>
  </w:style>
  <w:style w:type="paragraph" w:customStyle="1" w:styleId="Questiontitle">
    <w:name w:val="Question_title"/>
    <w:basedOn w:val="Normal"/>
    <w:next w:val="Questionref"/>
    <w:rsid w:val="003D6B3C"/>
  </w:style>
  <w:style w:type="paragraph" w:customStyle="1" w:styleId="Reftext">
    <w:name w:val="Ref_text"/>
    <w:basedOn w:val="Normal"/>
    <w:rsid w:val="003D6B3C"/>
    <w:pPr>
      <w:ind w:left="794" w:hanging="794"/>
    </w:pPr>
    <w:rPr>
      <w:sz w:val="22"/>
    </w:rPr>
  </w:style>
  <w:style w:type="paragraph" w:customStyle="1" w:styleId="Reftitle">
    <w:name w:val="Ref_title"/>
    <w:basedOn w:val="Normal"/>
    <w:next w:val="Reftext"/>
    <w:rsid w:val="003D6B3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D6B3C"/>
  </w:style>
  <w:style w:type="paragraph" w:customStyle="1" w:styleId="RepNo">
    <w:name w:val="Rep_No"/>
    <w:basedOn w:val="RecNo"/>
    <w:next w:val="Reptitle"/>
    <w:rsid w:val="003D6B3C"/>
  </w:style>
  <w:style w:type="paragraph" w:customStyle="1" w:styleId="Reptitle">
    <w:name w:val="Rep_title"/>
    <w:basedOn w:val="Rectitle"/>
    <w:next w:val="Repref"/>
    <w:rsid w:val="003D6B3C"/>
  </w:style>
  <w:style w:type="paragraph" w:customStyle="1" w:styleId="Repref">
    <w:name w:val="Rep_ref"/>
    <w:basedOn w:val="Recref"/>
    <w:next w:val="Repdate"/>
    <w:rsid w:val="003D6B3C"/>
  </w:style>
  <w:style w:type="paragraph" w:customStyle="1" w:styleId="Resdate">
    <w:name w:val="Res_date"/>
    <w:basedOn w:val="Recdate"/>
    <w:next w:val="Normalaftertitle"/>
    <w:rsid w:val="003D6B3C"/>
  </w:style>
  <w:style w:type="paragraph" w:customStyle="1" w:styleId="ResNo">
    <w:name w:val="Res_No"/>
    <w:basedOn w:val="RecNo"/>
    <w:next w:val="Restitle"/>
    <w:rsid w:val="003D6B3C"/>
  </w:style>
  <w:style w:type="paragraph" w:customStyle="1" w:styleId="Restitle">
    <w:name w:val="Res_title"/>
    <w:basedOn w:val="Normal"/>
    <w:next w:val="Resref"/>
    <w:rsid w:val="003D6B3C"/>
    <w:pPr>
      <w:spacing w:before="240"/>
      <w:jc w:val="center"/>
    </w:pPr>
    <w:rPr>
      <w:b/>
      <w:sz w:val="28"/>
    </w:rPr>
  </w:style>
  <w:style w:type="paragraph" w:customStyle="1" w:styleId="Resref">
    <w:name w:val="Res_ref"/>
    <w:basedOn w:val="Recref"/>
    <w:next w:val="Resdate"/>
    <w:rsid w:val="003D6B3C"/>
  </w:style>
  <w:style w:type="paragraph" w:customStyle="1" w:styleId="SectionNo">
    <w:name w:val="Section_No"/>
    <w:basedOn w:val="Normal"/>
    <w:next w:val="Normal"/>
    <w:rsid w:val="003D6B3C"/>
  </w:style>
  <w:style w:type="paragraph" w:customStyle="1" w:styleId="Sectiontitle">
    <w:name w:val="Section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D6B3C"/>
    <w:pPr>
      <w:tabs>
        <w:tab w:val="clear" w:pos="794"/>
        <w:tab w:val="clear" w:pos="1191"/>
        <w:tab w:val="clear" w:pos="1588"/>
        <w:tab w:val="clear" w:pos="1985"/>
        <w:tab w:val="right" w:pos="9611"/>
      </w:tabs>
    </w:pPr>
    <w:rPr>
      <w:i/>
    </w:rPr>
  </w:style>
  <w:style w:type="paragraph" w:styleId="TOC1">
    <w:name w:val="toc 1"/>
    <w:basedOn w:val="Normal"/>
    <w:semiHidden/>
    <w:rsid w:val="003D6B3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6B3C"/>
    <w:pPr>
      <w:tabs>
        <w:tab w:val="clear" w:pos="567"/>
        <w:tab w:val="left" w:pos="1276"/>
      </w:tabs>
      <w:spacing w:before="160"/>
      <w:ind w:left="1276" w:hanging="709"/>
    </w:pPr>
  </w:style>
  <w:style w:type="paragraph" w:styleId="TOC3">
    <w:name w:val="toc 3"/>
    <w:basedOn w:val="TOC2"/>
    <w:semiHidden/>
    <w:rsid w:val="003D6B3C"/>
    <w:pPr>
      <w:tabs>
        <w:tab w:val="clear" w:pos="1276"/>
        <w:tab w:val="left" w:pos="2155"/>
      </w:tabs>
      <w:ind w:left="2155" w:hanging="879"/>
    </w:pPr>
  </w:style>
  <w:style w:type="paragraph" w:styleId="TOC4">
    <w:name w:val="toc 4"/>
    <w:basedOn w:val="TOC3"/>
    <w:semiHidden/>
    <w:rsid w:val="003D6B3C"/>
    <w:pPr>
      <w:tabs>
        <w:tab w:val="left" w:pos="3261"/>
      </w:tabs>
      <w:spacing w:before="80"/>
      <w:ind w:left="3261" w:hanging="993"/>
    </w:pPr>
  </w:style>
  <w:style w:type="paragraph" w:styleId="TOC5">
    <w:name w:val="toc 5"/>
    <w:basedOn w:val="TOC4"/>
    <w:semiHidden/>
    <w:rsid w:val="003D6B3C"/>
  </w:style>
  <w:style w:type="paragraph" w:styleId="TOC6">
    <w:name w:val="toc 6"/>
    <w:basedOn w:val="TOC4"/>
    <w:semiHidden/>
    <w:rsid w:val="003D6B3C"/>
  </w:style>
  <w:style w:type="paragraph" w:styleId="TOC7">
    <w:name w:val="toc 7"/>
    <w:basedOn w:val="TOC4"/>
    <w:semiHidden/>
    <w:rsid w:val="003D6B3C"/>
  </w:style>
  <w:style w:type="paragraph" w:styleId="TOC8">
    <w:name w:val="toc 8"/>
    <w:basedOn w:val="TOC4"/>
    <w:semiHidden/>
    <w:rsid w:val="003D6B3C"/>
  </w:style>
  <w:style w:type="paragraph" w:customStyle="1" w:styleId="Annexref">
    <w:name w:val="Annex_ref"/>
    <w:basedOn w:val="Normal"/>
    <w:next w:val="Normalaftertitle"/>
    <w:rsid w:val="003D6B3C"/>
    <w:pPr>
      <w:keepNext/>
      <w:keepLines/>
      <w:spacing w:after="280"/>
      <w:jc w:val="center"/>
    </w:pPr>
  </w:style>
  <w:style w:type="paragraph" w:customStyle="1" w:styleId="Appendixref">
    <w:name w:val="Appendix_ref"/>
    <w:basedOn w:val="Annexref"/>
    <w:next w:val="Normalaftertitle"/>
    <w:rsid w:val="003D6B3C"/>
  </w:style>
  <w:style w:type="paragraph" w:customStyle="1" w:styleId="Tabletitle">
    <w:name w:val="Table_title"/>
    <w:basedOn w:val="Normal"/>
    <w:next w:val="Tablehead"/>
    <w:rsid w:val="003D6B3C"/>
    <w:pPr>
      <w:keepNext/>
      <w:spacing w:before="0" w:after="120"/>
      <w:jc w:val="center"/>
    </w:pPr>
    <w:rPr>
      <w:b/>
    </w:rPr>
  </w:style>
  <w:style w:type="paragraph" w:customStyle="1" w:styleId="Summary">
    <w:name w:val="Summary"/>
    <w:basedOn w:val="Normal"/>
    <w:next w:val="Normalaftertitle"/>
    <w:autoRedefine/>
    <w:rsid w:val="00243E29"/>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D6B3C"/>
    <w:pPr>
      <w:ind w:left="-85" w:firstLine="0"/>
    </w:pPr>
    <w:rPr>
      <w:lang w:val="en-US"/>
    </w:rPr>
  </w:style>
  <w:style w:type="paragraph" w:customStyle="1" w:styleId="AnnexNo">
    <w:name w:val="Annex_No"/>
    <w:basedOn w:val="Normal"/>
    <w:next w:val="Normal"/>
    <w:rsid w:val="002F754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2F75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FiguretitleChar">
    <w:name w:val="Figure_title Char"/>
    <w:link w:val="Figuretitle"/>
    <w:locked/>
    <w:rsid w:val="002F754C"/>
    <w:rPr>
      <w:rFonts w:ascii="Times New Roman Bold" w:hAnsi="Times New Roman Bold"/>
      <w:b/>
      <w:sz w:val="18"/>
      <w:lang w:val="fr-FR" w:eastAsia="en-US"/>
    </w:rPr>
  </w:style>
  <w:style w:type="character" w:customStyle="1" w:styleId="FigureNoChar">
    <w:name w:val="Figure_No Char"/>
    <w:link w:val="FigureNo"/>
    <w:locked/>
    <w:rsid w:val="002F754C"/>
    <w:rPr>
      <w:caps/>
      <w:sz w:val="18"/>
      <w:lang w:val="fr-FR" w:eastAsia="en-US"/>
    </w:rPr>
  </w:style>
  <w:style w:type="character" w:customStyle="1" w:styleId="CallChar">
    <w:name w:val="Call Char"/>
    <w:link w:val="Call"/>
    <w:locked/>
    <w:rsid w:val="002F754C"/>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71</TotalTime>
  <Pages>10</Pages>
  <Words>1712</Words>
  <Characters>9823</Characters>
  <Application>Microsoft Office Word</Application>
  <DocSecurity>0</DocSecurity>
  <Lines>338</Lines>
  <Paragraphs>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11530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16</cp:revision>
  <cp:lastPrinted>2009-06-26T13:19:00Z</cp:lastPrinted>
  <dcterms:created xsi:type="dcterms:W3CDTF">2012-03-22T13:52:00Z</dcterms:created>
  <dcterms:modified xsi:type="dcterms:W3CDTF">2012-05-04T14:22:00Z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