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A8F" w:rsidRPr="00575CB8" w:rsidRDefault="001B7A8F" w:rsidP="001B7A8F">
      <w:pPr>
        <w:rPr>
          <w:lang w:val="en-US"/>
        </w:rPr>
      </w:pPr>
      <w:bookmarkStart w:id="0" w:name="dbreak"/>
      <w:bookmarkEnd w:id="0"/>
    </w:p>
    <w:p w:rsidR="001B7A8F" w:rsidRDefault="001B7A8F" w:rsidP="001B7A8F"/>
    <w:p w:rsidR="001B7A8F" w:rsidRDefault="001B7A8F" w:rsidP="001B7A8F"/>
    <w:p w:rsidR="001B7A8F" w:rsidRDefault="001B7A8F" w:rsidP="001B7A8F"/>
    <w:p w:rsidR="001B7A8F" w:rsidRDefault="001B7A8F" w:rsidP="001B7A8F"/>
    <w:p w:rsidR="001B7A8F" w:rsidRDefault="001B7A8F" w:rsidP="001B7A8F"/>
    <w:p w:rsidR="001B7A8F" w:rsidRDefault="001B7A8F" w:rsidP="001B7A8F"/>
    <w:p w:rsidR="001B7A8F" w:rsidRDefault="001B7A8F" w:rsidP="001B7A8F"/>
    <w:p w:rsidR="001B7A8F" w:rsidRDefault="001B7A8F" w:rsidP="001B7A8F"/>
    <w:p w:rsidR="001B7A8F" w:rsidRDefault="001B7A8F" w:rsidP="001B7A8F"/>
    <w:p w:rsidR="001B7A8F" w:rsidRDefault="001B7A8F" w:rsidP="001B7A8F"/>
    <w:p w:rsidR="001B7A8F" w:rsidRDefault="001B7A8F" w:rsidP="001B7A8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1B7A8F" w:rsidRPr="001B7A8F" w:rsidTr="00D536BB">
        <w:tc>
          <w:tcPr>
            <w:tcW w:w="10089" w:type="dxa"/>
          </w:tcPr>
          <w:p w:rsidR="001B7A8F" w:rsidRPr="0010336F" w:rsidRDefault="001B7A8F" w:rsidP="00D536BB">
            <w:pPr>
              <w:spacing w:before="380" w:line="280" w:lineRule="exact"/>
              <w:jc w:val="right"/>
              <w:rPr>
                <w:rFonts w:ascii="Tahoma" w:hAnsi="Tahoma" w:cs="Tahoma"/>
                <w:b/>
                <w:bCs/>
                <w:iCs/>
                <w:color w:val="243285"/>
                <w:sz w:val="32"/>
                <w:szCs w:val="32"/>
                <w:lang w:val="en-US"/>
              </w:rPr>
            </w:pPr>
          </w:p>
          <w:p w:rsidR="001B7A8F" w:rsidRPr="0010336F" w:rsidRDefault="001B7A8F" w:rsidP="001B7A8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2011</w:t>
            </w:r>
          </w:p>
          <w:p w:rsidR="001B7A8F" w:rsidRPr="0010336F" w:rsidRDefault="001B7A8F" w:rsidP="001B7A8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1B7A8F" w:rsidRPr="00BF25E6" w:rsidTr="00D536BB">
        <w:tc>
          <w:tcPr>
            <w:tcW w:w="10089" w:type="dxa"/>
          </w:tcPr>
          <w:p w:rsidR="001B7A8F" w:rsidRPr="001B7A8F" w:rsidRDefault="001B7A8F" w:rsidP="00D536BB">
            <w:pPr>
              <w:spacing w:before="80" w:line="500" w:lineRule="exact"/>
              <w:jc w:val="right"/>
              <w:rPr>
                <w:rFonts w:ascii="Tahoma" w:hAnsi="Tahoma" w:cs="Tahoma"/>
                <w:b/>
                <w:bCs/>
                <w:color w:val="243285"/>
                <w:sz w:val="44"/>
                <w:szCs w:val="44"/>
                <w:lang w:val="es-ES_tradnl"/>
              </w:rPr>
            </w:pPr>
          </w:p>
          <w:p w:rsidR="001B7A8F" w:rsidRPr="001B7A8F" w:rsidRDefault="001B7A8F" w:rsidP="00D536BB">
            <w:pPr>
              <w:spacing w:before="80" w:line="500" w:lineRule="exact"/>
              <w:jc w:val="right"/>
              <w:rPr>
                <w:rFonts w:ascii="Tahoma" w:hAnsi="Tahoma" w:cs="Tahoma"/>
                <w:b/>
                <w:bCs/>
                <w:color w:val="243285"/>
                <w:sz w:val="44"/>
                <w:szCs w:val="44"/>
                <w:lang w:val="es-ES_tradnl"/>
              </w:rPr>
            </w:pPr>
            <w:r w:rsidRPr="001B7A8F">
              <w:rPr>
                <w:rFonts w:ascii="Tahoma" w:hAnsi="Tahoma" w:cs="Tahoma"/>
                <w:b/>
                <w:bCs/>
                <w:color w:val="243285"/>
                <w:sz w:val="44"/>
                <w:szCs w:val="44"/>
                <w:lang w:val="es-ES_tradnl"/>
              </w:rPr>
              <w:t>Evaluación de la interferencia causada por enlaces de pasarela de estaciones en plataformas a gran altitud (HAPS) (HAPS-tierra) en el servicio fijo a los sistemas inalámbricos fijos convencionales en la gama 5 850-7 075 MHz</w:t>
            </w:r>
          </w:p>
          <w:p w:rsidR="001B7A8F" w:rsidRPr="001B7A8F" w:rsidRDefault="001B7A8F" w:rsidP="00D536BB">
            <w:pPr>
              <w:spacing w:before="80" w:line="500" w:lineRule="exact"/>
              <w:jc w:val="right"/>
              <w:rPr>
                <w:rFonts w:ascii="Tahoma" w:hAnsi="Tahoma" w:cs="Tahoma"/>
                <w:b/>
                <w:bCs/>
                <w:color w:val="243285"/>
                <w:sz w:val="44"/>
                <w:szCs w:val="44"/>
                <w:lang w:val="es-ES_tradnl"/>
              </w:rPr>
            </w:pPr>
          </w:p>
        </w:tc>
      </w:tr>
      <w:tr w:rsidR="001B7A8F" w:rsidRPr="0026666F" w:rsidTr="00D536BB">
        <w:tc>
          <w:tcPr>
            <w:tcW w:w="10089" w:type="dxa"/>
          </w:tcPr>
          <w:p w:rsidR="001B7A8F" w:rsidRPr="0010336F" w:rsidRDefault="001B7A8F" w:rsidP="00D536BB">
            <w:pPr>
              <w:spacing w:before="80" w:line="280" w:lineRule="exact"/>
              <w:ind w:right="640"/>
              <w:rPr>
                <w:rFonts w:ascii="Tahoma" w:hAnsi="Tahoma" w:cs="Tahoma"/>
                <w:b/>
                <w:bCs/>
                <w:iCs/>
                <w:color w:val="243285"/>
                <w:sz w:val="32"/>
                <w:szCs w:val="32"/>
                <w:lang w:val="es-ES_tradnl"/>
              </w:rPr>
            </w:pPr>
          </w:p>
          <w:p w:rsidR="001B7A8F" w:rsidRPr="0010336F" w:rsidRDefault="001B7A8F" w:rsidP="00D536BB">
            <w:pPr>
              <w:spacing w:before="80" w:line="280" w:lineRule="exact"/>
              <w:ind w:right="640"/>
              <w:rPr>
                <w:rFonts w:ascii="Tahoma" w:hAnsi="Tahoma" w:cs="Tahoma"/>
                <w:b/>
                <w:bCs/>
                <w:iCs/>
                <w:color w:val="243285"/>
                <w:sz w:val="32"/>
                <w:szCs w:val="32"/>
                <w:lang w:val="es-ES_tradnl"/>
              </w:rPr>
            </w:pPr>
          </w:p>
          <w:p w:rsidR="001B7A8F" w:rsidRPr="0010336F" w:rsidRDefault="001B7A8F" w:rsidP="00D536BB">
            <w:pPr>
              <w:spacing w:before="80" w:after="180" w:line="360" w:lineRule="exact"/>
              <w:ind w:right="720"/>
              <w:rPr>
                <w:rFonts w:ascii="Tahoma" w:hAnsi="Tahoma" w:cs="Tahoma"/>
                <w:b/>
                <w:bCs/>
                <w:iCs/>
                <w:color w:val="243285"/>
                <w:sz w:val="36"/>
                <w:szCs w:val="36"/>
                <w:lang w:val="es-ES_tradnl"/>
              </w:rPr>
            </w:pPr>
          </w:p>
          <w:p w:rsidR="001B7A8F" w:rsidRPr="0010336F" w:rsidRDefault="001B7A8F" w:rsidP="00D536B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1B7A8F" w:rsidRPr="0010336F" w:rsidRDefault="001B7A8F" w:rsidP="00D536B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1B7A8F" w:rsidRPr="0026666F" w:rsidRDefault="001B7A8F" w:rsidP="001B7A8F">
      <w:pPr>
        <w:spacing w:before="80"/>
        <w:rPr>
          <w:i/>
          <w:sz w:val="22"/>
          <w:lang w:val="es-ES_tradnl"/>
        </w:rPr>
      </w:pPr>
    </w:p>
    <w:p w:rsidR="001B7A8F" w:rsidRPr="0026666F" w:rsidRDefault="001B7A8F" w:rsidP="001B7A8F">
      <w:pPr>
        <w:spacing w:before="80"/>
        <w:rPr>
          <w:i/>
          <w:sz w:val="22"/>
          <w:lang w:val="es-ES_tradnl"/>
        </w:rPr>
      </w:pPr>
    </w:p>
    <w:p w:rsidR="001B7A8F" w:rsidRPr="0026666F" w:rsidRDefault="001B7A8F" w:rsidP="001B7A8F">
      <w:pPr>
        <w:spacing w:before="80"/>
        <w:rPr>
          <w:i/>
          <w:sz w:val="22"/>
          <w:lang w:val="es-ES_tradnl"/>
        </w:rPr>
      </w:pPr>
    </w:p>
    <w:p w:rsidR="001B7A8F" w:rsidRPr="0026666F" w:rsidRDefault="001B7A8F" w:rsidP="001B7A8F">
      <w:pPr>
        <w:spacing w:before="80"/>
        <w:rPr>
          <w:i/>
          <w:sz w:val="22"/>
          <w:lang w:val="es-ES_tradnl"/>
        </w:rPr>
      </w:pPr>
    </w:p>
    <w:p w:rsidR="001B7A8F" w:rsidRPr="0026666F" w:rsidRDefault="001B7A8F" w:rsidP="001B7A8F">
      <w:pPr>
        <w:spacing w:before="80"/>
        <w:rPr>
          <w:i/>
          <w:sz w:val="22"/>
          <w:lang w:val="es-ES_tradnl"/>
        </w:rPr>
      </w:pPr>
    </w:p>
    <w:p w:rsidR="001B7A8F" w:rsidRPr="0026666F" w:rsidRDefault="001B7A8F" w:rsidP="001B7A8F">
      <w:pPr>
        <w:spacing w:before="80"/>
        <w:rPr>
          <w:i/>
          <w:sz w:val="22"/>
          <w:lang w:val="es-ES_tradnl"/>
        </w:rPr>
      </w:pPr>
    </w:p>
    <w:p w:rsidR="001B7A8F" w:rsidRPr="0026666F" w:rsidRDefault="001B7A8F" w:rsidP="001B7A8F">
      <w:pPr>
        <w:pStyle w:val="Equation"/>
        <w:tabs>
          <w:tab w:val="clear" w:pos="4820"/>
          <w:tab w:val="clear" w:pos="9639"/>
          <w:tab w:val="left" w:pos="1191"/>
          <w:tab w:val="left" w:pos="1588"/>
          <w:tab w:val="left" w:pos="1985"/>
        </w:tabs>
        <w:rPr>
          <w:rFonts w:ascii="Palatino Linotype" w:hAnsi="Palatino Linotype"/>
          <w:lang w:val="es-ES_tradnl"/>
        </w:rPr>
        <w:sectPr w:rsidR="001B7A8F" w:rsidRPr="0026666F">
          <w:headerReference w:type="even" r:id="rId8"/>
          <w:headerReference w:type="default" r:id="rId9"/>
          <w:pgSz w:w="11907" w:h="16840" w:code="9"/>
          <w:pgMar w:top="1089" w:right="1089" w:bottom="284" w:left="1089" w:header="567" w:footer="284" w:gutter="0"/>
          <w:pgNumType w:start="1"/>
          <w:cols w:space="720"/>
        </w:sectPr>
      </w:pPr>
    </w:p>
    <w:p w:rsidR="001B7A8F" w:rsidRPr="006C718C" w:rsidRDefault="001B7A8F" w:rsidP="001B7A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B7A8F" w:rsidRPr="006C718C" w:rsidRDefault="001B7A8F" w:rsidP="001B7A8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B7A8F" w:rsidRPr="006C718C" w:rsidRDefault="001B7A8F" w:rsidP="001B7A8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B7A8F" w:rsidRPr="00021E8A" w:rsidRDefault="001B7A8F" w:rsidP="001B7A8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B7A8F" w:rsidRPr="00021E8A" w:rsidRDefault="001B7A8F" w:rsidP="001B7A8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B7A8F" w:rsidRPr="007C36CA" w:rsidRDefault="001B7A8F" w:rsidP="001B7A8F">
      <w:pPr>
        <w:spacing w:before="0"/>
        <w:jc w:val="center"/>
        <w:rPr>
          <w:sz w:val="22"/>
          <w:lang w:val="es-ES_tradnl"/>
        </w:rPr>
      </w:pPr>
    </w:p>
    <w:p w:rsidR="001B7A8F" w:rsidRPr="007C36CA" w:rsidRDefault="001B7A8F" w:rsidP="001B7A8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B7A8F" w:rsidRPr="00BF25E6" w:rsidTr="00D536BB">
        <w:tc>
          <w:tcPr>
            <w:tcW w:w="9360" w:type="dxa"/>
            <w:gridSpan w:val="2"/>
          </w:tcPr>
          <w:p w:rsidR="001B7A8F" w:rsidRPr="00021E8A" w:rsidRDefault="001B7A8F" w:rsidP="00D536B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B7A8F" w:rsidRPr="00763D08"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B7A8F" w:rsidRPr="00036EE3" w:rsidTr="00D536BB">
        <w:tc>
          <w:tcPr>
            <w:tcW w:w="1140" w:type="dxa"/>
            <w:tcBorders>
              <w:bottom w:val="nil"/>
            </w:tcBorders>
          </w:tcPr>
          <w:p w:rsidR="001B7A8F" w:rsidRPr="00036EE3" w:rsidRDefault="001B7A8F" w:rsidP="00D536BB">
            <w:pPr>
              <w:spacing w:before="180" w:after="100"/>
              <w:ind w:left="57"/>
              <w:rPr>
                <w:b/>
                <w:bCs/>
                <w:sz w:val="20"/>
                <w:lang w:val="en-US"/>
              </w:rPr>
            </w:pPr>
            <w:r w:rsidRPr="00036EE3">
              <w:rPr>
                <w:b/>
                <w:bCs/>
                <w:sz w:val="20"/>
                <w:lang w:val="en-US"/>
              </w:rPr>
              <w:t>Series</w:t>
            </w:r>
          </w:p>
        </w:tc>
        <w:tc>
          <w:tcPr>
            <w:tcW w:w="8220" w:type="dxa"/>
            <w:tcBorders>
              <w:bottom w:val="nil"/>
            </w:tcBorders>
          </w:tcPr>
          <w:p w:rsidR="001B7A8F" w:rsidRPr="00036EE3"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B7A8F" w:rsidRPr="004532F7" w:rsidTr="00D536BB">
        <w:tc>
          <w:tcPr>
            <w:tcW w:w="1140" w:type="dxa"/>
            <w:tcBorders>
              <w:top w:val="nil"/>
              <w:bottom w:val="nil"/>
            </w:tcBorders>
            <w:shd w:val="clear" w:color="auto" w:fill="auto"/>
          </w:tcPr>
          <w:p w:rsidR="001B7A8F" w:rsidRPr="004532F7" w:rsidRDefault="001B7A8F" w:rsidP="00D536B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B7A8F" w:rsidRPr="004532F7"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B7A8F" w:rsidRPr="00BF25E6" w:rsidTr="00D536BB">
        <w:tc>
          <w:tcPr>
            <w:tcW w:w="1140" w:type="dxa"/>
            <w:tcBorders>
              <w:top w:val="nil"/>
              <w:bottom w:val="nil"/>
            </w:tcBorders>
            <w:shd w:val="clear" w:color="auto" w:fill="auto"/>
          </w:tcPr>
          <w:p w:rsidR="001B7A8F" w:rsidRPr="006B22C3" w:rsidRDefault="001B7A8F" w:rsidP="00D536B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B7A8F" w:rsidRPr="006B22C3"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B7A8F" w:rsidRPr="00847DD5" w:rsidTr="00D536BB">
        <w:tc>
          <w:tcPr>
            <w:tcW w:w="1140" w:type="dxa"/>
            <w:tcBorders>
              <w:top w:val="nil"/>
              <w:bottom w:val="nil"/>
            </w:tcBorders>
            <w:shd w:val="clear" w:color="auto" w:fill="auto"/>
          </w:tcPr>
          <w:p w:rsidR="001B7A8F" w:rsidRPr="00847DD5" w:rsidRDefault="001B7A8F" w:rsidP="00D536B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B7A8F" w:rsidRPr="00847DD5"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B7A8F" w:rsidRPr="00ED2695" w:rsidTr="00D536BB">
        <w:tc>
          <w:tcPr>
            <w:tcW w:w="1140" w:type="dxa"/>
            <w:tcBorders>
              <w:top w:val="nil"/>
              <w:bottom w:val="nil"/>
            </w:tcBorders>
            <w:shd w:val="clear" w:color="auto" w:fill="auto"/>
          </w:tcPr>
          <w:p w:rsidR="001B7A8F" w:rsidRPr="00ED2695" w:rsidRDefault="001B7A8F" w:rsidP="00D536B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B7A8F" w:rsidRPr="00021E8A"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B7A8F" w:rsidRPr="00847DD5" w:rsidTr="00D536BB">
        <w:tc>
          <w:tcPr>
            <w:tcW w:w="1140" w:type="dxa"/>
            <w:tcBorders>
              <w:top w:val="nil"/>
              <w:bottom w:val="nil"/>
            </w:tcBorders>
            <w:shd w:val="clear" w:color="auto" w:fill="F3F3F3"/>
          </w:tcPr>
          <w:p w:rsidR="001B7A8F" w:rsidRPr="00847DD5" w:rsidRDefault="001B7A8F" w:rsidP="00D536BB">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1B7A8F" w:rsidRPr="00847DD5" w:rsidRDefault="001B7A8F" w:rsidP="00D536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1B7A8F" w:rsidRPr="00BF25E6" w:rsidTr="00D536BB">
        <w:tc>
          <w:tcPr>
            <w:tcW w:w="1140" w:type="dxa"/>
            <w:tcBorders>
              <w:top w:val="nil"/>
              <w:bottom w:val="nil"/>
            </w:tcBorders>
            <w:shd w:val="clear" w:color="auto" w:fill="auto"/>
          </w:tcPr>
          <w:p w:rsidR="001B7A8F" w:rsidRPr="0010336F" w:rsidRDefault="001B7A8F" w:rsidP="00D536B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B7A8F" w:rsidRPr="0010336F" w:rsidRDefault="001B7A8F" w:rsidP="00D536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B7A8F" w:rsidRPr="00BF25E6" w:rsidTr="00D536BB">
        <w:tc>
          <w:tcPr>
            <w:tcW w:w="1140" w:type="dxa"/>
            <w:tcBorders>
              <w:top w:val="nil"/>
            </w:tcBorders>
          </w:tcPr>
          <w:p w:rsidR="001B7A8F" w:rsidRPr="00036EE3" w:rsidRDefault="001B7A8F" w:rsidP="00D536BB">
            <w:pPr>
              <w:spacing w:before="30" w:after="30"/>
              <w:ind w:left="57"/>
              <w:jc w:val="left"/>
              <w:rPr>
                <w:b/>
                <w:bCs/>
                <w:sz w:val="20"/>
                <w:lang w:val="fr-CH"/>
              </w:rPr>
            </w:pPr>
            <w:r w:rsidRPr="00036EE3">
              <w:rPr>
                <w:b/>
                <w:bCs/>
                <w:sz w:val="20"/>
                <w:lang w:val="fr-CH"/>
              </w:rPr>
              <w:t>P</w:t>
            </w:r>
          </w:p>
        </w:tc>
        <w:tc>
          <w:tcPr>
            <w:tcW w:w="8220" w:type="dxa"/>
            <w:tcBorders>
              <w:top w:val="nil"/>
            </w:tcBorders>
          </w:tcPr>
          <w:p w:rsidR="001B7A8F" w:rsidRPr="00021E8A" w:rsidRDefault="001B7A8F" w:rsidP="00D536BB">
            <w:pPr>
              <w:spacing w:before="30" w:after="30"/>
              <w:jc w:val="left"/>
              <w:rPr>
                <w:bCs/>
                <w:sz w:val="20"/>
                <w:lang w:val="es-ES_tradnl"/>
              </w:rPr>
            </w:pPr>
            <w:r w:rsidRPr="00021E8A">
              <w:rPr>
                <w:bCs/>
                <w:sz w:val="20"/>
                <w:lang w:val="es-ES_tradnl"/>
              </w:rPr>
              <w:t>Propagación de las ondas radioeléctricas</w:t>
            </w:r>
          </w:p>
        </w:tc>
      </w:tr>
      <w:tr w:rsidR="001B7A8F" w:rsidRPr="00036EE3"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RA</w:t>
            </w:r>
          </w:p>
        </w:tc>
        <w:tc>
          <w:tcPr>
            <w:tcW w:w="8220" w:type="dxa"/>
          </w:tcPr>
          <w:p w:rsidR="001B7A8F" w:rsidRPr="00021E8A" w:rsidRDefault="001B7A8F" w:rsidP="00D536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B7A8F" w:rsidRPr="00BF25E6"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RS</w:t>
            </w:r>
          </w:p>
        </w:tc>
        <w:tc>
          <w:tcPr>
            <w:tcW w:w="8220" w:type="dxa"/>
          </w:tcPr>
          <w:p w:rsidR="001B7A8F" w:rsidRPr="00021E8A" w:rsidRDefault="001B7A8F" w:rsidP="00D536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B7A8F" w:rsidRPr="00036EE3"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S</w:t>
            </w:r>
          </w:p>
        </w:tc>
        <w:tc>
          <w:tcPr>
            <w:tcW w:w="8220" w:type="dxa"/>
          </w:tcPr>
          <w:p w:rsidR="001B7A8F" w:rsidRPr="00021E8A" w:rsidRDefault="001B7A8F" w:rsidP="00D536BB">
            <w:pPr>
              <w:spacing w:before="30" w:after="30"/>
              <w:jc w:val="left"/>
              <w:rPr>
                <w:bCs/>
                <w:sz w:val="20"/>
                <w:lang w:val="en-US"/>
              </w:rPr>
            </w:pPr>
            <w:r w:rsidRPr="00021E8A">
              <w:rPr>
                <w:bCs/>
                <w:sz w:val="20"/>
              </w:rPr>
              <w:t>Servicio fijo por satélite</w:t>
            </w:r>
          </w:p>
        </w:tc>
      </w:tr>
      <w:tr w:rsidR="001B7A8F" w:rsidRPr="00036EE3"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SA</w:t>
            </w:r>
          </w:p>
        </w:tc>
        <w:tc>
          <w:tcPr>
            <w:tcW w:w="8220" w:type="dxa"/>
          </w:tcPr>
          <w:p w:rsidR="001B7A8F" w:rsidRPr="00021E8A" w:rsidRDefault="001B7A8F" w:rsidP="00D536BB">
            <w:pPr>
              <w:spacing w:before="30" w:after="30"/>
              <w:jc w:val="left"/>
              <w:rPr>
                <w:bCs/>
                <w:sz w:val="20"/>
                <w:lang w:val="en-US"/>
              </w:rPr>
            </w:pPr>
            <w:r w:rsidRPr="00021E8A">
              <w:rPr>
                <w:bCs/>
                <w:sz w:val="20"/>
              </w:rPr>
              <w:t>Aplicaciones espaciales y meteorología</w:t>
            </w:r>
          </w:p>
        </w:tc>
      </w:tr>
      <w:tr w:rsidR="001B7A8F" w:rsidRPr="00BF25E6"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SF</w:t>
            </w:r>
          </w:p>
        </w:tc>
        <w:tc>
          <w:tcPr>
            <w:tcW w:w="8220" w:type="dxa"/>
          </w:tcPr>
          <w:p w:rsidR="001B7A8F" w:rsidRPr="00021E8A" w:rsidRDefault="001B7A8F" w:rsidP="00D536B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B7A8F" w:rsidRPr="00036EE3" w:rsidTr="00D536BB">
        <w:tc>
          <w:tcPr>
            <w:tcW w:w="1140" w:type="dxa"/>
            <w:shd w:val="clear" w:color="auto" w:fill="auto"/>
          </w:tcPr>
          <w:p w:rsidR="001B7A8F" w:rsidRPr="001240BC" w:rsidRDefault="001B7A8F" w:rsidP="00D536BB">
            <w:pPr>
              <w:spacing w:before="30" w:after="30"/>
              <w:ind w:left="57"/>
              <w:jc w:val="left"/>
              <w:rPr>
                <w:b/>
                <w:bCs/>
                <w:sz w:val="20"/>
                <w:lang w:val="en-US"/>
              </w:rPr>
            </w:pPr>
            <w:r w:rsidRPr="001240BC">
              <w:rPr>
                <w:b/>
                <w:bCs/>
                <w:sz w:val="20"/>
                <w:lang w:val="en-US"/>
              </w:rPr>
              <w:t>SM</w:t>
            </w:r>
          </w:p>
        </w:tc>
        <w:tc>
          <w:tcPr>
            <w:tcW w:w="8220" w:type="dxa"/>
            <w:shd w:val="clear" w:color="auto" w:fill="auto"/>
          </w:tcPr>
          <w:p w:rsidR="001B7A8F" w:rsidRPr="001240BC" w:rsidRDefault="001B7A8F" w:rsidP="00D536BB">
            <w:pPr>
              <w:spacing w:before="30" w:after="30"/>
              <w:jc w:val="left"/>
              <w:rPr>
                <w:sz w:val="20"/>
                <w:lang w:val="en-US"/>
              </w:rPr>
            </w:pPr>
            <w:r w:rsidRPr="001240BC">
              <w:rPr>
                <w:sz w:val="20"/>
              </w:rPr>
              <w:t>Gestión del espectro</w:t>
            </w:r>
          </w:p>
        </w:tc>
      </w:tr>
      <w:tr w:rsidR="001B7A8F" w:rsidRPr="00036EE3"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SNG</w:t>
            </w:r>
          </w:p>
        </w:tc>
        <w:tc>
          <w:tcPr>
            <w:tcW w:w="8220" w:type="dxa"/>
          </w:tcPr>
          <w:p w:rsidR="001B7A8F" w:rsidRPr="00021E8A" w:rsidRDefault="001B7A8F" w:rsidP="00D536BB">
            <w:pPr>
              <w:spacing w:before="30" w:after="30"/>
              <w:jc w:val="left"/>
              <w:rPr>
                <w:bCs/>
                <w:sz w:val="20"/>
                <w:lang w:val="en-US"/>
              </w:rPr>
            </w:pPr>
            <w:r w:rsidRPr="00021E8A">
              <w:rPr>
                <w:bCs/>
                <w:sz w:val="20"/>
              </w:rPr>
              <w:t>Periodismo electrónico por satélite</w:t>
            </w:r>
          </w:p>
        </w:tc>
      </w:tr>
      <w:tr w:rsidR="001B7A8F" w:rsidRPr="00BF25E6"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TF</w:t>
            </w:r>
          </w:p>
        </w:tc>
        <w:tc>
          <w:tcPr>
            <w:tcW w:w="8220" w:type="dxa"/>
          </w:tcPr>
          <w:p w:rsidR="001B7A8F" w:rsidRPr="00021E8A" w:rsidRDefault="001B7A8F" w:rsidP="00D536BB">
            <w:pPr>
              <w:spacing w:before="30" w:after="30"/>
              <w:jc w:val="left"/>
              <w:rPr>
                <w:bCs/>
                <w:sz w:val="20"/>
                <w:lang w:val="es-ES_tradnl"/>
              </w:rPr>
            </w:pPr>
            <w:r w:rsidRPr="00021E8A">
              <w:rPr>
                <w:bCs/>
                <w:sz w:val="20"/>
                <w:lang w:val="es-ES_tradnl"/>
              </w:rPr>
              <w:t>Emisiones de frecuencias patrón y señales horarias</w:t>
            </w:r>
          </w:p>
        </w:tc>
      </w:tr>
      <w:tr w:rsidR="001B7A8F" w:rsidRPr="00036EE3" w:rsidTr="00D536BB">
        <w:tc>
          <w:tcPr>
            <w:tcW w:w="1140" w:type="dxa"/>
          </w:tcPr>
          <w:p w:rsidR="001B7A8F" w:rsidRPr="00036EE3" w:rsidRDefault="001B7A8F" w:rsidP="00D536BB">
            <w:pPr>
              <w:spacing w:before="30" w:after="30"/>
              <w:ind w:left="57"/>
              <w:jc w:val="left"/>
              <w:rPr>
                <w:b/>
                <w:bCs/>
                <w:sz w:val="20"/>
                <w:lang w:val="en-US"/>
              </w:rPr>
            </w:pPr>
            <w:r w:rsidRPr="00036EE3">
              <w:rPr>
                <w:b/>
                <w:bCs/>
                <w:sz w:val="20"/>
                <w:lang w:val="en-US"/>
              </w:rPr>
              <w:t>V</w:t>
            </w:r>
          </w:p>
        </w:tc>
        <w:tc>
          <w:tcPr>
            <w:tcW w:w="8220" w:type="dxa"/>
          </w:tcPr>
          <w:p w:rsidR="001B7A8F" w:rsidRPr="00021E8A" w:rsidRDefault="001B7A8F" w:rsidP="00D536BB">
            <w:pPr>
              <w:spacing w:before="30" w:after="140"/>
              <w:jc w:val="left"/>
              <w:rPr>
                <w:bCs/>
                <w:sz w:val="20"/>
                <w:lang w:val="en-US"/>
              </w:rPr>
            </w:pPr>
            <w:r w:rsidRPr="00021E8A">
              <w:rPr>
                <w:bCs/>
                <w:sz w:val="20"/>
              </w:rPr>
              <w:t>Vocabulario y cuestiones afines</w:t>
            </w:r>
          </w:p>
        </w:tc>
      </w:tr>
    </w:tbl>
    <w:p w:rsidR="001B7A8F" w:rsidRPr="00036EE3" w:rsidRDefault="001B7A8F" w:rsidP="001B7A8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B7A8F" w:rsidTr="00D536BB">
        <w:tc>
          <w:tcPr>
            <w:tcW w:w="720" w:type="dxa"/>
          </w:tcPr>
          <w:p w:rsidR="001B7A8F" w:rsidRDefault="001B7A8F" w:rsidP="00D536B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1B7A8F" w:rsidRPr="00BF25E6" w:rsidTr="00D536BB">
        <w:tc>
          <w:tcPr>
            <w:tcW w:w="9360" w:type="dxa"/>
          </w:tcPr>
          <w:p w:rsidR="001B7A8F" w:rsidRPr="00763D08" w:rsidRDefault="001B7A8F" w:rsidP="00D536B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B7A8F" w:rsidRPr="00763D08" w:rsidRDefault="001B7A8F" w:rsidP="001B7A8F">
      <w:pPr>
        <w:spacing w:before="0"/>
        <w:jc w:val="center"/>
        <w:rPr>
          <w:sz w:val="22"/>
          <w:lang w:val="es-ES_tradnl"/>
        </w:rPr>
      </w:pPr>
    </w:p>
    <w:p w:rsidR="001B7A8F" w:rsidRPr="00763D08" w:rsidRDefault="001B7A8F" w:rsidP="001B7A8F">
      <w:pPr>
        <w:spacing w:before="60"/>
        <w:jc w:val="right"/>
        <w:rPr>
          <w:i/>
          <w:iCs/>
          <w:sz w:val="20"/>
          <w:lang w:val="es-ES_tradnl"/>
        </w:rPr>
      </w:pPr>
      <w:r w:rsidRPr="00763D08">
        <w:rPr>
          <w:i/>
          <w:iCs/>
          <w:sz w:val="20"/>
          <w:lang w:val="es-ES_tradnl"/>
        </w:rPr>
        <w:t>Publicación electrónica</w:t>
      </w:r>
    </w:p>
    <w:p w:rsidR="001B7A8F" w:rsidRPr="00763D08" w:rsidRDefault="001B7A8F" w:rsidP="001B7A8F">
      <w:pPr>
        <w:spacing w:before="0" w:after="40"/>
        <w:jc w:val="right"/>
        <w:rPr>
          <w:sz w:val="20"/>
          <w:lang w:val="es-ES_tradnl"/>
        </w:rPr>
      </w:pPr>
      <w:r w:rsidRPr="00763D08">
        <w:rPr>
          <w:sz w:val="20"/>
          <w:lang w:val="es-ES_tradnl"/>
        </w:rPr>
        <w:t>Ginebra, 20</w:t>
      </w:r>
      <w:r>
        <w:rPr>
          <w:sz w:val="20"/>
          <w:lang w:val="es-ES_tradnl"/>
        </w:rPr>
        <w:t>12</w:t>
      </w:r>
    </w:p>
    <w:p w:rsidR="001B7A8F" w:rsidRPr="00763D08" w:rsidRDefault="001B7A8F" w:rsidP="001B7A8F">
      <w:pPr>
        <w:spacing w:before="0"/>
        <w:jc w:val="center"/>
        <w:rPr>
          <w:sz w:val="22"/>
          <w:lang w:val="es-ES_tradnl"/>
        </w:rPr>
      </w:pPr>
    </w:p>
    <w:p w:rsidR="001B7A8F" w:rsidRPr="00763D08" w:rsidRDefault="001B7A8F" w:rsidP="001B7A8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1B7A8F" w:rsidRPr="006C718C" w:rsidRDefault="001B7A8F" w:rsidP="001B7A8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B7A8F" w:rsidRPr="006C718C" w:rsidRDefault="001B7A8F" w:rsidP="001B7A8F">
      <w:pPr>
        <w:spacing w:before="160"/>
        <w:rPr>
          <w:i/>
          <w:sz w:val="20"/>
          <w:highlight w:val="yellow"/>
          <w:lang w:val="es-ES_tradnl"/>
        </w:rPr>
        <w:sectPr w:rsidR="001B7A8F"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1B7A8F" w:rsidRPr="0010336F" w:rsidRDefault="001B7A8F" w:rsidP="001B7A8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2011</w:t>
      </w:r>
      <w:r w:rsidR="00BF25E6">
        <w:rPr>
          <w:rStyle w:val="FootnoteReference"/>
          <w:lang w:val="es-ES_tradnl"/>
        </w:rPr>
        <w:footnoteReference w:customMarkFollows="1" w:id="1"/>
        <w:t>*</w:t>
      </w:r>
    </w:p>
    <w:p w:rsidR="00A6617B" w:rsidRPr="00BF25E6" w:rsidRDefault="001B7A8F" w:rsidP="001B7A8F">
      <w:pPr>
        <w:pStyle w:val="Rectitle"/>
        <w:rPr>
          <w:lang w:val="es-ES_tradnl" w:eastAsia="zh-CN"/>
        </w:rPr>
      </w:pPr>
      <w:r w:rsidRPr="00BF25E6">
        <w:rPr>
          <w:lang w:val="es-ES_tradnl" w:eastAsia="zh-CN"/>
        </w:rPr>
        <w:t>Evaluación de la interferencia causada por enlaces de pasarela de estaciones en plataformas a gran altitud (HAPS) (HAPS-tierra) en el servicio fijo a los sistemas inalámbricos fijos convencionales en la gama 5 850-7 075 MHz</w:t>
      </w:r>
    </w:p>
    <w:p w:rsidR="00BF25E6" w:rsidRPr="00BF25E6" w:rsidRDefault="00BF25E6" w:rsidP="00BF25E6">
      <w:pPr>
        <w:pStyle w:val="Recdate"/>
        <w:rPr>
          <w:lang w:val="es-ES_tradnl" w:eastAsia="zh-CN"/>
        </w:rPr>
      </w:pPr>
      <w:r>
        <w:rPr>
          <w:lang w:val="es-ES_tradnl" w:eastAsia="zh-CN"/>
        </w:rPr>
        <w:t>(2012)</w:t>
      </w:r>
      <w:bookmarkStart w:id="4" w:name="_GoBack"/>
      <w:bookmarkEnd w:id="4"/>
    </w:p>
    <w:p w:rsidR="001B7A8F" w:rsidRPr="001B7A8F" w:rsidRDefault="001B7A8F" w:rsidP="00CB7BE9">
      <w:pPr>
        <w:pStyle w:val="HeadingSum"/>
        <w:rPr>
          <w:lang w:eastAsia="ko-KR"/>
        </w:rPr>
      </w:pPr>
      <w:r w:rsidRPr="001B7A8F">
        <w:rPr>
          <w:lang w:eastAsia="ko-KR"/>
        </w:rPr>
        <w:t>Alcance</w:t>
      </w:r>
    </w:p>
    <w:p w:rsidR="001B7A8F" w:rsidRPr="00CB7BE9" w:rsidRDefault="001B7A8F" w:rsidP="001B7A8F">
      <w:pPr>
        <w:rPr>
          <w:rFonts w:eastAsia="Batang"/>
          <w:sz w:val="22"/>
          <w:szCs w:val="22"/>
          <w:lang w:val="es-ES_tradnl" w:eastAsia="ko-KR"/>
        </w:rPr>
      </w:pPr>
      <w:r w:rsidRPr="00CB7BE9">
        <w:rPr>
          <w:sz w:val="22"/>
          <w:szCs w:val="22"/>
          <w:lang w:val="es-ES_tradnl" w:eastAsia="ko-KR"/>
        </w:rPr>
        <w:t xml:space="preserve">Esta Recomendación proporciona un método para evaluar la interferencia causada por sistemas del servicio fijo (SF) que emplean enlaces de pasarela de estaciones en plataformas a gran altitud (HAPS) (HAPS-tierra) a sistemas inalámbricos fijos convencionales en la gama </w:t>
      </w:r>
      <w:r w:rsidRPr="00CB7BE9">
        <w:rPr>
          <w:rFonts w:eastAsia="Batang"/>
          <w:sz w:val="22"/>
          <w:szCs w:val="22"/>
          <w:lang w:val="es-ES_tradnl" w:eastAsia="ko-KR"/>
        </w:rPr>
        <w:t>5 850-7 075 MHz, en respuesta al estudio técnico solicitado por la Resolución 734 (Rev.CMR-07)</w:t>
      </w:r>
      <w:r w:rsidRPr="00CB7BE9">
        <w:rPr>
          <w:sz w:val="22"/>
          <w:szCs w:val="22"/>
          <w:lang w:val="es-ES_tradnl" w:eastAsia="ko-KR"/>
        </w:rPr>
        <w:t xml:space="preserve">. Este método se emplea para determinar las áreas en las que se rebasarían los valores específicos de </w:t>
      </w:r>
      <w:r w:rsidRPr="00CB7BE9">
        <w:rPr>
          <w:i/>
          <w:iCs/>
          <w:sz w:val="22"/>
          <w:szCs w:val="22"/>
          <w:lang w:val="es-ES_tradnl" w:eastAsia="ko-KR"/>
        </w:rPr>
        <w:t>I</w:t>
      </w:r>
      <w:r w:rsidRPr="00CB7BE9">
        <w:rPr>
          <w:sz w:val="22"/>
          <w:szCs w:val="22"/>
          <w:lang w:val="es-ES_tradnl" w:eastAsia="ko-KR"/>
        </w:rPr>
        <w:t>/</w:t>
      </w:r>
      <w:r w:rsidRPr="00CB7BE9">
        <w:rPr>
          <w:i/>
          <w:iCs/>
          <w:sz w:val="22"/>
          <w:szCs w:val="22"/>
          <w:lang w:val="es-ES_tradnl" w:eastAsia="ko-KR"/>
        </w:rPr>
        <w:t>N</w:t>
      </w:r>
      <w:r w:rsidRPr="00CB7BE9">
        <w:rPr>
          <w:sz w:val="22"/>
          <w:szCs w:val="22"/>
          <w:lang w:val="es-ES_tradnl" w:eastAsia="ko-KR"/>
        </w:rPr>
        <w:t xml:space="preserve"> en un receptor del SF. Los resultados incluyen gráficos y cálculos de las zonas para diversos valores especificados de </w:t>
      </w:r>
      <w:r w:rsidRPr="00CB7BE9">
        <w:rPr>
          <w:i/>
          <w:iCs/>
          <w:sz w:val="22"/>
          <w:szCs w:val="22"/>
          <w:lang w:val="es-ES_tradnl" w:eastAsia="ko-KR"/>
        </w:rPr>
        <w:t>I</w:t>
      </w:r>
      <w:r w:rsidRPr="00CB7BE9">
        <w:rPr>
          <w:sz w:val="22"/>
          <w:szCs w:val="22"/>
          <w:lang w:val="es-ES_tradnl" w:eastAsia="ko-KR"/>
        </w:rPr>
        <w:t>/</w:t>
      </w:r>
      <w:r w:rsidRPr="00CB7BE9">
        <w:rPr>
          <w:i/>
          <w:iCs/>
          <w:sz w:val="22"/>
          <w:szCs w:val="22"/>
          <w:lang w:val="es-ES_tradnl" w:eastAsia="ko-KR"/>
        </w:rPr>
        <w:t>N</w:t>
      </w:r>
      <w:r w:rsidRPr="00CB7BE9">
        <w:rPr>
          <w:sz w:val="22"/>
          <w:szCs w:val="22"/>
          <w:lang w:val="es-ES_tradnl" w:eastAsia="ko-KR"/>
        </w:rPr>
        <w:t>.</w:t>
      </w:r>
    </w:p>
    <w:p w:rsidR="001B7A8F" w:rsidRPr="002B6243" w:rsidRDefault="001B7A8F" w:rsidP="001B7A8F">
      <w:pPr>
        <w:pStyle w:val="Normalaftertitle0"/>
      </w:pPr>
      <w:r w:rsidRPr="00C44AC9">
        <w:t>La Asamblea de Radiocomunicaciones de la UIT,</w:t>
      </w:r>
    </w:p>
    <w:p w:rsidR="001B7A8F" w:rsidRPr="001B7A8F" w:rsidRDefault="001B7A8F" w:rsidP="001B7A8F">
      <w:pPr>
        <w:pStyle w:val="Call"/>
        <w:rPr>
          <w:lang w:val="es-ES_tradnl"/>
        </w:rPr>
      </w:pPr>
      <w:r w:rsidRPr="001B7A8F">
        <w:rPr>
          <w:lang w:val="es-ES_tradnl"/>
        </w:rPr>
        <w:t>considerando</w:t>
      </w:r>
    </w:p>
    <w:p w:rsidR="001B7A8F" w:rsidRPr="001B7A8F" w:rsidRDefault="001B7A8F" w:rsidP="001B7A8F">
      <w:pPr>
        <w:rPr>
          <w:lang w:val="es-ES_tradnl"/>
        </w:rPr>
      </w:pPr>
      <w:r w:rsidRPr="001B7A8F">
        <w:rPr>
          <w:i/>
          <w:iCs/>
          <w:lang w:val="es-ES_tradnl"/>
        </w:rPr>
        <w:t>a)</w:t>
      </w:r>
      <w:r w:rsidRPr="001B7A8F">
        <w:rPr>
          <w:lang w:val="es-ES_tradnl"/>
        </w:rPr>
        <w:tab/>
        <w:t>que la nueva tecnología que emplea estaciones en plataformas a gran altitud (HAPS) en la estratosfera se ha desarrollado a fin de proporcionar servicios de alta capacidad;</w:t>
      </w:r>
    </w:p>
    <w:p w:rsidR="001B7A8F" w:rsidRPr="001B7A8F" w:rsidRDefault="001B7A8F" w:rsidP="001B7A8F">
      <w:pPr>
        <w:rPr>
          <w:lang w:val="es-ES_tradnl" w:eastAsia="ko-KR"/>
        </w:rPr>
      </w:pPr>
      <w:r w:rsidRPr="001B7A8F">
        <w:rPr>
          <w:i/>
          <w:iCs/>
          <w:lang w:val="es-ES_tradnl" w:eastAsia="ko-KR"/>
        </w:rPr>
        <w:t>b)</w:t>
      </w:r>
      <w:r w:rsidRPr="001B7A8F">
        <w:rPr>
          <w:lang w:val="es-ES_tradnl" w:eastAsia="ko-KR"/>
        </w:rPr>
        <w:tab/>
        <w:t>que algunas administraciones prevén explotar los sistemas que utilizan las HAPS en las bandas atribuidas a tal efecto en el Cuadro de atribución de bandas de frecuencia o a través de notas en el caso del servicio fijo;</w:t>
      </w:r>
    </w:p>
    <w:p w:rsidR="001B7A8F" w:rsidRPr="001B7A8F" w:rsidRDefault="001B7A8F" w:rsidP="001B7A8F">
      <w:pPr>
        <w:rPr>
          <w:lang w:val="es-ES_tradnl" w:eastAsia="ko-KR"/>
        </w:rPr>
      </w:pPr>
      <w:r w:rsidRPr="001B7A8F">
        <w:rPr>
          <w:i/>
          <w:iCs/>
          <w:lang w:val="es-ES_tradnl" w:eastAsia="ko-KR"/>
        </w:rPr>
        <w:t>c)</w:t>
      </w:r>
      <w:r w:rsidRPr="001B7A8F">
        <w:rPr>
          <w:lang w:val="es-ES_tradnl" w:eastAsia="ko-KR"/>
        </w:rPr>
        <w:tab/>
        <w:t>que, además de dichos enlaces de servicio, existe un requisito para enlaces de pasarela que pueden conectar los enlaces de servicio a la red telefónica pública conmutada (RTPC), a redes de datos en banda ancha, a sistemas de telefonía celular y a operadores de radiodifusión sonora y de televisión;</w:t>
      </w:r>
    </w:p>
    <w:p w:rsidR="001B7A8F" w:rsidRPr="001B7A8F" w:rsidRDefault="001B7A8F" w:rsidP="001B7A8F">
      <w:pPr>
        <w:rPr>
          <w:lang w:val="es-ES_tradnl"/>
        </w:rPr>
      </w:pPr>
      <w:r w:rsidRPr="001B7A8F">
        <w:rPr>
          <w:i/>
          <w:iCs/>
          <w:lang w:val="es-ES_tradnl" w:eastAsia="ko-KR"/>
        </w:rPr>
        <w:t>d)</w:t>
      </w:r>
      <w:r w:rsidRPr="001B7A8F">
        <w:rPr>
          <w:lang w:val="es-ES_tradnl" w:eastAsia="ko-KR"/>
        </w:rPr>
        <w:tab/>
        <w:t>que la CMR-07 adoptó la Resolución 734 (Rev.</w:t>
      </w:r>
      <w:r w:rsidRPr="001B7A8F">
        <w:rPr>
          <w:lang w:val="es-ES_tradnl"/>
        </w:rPr>
        <w:t>CMR-0</w:t>
      </w:r>
      <w:r w:rsidRPr="001B7A8F">
        <w:rPr>
          <w:lang w:val="es-ES_tradnl" w:eastAsia="ko-KR"/>
        </w:rPr>
        <w:t>7), en la que solicitaba a la UIT</w:t>
      </w:r>
      <w:r w:rsidRPr="001B7A8F">
        <w:rPr>
          <w:lang w:val="es-ES_tradnl" w:eastAsia="ko-KR"/>
        </w:rPr>
        <w:noBreakHyphen/>
        <w:t xml:space="preserve">R que llevara a cabo estudios de compartición con el fin de identificar dos canales de </w:t>
      </w:r>
      <w:r w:rsidRPr="001B7A8F">
        <w:rPr>
          <w:lang w:val="es-ES_tradnl"/>
        </w:rPr>
        <w:t>80 MHz cada uno para enlaces de pasarela de las HAPS en la gama 5 850 a 7 075 MHz, en bandas ya atribuidas al servicio fijo, y garantizara la protección de los servicios existentes;</w:t>
      </w:r>
    </w:p>
    <w:p w:rsidR="001B7A8F" w:rsidRPr="001B7A8F" w:rsidRDefault="001B7A8F" w:rsidP="001B7A8F">
      <w:pPr>
        <w:rPr>
          <w:lang w:val="es-ES_tradnl"/>
        </w:rPr>
      </w:pPr>
      <w:r w:rsidRPr="001B7A8F">
        <w:rPr>
          <w:i/>
          <w:iCs/>
          <w:lang w:val="es-ES_tradnl"/>
        </w:rPr>
        <w:t>e)</w:t>
      </w:r>
      <w:r w:rsidRPr="001B7A8F">
        <w:rPr>
          <w:lang w:val="es-ES_tradnl"/>
        </w:rPr>
        <w:tab/>
        <w:t>que los servicios existentes utilizan ampliamente segmentos considerables de esta banda,</w:t>
      </w:r>
    </w:p>
    <w:p w:rsidR="001B7A8F" w:rsidRPr="001B7A8F" w:rsidRDefault="001B7A8F" w:rsidP="001B7A8F">
      <w:pPr>
        <w:pStyle w:val="Call"/>
        <w:rPr>
          <w:lang w:val="es-ES_tradnl"/>
        </w:rPr>
      </w:pPr>
      <w:r w:rsidRPr="001B7A8F">
        <w:rPr>
          <w:lang w:val="es-ES_tradnl"/>
        </w:rPr>
        <w:t>recomienda</w:t>
      </w:r>
    </w:p>
    <w:p w:rsidR="001B7A8F" w:rsidRDefault="001B7A8F" w:rsidP="001B7A8F">
      <w:pPr>
        <w:rPr>
          <w:lang w:val="es-ES_tradnl" w:eastAsia="ko-KR"/>
        </w:rPr>
      </w:pPr>
      <w:r w:rsidRPr="001B7A8F">
        <w:rPr>
          <w:lang w:val="es-ES_tradnl"/>
        </w:rPr>
        <w:t>que</w:t>
      </w:r>
      <w:r w:rsidRPr="001B7A8F">
        <w:rPr>
          <w:rFonts w:eastAsia="Batang"/>
          <w:lang w:val="es-ES_tradnl" w:eastAsia="ko-KR"/>
        </w:rPr>
        <w:t xml:space="preserve">, en respuesta al estudio técnico solicitado en el </w:t>
      </w:r>
      <w:r w:rsidRPr="001B7A8F">
        <w:rPr>
          <w:rFonts w:eastAsia="Batang"/>
          <w:i/>
          <w:iCs/>
          <w:lang w:val="es-ES_tradnl" w:eastAsia="ko-KR"/>
        </w:rPr>
        <w:t>considerando</w:t>
      </w:r>
      <w:r w:rsidRPr="001B7A8F">
        <w:rPr>
          <w:rFonts w:eastAsia="Batang"/>
          <w:lang w:val="es-ES_tradnl" w:eastAsia="ko-KR"/>
        </w:rPr>
        <w:t xml:space="preserve"> </w:t>
      </w:r>
      <w:r w:rsidRPr="001B7A8F">
        <w:rPr>
          <w:rFonts w:eastAsia="Batang"/>
          <w:i/>
          <w:iCs/>
          <w:lang w:val="es-ES_tradnl" w:eastAsia="ko-KR"/>
        </w:rPr>
        <w:t>d)</w:t>
      </w:r>
      <w:r w:rsidRPr="001B7A8F">
        <w:rPr>
          <w:rFonts w:eastAsia="Batang"/>
          <w:lang w:val="es-ES_tradnl" w:eastAsia="ko-KR"/>
        </w:rPr>
        <w:t>,</w:t>
      </w:r>
      <w:r w:rsidRPr="001B7A8F">
        <w:rPr>
          <w:lang w:val="es-ES_tradnl" w:eastAsia="ko-KR"/>
        </w:rPr>
        <w:t xml:space="preserve"> se emplee la metodología descrita en el Anexo 1 para evaluar la interferencia causada por enlaces de pasarela de las HAPS (HAPS-Tierra) en el servicio fijo a los sistemas inalámbricos fijos convencionales en la gama 5 850-7 075 MHz.</w:t>
      </w:r>
    </w:p>
    <w:p w:rsidR="00CB7BE9" w:rsidRDefault="00CB7BE9" w:rsidP="001B7A8F">
      <w:pPr>
        <w:rPr>
          <w:lang w:val="es-ES_tradnl" w:eastAsia="ko-KR"/>
        </w:rPr>
      </w:pPr>
    </w:p>
    <w:p w:rsidR="00CB7BE9" w:rsidRPr="001B7A8F" w:rsidRDefault="00CB7BE9" w:rsidP="001B7A8F">
      <w:pPr>
        <w:rPr>
          <w:lang w:val="es-ES_tradnl" w:eastAsia="ko-KR"/>
        </w:rPr>
      </w:pPr>
    </w:p>
    <w:p w:rsidR="001B7A8F" w:rsidRPr="00BF25E6" w:rsidRDefault="001B7A8F" w:rsidP="00CB7BE9">
      <w:pPr>
        <w:pStyle w:val="AnnexNoTitle"/>
        <w:rPr>
          <w:lang w:val="es-ES_tradnl"/>
        </w:rPr>
      </w:pPr>
      <w:r w:rsidRPr="00BF25E6">
        <w:rPr>
          <w:lang w:val="es-ES_tradnl"/>
        </w:rPr>
        <w:lastRenderedPageBreak/>
        <w:t>Anexo 1</w:t>
      </w:r>
      <w:r w:rsidR="00CB7BE9" w:rsidRPr="00BF25E6">
        <w:rPr>
          <w:lang w:val="es-ES_tradnl"/>
        </w:rPr>
        <w:br/>
      </w:r>
      <w:r w:rsidR="00CB7BE9" w:rsidRPr="00BF25E6">
        <w:rPr>
          <w:lang w:val="es-ES_tradnl"/>
        </w:rPr>
        <w:br/>
      </w:r>
      <w:r w:rsidRPr="00BF25E6">
        <w:rPr>
          <w:lang w:val="es-ES_tradnl"/>
        </w:rPr>
        <w:t>Evaluación de la interferencia causada por enlaces de pasarela de estaciones en plataformas a gran altitud (HAPS-tierra) en el servicio fijo a los sistemas inalámbricos fijos convencionales en la gama 5 850-7 075 MHz</w:t>
      </w:r>
    </w:p>
    <w:p w:rsidR="001B7A8F" w:rsidRPr="001B7A8F" w:rsidRDefault="001B7A8F" w:rsidP="001B7A8F">
      <w:pPr>
        <w:pStyle w:val="Heading1"/>
        <w:rPr>
          <w:lang w:val="es-ES_tradnl"/>
        </w:rPr>
      </w:pPr>
      <w:r w:rsidRPr="001B7A8F">
        <w:rPr>
          <w:lang w:val="es-ES_tradnl"/>
        </w:rPr>
        <w:t>1</w:t>
      </w:r>
      <w:r w:rsidRPr="001B7A8F">
        <w:rPr>
          <w:lang w:val="es-ES_tradnl"/>
        </w:rPr>
        <w:tab/>
        <w:t>Introducción</w:t>
      </w:r>
    </w:p>
    <w:p w:rsidR="001B7A8F" w:rsidRPr="001B7A8F" w:rsidRDefault="001B7A8F" w:rsidP="001B7A8F">
      <w:pPr>
        <w:rPr>
          <w:lang w:val="es-ES_tradnl"/>
        </w:rPr>
      </w:pPr>
      <w:r w:rsidRPr="001B7A8F">
        <w:rPr>
          <w:lang w:val="es-ES_tradnl"/>
        </w:rPr>
        <w:t xml:space="preserve">Este Anexo presenta un método para determinar la relación entre potencia de interferencia y potencia de ruido a la entrada de un receptor punto a punto del servicio fijo causada por el funcionamiento de enlaces descendentes de pasarela de las HAPS. Éste es uno de los casos de interferencia que se deben examinar con arreglo al punto 1.20 del orden del día de la CMR-12. En el punto 2 se describen los parámetros y modelos utilizados en el análisis; el punto 3 describe los posibles criterios de </w:t>
      </w:r>
      <w:r w:rsidRPr="001B7A8F">
        <w:rPr>
          <w:i/>
          <w:lang w:val="es-ES_tradnl"/>
        </w:rPr>
        <w:t>I</w:t>
      </w:r>
      <w:r w:rsidRPr="001B7A8F">
        <w:rPr>
          <w:lang w:val="es-ES_tradnl"/>
        </w:rPr>
        <w:t>/</w:t>
      </w:r>
      <w:r w:rsidRPr="001B7A8F">
        <w:rPr>
          <w:i/>
          <w:lang w:val="es-ES_tradnl"/>
        </w:rPr>
        <w:t>N</w:t>
      </w:r>
      <w:r w:rsidRPr="001B7A8F">
        <w:rPr>
          <w:lang w:val="es-ES_tradnl"/>
        </w:rPr>
        <w:t xml:space="preserve"> que se podrían aplicar; en el punto 4 figura la metodología, su aplicación y la presentación de los resultados obtenidos en el caso de plataformas de las HAPS que transmiten a una única estación de pasarela. El punto 5 examina la interferencia combinada cuando la plataforma HAPS transmite a múltiples estaciones de pasarela en tierra en una configuración simétrica. En el punto 6 se estudia el efecto de otros parámetros en los resultados obtenidos. Los estudios del presente documento se centran en la banda 5 925</w:t>
      </w:r>
      <w:r w:rsidRPr="001B7A8F">
        <w:rPr>
          <w:lang w:val="es-ES_tradnl"/>
        </w:rPr>
        <w:noBreakHyphen/>
        <w:t>6 875 MHz, ya que esta banda es ampliamente utilizada por el SF.</w:t>
      </w:r>
    </w:p>
    <w:p w:rsidR="001B7A8F" w:rsidRPr="001B7A8F" w:rsidRDefault="001B7A8F" w:rsidP="001B7A8F">
      <w:pPr>
        <w:pStyle w:val="Heading1"/>
        <w:rPr>
          <w:lang w:val="es-ES_tradnl"/>
        </w:rPr>
      </w:pPr>
      <w:r w:rsidRPr="001B7A8F">
        <w:rPr>
          <w:lang w:val="es-ES_tradnl"/>
        </w:rPr>
        <w:t>2</w:t>
      </w:r>
      <w:r w:rsidRPr="001B7A8F">
        <w:rPr>
          <w:lang w:val="es-ES_tradnl"/>
        </w:rPr>
        <w:tab/>
        <w:t>Descripción del sistema y parámetros</w:t>
      </w:r>
    </w:p>
    <w:p w:rsidR="001B7A8F" w:rsidRPr="001B7A8F" w:rsidRDefault="001B7A8F" w:rsidP="001B7A8F">
      <w:pPr>
        <w:rPr>
          <w:lang w:val="es-ES_tradnl"/>
        </w:rPr>
      </w:pPr>
      <w:r w:rsidRPr="001B7A8F">
        <w:rPr>
          <w:lang w:val="es-ES_tradnl"/>
        </w:rPr>
        <w:t>El sistema de HAPS examinado en el presente estudio proporciona comunicaciones a cinco estaciones de pasarela. La Fig. 1, extraída de la Recomendación UIT-R F.1891, muestra la configuración geométrica del sistema. Las características de las señales transmitidas por el transmisor de la plataforma HAPS son las que figuran en la Recomendación UIT-R F.1891 y se resumen en el Cuadro 1.</w:t>
      </w:r>
    </w:p>
    <w:p w:rsidR="001B7A8F" w:rsidRPr="001B7A8F" w:rsidRDefault="001B7A8F" w:rsidP="001B7A8F">
      <w:pPr>
        <w:overflowPunct/>
        <w:autoSpaceDE/>
        <w:autoSpaceDN/>
        <w:adjustRightInd/>
        <w:spacing w:before="0"/>
        <w:textAlignment w:val="auto"/>
        <w:rPr>
          <w:lang w:val="es-ES_tradnl"/>
        </w:rPr>
      </w:pPr>
    </w:p>
    <w:p w:rsidR="001B7A8F" w:rsidRPr="001B7A8F" w:rsidRDefault="001B7A8F" w:rsidP="001B7A8F">
      <w:pPr>
        <w:pStyle w:val="FigureNo"/>
        <w:rPr>
          <w:lang w:val="es-ES_tradnl"/>
        </w:rPr>
      </w:pPr>
      <w:r w:rsidRPr="001B7A8F">
        <w:rPr>
          <w:lang w:val="es-ES_tradnl"/>
        </w:rPr>
        <w:lastRenderedPageBreak/>
        <w:t>FIGURA 1</w:t>
      </w:r>
    </w:p>
    <w:p w:rsidR="001B7A8F" w:rsidRPr="001B7A8F" w:rsidRDefault="001B7A8F" w:rsidP="001B7A8F">
      <w:pPr>
        <w:pStyle w:val="Figuretitle"/>
        <w:rPr>
          <w:lang w:val="es-ES_tradnl"/>
        </w:rPr>
      </w:pPr>
      <w:r w:rsidRPr="001B7A8F">
        <w:rPr>
          <w:lang w:val="es-ES_tradnl"/>
        </w:rPr>
        <w:t>Ejemplo de configuración de estación de pasarela HAPS</w:t>
      </w:r>
      <w:r w:rsidRPr="001B7A8F">
        <w:rPr>
          <w:lang w:val="es-ES_tradnl"/>
        </w:rPr>
        <w:br/>
        <w:t>e interferencia de la red HAPS interna</w:t>
      </w:r>
    </w:p>
    <w:p w:rsidR="001B7A8F" w:rsidRDefault="001B7A8F" w:rsidP="001B7A8F">
      <w:pPr>
        <w:pStyle w:val="Figure"/>
      </w:pPr>
      <w:r>
        <w:object w:dxaOrig="8845" w:dyaOrig="6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97pt" o:ole="" o:allowoverlap="f">
            <v:imagedata r:id="rId14" o:title=""/>
          </v:shape>
          <o:OLEObject Type="Embed" ProgID="CorelDRAW.Graphic.14" ShapeID="_x0000_i1025" DrawAspect="Content" ObjectID="_1390022525" r:id="rId15"/>
        </w:object>
      </w:r>
    </w:p>
    <w:p w:rsidR="001B7A8F" w:rsidRPr="001B7A8F" w:rsidRDefault="001B7A8F" w:rsidP="001B7A8F">
      <w:pPr>
        <w:pStyle w:val="TableNo"/>
        <w:rPr>
          <w:lang w:val="es-ES_tradnl"/>
        </w:rPr>
      </w:pPr>
      <w:r w:rsidRPr="001B7A8F">
        <w:rPr>
          <w:lang w:val="es-ES_tradnl"/>
        </w:rPr>
        <w:t>CUADRO 1</w:t>
      </w:r>
    </w:p>
    <w:p w:rsidR="001B7A8F" w:rsidRPr="001B7A8F" w:rsidRDefault="001B7A8F" w:rsidP="001B7A8F">
      <w:pPr>
        <w:pStyle w:val="Tabletitle"/>
        <w:rPr>
          <w:rFonts w:eastAsia="Malgun Gothic"/>
          <w:lang w:val="es-ES_tradnl" w:eastAsia="ko-KR"/>
        </w:rPr>
      </w:pPr>
      <w:r w:rsidRPr="001B7A8F">
        <w:rPr>
          <w:lang w:val="es-ES_tradnl"/>
        </w:rPr>
        <w:t xml:space="preserve">Características del transmisor de la plataforma HAPS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2"/>
        <w:gridCol w:w="1890"/>
        <w:gridCol w:w="2457"/>
      </w:tblGrid>
      <w:tr w:rsidR="001B7A8F" w:rsidRPr="00F573EF" w:rsidTr="00CB7BE9">
        <w:trPr>
          <w:jc w:val="center"/>
        </w:trPr>
        <w:tc>
          <w:tcPr>
            <w:tcW w:w="4032" w:type="dxa"/>
          </w:tcPr>
          <w:p w:rsidR="001B7A8F" w:rsidRPr="00F573EF" w:rsidRDefault="001B7A8F" w:rsidP="00D536BB">
            <w:pPr>
              <w:pStyle w:val="Tablehead"/>
              <w:rPr>
                <w:rFonts w:eastAsia="Malgun Gothic"/>
              </w:rPr>
            </w:pPr>
            <w:r w:rsidRPr="00F573EF">
              <w:rPr>
                <w:rFonts w:eastAsia="Malgun Gothic"/>
              </w:rPr>
              <w:t>Parámetro</w:t>
            </w:r>
          </w:p>
        </w:tc>
        <w:tc>
          <w:tcPr>
            <w:tcW w:w="1440" w:type="dxa"/>
          </w:tcPr>
          <w:p w:rsidR="001B7A8F" w:rsidRPr="00F573EF" w:rsidRDefault="001B7A8F" w:rsidP="00D536BB">
            <w:pPr>
              <w:pStyle w:val="Tablehead"/>
              <w:rPr>
                <w:rFonts w:eastAsia="Malgun Gothic"/>
              </w:rPr>
            </w:pPr>
            <w:r w:rsidRPr="00F573EF">
              <w:rPr>
                <w:rFonts w:eastAsia="Malgun Gothic"/>
              </w:rPr>
              <w:t>Símbolo</w:t>
            </w:r>
          </w:p>
        </w:tc>
        <w:tc>
          <w:tcPr>
            <w:tcW w:w="1872" w:type="dxa"/>
          </w:tcPr>
          <w:p w:rsidR="001B7A8F" w:rsidRPr="00F573EF" w:rsidRDefault="001B7A8F" w:rsidP="00D536BB">
            <w:pPr>
              <w:pStyle w:val="Tablehead"/>
              <w:rPr>
                <w:rFonts w:eastAsia="Malgun Gothic"/>
              </w:rPr>
            </w:pPr>
            <w:r w:rsidRPr="00F573EF">
              <w:rPr>
                <w:rFonts w:eastAsia="Malgun Gothic"/>
              </w:rPr>
              <w:t>Valor</w:t>
            </w:r>
          </w:p>
        </w:tc>
      </w:tr>
      <w:tr w:rsidR="001B7A8F" w:rsidRPr="00F573EF" w:rsidTr="00CB7BE9">
        <w:trPr>
          <w:jc w:val="center"/>
        </w:trPr>
        <w:tc>
          <w:tcPr>
            <w:tcW w:w="4032" w:type="dxa"/>
          </w:tcPr>
          <w:p w:rsidR="001B7A8F" w:rsidRPr="00F573EF" w:rsidRDefault="001B7A8F" w:rsidP="00CB7BE9">
            <w:pPr>
              <w:pStyle w:val="Tabletext"/>
              <w:jc w:val="left"/>
            </w:pPr>
            <w:r w:rsidRPr="00F573EF">
              <w:t>Frecuencia (GHz)</w:t>
            </w:r>
          </w:p>
        </w:tc>
        <w:tc>
          <w:tcPr>
            <w:tcW w:w="1440" w:type="dxa"/>
          </w:tcPr>
          <w:p w:rsidR="001B7A8F" w:rsidRPr="00F573EF" w:rsidRDefault="001B7A8F" w:rsidP="00D536BB">
            <w:pPr>
              <w:pStyle w:val="Tabletext"/>
              <w:jc w:val="center"/>
              <w:rPr>
                <w:i/>
                <w:vanish/>
              </w:rPr>
            </w:pPr>
          </w:p>
        </w:tc>
        <w:tc>
          <w:tcPr>
            <w:tcW w:w="1872" w:type="dxa"/>
          </w:tcPr>
          <w:p w:rsidR="001B7A8F" w:rsidRPr="00F573EF" w:rsidRDefault="001B7A8F" w:rsidP="00D536BB">
            <w:pPr>
              <w:pStyle w:val="Tabletext"/>
              <w:jc w:val="center"/>
            </w:pPr>
            <w:r w:rsidRPr="00F573EF">
              <w:t>6,5</w:t>
            </w:r>
          </w:p>
        </w:tc>
      </w:tr>
      <w:tr w:rsidR="001B7A8F" w:rsidRPr="00F573EF" w:rsidTr="00CB7BE9">
        <w:trPr>
          <w:jc w:val="center"/>
        </w:trPr>
        <w:tc>
          <w:tcPr>
            <w:tcW w:w="4032" w:type="dxa"/>
          </w:tcPr>
          <w:p w:rsidR="001B7A8F" w:rsidRPr="00F573EF" w:rsidRDefault="001B7A8F" w:rsidP="00CB7BE9">
            <w:pPr>
              <w:pStyle w:val="Tabletext"/>
              <w:jc w:val="left"/>
            </w:pPr>
            <w:r w:rsidRPr="00F573EF">
              <w:t>Potencia de transmisión (dBW)</w:t>
            </w:r>
          </w:p>
        </w:tc>
        <w:tc>
          <w:tcPr>
            <w:tcW w:w="1440" w:type="dxa"/>
          </w:tcPr>
          <w:p w:rsidR="001B7A8F" w:rsidRPr="00F573EF" w:rsidRDefault="001B7A8F" w:rsidP="00D536BB">
            <w:pPr>
              <w:pStyle w:val="Tabletext"/>
              <w:jc w:val="center"/>
              <w:rPr>
                <w:i/>
              </w:rPr>
            </w:pPr>
          </w:p>
        </w:tc>
        <w:tc>
          <w:tcPr>
            <w:tcW w:w="1872" w:type="dxa"/>
          </w:tcPr>
          <w:p w:rsidR="001B7A8F" w:rsidRPr="00F573EF" w:rsidRDefault="001B7A8F" w:rsidP="00D536BB">
            <w:pPr>
              <w:pStyle w:val="Tabletext"/>
              <w:jc w:val="center"/>
            </w:pPr>
            <w:r w:rsidRPr="00F573EF">
              <w:t>−22</w:t>
            </w:r>
          </w:p>
        </w:tc>
      </w:tr>
      <w:tr w:rsidR="001B7A8F" w:rsidRPr="00F573EF" w:rsidTr="00CB7BE9">
        <w:trPr>
          <w:jc w:val="center"/>
        </w:trPr>
        <w:tc>
          <w:tcPr>
            <w:tcW w:w="4032" w:type="dxa"/>
          </w:tcPr>
          <w:p w:rsidR="001B7A8F" w:rsidRPr="00F573EF" w:rsidRDefault="001B7A8F" w:rsidP="00CB7BE9">
            <w:pPr>
              <w:pStyle w:val="Tabletext"/>
              <w:jc w:val="left"/>
            </w:pPr>
            <w:r w:rsidRPr="00F573EF">
              <w:t>Anchura de banda (MHz)</w:t>
            </w:r>
          </w:p>
        </w:tc>
        <w:tc>
          <w:tcPr>
            <w:tcW w:w="1440" w:type="dxa"/>
          </w:tcPr>
          <w:p w:rsidR="001B7A8F" w:rsidRPr="00F573EF" w:rsidRDefault="001B7A8F" w:rsidP="00D536BB">
            <w:pPr>
              <w:pStyle w:val="Tabletext"/>
              <w:jc w:val="center"/>
              <w:rPr>
                <w:i/>
              </w:rPr>
            </w:pPr>
          </w:p>
        </w:tc>
        <w:tc>
          <w:tcPr>
            <w:tcW w:w="1872" w:type="dxa"/>
          </w:tcPr>
          <w:p w:rsidR="001B7A8F" w:rsidRPr="00F573EF" w:rsidRDefault="001B7A8F" w:rsidP="00D536BB">
            <w:pPr>
              <w:pStyle w:val="Tabletext"/>
              <w:jc w:val="center"/>
            </w:pPr>
            <w:r w:rsidRPr="00F573EF">
              <w:t>11</w:t>
            </w:r>
          </w:p>
        </w:tc>
      </w:tr>
      <w:tr w:rsidR="001B7A8F" w:rsidRPr="00F573EF" w:rsidTr="00CB7BE9">
        <w:trPr>
          <w:jc w:val="center"/>
        </w:trPr>
        <w:tc>
          <w:tcPr>
            <w:tcW w:w="4032" w:type="dxa"/>
          </w:tcPr>
          <w:p w:rsidR="001B7A8F" w:rsidRPr="001B7A8F" w:rsidRDefault="001B7A8F" w:rsidP="00CB7BE9">
            <w:pPr>
              <w:pStyle w:val="Tabletext"/>
              <w:jc w:val="left"/>
              <w:rPr>
                <w:lang w:val="es-ES_tradnl"/>
              </w:rPr>
            </w:pPr>
            <w:r w:rsidRPr="001B7A8F">
              <w:rPr>
                <w:lang w:val="es-ES_tradnl"/>
              </w:rPr>
              <w:t>Densidad de potencia de transmisión (dBW/MHz)</w:t>
            </w:r>
          </w:p>
        </w:tc>
        <w:tc>
          <w:tcPr>
            <w:tcW w:w="1440" w:type="dxa"/>
          </w:tcPr>
          <w:p w:rsidR="001B7A8F" w:rsidRPr="00F573EF" w:rsidRDefault="001B7A8F" w:rsidP="00D536BB">
            <w:pPr>
              <w:pStyle w:val="Tabletext"/>
              <w:jc w:val="center"/>
              <w:rPr>
                <w:i/>
                <w:vertAlign w:val="subscript"/>
              </w:rPr>
            </w:pPr>
            <w:r w:rsidRPr="00F573EF">
              <w:rPr>
                <w:i/>
              </w:rPr>
              <w:t>P</w:t>
            </w:r>
            <w:r w:rsidRPr="00F573EF">
              <w:rPr>
                <w:i/>
                <w:vertAlign w:val="subscript"/>
              </w:rPr>
              <w:t>t</w:t>
            </w:r>
          </w:p>
        </w:tc>
        <w:tc>
          <w:tcPr>
            <w:tcW w:w="1872" w:type="dxa"/>
          </w:tcPr>
          <w:p w:rsidR="001B7A8F" w:rsidRPr="00F573EF" w:rsidRDefault="001B7A8F" w:rsidP="00D536BB">
            <w:pPr>
              <w:pStyle w:val="Tabletext"/>
              <w:jc w:val="center"/>
            </w:pPr>
            <w:r w:rsidRPr="00F573EF">
              <w:t>−32,4</w:t>
            </w:r>
          </w:p>
        </w:tc>
      </w:tr>
      <w:tr w:rsidR="001B7A8F" w:rsidRPr="00F573EF" w:rsidTr="00CB7BE9">
        <w:trPr>
          <w:jc w:val="center"/>
        </w:trPr>
        <w:tc>
          <w:tcPr>
            <w:tcW w:w="4032" w:type="dxa"/>
          </w:tcPr>
          <w:p w:rsidR="001B7A8F" w:rsidRPr="001B7A8F" w:rsidRDefault="001B7A8F" w:rsidP="00CB7BE9">
            <w:pPr>
              <w:pStyle w:val="Tabletext"/>
              <w:jc w:val="left"/>
              <w:rPr>
                <w:lang w:val="es-ES_tradnl"/>
              </w:rPr>
            </w:pPr>
            <w:r w:rsidRPr="001B7A8F">
              <w:rPr>
                <w:lang w:val="es-ES_tradnl"/>
              </w:rPr>
              <w:t>Perdidas del alimentador de transmisión (dB)</w:t>
            </w:r>
          </w:p>
        </w:tc>
        <w:tc>
          <w:tcPr>
            <w:tcW w:w="1440" w:type="dxa"/>
          </w:tcPr>
          <w:p w:rsidR="001B7A8F" w:rsidRPr="001B7A8F" w:rsidRDefault="001B7A8F" w:rsidP="00D536BB">
            <w:pPr>
              <w:pStyle w:val="Tabletext"/>
              <w:jc w:val="center"/>
              <w:rPr>
                <w:i/>
                <w:lang w:val="es-ES_tradnl"/>
              </w:rPr>
            </w:pPr>
          </w:p>
        </w:tc>
        <w:tc>
          <w:tcPr>
            <w:tcW w:w="1872" w:type="dxa"/>
          </w:tcPr>
          <w:p w:rsidR="001B7A8F" w:rsidRPr="00F573EF" w:rsidRDefault="001B7A8F" w:rsidP="00D536BB">
            <w:pPr>
              <w:pStyle w:val="Tabletext"/>
              <w:jc w:val="center"/>
            </w:pPr>
            <w:r w:rsidRPr="00F573EF">
              <w:t>4,1</w:t>
            </w:r>
          </w:p>
        </w:tc>
      </w:tr>
      <w:tr w:rsidR="001B7A8F" w:rsidRPr="00F573EF" w:rsidTr="00CB7BE9">
        <w:trPr>
          <w:jc w:val="center"/>
        </w:trPr>
        <w:tc>
          <w:tcPr>
            <w:tcW w:w="4032" w:type="dxa"/>
          </w:tcPr>
          <w:p w:rsidR="001B7A8F" w:rsidRPr="001B7A8F" w:rsidRDefault="001B7A8F" w:rsidP="00CB7BE9">
            <w:pPr>
              <w:pStyle w:val="Tabletext"/>
              <w:jc w:val="left"/>
              <w:rPr>
                <w:lang w:val="es-ES_tradnl"/>
              </w:rPr>
            </w:pPr>
            <w:r w:rsidRPr="001B7A8F">
              <w:rPr>
                <w:lang w:val="es-ES_tradnl"/>
              </w:rPr>
              <w:t>Máxima ganancia de antena (dBi)</w:t>
            </w:r>
          </w:p>
        </w:tc>
        <w:tc>
          <w:tcPr>
            <w:tcW w:w="1440" w:type="dxa"/>
          </w:tcPr>
          <w:p w:rsidR="001B7A8F" w:rsidRPr="00F573EF" w:rsidRDefault="001B7A8F" w:rsidP="00D536BB">
            <w:pPr>
              <w:pStyle w:val="Tabletext"/>
              <w:jc w:val="center"/>
              <w:rPr>
                <w:i/>
              </w:rPr>
            </w:pPr>
            <w:r w:rsidRPr="00F573EF">
              <w:rPr>
                <w:i/>
              </w:rPr>
              <w:t>G</w:t>
            </w:r>
            <w:r w:rsidRPr="00F573EF">
              <w:rPr>
                <w:i/>
                <w:vertAlign w:val="subscript"/>
              </w:rPr>
              <w:t>tmax</w:t>
            </w:r>
          </w:p>
        </w:tc>
        <w:tc>
          <w:tcPr>
            <w:tcW w:w="1872" w:type="dxa"/>
          </w:tcPr>
          <w:p w:rsidR="001B7A8F" w:rsidRPr="00F573EF" w:rsidRDefault="001B7A8F" w:rsidP="00D536BB">
            <w:pPr>
              <w:pStyle w:val="Tabletext"/>
              <w:jc w:val="center"/>
            </w:pPr>
            <w:r w:rsidRPr="00F573EF">
              <w:t>30</w:t>
            </w:r>
          </w:p>
        </w:tc>
      </w:tr>
      <w:tr w:rsidR="001B7A8F" w:rsidRPr="00F573EF" w:rsidTr="00CB7BE9">
        <w:trPr>
          <w:jc w:val="center"/>
        </w:trPr>
        <w:tc>
          <w:tcPr>
            <w:tcW w:w="4032" w:type="dxa"/>
          </w:tcPr>
          <w:p w:rsidR="001B7A8F" w:rsidRPr="001B7A8F" w:rsidDel="00F551FA" w:rsidRDefault="001B7A8F" w:rsidP="00CB7BE9">
            <w:pPr>
              <w:pStyle w:val="Tabletext"/>
              <w:jc w:val="left"/>
              <w:rPr>
                <w:lang w:val="es-ES_tradnl"/>
              </w:rPr>
            </w:pPr>
            <w:r w:rsidRPr="001B7A8F">
              <w:rPr>
                <w:lang w:val="es-ES_tradnl"/>
              </w:rPr>
              <w:t>Anchura de haz a 3 dB del haz principal (grados)</w:t>
            </w:r>
          </w:p>
        </w:tc>
        <w:tc>
          <w:tcPr>
            <w:tcW w:w="1440" w:type="dxa"/>
          </w:tcPr>
          <w:p w:rsidR="001B7A8F" w:rsidRPr="001B7A8F" w:rsidDel="00F551FA" w:rsidRDefault="001B7A8F" w:rsidP="00D536BB">
            <w:pPr>
              <w:pStyle w:val="Tabletext"/>
              <w:jc w:val="center"/>
              <w:rPr>
                <w:i/>
                <w:lang w:val="es-ES_tradnl"/>
              </w:rPr>
            </w:pPr>
          </w:p>
        </w:tc>
        <w:tc>
          <w:tcPr>
            <w:tcW w:w="1872" w:type="dxa"/>
          </w:tcPr>
          <w:p w:rsidR="001B7A8F" w:rsidRPr="00F573EF" w:rsidDel="00F551FA" w:rsidRDefault="001B7A8F" w:rsidP="00D536BB">
            <w:pPr>
              <w:pStyle w:val="Tabletext"/>
              <w:jc w:val="center"/>
            </w:pPr>
            <w:r w:rsidRPr="00F573EF">
              <w:t>5,2</w:t>
            </w:r>
          </w:p>
        </w:tc>
      </w:tr>
      <w:tr w:rsidR="001B7A8F" w:rsidRPr="00F573EF" w:rsidTr="00CB7BE9">
        <w:trPr>
          <w:jc w:val="center"/>
        </w:trPr>
        <w:tc>
          <w:tcPr>
            <w:tcW w:w="4032" w:type="dxa"/>
          </w:tcPr>
          <w:p w:rsidR="001B7A8F" w:rsidRPr="001B7A8F" w:rsidRDefault="001B7A8F" w:rsidP="00CB7BE9">
            <w:pPr>
              <w:pStyle w:val="Tabletext"/>
              <w:jc w:val="left"/>
              <w:rPr>
                <w:lang w:val="es-ES_tradnl"/>
              </w:rPr>
            </w:pPr>
            <w:r w:rsidRPr="001B7A8F">
              <w:rPr>
                <w:lang w:val="es-ES_tradnl"/>
              </w:rPr>
              <w:t xml:space="preserve">Ganancia del diagrama de antena de referencia a </w:t>
            </w:r>
            <w:r w:rsidRPr="00540956">
              <w:sym w:font="Symbol" w:char="F062"/>
            </w:r>
            <w:r w:rsidRPr="001B7A8F">
              <w:rPr>
                <w:i/>
                <w:vertAlign w:val="subscript"/>
                <w:lang w:val="es-ES_tradnl"/>
              </w:rPr>
              <w:t xml:space="preserve">h </w:t>
            </w:r>
            <w:r w:rsidRPr="001B7A8F">
              <w:rPr>
                <w:lang w:val="es-ES_tradnl"/>
              </w:rPr>
              <w:t>grados con respecto al máximo (dBi)</w:t>
            </w:r>
          </w:p>
        </w:tc>
        <w:tc>
          <w:tcPr>
            <w:tcW w:w="1440" w:type="dxa"/>
          </w:tcPr>
          <w:p w:rsidR="001B7A8F" w:rsidRPr="00F573EF" w:rsidRDefault="001B7A8F" w:rsidP="00D536BB">
            <w:pPr>
              <w:pStyle w:val="Tabletext"/>
              <w:jc w:val="center"/>
              <w:rPr>
                <w:i/>
              </w:rPr>
            </w:pPr>
            <w:r w:rsidRPr="00F573EF">
              <w:rPr>
                <w:i/>
              </w:rPr>
              <w:t>G</w:t>
            </w:r>
            <w:r w:rsidRPr="00F573EF">
              <w:rPr>
                <w:i/>
                <w:vertAlign w:val="subscript"/>
              </w:rPr>
              <w:t>h</w:t>
            </w:r>
            <w:r w:rsidRPr="00F573EF">
              <w:t>(</w:t>
            </w:r>
            <w:r w:rsidRPr="00F573EF">
              <w:sym w:font="Symbol" w:char="F062"/>
            </w:r>
            <w:r w:rsidRPr="00F573EF">
              <w:rPr>
                <w:i/>
                <w:vertAlign w:val="subscript"/>
              </w:rPr>
              <w:t>h</w:t>
            </w:r>
            <w:r w:rsidRPr="00F573EF">
              <w:t>)</w:t>
            </w:r>
          </w:p>
        </w:tc>
        <w:tc>
          <w:tcPr>
            <w:tcW w:w="1872" w:type="dxa"/>
          </w:tcPr>
          <w:p w:rsidR="001B7A8F" w:rsidRPr="00F573EF" w:rsidRDefault="001B7A8F" w:rsidP="00D536BB">
            <w:pPr>
              <w:pStyle w:val="Tabletext"/>
              <w:jc w:val="center"/>
            </w:pPr>
            <w:r w:rsidRPr="00F573EF">
              <w:rPr>
                <w:bCs/>
              </w:rPr>
              <w:t>Resolución 221 (Rev.CMR-07)</w:t>
            </w:r>
          </w:p>
        </w:tc>
      </w:tr>
      <w:tr w:rsidR="001B7A8F" w:rsidRPr="00F573EF" w:rsidTr="00CB7BE9">
        <w:trPr>
          <w:jc w:val="center"/>
        </w:trPr>
        <w:tc>
          <w:tcPr>
            <w:tcW w:w="4032" w:type="dxa"/>
          </w:tcPr>
          <w:p w:rsidR="001B7A8F" w:rsidRPr="001B7A8F" w:rsidRDefault="001B7A8F" w:rsidP="00CB7BE9">
            <w:pPr>
              <w:pStyle w:val="Tabletext"/>
              <w:jc w:val="left"/>
              <w:rPr>
                <w:lang w:val="es-ES_tradnl"/>
              </w:rPr>
            </w:pPr>
            <w:r w:rsidRPr="001B7A8F">
              <w:rPr>
                <w:lang w:val="es-ES_tradnl"/>
              </w:rPr>
              <w:t>Altura de la plataforma HAPS (km)</w:t>
            </w:r>
          </w:p>
        </w:tc>
        <w:tc>
          <w:tcPr>
            <w:tcW w:w="1440" w:type="dxa"/>
          </w:tcPr>
          <w:p w:rsidR="001B7A8F" w:rsidRPr="00F573EF" w:rsidRDefault="001B7A8F" w:rsidP="00D536BB">
            <w:pPr>
              <w:pStyle w:val="Tabletext"/>
              <w:jc w:val="center"/>
              <w:rPr>
                <w:i/>
              </w:rPr>
            </w:pPr>
            <w:r w:rsidRPr="00F573EF">
              <w:rPr>
                <w:i/>
              </w:rPr>
              <w:t>A</w:t>
            </w:r>
            <w:r w:rsidRPr="00F573EF">
              <w:rPr>
                <w:i/>
                <w:vertAlign w:val="subscript"/>
              </w:rPr>
              <w:t>h</w:t>
            </w:r>
          </w:p>
        </w:tc>
        <w:tc>
          <w:tcPr>
            <w:tcW w:w="1872" w:type="dxa"/>
          </w:tcPr>
          <w:p w:rsidR="001B7A8F" w:rsidRPr="00F573EF" w:rsidRDefault="001B7A8F" w:rsidP="00D536BB">
            <w:pPr>
              <w:pStyle w:val="Tabletext"/>
              <w:jc w:val="center"/>
            </w:pPr>
            <w:r w:rsidRPr="00F573EF">
              <w:t>21,0</w:t>
            </w:r>
          </w:p>
        </w:tc>
      </w:tr>
    </w:tbl>
    <w:p w:rsidR="00CB7BE9" w:rsidRDefault="00CB7BE9" w:rsidP="00CB7BE9">
      <w:pPr>
        <w:pStyle w:val="Tablefin"/>
      </w:pPr>
    </w:p>
    <w:p w:rsidR="001B7A8F" w:rsidRPr="00F573EF" w:rsidRDefault="001B7A8F" w:rsidP="001B7A8F">
      <w:pPr>
        <w:pStyle w:val="Normalaftertitle0"/>
      </w:pPr>
      <w:r w:rsidRPr="00C00316">
        <w:t>En estos análisis se examina la siguiente antena de HAPS:</w:t>
      </w:r>
    </w:p>
    <w:p w:rsidR="001B7A8F" w:rsidRPr="001B7A8F" w:rsidRDefault="001B7A8F" w:rsidP="001B7A8F">
      <w:pPr>
        <w:rPr>
          <w:bCs/>
          <w:lang w:val="es-ES_tradnl"/>
        </w:rPr>
      </w:pPr>
      <w:r w:rsidRPr="001B7A8F">
        <w:rPr>
          <w:bCs/>
          <w:lang w:val="es-ES_tradnl"/>
        </w:rPr>
        <w:t>Sistema de antenas con arreglo a la Resolución 221 (Rev.CMR-07): Diagrama de antenas que aparece en la Resolución 221 (Rev.CMR-07). El nivel del lóbulo lateral próximo es de 25 dB por debajo de la ganancia del haz principal de 30 dBi. La ganancia en ángulos mayores de 63° a partir del eje del haz principal es de −43 dBi, como muestra la Fig. 2. No se ha fabricado ningún modelo de trabajo de una antena conforme a este diagrama, ni se ha llevado a cabo ninguna demostración.</w:t>
      </w:r>
    </w:p>
    <w:p w:rsidR="001B7A8F" w:rsidRPr="001B7A8F" w:rsidRDefault="001B7A8F" w:rsidP="001B7A8F">
      <w:pPr>
        <w:pStyle w:val="FigureNo"/>
        <w:rPr>
          <w:lang w:val="es-ES_tradnl"/>
        </w:rPr>
      </w:pPr>
      <w:r w:rsidRPr="001B7A8F">
        <w:rPr>
          <w:lang w:val="es-ES_tradnl"/>
        </w:rPr>
        <w:lastRenderedPageBreak/>
        <w:t>FigurA 2</w:t>
      </w:r>
    </w:p>
    <w:p w:rsidR="001B7A8F" w:rsidRPr="001B7A8F" w:rsidRDefault="001B7A8F" w:rsidP="001B7A8F">
      <w:pPr>
        <w:pStyle w:val="Figuretitle"/>
        <w:rPr>
          <w:lang w:val="es-ES_tradnl"/>
        </w:rPr>
      </w:pPr>
      <w:r w:rsidRPr="001B7A8F">
        <w:rPr>
          <w:lang w:val="es-ES_tradnl"/>
        </w:rPr>
        <w:t>Diagrama de ganancia de una antena con arreglo a la</w:t>
      </w:r>
      <w:r w:rsidRPr="001B7A8F">
        <w:rPr>
          <w:lang w:val="es-ES_tradnl"/>
        </w:rPr>
        <w:br/>
        <w:t>Resolución 221 con una máxima ganancia de 30 dBi</w:t>
      </w:r>
    </w:p>
    <w:p w:rsidR="001B7A8F" w:rsidRPr="00CB6CEA" w:rsidRDefault="001B7A8F" w:rsidP="001B7A8F">
      <w:pPr>
        <w:pStyle w:val="Figure"/>
      </w:pPr>
      <w:r>
        <w:object w:dxaOrig="9762" w:dyaOrig="8556">
          <v:shape id="_x0000_i1026" type="#_x0000_t75" style="width:384.75pt;height:338.25pt" o:ole="" o:allowoverlap="f">
            <v:imagedata r:id="rId16" o:title=""/>
          </v:shape>
          <o:OLEObject Type="Embed" ProgID="CorelDRAW.Graphic.14" ShapeID="_x0000_i1026" DrawAspect="Content" ObjectID="_1390022526" r:id="rId17"/>
        </w:object>
      </w:r>
    </w:p>
    <w:p w:rsidR="001B7A8F" w:rsidRPr="001B7A8F" w:rsidRDefault="001B7A8F" w:rsidP="001B7A8F">
      <w:pPr>
        <w:rPr>
          <w:lang w:val="es-ES_tradnl"/>
        </w:rPr>
      </w:pPr>
      <w:r w:rsidRPr="001B7A8F">
        <w:rPr>
          <w:lang w:val="es-ES_tradnl"/>
        </w:rPr>
        <w:t>Las características supuestas para el receptor del SF se resumen en el Cuadro 2. Estos valores están en consonancia con los de la Recomendación UIT-R F.758.</w:t>
      </w:r>
    </w:p>
    <w:p w:rsidR="001B7A8F" w:rsidRPr="00CB6CEA" w:rsidRDefault="001B7A8F" w:rsidP="001B7A8F">
      <w:pPr>
        <w:pStyle w:val="TableNo"/>
      </w:pPr>
      <w:r w:rsidRPr="00CB6CEA">
        <w:t>CUADRO 2</w:t>
      </w:r>
    </w:p>
    <w:p w:rsidR="001B7A8F" w:rsidRPr="00CB6CEA" w:rsidRDefault="001B7A8F" w:rsidP="001B7A8F">
      <w:pPr>
        <w:pStyle w:val="Tabletitle"/>
      </w:pPr>
      <w:r w:rsidRPr="00CB6CEA">
        <w:t>Parámetros del SF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2068"/>
        <w:gridCol w:w="2482"/>
      </w:tblGrid>
      <w:tr w:rsidR="001B7A8F" w:rsidRPr="00CB6CEA" w:rsidTr="00CB7BE9">
        <w:trPr>
          <w:tblHeader/>
          <w:jc w:val="center"/>
        </w:trPr>
        <w:tc>
          <w:tcPr>
            <w:tcW w:w="5089" w:type="dxa"/>
          </w:tcPr>
          <w:p w:rsidR="001B7A8F" w:rsidRPr="00CB6CEA" w:rsidRDefault="001B7A8F" w:rsidP="00D536BB">
            <w:pPr>
              <w:pStyle w:val="Tablehead"/>
            </w:pPr>
            <w:r w:rsidRPr="00CB6CEA">
              <w:t>Parámetro</w:t>
            </w:r>
          </w:p>
        </w:tc>
        <w:tc>
          <w:tcPr>
            <w:tcW w:w="2068" w:type="dxa"/>
          </w:tcPr>
          <w:p w:rsidR="001B7A8F" w:rsidRPr="00CB6CEA" w:rsidRDefault="001B7A8F" w:rsidP="00D536BB">
            <w:pPr>
              <w:pStyle w:val="Tablehead"/>
            </w:pPr>
            <w:r w:rsidRPr="00CB6CEA">
              <w:t>Símbolo</w:t>
            </w:r>
          </w:p>
        </w:tc>
        <w:tc>
          <w:tcPr>
            <w:tcW w:w="2482" w:type="dxa"/>
          </w:tcPr>
          <w:p w:rsidR="001B7A8F" w:rsidRPr="00CB6CEA" w:rsidRDefault="001B7A8F" w:rsidP="00D536BB">
            <w:pPr>
              <w:pStyle w:val="Tablehead"/>
            </w:pPr>
            <w:r w:rsidRPr="00CB6CEA">
              <w:t>Valor</w:t>
            </w:r>
          </w:p>
        </w:tc>
      </w:tr>
      <w:tr w:rsidR="001B7A8F" w:rsidRPr="00CB6CEA" w:rsidTr="00CB7BE9">
        <w:trPr>
          <w:jc w:val="center"/>
        </w:trPr>
        <w:tc>
          <w:tcPr>
            <w:tcW w:w="5089" w:type="dxa"/>
          </w:tcPr>
          <w:p w:rsidR="001B7A8F" w:rsidRPr="00CB6CEA" w:rsidRDefault="001B7A8F" w:rsidP="00D536BB">
            <w:pPr>
              <w:pStyle w:val="Tabletext"/>
            </w:pPr>
            <w:r w:rsidRPr="00CB6CEA">
              <w:t>Frecuencia (GHz)</w:t>
            </w:r>
          </w:p>
        </w:tc>
        <w:tc>
          <w:tcPr>
            <w:tcW w:w="2068" w:type="dxa"/>
          </w:tcPr>
          <w:p w:rsidR="001B7A8F" w:rsidRPr="00CB6CEA" w:rsidRDefault="001B7A8F" w:rsidP="00D536BB">
            <w:pPr>
              <w:pStyle w:val="Tabletext"/>
              <w:jc w:val="center"/>
              <w:rPr>
                <w:i/>
                <w:szCs w:val="24"/>
                <w:vertAlign w:val="subscript"/>
              </w:rPr>
            </w:pPr>
            <w:r w:rsidRPr="00CB6CEA">
              <w:rPr>
                <w:i/>
              </w:rPr>
              <w:t>f</w:t>
            </w:r>
            <w:r w:rsidRPr="00CB6CEA">
              <w:rPr>
                <w:i/>
                <w:szCs w:val="24"/>
                <w:vertAlign w:val="subscript"/>
              </w:rPr>
              <w:t>GHz</w:t>
            </w:r>
          </w:p>
        </w:tc>
        <w:tc>
          <w:tcPr>
            <w:tcW w:w="2482" w:type="dxa"/>
          </w:tcPr>
          <w:p w:rsidR="001B7A8F" w:rsidRPr="00CB6CEA" w:rsidRDefault="001B7A8F" w:rsidP="00D536BB">
            <w:pPr>
              <w:pStyle w:val="Tabletext"/>
              <w:jc w:val="center"/>
            </w:pPr>
            <w:r w:rsidRPr="00CB6CEA">
              <w:t>6,5</w:t>
            </w:r>
          </w:p>
        </w:tc>
      </w:tr>
      <w:tr w:rsidR="001B7A8F" w:rsidRPr="00CB6CEA" w:rsidTr="00CB7BE9">
        <w:trPr>
          <w:jc w:val="center"/>
        </w:trPr>
        <w:tc>
          <w:tcPr>
            <w:tcW w:w="5089" w:type="dxa"/>
          </w:tcPr>
          <w:p w:rsidR="001B7A8F" w:rsidRPr="001B7A8F" w:rsidRDefault="001B7A8F" w:rsidP="00D536BB">
            <w:pPr>
              <w:pStyle w:val="Tabletext"/>
              <w:rPr>
                <w:lang w:val="es-ES_tradnl"/>
              </w:rPr>
            </w:pPr>
            <w:r w:rsidRPr="001B7A8F">
              <w:rPr>
                <w:lang w:val="es-ES_tradnl"/>
              </w:rPr>
              <w:t>Máxima ganancia de antena (dBi)</w:t>
            </w:r>
          </w:p>
        </w:tc>
        <w:tc>
          <w:tcPr>
            <w:tcW w:w="2068" w:type="dxa"/>
          </w:tcPr>
          <w:p w:rsidR="001B7A8F" w:rsidRPr="00CB6CEA" w:rsidRDefault="001B7A8F" w:rsidP="00D536BB">
            <w:pPr>
              <w:pStyle w:val="Tabletext"/>
              <w:jc w:val="center"/>
              <w:rPr>
                <w:i/>
              </w:rPr>
            </w:pPr>
            <w:r w:rsidRPr="00CB6CEA">
              <w:rPr>
                <w:i/>
              </w:rPr>
              <w:t>G</w:t>
            </w:r>
            <w:r w:rsidRPr="00CB6CEA">
              <w:rPr>
                <w:i/>
                <w:szCs w:val="24"/>
                <w:vertAlign w:val="subscript"/>
              </w:rPr>
              <w:t>rmax</w:t>
            </w:r>
          </w:p>
        </w:tc>
        <w:tc>
          <w:tcPr>
            <w:tcW w:w="2482" w:type="dxa"/>
          </w:tcPr>
          <w:p w:rsidR="001B7A8F" w:rsidRPr="00CB6CEA" w:rsidRDefault="001B7A8F" w:rsidP="00D536BB">
            <w:pPr>
              <w:pStyle w:val="Tabletext"/>
              <w:jc w:val="center"/>
            </w:pPr>
            <w:r w:rsidRPr="00CB6CEA">
              <w:t>45,0</w:t>
            </w:r>
          </w:p>
        </w:tc>
      </w:tr>
      <w:tr w:rsidR="001B7A8F" w:rsidRPr="00CB6CEA" w:rsidTr="00CB7BE9">
        <w:trPr>
          <w:jc w:val="center"/>
        </w:trPr>
        <w:tc>
          <w:tcPr>
            <w:tcW w:w="5089" w:type="dxa"/>
          </w:tcPr>
          <w:p w:rsidR="001B7A8F" w:rsidRPr="001B7A8F" w:rsidRDefault="001B7A8F" w:rsidP="00D536BB">
            <w:pPr>
              <w:pStyle w:val="Tabletext"/>
              <w:rPr>
                <w:lang w:val="es-ES_tradnl"/>
              </w:rPr>
            </w:pPr>
            <w:r w:rsidRPr="001B7A8F">
              <w:rPr>
                <w:lang w:val="es-ES_tradnl"/>
              </w:rPr>
              <w:t xml:space="preserve">Ganancia del diagrama de antena referencia a </w:t>
            </w:r>
            <w:r w:rsidRPr="00CB6CEA">
              <w:sym w:font="Symbol" w:char="F062"/>
            </w:r>
            <w:r w:rsidRPr="001B7A8F">
              <w:rPr>
                <w:i/>
                <w:vertAlign w:val="subscript"/>
                <w:lang w:val="es-ES_tradnl"/>
              </w:rPr>
              <w:t xml:space="preserve">r </w:t>
            </w:r>
            <w:r w:rsidRPr="001B7A8F">
              <w:rPr>
                <w:lang w:val="es-ES_tradnl"/>
              </w:rPr>
              <w:t>grados con respecto al máximo (dBi)</w:t>
            </w:r>
          </w:p>
        </w:tc>
        <w:tc>
          <w:tcPr>
            <w:tcW w:w="2068" w:type="dxa"/>
          </w:tcPr>
          <w:p w:rsidR="001B7A8F" w:rsidRPr="00CB6CEA" w:rsidRDefault="001B7A8F" w:rsidP="00D536BB">
            <w:pPr>
              <w:pStyle w:val="Tabletext"/>
              <w:jc w:val="center"/>
              <w:rPr>
                <w:i/>
              </w:rPr>
            </w:pPr>
            <w:r w:rsidRPr="00CB6CEA">
              <w:rPr>
                <w:i/>
              </w:rPr>
              <w:t>G</w:t>
            </w:r>
            <w:r w:rsidRPr="00CB6CEA">
              <w:rPr>
                <w:i/>
                <w:vertAlign w:val="subscript"/>
              </w:rPr>
              <w:t>r</w:t>
            </w:r>
            <w:r w:rsidRPr="00CB6CEA">
              <w:t>(</w:t>
            </w:r>
            <w:r w:rsidRPr="00CB6CEA">
              <w:sym w:font="Symbol" w:char="F062"/>
            </w:r>
            <w:r w:rsidRPr="00CB6CEA">
              <w:rPr>
                <w:i/>
                <w:vertAlign w:val="subscript"/>
              </w:rPr>
              <w:t>r</w:t>
            </w:r>
            <w:r w:rsidRPr="00CB6CEA">
              <w:t>)</w:t>
            </w:r>
          </w:p>
        </w:tc>
        <w:tc>
          <w:tcPr>
            <w:tcW w:w="2482" w:type="dxa"/>
          </w:tcPr>
          <w:p w:rsidR="001B7A8F" w:rsidRPr="00CB6CEA" w:rsidRDefault="001B7A8F" w:rsidP="00D536BB">
            <w:pPr>
              <w:pStyle w:val="Tabletext"/>
              <w:jc w:val="center"/>
            </w:pPr>
            <w:r w:rsidRPr="00CB6CEA">
              <w:t xml:space="preserve">Recomendación </w:t>
            </w:r>
            <w:r w:rsidRPr="00CB6CEA">
              <w:br/>
              <w:t>UIT-R F.699</w:t>
            </w:r>
          </w:p>
        </w:tc>
      </w:tr>
      <w:tr w:rsidR="001B7A8F" w:rsidRPr="00CB6CEA" w:rsidTr="00CB7BE9">
        <w:trPr>
          <w:jc w:val="center"/>
        </w:trPr>
        <w:tc>
          <w:tcPr>
            <w:tcW w:w="5089" w:type="dxa"/>
          </w:tcPr>
          <w:p w:rsidR="001B7A8F" w:rsidRPr="001B7A8F" w:rsidRDefault="001B7A8F" w:rsidP="00D536BB">
            <w:pPr>
              <w:pStyle w:val="Tabletext"/>
              <w:rPr>
                <w:lang w:val="es-ES_tradnl"/>
              </w:rPr>
            </w:pPr>
            <w:r w:rsidRPr="001B7A8F">
              <w:rPr>
                <w:lang w:val="es-ES_tradnl"/>
              </w:rPr>
              <w:t>Altura de la antena (km)</w:t>
            </w:r>
          </w:p>
        </w:tc>
        <w:tc>
          <w:tcPr>
            <w:tcW w:w="2068" w:type="dxa"/>
          </w:tcPr>
          <w:p w:rsidR="001B7A8F" w:rsidRPr="00CB6CEA" w:rsidRDefault="001B7A8F" w:rsidP="00D536BB">
            <w:pPr>
              <w:pStyle w:val="Tabletext"/>
              <w:jc w:val="center"/>
            </w:pPr>
            <w:r w:rsidRPr="00CB6CEA">
              <w:rPr>
                <w:i/>
              </w:rPr>
              <w:t>A</w:t>
            </w:r>
            <w:r w:rsidRPr="00CB6CEA">
              <w:rPr>
                <w:i/>
                <w:szCs w:val="24"/>
                <w:vertAlign w:val="subscript"/>
              </w:rPr>
              <w:t>f</w:t>
            </w:r>
          </w:p>
        </w:tc>
        <w:tc>
          <w:tcPr>
            <w:tcW w:w="2482" w:type="dxa"/>
          </w:tcPr>
          <w:p w:rsidR="001B7A8F" w:rsidRPr="00CB6CEA" w:rsidRDefault="001B7A8F" w:rsidP="00D536BB">
            <w:pPr>
              <w:pStyle w:val="Tabletext"/>
              <w:jc w:val="center"/>
            </w:pPr>
            <w:r w:rsidRPr="00CB6CEA">
              <w:t>0,060</w:t>
            </w:r>
          </w:p>
        </w:tc>
      </w:tr>
      <w:tr w:rsidR="001B7A8F" w:rsidRPr="00CB6CEA" w:rsidTr="00CB7BE9">
        <w:trPr>
          <w:jc w:val="center"/>
        </w:trPr>
        <w:tc>
          <w:tcPr>
            <w:tcW w:w="5089" w:type="dxa"/>
          </w:tcPr>
          <w:p w:rsidR="001B7A8F" w:rsidRPr="001B7A8F" w:rsidRDefault="001B7A8F" w:rsidP="00D536BB">
            <w:pPr>
              <w:pStyle w:val="Tabletext"/>
              <w:rPr>
                <w:lang w:val="es-ES_tradnl"/>
              </w:rPr>
            </w:pPr>
            <w:r w:rsidRPr="001B7A8F">
              <w:rPr>
                <w:lang w:val="es-ES_tradnl"/>
              </w:rPr>
              <w:t>Ángulo de elevación de la antena (grados)</w:t>
            </w:r>
          </w:p>
        </w:tc>
        <w:tc>
          <w:tcPr>
            <w:tcW w:w="2068" w:type="dxa"/>
          </w:tcPr>
          <w:p w:rsidR="001B7A8F" w:rsidRPr="00CB6CEA" w:rsidRDefault="001B7A8F" w:rsidP="00D536BB">
            <w:pPr>
              <w:pStyle w:val="Tabletext"/>
              <w:jc w:val="center"/>
            </w:pPr>
            <w:r w:rsidRPr="00CB6CEA">
              <w:sym w:font="Symbol" w:char="F061"/>
            </w:r>
          </w:p>
        </w:tc>
        <w:tc>
          <w:tcPr>
            <w:tcW w:w="2482" w:type="dxa"/>
          </w:tcPr>
          <w:p w:rsidR="001B7A8F" w:rsidRPr="00CB6CEA" w:rsidRDefault="001B7A8F" w:rsidP="00D536BB">
            <w:pPr>
              <w:pStyle w:val="Tabletext"/>
              <w:jc w:val="center"/>
            </w:pPr>
            <w:r w:rsidRPr="00CB6CEA">
              <w:t>0,0</w:t>
            </w:r>
          </w:p>
        </w:tc>
      </w:tr>
      <w:tr w:rsidR="001B7A8F" w:rsidRPr="00CB6CEA" w:rsidTr="00CB7BE9">
        <w:trPr>
          <w:jc w:val="center"/>
        </w:trPr>
        <w:tc>
          <w:tcPr>
            <w:tcW w:w="5089" w:type="dxa"/>
          </w:tcPr>
          <w:p w:rsidR="001B7A8F" w:rsidRPr="00CB6CEA" w:rsidRDefault="001B7A8F" w:rsidP="00D536BB">
            <w:pPr>
              <w:pStyle w:val="Tabletext"/>
            </w:pPr>
            <w:r w:rsidRPr="00CB6CEA">
              <w:t>Pérdida del alimentador (dB)</w:t>
            </w:r>
          </w:p>
        </w:tc>
        <w:tc>
          <w:tcPr>
            <w:tcW w:w="2068" w:type="dxa"/>
          </w:tcPr>
          <w:p w:rsidR="001B7A8F" w:rsidRPr="00CB6CEA" w:rsidRDefault="001B7A8F" w:rsidP="00D536BB">
            <w:pPr>
              <w:pStyle w:val="Tabletext"/>
              <w:jc w:val="center"/>
              <w:rPr>
                <w:i/>
                <w:szCs w:val="24"/>
                <w:vertAlign w:val="subscript"/>
              </w:rPr>
            </w:pPr>
            <w:r w:rsidRPr="00CB6CEA">
              <w:rPr>
                <w:i/>
              </w:rPr>
              <w:t>L</w:t>
            </w:r>
            <w:r w:rsidRPr="00CB6CEA">
              <w:rPr>
                <w:i/>
                <w:szCs w:val="24"/>
                <w:vertAlign w:val="subscript"/>
              </w:rPr>
              <w:t>f</w:t>
            </w:r>
          </w:p>
        </w:tc>
        <w:tc>
          <w:tcPr>
            <w:tcW w:w="2482" w:type="dxa"/>
          </w:tcPr>
          <w:p w:rsidR="001B7A8F" w:rsidRPr="00CB6CEA" w:rsidRDefault="001B7A8F" w:rsidP="00D536BB">
            <w:pPr>
              <w:pStyle w:val="Tabletext"/>
              <w:jc w:val="center"/>
            </w:pPr>
            <w:r w:rsidRPr="00CB6CEA">
              <w:t>3,0</w:t>
            </w:r>
          </w:p>
        </w:tc>
      </w:tr>
      <w:tr w:rsidR="001B7A8F" w:rsidRPr="00CB6CEA" w:rsidTr="00CB7BE9">
        <w:trPr>
          <w:jc w:val="center"/>
        </w:trPr>
        <w:tc>
          <w:tcPr>
            <w:tcW w:w="5089" w:type="dxa"/>
          </w:tcPr>
          <w:p w:rsidR="001B7A8F" w:rsidRPr="00CB7BE9" w:rsidRDefault="001B7A8F" w:rsidP="00D536BB">
            <w:pPr>
              <w:pStyle w:val="Tabletext"/>
              <w:rPr>
                <w:lang w:val="es-ES_tradnl"/>
              </w:rPr>
            </w:pPr>
            <w:r w:rsidRPr="00CB7BE9">
              <w:rPr>
                <w:lang w:val="es-ES_tradnl"/>
              </w:rPr>
              <w:t>Temperatura de ruido del receptor (grados Kelvin)</w:t>
            </w:r>
          </w:p>
        </w:tc>
        <w:tc>
          <w:tcPr>
            <w:tcW w:w="2068" w:type="dxa"/>
          </w:tcPr>
          <w:p w:rsidR="001B7A8F" w:rsidRPr="00CB6CEA" w:rsidRDefault="001B7A8F" w:rsidP="00D536BB">
            <w:pPr>
              <w:pStyle w:val="Tabletext"/>
              <w:jc w:val="center"/>
              <w:rPr>
                <w:i/>
              </w:rPr>
            </w:pPr>
            <w:r w:rsidRPr="00CB6CEA">
              <w:rPr>
                <w:i/>
              </w:rPr>
              <w:t>T</w:t>
            </w:r>
            <w:r w:rsidRPr="00CB6CEA">
              <w:rPr>
                <w:i/>
                <w:szCs w:val="24"/>
                <w:vertAlign w:val="subscript"/>
              </w:rPr>
              <w:t>eff</w:t>
            </w:r>
          </w:p>
        </w:tc>
        <w:tc>
          <w:tcPr>
            <w:tcW w:w="2482" w:type="dxa"/>
          </w:tcPr>
          <w:p w:rsidR="001B7A8F" w:rsidRPr="00CB6CEA" w:rsidRDefault="001B7A8F" w:rsidP="00D536BB">
            <w:pPr>
              <w:pStyle w:val="Tabletext"/>
              <w:jc w:val="center"/>
            </w:pPr>
            <w:r w:rsidRPr="00CB6CEA">
              <w:t>725</w:t>
            </w:r>
          </w:p>
        </w:tc>
      </w:tr>
      <w:tr w:rsidR="001B7A8F" w:rsidRPr="00CB6CEA" w:rsidTr="00CB7BE9">
        <w:trPr>
          <w:jc w:val="center"/>
        </w:trPr>
        <w:tc>
          <w:tcPr>
            <w:tcW w:w="5089" w:type="dxa"/>
          </w:tcPr>
          <w:p w:rsidR="001B7A8F" w:rsidRPr="00CB7BE9" w:rsidRDefault="001B7A8F" w:rsidP="00D536BB">
            <w:pPr>
              <w:pStyle w:val="Tabletext"/>
              <w:rPr>
                <w:lang w:val="es-ES_tradnl"/>
              </w:rPr>
            </w:pPr>
            <w:r w:rsidRPr="00CB7BE9">
              <w:rPr>
                <w:lang w:val="es-ES_tradnl"/>
              </w:rPr>
              <w:t>Anchura de banda de referencia (MHz)</w:t>
            </w:r>
          </w:p>
        </w:tc>
        <w:tc>
          <w:tcPr>
            <w:tcW w:w="2068" w:type="dxa"/>
          </w:tcPr>
          <w:p w:rsidR="001B7A8F" w:rsidRPr="00CB6CEA" w:rsidRDefault="001B7A8F" w:rsidP="00D536BB">
            <w:pPr>
              <w:pStyle w:val="Tabletext"/>
              <w:jc w:val="center"/>
              <w:rPr>
                <w:i/>
              </w:rPr>
            </w:pPr>
            <w:r w:rsidRPr="00CB6CEA">
              <w:rPr>
                <w:i/>
              </w:rPr>
              <w:t>B</w:t>
            </w:r>
          </w:p>
        </w:tc>
        <w:tc>
          <w:tcPr>
            <w:tcW w:w="2482" w:type="dxa"/>
          </w:tcPr>
          <w:p w:rsidR="001B7A8F" w:rsidRPr="00CB6CEA" w:rsidRDefault="001B7A8F" w:rsidP="00D536BB">
            <w:pPr>
              <w:pStyle w:val="Tabletext"/>
              <w:jc w:val="center"/>
            </w:pPr>
            <w:r w:rsidRPr="00CB6CEA">
              <w:t>1,0</w:t>
            </w:r>
          </w:p>
        </w:tc>
      </w:tr>
      <w:tr w:rsidR="001B7A8F" w:rsidRPr="00CB6CEA" w:rsidTr="00CB7BE9">
        <w:trPr>
          <w:jc w:val="center"/>
        </w:trPr>
        <w:tc>
          <w:tcPr>
            <w:tcW w:w="5089" w:type="dxa"/>
          </w:tcPr>
          <w:p w:rsidR="001B7A8F" w:rsidRPr="00CB7BE9" w:rsidRDefault="001B7A8F" w:rsidP="00D536BB">
            <w:pPr>
              <w:pStyle w:val="Tabletext"/>
              <w:rPr>
                <w:lang w:val="es-ES_tradnl"/>
              </w:rPr>
            </w:pPr>
            <w:r w:rsidRPr="00CB7BE9">
              <w:rPr>
                <w:lang w:val="es-ES_tradnl"/>
              </w:rPr>
              <w:t>Nivel mínimo de ruido del receptor (dBW/MHz)</w:t>
            </w:r>
          </w:p>
        </w:tc>
        <w:tc>
          <w:tcPr>
            <w:tcW w:w="2068" w:type="dxa"/>
          </w:tcPr>
          <w:p w:rsidR="001B7A8F" w:rsidRPr="00CB6CEA" w:rsidRDefault="001B7A8F" w:rsidP="00D536BB">
            <w:pPr>
              <w:pStyle w:val="Tabletext"/>
              <w:jc w:val="center"/>
              <w:rPr>
                <w:i/>
              </w:rPr>
            </w:pPr>
            <w:r w:rsidRPr="00CB6CEA">
              <w:rPr>
                <w:i/>
              </w:rPr>
              <w:t>N</w:t>
            </w:r>
            <w:r w:rsidRPr="00CB6CEA">
              <w:rPr>
                <w:i/>
                <w:szCs w:val="24"/>
                <w:vertAlign w:val="subscript"/>
              </w:rPr>
              <w:t>T</w:t>
            </w:r>
          </w:p>
        </w:tc>
        <w:tc>
          <w:tcPr>
            <w:tcW w:w="2482" w:type="dxa"/>
          </w:tcPr>
          <w:p w:rsidR="001B7A8F" w:rsidRPr="00CB6CEA" w:rsidRDefault="001B7A8F" w:rsidP="00D536BB">
            <w:pPr>
              <w:pStyle w:val="Tabletext"/>
              <w:jc w:val="center"/>
            </w:pPr>
            <w:r w:rsidRPr="00CB6CEA">
              <w:t>−140,0</w:t>
            </w:r>
          </w:p>
        </w:tc>
      </w:tr>
    </w:tbl>
    <w:p w:rsidR="00CB7BE9" w:rsidRDefault="00CB7BE9" w:rsidP="00CB7BE9">
      <w:pPr>
        <w:pStyle w:val="Tablefin"/>
      </w:pPr>
    </w:p>
    <w:p w:rsidR="001B7A8F" w:rsidRPr="00CB7BE9" w:rsidRDefault="001B7A8F" w:rsidP="00CB7BE9">
      <w:pPr>
        <w:keepNext/>
        <w:keepLines/>
        <w:rPr>
          <w:lang w:val="es-ES_tradnl"/>
        </w:rPr>
      </w:pPr>
      <w:r w:rsidRPr="00CB7BE9">
        <w:rPr>
          <w:lang w:val="es-ES_tradnl"/>
        </w:rPr>
        <w:lastRenderedPageBreak/>
        <w:t>La potencia de señal interferente en un receptor del servicio fijo se determina mediante la siguiente ecuación:</w:t>
      </w:r>
    </w:p>
    <w:p w:rsidR="001B7A8F" w:rsidRPr="00CB7BE9" w:rsidRDefault="001B7A8F" w:rsidP="00CB7BE9">
      <w:pPr>
        <w:pStyle w:val="Equation"/>
        <w:keepNext/>
        <w:keepLines/>
        <w:rPr>
          <w:lang w:val="es-ES_tradnl"/>
        </w:rPr>
      </w:pPr>
      <w:r w:rsidRPr="00CB7BE9">
        <w:rPr>
          <w:lang w:val="es-ES_tradnl"/>
        </w:rPr>
        <w:tab/>
      </w:r>
      <w:r w:rsidRPr="00CB7BE9">
        <w:rPr>
          <w:lang w:val="es-ES_tradnl"/>
        </w:rPr>
        <w:tab/>
      </w:r>
      <w:r w:rsidRPr="008E1E77">
        <w:rPr>
          <w:lang w:val="en-GB"/>
        </w:rPr>
        <w:object w:dxaOrig="3330" w:dyaOrig="390">
          <v:shape id="_x0000_i1027" type="#_x0000_t75" style="width:166.5pt;height:19.5pt" o:ole="">
            <v:imagedata r:id="rId18" o:title=""/>
          </v:shape>
          <o:OLEObject Type="Embed" ProgID="Equation.3" ShapeID="_x0000_i1027" DrawAspect="Content" ObjectID="_1390022527" r:id="rId19"/>
        </w:object>
      </w:r>
      <w:r w:rsidRPr="00CB7BE9">
        <w:rPr>
          <w:lang w:val="es-ES_tradnl"/>
        </w:rPr>
        <w:tab/>
        <w:t>(1)</w:t>
      </w:r>
    </w:p>
    <w:p w:rsidR="001B7A8F" w:rsidRPr="00CB7BE9" w:rsidRDefault="001B7A8F" w:rsidP="001B7A8F">
      <w:pPr>
        <w:tabs>
          <w:tab w:val="center" w:pos="4820"/>
          <w:tab w:val="right" w:pos="9639"/>
        </w:tabs>
        <w:textAlignment w:val="auto"/>
        <w:rPr>
          <w:szCs w:val="24"/>
          <w:lang w:val="es-ES_tradnl"/>
        </w:rPr>
      </w:pPr>
      <w:r w:rsidRPr="00CB7BE9">
        <w:rPr>
          <w:lang w:val="es-ES_tradnl"/>
        </w:rPr>
        <w:t xml:space="preserve">donde todos los términos se han definido en los Cuadros 1 y 2 a excepción de </w:t>
      </w:r>
      <w:r w:rsidRPr="00CB7BE9">
        <w:rPr>
          <w:i/>
          <w:lang w:val="es-ES_tradnl"/>
        </w:rPr>
        <w:t>L</w:t>
      </w:r>
      <w:r w:rsidRPr="00CB7BE9">
        <w:rPr>
          <w:i/>
          <w:vertAlign w:val="subscript"/>
          <w:lang w:val="es-ES_tradnl"/>
        </w:rPr>
        <w:t>b</w:t>
      </w:r>
      <w:r w:rsidRPr="00CB7BE9">
        <w:rPr>
          <w:lang w:val="es-ES_tradnl"/>
        </w:rPr>
        <w:t>, la pérdida de propagación, que se determina de la manera siguiente</w:t>
      </w:r>
      <w:r w:rsidRPr="00CB7BE9">
        <w:rPr>
          <w:szCs w:val="24"/>
          <w:lang w:val="es-ES_tradnl"/>
        </w:rPr>
        <w:t>:</w:t>
      </w:r>
    </w:p>
    <w:p w:rsidR="001B7A8F" w:rsidRPr="00CB7BE9" w:rsidRDefault="001B7A8F" w:rsidP="001B7A8F">
      <w:pPr>
        <w:pStyle w:val="Equation"/>
        <w:rPr>
          <w:lang w:val="es-ES_tradnl"/>
        </w:rPr>
      </w:pPr>
      <w:r w:rsidRPr="00CB7BE9">
        <w:rPr>
          <w:lang w:val="es-ES_tradnl"/>
        </w:rPr>
        <w:tab/>
      </w:r>
      <w:r w:rsidRPr="00CB7BE9">
        <w:rPr>
          <w:lang w:val="es-ES_tradnl"/>
        </w:rPr>
        <w:tab/>
      </w:r>
      <w:r w:rsidRPr="00ED7C6B">
        <w:rPr>
          <w:position w:val="-12"/>
        </w:rPr>
        <w:object w:dxaOrig="3600" w:dyaOrig="360">
          <v:shape id="_x0000_i1028" type="#_x0000_t75" style="width:177pt;height:18.75pt" o:ole="">
            <v:imagedata r:id="rId20" o:title=""/>
          </v:shape>
          <o:OLEObject Type="Embed" ProgID="Equation.3" ShapeID="_x0000_i1028" DrawAspect="Content" ObjectID="_1390022528" r:id="rId21"/>
        </w:object>
      </w:r>
      <w:r w:rsidRPr="00CB7BE9">
        <w:rPr>
          <w:lang w:val="es-ES_tradnl"/>
        </w:rPr>
        <w:tab/>
        <w:t>(2)</w:t>
      </w:r>
    </w:p>
    <w:p w:rsidR="001B7A8F" w:rsidRPr="00CB7BE9" w:rsidRDefault="001B7A8F" w:rsidP="001B7A8F">
      <w:pPr>
        <w:rPr>
          <w:lang w:val="es-ES_tradnl"/>
        </w:rPr>
      </w:pPr>
      <w:r w:rsidRPr="00CB7BE9">
        <w:rPr>
          <w:lang w:val="es-ES_tradnl"/>
        </w:rPr>
        <w:t xml:space="preserve">siendo </w:t>
      </w:r>
      <w:r w:rsidRPr="00CB7BE9">
        <w:rPr>
          <w:i/>
          <w:lang w:val="es-ES_tradnl"/>
        </w:rPr>
        <w:t>d</w:t>
      </w:r>
      <w:r w:rsidRPr="00CB7BE9">
        <w:rPr>
          <w:i/>
          <w:vertAlign w:val="subscript"/>
          <w:lang w:val="es-ES_tradnl"/>
        </w:rPr>
        <w:t>km</w:t>
      </w:r>
      <w:r w:rsidRPr="00CB7BE9">
        <w:rPr>
          <w:lang w:val="es-ES_tradnl"/>
        </w:rPr>
        <w:t xml:space="preserve"> la longitud del trayecto de propagación en kilómetros desde el transmisor de la plataforma HAPS hasta la antena receptora del SF.</w:t>
      </w:r>
    </w:p>
    <w:p w:rsidR="001B7A8F" w:rsidRPr="00CB7BE9" w:rsidRDefault="001B7A8F" w:rsidP="001B7A8F">
      <w:pPr>
        <w:rPr>
          <w:lang w:val="es-ES_tradnl"/>
        </w:rPr>
      </w:pPr>
      <w:r w:rsidRPr="00CB7BE9">
        <w:rPr>
          <w:lang w:val="es-ES_tradnl"/>
        </w:rPr>
        <w:t xml:space="preserve">Se considera que la potencia de interferencia se propaga en un trayecto recto en el plano del círculo máximo determinado por las posiciones del transmisor HAPS, el receptor del SF y el centro de la Tierra, cuyo radio (8 504 km) se supone que es 4/3 de su valor real (6 378 km). Esto permite tener en consideración el efecto de la refracción atmosférica. La relación </w:t>
      </w:r>
      <w:r w:rsidRPr="00CB7BE9">
        <w:rPr>
          <w:i/>
          <w:lang w:val="es-ES_tradnl"/>
        </w:rPr>
        <w:t>I</w:t>
      </w:r>
      <w:r w:rsidRPr="00CB7BE9">
        <w:rPr>
          <w:lang w:val="es-ES_tradnl"/>
        </w:rPr>
        <w:t>/</w:t>
      </w:r>
      <w:r w:rsidRPr="00CB7BE9">
        <w:rPr>
          <w:i/>
          <w:lang w:val="es-ES_tradnl"/>
        </w:rPr>
        <w:t>N</w:t>
      </w:r>
      <w:r w:rsidRPr="00CB7BE9">
        <w:rPr>
          <w:lang w:val="es-ES_tradnl"/>
        </w:rPr>
        <w:t xml:space="preserve"> que se emplea en este estudio es la diferencia entre el valor de la potencia de interferencia </w:t>
      </w:r>
      <w:r w:rsidRPr="00CB7BE9">
        <w:rPr>
          <w:i/>
          <w:lang w:val="es-ES_tradnl"/>
        </w:rPr>
        <w:t>I</w:t>
      </w:r>
      <w:r w:rsidRPr="00CB7BE9">
        <w:rPr>
          <w:i/>
          <w:vertAlign w:val="subscript"/>
          <w:lang w:val="es-ES_tradnl"/>
        </w:rPr>
        <w:t>r</w:t>
      </w:r>
      <w:r w:rsidRPr="00CB7BE9">
        <w:rPr>
          <w:lang w:val="es-ES_tradnl"/>
        </w:rPr>
        <w:t xml:space="preserve"> de la ecuación (1) y la potencia de ruido </w:t>
      </w:r>
      <w:r w:rsidRPr="00CB7BE9">
        <w:rPr>
          <w:i/>
          <w:lang w:val="es-ES_tradnl"/>
        </w:rPr>
        <w:t>N</w:t>
      </w:r>
      <w:r w:rsidRPr="00CB7BE9">
        <w:rPr>
          <w:i/>
          <w:vertAlign w:val="subscript"/>
          <w:lang w:val="es-ES_tradnl"/>
        </w:rPr>
        <w:t>T</w:t>
      </w:r>
      <w:r w:rsidRPr="00CB7BE9">
        <w:rPr>
          <w:lang w:val="es-ES_tradnl"/>
        </w:rPr>
        <w:t xml:space="preserve"> del Cuadro 2; ambos valores se dan en dBW/MHz.</w:t>
      </w:r>
    </w:p>
    <w:p w:rsidR="001B7A8F" w:rsidRPr="00CB7BE9" w:rsidRDefault="001B7A8F" w:rsidP="001B7A8F">
      <w:pPr>
        <w:pStyle w:val="Heading1"/>
        <w:rPr>
          <w:lang w:val="es-ES_tradnl"/>
        </w:rPr>
      </w:pPr>
      <w:r w:rsidRPr="00CB7BE9">
        <w:rPr>
          <w:lang w:val="es-ES_tradnl"/>
        </w:rPr>
        <w:t>3</w:t>
      </w:r>
      <w:r w:rsidRPr="00CB7BE9">
        <w:rPr>
          <w:lang w:val="es-ES_tradnl"/>
        </w:rPr>
        <w:tab/>
        <w:t>Criterios de interferencia</w:t>
      </w:r>
    </w:p>
    <w:p w:rsidR="001B7A8F" w:rsidRPr="00CB7BE9" w:rsidRDefault="001B7A8F" w:rsidP="001B7A8F">
      <w:pPr>
        <w:rPr>
          <w:lang w:val="es-ES_tradnl"/>
        </w:rPr>
      </w:pPr>
      <w:r w:rsidRPr="00CB7BE9">
        <w:rPr>
          <w:lang w:val="es-ES_tradnl"/>
        </w:rPr>
        <w:t>Antes de abordar las metodologías de simulación, es necesario determinar los criterios de interferencia adecuados que se aplicarán en esta situación de compartición. Se considera que compete a cada administración decidir qué criterios de interferencia utilizará el servicio fijo. De acuerdo con el Reglamento de Radiocomunicaciones, las HAPS son una aplicación del servicio fijo; no obstante, no está claro qué trato le dispensarán las administraciones. A efectos de la discusión, una estación transmisora HAPS recibirá, en el presente documento, el mismo trato que cualquier otra estación transmisora del SF.</w:t>
      </w:r>
    </w:p>
    <w:p w:rsidR="001B7A8F" w:rsidRPr="00CB7BE9" w:rsidRDefault="001B7A8F" w:rsidP="001B7A8F">
      <w:pPr>
        <w:rPr>
          <w:szCs w:val="24"/>
          <w:lang w:val="es-ES_tradnl"/>
        </w:rPr>
      </w:pPr>
      <w:r w:rsidRPr="00CB7BE9">
        <w:rPr>
          <w:szCs w:val="24"/>
          <w:lang w:val="es-ES_tradnl"/>
        </w:rPr>
        <w:t xml:space="preserve">Actualmente, no existe un valor acordado para la interferencia aceptable procedente de las HAPS. Si consideramos que el sistema HAPS entra en un entorno ampliamente utilizado por el SF y ya compartido con el SFS, todo nuevo sistema HAPS, si lo permite el número 4.15A del RR, debe contribuir al ruido de interferencia solamente de manera incremental. Suponiendo que la máxima contribución total admisible de las fuentes interferentes al ruido total sea del 20%, podría atribuirse a las interferencias HAPS un 10% de aquella. Esto daría como resultado un criterio de </w:t>
      </w:r>
      <w:r w:rsidRPr="00CB7BE9">
        <w:rPr>
          <w:i/>
          <w:szCs w:val="24"/>
          <w:lang w:val="es-ES_tradnl"/>
        </w:rPr>
        <w:t>I</w:t>
      </w:r>
      <w:r w:rsidRPr="00CB7BE9">
        <w:rPr>
          <w:szCs w:val="24"/>
          <w:lang w:val="es-ES_tradnl"/>
        </w:rPr>
        <w:t>/</w:t>
      </w:r>
      <w:r w:rsidRPr="00CB7BE9">
        <w:rPr>
          <w:i/>
          <w:szCs w:val="24"/>
          <w:lang w:val="es-ES_tradnl"/>
        </w:rPr>
        <w:t>N</w:t>
      </w:r>
      <w:r w:rsidRPr="00CB7BE9">
        <w:rPr>
          <w:szCs w:val="24"/>
          <w:lang w:val="es-ES_tradnl"/>
        </w:rPr>
        <w:t xml:space="preserve"> de unos −17 dB para los sistemas HAPS. </w:t>
      </w:r>
    </w:p>
    <w:p w:rsidR="001B7A8F" w:rsidRPr="00CB7BE9" w:rsidRDefault="001B7A8F" w:rsidP="001B7A8F">
      <w:pPr>
        <w:rPr>
          <w:rFonts w:eastAsia="Malgun Gothic"/>
          <w:szCs w:val="24"/>
          <w:lang w:val="es-ES_tradnl" w:eastAsia="ko-KR"/>
        </w:rPr>
      </w:pPr>
      <w:r w:rsidRPr="00CB7BE9">
        <w:rPr>
          <w:szCs w:val="24"/>
          <w:lang w:val="es-ES_tradnl"/>
        </w:rPr>
        <w:t>Las administraciones pueden optar por otros márgenes y atribuciones, pero una gama de valores de </w:t>
      </w:r>
      <w:r w:rsidRPr="00CB7BE9">
        <w:rPr>
          <w:i/>
          <w:lang w:val="es-ES_tradnl"/>
        </w:rPr>
        <w:t>I</w:t>
      </w:r>
      <w:r w:rsidRPr="00CB7BE9">
        <w:rPr>
          <w:lang w:val="es-ES_tradnl"/>
        </w:rPr>
        <w:t>/</w:t>
      </w:r>
      <w:r w:rsidRPr="00CB7BE9">
        <w:rPr>
          <w:i/>
          <w:lang w:val="es-ES_tradnl"/>
        </w:rPr>
        <w:t>N</w:t>
      </w:r>
      <w:r w:rsidRPr="00CB7BE9">
        <w:rPr>
          <w:szCs w:val="24"/>
          <w:lang w:val="es-ES_tradnl"/>
        </w:rPr>
        <w:t xml:space="preserve"> comprendida entre </w:t>
      </w:r>
      <w:r w:rsidRPr="00CB7BE9">
        <w:rPr>
          <w:lang w:val="es-ES_tradnl"/>
        </w:rPr>
        <w:t>−</w:t>
      </w:r>
      <w:r w:rsidRPr="00CB7BE9">
        <w:rPr>
          <w:szCs w:val="24"/>
          <w:lang w:val="es-ES_tradnl"/>
        </w:rPr>
        <w:t xml:space="preserve">10 y </w:t>
      </w:r>
      <w:r w:rsidRPr="00CB7BE9">
        <w:rPr>
          <w:lang w:val="es-ES_tradnl"/>
        </w:rPr>
        <w:t>−</w:t>
      </w:r>
      <w:r w:rsidRPr="00CB7BE9">
        <w:rPr>
          <w:szCs w:val="24"/>
          <w:lang w:val="es-ES_tradnl"/>
        </w:rPr>
        <w:t xml:space="preserve">20 dB parece la solución más interesante. A esta gama se le prestará la mayor atención en lo sucesivo. Para cubrir todas las eventualidades, se han calculado los resultados para todos los valores de la relación </w:t>
      </w:r>
      <w:r w:rsidRPr="00CB7BE9">
        <w:rPr>
          <w:i/>
          <w:szCs w:val="24"/>
          <w:lang w:val="es-ES_tradnl"/>
        </w:rPr>
        <w:t>I</w:t>
      </w:r>
      <w:r w:rsidRPr="00CB7BE9">
        <w:rPr>
          <w:szCs w:val="24"/>
          <w:lang w:val="es-ES_tradnl"/>
        </w:rPr>
        <w:t>/</w:t>
      </w:r>
      <w:r w:rsidRPr="00CB7BE9">
        <w:rPr>
          <w:i/>
          <w:szCs w:val="24"/>
          <w:lang w:val="es-ES_tradnl"/>
        </w:rPr>
        <w:t>N</w:t>
      </w:r>
      <w:r w:rsidRPr="00CB7BE9">
        <w:rPr>
          <w:szCs w:val="24"/>
          <w:lang w:val="es-ES_tradnl"/>
        </w:rPr>
        <w:t xml:space="preserve"> comprendidos entre 0 y −20 dB.</w:t>
      </w:r>
    </w:p>
    <w:p w:rsidR="001B7A8F" w:rsidRPr="00CB7BE9" w:rsidRDefault="001B7A8F" w:rsidP="001B7A8F">
      <w:pPr>
        <w:pStyle w:val="Heading1"/>
        <w:rPr>
          <w:rFonts w:eastAsia="Malgun Gothic"/>
          <w:lang w:val="es-ES_tradnl"/>
        </w:rPr>
      </w:pPr>
      <w:r w:rsidRPr="00CB7BE9">
        <w:rPr>
          <w:lang w:val="es-ES_tradnl"/>
        </w:rPr>
        <w:t>4</w:t>
      </w:r>
      <w:r w:rsidRPr="00CB7BE9">
        <w:rPr>
          <w:lang w:val="es-ES_tradnl"/>
        </w:rPr>
        <w:tab/>
        <w:t xml:space="preserve">Descripción y aplicación de la metodología </w:t>
      </w:r>
      <w:r w:rsidRPr="00CB7BE9">
        <w:rPr>
          <w:i/>
          <w:iCs/>
          <w:lang w:val="es-ES_tradnl"/>
        </w:rPr>
        <w:t>I</w:t>
      </w:r>
      <w:r w:rsidRPr="00CB7BE9">
        <w:rPr>
          <w:lang w:val="es-ES_tradnl"/>
        </w:rPr>
        <w:t>/</w:t>
      </w:r>
      <w:r w:rsidRPr="00CB7BE9">
        <w:rPr>
          <w:i/>
          <w:iCs/>
          <w:lang w:val="es-ES_tradnl"/>
        </w:rPr>
        <w:t>N</w:t>
      </w:r>
      <w:r w:rsidRPr="00CB7BE9">
        <w:rPr>
          <w:lang w:val="es-ES_tradnl"/>
        </w:rPr>
        <w:t xml:space="preserve"> </w:t>
      </w:r>
    </w:p>
    <w:p w:rsidR="001B7A8F" w:rsidRPr="00CB7BE9" w:rsidRDefault="001B7A8F" w:rsidP="001B7A8F">
      <w:pPr>
        <w:rPr>
          <w:lang w:val="es-ES_tradnl"/>
        </w:rPr>
      </w:pPr>
      <w:r w:rsidRPr="00CB7BE9">
        <w:rPr>
          <w:lang w:val="es-ES_tradnl"/>
        </w:rPr>
        <w:t xml:space="preserve">La </w:t>
      </w:r>
      <w:r w:rsidRPr="00CB7BE9">
        <w:rPr>
          <w:i/>
          <w:lang w:val="es-ES_tradnl"/>
        </w:rPr>
        <w:t>I</w:t>
      </w:r>
      <w:r w:rsidRPr="00CB7BE9">
        <w:rPr>
          <w:lang w:val="es-ES_tradnl"/>
        </w:rPr>
        <w:t>/</w:t>
      </w:r>
      <w:r w:rsidRPr="00CB7BE9">
        <w:rPr>
          <w:i/>
          <w:lang w:val="es-ES_tradnl"/>
        </w:rPr>
        <w:t>N</w:t>
      </w:r>
      <w:r w:rsidRPr="00CB7BE9">
        <w:rPr>
          <w:lang w:val="es-ES_tradnl"/>
        </w:rPr>
        <w:t xml:space="preserve"> en un receptor del SF, utilizando los parámetros especificados en los Cuadros 1 y 2, depende de su posición en el diagrama de la Fig. 1 y del acimut del eje del haz principal de su antena. Este punto examina el caso de una plataforma HAPS que transmite a una única estación de pasarela en la superficie de la Tierra. Todas las ubicaciones geográficas se especifican a partir de su distancia de círculo máximo desde el punto de la superficie de la Tierra situado directamente debajo de la plataforma HAPS. En la terminología de las HAPS, este punto suele describirse como «nadir de las HAPS». En el presente Anexo, recibirá el nombre de Punto de Subplataforma (SPP) HAPS. La otra coordenada necesaria para especificar una ubicación geográfica es el acimut del trayecto de círculo </w:t>
      </w:r>
      <w:r w:rsidRPr="00CB7BE9">
        <w:rPr>
          <w:lang w:val="es-ES_tradnl"/>
        </w:rPr>
        <w:lastRenderedPageBreak/>
        <w:t>máximo desde el SPP hasta el punto. Este ángulo se mide en el SPP HAPS, en sentido inverso al de las agujas del reloj, desde el acimut hasta la estación de pasarela.</w:t>
      </w:r>
    </w:p>
    <w:p w:rsidR="001B7A8F" w:rsidRPr="00CB7BE9" w:rsidRDefault="001B7A8F" w:rsidP="001B7A8F">
      <w:pPr>
        <w:rPr>
          <w:lang w:val="es-ES_tradnl"/>
        </w:rPr>
      </w:pPr>
      <w:r w:rsidRPr="00CB7BE9">
        <w:rPr>
          <w:lang w:val="es-ES_tradnl"/>
        </w:rPr>
        <w:t xml:space="preserve">El método descrito en este punto consiste en determinar las ubicaciones en las que los dos acimuts de puntería extremos de la antena del SF rebasarán un nivel de </w:t>
      </w:r>
      <w:r w:rsidRPr="00CB7BE9">
        <w:rPr>
          <w:i/>
          <w:lang w:val="es-ES_tradnl"/>
        </w:rPr>
        <w:t>I</w:t>
      </w:r>
      <w:r w:rsidRPr="00CB7BE9">
        <w:rPr>
          <w:lang w:val="es-ES_tradnl"/>
        </w:rPr>
        <w:t>/</w:t>
      </w:r>
      <w:r w:rsidRPr="00CB7BE9">
        <w:rPr>
          <w:i/>
          <w:lang w:val="es-ES_tradnl"/>
        </w:rPr>
        <w:t>N</w:t>
      </w:r>
      <w:r w:rsidRPr="00CB7BE9">
        <w:rPr>
          <w:lang w:val="es-ES_tradnl"/>
        </w:rPr>
        <w:t xml:space="preserve"> determinado en cada ubicación. En un caso, el acimut de la antena receptora del SF se orienta hacia el SPP HAPS siguiendo la trayectoria del círculo máximo. En el otro, el acimut de la antena receptora del SF se orienta en sentido opuesto al SPP HAPS. Las zonas en las que se rebasará un valor determinado de la relación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en el caso de la antena del SF orientada hacia el SPP recibirán el nombre de zonas de coordinación, ya que sería necesario llevar a cabo un proceso de coordinación de la frecuencia para determinar si se supera la </w:t>
      </w:r>
      <w:r w:rsidRPr="00CB7BE9">
        <w:rPr>
          <w:i/>
          <w:iCs/>
          <w:lang w:val="es-ES_tradnl"/>
        </w:rPr>
        <w:t>I</w:t>
      </w:r>
      <w:r w:rsidRPr="00CB7BE9">
        <w:rPr>
          <w:lang w:val="es-ES_tradnl"/>
        </w:rPr>
        <w:t>/</w:t>
      </w:r>
      <w:r w:rsidRPr="00CB7BE9">
        <w:rPr>
          <w:i/>
          <w:iCs/>
          <w:lang w:val="es-ES_tradnl"/>
        </w:rPr>
        <w:t>N</w:t>
      </w:r>
      <w:r w:rsidRPr="00CB7BE9">
        <w:rPr>
          <w:lang w:val="es-ES_tradnl"/>
        </w:rPr>
        <w:t xml:space="preserve"> para un receptor en concreto. La región geográfica, en caso de existir, en la que se rebasará el valor de la relación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en el caso de una antena del SF orientada en sentido contrario al SPP recibirá el nombre de zona de exclusión, ya que no existe ningún ángulo de puntería para el que no se supere la </w:t>
      </w:r>
      <w:r w:rsidRPr="00CB7BE9">
        <w:rPr>
          <w:i/>
          <w:iCs/>
          <w:lang w:val="es-ES_tradnl"/>
        </w:rPr>
        <w:t>I</w:t>
      </w:r>
      <w:r w:rsidRPr="00CB7BE9">
        <w:rPr>
          <w:lang w:val="es-ES_tradnl"/>
        </w:rPr>
        <w:t>/</w:t>
      </w:r>
      <w:r w:rsidRPr="00CB7BE9">
        <w:rPr>
          <w:i/>
          <w:iCs/>
          <w:lang w:val="es-ES_tradnl"/>
        </w:rPr>
        <w:t>N</w:t>
      </w:r>
      <w:r w:rsidRPr="00CB7BE9">
        <w:rPr>
          <w:lang w:val="es-ES_tradnl"/>
        </w:rPr>
        <w:t xml:space="preserve">. En el sentido que se le da en el presente Anexo, una zona de exclusión es específica de los parámetros del modelo y del valor de la relación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elegido para un criterio de interferencia.</w:t>
      </w:r>
    </w:p>
    <w:p w:rsidR="001B7A8F" w:rsidRPr="00CB7BE9" w:rsidRDefault="001B7A8F" w:rsidP="001B7A8F">
      <w:pPr>
        <w:rPr>
          <w:lang w:val="es-ES_tradnl"/>
        </w:rPr>
      </w:pPr>
      <w:r w:rsidRPr="00CB7BE9">
        <w:rPr>
          <w:lang w:val="es-ES_tradnl"/>
        </w:rPr>
        <w:t xml:space="preserve">El alcance radial de una zona de exclusión o coordinación se determina trazando un trayecto de círculo máximo desde el SPP HAPS y determinando, en cada paso, si se ha alcanzado el límite de una región geográfica </w:t>
      </w:r>
      <w:r w:rsidRPr="00CB7BE9">
        <w:rPr>
          <w:i/>
          <w:iCs/>
          <w:lang w:val="es-ES_tradnl"/>
        </w:rPr>
        <w:t>I</w:t>
      </w:r>
      <w:r w:rsidRPr="00CB7BE9">
        <w:rPr>
          <w:lang w:val="es-ES_tradnl"/>
        </w:rPr>
        <w:t>/</w:t>
      </w:r>
      <w:r w:rsidRPr="00CB7BE9">
        <w:rPr>
          <w:i/>
          <w:iCs/>
          <w:lang w:val="es-ES_tradnl"/>
        </w:rPr>
        <w:t>N</w:t>
      </w:r>
      <w:r w:rsidRPr="00CB7BE9">
        <w:rPr>
          <w:lang w:val="es-ES_tradnl"/>
        </w:rPr>
        <w:t xml:space="preserve"> concreta. Este cálculo numera zonas sucesivas para cada acimut en el que se ha rebasado un umbral de la relación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Todas las zonas elementales con un mismo número se consideran parte de la misma región geográfica compuesta. </w:t>
      </w:r>
    </w:p>
    <w:p w:rsidR="001B7A8F" w:rsidRPr="00CB7BE9" w:rsidRDefault="001B7A8F" w:rsidP="001B7A8F">
      <w:pPr>
        <w:rPr>
          <w:lang w:val="es-ES_tradnl"/>
        </w:rPr>
      </w:pPr>
      <w:r w:rsidRPr="00CB7BE9">
        <w:rPr>
          <w:lang w:val="es-ES_tradnl"/>
        </w:rPr>
        <w:t xml:space="preserve">La Fig. 3 muestra los resultados de uno de estos cálculos para un umbral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de −20 dB utilizando el sistema de antena HAPS que transmite a una estación de pasarela situada a 36 km del SPP y los parámetros de los Cuadros 1 y 2. (Los valores característicos de los Cuadros 1 y 2 se emplean para todos los cálculos posteriores, salvo que se indique lo contrario.) Para la Fig. 3 y para las figuras siguientes se eligió el umbral de </w:t>
      </w:r>
      <w:r w:rsidRPr="00CB7BE9">
        <w:rPr>
          <w:i/>
          <w:lang w:val="es-ES_tradnl"/>
        </w:rPr>
        <w:t>I/N</w:t>
      </w:r>
      <w:r w:rsidRPr="00CB7BE9">
        <w:rPr>
          <w:lang w:val="es-ES_tradnl"/>
        </w:rPr>
        <w:t xml:space="preserve"> de −20 dB a fin de ilustrar los casos en que existen zonas de exclusión. En este caso, la zona de coordinación se indica mediante la línea de puntos y la de exclusión, mediante la línea continua. Estas zonas rodean la ubicación de la estación de pasarela y, por lo tanto, deben ser el resultado del acoplamiento de la ganancia del haz principal del sistema HAPS a los lóbulos laterales de la antena del SF. Como el diagrama de ganancia de la antena de un sistema HAPS cae rápidamente con el ángulo del eje del haz principal, no existen en este caso zonas causadas por la energía de acoplamiento de los lóbulos laterales de las HAPS al lóbulo principal de una antena receptora del SF. </w:t>
      </w:r>
    </w:p>
    <w:p w:rsidR="001B7A8F" w:rsidRPr="00CB7BE9" w:rsidRDefault="001B7A8F" w:rsidP="001B7A8F">
      <w:pPr>
        <w:rPr>
          <w:lang w:val="es-ES_tradnl"/>
        </w:rPr>
      </w:pPr>
      <w:r w:rsidRPr="00CB7BE9">
        <w:rPr>
          <w:lang w:val="es-ES_tradnl"/>
        </w:rPr>
        <w:t xml:space="preserve">En vez de proporcionar gráficos sobre otras relaciones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el Cuadro 3 resume los resultados de distintos umbrales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tabulando las superficies de las zonas de coordinación y de exclusión de cada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Para este ejemplo, todas las entradas de la columna correspondiente al Área 2 tienen un valor de cero, lo que significa que solamente existe una zona de coordinación. Las entradas en la columna correspondiente a la superficie del Área 2 tienen un valor de 0 y las entradas para la superficie total de la zona coordinación son las mismas que para el Área 1.</w:t>
      </w:r>
    </w:p>
    <w:p w:rsidR="001B7A8F" w:rsidRPr="00CB7BE9" w:rsidRDefault="001B7A8F" w:rsidP="001B7A8F">
      <w:pPr>
        <w:rPr>
          <w:lang w:val="es-ES_tradnl"/>
        </w:rPr>
      </w:pPr>
      <w:r w:rsidRPr="00CB7BE9">
        <w:rPr>
          <w:lang w:val="es-ES_tradnl"/>
        </w:rPr>
        <w:t>Cabe señalar que cuando el valor del Área 2 es cero, el Área 1 es una región geográfica contigua. Cuando el valor del Área 2 no es de cero, los distintos elementos del Área 1 pueden no ser contiguos. Este resultado se discute con más detalle en el punto 6 del presente Anexo.</w:t>
      </w:r>
    </w:p>
    <w:p w:rsidR="001B7A8F" w:rsidRPr="00CB7BE9" w:rsidRDefault="001B7A8F" w:rsidP="001B7A8F">
      <w:pPr>
        <w:rPr>
          <w:lang w:val="es-ES_tradnl"/>
        </w:rPr>
      </w:pPr>
      <w:r w:rsidRPr="00CB7BE9">
        <w:rPr>
          <w:lang w:val="es-ES_tradnl"/>
        </w:rPr>
        <w:t xml:space="preserve">Puede existir una zona de exclusión cuando una región geográfica se encuentra cerca de una pasarela en la que el haz principal de la antena HAPS acopla suficiente energía en los lóbulos laterales de la antena del SF como para rebasar el umbral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Una zona de exclusión siempre estará rodeada de una zona de coordinación. Cada valor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sólo puede tener una zona de exclusión por enlace de pasarela. Por lo tanto, en todos los casos examinados en este punto solamente existe una zona de exclusión. </w:t>
      </w:r>
    </w:p>
    <w:p w:rsidR="001B7A8F" w:rsidRPr="00CB7BE9" w:rsidRDefault="001B7A8F" w:rsidP="001B7A8F">
      <w:pPr>
        <w:rPr>
          <w:lang w:val="es-ES_tradnl"/>
        </w:rPr>
      </w:pPr>
      <w:r w:rsidRPr="00CB7BE9">
        <w:rPr>
          <w:lang w:val="es-ES_tradnl"/>
        </w:rPr>
        <w:lastRenderedPageBreak/>
        <w:t xml:space="preserve">En el Cuadro 3 se observa que las zonas de coordinación y de exclusión decrecen progresivamente conforme aumenta el valor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La zona de exclusión desaparece para un umbral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igual o superior a −19 dB, y la zona de coordinación desaparece para un valor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igual o superior a −14 dB. </w:t>
      </w:r>
    </w:p>
    <w:p w:rsidR="001B7A8F" w:rsidRPr="00CB7BE9" w:rsidRDefault="001B7A8F" w:rsidP="001B7A8F">
      <w:pPr>
        <w:pStyle w:val="FigureNo"/>
        <w:rPr>
          <w:lang w:val="es-ES_tradnl"/>
        </w:rPr>
      </w:pPr>
      <w:r w:rsidRPr="00CB7BE9">
        <w:rPr>
          <w:lang w:val="es-ES_tradnl"/>
        </w:rPr>
        <w:t>Figura 3</w:t>
      </w:r>
    </w:p>
    <w:p w:rsidR="001B7A8F" w:rsidRPr="00CB7BE9" w:rsidRDefault="001B7A8F" w:rsidP="001B7A8F">
      <w:pPr>
        <w:pStyle w:val="Figuretitle"/>
        <w:spacing w:after="240"/>
        <w:rPr>
          <w:lang w:val="es-ES_tradnl"/>
        </w:rPr>
      </w:pPr>
      <w:r w:rsidRPr="00CB7BE9">
        <w:rPr>
          <w:lang w:val="es-ES_tradnl"/>
        </w:rPr>
        <w:t>Zonas de coordinación y de exclusión con sistema de antenas</w:t>
      </w:r>
      <w:r w:rsidRPr="00CB7BE9">
        <w:rPr>
          <w:lang w:val="es-ES_tradnl"/>
        </w:rPr>
        <w:br/>
        <w:t xml:space="preserve">La pasarela se encuentra a 36 km del SPP HAPS, </w:t>
      </w:r>
      <w:r w:rsidRPr="00CB7BE9">
        <w:rPr>
          <w:i/>
          <w:iCs/>
          <w:lang w:val="es-ES_tradnl"/>
        </w:rPr>
        <w:t>I</w:t>
      </w:r>
      <w:r w:rsidRPr="00CB7BE9">
        <w:rPr>
          <w:lang w:val="es-ES_tradnl"/>
        </w:rPr>
        <w:t>/</w:t>
      </w:r>
      <w:r w:rsidRPr="00CB7BE9">
        <w:rPr>
          <w:i/>
          <w:iCs/>
          <w:lang w:val="es-ES_tradnl"/>
        </w:rPr>
        <w:t>N</w:t>
      </w:r>
      <w:r w:rsidRPr="00CB7BE9">
        <w:rPr>
          <w:lang w:val="es-ES_tradnl"/>
        </w:rPr>
        <w:t xml:space="preserve"> = −20 dB</w:t>
      </w:r>
    </w:p>
    <w:p w:rsidR="001B7A8F" w:rsidRDefault="001B7A8F" w:rsidP="001B7A8F">
      <w:pPr>
        <w:pStyle w:val="Figure"/>
      </w:pPr>
      <w:r>
        <w:object w:dxaOrig="9489" w:dyaOrig="6541">
          <v:shape id="_x0000_i1029" type="#_x0000_t75" style="width:387.75pt;height:267.75pt;mso-position-horizontal:absolute" o:ole="" o:allowoverlap="f">
            <v:imagedata r:id="rId22" o:title=""/>
          </v:shape>
          <o:OLEObject Type="Embed" ProgID="CorelDRAW.Graphic.14" ShapeID="_x0000_i1029" DrawAspect="Content" ObjectID="_1390022529" r:id="rId23"/>
        </w:object>
      </w:r>
    </w:p>
    <w:p w:rsidR="001B7A8F" w:rsidRPr="00CB7BE9" w:rsidRDefault="00CB7BE9" w:rsidP="001B7A8F">
      <w:pPr>
        <w:pStyle w:val="TableNo"/>
        <w:rPr>
          <w:lang w:val="es-ES_tradnl"/>
        </w:rPr>
      </w:pPr>
      <w:r w:rsidRPr="00CB7BE9">
        <w:rPr>
          <w:lang w:val="es-ES_tradnl"/>
        </w:rPr>
        <w:t xml:space="preserve">CUADRO </w:t>
      </w:r>
      <w:r w:rsidR="001B7A8F" w:rsidRPr="00CB7BE9">
        <w:rPr>
          <w:lang w:val="es-ES_tradnl"/>
        </w:rPr>
        <w:t>3</w:t>
      </w:r>
    </w:p>
    <w:p w:rsidR="001B7A8F" w:rsidRPr="00CB7BE9" w:rsidRDefault="001B7A8F" w:rsidP="001B7A8F">
      <w:pPr>
        <w:pStyle w:val="Tabletitle"/>
        <w:rPr>
          <w:lang w:val="es-ES_tradnl"/>
        </w:rPr>
      </w:pPr>
      <w:r w:rsidRPr="00CB7BE9">
        <w:rPr>
          <w:lang w:val="es-ES_tradnl"/>
        </w:rPr>
        <w:t xml:space="preserve">Superficies de las zonas de coordinación y de exclusión con sistema de antenas </w:t>
      </w:r>
      <w:r w:rsidRPr="00CB7BE9">
        <w:rPr>
          <w:lang w:val="es-ES_tradnl"/>
        </w:rPr>
        <w:br/>
        <w:t>cuando la pasarela está a 36 km del SPP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886"/>
        <w:gridCol w:w="1886"/>
        <w:gridCol w:w="2095"/>
        <w:gridCol w:w="1886"/>
      </w:tblGrid>
      <w:tr w:rsidR="001B7A8F" w:rsidRPr="00044FB3" w:rsidTr="00CB7BE9">
        <w:trPr>
          <w:trHeight w:val="255"/>
          <w:tblHeader/>
          <w:jc w:val="center"/>
        </w:trPr>
        <w:tc>
          <w:tcPr>
            <w:tcW w:w="1296" w:type="dxa"/>
            <w:noWrap/>
          </w:tcPr>
          <w:p w:rsidR="001B7A8F" w:rsidRPr="00241F7F" w:rsidRDefault="001B7A8F" w:rsidP="00D536BB">
            <w:pPr>
              <w:pStyle w:val="Tablehead"/>
              <w:rPr>
                <w:i/>
                <w:iCs/>
              </w:rPr>
            </w:pPr>
            <w:r w:rsidRPr="00241F7F">
              <w:rPr>
                <w:i/>
                <w:iCs/>
              </w:rPr>
              <w:t>I</w:t>
            </w:r>
            <w:r w:rsidRPr="00234270">
              <w:t>/</w:t>
            </w:r>
            <w:r w:rsidRPr="00241F7F">
              <w:rPr>
                <w:i/>
                <w:iCs/>
              </w:rPr>
              <w:t>N</w:t>
            </w:r>
          </w:p>
        </w:tc>
        <w:tc>
          <w:tcPr>
            <w:tcW w:w="1296" w:type="dxa"/>
            <w:noWrap/>
          </w:tcPr>
          <w:p w:rsidR="001B7A8F" w:rsidRPr="00044FB3" w:rsidRDefault="001B7A8F" w:rsidP="00D536BB">
            <w:pPr>
              <w:pStyle w:val="Tablehead"/>
            </w:pPr>
            <w:r w:rsidRPr="00044FB3">
              <w:t>Área 1 (km</w:t>
            </w:r>
            <w:r w:rsidRPr="00044FB3">
              <w:rPr>
                <w:vertAlign w:val="superscript"/>
              </w:rPr>
              <w:t>2</w:t>
            </w:r>
            <w:r w:rsidRPr="00044FB3">
              <w:t>)</w:t>
            </w:r>
          </w:p>
        </w:tc>
        <w:tc>
          <w:tcPr>
            <w:tcW w:w="1296" w:type="dxa"/>
            <w:noWrap/>
          </w:tcPr>
          <w:p w:rsidR="001B7A8F" w:rsidRPr="00044FB3" w:rsidRDefault="001B7A8F" w:rsidP="00D536BB">
            <w:pPr>
              <w:pStyle w:val="Tablehead"/>
            </w:pPr>
            <w:r w:rsidRPr="00044FB3">
              <w:t>Área 2 (km</w:t>
            </w:r>
            <w:r w:rsidRPr="00044FB3">
              <w:rPr>
                <w:vertAlign w:val="superscript"/>
              </w:rPr>
              <w:t>2</w:t>
            </w:r>
            <w:r w:rsidRPr="00044FB3">
              <w:t>)</w:t>
            </w:r>
          </w:p>
        </w:tc>
        <w:tc>
          <w:tcPr>
            <w:tcW w:w="1440" w:type="dxa"/>
            <w:noWrap/>
          </w:tcPr>
          <w:p w:rsidR="001B7A8F" w:rsidRPr="00CB7BE9" w:rsidRDefault="001B7A8F" w:rsidP="00D536BB">
            <w:pPr>
              <w:pStyle w:val="Tablehead"/>
              <w:rPr>
                <w:lang w:val="es-ES_tradnl"/>
              </w:rPr>
            </w:pPr>
            <w:r w:rsidRPr="00CB7BE9">
              <w:rPr>
                <w:lang w:val="es-ES_tradnl"/>
              </w:rPr>
              <w:t>Superficie total de la zona de coordinación (km</w:t>
            </w:r>
            <w:r w:rsidRPr="00CB7BE9">
              <w:rPr>
                <w:vertAlign w:val="superscript"/>
                <w:lang w:val="es-ES_tradnl"/>
              </w:rPr>
              <w:t>2</w:t>
            </w:r>
            <w:r w:rsidRPr="00CB7BE9">
              <w:rPr>
                <w:lang w:val="es-ES_tradnl"/>
              </w:rPr>
              <w:t>)</w:t>
            </w:r>
          </w:p>
        </w:tc>
        <w:tc>
          <w:tcPr>
            <w:tcW w:w="1296" w:type="dxa"/>
            <w:noWrap/>
          </w:tcPr>
          <w:p w:rsidR="001B7A8F" w:rsidRPr="00044FB3" w:rsidRDefault="001B7A8F" w:rsidP="00D536BB">
            <w:pPr>
              <w:pStyle w:val="Tablehead"/>
            </w:pPr>
            <w:r w:rsidRPr="00044FB3">
              <w:t>Zona de exclusión (km</w:t>
            </w:r>
            <w:r w:rsidRPr="00044FB3">
              <w:rPr>
                <w:vertAlign w:val="superscript"/>
              </w:rPr>
              <w:t>2</w:t>
            </w:r>
            <w:r w:rsidRPr="00044FB3">
              <w:t>)</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−20</w:t>
            </w:r>
          </w:p>
        </w:tc>
        <w:tc>
          <w:tcPr>
            <w:tcW w:w="1296" w:type="dxa"/>
            <w:noWrap/>
          </w:tcPr>
          <w:p w:rsidR="001B7A8F" w:rsidRPr="00044FB3" w:rsidRDefault="001B7A8F" w:rsidP="00D536BB">
            <w:pPr>
              <w:pStyle w:val="Tabletext"/>
              <w:jc w:val="center"/>
            </w:pPr>
            <w:r w:rsidRPr="00044FB3">
              <w:t>50,4</w:t>
            </w:r>
          </w:p>
        </w:tc>
        <w:tc>
          <w:tcPr>
            <w:tcW w:w="1296" w:type="dxa"/>
            <w:noWrap/>
          </w:tcPr>
          <w:p w:rsidR="001B7A8F" w:rsidRPr="00044FB3" w:rsidRDefault="001B7A8F" w:rsidP="00D536BB">
            <w:pPr>
              <w:pStyle w:val="Tabletext"/>
              <w:jc w:val="center"/>
            </w:pPr>
            <w:r w:rsidRPr="00044FB3">
              <w:t>0</w:t>
            </w:r>
          </w:p>
        </w:tc>
        <w:tc>
          <w:tcPr>
            <w:tcW w:w="1440" w:type="dxa"/>
            <w:noWrap/>
          </w:tcPr>
          <w:p w:rsidR="001B7A8F" w:rsidRPr="00044FB3" w:rsidRDefault="001B7A8F" w:rsidP="00D536BB">
            <w:pPr>
              <w:pStyle w:val="Tabletext"/>
              <w:jc w:val="center"/>
            </w:pPr>
            <w:r w:rsidRPr="00044FB3">
              <w:t>50,4</w:t>
            </w:r>
          </w:p>
        </w:tc>
        <w:tc>
          <w:tcPr>
            <w:tcW w:w="1296" w:type="dxa"/>
            <w:noWrap/>
          </w:tcPr>
          <w:p w:rsidR="001B7A8F" w:rsidRPr="00044FB3" w:rsidRDefault="001B7A8F" w:rsidP="00D536BB">
            <w:pPr>
              <w:pStyle w:val="Tabletext"/>
              <w:jc w:val="center"/>
            </w:pPr>
            <w:r w:rsidRPr="00044FB3">
              <w:t>6,6</w:t>
            </w:r>
          </w:p>
        </w:tc>
      </w:tr>
      <w:tr w:rsidR="001B7A8F" w:rsidRPr="00044FB3" w:rsidTr="00CB7BE9">
        <w:trPr>
          <w:trHeight w:val="255"/>
          <w:jc w:val="center"/>
        </w:trPr>
        <w:tc>
          <w:tcPr>
            <w:tcW w:w="1296" w:type="dxa"/>
            <w:tcBorders>
              <w:top w:val="nil"/>
            </w:tcBorders>
            <w:noWrap/>
          </w:tcPr>
          <w:p w:rsidR="001B7A8F" w:rsidRPr="00044FB3" w:rsidRDefault="001B7A8F" w:rsidP="00D536BB">
            <w:pPr>
              <w:pStyle w:val="Tabletext"/>
              <w:jc w:val="center"/>
            </w:pPr>
            <w:r w:rsidRPr="00044FB3">
              <w:t>−19</w:t>
            </w:r>
          </w:p>
        </w:tc>
        <w:tc>
          <w:tcPr>
            <w:tcW w:w="1296" w:type="dxa"/>
            <w:tcBorders>
              <w:top w:val="nil"/>
            </w:tcBorders>
            <w:noWrap/>
          </w:tcPr>
          <w:p w:rsidR="001B7A8F" w:rsidRPr="00044FB3" w:rsidRDefault="001B7A8F" w:rsidP="00D536BB">
            <w:pPr>
              <w:pStyle w:val="Tabletext"/>
              <w:jc w:val="center"/>
            </w:pPr>
            <w:r w:rsidRPr="00044FB3">
              <w:t>40,2</w:t>
            </w:r>
          </w:p>
        </w:tc>
        <w:tc>
          <w:tcPr>
            <w:tcW w:w="1296" w:type="dxa"/>
            <w:tcBorders>
              <w:top w:val="nil"/>
            </w:tcBorders>
            <w:noWrap/>
          </w:tcPr>
          <w:p w:rsidR="001B7A8F" w:rsidRPr="00044FB3" w:rsidRDefault="001B7A8F" w:rsidP="00D536BB">
            <w:pPr>
              <w:pStyle w:val="Tabletext"/>
              <w:jc w:val="center"/>
            </w:pPr>
            <w:r w:rsidRPr="00044FB3">
              <w:t>0</w:t>
            </w:r>
          </w:p>
        </w:tc>
        <w:tc>
          <w:tcPr>
            <w:tcW w:w="1440" w:type="dxa"/>
            <w:tcBorders>
              <w:top w:val="nil"/>
            </w:tcBorders>
            <w:noWrap/>
          </w:tcPr>
          <w:p w:rsidR="001B7A8F" w:rsidRPr="00044FB3" w:rsidRDefault="001B7A8F" w:rsidP="00D536BB">
            <w:pPr>
              <w:pStyle w:val="Tabletext"/>
              <w:jc w:val="center"/>
            </w:pPr>
            <w:r w:rsidRPr="00044FB3">
              <w:t>40,2</w:t>
            </w:r>
          </w:p>
        </w:tc>
        <w:tc>
          <w:tcPr>
            <w:tcW w:w="1296" w:type="dxa"/>
            <w:tcBorders>
              <w:top w:val="nil"/>
            </w:tcBorders>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−18</w:t>
            </w:r>
          </w:p>
        </w:tc>
        <w:tc>
          <w:tcPr>
            <w:tcW w:w="1296" w:type="dxa"/>
            <w:noWrap/>
          </w:tcPr>
          <w:p w:rsidR="001B7A8F" w:rsidRPr="00044FB3" w:rsidRDefault="001B7A8F" w:rsidP="00D536BB">
            <w:pPr>
              <w:pStyle w:val="Tabletext"/>
              <w:jc w:val="center"/>
            </w:pPr>
            <w:r w:rsidRPr="00044FB3">
              <w:t>32,9</w:t>
            </w:r>
          </w:p>
        </w:tc>
        <w:tc>
          <w:tcPr>
            <w:tcW w:w="1296" w:type="dxa"/>
            <w:noWrap/>
          </w:tcPr>
          <w:p w:rsidR="001B7A8F" w:rsidRPr="00044FB3" w:rsidRDefault="001B7A8F" w:rsidP="00D536BB">
            <w:pPr>
              <w:pStyle w:val="Tabletext"/>
              <w:jc w:val="center"/>
            </w:pPr>
            <w:r w:rsidRPr="00044FB3">
              <w:t>0</w:t>
            </w:r>
          </w:p>
        </w:tc>
        <w:tc>
          <w:tcPr>
            <w:tcW w:w="1440" w:type="dxa"/>
            <w:noWrap/>
          </w:tcPr>
          <w:p w:rsidR="001B7A8F" w:rsidRPr="00044FB3" w:rsidRDefault="001B7A8F" w:rsidP="00D536BB">
            <w:pPr>
              <w:pStyle w:val="Tabletext"/>
              <w:jc w:val="center"/>
            </w:pPr>
            <w:r w:rsidRPr="00044FB3">
              <w:t>32,9</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−17</w:t>
            </w:r>
          </w:p>
        </w:tc>
        <w:tc>
          <w:tcPr>
            <w:tcW w:w="1296" w:type="dxa"/>
            <w:noWrap/>
          </w:tcPr>
          <w:p w:rsidR="001B7A8F" w:rsidRPr="00044FB3" w:rsidRDefault="001B7A8F" w:rsidP="00D536BB">
            <w:pPr>
              <w:pStyle w:val="Tabletext"/>
              <w:jc w:val="center"/>
            </w:pPr>
            <w:r w:rsidRPr="00044FB3">
              <w:t>24,3</w:t>
            </w:r>
          </w:p>
        </w:tc>
        <w:tc>
          <w:tcPr>
            <w:tcW w:w="1296" w:type="dxa"/>
            <w:noWrap/>
          </w:tcPr>
          <w:p w:rsidR="001B7A8F" w:rsidRPr="00044FB3" w:rsidRDefault="001B7A8F" w:rsidP="00D536BB">
            <w:pPr>
              <w:pStyle w:val="Tabletext"/>
              <w:jc w:val="center"/>
            </w:pPr>
            <w:r w:rsidRPr="00044FB3">
              <w:t>0</w:t>
            </w:r>
          </w:p>
        </w:tc>
        <w:tc>
          <w:tcPr>
            <w:tcW w:w="1440" w:type="dxa"/>
            <w:noWrap/>
          </w:tcPr>
          <w:p w:rsidR="001B7A8F" w:rsidRPr="00044FB3" w:rsidRDefault="001B7A8F" w:rsidP="00D536BB">
            <w:pPr>
              <w:pStyle w:val="Tabletext"/>
              <w:jc w:val="center"/>
            </w:pPr>
            <w:r w:rsidRPr="00044FB3">
              <w:t>24,3</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−16</w:t>
            </w:r>
          </w:p>
        </w:tc>
        <w:tc>
          <w:tcPr>
            <w:tcW w:w="1296" w:type="dxa"/>
            <w:noWrap/>
          </w:tcPr>
          <w:p w:rsidR="001B7A8F" w:rsidRPr="00044FB3" w:rsidRDefault="001B7A8F" w:rsidP="00D536BB">
            <w:pPr>
              <w:pStyle w:val="Tabletext"/>
              <w:jc w:val="center"/>
            </w:pPr>
            <w:r w:rsidRPr="00044FB3">
              <w:t>16</w:t>
            </w:r>
          </w:p>
        </w:tc>
        <w:tc>
          <w:tcPr>
            <w:tcW w:w="1296" w:type="dxa"/>
            <w:noWrap/>
          </w:tcPr>
          <w:p w:rsidR="001B7A8F" w:rsidRPr="00044FB3" w:rsidRDefault="001B7A8F" w:rsidP="00D536BB">
            <w:pPr>
              <w:pStyle w:val="Tabletext"/>
              <w:jc w:val="center"/>
            </w:pPr>
            <w:r w:rsidRPr="00044FB3">
              <w:t>0</w:t>
            </w:r>
          </w:p>
        </w:tc>
        <w:tc>
          <w:tcPr>
            <w:tcW w:w="1440" w:type="dxa"/>
            <w:noWrap/>
          </w:tcPr>
          <w:p w:rsidR="001B7A8F" w:rsidRPr="00044FB3" w:rsidRDefault="001B7A8F" w:rsidP="00D536BB">
            <w:pPr>
              <w:pStyle w:val="Tabletext"/>
              <w:jc w:val="center"/>
            </w:pPr>
            <w:r w:rsidRPr="00044FB3">
              <w:t>16</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−15</w:t>
            </w:r>
          </w:p>
        </w:tc>
        <w:tc>
          <w:tcPr>
            <w:tcW w:w="1296" w:type="dxa"/>
            <w:noWrap/>
          </w:tcPr>
          <w:p w:rsidR="001B7A8F" w:rsidRPr="00044FB3" w:rsidRDefault="001B7A8F" w:rsidP="00D536BB">
            <w:pPr>
              <w:pStyle w:val="Tabletext"/>
              <w:jc w:val="center"/>
            </w:pPr>
            <w:r w:rsidRPr="00044FB3">
              <w:t>6,9</w:t>
            </w:r>
          </w:p>
        </w:tc>
        <w:tc>
          <w:tcPr>
            <w:tcW w:w="1296" w:type="dxa"/>
            <w:noWrap/>
          </w:tcPr>
          <w:p w:rsidR="001B7A8F" w:rsidRPr="00044FB3" w:rsidRDefault="001B7A8F" w:rsidP="00D536BB">
            <w:pPr>
              <w:pStyle w:val="Tabletext"/>
              <w:jc w:val="center"/>
            </w:pPr>
            <w:r w:rsidRPr="00044FB3">
              <w:t>0</w:t>
            </w:r>
          </w:p>
        </w:tc>
        <w:tc>
          <w:tcPr>
            <w:tcW w:w="1440" w:type="dxa"/>
            <w:noWrap/>
          </w:tcPr>
          <w:p w:rsidR="001B7A8F" w:rsidRPr="00044FB3" w:rsidRDefault="001B7A8F" w:rsidP="00D536BB">
            <w:pPr>
              <w:pStyle w:val="Tabletext"/>
              <w:jc w:val="center"/>
            </w:pPr>
            <w:r w:rsidRPr="00044FB3">
              <w:t>6,9</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−14</w:t>
            </w:r>
          </w:p>
        </w:tc>
        <w:tc>
          <w:tcPr>
            <w:tcW w:w="1296" w:type="dxa"/>
            <w:noWrap/>
          </w:tcPr>
          <w:p w:rsidR="001B7A8F" w:rsidRPr="00044FB3" w:rsidRDefault="001B7A8F" w:rsidP="00D536BB">
            <w:pPr>
              <w:pStyle w:val="Tabletext"/>
              <w:jc w:val="center"/>
            </w:pPr>
            <w:r w:rsidRPr="00044FB3">
              <w:t>0</w:t>
            </w:r>
          </w:p>
        </w:tc>
        <w:tc>
          <w:tcPr>
            <w:tcW w:w="1296" w:type="dxa"/>
            <w:noWrap/>
          </w:tcPr>
          <w:p w:rsidR="001B7A8F" w:rsidRPr="00044FB3" w:rsidRDefault="001B7A8F" w:rsidP="00D536BB">
            <w:pPr>
              <w:pStyle w:val="Tabletext"/>
              <w:jc w:val="center"/>
            </w:pPr>
            <w:r w:rsidRPr="00044FB3">
              <w:t>0</w:t>
            </w:r>
          </w:p>
        </w:tc>
        <w:tc>
          <w:tcPr>
            <w:tcW w:w="1440" w:type="dxa"/>
            <w:noWrap/>
          </w:tcPr>
          <w:p w:rsidR="001B7A8F" w:rsidRPr="00044FB3" w:rsidRDefault="001B7A8F" w:rsidP="00D536BB">
            <w:pPr>
              <w:pStyle w:val="Tabletext"/>
              <w:jc w:val="center"/>
            </w:pPr>
            <w:r w:rsidRPr="00044FB3">
              <w:t>0</w:t>
            </w:r>
          </w:p>
        </w:tc>
        <w:tc>
          <w:tcPr>
            <w:tcW w:w="1296" w:type="dxa"/>
            <w:noWrap/>
          </w:tcPr>
          <w:p w:rsidR="001B7A8F" w:rsidRPr="00044FB3" w:rsidRDefault="001B7A8F" w:rsidP="00D536BB">
            <w:pPr>
              <w:pStyle w:val="Tabletext"/>
              <w:jc w:val="center"/>
            </w:pPr>
            <w:r w:rsidRPr="00044FB3">
              <w:t>0</w:t>
            </w:r>
          </w:p>
        </w:tc>
      </w:tr>
    </w:tbl>
    <w:p w:rsidR="00CB7BE9" w:rsidRDefault="00CB7BE9" w:rsidP="00CB7BE9">
      <w:pPr>
        <w:pStyle w:val="Tablefin"/>
      </w:pPr>
    </w:p>
    <w:p w:rsidR="001B7A8F" w:rsidRDefault="001B7A8F" w:rsidP="001B7A8F">
      <w:pPr>
        <w:overflowPunct/>
        <w:autoSpaceDE/>
        <w:autoSpaceDN/>
        <w:adjustRightInd/>
        <w:spacing w:before="0"/>
        <w:textAlignment w:val="auto"/>
        <w:rPr>
          <w:b/>
          <w:sz w:val="28"/>
        </w:rPr>
      </w:pPr>
      <w:r>
        <w:br w:type="page"/>
      </w:r>
    </w:p>
    <w:p w:rsidR="001B7A8F" w:rsidRPr="00CB7BE9" w:rsidRDefault="001B7A8F" w:rsidP="001B7A8F">
      <w:pPr>
        <w:pStyle w:val="Heading1"/>
        <w:rPr>
          <w:lang w:val="es-ES_tradnl"/>
        </w:rPr>
      </w:pPr>
      <w:r w:rsidRPr="00CB7BE9">
        <w:rPr>
          <w:lang w:val="es-ES_tradnl"/>
        </w:rPr>
        <w:lastRenderedPageBreak/>
        <w:t>5</w:t>
      </w:r>
      <w:r w:rsidRPr="00CB7BE9">
        <w:rPr>
          <w:lang w:val="es-ES_tradnl"/>
        </w:rPr>
        <w:tab/>
        <w:t>Interferencia combinada causada por las plataformas HAPS a receptores punto a punto del SF</w:t>
      </w:r>
    </w:p>
    <w:p w:rsidR="001B7A8F" w:rsidRPr="00CB7BE9" w:rsidRDefault="001B7A8F" w:rsidP="001B7A8F">
      <w:pPr>
        <w:rPr>
          <w:lang w:val="es-ES_tradnl"/>
        </w:rPr>
      </w:pPr>
      <w:r w:rsidRPr="00CB7BE9">
        <w:rPr>
          <w:lang w:val="es-ES_tradnl"/>
        </w:rPr>
        <w:t xml:space="preserve">Este punto examina el efecto de los transmisores de la plataforma HAPS que funcionan en múltiples estaciones de pasarela. La Fig. 4 muestra las zonas de coordinación y de exclusión para una </w:t>
      </w:r>
      <w:bookmarkStart w:id="5" w:name="OLE_LINK5"/>
      <w:bookmarkStart w:id="6" w:name="OLE_LINK6"/>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de −20 dB cuando hay 5 enlaces de pasarela equidistantes a una distancia de 36 km desde el nadir de las HAPS. El Cuadro 4 muestra las zonas de coordinación y de exclusión en ese caso. Es evidente que, a causa de la baja ganancia de esta antena en los sectores de los lóbulos laterales lejanos, la combinación de potencia transmitida a las cinco estaciones de pasarela en tierra no genera nuevas zonas. Así sucede claramente en el caso de una </w:t>
      </w:r>
      <w:r w:rsidRPr="00CB7BE9">
        <w:rPr>
          <w:i/>
          <w:iCs/>
          <w:lang w:val="es-ES_tradnl"/>
        </w:rPr>
        <w:t>I</w:t>
      </w:r>
      <w:r w:rsidRPr="00CB7BE9">
        <w:rPr>
          <w:lang w:val="es-ES_tradnl"/>
        </w:rPr>
        <w:t>/</w:t>
      </w:r>
      <w:r w:rsidRPr="00CB7BE9">
        <w:rPr>
          <w:i/>
          <w:iCs/>
          <w:lang w:val="es-ES_tradnl"/>
        </w:rPr>
        <w:t>N</w:t>
      </w:r>
      <w:r w:rsidRPr="00CB7BE9">
        <w:rPr>
          <w:lang w:val="es-ES_tradnl"/>
        </w:rPr>
        <w:t xml:space="preserve"> de −20 dB y, por lo tanto, así sucederá con todos los valores superiores de </w:t>
      </w:r>
      <w:r w:rsidRPr="00CB7BE9">
        <w:rPr>
          <w:i/>
          <w:iCs/>
          <w:lang w:val="es-ES_tradnl"/>
        </w:rPr>
        <w:t>I</w:t>
      </w:r>
      <w:r w:rsidRPr="00CB7BE9">
        <w:rPr>
          <w:lang w:val="es-ES_tradnl"/>
        </w:rPr>
        <w:t>/</w:t>
      </w:r>
      <w:r w:rsidRPr="00CB7BE9">
        <w:rPr>
          <w:i/>
          <w:iCs/>
          <w:lang w:val="es-ES_tradnl"/>
        </w:rPr>
        <w:t>N</w:t>
      </w:r>
      <w:r w:rsidRPr="00CB7BE9">
        <w:rPr>
          <w:lang w:val="es-ES_tradnl"/>
        </w:rPr>
        <w:t>. Esto se debe al rápido descenso de la ganancia de antena al aumentar el ángulo respecto al eje, que es la característica del sistema de antenas de la Resolución 221 (Rev.CMR-07).</w:t>
      </w:r>
    </w:p>
    <w:p w:rsidR="001B7A8F" w:rsidRPr="00CB7BE9" w:rsidRDefault="001B7A8F" w:rsidP="001B7A8F">
      <w:pPr>
        <w:rPr>
          <w:lang w:val="es-ES_tradnl"/>
        </w:rPr>
      </w:pPr>
      <w:r w:rsidRPr="00CB7BE9">
        <w:rPr>
          <w:lang w:val="es-ES_tradnl"/>
        </w:rPr>
        <w:t>Cada una de las zonas de coordinación y de exclusión de la Fig. 4 es virtualmente idéntica a las mismas zonas de la Fig. 3. En el Cuadro 4, estas zonas son 5 veces superiores a los valores del Cuadro 3.</w:t>
      </w:r>
    </w:p>
    <w:bookmarkEnd w:id="5"/>
    <w:bookmarkEnd w:id="6"/>
    <w:p w:rsidR="001B7A8F" w:rsidRPr="00CB7BE9" w:rsidRDefault="001B7A8F" w:rsidP="001B7A8F">
      <w:pPr>
        <w:pStyle w:val="FigureNo"/>
        <w:rPr>
          <w:lang w:val="es-ES_tradnl"/>
        </w:rPr>
      </w:pPr>
      <w:r w:rsidRPr="00CB7BE9">
        <w:rPr>
          <w:lang w:val="es-ES_tradnl"/>
        </w:rPr>
        <w:t>FIGURA 4</w:t>
      </w:r>
    </w:p>
    <w:p w:rsidR="001B7A8F" w:rsidRPr="00CB7BE9" w:rsidRDefault="001B7A8F" w:rsidP="001B7A8F">
      <w:pPr>
        <w:pStyle w:val="Figuretitle"/>
        <w:spacing w:after="240"/>
        <w:rPr>
          <w:lang w:val="es-ES_tradnl"/>
        </w:rPr>
      </w:pPr>
      <w:r w:rsidRPr="00CB7BE9">
        <w:rPr>
          <w:lang w:val="es-ES_tradnl"/>
        </w:rPr>
        <w:t>Zonas de coordinación y de exclusión para sistemas</w:t>
      </w:r>
      <w:r w:rsidRPr="00CB7BE9">
        <w:rPr>
          <w:lang w:val="es-ES_tradnl"/>
        </w:rPr>
        <w:br/>
        <w:t xml:space="preserve">de antenas con 5 enlaces de pasarela, </w:t>
      </w:r>
      <w:r w:rsidRPr="00CB7BE9">
        <w:rPr>
          <w:i/>
          <w:iCs/>
          <w:lang w:val="es-ES_tradnl"/>
        </w:rPr>
        <w:t>I</w:t>
      </w:r>
      <w:r w:rsidRPr="00CB7BE9">
        <w:rPr>
          <w:lang w:val="es-ES_tradnl"/>
        </w:rPr>
        <w:t>/</w:t>
      </w:r>
      <w:r w:rsidRPr="00CB7BE9">
        <w:rPr>
          <w:i/>
          <w:iCs/>
          <w:lang w:val="es-ES_tradnl"/>
        </w:rPr>
        <w:t>N</w:t>
      </w:r>
      <w:r w:rsidRPr="00CB7BE9">
        <w:rPr>
          <w:lang w:val="es-ES_tradnl"/>
        </w:rPr>
        <w:t xml:space="preserve"> = –20 dB</w:t>
      </w:r>
    </w:p>
    <w:p w:rsidR="001B7A8F" w:rsidRPr="00044FB3" w:rsidRDefault="001B7A8F" w:rsidP="001B7A8F">
      <w:pPr>
        <w:pStyle w:val="Figure"/>
      </w:pPr>
      <w:r>
        <w:object w:dxaOrig="9037" w:dyaOrig="7128">
          <v:shape id="_x0000_i1030" type="#_x0000_t75" style="width:369pt;height:291pt" o:ole="" o:allowoverlap="f">
            <v:imagedata r:id="rId24" o:title=""/>
          </v:shape>
          <o:OLEObject Type="Embed" ProgID="CorelDRAW.Graphic.14" ShapeID="_x0000_i1030" DrawAspect="Content" ObjectID="_1390022530" r:id="rId25"/>
        </w:object>
      </w:r>
    </w:p>
    <w:p w:rsidR="001B7A8F" w:rsidRDefault="001B7A8F" w:rsidP="001B7A8F">
      <w:pPr>
        <w:overflowPunct/>
        <w:autoSpaceDE/>
        <w:autoSpaceDN/>
        <w:adjustRightInd/>
        <w:spacing w:before="0"/>
        <w:textAlignment w:val="auto"/>
        <w:rPr>
          <w:caps/>
          <w:sz w:val="20"/>
        </w:rPr>
      </w:pPr>
      <w:r>
        <w:br w:type="page"/>
      </w:r>
    </w:p>
    <w:p w:rsidR="001B7A8F" w:rsidRPr="00CB7BE9" w:rsidRDefault="00CB7BE9" w:rsidP="001B7A8F">
      <w:pPr>
        <w:pStyle w:val="TableNo"/>
        <w:rPr>
          <w:lang w:val="es-ES_tradnl"/>
        </w:rPr>
      </w:pPr>
      <w:r w:rsidRPr="00CB7BE9">
        <w:rPr>
          <w:lang w:val="es-ES_tradnl"/>
        </w:rPr>
        <w:lastRenderedPageBreak/>
        <w:t xml:space="preserve">CUADRO </w:t>
      </w:r>
      <w:r w:rsidR="001B7A8F" w:rsidRPr="00CB7BE9">
        <w:rPr>
          <w:lang w:val="es-ES_tradnl"/>
        </w:rPr>
        <w:t>4</w:t>
      </w:r>
    </w:p>
    <w:p w:rsidR="001B7A8F" w:rsidRPr="00CB7BE9" w:rsidRDefault="001B7A8F" w:rsidP="001B7A8F">
      <w:pPr>
        <w:pStyle w:val="Tabletitle"/>
        <w:rPr>
          <w:lang w:val="es-ES_tradnl"/>
        </w:rPr>
      </w:pPr>
      <w:r w:rsidRPr="00CB7BE9">
        <w:rPr>
          <w:lang w:val="es-ES_tradnl"/>
        </w:rPr>
        <w:t>Superficies de las zonas de coordinación y de exclusión para sistemas</w:t>
      </w:r>
      <w:r w:rsidRPr="00CB7BE9">
        <w:rPr>
          <w:lang w:val="es-ES_tradnl"/>
        </w:rPr>
        <w:br/>
        <w:t>de antenas con 5 pasarelas situadas a 36 km del SPP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1B7A8F" w:rsidRPr="00044FB3" w:rsidTr="00CB7BE9">
        <w:trPr>
          <w:trHeight w:val="255"/>
          <w:tblHeader/>
          <w:jc w:val="center"/>
        </w:trPr>
        <w:tc>
          <w:tcPr>
            <w:tcW w:w="1927" w:type="dxa"/>
            <w:noWrap/>
          </w:tcPr>
          <w:p w:rsidR="001B7A8F" w:rsidRPr="00241F7F" w:rsidRDefault="001B7A8F" w:rsidP="00D536BB">
            <w:pPr>
              <w:pStyle w:val="Tablehead"/>
              <w:rPr>
                <w:rFonts w:ascii="Arial" w:hAnsi="Arial" w:cs="Arial"/>
                <w:i/>
                <w:iCs/>
              </w:rPr>
            </w:pPr>
            <w:r w:rsidRPr="00241F7F">
              <w:rPr>
                <w:i/>
                <w:iCs/>
              </w:rPr>
              <w:t>I</w:t>
            </w:r>
            <w:r w:rsidRPr="006F7081">
              <w:t>/</w:t>
            </w:r>
            <w:r w:rsidRPr="00241F7F">
              <w:rPr>
                <w:i/>
                <w:iCs/>
              </w:rPr>
              <w:t>N</w:t>
            </w:r>
          </w:p>
        </w:tc>
        <w:tc>
          <w:tcPr>
            <w:tcW w:w="1928" w:type="dxa"/>
            <w:noWrap/>
          </w:tcPr>
          <w:p w:rsidR="001B7A8F" w:rsidRPr="00044FB3" w:rsidRDefault="001B7A8F" w:rsidP="00D536BB">
            <w:pPr>
              <w:pStyle w:val="Tablehead"/>
              <w:rPr>
                <w:rFonts w:ascii="Arial" w:hAnsi="Arial" w:cs="Arial"/>
              </w:rPr>
            </w:pPr>
            <w:r w:rsidRPr="00044FB3">
              <w:t>Área 1 (km</w:t>
            </w:r>
            <w:r w:rsidRPr="00044FB3">
              <w:rPr>
                <w:vertAlign w:val="superscript"/>
              </w:rPr>
              <w:t>2</w:t>
            </w:r>
            <w:r w:rsidRPr="00044FB3">
              <w:t>)</w:t>
            </w:r>
          </w:p>
        </w:tc>
        <w:tc>
          <w:tcPr>
            <w:tcW w:w="1928" w:type="dxa"/>
            <w:noWrap/>
          </w:tcPr>
          <w:p w:rsidR="001B7A8F" w:rsidRPr="00044FB3" w:rsidRDefault="001B7A8F" w:rsidP="00D536BB">
            <w:pPr>
              <w:pStyle w:val="Tablehead"/>
              <w:rPr>
                <w:rFonts w:ascii="Arial" w:hAnsi="Arial" w:cs="Arial"/>
              </w:rPr>
            </w:pPr>
            <w:r w:rsidRPr="00044FB3">
              <w:t>Área 2 (km</w:t>
            </w:r>
            <w:r w:rsidRPr="00044FB3">
              <w:rPr>
                <w:vertAlign w:val="superscript"/>
              </w:rPr>
              <w:t>2</w:t>
            </w:r>
            <w:r w:rsidRPr="00044FB3">
              <w:t>)</w:t>
            </w:r>
          </w:p>
        </w:tc>
        <w:tc>
          <w:tcPr>
            <w:tcW w:w="1928" w:type="dxa"/>
            <w:noWrap/>
          </w:tcPr>
          <w:p w:rsidR="001B7A8F" w:rsidRPr="00CB7BE9" w:rsidRDefault="001B7A8F" w:rsidP="00D536BB">
            <w:pPr>
              <w:pStyle w:val="Tablehead"/>
              <w:rPr>
                <w:rFonts w:ascii="Arial" w:hAnsi="Arial" w:cs="Arial"/>
                <w:lang w:val="es-ES_tradnl"/>
              </w:rPr>
            </w:pPr>
            <w:r w:rsidRPr="00CB7BE9">
              <w:rPr>
                <w:lang w:val="es-ES_tradnl"/>
              </w:rPr>
              <w:t>Superficie total de la zona de coordinación (km</w:t>
            </w:r>
            <w:r w:rsidRPr="00CB7BE9">
              <w:rPr>
                <w:vertAlign w:val="superscript"/>
                <w:lang w:val="es-ES_tradnl"/>
              </w:rPr>
              <w:t>2</w:t>
            </w:r>
            <w:r w:rsidRPr="00CB7BE9">
              <w:rPr>
                <w:lang w:val="es-ES_tradnl"/>
              </w:rPr>
              <w:t>)</w:t>
            </w:r>
          </w:p>
        </w:tc>
        <w:tc>
          <w:tcPr>
            <w:tcW w:w="1928" w:type="dxa"/>
            <w:noWrap/>
          </w:tcPr>
          <w:p w:rsidR="001B7A8F" w:rsidRPr="00044FB3" w:rsidRDefault="001B7A8F" w:rsidP="00D536BB">
            <w:pPr>
              <w:pStyle w:val="Tablehead"/>
              <w:rPr>
                <w:rFonts w:ascii="Arial" w:hAnsi="Arial" w:cs="Arial"/>
              </w:rPr>
            </w:pPr>
            <w:r w:rsidRPr="00044FB3">
              <w:t>Zona de exclusión (km</w:t>
            </w:r>
            <w:r w:rsidRPr="00044FB3">
              <w:rPr>
                <w:vertAlign w:val="superscript"/>
              </w:rPr>
              <w:t>2</w:t>
            </w:r>
            <w:r w:rsidRPr="00044FB3">
              <w:t>)</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−20</w:t>
            </w:r>
          </w:p>
        </w:tc>
        <w:tc>
          <w:tcPr>
            <w:tcW w:w="1928" w:type="dxa"/>
            <w:noWrap/>
            <w:vAlign w:val="center"/>
          </w:tcPr>
          <w:p w:rsidR="001B7A8F" w:rsidRPr="00044FB3" w:rsidRDefault="001B7A8F" w:rsidP="00D536BB">
            <w:pPr>
              <w:pStyle w:val="Tabletext"/>
              <w:jc w:val="center"/>
            </w:pPr>
            <w:r w:rsidRPr="00044FB3">
              <w:t>251,8</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251,8</w:t>
            </w:r>
          </w:p>
        </w:tc>
        <w:tc>
          <w:tcPr>
            <w:tcW w:w="1928" w:type="dxa"/>
            <w:noWrap/>
            <w:vAlign w:val="center"/>
          </w:tcPr>
          <w:p w:rsidR="001B7A8F" w:rsidRPr="00044FB3" w:rsidRDefault="001B7A8F" w:rsidP="00D536BB">
            <w:pPr>
              <w:pStyle w:val="Tabletext"/>
              <w:jc w:val="center"/>
            </w:pPr>
            <w:r w:rsidRPr="00044FB3">
              <w:t>33,2</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−19</w:t>
            </w:r>
          </w:p>
        </w:tc>
        <w:tc>
          <w:tcPr>
            <w:tcW w:w="1928" w:type="dxa"/>
            <w:noWrap/>
            <w:vAlign w:val="center"/>
          </w:tcPr>
          <w:p w:rsidR="001B7A8F" w:rsidRPr="00044FB3" w:rsidRDefault="001B7A8F" w:rsidP="00D536BB">
            <w:pPr>
              <w:pStyle w:val="Tabletext"/>
              <w:jc w:val="center"/>
            </w:pPr>
            <w:r w:rsidRPr="00044FB3">
              <w:t>201,1</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201,1</w:t>
            </w:r>
          </w:p>
        </w:tc>
        <w:tc>
          <w:tcPr>
            <w:tcW w:w="1928" w:type="dxa"/>
            <w:noWrap/>
            <w:vAlign w:val="center"/>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−18</w:t>
            </w:r>
          </w:p>
        </w:tc>
        <w:tc>
          <w:tcPr>
            <w:tcW w:w="1928" w:type="dxa"/>
            <w:noWrap/>
            <w:vAlign w:val="center"/>
          </w:tcPr>
          <w:p w:rsidR="001B7A8F" w:rsidRPr="00044FB3" w:rsidRDefault="001B7A8F" w:rsidP="00D536BB">
            <w:pPr>
              <w:pStyle w:val="Tabletext"/>
              <w:jc w:val="center"/>
            </w:pPr>
            <w:r w:rsidRPr="00044FB3">
              <w:t>163,8</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163,8</w:t>
            </w:r>
          </w:p>
        </w:tc>
        <w:tc>
          <w:tcPr>
            <w:tcW w:w="1928" w:type="dxa"/>
            <w:noWrap/>
            <w:vAlign w:val="center"/>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−17</w:t>
            </w:r>
          </w:p>
        </w:tc>
        <w:tc>
          <w:tcPr>
            <w:tcW w:w="1928" w:type="dxa"/>
            <w:noWrap/>
            <w:vAlign w:val="center"/>
          </w:tcPr>
          <w:p w:rsidR="001B7A8F" w:rsidRPr="00044FB3" w:rsidRDefault="001B7A8F" w:rsidP="00D536BB">
            <w:pPr>
              <w:pStyle w:val="Tabletext"/>
              <w:jc w:val="center"/>
            </w:pPr>
            <w:r w:rsidRPr="00044FB3">
              <w:t>120,8</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120,8</w:t>
            </w:r>
          </w:p>
        </w:tc>
        <w:tc>
          <w:tcPr>
            <w:tcW w:w="1928" w:type="dxa"/>
            <w:noWrap/>
            <w:vAlign w:val="center"/>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−16</w:t>
            </w:r>
          </w:p>
        </w:tc>
        <w:tc>
          <w:tcPr>
            <w:tcW w:w="1928" w:type="dxa"/>
            <w:noWrap/>
            <w:vAlign w:val="center"/>
          </w:tcPr>
          <w:p w:rsidR="001B7A8F" w:rsidRPr="00044FB3" w:rsidRDefault="001B7A8F" w:rsidP="00D536BB">
            <w:pPr>
              <w:pStyle w:val="Tabletext"/>
              <w:jc w:val="center"/>
            </w:pPr>
            <w:r w:rsidRPr="00044FB3">
              <w:t>80,1</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80,1</w:t>
            </w:r>
          </w:p>
        </w:tc>
        <w:tc>
          <w:tcPr>
            <w:tcW w:w="1928" w:type="dxa"/>
            <w:noWrap/>
            <w:vAlign w:val="center"/>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−15</w:t>
            </w:r>
          </w:p>
        </w:tc>
        <w:tc>
          <w:tcPr>
            <w:tcW w:w="1928" w:type="dxa"/>
            <w:noWrap/>
            <w:vAlign w:val="center"/>
          </w:tcPr>
          <w:p w:rsidR="001B7A8F" w:rsidRPr="00044FB3" w:rsidRDefault="001B7A8F" w:rsidP="00D536BB">
            <w:pPr>
              <w:pStyle w:val="Tabletext"/>
              <w:jc w:val="center"/>
            </w:pPr>
            <w:r w:rsidRPr="00044FB3">
              <w:t>34,7</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34,7</w:t>
            </w:r>
          </w:p>
        </w:tc>
        <w:tc>
          <w:tcPr>
            <w:tcW w:w="1928" w:type="dxa"/>
            <w:noWrap/>
            <w:vAlign w:val="center"/>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927" w:type="dxa"/>
            <w:noWrap/>
            <w:vAlign w:val="center"/>
          </w:tcPr>
          <w:p w:rsidR="001B7A8F" w:rsidRPr="00044FB3" w:rsidRDefault="001B7A8F" w:rsidP="00D536BB">
            <w:pPr>
              <w:pStyle w:val="Tabletext"/>
              <w:jc w:val="center"/>
            </w:pPr>
            <w:r w:rsidRPr="00044FB3">
              <w:t>−14</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0</w:t>
            </w:r>
          </w:p>
        </w:tc>
        <w:tc>
          <w:tcPr>
            <w:tcW w:w="1928" w:type="dxa"/>
            <w:noWrap/>
            <w:vAlign w:val="center"/>
          </w:tcPr>
          <w:p w:rsidR="001B7A8F" w:rsidRPr="00044FB3" w:rsidRDefault="001B7A8F" w:rsidP="00D536BB">
            <w:pPr>
              <w:pStyle w:val="Tabletext"/>
              <w:jc w:val="center"/>
            </w:pPr>
            <w:r w:rsidRPr="00044FB3">
              <w:t>0</w:t>
            </w:r>
          </w:p>
        </w:tc>
      </w:tr>
    </w:tbl>
    <w:p w:rsidR="00CB7BE9" w:rsidRDefault="00CB7BE9" w:rsidP="00CB7BE9">
      <w:pPr>
        <w:pStyle w:val="Tablefin"/>
      </w:pPr>
    </w:p>
    <w:p w:rsidR="001B7A8F" w:rsidRPr="00CB7BE9" w:rsidRDefault="001B7A8F" w:rsidP="001B7A8F">
      <w:pPr>
        <w:pStyle w:val="Heading1"/>
        <w:rPr>
          <w:lang w:val="es-ES_tradnl"/>
        </w:rPr>
      </w:pPr>
      <w:r w:rsidRPr="00CB7BE9">
        <w:rPr>
          <w:lang w:val="es-ES_tradnl"/>
        </w:rPr>
        <w:t>6</w:t>
      </w:r>
      <w:r w:rsidRPr="00CB7BE9">
        <w:rPr>
          <w:lang w:val="es-ES_tradnl"/>
        </w:rPr>
        <w:tab/>
        <w:t>Examen del ángulo de elevación del SF y de la distancia de la pasarela desde el SPP</w:t>
      </w:r>
    </w:p>
    <w:p w:rsidR="001B7A8F" w:rsidRPr="00CB7BE9" w:rsidRDefault="001B7A8F" w:rsidP="001B7A8F">
      <w:pPr>
        <w:rPr>
          <w:lang w:val="es-ES_tradnl"/>
        </w:rPr>
      </w:pPr>
      <w:r w:rsidRPr="00CB7BE9">
        <w:rPr>
          <w:lang w:val="es-ES_tradnl"/>
        </w:rPr>
        <w:t>En todos los ejemplos anteriores, se ha considerado que el ángulo de elevación de la antena del SF era de 0 grados. Un ángulo de elevación de hasta 5 grados no tiene incidencia en la superficie de las zonas de coordinación y de exclusión para los sistemas de antenas de la Resolución 221. Se mantienen en los valores que se muestran en las Figs. 3 y 4 y en los Cuadros 3 y 4. La utilización de esta antena podría dar lugar a zonas adicionales en las que la interferencia causada a un receptor del SF rebasaría un valor umbral en aquellos casos en los que intervienen grandes ángulos de elevación del SF o para distancias mayores de la estación de pasarela además de unos ángulos de elevación del SF distintos de cero. La Fig. 5 muestra las zonas de coordinación y de exclusión resultantes de un ángulo de elevación de 3 grados si una única pasarela estuviera a 76 km del SPP HAPS. Esta operación obligaría a aumentar la potencia de transmisión a fin de mantener el margen del enlace.</w:t>
      </w:r>
    </w:p>
    <w:p w:rsidR="001B7A8F" w:rsidRPr="00CB7BE9" w:rsidRDefault="001B7A8F" w:rsidP="001B7A8F">
      <w:pPr>
        <w:rPr>
          <w:lang w:val="es-ES_tradnl"/>
        </w:rPr>
      </w:pPr>
      <w:r w:rsidRPr="00CB7BE9">
        <w:rPr>
          <w:lang w:val="es-ES_tradnl"/>
        </w:rPr>
        <w:t xml:space="preserve">Para facilitar los debates, es útil designar como áreas ML-SL y áreas SL-ML las áreas en las que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rebasa un valor umbral a causa del acoplamiento entre el lóbulo principal (ML) de la antena HAPS y los lóbulos laterales (SL) de la antena del SF y las áreas en las que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rebasa un valor umbral a causa del acoplamiento entre los lóbulos laterales de la antena HAPS y el lóbulo principal de la antena del SF, respectivamente. La región geográfica ML-SL solamente es identificable como Área 1 en los acimut situados alrededor del SPP cuando el Área 2 no está presente (superficie cero).</w:t>
      </w:r>
    </w:p>
    <w:p w:rsidR="001B7A8F" w:rsidRPr="00CB7BE9" w:rsidRDefault="001B7A8F" w:rsidP="001B7A8F">
      <w:pPr>
        <w:rPr>
          <w:lang w:val="es-ES_tradnl"/>
        </w:rPr>
      </w:pPr>
      <w:r w:rsidRPr="00CB7BE9">
        <w:rPr>
          <w:lang w:val="es-ES_tradnl"/>
        </w:rPr>
        <w:t xml:space="preserve">Las áreas SL-ML poseen varias características importantes. Una de ellas es que, cuando existen, tienden a ser muy grandes, tal y como se desprende de la superficie total de las zonas de coordinación en el Cuadro 5. Otra es que las áreas SL-ML se dan a una distancia del SPP HAPS superior a la distancia hasta la pasarela, posiblemente fuera de los límites de la línea de visibilidad directa. En acimuts desde el SPP HAPS que pasan cerca de la pasarela, habrá valores para la relación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en los que el Área 1 y el Área 2 coinciden. Por consiguiente, sólo la parte de la región geográfica más grande de la Fig. 5 bloqueada por la región geográfica ML-SL aparecerá en el Área 2. El resto del área de la región geográfica más grande se añadirá a la superficie de la región geográfica ML-SL en el Área 1.</w:t>
      </w:r>
    </w:p>
    <w:p w:rsidR="001B7A8F" w:rsidRPr="00CB7BE9" w:rsidRDefault="001B7A8F" w:rsidP="001B7A8F">
      <w:pPr>
        <w:rPr>
          <w:lang w:val="es-ES_tradnl"/>
        </w:rPr>
      </w:pPr>
      <w:r w:rsidRPr="00CB7BE9">
        <w:rPr>
          <w:lang w:val="es-ES_tradnl"/>
        </w:rPr>
        <w:t>Los parámetros de entrada utilizados para generar la Fig. 5 y el Cuadro 5 no dan lugar a una zona de coordinación SL</w:t>
      </w:r>
      <w:r w:rsidRPr="00CB7BE9">
        <w:rPr>
          <w:lang w:val="es-ES_tradnl"/>
        </w:rPr>
        <w:noBreakHyphen/>
        <w:t xml:space="preserve">ML extremadamente grande. No obstante, la zona de coordinación generada no desaparece hasta que el umbral de </w:t>
      </w:r>
      <w:r w:rsidRPr="00CB7BE9">
        <w:rPr>
          <w:i/>
          <w:szCs w:val="24"/>
          <w:lang w:val="es-ES_tradnl"/>
        </w:rPr>
        <w:t>I</w:t>
      </w:r>
      <w:r w:rsidRPr="00CB7BE9">
        <w:rPr>
          <w:szCs w:val="24"/>
          <w:lang w:val="es-ES_tradnl"/>
        </w:rPr>
        <w:t>/</w:t>
      </w:r>
      <w:r w:rsidRPr="00CB7BE9">
        <w:rPr>
          <w:i/>
          <w:szCs w:val="24"/>
          <w:lang w:val="es-ES_tradnl"/>
        </w:rPr>
        <w:t>N</w:t>
      </w:r>
      <w:r w:rsidRPr="00CB7BE9">
        <w:rPr>
          <w:lang w:val="es-ES_tradnl"/>
        </w:rPr>
        <w:t xml:space="preserve"> es igual o superior a −2 dB.</w:t>
      </w:r>
    </w:p>
    <w:p w:rsidR="001B7A8F" w:rsidRPr="00CB7BE9" w:rsidRDefault="001B7A8F" w:rsidP="001B7A8F">
      <w:pPr>
        <w:pStyle w:val="FigureNo"/>
        <w:rPr>
          <w:lang w:val="es-ES_tradnl"/>
        </w:rPr>
      </w:pPr>
      <w:r w:rsidRPr="00CB7BE9">
        <w:rPr>
          <w:lang w:val="es-ES_tradnl"/>
        </w:rPr>
        <w:lastRenderedPageBreak/>
        <w:t>FigurA 5</w:t>
      </w:r>
    </w:p>
    <w:p w:rsidR="001B7A8F" w:rsidRPr="00CB7BE9" w:rsidRDefault="001B7A8F" w:rsidP="001B7A8F">
      <w:pPr>
        <w:pStyle w:val="Figuretitle"/>
        <w:rPr>
          <w:lang w:val="es-ES_tradnl"/>
        </w:rPr>
      </w:pPr>
      <w:r w:rsidRPr="00CB7BE9">
        <w:rPr>
          <w:lang w:val="es-ES_tradnl"/>
        </w:rPr>
        <w:t>Zonas de coordinación y de exclusión para sistemas de antenas con pasarela</w:t>
      </w:r>
      <w:r w:rsidRPr="00CB7BE9">
        <w:rPr>
          <w:lang w:val="es-ES_tradnl"/>
        </w:rPr>
        <w:br/>
        <w:t xml:space="preserve">a 76 km del nadir, </w:t>
      </w:r>
      <w:r w:rsidRPr="00CB7BE9">
        <w:rPr>
          <w:i/>
          <w:iCs/>
          <w:lang w:val="es-ES_tradnl"/>
        </w:rPr>
        <w:t>P</w:t>
      </w:r>
      <w:r w:rsidRPr="00CB7BE9">
        <w:rPr>
          <w:i/>
          <w:iCs/>
          <w:vertAlign w:val="subscript"/>
          <w:lang w:val="es-ES_tradnl"/>
        </w:rPr>
        <w:t>t</w:t>
      </w:r>
      <w:r w:rsidRPr="00CB7BE9">
        <w:rPr>
          <w:i/>
          <w:iCs/>
          <w:lang w:val="es-ES_tradnl"/>
        </w:rPr>
        <w:t xml:space="preserve"> </w:t>
      </w:r>
      <w:r w:rsidRPr="00CB7BE9">
        <w:rPr>
          <w:lang w:val="es-ES_tradnl"/>
        </w:rPr>
        <w:t xml:space="preserve">= –26,4 dBW/MHz, </w:t>
      </w:r>
      <w:r w:rsidRPr="00CB7BE9">
        <w:rPr>
          <w:i/>
          <w:iCs/>
          <w:lang w:val="es-ES_tradnl"/>
        </w:rPr>
        <w:t>G</w:t>
      </w:r>
      <w:r w:rsidRPr="00CB7BE9">
        <w:rPr>
          <w:i/>
          <w:iCs/>
          <w:vertAlign w:val="subscript"/>
          <w:lang w:val="es-ES_tradnl"/>
        </w:rPr>
        <w:t>tmáx</w:t>
      </w:r>
      <w:r w:rsidRPr="00CB7BE9">
        <w:rPr>
          <w:lang w:val="es-ES_tradnl"/>
        </w:rPr>
        <w:t xml:space="preserve"> = 30 dBi,</w:t>
      </w:r>
      <w:r w:rsidRPr="00CB7BE9">
        <w:rPr>
          <w:lang w:val="es-ES_tradnl"/>
        </w:rPr>
        <w:br/>
        <w:t xml:space="preserve">ángulo de elevación de la antena del SF = 3 grados, </w:t>
      </w:r>
      <w:r w:rsidRPr="00CB7BE9">
        <w:rPr>
          <w:i/>
          <w:iCs/>
          <w:lang w:val="es-ES_tradnl"/>
        </w:rPr>
        <w:t>I</w:t>
      </w:r>
      <w:r w:rsidRPr="00CB7BE9">
        <w:rPr>
          <w:lang w:val="es-ES_tradnl"/>
        </w:rPr>
        <w:t>/</w:t>
      </w:r>
      <w:r w:rsidRPr="00CB7BE9">
        <w:rPr>
          <w:i/>
          <w:iCs/>
          <w:lang w:val="es-ES_tradnl"/>
        </w:rPr>
        <w:t>N</w:t>
      </w:r>
      <w:r w:rsidRPr="00CB7BE9">
        <w:rPr>
          <w:lang w:val="es-ES_tradnl"/>
        </w:rPr>
        <w:t xml:space="preserve"> = −20 dB</w:t>
      </w:r>
    </w:p>
    <w:p w:rsidR="001B7A8F" w:rsidRPr="009E5C18" w:rsidRDefault="001B7A8F" w:rsidP="001B7A8F">
      <w:pPr>
        <w:pStyle w:val="Figure"/>
        <w:rPr>
          <w:lang w:val="en-US"/>
        </w:rPr>
      </w:pPr>
      <w:r>
        <w:object w:dxaOrig="10132" w:dyaOrig="7827">
          <v:shape id="_x0000_i1031" type="#_x0000_t75" style="width:419.25pt;height:323.25pt" o:ole="" o:allowoverlap="f">
            <v:imagedata r:id="rId26" o:title=""/>
          </v:shape>
          <o:OLEObject Type="Embed" ProgID="CorelDRAW.Graphic.14" ShapeID="_x0000_i1031" DrawAspect="Content" ObjectID="_1390022531" r:id="rId27"/>
        </w:object>
      </w:r>
    </w:p>
    <w:p w:rsidR="001B7A8F" w:rsidRPr="00CB7BE9" w:rsidRDefault="00CB7BE9" w:rsidP="001B7A8F">
      <w:pPr>
        <w:pStyle w:val="TableNo"/>
        <w:rPr>
          <w:lang w:val="es-ES_tradnl"/>
        </w:rPr>
      </w:pPr>
      <w:r w:rsidRPr="00CB7BE9">
        <w:rPr>
          <w:lang w:val="es-ES_tradnl"/>
        </w:rPr>
        <w:t xml:space="preserve">CUADRO </w:t>
      </w:r>
      <w:r w:rsidR="001B7A8F" w:rsidRPr="00CB7BE9">
        <w:rPr>
          <w:lang w:val="es-ES_tradnl"/>
        </w:rPr>
        <w:t>5</w:t>
      </w:r>
    </w:p>
    <w:p w:rsidR="001B7A8F" w:rsidRPr="00CB7BE9" w:rsidRDefault="001B7A8F" w:rsidP="001B7A8F">
      <w:pPr>
        <w:pStyle w:val="Tabletitle"/>
        <w:rPr>
          <w:lang w:val="es-ES_tradnl"/>
        </w:rPr>
      </w:pPr>
      <w:r w:rsidRPr="00CB7BE9">
        <w:rPr>
          <w:lang w:val="es-ES_tradnl"/>
        </w:rPr>
        <w:t xml:space="preserve">Superficie de las zonas de coordinación y de exclusión para un sistema de antenas </w:t>
      </w:r>
      <w:r w:rsidRPr="00CB7BE9">
        <w:rPr>
          <w:lang w:val="es-ES_tradnl"/>
        </w:rPr>
        <w:br/>
        <w:t xml:space="preserve">con una única estación de pasarela a 76 km del SPP, </w:t>
      </w:r>
      <w:r w:rsidRPr="00CB7BE9">
        <w:rPr>
          <w:i/>
          <w:iCs/>
          <w:lang w:val="es-ES_tradnl"/>
        </w:rPr>
        <w:t>P</w:t>
      </w:r>
      <w:r w:rsidRPr="00CB7BE9">
        <w:rPr>
          <w:i/>
          <w:iCs/>
          <w:vertAlign w:val="subscript"/>
          <w:lang w:val="es-ES_tradnl"/>
        </w:rPr>
        <w:t>t</w:t>
      </w:r>
      <w:r w:rsidRPr="00CB7BE9">
        <w:rPr>
          <w:vertAlign w:val="subscript"/>
          <w:lang w:val="es-ES_tradnl"/>
        </w:rPr>
        <w:t xml:space="preserve"> </w:t>
      </w:r>
      <w:r w:rsidRPr="00CB7BE9">
        <w:rPr>
          <w:lang w:val="es-ES_tradnl"/>
        </w:rPr>
        <w:t xml:space="preserve">= −24,4 dBW/MHz, </w:t>
      </w:r>
      <w:r w:rsidRPr="00CB7BE9">
        <w:rPr>
          <w:lang w:val="es-ES_tradnl"/>
        </w:rPr>
        <w:br/>
      </w:r>
      <w:r w:rsidRPr="00CB7BE9">
        <w:rPr>
          <w:i/>
          <w:iCs/>
          <w:lang w:val="es-ES_tradnl"/>
        </w:rPr>
        <w:t>G</w:t>
      </w:r>
      <w:r w:rsidRPr="00CB7BE9">
        <w:rPr>
          <w:i/>
          <w:iCs/>
          <w:vertAlign w:val="subscript"/>
          <w:lang w:val="es-ES_tradnl"/>
        </w:rPr>
        <w:t>tmáx</w:t>
      </w:r>
      <w:r w:rsidRPr="00CB7BE9">
        <w:rPr>
          <w:lang w:val="es-ES_tradnl"/>
        </w:rPr>
        <w:t xml:space="preserve"> = 34 dBi, y un ángulo de elevación de antena del SF de 3 grados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1B7A8F" w:rsidRPr="00044FB3" w:rsidTr="00CB7BE9">
        <w:trPr>
          <w:trHeight w:val="255"/>
          <w:tblHeader/>
          <w:jc w:val="center"/>
        </w:trPr>
        <w:tc>
          <w:tcPr>
            <w:tcW w:w="1296" w:type="dxa"/>
            <w:noWrap/>
          </w:tcPr>
          <w:p w:rsidR="001B7A8F" w:rsidRPr="00735361" w:rsidRDefault="001B7A8F" w:rsidP="00D536BB">
            <w:pPr>
              <w:pStyle w:val="Tablehead"/>
              <w:rPr>
                <w:rFonts w:ascii="Arial" w:hAnsi="Arial" w:cs="Arial"/>
                <w:i/>
                <w:iCs/>
              </w:rPr>
            </w:pPr>
            <w:r w:rsidRPr="00735361">
              <w:rPr>
                <w:i/>
                <w:iCs/>
              </w:rPr>
              <w:t>I</w:t>
            </w:r>
            <w:r w:rsidRPr="006F7081">
              <w:t>/</w:t>
            </w:r>
            <w:r w:rsidRPr="00735361">
              <w:rPr>
                <w:i/>
                <w:iCs/>
              </w:rPr>
              <w:t>N</w:t>
            </w:r>
          </w:p>
        </w:tc>
        <w:tc>
          <w:tcPr>
            <w:tcW w:w="1296" w:type="dxa"/>
            <w:noWrap/>
          </w:tcPr>
          <w:p w:rsidR="001B7A8F" w:rsidRPr="00044FB3" w:rsidRDefault="001B7A8F" w:rsidP="00D536BB">
            <w:pPr>
              <w:pStyle w:val="Tablehead"/>
              <w:rPr>
                <w:rFonts w:ascii="Arial" w:hAnsi="Arial" w:cs="Arial"/>
              </w:rPr>
            </w:pPr>
            <w:r w:rsidRPr="00044FB3">
              <w:t>Área 1 (km</w:t>
            </w:r>
            <w:r w:rsidRPr="00044FB3">
              <w:rPr>
                <w:vertAlign w:val="superscript"/>
              </w:rPr>
              <w:t>2</w:t>
            </w:r>
            <w:r w:rsidRPr="00044FB3">
              <w:t>)</w:t>
            </w:r>
          </w:p>
        </w:tc>
        <w:tc>
          <w:tcPr>
            <w:tcW w:w="1296" w:type="dxa"/>
            <w:noWrap/>
          </w:tcPr>
          <w:p w:rsidR="001B7A8F" w:rsidRPr="00044FB3" w:rsidRDefault="001B7A8F" w:rsidP="00D536BB">
            <w:pPr>
              <w:pStyle w:val="Tablehead"/>
              <w:rPr>
                <w:rFonts w:ascii="Arial" w:hAnsi="Arial" w:cs="Arial"/>
              </w:rPr>
            </w:pPr>
            <w:r w:rsidRPr="00044FB3">
              <w:t>Área 2 (km</w:t>
            </w:r>
            <w:r w:rsidRPr="00044FB3">
              <w:rPr>
                <w:vertAlign w:val="superscript"/>
              </w:rPr>
              <w:t>2</w:t>
            </w:r>
            <w:r w:rsidRPr="00044FB3">
              <w:t>)</w:t>
            </w:r>
          </w:p>
        </w:tc>
        <w:tc>
          <w:tcPr>
            <w:tcW w:w="1296" w:type="dxa"/>
            <w:noWrap/>
          </w:tcPr>
          <w:p w:rsidR="001B7A8F" w:rsidRPr="00CB7BE9" w:rsidRDefault="001B7A8F" w:rsidP="00D536BB">
            <w:pPr>
              <w:pStyle w:val="Tablehead"/>
              <w:rPr>
                <w:rFonts w:ascii="Arial" w:hAnsi="Arial" w:cs="Arial"/>
                <w:lang w:val="es-ES_tradnl"/>
              </w:rPr>
            </w:pPr>
            <w:r w:rsidRPr="00CB7BE9">
              <w:rPr>
                <w:lang w:val="es-ES_tradnl"/>
              </w:rPr>
              <w:t>Superficie total de la zona de coordinación (km</w:t>
            </w:r>
            <w:r w:rsidRPr="00CB7BE9">
              <w:rPr>
                <w:vertAlign w:val="superscript"/>
                <w:lang w:val="es-ES_tradnl"/>
              </w:rPr>
              <w:t>2</w:t>
            </w:r>
            <w:r w:rsidRPr="00CB7BE9">
              <w:rPr>
                <w:lang w:val="es-ES_tradnl"/>
              </w:rPr>
              <w:t>)</w:t>
            </w:r>
          </w:p>
        </w:tc>
        <w:tc>
          <w:tcPr>
            <w:tcW w:w="1296" w:type="dxa"/>
            <w:noWrap/>
          </w:tcPr>
          <w:p w:rsidR="001B7A8F" w:rsidRPr="00044FB3" w:rsidRDefault="001B7A8F" w:rsidP="00D536BB">
            <w:pPr>
              <w:pStyle w:val="Tablehead"/>
              <w:rPr>
                <w:rFonts w:ascii="Arial" w:hAnsi="Arial" w:cs="Arial"/>
              </w:rPr>
            </w:pPr>
            <w:r w:rsidRPr="00044FB3">
              <w:t>Zona de exclusión (km</w:t>
            </w:r>
            <w:r w:rsidRPr="00044FB3">
              <w:rPr>
                <w:vertAlign w:val="superscript"/>
              </w:rPr>
              <w:t>2</w:t>
            </w:r>
            <w:r w:rsidRPr="00044FB3">
              <w:t>)</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−20</w:t>
            </w:r>
          </w:p>
        </w:tc>
        <w:tc>
          <w:tcPr>
            <w:tcW w:w="1296" w:type="dxa"/>
            <w:noWrap/>
          </w:tcPr>
          <w:p w:rsidR="001B7A8F" w:rsidRPr="00044FB3" w:rsidRDefault="001B7A8F" w:rsidP="00D536BB">
            <w:pPr>
              <w:pStyle w:val="Tabletext"/>
              <w:jc w:val="center"/>
            </w:pPr>
            <w:r w:rsidRPr="00044FB3">
              <w:t>9</w:t>
            </w:r>
            <w:r>
              <w:t xml:space="preserve"> </w:t>
            </w:r>
            <w:r w:rsidRPr="00044FB3">
              <w:t>931,6</w:t>
            </w:r>
          </w:p>
        </w:tc>
        <w:tc>
          <w:tcPr>
            <w:tcW w:w="1296" w:type="dxa"/>
            <w:noWrap/>
          </w:tcPr>
          <w:p w:rsidR="001B7A8F" w:rsidRPr="00044FB3" w:rsidRDefault="001B7A8F" w:rsidP="00D536BB">
            <w:pPr>
              <w:pStyle w:val="Tabletext"/>
              <w:jc w:val="center"/>
            </w:pPr>
            <w:r w:rsidRPr="00044FB3">
              <w:t>12</w:t>
            </w:r>
            <w:r>
              <w:t xml:space="preserve"> </w:t>
            </w:r>
            <w:r w:rsidRPr="00044FB3">
              <w:t>256</w:t>
            </w:r>
          </w:p>
        </w:tc>
        <w:tc>
          <w:tcPr>
            <w:tcW w:w="1296" w:type="dxa"/>
            <w:noWrap/>
          </w:tcPr>
          <w:p w:rsidR="001B7A8F" w:rsidRPr="00044FB3" w:rsidRDefault="001B7A8F" w:rsidP="00D536BB">
            <w:pPr>
              <w:pStyle w:val="Tabletext"/>
              <w:jc w:val="center"/>
            </w:pPr>
            <w:r w:rsidRPr="00044FB3">
              <w:t>22</w:t>
            </w:r>
            <w:r>
              <w:t xml:space="preserve"> </w:t>
            </w:r>
            <w:r w:rsidRPr="00044FB3">
              <w:t>187,7</w:t>
            </w:r>
          </w:p>
        </w:tc>
        <w:tc>
          <w:tcPr>
            <w:tcW w:w="1296" w:type="dxa"/>
            <w:noWrap/>
          </w:tcPr>
          <w:p w:rsidR="001B7A8F" w:rsidRPr="00044FB3" w:rsidRDefault="001B7A8F" w:rsidP="00D536BB">
            <w:pPr>
              <w:pStyle w:val="Tabletext"/>
              <w:jc w:val="center"/>
            </w:pPr>
            <w:r w:rsidRPr="00044FB3">
              <w:t>63,1</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−19</w:t>
            </w:r>
          </w:p>
        </w:tc>
        <w:tc>
          <w:tcPr>
            <w:tcW w:w="1296" w:type="dxa"/>
            <w:noWrap/>
          </w:tcPr>
          <w:p w:rsidR="001B7A8F" w:rsidRPr="00044FB3" w:rsidRDefault="001B7A8F" w:rsidP="00D536BB">
            <w:pPr>
              <w:pStyle w:val="Tabletext"/>
              <w:jc w:val="center"/>
            </w:pPr>
            <w:r w:rsidRPr="00044FB3">
              <w:t>8</w:t>
            </w:r>
            <w:r>
              <w:t xml:space="preserve"> </w:t>
            </w:r>
            <w:r w:rsidRPr="00044FB3">
              <w:t>593,9</w:t>
            </w:r>
          </w:p>
        </w:tc>
        <w:tc>
          <w:tcPr>
            <w:tcW w:w="1296" w:type="dxa"/>
            <w:noWrap/>
          </w:tcPr>
          <w:p w:rsidR="001B7A8F" w:rsidRPr="00044FB3" w:rsidRDefault="001B7A8F" w:rsidP="00D536BB">
            <w:pPr>
              <w:pStyle w:val="Tabletext"/>
              <w:jc w:val="center"/>
            </w:pPr>
            <w:r w:rsidRPr="00044FB3">
              <w:t>11</w:t>
            </w:r>
            <w:r>
              <w:t xml:space="preserve"> </w:t>
            </w:r>
            <w:r w:rsidRPr="00044FB3">
              <w:t>572,6</w:t>
            </w:r>
          </w:p>
        </w:tc>
        <w:tc>
          <w:tcPr>
            <w:tcW w:w="1296" w:type="dxa"/>
            <w:noWrap/>
          </w:tcPr>
          <w:p w:rsidR="001B7A8F" w:rsidRPr="00044FB3" w:rsidRDefault="001B7A8F" w:rsidP="00D536BB">
            <w:pPr>
              <w:pStyle w:val="Tabletext"/>
              <w:jc w:val="center"/>
            </w:pPr>
            <w:r w:rsidRPr="00044FB3">
              <w:t>20</w:t>
            </w:r>
            <w:r>
              <w:t xml:space="preserve"> </w:t>
            </w:r>
            <w:r w:rsidRPr="00044FB3">
              <w:t>166,6</w:t>
            </w:r>
          </w:p>
        </w:tc>
        <w:tc>
          <w:tcPr>
            <w:tcW w:w="1296" w:type="dxa"/>
            <w:noWrap/>
          </w:tcPr>
          <w:p w:rsidR="001B7A8F" w:rsidRPr="00044FB3" w:rsidRDefault="001B7A8F" w:rsidP="00D536BB">
            <w:pPr>
              <w:pStyle w:val="Tabletext"/>
              <w:jc w:val="center"/>
            </w:pPr>
            <w:r w:rsidRPr="00044FB3">
              <w:t>23,6</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−18</w:t>
            </w:r>
          </w:p>
        </w:tc>
        <w:tc>
          <w:tcPr>
            <w:tcW w:w="1296" w:type="dxa"/>
            <w:noWrap/>
          </w:tcPr>
          <w:p w:rsidR="001B7A8F" w:rsidRPr="00044FB3" w:rsidRDefault="001B7A8F" w:rsidP="00D536BB">
            <w:pPr>
              <w:pStyle w:val="Tabletext"/>
              <w:jc w:val="center"/>
            </w:pPr>
            <w:r w:rsidRPr="00044FB3">
              <w:t>8</w:t>
            </w:r>
            <w:r>
              <w:t xml:space="preserve"> </w:t>
            </w:r>
            <w:r w:rsidRPr="00044FB3">
              <w:t>539,7</w:t>
            </w:r>
          </w:p>
        </w:tc>
        <w:tc>
          <w:tcPr>
            <w:tcW w:w="1296" w:type="dxa"/>
            <w:noWrap/>
          </w:tcPr>
          <w:p w:rsidR="001B7A8F" w:rsidRPr="00044FB3" w:rsidRDefault="001B7A8F" w:rsidP="00D536BB">
            <w:pPr>
              <w:pStyle w:val="Tabletext"/>
              <w:jc w:val="center"/>
            </w:pPr>
            <w:r w:rsidRPr="00044FB3">
              <w:t>8</w:t>
            </w:r>
            <w:r>
              <w:t xml:space="preserve"> </w:t>
            </w:r>
            <w:r w:rsidRPr="00044FB3">
              <w:t>527,3</w:t>
            </w:r>
          </w:p>
        </w:tc>
        <w:tc>
          <w:tcPr>
            <w:tcW w:w="1296" w:type="dxa"/>
            <w:noWrap/>
          </w:tcPr>
          <w:p w:rsidR="001B7A8F" w:rsidRPr="00044FB3" w:rsidRDefault="001B7A8F" w:rsidP="00D536BB">
            <w:pPr>
              <w:pStyle w:val="Tabletext"/>
              <w:jc w:val="center"/>
            </w:pPr>
            <w:r w:rsidRPr="00044FB3">
              <w:t>18</w:t>
            </w:r>
            <w:r>
              <w:t xml:space="preserve"> </w:t>
            </w:r>
            <w:r w:rsidRPr="00044FB3">
              <w:t>226,3</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−17</w:t>
            </w:r>
          </w:p>
        </w:tc>
        <w:tc>
          <w:tcPr>
            <w:tcW w:w="1296" w:type="dxa"/>
            <w:noWrap/>
          </w:tcPr>
          <w:p w:rsidR="001B7A8F" w:rsidRPr="00044FB3" w:rsidRDefault="001B7A8F" w:rsidP="00D536BB">
            <w:pPr>
              <w:pStyle w:val="Tabletext"/>
              <w:jc w:val="center"/>
            </w:pPr>
            <w:r w:rsidRPr="00044FB3">
              <w:t>8</w:t>
            </w:r>
            <w:r>
              <w:t xml:space="preserve"> </w:t>
            </w:r>
            <w:r w:rsidRPr="00044FB3">
              <w:t>544,9</w:t>
            </w:r>
          </w:p>
        </w:tc>
        <w:tc>
          <w:tcPr>
            <w:tcW w:w="1296" w:type="dxa"/>
            <w:noWrap/>
          </w:tcPr>
          <w:p w:rsidR="001B7A8F" w:rsidRPr="00044FB3" w:rsidRDefault="001B7A8F" w:rsidP="00D536BB">
            <w:pPr>
              <w:pStyle w:val="Tabletext"/>
              <w:jc w:val="center"/>
            </w:pPr>
            <w:r w:rsidRPr="00044FB3">
              <w:t>6</w:t>
            </w:r>
            <w:r>
              <w:t xml:space="preserve"> </w:t>
            </w:r>
            <w:r w:rsidRPr="00044FB3">
              <w:t>685,9</w:t>
            </w:r>
          </w:p>
        </w:tc>
        <w:tc>
          <w:tcPr>
            <w:tcW w:w="1296" w:type="dxa"/>
            <w:noWrap/>
          </w:tcPr>
          <w:p w:rsidR="001B7A8F" w:rsidRPr="00044FB3" w:rsidRDefault="001B7A8F" w:rsidP="00D536BB">
            <w:pPr>
              <w:pStyle w:val="Tabletext"/>
              <w:jc w:val="center"/>
            </w:pPr>
            <w:r w:rsidRPr="00044FB3">
              <w:t>16</w:t>
            </w:r>
            <w:r>
              <w:t xml:space="preserve"> </w:t>
            </w:r>
            <w:r w:rsidRPr="00044FB3">
              <w:t>387,3</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−16</w:t>
            </w:r>
          </w:p>
        </w:tc>
        <w:tc>
          <w:tcPr>
            <w:tcW w:w="1296" w:type="dxa"/>
            <w:noWrap/>
          </w:tcPr>
          <w:p w:rsidR="001B7A8F" w:rsidRPr="00044FB3" w:rsidRDefault="001B7A8F" w:rsidP="00D536BB">
            <w:pPr>
              <w:pStyle w:val="Tabletext"/>
              <w:jc w:val="center"/>
            </w:pPr>
            <w:r w:rsidRPr="00044FB3">
              <w:t>7</w:t>
            </w:r>
            <w:r>
              <w:t xml:space="preserve"> </w:t>
            </w:r>
            <w:r w:rsidRPr="00044FB3">
              <w:t>475,1</w:t>
            </w:r>
          </w:p>
        </w:tc>
        <w:tc>
          <w:tcPr>
            <w:tcW w:w="1296" w:type="dxa"/>
            <w:noWrap/>
          </w:tcPr>
          <w:p w:rsidR="001B7A8F" w:rsidRPr="00044FB3" w:rsidRDefault="001B7A8F" w:rsidP="00D536BB">
            <w:pPr>
              <w:pStyle w:val="Tabletext"/>
              <w:jc w:val="center"/>
            </w:pPr>
            <w:r w:rsidRPr="00044FB3">
              <w:t>6</w:t>
            </w:r>
            <w:r>
              <w:t xml:space="preserve"> </w:t>
            </w:r>
            <w:r w:rsidRPr="00044FB3">
              <w:t>038,6</w:t>
            </w:r>
          </w:p>
        </w:tc>
        <w:tc>
          <w:tcPr>
            <w:tcW w:w="1296" w:type="dxa"/>
            <w:noWrap/>
          </w:tcPr>
          <w:p w:rsidR="001B7A8F" w:rsidRPr="00044FB3" w:rsidRDefault="001B7A8F" w:rsidP="00D536BB">
            <w:pPr>
              <w:pStyle w:val="Tabletext"/>
              <w:jc w:val="center"/>
            </w:pPr>
            <w:r w:rsidRPr="00044FB3">
              <w:t>14</w:t>
            </w:r>
            <w:r>
              <w:t xml:space="preserve"> </w:t>
            </w:r>
            <w:r w:rsidRPr="00044FB3">
              <w:t>661,8</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−15</w:t>
            </w:r>
          </w:p>
        </w:tc>
        <w:tc>
          <w:tcPr>
            <w:tcW w:w="1296" w:type="dxa"/>
            <w:noWrap/>
          </w:tcPr>
          <w:p w:rsidR="001B7A8F" w:rsidRPr="00044FB3" w:rsidRDefault="001B7A8F" w:rsidP="00D536BB">
            <w:pPr>
              <w:pStyle w:val="Tabletext"/>
              <w:jc w:val="center"/>
            </w:pPr>
            <w:r w:rsidRPr="00044FB3">
              <w:t>6</w:t>
            </w:r>
            <w:r>
              <w:t xml:space="preserve"> </w:t>
            </w:r>
            <w:r w:rsidRPr="00044FB3">
              <w:t>454,2</w:t>
            </w:r>
          </w:p>
        </w:tc>
        <w:tc>
          <w:tcPr>
            <w:tcW w:w="1296" w:type="dxa"/>
            <w:noWrap/>
          </w:tcPr>
          <w:p w:rsidR="001B7A8F" w:rsidRPr="00044FB3" w:rsidRDefault="001B7A8F" w:rsidP="00D536BB">
            <w:pPr>
              <w:pStyle w:val="Tabletext"/>
              <w:jc w:val="center"/>
            </w:pPr>
            <w:r w:rsidRPr="00044FB3">
              <w:t>2</w:t>
            </w:r>
            <w:r>
              <w:t xml:space="preserve"> </w:t>
            </w:r>
            <w:r w:rsidRPr="00044FB3">
              <w:t>532,3</w:t>
            </w:r>
          </w:p>
        </w:tc>
        <w:tc>
          <w:tcPr>
            <w:tcW w:w="1296" w:type="dxa"/>
            <w:noWrap/>
          </w:tcPr>
          <w:p w:rsidR="001B7A8F" w:rsidRPr="00044FB3" w:rsidRDefault="001B7A8F" w:rsidP="00D536BB">
            <w:pPr>
              <w:pStyle w:val="Tabletext"/>
              <w:jc w:val="center"/>
            </w:pPr>
            <w:r w:rsidRPr="00044FB3">
              <w:t>13</w:t>
            </w:r>
            <w:r>
              <w:t xml:space="preserve"> </w:t>
            </w:r>
            <w:r w:rsidRPr="00044FB3">
              <w:t>027,4</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−14</w:t>
            </w:r>
          </w:p>
        </w:tc>
        <w:tc>
          <w:tcPr>
            <w:tcW w:w="1296" w:type="dxa"/>
            <w:noWrap/>
          </w:tcPr>
          <w:p w:rsidR="001B7A8F" w:rsidRPr="00044FB3" w:rsidRDefault="001B7A8F" w:rsidP="00D536BB">
            <w:pPr>
              <w:pStyle w:val="Tabletext"/>
              <w:jc w:val="center"/>
            </w:pPr>
            <w:r w:rsidRPr="00044FB3">
              <w:t>5</w:t>
            </w:r>
            <w:r>
              <w:t xml:space="preserve"> </w:t>
            </w:r>
            <w:r w:rsidRPr="00044FB3">
              <w:t>475,5</w:t>
            </w:r>
          </w:p>
        </w:tc>
        <w:tc>
          <w:tcPr>
            <w:tcW w:w="1296" w:type="dxa"/>
            <w:noWrap/>
          </w:tcPr>
          <w:p w:rsidR="001B7A8F" w:rsidRPr="00044FB3" w:rsidRDefault="001B7A8F" w:rsidP="00D536BB">
            <w:pPr>
              <w:pStyle w:val="Tabletext"/>
              <w:jc w:val="center"/>
            </w:pPr>
            <w:r w:rsidRPr="00044FB3">
              <w:t>5</w:t>
            </w:r>
            <w:r>
              <w:t xml:space="preserve"> </w:t>
            </w:r>
            <w:r w:rsidRPr="00044FB3">
              <w:t>879,1</w:t>
            </w:r>
          </w:p>
        </w:tc>
        <w:tc>
          <w:tcPr>
            <w:tcW w:w="1296" w:type="dxa"/>
            <w:noWrap/>
          </w:tcPr>
          <w:p w:rsidR="001B7A8F" w:rsidRPr="00044FB3" w:rsidRDefault="001B7A8F" w:rsidP="00D536BB">
            <w:pPr>
              <w:pStyle w:val="Tabletext"/>
              <w:jc w:val="center"/>
            </w:pPr>
            <w:r w:rsidRPr="00044FB3">
              <w:t>11</w:t>
            </w:r>
            <w:r>
              <w:t xml:space="preserve"> </w:t>
            </w:r>
            <w:r w:rsidRPr="00044FB3">
              <w:t>354,6</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−13</w:t>
            </w:r>
          </w:p>
        </w:tc>
        <w:tc>
          <w:tcPr>
            <w:tcW w:w="1296" w:type="dxa"/>
            <w:noWrap/>
          </w:tcPr>
          <w:p w:rsidR="001B7A8F" w:rsidRPr="00044FB3" w:rsidRDefault="001B7A8F" w:rsidP="00D536BB">
            <w:pPr>
              <w:pStyle w:val="Tabletext"/>
              <w:jc w:val="center"/>
            </w:pPr>
            <w:r w:rsidRPr="00044FB3">
              <w:t>5</w:t>
            </w:r>
            <w:r>
              <w:t xml:space="preserve"> </w:t>
            </w:r>
            <w:r w:rsidRPr="00044FB3">
              <w:t>445,1</w:t>
            </w:r>
          </w:p>
        </w:tc>
        <w:tc>
          <w:tcPr>
            <w:tcW w:w="1296" w:type="dxa"/>
            <w:noWrap/>
          </w:tcPr>
          <w:p w:rsidR="001B7A8F" w:rsidRPr="00044FB3" w:rsidRDefault="001B7A8F" w:rsidP="00D536BB">
            <w:pPr>
              <w:pStyle w:val="Tabletext"/>
              <w:jc w:val="center"/>
            </w:pPr>
            <w:r w:rsidRPr="00044FB3">
              <w:t>4</w:t>
            </w:r>
            <w:r>
              <w:t xml:space="preserve"> </w:t>
            </w:r>
            <w:r w:rsidRPr="00044FB3">
              <w:t>640,2</w:t>
            </w:r>
          </w:p>
        </w:tc>
        <w:tc>
          <w:tcPr>
            <w:tcW w:w="1296" w:type="dxa"/>
            <w:noWrap/>
          </w:tcPr>
          <w:p w:rsidR="001B7A8F" w:rsidRPr="00044FB3" w:rsidRDefault="001B7A8F" w:rsidP="00D536BB">
            <w:pPr>
              <w:pStyle w:val="Tabletext"/>
              <w:jc w:val="center"/>
            </w:pPr>
            <w:r w:rsidRPr="00044FB3">
              <w:t>10</w:t>
            </w:r>
            <w:r>
              <w:t xml:space="preserve"> </w:t>
            </w:r>
            <w:r w:rsidRPr="00044FB3">
              <w:t>085,3</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−12</w:t>
            </w:r>
          </w:p>
        </w:tc>
        <w:tc>
          <w:tcPr>
            <w:tcW w:w="1296" w:type="dxa"/>
            <w:noWrap/>
          </w:tcPr>
          <w:p w:rsidR="001B7A8F" w:rsidRPr="00044FB3" w:rsidRDefault="001B7A8F" w:rsidP="00D536BB">
            <w:pPr>
              <w:pStyle w:val="Tabletext"/>
              <w:jc w:val="center"/>
            </w:pPr>
            <w:r w:rsidRPr="00044FB3">
              <w:t>4</w:t>
            </w:r>
            <w:r>
              <w:t xml:space="preserve"> </w:t>
            </w:r>
            <w:r w:rsidRPr="00044FB3">
              <w:t>614,8</w:t>
            </w:r>
          </w:p>
        </w:tc>
        <w:tc>
          <w:tcPr>
            <w:tcW w:w="1296" w:type="dxa"/>
            <w:noWrap/>
          </w:tcPr>
          <w:p w:rsidR="001B7A8F" w:rsidRPr="00044FB3" w:rsidRDefault="001B7A8F" w:rsidP="00D536BB">
            <w:pPr>
              <w:pStyle w:val="Tabletext"/>
              <w:jc w:val="center"/>
            </w:pPr>
            <w:r w:rsidRPr="00044FB3">
              <w:t>4</w:t>
            </w:r>
            <w:r>
              <w:t xml:space="preserve"> </w:t>
            </w:r>
            <w:r w:rsidRPr="00044FB3">
              <w:t>376,5</w:t>
            </w:r>
          </w:p>
        </w:tc>
        <w:tc>
          <w:tcPr>
            <w:tcW w:w="1296" w:type="dxa"/>
            <w:noWrap/>
          </w:tcPr>
          <w:p w:rsidR="001B7A8F" w:rsidRPr="00044FB3" w:rsidRDefault="001B7A8F" w:rsidP="00D536BB">
            <w:pPr>
              <w:pStyle w:val="Tabletext"/>
              <w:jc w:val="center"/>
            </w:pPr>
            <w:r w:rsidRPr="00044FB3">
              <w:t>8</w:t>
            </w:r>
            <w:r>
              <w:t xml:space="preserve"> </w:t>
            </w:r>
            <w:r w:rsidRPr="00044FB3">
              <w:t>991,3</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−11</w:t>
            </w:r>
          </w:p>
        </w:tc>
        <w:tc>
          <w:tcPr>
            <w:tcW w:w="1296" w:type="dxa"/>
            <w:noWrap/>
          </w:tcPr>
          <w:p w:rsidR="001B7A8F" w:rsidRPr="00044FB3" w:rsidRDefault="001B7A8F" w:rsidP="00D536BB">
            <w:pPr>
              <w:pStyle w:val="Tabletext"/>
              <w:jc w:val="center"/>
            </w:pPr>
            <w:r w:rsidRPr="00044FB3">
              <w:t>3</w:t>
            </w:r>
            <w:r>
              <w:t xml:space="preserve"> </w:t>
            </w:r>
            <w:r w:rsidRPr="00044FB3">
              <w:t>804</w:t>
            </w:r>
          </w:p>
        </w:tc>
        <w:tc>
          <w:tcPr>
            <w:tcW w:w="1296" w:type="dxa"/>
            <w:noWrap/>
          </w:tcPr>
          <w:p w:rsidR="001B7A8F" w:rsidRPr="00044FB3" w:rsidRDefault="001B7A8F" w:rsidP="00D536BB">
            <w:pPr>
              <w:pStyle w:val="Tabletext"/>
              <w:jc w:val="center"/>
            </w:pPr>
            <w:r w:rsidRPr="00044FB3">
              <w:t>4</w:t>
            </w:r>
            <w:r>
              <w:t xml:space="preserve"> </w:t>
            </w:r>
            <w:r w:rsidRPr="00044FB3">
              <w:t>100,1</w:t>
            </w:r>
          </w:p>
        </w:tc>
        <w:tc>
          <w:tcPr>
            <w:tcW w:w="1296" w:type="dxa"/>
            <w:noWrap/>
          </w:tcPr>
          <w:p w:rsidR="001B7A8F" w:rsidRPr="00044FB3" w:rsidRDefault="001B7A8F" w:rsidP="00D536BB">
            <w:pPr>
              <w:pStyle w:val="Tabletext"/>
              <w:jc w:val="center"/>
            </w:pPr>
            <w:r w:rsidRPr="00044FB3">
              <w:t>7</w:t>
            </w:r>
            <w:r>
              <w:t xml:space="preserve"> </w:t>
            </w:r>
            <w:r w:rsidRPr="00044FB3">
              <w:t>904,1</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−10</w:t>
            </w:r>
          </w:p>
        </w:tc>
        <w:tc>
          <w:tcPr>
            <w:tcW w:w="1296" w:type="dxa"/>
            <w:noWrap/>
          </w:tcPr>
          <w:p w:rsidR="001B7A8F" w:rsidRPr="00044FB3" w:rsidRDefault="001B7A8F" w:rsidP="00D536BB">
            <w:pPr>
              <w:pStyle w:val="Tabletext"/>
              <w:jc w:val="center"/>
            </w:pPr>
            <w:r w:rsidRPr="00044FB3">
              <w:t>3</w:t>
            </w:r>
            <w:r>
              <w:t xml:space="preserve"> </w:t>
            </w:r>
            <w:r w:rsidRPr="00044FB3">
              <w:t>007</w:t>
            </w:r>
          </w:p>
        </w:tc>
        <w:tc>
          <w:tcPr>
            <w:tcW w:w="1296" w:type="dxa"/>
            <w:noWrap/>
          </w:tcPr>
          <w:p w:rsidR="001B7A8F" w:rsidRPr="00044FB3" w:rsidRDefault="001B7A8F" w:rsidP="00D536BB">
            <w:pPr>
              <w:pStyle w:val="Tabletext"/>
              <w:jc w:val="center"/>
            </w:pPr>
            <w:r w:rsidRPr="00044FB3">
              <w:t>3</w:t>
            </w:r>
            <w:r>
              <w:t xml:space="preserve"> </w:t>
            </w:r>
            <w:r w:rsidRPr="00044FB3">
              <w:t>809,5</w:t>
            </w:r>
          </w:p>
        </w:tc>
        <w:tc>
          <w:tcPr>
            <w:tcW w:w="1296" w:type="dxa"/>
            <w:noWrap/>
          </w:tcPr>
          <w:p w:rsidR="001B7A8F" w:rsidRPr="00044FB3" w:rsidRDefault="001B7A8F" w:rsidP="00D536BB">
            <w:pPr>
              <w:pStyle w:val="Tabletext"/>
              <w:jc w:val="center"/>
            </w:pPr>
            <w:r w:rsidRPr="00044FB3">
              <w:t>6</w:t>
            </w:r>
            <w:r>
              <w:t xml:space="preserve"> </w:t>
            </w:r>
            <w:r w:rsidRPr="00044FB3">
              <w:t>816,5</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lastRenderedPageBreak/>
              <w:t>−9</w:t>
            </w:r>
          </w:p>
        </w:tc>
        <w:tc>
          <w:tcPr>
            <w:tcW w:w="1296" w:type="dxa"/>
            <w:noWrap/>
          </w:tcPr>
          <w:p w:rsidR="001B7A8F" w:rsidRPr="00044FB3" w:rsidRDefault="001B7A8F" w:rsidP="00D536BB">
            <w:pPr>
              <w:pStyle w:val="Tabletext"/>
              <w:jc w:val="center"/>
            </w:pPr>
            <w:r w:rsidRPr="00044FB3">
              <w:t>2</w:t>
            </w:r>
            <w:r>
              <w:t xml:space="preserve"> </w:t>
            </w:r>
            <w:r w:rsidRPr="00044FB3">
              <w:t>963,3</w:t>
            </w:r>
          </w:p>
        </w:tc>
        <w:tc>
          <w:tcPr>
            <w:tcW w:w="1296" w:type="dxa"/>
            <w:noWrap/>
          </w:tcPr>
          <w:p w:rsidR="001B7A8F" w:rsidRPr="00044FB3" w:rsidRDefault="001B7A8F" w:rsidP="00D536BB">
            <w:pPr>
              <w:pStyle w:val="Tabletext"/>
              <w:jc w:val="center"/>
            </w:pPr>
            <w:r w:rsidRPr="00044FB3">
              <w:t>2</w:t>
            </w:r>
            <w:r>
              <w:t xml:space="preserve"> </w:t>
            </w:r>
            <w:r w:rsidRPr="00044FB3">
              <w:t>791,6</w:t>
            </w:r>
          </w:p>
        </w:tc>
        <w:tc>
          <w:tcPr>
            <w:tcW w:w="1296" w:type="dxa"/>
            <w:noWrap/>
          </w:tcPr>
          <w:p w:rsidR="001B7A8F" w:rsidRPr="00044FB3" w:rsidRDefault="001B7A8F" w:rsidP="00D536BB">
            <w:pPr>
              <w:pStyle w:val="Tabletext"/>
              <w:jc w:val="center"/>
            </w:pPr>
            <w:r w:rsidRPr="00044FB3">
              <w:t>5</w:t>
            </w:r>
            <w:r>
              <w:t xml:space="preserve"> </w:t>
            </w:r>
            <w:r w:rsidRPr="00044FB3">
              <w:t>754,8</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−8</w:t>
            </w:r>
          </w:p>
        </w:tc>
        <w:tc>
          <w:tcPr>
            <w:tcW w:w="1296" w:type="dxa"/>
            <w:noWrap/>
          </w:tcPr>
          <w:p w:rsidR="001B7A8F" w:rsidRPr="00044FB3" w:rsidRDefault="001B7A8F" w:rsidP="00D536BB">
            <w:pPr>
              <w:pStyle w:val="Tabletext"/>
              <w:jc w:val="center"/>
            </w:pPr>
            <w:r w:rsidRPr="00044FB3">
              <w:t>2</w:t>
            </w:r>
            <w:r>
              <w:t xml:space="preserve"> </w:t>
            </w:r>
            <w:r w:rsidRPr="00044FB3">
              <w:t>203,8</w:t>
            </w:r>
          </w:p>
        </w:tc>
        <w:tc>
          <w:tcPr>
            <w:tcW w:w="1296" w:type="dxa"/>
            <w:noWrap/>
          </w:tcPr>
          <w:p w:rsidR="001B7A8F" w:rsidRPr="00044FB3" w:rsidRDefault="001B7A8F" w:rsidP="00D536BB">
            <w:pPr>
              <w:pStyle w:val="Tabletext"/>
              <w:jc w:val="center"/>
            </w:pPr>
            <w:r w:rsidRPr="00044FB3">
              <w:t>2</w:t>
            </w:r>
            <w:r>
              <w:t xml:space="preserve"> </w:t>
            </w:r>
            <w:r w:rsidRPr="00044FB3">
              <w:t>535</w:t>
            </w:r>
          </w:p>
        </w:tc>
        <w:tc>
          <w:tcPr>
            <w:tcW w:w="1296" w:type="dxa"/>
            <w:noWrap/>
          </w:tcPr>
          <w:p w:rsidR="001B7A8F" w:rsidRPr="00044FB3" w:rsidRDefault="001B7A8F" w:rsidP="00D536BB">
            <w:pPr>
              <w:pStyle w:val="Tabletext"/>
              <w:jc w:val="center"/>
            </w:pPr>
            <w:r w:rsidRPr="00044FB3">
              <w:t>4</w:t>
            </w:r>
            <w:r>
              <w:t xml:space="preserve"> </w:t>
            </w:r>
            <w:r w:rsidRPr="00044FB3">
              <w:t>738,8</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−7</w:t>
            </w:r>
          </w:p>
        </w:tc>
        <w:tc>
          <w:tcPr>
            <w:tcW w:w="1296" w:type="dxa"/>
            <w:noWrap/>
          </w:tcPr>
          <w:p w:rsidR="001B7A8F" w:rsidRPr="00044FB3" w:rsidRDefault="001B7A8F" w:rsidP="00D536BB">
            <w:pPr>
              <w:pStyle w:val="Tabletext"/>
              <w:jc w:val="center"/>
            </w:pPr>
            <w:r w:rsidRPr="00044FB3">
              <w:t>2</w:t>
            </w:r>
            <w:r>
              <w:t xml:space="preserve"> </w:t>
            </w:r>
            <w:r w:rsidRPr="00044FB3">
              <w:t>074,4</w:t>
            </w:r>
          </w:p>
        </w:tc>
        <w:tc>
          <w:tcPr>
            <w:tcW w:w="1296" w:type="dxa"/>
            <w:noWrap/>
          </w:tcPr>
          <w:p w:rsidR="001B7A8F" w:rsidRPr="00044FB3" w:rsidRDefault="001B7A8F" w:rsidP="00D536BB">
            <w:pPr>
              <w:pStyle w:val="Tabletext"/>
              <w:jc w:val="center"/>
            </w:pPr>
            <w:r w:rsidRPr="00044FB3">
              <w:t>1</w:t>
            </w:r>
            <w:r>
              <w:t xml:space="preserve"> </w:t>
            </w:r>
            <w:r w:rsidRPr="00044FB3">
              <w:t>655,8</w:t>
            </w:r>
          </w:p>
        </w:tc>
        <w:tc>
          <w:tcPr>
            <w:tcW w:w="1296" w:type="dxa"/>
            <w:noWrap/>
          </w:tcPr>
          <w:p w:rsidR="001B7A8F" w:rsidRPr="00044FB3" w:rsidRDefault="001B7A8F" w:rsidP="00D536BB">
            <w:pPr>
              <w:pStyle w:val="Tabletext"/>
              <w:jc w:val="center"/>
            </w:pPr>
            <w:r w:rsidRPr="00044FB3">
              <w:t>3</w:t>
            </w:r>
            <w:r>
              <w:t xml:space="preserve"> </w:t>
            </w:r>
            <w:r w:rsidRPr="00044FB3">
              <w:t>730,2</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−6</w:t>
            </w:r>
          </w:p>
        </w:tc>
        <w:tc>
          <w:tcPr>
            <w:tcW w:w="1296" w:type="dxa"/>
            <w:noWrap/>
          </w:tcPr>
          <w:p w:rsidR="001B7A8F" w:rsidRPr="00044FB3" w:rsidRDefault="001B7A8F" w:rsidP="00D536BB">
            <w:pPr>
              <w:pStyle w:val="Tabletext"/>
              <w:jc w:val="center"/>
            </w:pPr>
            <w:r w:rsidRPr="00044FB3">
              <w:t>1</w:t>
            </w:r>
            <w:r>
              <w:t xml:space="preserve"> </w:t>
            </w:r>
            <w:r w:rsidRPr="00044FB3">
              <w:t>367,8</w:t>
            </w:r>
          </w:p>
        </w:tc>
        <w:tc>
          <w:tcPr>
            <w:tcW w:w="1296" w:type="dxa"/>
            <w:noWrap/>
          </w:tcPr>
          <w:p w:rsidR="001B7A8F" w:rsidRPr="00044FB3" w:rsidRDefault="001B7A8F" w:rsidP="00D536BB">
            <w:pPr>
              <w:pStyle w:val="Tabletext"/>
              <w:jc w:val="center"/>
            </w:pPr>
            <w:r w:rsidRPr="00044FB3">
              <w:t>1</w:t>
            </w:r>
            <w:r>
              <w:t xml:space="preserve"> </w:t>
            </w:r>
            <w:r w:rsidRPr="00044FB3">
              <w:t>437,1</w:t>
            </w:r>
          </w:p>
        </w:tc>
        <w:tc>
          <w:tcPr>
            <w:tcW w:w="1296" w:type="dxa"/>
            <w:noWrap/>
          </w:tcPr>
          <w:p w:rsidR="001B7A8F" w:rsidRPr="00044FB3" w:rsidRDefault="001B7A8F" w:rsidP="00D536BB">
            <w:pPr>
              <w:pStyle w:val="Tabletext"/>
              <w:jc w:val="center"/>
            </w:pPr>
            <w:r w:rsidRPr="00044FB3">
              <w:t>2</w:t>
            </w:r>
            <w:r>
              <w:t xml:space="preserve"> </w:t>
            </w:r>
            <w:r w:rsidRPr="00044FB3">
              <w:t>804,9</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−5</w:t>
            </w:r>
          </w:p>
        </w:tc>
        <w:tc>
          <w:tcPr>
            <w:tcW w:w="1296" w:type="dxa"/>
            <w:noWrap/>
          </w:tcPr>
          <w:p w:rsidR="001B7A8F" w:rsidRPr="00044FB3" w:rsidRDefault="001B7A8F" w:rsidP="00D536BB">
            <w:pPr>
              <w:pStyle w:val="Tabletext"/>
              <w:jc w:val="center"/>
            </w:pPr>
            <w:r w:rsidRPr="00044FB3">
              <w:t>1</w:t>
            </w:r>
            <w:r>
              <w:t xml:space="preserve"> </w:t>
            </w:r>
            <w:r w:rsidRPr="00044FB3">
              <w:t>169,2</w:t>
            </w:r>
          </w:p>
        </w:tc>
        <w:tc>
          <w:tcPr>
            <w:tcW w:w="1296" w:type="dxa"/>
            <w:noWrap/>
          </w:tcPr>
          <w:p w:rsidR="001B7A8F" w:rsidRPr="00044FB3" w:rsidRDefault="001B7A8F" w:rsidP="00D536BB">
            <w:pPr>
              <w:pStyle w:val="Tabletext"/>
              <w:jc w:val="center"/>
            </w:pPr>
            <w:r w:rsidRPr="00044FB3">
              <w:t>733,4</w:t>
            </w:r>
          </w:p>
        </w:tc>
        <w:tc>
          <w:tcPr>
            <w:tcW w:w="1296" w:type="dxa"/>
            <w:noWrap/>
          </w:tcPr>
          <w:p w:rsidR="001B7A8F" w:rsidRPr="00044FB3" w:rsidRDefault="001B7A8F" w:rsidP="00D536BB">
            <w:pPr>
              <w:pStyle w:val="Tabletext"/>
              <w:jc w:val="center"/>
            </w:pPr>
            <w:r w:rsidRPr="00044FB3">
              <w:t>1</w:t>
            </w:r>
            <w:r>
              <w:t xml:space="preserve"> </w:t>
            </w:r>
            <w:r w:rsidRPr="00044FB3">
              <w:t>902,6</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−4</w:t>
            </w:r>
          </w:p>
        </w:tc>
        <w:tc>
          <w:tcPr>
            <w:tcW w:w="1296" w:type="dxa"/>
            <w:noWrap/>
          </w:tcPr>
          <w:p w:rsidR="001B7A8F" w:rsidRPr="00044FB3" w:rsidRDefault="001B7A8F" w:rsidP="00D536BB">
            <w:pPr>
              <w:pStyle w:val="Tabletext"/>
              <w:jc w:val="center"/>
            </w:pPr>
            <w:r w:rsidRPr="00044FB3">
              <w:t>881,3</w:t>
            </w:r>
          </w:p>
        </w:tc>
        <w:tc>
          <w:tcPr>
            <w:tcW w:w="1296" w:type="dxa"/>
            <w:noWrap/>
          </w:tcPr>
          <w:p w:rsidR="001B7A8F" w:rsidRPr="00044FB3" w:rsidRDefault="001B7A8F" w:rsidP="00D536BB">
            <w:pPr>
              <w:pStyle w:val="Tabletext"/>
              <w:jc w:val="center"/>
            </w:pPr>
            <w:r w:rsidRPr="00044FB3">
              <w:t>187,9</w:t>
            </w:r>
          </w:p>
        </w:tc>
        <w:tc>
          <w:tcPr>
            <w:tcW w:w="1296" w:type="dxa"/>
            <w:noWrap/>
          </w:tcPr>
          <w:p w:rsidR="001B7A8F" w:rsidRPr="00044FB3" w:rsidRDefault="001B7A8F" w:rsidP="00D536BB">
            <w:pPr>
              <w:pStyle w:val="Tabletext"/>
              <w:jc w:val="center"/>
            </w:pPr>
            <w:r w:rsidRPr="00044FB3">
              <w:t>1</w:t>
            </w:r>
            <w:r>
              <w:t xml:space="preserve"> </w:t>
            </w:r>
            <w:r w:rsidRPr="00044FB3">
              <w:t>069,2</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−3</w:t>
            </w:r>
          </w:p>
        </w:tc>
        <w:tc>
          <w:tcPr>
            <w:tcW w:w="1296" w:type="dxa"/>
            <w:noWrap/>
          </w:tcPr>
          <w:p w:rsidR="001B7A8F" w:rsidRPr="00044FB3" w:rsidRDefault="001B7A8F" w:rsidP="00D536BB">
            <w:pPr>
              <w:pStyle w:val="Tabletext"/>
              <w:jc w:val="center"/>
            </w:pPr>
            <w:r w:rsidRPr="00044FB3">
              <w:t>255,7</w:t>
            </w:r>
          </w:p>
        </w:tc>
        <w:tc>
          <w:tcPr>
            <w:tcW w:w="1296" w:type="dxa"/>
            <w:noWrap/>
          </w:tcPr>
          <w:p w:rsidR="001B7A8F" w:rsidRPr="00044FB3" w:rsidRDefault="001B7A8F" w:rsidP="00D536BB">
            <w:pPr>
              <w:pStyle w:val="Tabletext"/>
              <w:jc w:val="center"/>
            </w:pPr>
            <w:r w:rsidRPr="00044FB3">
              <w:t>0</w:t>
            </w:r>
          </w:p>
        </w:tc>
        <w:tc>
          <w:tcPr>
            <w:tcW w:w="1296" w:type="dxa"/>
            <w:noWrap/>
          </w:tcPr>
          <w:p w:rsidR="001B7A8F" w:rsidRPr="00044FB3" w:rsidRDefault="001B7A8F" w:rsidP="00D536BB">
            <w:pPr>
              <w:pStyle w:val="Tabletext"/>
              <w:jc w:val="center"/>
            </w:pPr>
            <w:r w:rsidRPr="00044FB3">
              <w:t>255,7</w:t>
            </w:r>
          </w:p>
        </w:tc>
        <w:tc>
          <w:tcPr>
            <w:tcW w:w="1296" w:type="dxa"/>
            <w:noWrap/>
          </w:tcPr>
          <w:p w:rsidR="001B7A8F" w:rsidRPr="00044FB3" w:rsidRDefault="001B7A8F" w:rsidP="00D536BB">
            <w:pPr>
              <w:pStyle w:val="Tabletext"/>
              <w:jc w:val="center"/>
            </w:pPr>
            <w:r w:rsidRPr="00044FB3">
              <w:t>0</w:t>
            </w:r>
          </w:p>
        </w:tc>
      </w:tr>
      <w:tr w:rsidR="001B7A8F" w:rsidRPr="00044FB3" w:rsidTr="00CB7BE9">
        <w:trPr>
          <w:trHeight w:val="255"/>
          <w:jc w:val="center"/>
        </w:trPr>
        <w:tc>
          <w:tcPr>
            <w:tcW w:w="1296" w:type="dxa"/>
            <w:noWrap/>
          </w:tcPr>
          <w:p w:rsidR="001B7A8F" w:rsidRPr="00044FB3" w:rsidRDefault="001B7A8F" w:rsidP="00D536BB">
            <w:pPr>
              <w:pStyle w:val="Tabletext"/>
              <w:jc w:val="center"/>
            </w:pPr>
            <w:r w:rsidRPr="00044FB3">
              <w:t>−2</w:t>
            </w:r>
          </w:p>
        </w:tc>
        <w:tc>
          <w:tcPr>
            <w:tcW w:w="1296" w:type="dxa"/>
            <w:noWrap/>
          </w:tcPr>
          <w:p w:rsidR="001B7A8F" w:rsidRPr="00044FB3" w:rsidRDefault="001B7A8F" w:rsidP="00D536BB">
            <w:pPr>
              <w:pStyle w:val="Tabletext"/>
              <w:jc w:val="center"/>
            </w:pPr>
            <w:r w:rsidRPr="00044FB3">
              <w:t>0</w:t>
            </w:r>
          </w:p>
        </w:tc>
        <w:tc>
          <w:tcPr>
            <w:tcW w:w="1296" w:type="dxa"/>
            <w:noWrap/>
          </w:tcPr>
          <w:p w:rsidR="001B7A8F" w:rsidRPr="00044FB3" w:rsidRDefault="001B7A8F" w:rsidP="00D536BB">
            <w:pPr>
              <w:pStyle w:val="Tabletext"/>
              <w:jc w:val="center"/>
            </w:pPr>
            <w:r w:rsidRPr="00044FB3">
              <w:t>0</w:t>
            </w:r>
          </w:p>
        </w:tc>
        <w:tc>
          <w:tcPr>
            <w:tcW w:w="1296" w:type="dxa"/>
            <w:noWrap/>
          </w:tcPr>
          <w:p w:rsidR="001B7A8F" w:rsidRPr="00044FB3" w:rsidRDefault="001B7A8F" w:rsidP="00D536BB">
            <w:pPr>
              <w:pStyle w:val="Tabletext"/>
              <w:jc w:val="center"/>
            </w:pPr>
            <w:r w:rsidRPr="00044FB3">
              <w:t>0</w:t>
            </w:r>
          </w:p>
        </w:tc>
        <w:tc>
          <w:tcPr>
            <w:tcW w:w="1296" w:type="dxa"/>
            <w:noWrap/>
          </w:tcPr>
          <w:p w:rsidR="001B7A8F" w:rsidRPr="00044FB3" w:rsidRDefault="001B7A8F" w:rsidP="00D536BB">
            <w:pPr>
              <w:pStyle w:val="Tabletext"/>
              <w:jc w:val="center"/>
            </w:pPr>
            <w:r w:rsidRPr="00044FB3">
              <w:t>0</w:t>
            </w:r>
          </w:p>
        </w:tc>
      </w:tr>
    </w:tbl>
    <w:p w:rsidR="001B7A8F" w:rsidRPr="00044FB3" w:rsidRDefault="001B7A8F" w:rsidP="001B7A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40" w:line="600" w:lineRule="auto"/>
        <w:rPr>
          <w:sz w:val="20"/>
        </w:rPr>
      </w:pPr>
    </w:p>
    <w:p w:rsidR="001B7A8F" w:rsidRPr="001B7A8F" w:rsidRDefault="001B7A8F" w:rsidP="001B7A8F">
      <w:pPr>
        <w:jc w:val="center"/>
        <w:rPr>
          <w:lang w:val="es-ES_tradnl"/>
        </w:rPr>
      </w:pPr>
      <w:r w:rsidRPr="00044FB3">
        <w:t>_______________</w:t>
      </w:r>
    </w:p>
    <w:sectPr w:rsidR="001B7A8F" w:rsidRPr="001B7A8F" w:rsidSect="00CB7BE9">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DDD" w:rsidRDefault="00751DDD">
      <w:r>
        <w:separator/>
      </w:r>
    </w:p>
  </w:endnote>
  <w:endnote w:type="continuationSeparator" w:id="0">
    <w:p w:rsidR="00751DDD" w:rsidRDefault="0075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Dotum"/>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DDD" w:rsidRDefault="00751DDD">
      <w:r>
        <w:separator/>
      </w:r>
    </w:p>
  </w:footnote>
  <w:footnote w:type="continuationSeparator" w:id="0">
    <w:p w:rsidR="00751DDD" w:rsidRDefault="00751DDD">
      <w:r>
        <w:continuationSeparator/>
      </w:r>
    </w:p>
  </w:footnote>
  <w:footnote w:id="1">
    <w:p w:rsidR="00BF25E6" w:rsidRPr="00BF25E6" w:rsidRDefault="00BF25E6">
      <w:pPr>
        <w:pStyle w:val="FootnoteText"/>
        <w:rPr>
          <w:lang w:val="es-ES_tradnl"/>
        </w:rPr>
      </w:pPr>
      <w:r w:rsidRPr="00BF25E6">
        <w:rPr>
          <w:rStyle w:val="FootnoteReference"/>
          <w:lang w:val="es-ES_tradnl"/>
        </w:rPr>
        <w:t>*</w:t>
      </w:r>
      <w:r w:rsidRPr="00BF25E6">
        <w:rPr>
          <w:lang w:val="es-ES_tradnl"/>
        </w:rPr>
        <w:t xml:space="preserve"> </w:t>
      </w:r>
      <w:r w:rsidRPr="00BF25E6">
        <w:rPr>
          <w:lang w:val="es-ES_tradnl"/>
        </w:rPr>
        <w:tab/>
      </w:r>
      <w:r w:rsidRPr="00BF25E6">
        <w:rPr>
          <w:lang w:val="es-ES_tradnl"/>
        </w:rPr>
        <w:t>Esta Recomendación se ha elaborado con arreglo al punto 1.20 del orden del día de la Conferencia Mundial de Radiocomunicaciones 2012 (CMR-12). Si la CMR-12 no identificara el espectro en esta banda para los enlaces de pasarela de estaciones en plataformas a gran altitud, esta Recomendación se suprimirá.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8F" w:rsidRDefault="001B7A8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8F" w:rsidRDefault="001B7A8F" w:rsidP="00D62884">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8F" w:rsidRDefault="001B7A8F"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F25E6">
      <w:rPr>
        <w:rStyle w:val="PageNumber"/>
        <w:b/>
        <w:bCs/>
        <w:noProof/>
      </w:rPr>
      <w:t>ii</w:t>
    </w:r>
    <w:r>
      <w:rPr>
        <w:rStyle w:val="PageNumber"/>
        <w:b/>
        <w:bCs/>
      </w:rPr>
      <w:fldChar w:fldCharType="end"/>
    </w:r>
    <w:r>
      <w:tab/>
    </w:r>
    <w:fldSimple w:instr=" DOCPROPERTY &quot;Header&quot; \* MERGEFORMAT ">
      <w:r w:rsidR="00BF25E6" w:rsidRPr="00BF25E6">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F25E6">
      <w:rPr>
        <w:b/>
        <w:bCs/>
        <w:noProof/>
      </w:rPr>
      <w:t>UIT-R  F.2011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A8F" w:rsidRDefault="001B7A8F">
    <w:pPr>
      <w:pStyle w:val="Header"/>
    </w:pPr>
    <w:r>
      <w:tab/>
    </w:r>
    <w:fldSimple w:instr=" DOCPROPERTY &quot;Header&quot; \* MERGEFORMAT ">
      <w:r w:rsidR="00BF25E6" w:rsidRPr="00BF25E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F25E6">
      <w:rPr>
        <w:b/>
        <w:bCs/>
        <w:noProof/>
      </w:rPr>
      <w:t>UIT-R  F.2011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25E6">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373E25">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F25E6">
      <w:rPr>
        <w:rStyle w:val="PageNumber"/>
        <w:b/>
        <w:bCs/>
        <w:noProof/>
        <w:lang w:val="en-US"/>
      </w:rPr>
      <w:t>1</w:t>
    </w:r>
    <w:r>
      <w:rPr>
        <w:rStyle w:val="PageNumber"/>
        <w:b/>
        <w:bCs/>
      </w:rPr>
      <w:fldChar w:fldCharType="end"/>
    </w:r>
    <w:r w:rsidR="00607D68">
      <w:rPr>
        <w:lang w:val="en-US"/>
      </w:rPr>
      <w:tab/>
    </w:r>
    <w:fldSimple w:instr=" DOCPROPERTY &quot;Header&quot; \* MERGEFORMAT ">
      <w:r w:rsidR="00BF25E6" w:rsidRPr="00BF25E6">
        <w:rPr>
          <w:b/>
          <w:bCs/>
          <w:lang w:val="en-US"/>
        </w:rPr>
        <w:t xml:space="preserve">Rec. </w:t>
      </w:r>
    </w:fldSimple>
    <w:r w:rsidR="00607D68" w:rsidRPr="009E00A8">
      <w:rPr>
        <w:b/>
        <w:bCs/>
        <w:lang w:val="en-US"/>
      </w:rPr>
      <w:t xml:space="preserve"> </w:t>
    </w:r>
    <w:r>
      <w:rPr>
        <w:b/>
        <w:bCs/>
      </w:rPr>
      <w:fldChar w:fldCharType="begin"/>
    </w:r>
    <w:r w:rsidR="00607D68">
      <w:rPr>
        <w:b/>
        <w:bCs/>
        <w:lang w:val="en-US"/>
      </w:rPr>
      <w:instrText>styleref href</w:instrText>
    </w:r>
    <w:r>
      <w:rPr>
        <w:b/>
        <w:bCs/>
      </w:rPr>
      <w:fldChar w:fldCharType="separate"/>
    </w:r>
    <w:r w:rsidR="00BF25E6">
      <w:rPr>
        <w:b/>
        <w:bCs/>
        <w:noProof/>
      </w:rPr>
      <w:t>UIT-R  F.2011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F25E6" w:rsidRPr="00BF25E6">
        <w:rPr>
          <w:b/>
          <w:bCs/>
        </w:rPr>
        <w:t xml:space="preserve">Rec. </w:t>
      </w:r>
    </w:fldSimple>
    <w:r>
      <w:rPr>
        <w:b/>
        <w:bCs/>
      </w:rPr>
      <w:t xml:space="preserve"> </w:t>
    </w:r>
    <w:r w:rsidR="00373E25">
      <w:rPr>
        <w:b/>
        <w:bCs/>
      </w:rPr>
      <w:fldChar w:fldCharType="begin"/>
    </w:r>
    <w:r>
      <w:rPr>
        <w:b/>
        <w:bCs/>
      </w:rPr>
      <w:instrText>styleref href</w:instrText>
    </w:r>
    <w:r w:rsidR="00373E25">
      <w:rPr>
        <w:b/>
        <w:bCs/>
      </w:rPr>
      <w:fldChar w:fldCharType="separate"/>
    </w:r>
    <w:r w:rsidR="00BF25E6">
      <w:rPr>
        <w:b/>
        <w:bCs/>
        <w:noProof/>
      </w:rPr>
      <w:t>UIT-R  F.2011</w:t>
    </w:r>
    <w:r w:rsidR="00373E25">
      <w:rPr>
        <w:b/>
        <w:bCs/>
      </w:rPr>
      <w:fldChar w:fldCharType="end"/>
    </w:r>
    <w:r>
      <w:tab/>
    </w:r>
    <w:r w:rsidR="00373E25">
      <w:rPr>
        <w:rStyle w:val="PageNumber"/>
        <w:b/>
        <w:bCs/>
      </w:rPr>
      <w:fldChar w:fldCharType="begin"/>
    </w:r>
    <w:r>
      <w:rPr>
        <w:rStyle w:val="PageNumber"/>
        <w:b/>
        <w:bCs/>
      </w:rPr>
      <w:instrText xml:space="preserve"> PAGE </w:instrText>
    </w:r>
    <w:r w:rsidR="00373E25">
      <w:rPr>
        <w:rStyle w:val="PageNumber"/>
        <w:b/>
        <w:bCs/>
      </w:rPr>
      <w:fldChar w:fldCharType="separate"/>
    </w:r>
    <w:r w:rsidR="00BF25E6">
      <w:rPr>
        <w:rStyle w:val="PageNumber"/>
        <w:b/>
        <w:bCs/>
        <w:noProof/>
      </w:rPr>
      <w:t>1</w:t>
    </w:r>
    <w:r w:rsidR="00373E2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CB7BE9"/>
    <w:rsid w:val="001B7A8F"/>
    <w:rsid w:val="00217EBF"/>
    <w:rsid w:val="00242AEE"/>
    <w:rsid w:val="002D76C4"/>
    <w:rsid w:val="00373E25"/>
    <w:rsid w:val="004366F6"/>
    <w:rsid w:val="0052529D"/>
    <w:rsid w:val="00607D68"/>
    <w:rsid w:val="007468DA"/>
    <w:rsid w:val="00751DDD"/>
    <w:rsid w:val="009E00A8"/>
    <w:rsid w:val="00A6617B"/>
    <w:rsid w:val="00AB0DC8"/>
    <w:rsid w:val="00B44E24"/>
    <w:rsid w:val="00BF25E6"/>
    <w:rsid w:val="00CB7BE9"/>
    <w:rsid w:val="00DF41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7A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73E25"/>
    <w:pPr>
      <w:keepNext/>
      <w:keepLines/>
      <w:spacing w:before="480"/>
      <w:ind w:left="794" w:hanging="794"/>
      <w:outlineLvl w:val="0"/>
    </w:pPr>
    <w:rPr>
      <w:b/>
    </w:rPr>
  </w:style>
  <w:style w:type="paragraph" w:styleId="Heading2">
    <w:name w:val="heading 2"/>
    <w:basedOn w:val="Heading1"/>
    <w:next w:val="Normal"/>
    <w:qFormat/>
    <w:rsid w:val="00373E25"/>
    <w:pPr>
      <w:spacing w:before="320"/>
      <w:outlineLvl w:val="1"/>
    </w:pPr>
  </w:style>
  <w:style w:type="paragraph" w:styleId="Heading3">
    <w:name w:val="heading 3"/>
    <w:basedOn w:val="Heading1"/>
    <w:next w:val="Normal"/>
    <w:qFormat/>
    <w:rsid w:val="00373E25"/>
    <w:pPr>
      <w:spacing w:before="200"/>
      <w:outlineLvl w:val="2"/>
    </w:pPr>
  </w:style>
  <w:style w:type="paragraph" w:styleId="Heading4">
    <w:name w:val="heading 4"/>
    <w:basedOn w:val="Heading3"/>
    <w:next w:val="Normal"/>
    <w:qFormat/>
    <w:rsid w:val="00373E25"/>
    <w:pPr>
      <w:tabs>
        <w:tab w:val="clear" w:pos="794"/>
        <w:tab w:val="left" w:pos="992"/>
      </w:tabs>
      <w:ind w:left="992" w:hanging="992"/>
      <w:outlineLvl w:val="3"/>
    </w:pPr>
  </w:style>
  <w:style w:type="paragraph" w:styleId="Heading5">
    <w:name w:val="heading 5"/>
    <w:basedOn w:val="Heading4"/>
    <w:next w:val="Normal"/>
    <w:qFormat/>
    <w:rsid w:val="00373E25"/>
    <w:pPr>
      <w:outlineLvl w:val="4"/>
    </w:pPr>
  </w:style>
  <w:style w:type="paragraph" w:styleId="Heading6">
    <w:name w:val="heading 6"/>
    <w:basedOn w:val="Heading4"/>
    <w:next w:val="Normal"/>
    <w:qFormat/>
    <w:rsid w:val="00373E25"/>
    <w:pPr>
      <w:tabs>
        <w:tab w:val="clear" w:pos="992"/>
        <w:tab w:val="clear" w:pos="1191"/>
      </w:tabs>
      <w:ind w:left="1588" w:hanging="1588"/>
      <w:outlineLvl w:val="5"/>
    </w:pPr>
  </w:style>
  <w:style w:type="paragraph" w:styleId="Heading7">
    <w:name w:val="heading 7"/>
    <w:basedOn w:val="Heading6"/>
    <w:next w:val="Normal"/>
    <w:qFormat/>
    <w:rsid w:val="00373E25"/>
    <w:pPr>
      <w:outlineLvl w:val="6"/>
    </w:pPr>
  </w:style>
  <w:style w:type="paragraph" w:styleId="Heading8">
    <w:name w:val="heading 8"/>
    <w:basedOn w:val="Heading6"/>
    <w:next w:val="Normal"/>
    <w:qFormat/>
    <w:rsid w:val="00373E25"/>
    <w:pPr>
      <w:outlineLvl w:val="7"/>
    </w:pPr>
  </w:style>
  <w:style w:type="paragraph" w:styleId="Heading9">
    <w:name w:val="heading 9"/>
    <w:basedOn w:val="Heading6"/>
    <w:next w:val="Normal"/>
    <w:qFormat/>
    <w:rsid w:val="00373E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3E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73E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3E25"/>
  </w:style>
  <w:style w:type="paragraph" w:customStyle="1" w:styleId="Headingb">
    <w:name w:val="Heading_b"/>
    <w:basedOn w:val="Heading3"/>
    <w:next w:val="Normal"/>
    <w:rsid w:val="00373E25"/>
    <w:pPr>
      <w:spacing w:before="160"/>
      <w:ind w:left="0" w:firstLine="0"/>
      <w:outlineLvl w:val="9"/>
    </w:pPr>
  </w:style>
  <w:style w:type="paragraph" w:customStyle="1" w:styleId="Headingi">
    <w:name w:val="Heading_i"/>
    <w:basedOn w:val="Heading3"/>
    <w:next w:val="Normal"/>
    <w:rsid w:val="00373E25"/>
    <w:pPr>
      <w:spacing w:before="160"/>
      <w:ind w:left="0" w:firstLine="0"/>
    </w:pPr>
    <w:rPr>
      <w:b w:val="0"/>
      <w:i/>
    </w:rPr>
  </w:style>
  <w:style w:type="character" w:customStyle="1" w:styleId="href">
    <w:name w:val="href"/>
    <w:basedOn w:val="DefaultParagraphFont"/>
    <w:rsid w:val="00373E25"/>
  </w:style>
  <w:style w:type="paragraph" w:customStyle="1" w:styleId="enumlev1">
    <w:name w:val="enumlev1"/>
    <w:basedOn w:val="Normal"/>
    <w:rsid w:val="00373E25"/>
    <w:pPr>
      <w:spacing w:before="80"/>
      <w:ind w:left="794" w:hanging="794"/>
    </w:pPr>
  </w:style>
  <w:style w:type="paragraph" w:customStyle="1" w:styleId="enumlev2">
    <w:name w:val="enumlev2"/>
    <w:basedOn w:val="enumlev1"/>
    <w:rsid w:val="00373E25"/>
    <w:pPr>
      <w:ind w:left="1191" w:hanging="397"/>
    </w:pPr>
  </w:style>
  <w:style w:type="paragraph" w:customStyle="1" w:styleId="enumlev3">
    <w:name w:val="enumlev3"/>
    <w:basedOn w:val="enumlev2"/>
    <w:rsid w:val="00373E25"/>
    <w:pPr>
      <w:ind w:left="1588"/>
    </w:pPr>
  </w:style>
  <w:style w:type="paragraph" w:customStyle="1" w:styleId="Normalaftertitle">
    <w:name w:val="Normal_after_title"/>
    <w:basedOn w:val="Normal"/>
    <w:next w:val="Normal"/>
    <w:rsid w:val="00373E25"/>
    <w:pPr>
      <w:spacing w:before="320"/>
    </w:pPr>
  </w:style>
  <w:style w:type="paragraph" w:customStyle="1" w:styleId="Note">
    <w:name w:val="Note"/>
    <w:basedOn w:val="Normal"/>
    <w:rsid w:val="00373E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73E2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373E25"/>
    <w:pPr>
      <w:jc w:val="center"/>
    </w:pPr>
  </w:style>
  <w:style w:type="paragraph" w:customStyle="1" w:styleId="Recdate">
    <w:name w:val="Rec_date"/>
    <w:basedOn w:val="Recref"/>
    <w:next w:val="Normalaftertitle"/>
    <w:rsid w:val="00373E25"/>
    <w:pPr>
      <w:jc w:val="right"/>
    </w:pPr>
  </w:style>
  <w:style w:type="paragraph" w:customStyle="1" w:styleId="AnnexNoTitle">
    <w:name w:val="Annex_NoTitle"/>
    <w:basedOn w:val="Normal"/>
    <w:next w:val="Normalaftertitle"/>
    <w:rsid w:val="00373E25"/>
    <w:pPr>
      <w:keepNext/>
      <w:keepLines/>
      <w:spacing w:before="480" w:after="80"/>
      <w:jc w:val="center"/>
    </w:pPr>
    <w:rPr>
      <w:b/>
      <w:sz w:val="28"/>
    </w:rPr>
  </w:style>
  <w:style w:type="paragraph" w:customStyle="1" w:styleId="AppendixNoTitle">
    <w:name w:val="Appendix_NoTitle"/>
    <w:basedOn w:val="AnnexNoTitle"/>
    <w:next w:val="Normal"/>
    <w:rsid w:val="00373E25"/>
  </w:style>
  <w:style w:type="paragraph" w:customStyle="1" w:styleId="Tablefin">
    <w:name w:val="Table_fin"/>
    <w:basedOn w:val="Normal"/>
    <w:next w:val="Normal"/>
    <w:rsid w:val="00373E25"/>
    <w:pPr>
      <w:spacing w:before="0"/>
    </w:pPr>
    <w:rPr>
      <w:sz w:val="20"/>
      <w:lang w:val="en-GB"/>
    </w:rPr>
  </w:style>
  <w:style w:type="paragraph" w:customStyle="1" w:styleId="Tablehead">
    <w:name w:val="Table_head"/>
    <w:basedOn w:val="Normal"/>
    <w:next w:val="Normal"/>
    <w:uiPriority w:val="99"/>
    <w:rsid w:val="00373E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3E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373E25"/>
    <w:pPr>
      <w:keepNext/>
      <w:spacing w:before="360" w:after="120"/>
      <w:jc w:val="center"/>
    </w:pPr>
  </w:style>
  <w:style w:type="paragraph" w:customStyle="1" w:styleId="Tabletext">
    <w:name w:val="Table_text"/>
    <w:basedOn w:val="Normal"/>
    <w:link w:val="TabletextChar"/>
    <w:uiPriority w:val="99"/>
    <w:rsid w:val="00373E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373E25"/>
    <w:pPr>
      <w:tabs>
        <w:tab w:val="clear" w:pos="1191"/>
        <w:tab w:val="clear" w:pos="1588"/>
        <w:tab w:val="clear" w:pos="1985"/>
        <w:tab w:val="center" w:pos="4820"/>
        <w:tab w:val="right" w:pos="9639"/>
      </w:tabs>
    </w:pPr>
  </w:style>
  <w:style w:type="paragraph" w:customStyle="1" w:styleId="Equationlegend">
    <w:name w:val="Equation_legend"/>
    <w:basedOn w:val="NormalIndent"/>
    <w:rsid w:val="00373E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3E25"/>
    <w:pPr>
      <w:ind w:left="794"/>
    </w:pPr>
  </w:style>
  <w:style w:type="paragraph" w:customStyle="1" w:styleId="Figurelegend">
    <w:name w:val="Figure_legend"/>
    <w:basedOn w:val="Normal"/>
    <w:rsid w:val="00373E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373E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3E25"/>
    <w:pPr>
      <w:keepNext/>
      <w:keepLines/>
      <w:spacing w:before="480"/>
      <w:jc w:val="center"/>
    </w:pPr>
    <w:rPr>
      <w:sz w:val="28"/>
    </w:rPr>
  </w:style>
  <w:style w:type="paragraph" w:customStyle="1" w:styleId="Arttitle">
    <w:name w:val="Art_title"/>
    <w:basedOn w:val="Normal"/>
    <w:next w:val="Normalaftertitle"/>
    <w:rsid w:val="00373E25"/>
    <w:pPr>
      <w:keepNext/>
      <w:keepLines/>
      <w:spacing w:before="240"/>
      <w:jc w:val="center"/>
    </w:pPr>
    <w:rPr>
      <w:b/>
      <w:sz w:val="28"/>
    </w:rPr>
  </w:style>
  <w:style w:type="paragraph" w:customStyle="1" w:styleId="Blanc">
    <w:name w:val="Blanc"/>
    <w:basedOn w:val="Normal"/>
    <w:next w:val="Tabletext"/>
    <w:rsid w:val="00373E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3E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73E25"/>
    <w:pPr>
      <w:keepNext/>
      <w:keepLines/>
      <w:spacing w:before="160"/>
      <w:ind w:left="794"/>
    </w:pPr>
    <w:rPr>
      <w:i/>
    </w:rPr>
  </w:style>
  <w:style w:type="paragraph" w:customStyle="1" w:styleId="ChapNo">
    <w:name w:val="Chap_No"/>
    <w:basedOn w:val="ArtNo"/>
    <w:next w:val="Chaptitle"/>
    <w:rsid w:val="00373E25"/>
    <w:rPr>
      <w:b/>
    </w:rPr>
  </w:style>
  <w:style w:type="paragraph" w:customStyle="1" w:styleId="Chaptitle">
    <w:name w:val="Chap_title"/>
    <w:basedOn w:val="Arttitle"/>
    <w:next w:val="Normalaftertitle"/>
    <w:rsid w:val="00373E25"/>
  </w:style>
  <w:style w:type="character" w:styleId="FootnoteReference">
    <w:name w:val="footnote reference"/>
    <w:basedOn w:val="DefaultParagraphFont"/>
    <w:semiHidden/>
    <w:rsid w:val="00373E25"/>
    <w:rPr>
      <w:position w:val="6"/>
      <w:sz w:val="18"/>
    </w:rPr>
  </w:style>
  <w:style w:type="paragraph" w:styleId="FootnoteText">
    <w:name w:val="footnote text"/>
    <w:basedOn w:val="Normal"/>
    <w:semiHidden/>
    <w:rsid w:val="00373E25"/>
    <w:pPr>
      <w:keepLines/>
      <w:tabs>
        <w:tab w:val="left" w:pos="255"/>
      </w:tabs>
      <w:ind w:left="255" w:hanging="255"/>
    </w:pPr>
    <w:rPr>
      <w:sz w:val="22"/>
    </w:rPr>
  </w:style>
  <w:style w:type="paragraph" w:styleId="Index1">
    <w:name w:val="index 1"/>
    <w:basedOn w:val="Normal"/>
    <w:next w:val="Normal"/>
    <w:semiHidden/>
    <w:rsid w:val="00373E25"/>
  </w:style>
  <w:style w:type="paragraph" w:styleId="Index2">
    <w:name w:val="index 2"/>
    <w:basedOn w:val="Normal"/>
    <w:next w:val="Normal"/>
    <w:semiHidden/>
    <w:rsid w:val="00373E25"/>
    <w:pPr>
      <w:ind w:left="283"/>
    </w:pPr>
  </w:style>
  <w:style w:type="paragraph" w:styleId="Index3">
    <w:name w:val="index 3"/>
    <w:basedOn w:val="Normal"/>
    <w:next w:val="Normal"/>
    <w:semiHidden/>
    <w:rsid w:val="00373E25"/>
    <w:pPr>
      <w:ind w:left="566"/>
    </w:pPr>
  </w:style>
  <w:style w:type="paragraph" w:styleId="IndexHeading">
    <w:name w:val="index heading"/>
    <w:basedOn w:val="Normal"/>
    <w:next w:val="Index1"/>
    <w:semiHidden/>
    <w:rsid w:val="00373E25"/>
  </w:style>
  <w:style w:type="paragraph" w:customStyle="1" w:styleId="Line">
    <w:name w:val="Line"/>
    <w:basedOn w:val="Normal"/>
    <w:next w:val="Normal"/>
    <w:rsid w:val="00373E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3E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3E25"/>
  </w:style>
  <w:style w:type="paragraph" w:customStyle="1" w:styleId="Partref">
    <w:name w:val="Part_ref"/>
    <w:basedOn w:val="Normal"/>
    <w:next w:val="Normal"/>
    <w:rsid w:val="00373E25"/>
    <w:pPr>
      <w:keepNext/>
      <w:keepLines/>
      <w:spacing w:after="280"/>
      <w:jc w:val="center"/>
    </w:pPr>
  </w:style>
  <w:style w:type="paragraph" w:customStyle="1" w:styleId="Parttitle">
    <w:name w:val="Part_title"/>
    <w:basedOn w:val="Normal"/>
    <w:next w:val="Normalaftertitle"/>
    <w:rsid w:val="00373E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3E25"/>
  </w:style>
  <w:style w:type="paragraph" w:customStyle="1" w:styleId="QuestionNo">
    <w:name w:val="Question_No"/>
    <w:basedOn w:val="RecNo"/>
    <w:next w:val="Normal"/>
    <w:rsid w:val="00373E25"/>
  </w:style>
  <w:style w:type="paragraph" w:customStyle="1" w:styleId="Questionref">
    <w:name w:val="Question_ref"/>
    <w:basedOn w:val="Recref"/>
    <w:next w:val="Questiondate"/>
    <w:rsid w:val="00373E25"/>
  </w:style>
  <w:style w:type="paragraph" w:customStyle="1" w:styleId="Questiontitle">
    <w:name w:val="Question_title"/>
    <w:basedOn w:val="Normal"/>
    <w:next w:val="Questionref"/>
    <w:rsid w:val="00373E25"/>
  </w:style>
  <w:style w:type="paragraph" w:customStyle="1" w:styleId="Reftext">
    <w:name w:val="Ref_text"/>
    <w:basedOn w:val="Normal"/>
    <w:rsid w:val="00373E25"/>
    <w:pPr>
      <w:ind w:left="794" w:hanging="794"/>
    </w:pPr>
    <w:rPr>
      <w:sz w:val="22"/>
    </w:rPr>
  </w:style>
  <w:style w:type="paragraph" w:customStyle="1" w:styleId="Reftitle">
    <w:name w:val="Ref_title"/>
    <w:basedOn w:val="Normal"/>
    <w:next w:val="Reftext"/>
    <w:rsid w:val="00373E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3E25"/>
  </w:style>
  <w:style w:type="paragraph" w:customStyle="1" w:styleId="RepNo">
    <w:name w:val="Rep_No"/>
    <w:basedOn w:val="RecNo"/>
    <w:next w:val="Reptitle"/>
    <w:rsid w:val="00373E25"/>
  </w:style>
  <w:style w:type="paragraph" w:customStyle="1" w:styleId="Repref">
    <w:name w:val="Rep_ref"/>
    <w:basedOn w:val="Recref"/>
    <w:next w:val="Repdate"/>
    <w:rsid w:val="00373E25"/>
  </w:style>
  <w:style w:type="paragraph" w:customStyle="1" w:styleId="Reptitle">
    <w:name w:val="Rep_title"/>
    <w:basedOn w:val="Rectitle"/>
    <w:next w:val="Repref"/>
    <w:rsid w:val="00373E25"/>
  </w:style>
  <w:style w:type="paragraph" w:customStyle="1" w:styleId="Resdate">
    <w:name w:val="Res_date"/>
    <w:basedOn w:val="Recdate"/>
    <w:next w:val="Normalaftertitle"/>
    <w:rsid w:val="00373E25"/>
  </w:style>
  <w:style w:type="paragraph" w:customStyle="1" w:styleId="ResNo">
    <w:name w:val="Res_No"/>
    <w:basedOn w:val="RecNo"/>
    <w:next w:val="Restitle"/>
    <w:rsid w:val="00373E25"/>
  </w:style>
  <w:style w:type="paragraph" w:customStyle="1" w:styleId="Resref">
    <w:name w:val="Res_ref"/>
    <w:basedOn w:val="Recref"/>
    <w:next w:val="Resdate"/>
    <w:rsid w:val="00373E2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73E25"/>
  </w:style>
  <w:style w:type="paragraph" w:customStyle="1" w:styleId="Sectiontitle">
    <w:name w:val="Section_title"/>
    <w:basedOn w:val="Normal"/>
    <w:next w:val="Normalaftertitle"/>
    <w:rsid w:val="00373E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3E25"/>
    <w:pPr>
      <w:tabs>
        <w:tab w:val="clear" w:pos="794"/>
        <w:tab w:val="clear" w:pos="1191"/>
        <w:tab w:val="clear" w:pos="1588"/>
        <w:tab w:val="clear" w:pos="1985"/>
        <w:tab w:val="right" w:pos="9611"/>
      </w:tabs>
    </w:pPr>
    <w:rPr>
      <w:i/>
    </w:rPr>
  </w:style>
  <w:style w:type="paragraph" w:styleId="TOC1">
    <w:name w:val="toc 1"/>
    <w:basedOn w:val="Normal"/>
    <w:semiHidden/>
    <w:rsid w:val="00373E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3E25"/>
    <w:pPr>
      <w:tabs>
        <w:tab w:val="clear" w:pos="567"/>
        <w:tab w:val="left" w:pos="1276"/>
      </w:tabs>
      <w:spacing w:before="160"/>
      <w:ind w:left="1276" w:hanging="709"/>
    </w:pPr>
  </w:style>
  <w:style w:type="paragraph" w:styleId="TOC3">
    <w:name w:val="toc 3"/>
    <w:basedOn w:val="TOC2"/>
    <w:semiHidden/>
    <w:rsid w:val="00373E25"/>
    <w:pPr>
      <w:tabs>
        <w:tab w:val="clear" w:pos="1276"/>
        <w:tab w:val="left" w:pos="2155"/>
      </w:tabs>
      <w:ind w:left="2155" w:hanging="879"/>
    </w:pPr>
  </w:style>
  <w:style w:type="paragraph" w:styleId="TOC4">
    <w:name w:val="toc 4"/>
    <w:basedOn w:val="TOC3"/>
    <w:semiHidden/>
    <w:rsid w:val="00373E25"/>
    <w:pPr>
      <w:tabs>
        <w:tab w:val="left" w:pos="3261"/>
      </w:tabs>
      <w:spacing w:before="80"/>
      <w:ind w:left="3261" w:hanging="993"/>
    </w:pPr>
  </w:style>
  <w:style w:type="paragraph" w:styleId="TOC5">
    <w:name w:val="toc 5"/>
    <w:basedOn w:val="TOC4"/>
    <w:semiHidden/>
    <w:rsid w:val="00373E25"/>
  </w:style>
  <w:style w:type="paragraph" w:styleId="TOC6">
    <w:name w:val="toc 6"/>
    <w:basedOn w:val="TOC4"/>
    <w:semiHidden/>
    <w:rsid w:val="00373E25"/>
  </w:style>
  <w:style w:type="paragraph" w:styleId="TOC7">
    <w:name w:val="toc 7"/>
    <w:basedOn w:val="TOC4"/>
    <w:semiHidden/>
    <w:rsid w:val="00373E25"/>
  </w:style>
  <w:style w:type="paragraph" w:styleId="TOC8">
    <w:name w:val="toc 8"/>
    <w:basedOn w:val="TOC4"/>
    <w:semiHidden/>
    <w:rsid w:val="00373E25"/>
  </w:style>
  <w:style w:type="paragraph" w:customStyle="1" w:styleId="Rectitle">
    <w:name w:val="Rec_title"/>
    <w:basedOn w:val="Normal"/>
    <w:next w:val="Recref"/>
    <w:rsid w:val="00373E25"/>
    <w:pPr>
      <w:keepNext/>
      <w:keepLines/>
      <w:spacing w:before="240"/>
      <w:jc w:val="center"/>
    </w:pPr>
    <w:rPr>
      <w:b/>
      <w:sz w:val="28"/>
    </w:rPr>
  </w:style>
  <w:style w:type="paragraph" w:customStyle="1" w:styleId="Annexref">
    <w:name w:val="Annex_ref"/>
    <w:basedOn w:val="Normal"/>
    <w:next w:val="Normalaftertitle"/>
    <w:rsid w:val="00373E25"/>
    <w:pPr>
      <w:keepNext/>
      <w:keepLines/>
      <w:spacing w:after="280"/>
      <w:jc w:val="center"/>
    </w:pPr>
  </w:style>
  <w:style w:type="paragraph" w:customStyle="1" w:styleId="Appendixref">
    <w:name w:val="Appendix_ref"/>
    <w:basedOn w:val="Annexref"/>
    <w:next w:val="Normalaftertitle"/>
    <w:rsid w:val="00373E25"/>
  </w:style>
  <w:style w:type="paragraph" w:customStyle="1" w:styleId="Figuretitle">
    <w:name w:val="Figure_title"/>
    <w:basedOn w:val="Normal"/>
    <w:next w:val="Figure"/>
    <w:link w:val="FiguretitleChar"/>
    <w:uiPriority w:val="99"/>
    <w:rsid w:val="00373E2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373E25"/>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B7A8F"/>
    <w:rPr>
      <w:b/>
      <w:sz w:val="24"/>
      <w:lang w:val="fr-FR" w:eastAsia="en-US"/>
    </w:rPr>
  </w:style>
  <w:style w:type="character" w:customStyle="1" w:styleId="HeaderChar">
    <w:name w:val="Header Char"/>
    <w:basedOn w:val="DefaultParagraphFont"/>
    <w:link w:val="Header"/>
    <w:rsid w:val="001B7A8F"/>
    <w:rPr>
      <w:sz w:val="24"/>
      <w:lang w:val="fr-FR" w:eastAsia="en-US"/>
    </w:rPr>
  </w:style>
  <w:style w:type="character" w:styleId="Hyperlink">
    <w:name w:val="Hyperlink"/>
    <w:basedOn w:val="DefaultParagraphFont"/>
    <w:rsid w:val="001B7A8F"/>
    <w:rPr>
      <w:color w:val="0000FF"/>
      <w:u w:val="single"/>
    </w:rPr>
  </w:style>
  <w:style w:type="table" w:styleId="TableGrid">
    <w:name w:val="Table Grid"/>
    <w:basedOn w:val="TableNormal"/>
    <w:rsid w:val="001B7A8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
    <w:name w:val="Annex_No"/>
    <w:basedOn w:val="Normal"/>
    <w:next w:val="Normal"/>
    <w:link w:val="AnnexNoChar"/>
    <w:uiPriority w:val="99"/>
    <w:rsid w:val="001B7A8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uiPriority w:val="99"/>
    <w:rsid w:val="001B7A8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paragraph" w:customStyle="1" w:styleId="Normalaftertitle0">
    <w:name w:val="Normal after title"/>
    <w:basedOn w:val="Normal"/>
    <w:next w:val="Normal"/>
    <w:rsid w:val="001B7A8F"/>
    <w:pPr>
      <w:tabs>
        <w:tab w:val="clear" w:pos="794"/>
        <w:tab w:val="clear" w:pos="1191"/>
        <w:tab w:val="clear" w:pos="1588"/>
        <w:tab w:val="clear" w:pos="1985"/>
        <w:tab w:val="left" w:pos="1134"/>
        <w:tab w:val="left" w:pos="1871"/>
        <w:tab w:val="left" w:pos="2268"/>
      </w:tabs>
      <w:spacing w:before="280"/>
      <w:jc w:val="left"/>
    </w:pPr>
    <w:rPr>
      <w:lang w:val="es-ES_tradnl"/>
    </w:rPr>
  </w:style>
  <w:style w:type="character" w:customStyle="1" w:styleId="CallChar">
    <w:name w:val="Call Char"/>
    <w:basedOn w:val="DefaultParagraphFont"/>
    <w:link w:val="Call"/>
    <w:uiPriority w:val="99"/>
    <w:locked/>
    <w:rsid w:val="001B7A8F"/>
    <w:rPr>
      <w:i/>
      <w:sz w:val="24"/>
      <w:lang w:val="fr-FR" w:eastAsia="en-US"/>
    </w:rPr>
  </w:style>
  <w:style w:type="character" w:customStyle="1" w:styleId="AnnexNoChar">
    <w:name w:val="Annex_No Char"/>
    <w:link w:val="AnnexNo"/>
    <w:uiPriority w:val="99"/>
    <w:locked/>
    <w:rsid w:val="001B7A8F"/>
    <w:rPr>
      <w:caps/>
      <w:sz w:val="28"/>
      <w:lang w:val="es-ES_tradnl" w:eastAsia="en-US"/>
    </w:rPr>
  </w:style>
  <w:style w:type="character" w:customStyle="1" w:styleId="FigureNoChar">
    <w:name w:val="Figure_No Char"/>
    <w:basedOn w:val="DefaultParagraphFont"/>
    <w:link w:val="FigureNo"/>
    <w:uiPriority w:val="99"/>
    <w:locked/>
    <w:rsid w:val="001B7A8F"/>
    <w:rPr>
      <w:caps/>
      <w:sz w:val="18"/>
      <w:lang w:val="fr-FR" w:eastAsia="en-US"/>
    </w:rPr>
  </w:style>
  <w:style w:type="character" w:customStyle="1" w:styleId="EquationChar">
    <w:name w:val="Equation Char"/>
    <w:basedOn w:val="DefaultParagraphFont"/>
    <w:link w:val="Equation"/>
    <w:uiPriority w:val="99"/>
    <w:locked/>
    <w:rsid w:val="001B7A8F"/>
    <w:rPr>
      <w:sz w:val="24"/>
      <w:lang w:val="fr-FR" w:eastAsia="en-US"/>
    </w:rPr>
  </w:style>
  <w:style w:type="character" w:customStyle="1" w:styleId="TabletextChar">
    <w:name w:val="Table_text Char"/>
    <w:basedOn w:val="DefaultParagraphFont"/>
    <w:link w:val="Tabletext"/>
    <w:uiPriority w:val="99"/>
    <w:locked/>
    <w:rsid w:val="001B7A8F"/>
    <w:rPr>
      <w:sz w:val="22"/>
      <w:lang w:val="fr-FR" w:eastAsia="en-US"/>
    </w:rPr>
  </w:style>
  <w:style w:type="character" w:customStyle="1" w:styleId="TabletitleChar">
    <w:name w:val="Table_title Char"/>
    <w:basedOn w:val="DefaultParagraphFont"/>
    <w:link w:val="Tabletitle"/>
    <w:uiPriority w:val="99"/>
    <w:locked/>
    <w:rsid w:val="001B7A8F"/>
    <w:rPr>
      <w:b/>
      <w:sz w:val="24"/>
      <w:lang w:val="fr-FR" w:eastAsia="en-US"/>
    </w:rPr>
  </w:style>
  <w:style w:type="character" w:customStyle="1" w:styleId="TableNo0">
    <w:name w:val="Table_No Знак"/>
    <w:basedOn w:val="DefaultParagraphFont"/>
    <w:link w:val="TableNo"/>
    <w:uiPriority w:val="99"/>
    <w:locked/>
    <w:rsid w:val="001B7A8F"/>
    <w:rPr>
      <w:sz w:val="24"/>
      <w:lang w:val="fr-FR" w:eastAsia="en-US"/>
    </w:rPr>
  </w:style>
  <w:style w:type="character" w:customStyle="1" w:styleId="FiguretitleChar">
    <w:name w:val="Figure_title Char"/>
    <w:basedOn w:val="DefaultParagraphFont"/>
    <w:link w:val="Figuretitle"/>
    <w:uiPriority w:val="99"/>
    <w:locked/>
    <w:rsid w:val="001B7A8F"/>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DEEFD-8219-4C72-87A4-9076AB83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13</Pages>
  <Words>3507</Words>
  <Characters>19714</Characters>
  <Application>Microsoft Office Word</Application>
  <DocSecurity>0</DocSecurity>
  <Lines>704</Lines>
  <Paragraphs>234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$bhandary</dc:creator>
  <cp:keywords/>
  <dc:description/>
  <cp:lastModifiedBy>Gachet, Christelle</cp:lastModifiedBy>
  <cp:revision>4</cp:revision>
  <cp:lastPrinted>2012-02-06T07:32:00Z</cp:lastPrinted>
  <dcterms:created xsi:type="dcterms:W3CDTF">2012-02-04T16:44:00Z</dcterms:created>
  <dcterms:modified xsi:type="dcterms:W3CDTF">2012-02-06T07:32:00Z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