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736EC5">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736EC5" w:rsidRPr="00736EC5">
              <w:rPr>
                <w:rFonts w:ascii="Tahoma" w:hAnsi="Tahoma" w:cs="Tahoma"/>
                <w:b/>
                <w:bCs/>
                <w:iCs/>
                <w:color w:val="243285"/>
                <w:sz w:val="36"/>
                <w:szCs w:val="36"/>
                <w:lang w:val="en-GB"/>
              </w:rPr>
              <w:t>2119-0</w:t>
            </w:r>
          </w:p>
          <w:p w:rsidR="00FE79FE" w:rsidRPr="004F65E4" w:rsidRDefault="00FE79FE" w:rsidP="00736EC5">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736EC5" w:rsidRPr="00736EC5">
              <w:rPr>
                <w:rFonts w:ascii="Tahoma" w:hAnsi="Tahoma" w:cs="Tahoma"/>
                <w:b/>
                <w:bCs/>
                <w:iCs/>
                <w:color w:val="243285"/>
                <w:szCs w:val="24"/>
                <w:lang w:val="en-GB"/>
              </w:rPr>
              <w:t>01/2019</w:t>
            </w:r>
            <w:r w:rsidRPr="004F65E4">
              <w:rPr>
                <w:rFonts w:ascii="Tahoma" w:hAnsi="Tahoma" w:cs="Tahoma"/>
                <w:b/>
                <w:bCs/>
                <w:iCs/>
                <w:color w:val="243285"/>
                <w:szCs w:val="24"/>
              </w:rPr>
              <w:t>)</w:t>
            </w:r>
          </w:p>
        </w:tc>
      </w:tr>
      <w:tr w:rsidR="00FE79FE" w:rsidRPr="00B03E83">
        <w:tc>
          <w:tcPr>
            <w:tcW w:w="10089" w:type="dxa"/>
          </w:tcPr>
          <w:p w:rsidR="00013002" w:rsidRPr="00F83405" w:rsidRDefault="00013002" w:rsidP="00FE79FE">
            <w:pPr>
              <w:spacing w:before="80" w:line="500" w:lineRule="exact"/>
              <w:jc w:val="right"/>
              <w:rPr>
                <w:rFonts w:ascii="Tahoma" w:hAnsi="Tahoma" w:cs="Tahoma"/>
                <w:b/>
                <w:bCs/>
                <w:iCs/>
                <w:color w:val="243285"/>
                <w:sz w:val="44"/>
                <w:szCs w:val="44"/>
                <w:lang w:val="en-GB"/>
              </w:rPr>
            </w:pPr>
          </w:p>
          <w:p w:rsidR="00FE79FE" w:rsidRPr="001511A6" w:rsidRDefault="000B7798" w:rsidP="002448C9">
            <w:pPr>
              <w:spacing w:before="80" w:line="500" w:lineRule="exact"/>
              <w:jc w:val="right"/>
              <w:rPr>
                <w:rFonts w:ascii="Tahoma" w:hAnsi="Tahoma" w:cs="Tahoma"/>
                <w:b/>
                <w:bCs/>
                <w:iCs/>
                <w:color w:val="243285"/>
                <w:sz w:val="44"/>
                <w:szCs w:val="44"/>
                <w:lang w:val="en-US"/>
              </w:rPr>
            </w:pPr>
            <w:r w:rsidRPr="002448C9">
              <w:rPr>
                <w:rFonts w:ascii="Tahoma" w:hAnsi="Tahoma" w:cs="Tahoma"/>
                <w:b/>
                <w:bCs/>
                <w:iCs/>
                <w:color w:val="243285"/>
                <w:sz w:val="44"/>
                <w:szCs w:val="44"/>
                <w:lang w:val="en-GB"/>
              </w:rPr>
              <w:t>Guidance on technical parameters and methodologies for sharing and compatibility studies related to fixed and land mobile services in the frequency range 1.5-30 MHz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Pr="00553527" w:rsidRDefault="00677965" w:rsidP="00677965">
            <w:pPr>
              <w:spacing w:before="80" w:line="280" w:lineRule="exact"/>
              <w:ind w:right="640"/>
              <w:rPr>
                <w:rFonts w:ascii="Tahoma" w:hAnsi="Tahoma" w:cs="Tahoma"/>
                <w:b/>
                <w:bCs/>
                <w:iCs/>
                <w:color w:val="243285"/>
                <w:sz w:val="32"/>
                <w:szCs w:val="32"/>
                <w:lang w:val="en-US"/>
              </w:rPr>
            </w:pPr>
          </w:p>
          <w:p w:rsidR="00677965" w:rsidRPr="00553527" w:rsidRDefault="00677965" w:rsidP="00677965">
            <w:pPr>
              <w:spacing w:before="80" w:line="280" w:lineRule="exact"/>
              <w:ind w:right="640"/>
              <w:rPr>
                <w:rFonts w:ascii="Tahoma" w:hAnsi="Tahoma" w:cs="Tahoma"/>
                <w:b/>
                <w:bCs/>
                <w:iCs/>
                <w:color w:val="243285"/>
                <w:sz w:val="32"/>
                <w:szCs w:val="32"/>
                <w:lang w:val="en-US"/>
              </w:rPr>
            </w:pPr>
          </w:p>
          <w:p w:rsidR="00677965" w:rsidRPr="00553527" w:rsidRDefault="00677965" w:rsidP="00677965">
            <w:pPr>
              <w:spacing w:before="80" w:after="180" w:line="360" w:lineRule="exact"/>
              <w:ind w:right="720"/>
              <w:rPr>
                <w:rFonts w:ascii="Tahoma" w:hAnsi="Tahoma" w:cs="Tahoma"/>
                <w:b/>
                <w:bCs/>
                <w:iCs/>
                <w:color w:val="243285"/>
                <w:sz w:val="36"/>
                <w:szCs w:val="36"/>
                <w:lang w:val="en-US"/>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594CD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B03E8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B03E8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B03E8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B03E8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B03E8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596902">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w:t>
      </w:r>
      <w:r w:rsidR="00596902">
        <w:rPr>
          <w:sz w:val="20"/>
          <w:lang w:val="en-US"/>
        </w:rPr>
        <w:t>9</w:t>
      </w:r>
    </w:p>
    <w:p w:rsidR="00470E28" w:rsidRDefault="00470E28" w:rsidP="00906589">
      <w:pPr>
        <w:jc w:val="center"/>
        <w:rPr>
          <w:sz w:val="22"/>
          <w:lang w:val="en-US"/>
        </w:rPr>
      </w:pPr>
    </w:p>
    <w:p w:rsidR="00586EF8" w:rsidRPr="00470E28" w:rsidRDefault="00586EF8" w:rsidP="00596902">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6A75CC">
        <w:rPr>
          <w:sz w:val="20"/>
          <w:lang w:val="en-US"/>
        </w:rPr>
        <w:t>1</w:t>
      </w:r>
      <w:r w:rsidR="00596902">
        <w:rPr>
          <w:sz w:val="20"/>
          <w:lang w:val="en-US"/>
        </w:rPr>
        <w:t>9</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0B7798" w:rsidRPr="00F83405" w:rsidRDefault="00934ED7" w:rsidP="000B7798">
      <w:pPr>
        <w:pStyle w:val="RecNo"/>
        <w:rPr>
          <w:lang w:val="en-GB"/>
        </w:rPr>
      </w:pPr>
      <w:bookmarkStart w:id="3" w:name="irecnoe"/>
      <w:bookmarkEnd w:id="3"/>
      <w:r w:rsidRPr="00F83405">
        <w:rPr>
          <w:lang w:val="en-GB"/>
        </w:rPr>
        <w:lastRenderedPageBreak/>
        <w:t xml:space="preserve">RECOMMENDATION  </w:t>
      </w:r>
      <w:r w:rsidRPr="00F83405">
        <w:rPr>
          <w:rStyle w:val="href"/>
          <w:lang w:val="en-GB"/>
        </w:rPr>
        <w:t xml:space="preserve">ITU-R  </w:t>
      </w:r>
      <w:r w:rsidR="00E406BD" w:rsidRPr="00F83405">
        <w:rPr>
          <w:rStyle w:val="href"/>
          <w:lang w:val="en-GB"/>
        </w:rPr>
        <w:t>F</w:t>
      </w:r>
      <w:r w:rsidRPr="00F83405">
        <w:rPr>
          <w:rStyle w:val="href"/>
          <w:lang w:val="en-GB"/>
        </w:rPr>
        <w:t>.</w:t>
      </w:r>
      <w:r w:rsidR="000B7798" w:rsidRPr="00F83405">
        <w:rPr>
          <w:rStyle w:val="href"/>
          <w:lang w:val="en-GB"/>
        </w:rPr>
        <w:t>2119-0</w:t>
      </w:r>
    </w:p>
    <w:p w:rsidR="000B7798" w:rsidRDefault="000B7798" w:rsidP="002448C9">
      <w:pPr>
        <w:pStyle w:val="Rectitle"/>
        <w:rPr>
          <w:lang w:val="en-GB" w:eastAsia="zh-CN"/>
        </w:rPr>
      </w:pPr>
      <w:r w:rsidRPr="000B7798">
        <w:rPr>
          <w:lang w:val="en-GB" w:eastAsia="zh-CN"/>
        </w:rPr>
        <w:t xml:space="preserve">Guidance on technical parameters and methodologies for sharing and compatibility studies related to fixed and land mobile services </w:t>
      </w:r>
      <w:r w:rsidR="00916711">
        <w:rPr>
          <w:lang w:val="en-GB" w:eastAsia="zh-CN"/>
        </w:rPr>
        <w:br/>
      </w:r>
      <w:r w:rsidRPr="000B7798">
        <w:rPr>
          <w:lang w:val="en-GB" w:eastAsia="zh-CN"/>
        </w:rPr>
        <w:t>in the frequency range 1.5-30 MHz</w:t>
      </w:r>
    </w:p>
    <w:p w:rsidR="00F83405" w:rsidRPr="00F83405" w:rsidRDefault="00F83405" w:rsidP="00F83405">
      <w:pPr>
        <w:pStyle w:val="Recdate"/>
        <w:rPr>
          <w:lang w:val="en-GB" w:eastAsia="zh-CN"/>
        </w:rPr>
      </w:pPr>
      <w:r>
        <w:rPr>
          <w:lang w:val="en-GB" w:eastAsia="zh-CN"/>
        </w:rPr>
        <w:t>(2019)</w:t>
      </w:r>
    </w:p>
    <w:p w:rsidR="000B7798" w:rsidRPr="00F83405" w:rsidRDefault="000B7798" w:rsidP="006C01B5">
      <w:pPr>
        <w:pStyle w:val="HeadingSum"/>
        <w:rPr>
          <w:lang w:val="en-GB"/>
        </w:rPr>
      </w:pPr>
      <w:r w:rsidRPr="00F83405">
        <w:rPr>
          <w:lang w:val="en-GB"/>
        </w:rPr>
        <w:t>Scope</w:t>
      </w:r>
    </w:p>
    <w:p w:rsidR="000B7798" w:rsidRPr="00F83405" w:rsidRDefault="000B7798" w:rsidP="006C01B5">
      <w:pPr>
        <w:pStyle w:val="Summary"/>
        <w:rPr>
          <w:szCs w:val="24"/>
          <w:lang w:val="en-GB"/>
        </w:rPr>
      </w:pPr>
      <w:r w:rsidRPr="00F83405">
        <w:rPr>
          <w:lang w:val="en-GB"/>
        </w:rPr>
        <w:t>This Recommendation gives guidance to perform sharing studies related to systems in the fixed and land mobile services in the frequency range 1.5-30 MHz. It establishes a list of parameters, that characterize a system to assist in sharing studies, provides information on the methodologies that can be used for sharing analyses involving fixed and land mobile services in this frequency range. It also contains a list of relevant ITU-R Recommendations, Reports and Handbooks.</w:t>
      </w:r>
    </w:p>
    <w:p w:rsidR="000B7798" w:rsidRPr="000B7798" w:rsidRDefault="000B7798" w:rsidP="006A2368">
      <w:pPr>
        <w:pStyle w:val="Headingb"/>
        <w:rPr>
          <w:lang w:val="en-GB"/>
        </w:rPr>
      </w:pPr>
      <w:r w:rsidRPr="000B7798">
        <w:rPr>
          <w:lang w:val="en-GB"/>
        </w:rPr>
        <w:t>Related ITU Recommendations, Reports and Handbooks</w:t>
      </w:r>
    </w:p>
    <w:p w:rsidR="000B7798" w:rsidRPr="000B7798" w:rsidRDefault="000B7798" w:rsidP="00AE644B">
      <w:pPr>
        <w:rPr>
          <w:lang w:val="en-GB"/>
        </w:rPr>
      </w:pPr>
      <w:r w:rsidRPr="000B7798">
        <w:rPr>
          <w:lang w:val="en-GB"/>
        </w:rPr>
        <w:t>See Annex 3.</w:t>
      </w:r>
    </w:p>
    <w:p w:rsidR="000B7798" w:rsidRPr="000B7798" w:rsidRDefault="000B7798" w:rsidP="00AE644B">
      <w:pPr>
        <w:pStyle w:val="Headingb"/>
        <w:rPr>
          <w:lang w:val="en-GB"/>
        </w:rPr>
      </w:pPr>
      <w:r w:rsidRPr="000B7798">
        <w:rPr>
          <w:lang w:val="en-GB"/>
        </w:rPr>
        <w:t>Keywords</w:t>
      </w:r>
    </w:p>
    <w:p w:rsidR="000B7798" w:rsidRPr="000B7798" w:rsidRDefault="000B7798" w:rsidP="00AE644B">
      <w:pPr>
        <w:rPr>
          <w:lang w:val="en-GB"/>
        </w:rPr>
      </w:pPr>
      <w:r w:rsidRPr="000B7798">
        <w:rPr>
          <w:lang w:val="en-GB"/>
        </w:rPr>
        <w:t>HF fixed and mobile service systems, sharing technical characteristics, protection criteria</w:t>
      </w:r>
    </w:p>
    <w:p w:rsidR="000B7798" w:rsidRPr="000B7798" w:rsidRDefault="000B7798" w:rsidP="00AE644B">
      <w:pPr>
        <w:pStyle w:val="Headingb"/>
        <w:rPr>
          <w:lang w:val="en-GB"/>
        </w:rPr>
      </w:pPr>
      <w:r w:rsidRPr="000B7798">
        <w:rPr>
          <w:lang w:val="en-GB"/>
        </w:rPr>
        <w:t>Abbreviations/Glossary</w:t>
      </w:r>
    </w:p>
    <w:p w:rsidR="000B7798" w:rsidRPr="000B7798" w:rsidRDefault="000B7798" w:rsidP="004E6F32">
      <w:pPr>
        <w:tabs>
          <w:tab w:val="clear" w:pos="794"/>
        </w:tabs>
        <w:rPr>
          <w:lang w:val="en-GB"/>
        </w:rPr>
      </w:pPr>
      <w:r w:rsidRPr="000B7798">
        <w:rPr>
          <w:lang w:val="en-GB"/>
        </w:rPr>
        <w:t>AWGN</w:t>
      </w:r>
      <w:r w:rsidRPr="000B7798">
        <w:rPr>
          <w:lang w:val="en-GB"/>
        </w:rPr>
        <w:tab/>
        <w:t>Additive white Gaussian noise</w:t>
      </w:r>
    </w:p>
    <w:p w:rsidR="000B7798" w:rsidRPr="000B7798" w:rsidRDefault="000B7798" w:rsidP="004E6F32">
      <w:pPr>
        <w:tabs>
          <w:tab w:val="clear" w:pos="794"/>
        </w:tabs>
        <w:rPr>
          <w:lang w:val="en-GB"/>
        </w:rPr>
      </w:pPr>
      <w:r w:rsidRPr="000B7798">
        <w:rPr>
          <w:lang w:val="en-GB"/>
        </w:rPr>
        <w:t>BER</w:t>
      </w:r>
      <w:r w:rsidRPr="000B7798">
        <w:rPr>
          <w:lang w:val="en-GB"/>
        </w:rPr>
        <w:tab/>
        <w:t>Bit error ratio</w:t>
      </w:r>
    </w:p>
    <w:p w:rsidR="000B7798" w:rsidRPr="000B7798" w:rsidRDefault="000B7798" w:rsidP="004E6F32">
      <w:pPr>
        <w:tabs>
          <w:tab w:val="clear" w:pos="794"/>
        </w:tabs>
        <w:rPr>
          <w:lang w:val="en-GB" w:eastAsia="zh-CN"/>
        </w:rPr>
      </w:pPr>
      <w:r w:rsidRPr="000B7798">
        <w:rPr>
          <w:lang w:val="en-GB"/>
        </w:rPr>
        <w:t>FOT</w:t>
      </w:r>
      <w:r w:rsidRPr="000B7798">
        <w:rPr>
          <w:lang w:val="en-GB"/>
        </w:rPr>
        <w:tab/>
      </w:r>
      <w:r w:rsidRPr="000B7798">
        <w:rPr>
          <w:lang w:val="en-GB" w:eastAsia="zh-CN"/>
        </w:rPr>
        <w:t>Frequency of optimum transmission</w:t>
      </w:r>
    </w:p>
    <w:p w:rsidR="000B7798" w:rsidRPr="000B7798" w:rsidRDefault="000B7798" w:rsidP="004E6F32">
      <w:pPr>
        <w:tabs>
          <w:tab w:val="clear" w:pos="794"/>
        </w:tabs>
        <w:rPr>
          <w:lang w:val="en-GB" w:eastAsia="zh-CN"/>
        </w:rPr>
      </w:pPr>
      <w:r w:rsidRPr="000B7798">
        <w:rPr>
          <w:lang w:val="en-GB"/>
        </w:rPr>
        <w:t>HF</w:t>
      </w:r>
      <w:r w:rsidRPr="000B7798">
        <w:rPr>
          <w:lang w:val="en-GB"/>
        </w:rPr>
        <w:tab/>
        <w:t xml:space="preserve">High </w:t>
      </w:r>
      <w:r w:rsidRPr="000B7798">
        <w:rPr>
          <w:lang w:val="en-GB" w:eastAsia="zh-CN"/>
        </w:rPr>
        <w:t>frequency</w:t>
      </w:r>
    </w:p>
    <w:p w:rsidR="000B7798" w:rsidRPr="000B7798" w:rsidRDefault="000B7798" w:rsidP="004E6F32">
      <w:pPr>
        <w:tabs>
          <w:tab w:val="clear" w:pos="794"/>
        </w:tabs>
        <w:rPr>
          <w:lang w:val="en-GB"/>
        </w:rPr>
      </w:pPr>
      <w:r w:rsidRPr="000B7798">
        <w:rPr>
          <w:i/>
          <w:iCs/>
          <w:lang w:val="en-GB"/>
        </w:rPr>
        <w:t>I</w:t>
      </w:r>
      <w:r w:rsidRPr="000B7798">
        <w:rPr>
          <w:lang w:val="en-GB"/>
        </w:rPr>
        <w:t>/</w:t>
      </w:r>
      <w:r w:rsidRPr="000B7798">
        <w:rPr>
          <w:i/>
          <w:iCs/>
          <w:lang w:val="en-GB"/>
        </w:rPr>
        <w:t>N</w:t>
      </w:r>
      <w:r w:rsidRPr="000B7798">
        <w:rPr>
          <w:lang w:val="en-GB"/>
        </w:rPr>
        <w:tab/>
        <w:t>Interference-to-noise ratio</w:t>
      </w:r>
    </w:p>
    <w:p w:rsidR="000B7798" w:rsidRPr="000B7798" w:rsidRDefault="000B7798" w:rsidP="004E6F32">
      <w:pPr>
        <w:tabs>
          <w:tab w:val="clear" w:pos="794"/>
        </w:tabs>
        <w:rPr>
          <w:lang w:val="en-GB"/>
        </w:rPr>
      </w:pPr>
      <w:r w:rsidRPr="000B7798">
        <w:rPr>
          <w:lang w:val="en-GB"/>
        </w:rPr>
        <w:t>MUF</w:t>
      </w:r>
      <w:r w:rsidRPr="000B7798">
        <w:rPr>
          <w:lang w:val="en-GB"/>
        </w:rPr>
        <w:tab/>
        <w:t>M</w:t>
      </w:r>
      <w:r w:rsidRPr="000B7798">
        <w:rPr>
          <w:lang w:val="en-GB" w:eastAsia="zh-CN"/>
        </w:rPr>
        <w:t>aximum usable frequency</w:t>
      </w:r>
    </w:p>
    <w:p w:rsidR="000B7798" w:rsidRPr="000B7798" w:rsidRDefault="000B7798" w:rsidP="004E6F32">
      <w:pPr>
        <w:tabs>
          <w:tab w:val="clear" w:pos="794"/>
        </w:tabs>
        <w:rPr>
          <w:lang w:val="en-GB"/>
        </w:rPr>
      </w:pPr>
      <w:r w:rsidRPr="000B7798">
        <w:rPr>
          <w:lang w:val="en-GB"/>
        </w:rPr>
        <w:t>SNIR</w:t>
      </w:r>
      <w:r w:rsidRPr="000B7798">
        <w:rPr>
          <w:lang w:val="en-GB"/>
        </w:rPr>
        <w:tab/>
      </w:r>
      <w:r w:rsidRPr="000B7798">
        <w:rPr>
          <w:i/>
          <w:iCs/>
          <w:lang w:val="en-GB" w:eastAsia="zh-CN"/>
        </w:rPr>
        <w:t>S</w:t>
      </w:r>
      <w:r w:rsidRPr="000B7798">
        <w:rPr>
          <w:lang w:val="en-GB" w:eastAsia="zh-CN"/>
        </w:rPr>
        <w:t>/</w:t>
      </w:r>
      <w:r w:rsidRPr="000B7798">
        <w:rPr>
          <w:i/>
          <w:iCs/>
          <w:lang w:val="en-GB" w:eastAsia="zh-CN"/>
        </w:rPr>
        <w:t>(N+I)</w:t>
      </w:r>
      <w:r w:rsidRPr="000B7798">
        <w:rPr>
          <w:lang w:val="en-GB" w:eastAsia="zh-CN"/>
        </w:rPr>
        <w:t>, Signal-to-noise plus interference ratio</w:t>
      </w:r>
    </w:p>
    <w:p w:rsidR="000B7798" w:rsidRPr="000B7798" w:rsidRDefault="000B7798" w:rsidP="004E6F32">
      <w:pPr>
        <w:tabs>
          <w:tab w:val="clear" w:pos="794"/>
        </w:tabs>
        <w:rPr>
          <w:lang w:val="en-GB"/>
        </w:rPr>
      </w:pPr>
      <w:r w:rsidRPr="000B7798">
        <w:rPr>
          <w:lang w:val="en-GB"/>
        </w:rPr>
        <w:t>SNR</w:t>
      </w:r>
      <w:r w:rsidRPr="000B7798">
        <w:rPr>
          <w:lang w:val="en-GB"/>
        </w:rPr>
        <w:tab/>
      </w:r>
      <w:r w:rsidRPr="000B7798">
        <w:rPr>
          <w:i/>
          <w:iCs/>
          <w:lang w:val="en-GB"/>
        </w:rPr>
        <w:t>S</w:t>
      </w:r>
      <w:r w:rsidRPr="000B7798">
        <w:rPr>
          <w:lang w:val="en-GB"/>
        </w:rPr>
        <w:t>/</w:t>
      </w:r>
      <w:r w:rsidRPr="000B7798">
        <w:rPr>
          <w:i/>
          <w:iCs/>
          <w:lang w:val="en-GB"/>
        </w:rPr>
        <w:t>N</w:t>
      </w:r>
      <w:r w:rsidRPr="000B7798">
        <w:rPr>
          <w:lang w:val="en-GB"/>
        </w:rPr>
        <w:t>, Signal-to-noise ratio</w:t>
      </w:r>
    </w:p>
    <w:p w:rsidR="000B7798" w:rsidRPr="000B7798" w:rsidRDefault="000B7798" w:rsidP="004E6F32">
      <w:pPr>
        <w:tabs>
          <w:tab w:val="clear" w:pos="794"/>
        </w:tabs>
        <w:rPr>
          <w:lang w:val="en-GB"/>
        </w:rPr>
      </w:pPr>
      <w:r w:rsidRPr="000B7798">
        <w:rPr>
          <w:lang w:val="en-GB"/>
        </w:rPr>
        <w:t>SSN</w:t>
      </w:r>
      <w:r w:rsidRPr="000B7798">
        <w:rPr>
          <w:lang w:val="en-GB"/>
        </w:rPr>
        <w:tab/>
        <w:t>Smoothed sunspot number</w:t>
      </w:r>
    </w:p>
    <w:p w:rsidR="000B7798" w:rsidRPr="000B7798" w:rsidRDefault="000B7798" w:rsidP="004E6F32">
      <w:pPr>
        <w:pStyle w:val="Normalaftertitle"/>
        <w:rPr>
          <w:lang w:val="en-GB"/>
        </w:rPr>
      </w:pPr>
      <w:r w:rsidRPr="000B7798">
        <w:rPr>
          <w:lang w:val="en-GB"/>
        </w:rPr>
        <w:t>The ITU Radiocommunication Assembly,</w:t>
      </w:r>
    </w:p>
    <w:p w:rsidR="000B7798" w:rsidRPr="000B7798" w:rsidRDefault="000B7798" w:rsidP="0085307C">
      <w:pPr>
        <w:pStyle w:val="Call"/>
        <w:keepNext w:val="0"/>
        <w:keepLines w:val="0"/>
        <w:rPr>
          <w:lang w:val="en-GB"/>
        </w:rPr>
      </w:pPr>
      <w:r w:rsidRPr="000B7798">
        <w:rPr>
          <w:lang w:val="en-GB"/>
        </w:rPr>
        <w:t>considering</w:t>
      </w:r>
    </w:p>
    <w:p w:rsidR="000B7798" w:rsidRPr="000B7798" w:rsidRDefault="000B7798" w:rsidP="007B5592">
      <w:pPr>
        <w:rPr>
          <w:lang w:val="en-GB"/>
        </w:rPr>
      </w:pPr>
      <w:r w:rsidRPr="000B7798">
        <w:rPr>
          <w:lang w:val="en-GB"/>
        </w:rPr>
        <w:t>that the technical characteristics of systems in the fixed and land mobile services in the frequency range 1.5-30 MHz can</w:t>
      </w:r>
      <w:r w:rsidR="007B5592">
        <w:rPr>
          <w:lang w:val="en-GB"/>
        </w:rPr>
        <w:t xml:space="preserve"> </w:t>
      </w:r>
      <w:r w:rsidRPr="000B7798">
        <w:rPr>
          <w:lang w:val="en-GB"/>
        </w:rPr>
        <w:t>vary,</w:t>
      </w:r>
    </w:p>
    <w:p w:rsidR="000B7798" w:rsidRPr="000B7798" w:rsidRDefault="000B7798" w:rsidP="0085307C">
      <w:pPr>
        <w:pStyle w:val="Call"/>
        <w:keepNext w:val="0"/>
        <w:keepLines w:val="0"/>
        <w:rPr>
          <w:lang w:val="en-GB"/>
        </w:rPr>
      </w:pPr>
      <w:r w:rsidRPr="000B7798">
        <w:rPr>
          <w:lang w:val="en-GB"/>
        </w:rPr>
        <w:t>noting</w:t>
      </w:r>
    </w:p>
    <w:p w:rsidR="000B7798" w:rsidRPr="000B7798" w:rsidRDefault="000B7798" w:rsidP="0085307C">
      <w:pPr>
        <w:rPr>
          <w:lang w:val="en-GB"/>
        </w:rPr>
      </w:pPr>
      <w:r w:rsidRPr="000B7798">
        <w:rPr>
          <w:lang w:val="en-GB"/>
        </w:rPr>
        <w:t>the list of relevant Recommendations, Reports and Handbooks listed in Annex 3,</w:t>
      </w:r>
    </w:p>
    <w:p w:rsidR="000B7798" w:rsidRPr="000B7798" w:rsidRDefault="000B7798" w:rsidP="0085307C">
      <w:pPr>
        <w:pStyle w:val="Call"/>
        <w:keepNext w:val="0"/>
        <w:keepLines w:val="0"/>
        <w:rPr>
          <w:lang w:val="en-GB"/>
        </w:rPr>
      </w:pPr>
      <w:r w:rsidRPr="000B7798">
        <w:rPr>
          <w:lang w:val="en-GB"/>
        </w:rPr>
        <w:t>recommends</w:t>
      </w:r>
    </w:p>
    <w:p w:rsidR="000B7798" w:rsidRPr="000B7798" w:rsidRDefault="000B7798" w:rsidP="005535A9">
      <w:pPr>
        <w:rPr>
          <w:lang w:val="en-GB"/>
        </w:rPr>
      </w:pPr>
      <w:r w:rsidRPr="000B7798">
        <w:rPr>
          <w:b/>
          <w:bCs/>
          <w:lang w:val="en-GB"/>
        </w:rPr>
        <w:t>1</w:t>
      </w:r>
      <w:r w:rsidRPr="000B7798">
        <w:rPr>
          <w:lang w:val="en-GB"/>
        </w:rPr>
        <w:tab/>
        <w:t>that the list of parameters in Annex 1 should be used as guidance on characteristics of systems in the fixed and land mobile services appropriate for use in sharing studies in the frequency range of 1.5-30 MHz;</w:t>
      </w:r>
    </w:p>
    <w:p w:rsidR="000B7798" w:rsidRPr="000B7798" w:rsidRDefault="000B7798" w:rsidP="005535A9">
      <w:pPr>
        <w:rPr>
          <w:lang w:val="en-GB"/>
        </w:rPr>
      </w:pPr>
      <w:r w:rsidRPr="000B7798">
        <w:rPr>
          <w:b/>
          <w:bCs/>
          <w:lang w:val="en-GB"/>
        </w:rPr>
        <w:lastRenderedPageBreak/>
        <w:t>2</w:t>
      </w:r>
      <w:r w:rsidRPr="000B7798">
        <w:rPr>
          <w:lang w:val="en-GB"/>
        </w:rPr>
        <w:tab/>
        <w:t>that Annex 2 should be used as guidance for models to conduct sharing studies.</w:t>
      </w:r>
    </w:p>
    <w:p w:rsidR="000B7798" w:rsidRPr="000B7798" w:rsidRDefault="000B7798" w:rsidP="00856B07">
      <w:pPr>
        <w:rPr>
          <w:lang w:val="en-GB"/>
        </w:rPr>
      </w:pPr>
    </w:p>
    <w:p w:rsidR="000B7798" w:rsidRPr="000B7798" w:rsidRDefault="000B7798" w:rsidP="00856B07">
      <w:pPr>
        <w:rPr>
          <w:lang w:val="en-GB"/>
        </w:rPr>
      </w:pPr>
    </w:p>
    <w:p w:rsidR="000B7798" w:rsidRPr="000B7798" w:rsidRDefault="000B7798" w:rsidP="00856B07">
      <w:pPr>
        <w:pStyle w:val="AnnexNoTitle"/>
        <w:rPr>
          <w:rFonts w:ascii="Times New Roman Bold" w:hAnsi="Times New Roman Bold"/>
          <w:lang w:val="en-GB"/>
        </w:rPr>
      </w:pPr>
      <w:r w:rsidRPr="000B7798">
        <w:rPr>
          <w:lang w:val="en-GB"/>
        </w:rPr>
        <w:t>Annex 1</w:t>
      </w:r>
      <w:r w:rsidR="00856B07">
        <w:rPr>
          <w:lang w:val="en-GB"/>
        </w:rPr>
        <w:br/>
      </w:r>
      <w:r w:rsidR="00856B07">
        <w:rPr>
          <w:lang w:val="en-GB"/>
        </w:rPr>
        <w:br/>
      </w:r>
      <w:r w:rsidRPr="000B7798">
        <w:rPr>
          <w:rFonts w:ascii="Times New Roman Bold" w:hAnsi="Times New Roman Bold"/>
          <w:lang w:val="en-GB"/>
        </w:rPr>
        <w:t xml:space="preserve">Technical parameters of fixed and land mobile systems </w:t>
      </w:r>
      <w:r w:rsidRPr="000B7798">
        <w:rPr>
          <w:rFonts w:ascii="Times New Roman Bold" w:hAnsi="Times New Roman Bold"/>
          <w:lang w:val="en-GB"/>
        </w:rPr>
        <w:br/>
        <w:t>in the frequency range 1.5-30 MHz for sharing and compatibility studies</w:t>
      </w:r>
    </w:p>
    <w:p w:rsidR="000B7798" w:rsidRPr="000B7798" w:rsidRDefault="000B7798" w:rsidP="009A7B78">
      <w:pPr>
        <w:pStyle w:val="Heading1"/>
        <w:rPr>
          <w:lang w:val="en-GB"/>
        </w:rPr>
      </w:pPr>
      <w:r w:rsidRPr="000B7798">
        <w:rPr>
          <w:lang w:val="en-GB"/>
        </w:rPr>
        <w:t>1</w:t>
      </w:r>
      <w:r w:rsidRPr="000B7798">
        <w:rPr>
          <w:lang w:val="en-GB"/>
        </w:rPr>
        <w:tab/>
        <w:t>Introduction</w:t>
      </w:r>
    </w:p>
    <w:p w:rsidR="000B7798" w:rsidRPr="000B7798" w:rsidRDefault="000B7798" w:rsidP="00943053">
      <w:pPr>
        <w:rPr>
          <w:lang w:val="en-GB"/>
        </w:rPr>
      </w:pPr>
      <w:r w:rsidRPr="000B7798">
        <w:rPr>
          <w:lang w:val="en-GB"/>
        </w:rPr>
        <w:t>For any sharing study, it is necessary to have the characteristics of the systems that need to share the spectrum. Section 2 provides a list of parameters whose values should be able to characterize a system, for use in sharing studies.</w:t>
      </w:r>
    </w:p>
    <w:p w:rsidR="000B7798" w:rsidRPr="000B7798" w:rsidRDefault="000B7798" w:rsidP="00943053">
      <w:pPr>
        <w:rPr>
          <w:lang w:val="en-GB" w:eastAsia="zh-CN"/>
        </w:rPr>
      </w:pPr>
      <w:r w:rsidRPr="000B7798">
        <w:rPr>
          <w:lang w:val="en-GB" w:eastAsia="zh-CN"/>
        </w:rPr>
        <w:t>The guidance provided in this Recommendation also makes reference to various ITU-R Recommendations related to the prediction of radio wave propagation</w:t>
      </w:r>
      <w:r w:rsidRPr="000B7798">
        <w:rPr>
          <w:position w:val="6"/>
          <w:sz w:val="18"/>
          <w:lang w:val="en-GB" w:eastAsia="zh-CN"/>
        </w:rPr>
        <w:footnoteReference w:id="1"/>
      </w:r>
      <w:r w:rsidRPr="000B7798">
        <w:rPr>
          <w:lang w:val="en-GB" w:eastAsia="zh-CN"/>
        </w:rPr>
        <w:t>.</w:t>
      </w:r>
    </w:p>
    <w:p w:rsidR="000B7798" w:rsidRPr="000B7798" w:rsidRDefault="000B7798" w:rsidP="009A7B78">
      <w:pPr>
        <w:pStyle w:val="Heading1"/>
        <w:rPr>
          <w:lang w:val="en-GB"/>
        </w:rPr>
      </w:pPr>
      <w:r w:rsidRPr="000B7798">
        <w:rPr>
          <w:lang w:val="en-GB"/>
        </w:rPr>
        <w:t>2</w:t>
      </w:r>
      <w:r w:rsidRPr="000B7798">
        <w:rPr>
          <w:lang w:val="en-GB"/>
        </w:rPr>
        <w:tab/>
        <w:t>General list of parameters</w:t>
      </w:r>
    </w:p>
    <w:p w:rsidR="000B7798" w:rsidRPr="000B7798" w:rsidRDefault="000B7798" w:rsidP="00943053">
      <w:pPr>
        <w:rPr>
          <w:lang w:val="en-GB"/>
        </w:rPr>
      </w:pPr>
      <w:r w:rsidRPr="000B7798">
        <w:rPr>
          <w:lang w:val="en-GB"/>
        </w:rPr>
        <w:t>It is desirable that the fixed and land mobile service characteristics in the table below be used in sharing studies in the frequency range of 1.5-30 MHz. However, it should be noted that not all the parameters below are relevant for each system. As a result, care should be taken in determining the relevant parameters and their values for sharing studies between specific systems.</w:t>
      </w:r>
    </w:p>
    <w:p w:rsidR="000B7798" w:rsidRPr="000B7798" w:rsidRDefault="000B7798" w:rsidP="000B7798">
      <w:pPr>
        <w:tabs>
          <w:tab w:val="clear" w:pos="794"/>
          <w:tab w:val="clear" w:pos="1191"/>
          <w:tab w:val="clear" w:pos="1588"/>
          <w:tab w:val="clear" w:pos="1985"/>
        </w:tabs>
        <w:overflowPunct/>
        <w:autoSpaceDE/>
        <w:autoSpaceDN/>
        <w:adjustRightInd/>
        <w:spacing w:before="0"/>
        <w:jc w:val="left"/>
        <w:textAlignment w:val="auto"/>
        <w:rPr>
          <w:lang w:val="en-GB"/>
        </w:rPr>
      </w:pPr>
      <w:r w:rsidRPr="000B7798">
        <w:rPr>
          <w:lang w:val="en-GB"/>
        </w:rPr>
        <w:br w:type="page"/>
      </w:r>
    </w:p>
    <w:p w:rsidR="000B7798" w:rsidRPr="000B7798" w:rsidRDefault="000B7798" w:rsidP="005C55F1">
      <w:pPr>
        <w:pStyle w:val="TableNo"/>
        <w:rPr>
          <w:lang w:val="en-GB"/>
        </w:rPr>
      </w:pPr>
      <w:r w:rsidRPr="000B7798">
        <w:rPr>
          <w:lang w:val="en-GB"/>
        </w:rPr>
        <w:lastRenderedPageBreak/>
        <w:t>TABLE 1</w:t>
      </w:r>
    </w:p>
    <w:p w:rsidR="000B7798" w:rsidRPr="000B7798" w:rsidRDefault="000B7798" w:rsidP="005C55F1">
      <w:pPr>
        <w:pStyle w:val="Tabletitle"/>
        <w:rPr>
          <w:lang w:val="en-GB"/>
        </w:rPr>
      </w:pPr>
      <w:r w:rsidRPr="000B7798">
        <w:rPr>
          <w:lang w:val="en-GB"/>
        </w:rPr>
        <w:t>General list of parameters and example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0B7798" w:rsidRPr="00B03E83" w:rsidTr="00F44C8F">
        <w:trPr>
          <w:cantSplit/>
          <w:jc w:val="center"/>
        </w:trPr>
        <w:tc>
          <w:tcPr>
            <w:tcW w:w="8500" w:type="dxa"/>
          </w:tcPr>
          <w:p w:rsidR="000B7798" w:rsidRPr="000B7798" w:rsidRDefault="000B7798" w:rsidP="000B779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en-GB"/>
              </w:rPr>
            </w:pPr>
            <w:r w:rsidRPr="000B7798">
              <w:rPr>
                <w:rFonts w:asciiTheme="majorBidi" w:hAnsiTheme="majorBidi" w:cstheme="majorBidi"/>
                <w:sz w:val="20"/>
                <w:lang w:val="en-GB"/>
              </w:rPr>
              <w:t>General</w:t>
            </w:r>
          </w:p>
          <w:p w:rsidR="000B7798" w:rsidRPr="000B7798" w:rsidRDefault="000B7798" w:rsidP="000B779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en-GB"/>
              </w:rPr>
            </w:pPr>
            <w:r w:rsidRPr="000B7798">
              <w:rPr>
                <w:rFonts w:asciiTheme="majorBidi" w:hAnsiTheme="majorBidi" w:cstheme="majorBidi"/>
                <w:sz w:val="20"/>
                <w:lang w:val="en-GB"/>
              </w:rPr>
              <w:t>Frequency band (MHz): 1.5 to 30</w:t>
            </w:r>
          </w:p>
          <w:p w:rsidR="000B7798" w:rsidRPr="000B7798" w:rsidRDefault="000B7798" w:rsidP="000B779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en-GB"/>
              </w:rPr>
            </w:pPr>
            <w:r w:rsidRPr="000B7798">
              <w:rPr>
                <w:rFonts w:asciiTheme="majorBidi" w:hAnsiTheme="majorBidi" w:cstheme="majorBidi"/>
                <w:sz w:val="20"/>
                <w:lang w:val="en-GB"/>
              </w:rPr>
              <w:t>Type of emission: analogue</w:t>
            </w:r>
            <w:r w:rsidR="00BF0B16">
              <w:rPr>
                <w:rFonts w:asciiTheme="majorBidi" w:hAnsiTheme="majorBidi" w:cstheme="majorBidi"/>
                <w:sz w:val="20"/>
                <w:lang w:val="en-GB"/>
              </w:rPr>
              <w:t xml:space="preserve"> J3E, B8E or digital</w:t>
            </w:r>
          </w:p>
          <w:p w:rsidR="000B7798" w:rsidRPr="000B7798" w:rsidRDefault="000B7798" w:rsidP="000B779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en-GB"/>
              </w:rPr>
            </w:pPr>
            <w:r w:rsidRPr="000B7798">
              <w:rPr>
                <w:rFonts w:asciiTheme="majorBidi" w:hAnsiTheme="majorBidi" w:cstheme="majorBidi"/>
                <w:sz w:val="20"/>
                <w:lang w:val="en-GB"/>
              </w:rPr>
              <w:t>Data rate (bit</w:t>
            </w:r>
            <w:r w:rsidR="00BF0B16">
              <w:rPr>
                <w:rFonts w:asciiTheme="majorBidi" w:hAnsiTheme="majorBidi" w:cstheme="majorBidi"/>
                <w:sz w:val="20"/>
                <w:lang w:val="en-GB"/>
              </w:rPr>
              <w:t>/s): 2 400, 3 200, 4 800, 9 600</w:t>
            </w:r>
          </w:p>
          <w:p w:rsidR="000B7798" w:rsidRPr="000B7798" w:rsidRDefault="000B7798" w:rsidP="000B779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en-GB"/>
              </w:rPr>
            </w:pPr>
            <w:r w:rsidRPr="000B7798">
              <w:rPr>
                <w:rFonts w:asciiTheme="majorBidi" w:hAnsiTheme="majorBidi" w:cstheme="majorBidi"/>
                <w:sz w:val="20"/>
                <w:lang w:val="en-GB"/>
              </w:rPr>
              <w:t>Deployment type: fixed or land mobile</w:t>
            </w:r>
          </w:p>
          <w:p w:rsidR="000B7798" w:rsidRPr="000B7798" w:rsidRDefault="000B7798" w:rsidP="000B779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en-GB"/>
              </w:rPr>
            </w:pPr>
            <w:r w:rsidRPr="000B7798">
              <w:rPr>
                <w:rFonts w:asciiTheme="majorBidi" w:hAnsiTheme="majorBidi" w:cstheme="majorBidi"/>
                <w:sz w:val="20"/>
                <w:lang w:val="en-GB"/>
              </w:rPr>
              <w:t>Evaluation period samples:</w:t>
            </w:r>
            <w:r w:rsidRPr="000B7798" w:rsidDel="00794155">
              <w:rPr>
                <w:rFonts w:asciiTheme="majorBidi" w:hAnsiTheme="majorBidi" w:cstheme="majorBidi"/>
                <w:sz w:val="20"/>
                <w:lang w:val="en-GB"/>
              </w:rPr>
              <w:t xml:space="preserve"> </w:t>
            </w:r>
            <w:r w:rsidRPr="000B7798">
              <w:rPr>
                <w:rFonts w:asciiTheme="majorBidi" w:hAnsiTheme="majorBidi" w:cstheme="majorBidi"/>
                <w:sz w:val="20"/>
                <w:lang w:val="en-GB"/>
              </w:rPr>
              <w:t>January, April, July, and October</w:t>
            </w:r>
          </w:p>
          <w:p w:rsidR="000B7798" w:rsidRPr="000B7798" w:rsidRDefault="000B7798" w:rsidP="000B779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en-GB"/>
              </w:rPr>
            </w:pPr>
            <w:r w:rsidRPr="000B7798">
              <w:rPr>
                <w:rFonts w:asciiTheme="majorBidi" w:hAnsiTheme="majorBidi" w:cstheme="majorBidi"/>
                <w:sz w:val="20"/>
                <w:lang w:val="en-GB"/>
              </w:rPr>
              <w:t>Evaluation time samples: every 4 hours</w:t>
            </w:r>
          </w:p>
          <w:p w:rsidR="000B7798" w:rsidRPr="000B7798" w:rsidRDefault="000B7798" w:rsidP="000B779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en-GB"/>
              </w:rPr>
            </w:pPr>
            <w:r w:rsidRPr="000B7798">
              <w:rPr>
                <w:rFonts w:asciiTheme="majorBidi" w:hAnsiTheme="majorBidi" w:cstheme="majorBidi"/>
                <w:sz w:val="20"/>
                <w:lang w:val="en-GB"/>
              </w:rPr>
              <w:t>Sun spot numbers SSN: 10, 100, 200</w:t>
            </w:r>
          </w:p>
          <w:p w:rsidR="000B7798" w:rsidRPr="000B7798" w:rsidRDefault="000B7798" w:rsidP="000B779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en-GB"/>
              </w:rPr>
            </w:pPr>
            <w:r w:rsidRPr="000B7798">
              <w:rPr>
                <w:rFonts w:asciiTheme="majorBidi" w:hAnsiTheme="majorBidi" w:cstheme="majorBidi"/>
                <w:sz w:val="20"/>
                <w:lang w:val="en-GB"/>
              </w:rPr>
              <w:t>Ground conductivity (S/m): 0.005</w:t>
            </w:r>
          </w:p>
          <w:p w:rsidR="000B7798" w:rsidRPr="000B7798" w:rsidRDefault="000B7798" w:rsidP="000B779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en-GB"/>
              </w:rPr>
            </w:pPr>
            <w:r w:rsidRPr="000B7798">
              <w:rPr>
                <w:rFonts w:asciiTheme="majorBidi" w:hAnsiTheme="majorBidi" w:cstheme="majorBidi"/>
                <w:sz w:val="20"/>
                <w:lang w:val="en-GB"/>
              </w:rPr>
              <w:t>Ground dielectric constant: 13</w:t>
            </w:r>
          </w:p>
        </w:tc>
      </w:tr>
      <w:tr w:rsidR="000B7798" w:rsidRPr="00B03E83" w:rsidTr="00F44C8F">
        <w:trPr>
          <w:cantSplit/>
          <w:jc w:val="center"/>
        </w:trPr>
        <w:tc>
          <w:tcPr>
            <w:tcW w:w="8500" w:type="dxa"/>
          </w:tcPr>
          <w:p w:rsidR="000B7798" w:rsidRPr="000B7798" w:rsidRDefault="000B7798" w:rsidP="000B779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en-GB"/>
              </w:rPr>
            </w:pPr>
            <w:r w:rsidRPr="000B7798">
              <w:rPr>
                <w:rFonts w:asciiTheme="majorBidi" w:hAnsiTheme="majorBidi" w:cstheme="majorBidi"/>
                <w:sz w:val="20"/>
                <w:lang w:val="en-GB"/>
              </w:rPr>
              <w:t>System</w:t>
            </w:r>
          </w:p>
          <w:p w:rsidR="000B7798" w:rsidRPr="000B7798" w:rsidRDefault="000B7798" w:rsidP="000B779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en-GB"/>
              </w:rPr>
            </w:pPr>
            <w:r w:rsidRPr="000B7798">
              <w:rPr>
                <w:rFonts w:asciiTheme="majorBidi" w:hAnsiTheme="majorBidi" w:cstheme="majorBidi"/>
                <w:sz w:val="20"/>
                <w:lang w:val="en-GB"/>
              </w:rPr>
              <w:t>Channel bandwidth (kHz):</w:t>
            </w:r>
          </w:p>
          <w:p w:rsidR="000B7798" w:rsidRPr="000B7798" w:rsidRDefault="000B7798" w:rsidP="000B7798">
            <w:pPr>
              <w:numPr>
                <w:ilvl w:val="0"/>
                <w:numId w:val="3"/>
              </w:numPr>
              <w:tabs>
                <w:tab w:val="clear" w:pos="794"/>
                <w:tab w:val="clear" w:pos="1191"/>
                <w:tab w:val="clear" w:pos="1588"/>
                <w:tab w:val="clear" w:pos="1985"/>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overflowPunct/>
              <w:autoSpaceDE/>
              <w:autoSpaceDN/>
              <w:adjustRightInd/>
              <w:spacing w:before="40" w:after="40"/>
              <w:ind w:left="454" w:hanging="425"/>
              <w:contextualSpacing/>
              <w:jc w:val="left"/>
              <w:textAlignment w:val="auto"/>
              <w:rPr>
                <w:rFonts w:asciiTheme="majorBidi" w:eastAsiaTheme="minorHAnsi" w:hAnsiTheme="majorBidi" w:cstheme="majorBidi"/>
                <w:sz w:val="20"/>
                <w:szCs w:val="22"/>
                <w:lang w:val="en-GB"/>
              </w:rPr>
            </w:pPr>
            <w:r w:rsidRPr="000B7798">
              <w:rPr>
                <w:rFonts w:asciiTheme="majorBidi" w:eastAsiaTheme="minorHAnsi" w:hAnsiTheme="majorBidi" w:cstheme="majorBidi"/>
                <w:sz w:val="20"/>
                <w:lang w:val="en-GB"/>
              </w:rPr>
              <w:t>3 for J3E Telephony single-sideband suppressed carrier;</w:t>
            </w:r>
          </w:p>
          <w:p w:rsidR="000B7798" w:rsidRPr="000B7798" w:rsidRDefault="000B7798" w:rsidP="000B7798">
            <w:pPr>
              <w:numPr>
                <w:ilvl w:val="0"/>
                <w:numId w:val="3"/>
              </w:numPr>
              <w:tabs>
                <w:tab w:val="clear" w:pos="794"/>
                <w:tab w:val="clear" w:pos="1191"/>
                <w:tab w:val="clear" w:pos="1588"/>
                <w:tab w:val="clear" w:pos="1985"/>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overflowPunct/>
              <w:autoSpaceDE/>
              <w:autoSpaceDN/>
              <w:adjustRightInd/>
              <w:spacing w:before="40" w:after="40"/>
              <w:ind w:left="454" w:hanging="425"/>
              <w:contextualSpacing/>
              <w:jc w:val="left"/>
              <w:textAlignment w:val="auto"/>
              <w:rPr>
                <w:rFonts w:asciiTheme="majorBidi" w:eastAsiaTheme="minorHAnsi" w:hAnsiTheme="majorBidi" w:cstheme="majorBidi"/>
                <w:sz w:val="20"/>
                <w:szCs w:val="22"/>
                <w:lang w:val="en-GB"/>
              </w:rPr>
            </w:pPr>
            <w:r w:rsidRPr="000B7798">
              <w:rPr>
                <w:rFonts w:asciiTheme="majorBidi" w:eastAsiaTheme="minorHAnsi" w:hAnsiTheme="majorBidi" w:cstheme="majorBidi"/>
                <w:sz w:val="20"/>
                <w:lang w:val="en-GB"/>
              </w:rPr>
              <w:t>3 for B8E Telephony independent-sideband 2 channels;</w:t>
            </w:r>
          </w:p>
          <w:p w:rsidR="000B7798" w:rsidRPr="000B7798" w:rsidRDefault="000B7798" w:rsidP="000B7798">
            <w:pPr>
              <w:numPr>
                <w:ilvl w:val="0"/>
                <w:numId w:val="3"/>
              </w:numPr>
              <w:tabs>
                <w:tab w:val="clear" w:pos="794"/>
                <w:tab w:val="clear" w:pos="1191"/>
                <w:tab w:val="clear" w:pos="1588"/>
                <w:tab w:val="clear" w:pos="1985"/>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overflowPunct/>
              <w:autoSpaceDE/>
              <w:autoSpaceDN/>
              <w:adjustRightInd/>
              <w:spacing w:before="40" w:after="40"/>
              <w:ind w:left="454" w:hanging="425"/>
              <w:contextualSpacing/>
              <w:jc w:val="left"/>
              <w:textAlignment w:val="auto"/>
              <w:rPr>
                <w:rFonts w:asciiTheme="majorBidi" w:eastAsiaTheme="minorHAnsi" w:hAnsiTheme="majorBidi" w:cstheme="majorBidi"/>
                <w:sz w:val="20"/>
                <w:szCs w:val="22"/>
                <w:lang w:val="en-GB"/>
              </w:rPr>
            </w:pPr>
            <w:r w:rsidRPr="000B7798">
              <w:rPr>
                <w:rFonts w:asciiTheme="majorBidi" w:eastAsiaTheme="minorHAnsi" w:hAnsiTheme="majorBidi" w:cstheme="majorBidi"/>
                <w:sz w:val="20"/>
                <w:lang w:val="en-GB"/>
              </w:rPr>
              <w:t>up to 40 for digital.</w:t>
            </w:r>
          </w:p>
          <w:p w:rsidR="000B7798" w:rsidRPr="000B7798" w:rsidRDefault="000B7798" w:rsidP="000B779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en-GB"/>
              </w:rPr>
            </w:pPr>
            <w:r w:rsidRPr="000B7798">
              <w:rPr>
                <w:rFonts w:asciiTheme="majorBidi" w:hAnsiTheme="majorBidi" w:cstheme="majorBidi"/>
                <w:sz w:val="20"/>
                <w:lang w:val="en-GB"/>
              </w:rPr>
              <w:t>Propagation path: Skywave or groundwave</w:t>
            </w:r>
          </w:p>
          <w:p w:rsidR="000B7798" w:rsidRPr="000B7798" w:rsidRDefault="000B7798" w:rsidP="000B779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en-GB"/>
              </w:rPr>
            </w:pPr>
            <w:r w:rsidRPr="000B7798">
              <w:rPr>
                <w:rFonts w:asciiTheme="majorBidi" w:hAnsiTheme="majorBidi" w:cstheme="majorBidi"/>
                <w:sz w:val="20"/>
                <w:lang w:val="en-GB"/>
              </w:rPr>
              <w:t>Typical grade of service:</w:t>
            </w:r>
          </w:p>
          <w:p w:rsidR="000B7798" w:rsidRPr="000B7798" w:rsidRDefault="000B7798" w:rsidP="000B7798">
            <w:pPr>
              <w:numPr>
                <w:ilvl w:val="0"/>
                <w:numId w:val="2"/>
              </w:numPr>
              <w:tabs>
                <w:tab w:val="clear" w:pos="794"/>
                <w:tab w:val="clear" w:pos="1191"/>
                <w:tab w:val="clear" w:pos="1588"/>
                <w:tab w:val="clear" w:pos="1985"/>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54" w:hanging="425"/>
              <w:jc w:val="left"/>
              <w:rPr>
                <w:rFonts w:asciiTheme="majorBidi" w:hAnsiTheme="majorBidi" w:cstheme="majorBidi"/>
                <w:sz w:val="20"/>
                <w:lang w:val="en-GB"/>
              </w:rPr>
            </w:pPr>
            <w:r w:rsidRPr="000B7798">
              <w:rPr>
                <w:rFonts w:asciiTheme="majorBidi" w:hAnsiTheme="majorBidi" w:cstheme="majorBidi"/>
                <w:sz w:val="20"/>
                <w:lang w:val="en-GB"/>
              </w:rPr>
              <w:t>J3E Telephony sing</w:t>
            </w:r>
            <w:r w:rsidR="00BF0B16">
              <w:rPr>
                <w:rFonts w:asciiTheme="majorBidi" w:hAnsiTheme="majorBidi" w:cstheme="majorBidi"/>
                <w:sz w:val="20"/>
                <w:lang w:val="en-GB"/>
              </w:rPr>
              <w:t>le-sideband suppressed carrier:</w:t>
            </w:r>
          </w:p>
          <w:p w:rsidR="000B7798" w:rsidRPr="000B7798" w:rsidRDefault="000B7798" w:rsidP="000B7798">
            <w:pPr>
              <w:numPr>
                <w:ilvl w:val="1"/>
                <w:numId w:val="2"/>
              </w:numPr>
              <w:tabs>
                <w:tab w:val="clear" w:pos="794"/>
                <w:tab w:val="clear" w:pos="1191"/>
                <w:tab w:val="clear" w:pos="1588"/>
                <w:tab w:val="clear" w:pos="1985"/>
                <w:tab w:val="left" w:pos="284"/>
                <w:tab w:val="left" w:pos="851"/>
                <w:tab w:val="left" w:pos="1134"/>
                <w:tab w:val="left" w:pos="1701"/>
                <w:tab w:val="left" w:pos="1871"/>
                <w:tab w:val="left" w:pos="2268"/>
                <w:tab w:val="left" w:pos="2552"/>
                <w:tab w:val="left" w:pos="2835"/>
                <w:tab w:val="left" w:pos="3119"/>
                <w:tab w:val="left" w:pos="3402"/>
                <w:tab w:val="left" w:pos="3686"/>
                <w:tab w:val="left" w:pos="3969"/>
              </w:tabs>
              <w:spacing w:before="40" w:after="40"/>
              <w:ind w:left="880"/>
              <w:jc w:val="left"/>
              <w:rPr>
                <w:rFonts w:asciiTheme="majorBidi" w:hAnsiTheme="majorBidi" w:cstheme="majorBidi"/>
                <w:sz w:val="20"/>
                <w:lang w:val="en-GB"/>
              </w:rPr>
            </w:pPr>
            <w:r w:rsidRPr="000B7798">
              <w:rPr>
                <w:rFonts w:asciiTheme="majorBidi" w:hAnsiTheme="majorBidi" w:cstheme="majorBidi"/>
                <w:sz w:val="20"/>
                <w:lang w:val="en-GB"/>
              </w:rPr>
              <w:t>47 (dB/Hz) (just usable for groundwave propagation);</w:t>
            </w:r>
          </w:p>
          <w:p w:rsidR="000B7798" w:rsidRPr="000B7798" w:rsidRDefault="000B7798" w:rsidP="000B7798">
            <w:pPr>
              <w:numPr>
                <w:ilvl w:val="1"/>
                <w:numId w:val="2"/>
              </w:numPr>
              <w:tabs>
                <w:tab w:val="clear" w:pos="794"/>
                <w:tab w:val="clear" w:pos="1191"/>
                <w:tab w:val="clear" w:pos="1588"/>
                <w:tab w:val="clear" w:pos="1985"/>
                <w:tab w:val="left" w:pos="284"/>
                <w:tab w:val="left" w:pos="851"/>
                <w:tab w:val="left" w:pos="1134"/>
                <w:tab w:val="left" w:pos="1701"/>
                <w:tab w:val="left" w:pos="1871"/>
                <w:tab w:val="left" w:pos="2268"/>
                <w:tab w:val="left" w:pos="2552"/>
                <w:tab w:val="left" w:pos="2835"/>
                <w:tab w:val="left" w:pos="3119"/>
                <w:tab w:val="left" w:pos="3402"/>
                <w:tab w:val="left" w:pos="3686"/>
                <w:tab w:val="left" w:pos="3969"/>
              </w:tabs>
              <w:spacing w:before="40" w:after="40"/>
              <w:ind w:left="880"/>
              <w:jc w:val="left"/>
              <w:rPr>
                <w:rFonts w:asciiTheme="majorBidi" w:hAnsiTheme="majorBidi" w:cstheme="majorBidi"/>
                <w:sz w:val="20"/>
                <w:lang w:val="en-GB"/>
              </w:rPr>
            </w:pPr>
            <w:r w:rsidRPr="000B7798">
              <w:rPr>
                <w:rFonts w:asciiTheme="majorBidi" w:hAnsiTheme="majorBidi" w:cstheme="majorBidi"/>
                <w:sz w:val="20"/>
                <w:lang w:val="en-GB"/>
              </w:rPr>
              <w:t>48 (dB/Hz) (just usable for skywave propagation)</w:t>
            </w:r>
          </w:p>
          <w:p w:rsidR="000B7798" w:rsidRPr="000B7798" w:rsidRDefault="000B7798" w:rsidP="000B7798">
            <w:pPr>
              <w:numPr>
                <w:ilvl w:val="0"/>
                <w:numId w:val="2"/>
              </w:numPr>
              <w:tabs>
                <w:tab w:val="clear" w:pos="794"/>
                <w:tab w:val="clear" w:pos="1191"/>
                <w:tab w:val="clear" w:pos="1588"/>
                <w:tab w:val="clear" w:pos="1985"/>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54" w:hanging="425"/>
              <w:jc w:val="left"/>
              <w:rPr>
                <w:rFonts w:asciiTheme="majorBidi" w:hAnsiTheme="majorBidi" w:cstheme="majorBidi"/>
                <w:sz w:val="20"/>
                <w:lang w:val="en-GB"/>
              </w:rPr>
            </w:pPr>
            <w:r w:rsidRPr="000B7798">
              <w:rPr>
                <w:rFonts w:asciiTheme="majorBidi" w:hAnsiTheme="majorBidi" w:cstheme="majorBidi"/>
                <w:sz w:val="20"/>
                <w:lang w:val="en-GB"/>
              </w:rPr>
              <w:t xml:space="preserve">B8E Telephony independent-sideband 2 channels): </w:t>
            </w:r>
          </w:p>
          <w:p w:rsidR="000B7798" w:rsidRPr="000B7798" w:rsidRDefault="000B7798" w:rsidP="000B7798">
            <w:pPr>
              <w:numPr>
                <w:ilvl w:val="1"/>
                <w:numId w:val="2"/>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880"/>
              <w:jc w:val="left"/>
              <w:rPr>
                <w:rFonts w:asciiTheme="majorBidi" w:hAnsiTheme="majorBidi" w:cstheme="majorBidi"/>
                <w:sz w:val="20"/>
                <w:lang w:val="en-GB"/>
              </w:rPr>
            </w:pPr>
            <w:r w:rsidRPr="000B7798">
              <w:rPr>
                <w:rFonts w:asciiTheme="majorBidi" w:hAnsiTheme="majorBidi" w:cstheme="majorBidi"/>
                <w:sz w:val="20"/>
                <w:lang w:val="en-GB"/>
              </w:rPr>
              <w:t>49 (dB/Hz) (just usable for groundwave propagation);</w:t>
            </w:r>
          </w:p>
          <w:p w:rsidR="000B7798" w:rsidRPr="000B7798" w:rsidRDefault="000B7798" w:rsidP="000B7798">
            <w:pPr>
              <w:numPr>
                <w:ilvl w:val="1"/>
                <w:numId w:val="2"/>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880"/>
              <w:jc w:val="left"/>
              <w:rPr>
                <w:rFonts w:asciiTheme="majorBidi" w:hAnsiTheme="majorBidi" w:cstheme="majorBidi"/>
                <w:sz w:val="20"/>
                <w:lang w:val="en-GB"/>
              </w:rPr>
            </w:pPr>
            <w:r w:rsidRPr="000B7798">
              <w:rPr>
                <w:rFonts w:asciiTheme="majorBidi" w:hAnsiTheme="majorBidi" w:cstheme="majorBidi"/>
                <w:sz w:val="20"/>
                <w:lang w:val="en-GB"/>
              </w:rPr>
              <w:t>50 (dB/Hz) (just usable for skywave propagation).</w:t>
            </w:r>
          </w:p>
          <w:p w:rsidR="000B7798" w:rsidRPr="000B7798" w:rsidRDefault="000B7798" w:rsidP="000B7798">
            <w:pPr>
              <w:numPr>
                <w:ilvl w:val="0"/>
                <w:numId w:val="2"/>
              </w:numPr>
              <w:tabs>
                <w:tab w:val="clear" w:pos="794"/>
                <w:tab w:val="clear" w:pos="1191"/>
                <w:tab w:val="clear" w:pos="1588"/>
                <w:tab w:val="clear" w:pos="1985"/>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54" w:hanging="425"/>
              <w:jc w:val="left"/>
              <w:rPr>
                <w:rFonts w:asciiTheme="majorBidi" w:hAnsiTheme="majorBidi" w:cstheme="majorBidi"/>
                <w:sz w:val="20"/>
                <w:lang w:val="en-GB"/>
              </w:rPr>
            </w:pPr>
            <w:r w:rsidRPr="000B7798">
              <w:rPr>
                <w:rFonts w:asciiTheme="majorBidi" w:hAnsiTheme="majorBidi" w:cstheme="majorBidi"/>
                <w:sz w:val="20"/>
                <w:lang w:val="en-GB"/>
              </w:rPr>
              <w:t xml:space="preserve">J2D Class of Emission (for BER ≤ 1.0 </w:t>
            </w:r>
            <w:r w:rsidRPr="000B7798">
              <w:rPr>
                <w:rFonts w:asciiTheme="majorBidi" w:hAnsiTheme="majorBidi" w:cstheme="majorBidi"/>
                <w:sz w:val="20"/>
                <w:lang w:val="en-GB"/>
              </w:rPr>
              <w:sym w:font="Symbol" w:char="F0B4"/>
            </w:r>
            <w:r w:rsidRPr="000B7798">
              <w:rPr>
                <w:rFonts w:asciiTheme="majorBidi" w:hAnsiTheme="majorBidi" w:cstheme="majorBidi"/>
                <w:sz w:val="20"/>
                <w:lang w:val="en-GB"/>
              </w:rPr>
              <w:t xml:space="preserve"> 10</w:t>
            </w:r>
            <w:r w:rsidRPr="000B7798">
              <w:rPr>
                <w:rFonts w:asciiTheme="majorBidi" w:hAnsiTheme="majorBidi" w:cstheme="majorBidi"/>
                <w:sz w:val="20"/>
                <w:vertAlign w:val="superscript"/>
                <w:lang w:val="en-GB"/>
              </w:rPr>
              <w:t>–5</w:t>
            </w:r>
            <w:r w:rsidRPr="000B7798">
              <w:rPr>
                <w:rFonts w:asciiTheme="majorBidi" w:hAnsiTheme="majorBidi" w:cstheme="majorBidi"/>
                <w:sz w:val="20"/>
                <w:lang w:val="en-GB"/>
              </w:rPr>
              <w:t xml:space="preserve">):  </w:t>
            </w:r>
          </w:p>
          <w:p w:rsidR="000B7798" w:rsidRPr="000B7798" w:rsidRDefault="000B7798" w:rsidP="000B7798">
            <w:pPr>
              <w:numPr>
                <w:ilvl w:val="1"/>
                <w:numId w:val="2"/>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880"/>
              <w:jc w:val="left"/>
              <w:rPr>
                <w:rFonts w:asciiTheme="majorBidi" w:hAnsiTheme="majorBidi" w:cstheme="majorBidi"/>
                <w:sz w:val="20"/>
                <w:lang w:val="en-GB"/>
              </w:rPr>
            </w:pPr>
            <w:r w:rsidRPr="000B7798">
              <w:rPr>
                <w:rFonts w:asciiTheme="majorBidi" w:hAnsiTheme="majorBidi" w:cstheme="majorBidi"/>
                <w:sz w:val="20"/>
                <w:lang w:val="en-GB"/>
              </w:rPr>
              <w:t>2 400 bit/s groundwave propagation: 40 (dB/Hz);</w:t>
            </w:r>
          </w:p>
          <w:p w:rsidR="000B7798" w:rsidRPr="000B7798" w:rsidRDefault="000B7798" w:rsidP="000B7798">
            <w:pPr>
              <w:numPr>
                <w:ilvl w:val="1"/>
                <w:numId w:val="2"/>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880"/>
              <w:jc w:val="left"/>
              <w:rPr>
                <w:rFonts w:asciiTheme="majorBidi" w:hAnsiTheme="majorBidi" w:cstheme="majorBidi"/>
                <w:sz w:val="20"/>
                <w:lang w:val="en-GB"/>
              </w:rPr>
            </w:pPr>
            <w:r w:rsidRPr="000B7798">
              <w:rPr>
                <w:rFonts w:asciiTheme="majorBidi" w:hAnsiTheme="majorBidi" w:cstheme="majorBidi"/>
                <w:sz w:val="20"/>
                <w:lang w:val="en-GB"/>
              </w:rPr>
              <w:t>2 400 bit/s skywave propagation: 46 (dB/Hz);</w:t>
            </w:r>
          </w:p>
          <w:p w:rsidR="000B7798" w:rsidRPr="000B7798" w:rsidRDefault="000B7798" w:rsidP="000B7798">
            <w:pPr>
              <w:numPr>
                <w:ilvl w:val="1"/>
                <w:numId w:val="2"/>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880"/>
              <w:jc w:val="left"/>
              <w:rPr>
                <w:rFonts w:asciiTheme="majorBidi" w:hAnsiTheme="majorBidi" w:cstheme="majorBidi"/>
                <w:sz w:val="20"/>
                <w:lang w:val="en-GB"/>
              </w:rPr>
            </w:pPr>
            <w:r w:rsidRPr="000B7798">
              <w:rPr>
                <w:rFonts w:asciiTheme="majorBidi" w:hAnsiTheme="majorBidi" w:cstheme="majorBidi"/>
                <w:sz w:val="20"/>
                <w:lang w:val="en-GB"/>
              </w:rPr>
              <w:t>3 200 bit/s grou</w:t>
            </w:r>
            <w:r w:rsidR="00BF0B16">
              <w:rPr>
                <w:rFonts w:asciiTheme="majorBidi" w:hAnsiTheme="majorBidi" w:cstheme="majorBidi"/>
                <w:sz w:val="20"/>
                <w:lang w:val="en-GB"/>
              </w:rPr>
              <w:t>ndwave propagation: 43 (dB/Hz);</w:t>
            </w:r>
          </w:p>
          <w:p w:rsidR="000B7798" w:rsidRPr="000B7798" w:rsidRDefault="000B7798" w:rsidP="000B7798">
            <w:pPr>
              <w:numPr>
                <w:ilvl w:val="1"/>
                <w:numId w:val="2"/>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880"/>
              <w:jc w:val="left"/>
              <w:rPr>
                <w:rFonts w:asciiTheme="majorBidi" w:hAnsiTheme="majorBidi" w:cstheme="majorBidi"/>
                <w:sz w:val="20"/>
                <w:lang w:val="en-GB"/>
              </w:rPr>
            </w:pPr>
            <w:r w:rsidRPr="000B7798">
              <w:rPr>
                <w:rFonts w:asciiTheme="majorBidi" w:hAnsiTheme="majorBidi" w:cstheme="majorBidi"/>
                <w:sz w:val="20"/>
                <w:lang w:val="en-GB"/>
              </w:rPr>
              <w:t xml:space="preserve">3 200 bit/s skywave propagation: 49 (dB/Hz); </w:t>
            </w:r>
          </w:p>
          <w:p w:rsidR="000B7798" w:rsidRPr="000B7798" w:rsidRDefault="000B7798" w:rsidP="000B7798">
            <w:pPr>
              <w:numPr>
                <w:ilvl w:val="1"/>
                <w:numId w:val="2"/>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880"/>
              <w:jc w:val="left"/>
              <w:rPr>
                <w:rFonts w:asciiTheme="majorBidi" w:hAnsiTheme="majorBidi" w:cstheme="majorBidi"/>
                <w:sz w:val="20"/>
                <w:lang w:val="en-GB"/>
              </w:rPr>
            </w:pPr>
            <w:r w:rsidRPr="000B7798">
              <w:rPr>
                <w:rFonts w:asciiTheme="majorBidi" w:hAnsiTheme="majorBidi" w:cstheme="majorBidi"/>
                <w:sz w:val="20"/>
                <w:lang w:val="en-GB"/>
              </w:rPr>
              <w:t>4 800 bit/s groundwave propagation: 47 (dB/Hz);</w:t>
            </w:r>
          </w:p>
          <w:p w:rsidR="000B7798" w:rsidRPr="000B7798" w:rsidRDefault="000B7798" w:rsidP="000B7798">
            <w:pPr>
              <w:numPr>
                <w:ilvl w:val="1"/>
                <w:numId w:val="2"/>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880"/>
              <w:jc w:val="left"/>
              <w:rPr>
                <w:rFonts w:asciiTheme="majorBidi" w:hAnsiTheme="majorBidi" w:cstheme="majorBidi"/>
                <w:sz w:val="20"/>
                <w:lang w:val="en-GB"/>
              </w:rPr>
            </w:pPr>
            <w:r w:rsidRPr="000B7798">
              <w:rPr>
                <w:rFonts w:asciiTheme="majorBidi" w:hAnsiTheme="majorBidi" w:cstheme="majorBidi"/>
                <w:sz w:val="20"/>
                <w:lang w:val="en-GB"/>
              </w:rPr>
              <w:t>4 800 skywave propagation: 54 (dB/Hz);</w:t>
            </w:r>
          </w:p>
          <w:p w:rsidR="000B7798" w:rsidRPr="000B7798" w:rsidRDefault="000B7798" w:rsidP="000B7798">
            <w:pPr>
              <w:numPr>
                <w:ilvl w:val="1"/>
                <w:numId w:val="2"/>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880"/>
              <w:jc w:val="left"/>
              <w:rPr>
                <w:rFonts w:asciiTheme="majorBidi" w:hAnsiTheme="majorBidi" w:cstheme="majorBidi"/>
                <w:sz w:val="20"/>
                <w:lang w:val="en-GB"/>
              </w:rPr>
            </w:pPr>
            <w:r w:rsidRPr="000B7798">
              <w:rPr>
                <w:rFonts w:asciiTheme="majorBidi" w:hAnsiTheme="majorBidi" w:cstheme="majorBidi"/>
                <w:sz w:val="20"/>
                <w:lang w:val="en-GB"/>
              </w:rPr>
              <w:t>9 600 bit/s grou</w:t>
            </w:r>
            <w:r w:rsidR="00BF0B16">
              <w:rPr>
                <w:rFonts w:asciiTheme="majorBidi" w:hAnsiTheme="majorBidi" w:cstheme="majorBidi"/>
                <w:sz w:val="20"/>
                <w:lang w:val="en-GB"/>
              </w:rPr>
              <w:t>ndwave propagation: 56 (dB/Hz);</w:t>
            </w:r>
          </w:p>
          <w:p w:rsidR="000B7798" w:rsidRPr="000B7798" w:rsidRDefault="000B7798" w:rsidP="000B7798">
            <w:pPr>
              <w:numPr>
                <w:ilvl w:val="1"/>
                <w:numId w:val="2"/>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880"/>
              <w:jc w:val="left"/>
              <w:rPr>
                <w:rFonts w:asciiTheme="majorBidi" w:hAnsiTheme="majorBidi" w:cstheme="majorBidi"/>
                <w:sz w:val="20"/>
                <w:lang w:val="en-GB"/>
              </w:rPr>
            </w:pPr>
            <w:r w:rsidRPr="000B7798">
              <w:rPr>
                <w:rFonts w:asciiTheme="majorBidi" w:hAnsiTheme="majorBidi" w:cstheme="majorBidi"/>
                <w:sz w:val="20"/>
                <w:lang w:val="en-GB"/>
              </w:rPr>
              <w:t>9 600 bit/s skywave propagation: 66 (dB/Hz).</w:t>
            </w:r>
          </w:p>
          <w:p w:rsidR="000B7798" w:rsidRPr="000B7798" w:rsidRDefault="000B7798" w:rsidP="00F8340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en-GB"/>
              </w:rPr>
            </w:pPr>
            <w:r w:rsidRPr="000B7798">
              <w:rPr>
                <w:rFonts w:asciiTheme="majorBidi" w:hAnsiTheme="majorBidi" w:cstheme="majorBidi"/>
                <w:sz w:val="20"/>
                <w:lang w:val="en-GB"/>
              </w:rPr>
              <w:t>Distance between transmitter and receiver (km): 100 (short), 1 500 (medium), and 5 000 (long)</w:t>
            </w:r>
          </w:p>
        </w:tc>
      </w:tr>
      <w:tr w:rsidR="000B7798" w:rsidRPr="00B03E83" w:rsidTr="00F44C8F">
        <w:trPr>
          <w:cantSplit/>
          <w:jc w:val="center"/>
        </w:trPr>
        <w:tc>
          <w:tcPr>
            <w:tcW w:w="8500" w:type="dxa"/>
          </w:tcPr>
          <w:p w:rsidR="000B7798" w:rsidRPr="000B7798" w:rsidRDefault="000B7798" w:rsidP="00481A0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val="en-GB"/>
              </w:rPr>
            </w:pPr>
            <w:r w:rsidRPr="000B7798">
              <w:rPr>
                <w:rFonts w:asciiTheme="majorBidi" w:hAnsiTheme="majorBidi" w:cstheme="majorBidi"/>
                <w:sz w:val="20"/>
                <w:lang w:val="en-GB"/>
              </w:rPr>
              <w:t>Transmitter</w:t>
            </w:r>
          </w:p>
          <w:p w:rsidR="000B7798" w:rsidRPr="000B7798" w:rsidRDefault="000B7798" w:rsidP="00481A0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val="en-GB"/>
              </w:rPr>
            </w:pPr>
            <w:r w:rsidRPr="000B7798">
              <w:rPr>
                <w:rFonts w:asciiTheme="majorBidi" w:hAnsiTheme="majorBidi" w:cstheme="majorBidi"/>
                <w:sz w:val="20"/>
                <w:lang w:val="en-GB"/>
              </w:rPr>
              <w:t>Location (referenced to the victim receiver’s location): North, South, East and West</w:t>
            </w:r>
          </w:p>
          <w:p w:rsidR="000B7798" w:rsidRPr="000B7798" w:rsidRDefault="000B7798" w:rsidP="00481A0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val="en-GB"/>
              </w:rPr>
            </w:pPr>
            <w:r w:rsidRPr="000B7798">
              <w:rPr>
                <w:rFonts w:asciiTheme="majorBidi" w:hAnsiTheme="majorBidi" w:cstheme="majorBidi"/>
                <w:sz w:val="20"/>
                <w:lang w:val="en-GB"/>
              </w:rPr>
              <w:t>Output power (W): 100 (low), 1 000 (medium) and 10 000 (high)</w:t>
            </w:r>
          </w:p>
          <w:p w:rsidR="000B7798" w:rsidRPr="000B7798" w:rsidRDefault="000B7798" w:rsidP="00481A0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val="en-GB"/>
              </w:rPr>
            </w:pPr>
            <w:r w:rsidRPr="000B7798">
              <w:rPr>
                <w:rFonts w:asciiTheme="majorBidi" w:hAnsiTheme="majorBidi" w:cstheme="majorBidi"/>
                <w:sz w:val="20"/>
                <w:lang w:val="en-GB"/>
              </w:rPr>
              <w:t xml:space="preserve">Transmission feeder line losses (dB): 3, 6 for systems with remote antenna system in upper part of the frequency band </w:t>
            </w:r>
          </w:p>
          <w:p w:rsidR="000B7798" w:rsidRPr="000B7798" w:rsidRDefault="000B7798" w:rsidP="00481A0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val="en-GB"/>
              </w:rPr>
            </w:pPr>
            <w:r w:rsidRPr="000B7798">
              <w:rPr>
                <w:rFonts w:asciiTheme="majorBidi" w:hAnsiTheme="majorBidi" w:cstheme="majorBidi"/>
                <w:sz w:val="20"/>
                <w:lang w:val="en-GB"/>
              </w:rPr>
              <w:t>Type of antenna system(s): dipole, monopole, log periodic, rhombic, V-shaped or loop antenna (including EH antenna)</w:t>
            </w:r>
          </w:p>
        </w:tc>
      </w:tr>
      <w:tr w:rsidR="000B7798" w:rsidRPr="00B03E83" w:rsidTr="00F44C8F">
        <w:trPr>
          <w:cantSplit/>
          <w:jc w:val="center"/>
        </w:trPr>
        <w:tc>
          <w:tcPr>
            <w:tcW w:w="8500" w:type="dxa"/>
          </w:tcPr>
          <w:p w:rsidR="000B7798" w:rsidRPr="000B7798" w:rsidRDefault="000B7798" w:rsidP="00481A0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val="en-GB"/>
              </w:rPr>
            </w:pPr>
            <w:r w:rsidRPr="000B7798">
              <w:rPr>
                <w:rFonts w:asciiTheme="majorBidi" w:hAnsiTheme="majorBidi" w:cstheme="majorBidi"/>
                <w:sz w:val="20"/>
                <w:lang w:val="en-GB"/>
              </w:rPr>
              <w:t>Receiver</w:t>
            </w:r>
          </w:p>
          <w:p w:rsidR="000B7798" w:rsidRPr="000B7798" w:rsidRDefault="000B7798" w:rsidP="00481A0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val="en-GB"/>
              </w:rPr>
            </w:pPr>
            <w:r w:rsidRPr="000B7798">
              <w:rPr>
                <w:rFonts w:asciiTheme="majorBidi" w:hAnsiTheme="majorBidi" w:cstheme="majorBidi"/>
                <w:sz w:val="20"/>
                <w:lang w:val="en-GB"/>
              </w:rPr>
              <w:t>Protection criteria (dB): S/(N+I)</w:t>
            </w:r>
            <w:r w:rsidRPr="000B7798" w:rsidDel="006D48D4">
              <w:rPr>
                <w:rFonts w:asciiTheme="majorBidi" w:hAnsiTheme="majorBidi" w:cstheme="majorBidi"/>
                <w:sz w:val="20"/>
                <w:lang w:val="en-GB"/>
              </w:rPr>
              <w:t xml:space="preserve"> </w:t>
            </w:r>
            <w:r w:rsidRPr="000B7798">
              <w:rPr>
                <w:rFonts w:asciiTheme="majorBidi" w:hAnsiTheme="majorBidi" w:cstheme="majorBidi"/>
                <w:sz w:val="20"/>
                <w:lang w:val="en-GB"/>
              </w:rPr>
              <w:t>(degradation to the grade of service in the presences of interference), SNR</w:t>
            </w:r>
            <w:r w:rsidRPr="000B7798">
              <w:rPr>
                <w:rFonts w:asciiTheme="majorBidi" w:hAnsiTheme="majorBidi" w:cstheme="majorBidi"/>
                <w:position w:val="6"/>
                <w:sz w:val="20"/>
                <w:lang w:val="en-GB"/>
              </w:rPr>
              <w:footnoteReference w:id="2"/>
            </w:r>
          </w:p>
          <w:p w:rsidR="000B7798" w:rsidRPr="000B7798" w:rsidRDefault="000B7798" w:rsidP="00481A0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val="en-GB"/>
              </w:rPr>
            </w:pPr>
            <w:r w:rsidRPr="000B7798">
              <w:rPr>
                <w:rFonts w:asciiTheme="majorBidi" w:hAnsiTheme="majorBidi" w:cstheme="majorBidi"/>
                <w:sz w:val="20"/>
                <w:lang w:val="en-GB"/>
              </w:rPr>
              <w:t>Type of antenna system(s): same types defined for transmitter</w:t>
            </w:r>
          </w:p>
        </w:tc>
      </w:tr>
    </w:tbl>
    <w:p w:rsidR="00F44C8F" w:rsidRPr="000B7798" w:rsidRDefault="00F44C8F" w:rsidP="00F44C8F">
      <w:pPr>
        <w:pStyle w:val="Tablefin"/>
      </w:pPr>
    </w:p>
    <w:p w:rsidR="000B7798" w:rsidRPr="000B7798" w:rsidRDefault="000B7798" w:rsidP="00BF0B16">
      <w:pPr>
        <w:rPr>
          <w:lang w:val="en-GB"/>
        </w:rPr>
      </w:pPr>
      <w:r w:rsidRPr="000B7798">
        <w:rPr>
          <w:lang w:val="en-GB"/>
        </w:rPr>
        <w:lastRenderedPageBreak/>
        <w:t xml:space="preserve">The antenna type systems described in the </w:t>
      </w:r>
      <w:r w:rsidR="00B03E83" w:rsidRPr="000B7798">
        <w:rPr>
          <w:lang w:val="en-GB"/>
        </w:rPr>
        <w:t xml:space="preserve">Table </w:t>
      </w:r>
      <w:r w:rsidRPr="000B7798">
        <w:rPr>
          <w:lang w:val="en-GB"/>
        </w:rPr>
        <w:t>above take into account all the specific characteristics of the antenna system configuration, including the antenna height, gain, distance between elements, ground conductivity, etc. These configuration parameters must be designed together at a specific frequency to produce the antenna type. Future studies on these antenna types could also address antenna directivity patterns for these systems.</w:t>
      </w:r>
    </w:p>
    <w:p w:rsidR="000B7798" w:rsidRPr="000B7798" w:rsidRDefault="000B7798" w:rsidP="00BF0B16">
      <w:pPr>
        <w:rPr>
          <w:lang w:val="en-GB"/>
        </w:rPr>
      </w:pPr>
      <w:r w:rsidRPr="000B7798">
        <w:rPr>
          <w:lang w:val="en-GB"/>
        </w:rPr>
        <w:t>For studies which consider the adjacent channel impact, characteristics on the emission and blocking masks can be taken from Recommendation ITU-R SM.1539.</w:t>
      </w:r>
    </w:p>
    <w:p w:rsidR="000B7798" w:rsidRDefault="000B7798" w:rsidP="001E6B0C">
      <w:pPr>
        <w:rPr>
          <w:lang w:val="en-GB"/>
        </w:rPr>
      </w:pPr>
    </w:p>
    <w:p w:rsidR="001E6B0C" w:rsidRPr="000B7798" w:rsidRDefault="001E6B0C" w:rsidP="001E6B0C">
      <w:pPr>
        <w:rPr>
          <w:lang w:val="en-GB"/>
        </w:rPr>
      </w:pPr>
    </w:p>
    <w:p w:rsidR="000B7798" w:rsidRPr="000B7798" w:rsidRDefault="000B7798" w:rsidP="001E6B0C">
      <w:pPr>
        <w:pStyle w:val="AnnexNoTitle"/>
        <w:rPr>
          <w:lang w:val="en-GB"/>
        </w:rPr>
      </w:pPr>
      <w:r w:rsidRPr="000B7798">
        <w:rPr>
          <w:caps/>
          <w:lang w:val="en-GB"/>
        </w:rPr>
        <w:t>A</w:t>
      </w:r>
      <w:r w:rsidRPr="00F83405">
        <w:rPr>
          <w:lang w:val="en-GB"/>
        </w:rPr>
        <w:t>nnex</w:t>
      </w:r>
      <w:r w:rsidRPr="000B7798">
        <w:rPr>
          <w:caps/>
          <w:lang w:val="en-GB"/>
        </w:rPr>
        <w:t xml:space="preserve"> 2</w:t>
      </w:r>
      <w:r w:rsidR="001E6B0C">
        <w:rPr>
          <w:caps/>
          <w:lang w:val="en-GB"/>
        </w:rPr>
        <w:br/>
      </w:r>
      <w:r w:rsidR="001E6B0C">
        <w:rPr>
          <w:caps/>
          <w:lang w:val="en-GB"/>
        </w:rPr>
        <w:br/>
      </w:r>
      <w:r w:rsidRPr="000B7798">
        <w:rPr>
          <w:lang w:val="en-GB"/>
        </w:rPr>
        <w:t xml:space="preserve">Methodologies for sharing and compatibility studies related to systems operating in the fixed and land mobile service </w:t>
      </w:r>
      <w:r w:rsidRPr="000B7798">
        <w:rPr>
          <w:szCs w:val="24"/>
          <w:lang w:val="en-GB"/>
        </w:rPr>
        <w:t>in the frequency range 1.5-30 MHz</w:t>
      </w:r>
    </w:p>
    <w:p w:rsidR="000B7798" w:rsidRPr="000B7798" w:rsidRDefault="000B7798" w:rsidP="00BC42B5">
      <w:pPr>
        <w:pStyle w:val="Heading1"/>
        <w:rPr>
          <w:lang w:val="en-GB"/>
        </w:rPr>
      </w:pPr>
      <w:r w:rsidRPr="000B7798">
        <w:rPr>
          <w:lang w:val="en-GB"/>
        </w:rPr>
        <w:t>1</w:t>
      </w:r>
      <w:r w:rsidRPr="000B7798">
        <w:rPr>
          <w:lang w:val="en-GB"/>
        </w:rPr>
        <w:tab/>
        <w:t>Introduction</w:t>
      </w:r>
    </w:p>
    <w:p w:rsidR="000B7798" w:rsidRPr="000B7798" w:rsidRDefault="000B7798" w:rsidP="00191E81">
      <w:pPr>
        <w:rPr>
          <w:lang w:val="en-GB"/>
        </w:rPr>
      </w:pPr>
      <w:r w:rsidRPr="000B7798">
        <w:rPr>
          <w:lang w:val="en-GB"/>
        </w:rPr>
        <w:t>The first step in any sharing study is to characterize the environment, system configuration, and sharing conditions of the systems being analysed. Two types of sharing and compatibility conditions need to be considered: in-band, where the systems share the same band and adjacent band analysis where the unwanted emissions of one system may impact the radio receivers in an adjacent band.</w:t>
      </w:r>
    </w:p>
    <w:p w:rsidR="000B7798" w:rsidRPr="000B7798" w:rsidRDefault="000B7798" w:rsidP="00191E81">
      <w:pPr>
        <w:rPr>
          <w:lang w:val="en-GB"/>
        </w:rPr>
      </w:pPr>
      <w:r w:rsidRPr="000B7798">
        <w:rPr>
          <w:lang w:val="en-GB"/>
        </w:rPr>
        <w:t>Section 2 describes methodologies that can be used for sharing analyses involving the fixed and land mobile services.</w:t>
      </w:r>
    </w:p>
    <w:p w:rsidR="000B7798" w:rsidRPr="000B7798" w:rsidRDefault="000B7798" w:rsidP="00191E81">
      <w:pPr>
        <w:pStyle w:val="Heading1"/>
        <w:rPr>
          <w:lang w:val="en-GB"/>
        </w:rPr>
      </w:pPr>
      <w:r w:rsidRPr="000B7798">
        <w:rPr>
          <w:lang w:val="en-GB"/>
        </w:rPr>
        <w:t>2</w:t>
      </w:r>
      <w:r w:rsidRPr="000B7798">
        <w:rPr>
          <w:lang w:val="en-GB"/>
        </w:rPr>
        <w:tab/>
        <w:t>Methodologies for sharing and compatibility studies</w:t>
      </w:r>
    </w:p>
    <w:p w:rsidR="000B7798" w:rsidRPr="000B7798" w:rsidRDefault="000B7798" w:rsidP="00981531">
      <w:pPr>
        <w:rPr>
          <w:lang w:val="en-GB" w:eastAsia="zh-CN"/>
        </w:rPr>
      </w:pPr>
      <w:r w:rsidRPr="000B7798">
        <w:rPr>
          <w:lang w:val="en-GB"/>
        </w:rPr>
        <w:t>There are two basic MF/HF</w:t>
      </w:r>
      <w:r w:rsidRPr="000B7798">
        <w:rPr>
          <w:position w:val="6"/>
          <w:sz w:val="18"/>
          <w:lang w:val="en-GB"/>
        </w:rPr>
        <w:footnoteReference w:id="3"/>
      </w:r>
      <w:r w:rsidRPr="000B7798">
        <w:rPr>
          <w:lang w:val="en-GB"/>
        </w:rPr>
        <w:t xml:space="preserve"> radio propagation modes associated with MF/HF transmissions: skywave and groundwave. These propagation modes are dependent on the separation distance between transmitter and receiver and may impact MF/HF systems that are sharing operating frequencies. </w:t>
      </w:r>
      <w:r w:rsidRPr="000B7798">
        <w:rPr>
          <w:lang w:val="en-GB" w:eastAsia="zh-CN"/>
        </w:rPr>
        <w:t xml:space="preserve">Since the interfering signal could follow either a groundwave or a skywave propagation path, calculations for both should be performed if the interfering transmitter is within the groundwave range. The MF/HF spectrum has unique characteristics compared to higher frequency ranges. </w:t>
      </w:r>
      <w:r w:rsidRPr="000B7798">
        <w:rPr>
          <w:color w:val="000000"/>
          <w:lang w:val="en-GB" w:eastAsia="zh-CN"/>
        </w:rPr>
        <w:t xml:space="preserve">The received mean signal or noise (or both) power levels of MF/HF systems could exhibit large variations with time. </w:t>
      </w:r>
      <w:r w:rsidRPr="000B7798">
        <w:rPr>
          <w:lang w:val="en-GB" w:eastAsia="zh-CN"/>
        </w:rPr>
        <w:t>For the analysis of systems operating above 30 MHz, the interference-to-noise ratio (</w:t>
      </w:r>
      <w:r w:rsidRPr="000B7798">
        <w:rPr>
          <w:i/>
          <w:iCs/>
          <w:lang w:val="en-GB" w:eastAsia="zh-CN"/>
        </w:rPr>
        <w:t>I</w:t>
      </w:r>
      <w:r w:rsidRPr="000B7798">
        <w:rPr>
          <w:lang w:val="en-GB" w:eastAsia="zh-CN"/>
        </w:rPr>
        <w:t>/</w:t>
      </w:r>
      <w:r w:rsidRPr="000B7798">
        <w:rPr>
          <w:i/>
          <w:iCs/>
          <w:lang w:val="en-GB" w:eastAsia="zh-CN"/>
        </w:rPr>
        <w:t>N)</w:t>
      </w:r>
      <w:r w:rsidRPr="000B7798">
        <w:rPr>
          <w:lang w:val="en-GB" w:eastAsia="zh-CN"/>
        </w:rPr>
        <w:t xml:space="preserve"> is often used as an accepted methodology in sharing studies, by considering the interference signal’s impact to the degradation of the noise floor. However, for MF/HF systems an analysis based on the </w:t>
      </w:r>
      <w:r w:rsidRPr="000B7798">
        <w:rPr>
          <w:i/>
          <w:iCs/>
          <w:lang w:val="en-GB" w:eastAsia="zh-CN"/>
        </w:rPr>
        <w:t>I</w:t>
      </w:r>
      <w:r w:rsidRPr="000B7798">
        <w:rPr>
          <w:lang w:val="en-GB" w:eastAsia="zh-CN"/>
        </w:rPr>
        <w:t>/</w:t>
      </w:r>
      <w:r w:rsidRPr="000B7798">
        <w:rPr>
          <w:i/>
          <w:iCs/>
          <w:lang w:val="en-GB" w:eastAsia="zh-CN"/>
        </w:rPr>
        <w:t>N</w:t>
      </w:r>
      <w:r w:rsidRPr="000B7798">
        <w:rPr>
          <w:lang w:val="en-GB" w:eastAsia="zh-CN"/>
        </w:rPr>
        <w:t xml:space="preserve"> ratio does not take into account that some ionospheric links will be operating with sufficiently high link margins such that small variations in the effective noise floor wouldn’t significantly affect their grade of service. The c</w:t>
      </w:r>
      <w:r w:rsidR="00981531">
        <w:rPr>
          <w:lang w:val="en-GB" w:eastAsia="zh-CN"/>
        </w:rPr>
        <w:t>onsideration of an interference </w:t>
      </w:r>
      <w:r w:rsidRPr="000B7798">
        <w:rPr>
          <w:lang w:val="en-GB" w:eastAsia="zh-CN"/>
        </w:rPr>
        <w:t xml:space="preserve">level above a </w:t>
      </w:r>
      <w:r w:rsidRPr="000B7798">
        <w:rPr>
          <w:iCs/>
          <w:lang w:val="en-GB" w:eastAsia="zh-CN"/>
        </w:rPr>
        <w:t xml:space="preserve">noise </w:t>
      </w:r>
      <w:r w:rsidRPr="000B7798">
        <w:rPr>
          <w:lang w:val="en-GB" w:eastAsia="zh-CN"/>
        </w:rPr>
        <w:t>level may not necessarily be sufficiently high t</w:t>
      </w:r>
      <w:r w:rsidR="00981531">
        <w:rPr>
          <w:lang w:val="en-GB" w:eastAsia="zh-CN"/>
        </w:rPr>
        <w:t>o make the signal</w:t>
      </w:r>
      <w:r w:rsidR="00981531">
        <w:rPr>
          <w:lang w:val="en-GB" w:eastAsia="zh-CN"/>
        </w:rPr>
        <w:noBreakHyphen/>
        <w:t>to</w:t>
      </w:r>
      <w:r w:rsidR="00981531">
        <w:rPr>
          <w:lang w:val="en-GB" w:eastAsia="zh-CN"/>
        </w:rPr>
        <w:noBreakHyphen/>
      </w:r>
      <w:r w:rsidRPr="000B7798">
        <w:rPr>
          <w:lang w:val="en-GB" w:eastAsia="zh-CN"/>
        </w:rPr>
        <w:t xml:space="preserve">noise-plus-interference ratio (SNIR) degrade the system performance below the minimum signal-to-noise ratio (SNR) associated with the desired system’s grade of service. </w:t>
      </w:r>
    </w:p>
    <w:p w:rsidR="000B7798" w:rsidRPr="000B7798" w:rsidRDefault="000B7798" w:rsidP="004379D8">
      <w:pPr>
        <w:rPr>
          <w:lang w:val="en-GB" w:eastAsia="zh-CN"/>
        </w:rPr>
      </w:pPr>
      <w:r w:rsidRPr="000B7798">
        <w:rPr>
          <w:lang w:val="en-GB" w:eastAsia="zh-CN"/>
        </w:rPr>
        <w:lastRenderedPageBreak/>
        <w:t xml:space="preserve">Furthermore, an </w:t>
      </w:r>
      <w:r w:rsidRPr="000B7798">
        <w:rPr>
          <w:i/>
          <w:iCs/>
          <w:lang w:val="en-GB" w:eastAsia="zh-CN"/>
        </w:rPr>
        <w:t>I</w:t>
      </w:r>
      <w:r w:rsidRPr="000B7798">
        <w:rPr>
          <w:lang w:val="en-GB" w:eastAsia="zh-CN"/>
        </w:rPr>
        <w:t>/</w:t>
      </w:r>
      <w:r w:rsidRPr="000B7798">
        <w:rPr>
          <w:i/>
          <w:iCs/>
          <w:lang w:val="en-GB" w:eastAsia="zh-CN"/>
        </w:rPr>
        <w:t>N</w:t>
      </w:r>
      <w:r w:rsidRPr="000B7798">
        <w:rPr>
          <w:lang w:val="en-GB" w:eastAsia="zh-CN"/>
        </w:rPr>
        <w:t xml:space="preserve"> analysis also does not take into account that even though an interfering signal may propagate to a location where the </w:t>
      </w:r>
      <w:r w:rsidRPr="000B7798">
        <w:rPr>
          <w:i/>
          <w:iCs/>
          <w:lang w:val="en-GB" w:eastAsia="zh-CN"/>
        </w:rPr>
        <w:t>I</w:t>
      </w:r>
      <w:r w:rsidRPr="000B7798">
        <w:rPr>
          <w:lang w:val="en-GB" w:eastAsia="zh-CN"/>
        </w:rPr>
        <w:t>/</w:t>
      </w:r>
      <w:r w:rsidRPr="000B7798">
        <w:rPr>
          <w:i/>
          <w:iCs/>
          <w:lang w:val="en-GB" w:eastAsia="zh-CN"/>
        </w:rPr>
        <w:t>N</w:t>
      </w:r>
      <w:r w:rsidRPr="000B7798">
        <w:rPr>
          <w:lang w:val="en-GB" w:eastAsia="zh-CN"/>
        </w:rPr>
        <w:t xml:space="preserve"> exceeds a particular level, the wanted link’s desired signal on the particular frequency under study may not necessarily propagate with sufficient reliability at that location. So, while the </w:t>
      </w:r>
      <w:r w:rsidRPr="000B7798">
        <w:rPr>
          <w:i/>
          <w:iCs/>
          <w:lang w:val="en-GB" w:eastAsia="zh-CN"/>
        </w:rPr>
        <w:t>I</w:t>
      </w:r>
      <w:r w:rsidRPr="000B7798">
        <w:rPr>
          <w:lang w:val="en-GB" w:eastAsia="zh-CN"/>
        </w:rPr>
        <w:t>/</w:t>
      </w:r>
      <w:r w:rsidRPr="000B7798">
        <w:rPr>
          <w:i/>
          <w:iCs/>
          <w:lang w:val="en-GB" w:eastAsia="zh-CN"/>
        </w:rPr>
        <w:t>N</w:t>
      </w:r>
      <w:r w:rsidRPr="000B7798">
        <w:rPr>
          <w:lang w:val="en-GB" w:eastAsia="zh-CN"/>
        </w:rPr>
        <w:t xml:space="preserve"> criteria may be exceeded, the receiver would not be operating on the interfering frequency since the frequency cannot support the wanted link operations at the given location. With the </w:t>
      </w:r>
      <w:r w:rsidRPr="000B7798">
        <w:rPr>
          <w:i/>
          <w:iCs/>
          <w:lang w:val="en-GB" w:eastAsia="zh-CN"/>
        </w:rPr>
        <w:t>I</w:t>
      </w:r>
      <w:r w:rsidRPr="000B7798">
        <w:rPr>
          <w:lang w:val="en-GB" w:eastAsia="zh-CN"/>
        </w:rPr>
        <w:t>/</w:t>
      </w:r>
      <w:r w:rsidRPr="000B7798">
        <w:rPr>
          <w:i/>
          <w:iCs/>
          <w:lang w:val="en-GB" w:eastAsia="zh-CN"/>
        </w:rPr>
        <w:t>N</w:t>
      </w:r>
      <w:r w:rsidRPr="000B7798">
        <w:rPr>
          <w:lang w:val="en-GB" w:eastAsia="zh-CN"/>
        </w:rPr>
        <w:t xml:space="preserve"> approach, the frequency under analysis may be sufficiently far away from the frequency of optimum transmission (FOT) that it is unlikely that the wanted link would operate near the frequency under analysis. In general, MF/HF skywave links are not designed to operate as noise limited circuits. Due to the changing characteristics of the ionosphere, MF/HF systems do not use a single frequency and the appropriate operating frequency is selected based on the prevailing parameters.</w:t>
      </w:r>
    </w:p>
    <w:p w:rsidR="000B7798" w:rsidRPr="000B7798" w:rsidRDefault="000B7798" w:rsidP="00F567CE">
      <w:pPr>
        <w:pStyle w:val="Heading2"/>
        <w:rPr>
          <w:lang w:val="en-GB"/>
        </w:rPr>
      </w:pPr>
      <w:r w:rsidRPr="000B7798">
        <w:rPr>
          <w:lang w:val="en-GB"/>
        </w:rPr>
        <w:t>2.1</w:t>
      </w:r>
      <w:r w:rsidRPr="000B7798">
        <w:rPr>
          <w:lang w:val="en-GB"/>
        </w:rPr>
        <w:tab/>
        <w:t>Skywave propagation mode</w:t>
      </w:r>
    </w:p>
    <w:p w:rsidR="000B7798" w:rsidRPr="000B7798" w:rsidRDefault="000B7798" w:rsidP="00542D96">
      <w:pPr>
        <w:rPr>
          <w:lang w:val="en-GB" w:eastAsia="zh-CN"/>
        </w:rPr>
      </w:pPr>
      <w:r w:rsidRPr="000B7798">
        <w:rPr>
          <w:lang w:val="en-GB" w:eastAsia="zh-CN"/>
        </w:rPr>
        <w:t>The following step-by-step procedure is recommended for sharing and compatibility studies that would model operations of HF systems.</w:t>
      </w:r>
    </w:p>
    <w:p w:rsidR="000B7798" w:rsidRPr="000B7798" w:rsidRDefault="000B7798" w:rsidP="00F83405">
      <w:pPr>
        <w:rPr>
          <w:lang w:val="en-GB" w:eastAsia="zh-CN"/>
        </w:rPr>
      </w:pPr>
      <w:r w:rsidRPr="000B7798">
        <w:rPr>
          <w:i/>
          <w:lang w:val="en-GB" w:eastAsia="zh-CN"/>
        </w:rPr>
        <w:t>Step 1:</w:t>
      </w:r>
      <w:r w:rsidRPr="000B7798">
        <w:rPr>
          <w:lang w:val="en-GB" w:eastAsia="zh-CN"/>
        </w:rPr>
        <w:t xml:space="preserve"> Determine the suitability of the frequency for the victim link, using the parameters listed in Table 1 of Annex 1. The skywave signal propagation predictions in the frequency range 2 to 30 MHz should be performed according to Recommendation ITU-R P.533</w:t>
      </w:r>
      <w:r w:rsidRPr="000B7798">
        <w:rPr>
          <w:position w:val="6"/>
          <w:sz w:val="18"/>
          <w:lang w:val="en-GB" w:eastAsia="zh-CN"/>
        </w:rPr>
        <w:footnoteReference w:id="4"/>
      </w:r>
      <w:r w:rsidRPr="000B7798">
        <w:rPr>
          <w:lang w:val="en-GB" w:eastAsia="zh-CN"/>
        </w:rPr>
        <w:t xml:space="preserve">. MF/HF skywave radio communication links operate best at frequencies between −25% to +10% of the maximum usable frequency (MUF). Operation beyond 10% above the MUF is likely to have unsatisfactory performance, while operation at frequencies lower than </w:t>
      </w:r>
      <w:r w:rsidR="00F83405" w:rsidRPr="000B7798">
        <w:rPr>
          <w:lang w:val="en-GB" w:eastAsia="zh-CN"/>
        </w:rPr>
        <w:t>−</w:t>
      </w:r>
      <w:r w:rsidRPr="000B7798">
        <w:rPr>
          <w:lang w:val="en-GB" w:eastAsia="zh-CN"/>
        </w:rPr>
        <w:t>25% below the MUF is likely to have inadequate signal-to-noise ratios. As a result, an interference analysis for a sharing study should consider an operating frequency window below and above MUF as specified above. If the frequency under consideration for the specified time, month, and sun spot number is not inside the frequency window, then it should be assumed that the victim link is not operating on that frequency.</w:t>
      </w:r>
    </w:p>
    <w:p w:rsidR="000B7798" w:rsidRPr="000B7798" w:rsidRDefault="000B7798" w:rsidP="00542D96">
      <w:pPr>
        <w:rPr>
          <w:lang w:val="en-GB" w:eastAsia="zh-CN"/>
        </w:rPr>
      </w:pPr>
      <w:r w:rsidRPr="000B7798">
        <w:rPr>
          <w:i/>
          <w:lang w:val="en-GB" w:eastAsia="zh-CN"/>
        </w:rPr>
        <w:t xml:space="preserve">Step 2: </w:t>
      </w:r>
      <w:r w:rsidRPr="000B7798">
        <w:rPr>
          <w:lang w:val="en-GB" w:eastAsia="zh-CN"/>
        </w:rPr>
        <w:t xml:space="preserve">Determine the feasibility of the victim link for the required grade of the service within the operating frequency window established in the first step. The median SNR is evaluated for the victim system according to Recommendation ITU-R P.533 for the sun spot numbers, seasons and time intervals. If it is found that the victim link can meet the desired grade of the service, then the interference signal level can be predicted in the next step below. </w:t>
      </w:r>
    </w:p>
    <w:p w:rsidR="000B7798" w:rsidRPr="000B7798" w:rsidRDefault="000B7798" w:rsidP="00542D96">
      <w:pPr>
        <w:rPr>
          <w:lang w:val="en-GB" w:eastAsia="zh-CN"/>
        </w:rPr>
      </w:pPr>
      <w:r w:rsidRPr="000B7798">
        <w:rPr>
          <w:i/>
          <w:lang w:val="en-GB"/>
        </w:rPr>
        <w:t>Step 3:</w:t>
      </w:r>
      <w:r w:rsidRPr="000B7798">
        <w:rPr>
          <w:lang w:val="en-GB"/>
        </w:rPr>
        <w:t xml:space="preserve"> For the time intervals during which the victim link can operate at or above the desired grade of service, determine the interference power at the victim receiver following procedure described in Recommendation ITU-R P.533. Afterwards, evaluate the SNIR to determine the time periods during which the link performance falls below the desired grade of service. The skywave path SNR values required for various types of emissions and grades of service are found in Recommendation ITU-R F.339 (under fading conditions).</w:t>
      </w:r>
      <w:r w:rsidRPr="000B7798">
        <w:rPr>
          <w:lang w:val="en-GB" w:eastAsia="zh-CN"/>
        </w:rPr>
        <w:t xml:space="preserve"> The transmitter should be located at north and south directions at short, medium and long distances from the receiver. The interference signal source should also be located at four compass points with respect to the victim receiver and at short, medium and long separation distances depending on the situation that is being analysed. The analyses should be repeated over low and high sun spot values, at seasonal and time of day samples.</w:t>
      </w:r>
    </w:p>
    <w:p w:rsidR="000B7798" w:rsidRPr="000B7798" w:rsidRDefault="000B7798" w:rsidP="00542D96">
      <w:pPr>
        <w:rPr>
          <w:lang w:val="en-GB" w:eastAsia="zh-CN"/>
        </w:rPr>
      </w:pPr>
      <w:r w:rsidRPr="000B7798">
        <w:rPr>
          <w:i/>
          <w:lang w:val="en-GB" w:eastAsia="zh-CN"/>
        </w:rPr>
        <w:t xml:space="preserve">Step 4: </w:t>
      </w:r>
      <w:r w:rsidRPr="000B7798">
        <w:rPr>
          <w:lang w:val="en-GB" w:eastAsia="zh-CN"/>
        </w:rPr>
        <w:t xml:space="preserve">Calculate the victim link availability with and without interference. The propagation predictions performed according to the Recommendation ITU-R P.533 present availability as a probability of signal level, in a time slot for one hour per day during one month. The victim and interfering transmissions should be assumed to be independent, and their joint probability should be used to determine the duration of interference. For example, if for a given hour within a month, the victim link is evaluated to have availability with a 50% probability, and the interfering signal </w:t>
      </w:r>
      <w:r w:rsidRPr="000B7798">
        <w:rPr>
          <w:lang w:val="en-GB" w:eastAsia="zh-CN"/>
        </w:rPr>
        <w:lastRenderedPageBreak/>
        <w:t>reaches the victim receiver with 50% probability, then the duration of time during which the victim link will be degraded by the interfering transmitter is determined by the joint probability to be 25% for this example. When the interfering transmitter is not present, the victim link would be able to operate for 15 out of 30 possible hours within that month and time slot. With the interfering transmitter present, the victim link availability would be degraded to 7.5 hours for the given month and time slot.</w:t>
      </w:r>
    </w:p>
    <w:p w:rsidR="000B7798" w:rsidRPr="000B7798" w:rsidRDefault="000B7798" w:rsidP="00542D96">
      <w:pPr>
        <w:rPr>
          <w:lang w:val="en-GB" w:eastAsia="zh-CN"/>
        </w:rPr>
      </w:pPr>
      <w:r w:rsidRPr="000B7798">
        <w:rPr>
          <w:lang w:val="en-GB"/>
        </w:rPr>
        <w:t>For sharing studies in this band, with the ionospheric propagation mode, the coverage or interference zones depend on the time of day, the season and the 11-year solar activity cycles. This leads to the fact that HF transmission systems can change frequency more than once in a single day. Thus, it will be necessary to redefine regularly the study parameters (every four hours for example).</w:t>
      </w:r>
    </w:p>
    <w:p w:rsidR="000B7798" w:rsidRPr="000B7798" w:rsidRDefault="000B7798" w:rsidP="00DD62EA">
      <w:pPr>
        <w:pStyle w:val="Heading2"/>
        <w:rPr>
          <w:lang w:val="en-GB"/>
        </w:rPr>
      </w:pPr>
      <w:r w:rsidRPr="000B7798">
        <w:rPr>
          <w:lang w:val="en-GB"/>
        </w:rPr>
        <w:t>2.2</w:t>
      </w:r>
      <w:r w:rsidRPr="000B7798">
        <w:rPr>
          <w:lang w:val="en-GB"/>
        </w:rPr>
        <w:tab/>
        <w:t>Groundwave propagation mode</w:t>
      </w:r>
    </w:p>
    <w:p w:rsidR="000B7798" w:rsidRPr="000B7798" w:rsidRDefault="000B7798" w:rsidP="00CB4FF3">
      <w:pPr>
        <w:rPr>
          <w:lang w:val="en-GB" w:eastAsia="zh-CN"/>
        </w:rPr>
      </w:pPr>
      <w:r w:rsidRPr="000B7798">
        <w:rPr>
          <w:lang w:val="en-GB" w:eastAsia="zh-CN"/>
        </w:rPr>
        <w:t>The median SNR is evaluated according to Recommendation ITU-R P.368</w:t>
      </w:r>
      <w:r w:rsidRPr="000B7798">
        <w:rPr>
          <w:position w:val="6"/>
          <w:sz w:val="18"/>
          <w:lang w:val="en-GB" w:eastAsia="zh-CN"/>
        </w:rPr>
        <w:footnoteReference w:id="5"/>
      </w:r>
      <w:r w:rsidRPr="000B7798">
        <w:rPr>
          <w:lang w:val="en-GB" w:eastAsia="zh-CN"/>
        </w:rPr>
        <w:t xml:space="preserve"> for seasons and time intervals over a one year period, and then the SNIR is calculated. The noise level is calculated according to Recommendation ITU-R P.372. For the periods when the victim link has achieved an SNR greater than the threshold required for the desired grade of service, the SNIR is evaluated to determine the time period during which the link performance is degraded below the desired level. The SNR values for the frequency band 3-30 MHz are found in Recommendation ITU-R F.339 for stable conditions.</w:t>
      </w:r>
    </w:p>
    <w:p w:rsidR="000B7798" w:rsidRPr="000B7798" w:rsidRDefault="000B7798" w:rsidP="00CB4FF3">
      <w:pPr>
        <w:rPr>
          <w:lang w:val="en-GB" w:eastAsia="zh-CN"/>
        </w:rPr>
      </w:pPr>
      <w:r w:rsidRPr="000B7798">
        <w:rPr>
          <w:lang w:val="en-GB" w:eastAsia="zh-CN"/>
        </w:rPr>
        <w:t>The interfering signal could follow a groundwave or skywave propagation path, with calculations performed accordingly. The victim system transmitter and receiver distances should be within the groundwave propagation distances and the interfering signal could originate from groundwave range to short, medium and long skywave separation distances.</w:t>
      </w:r>
    </w:p>
    <w:p w:rsidR="000B7798" w:rsidRPr="000B7798" w:rsidRDefault="000B7798" w:rsidP="00CB4FF3">
      <w:pPr>
        <w:pStyle w:val="Heading1"/>
        <w:rPr>
          <w:lang w:val="en-GB"/>
        </w:rPr>
      </w:pPr>
      <w:r w:rsidRPr="000B7798">
        <w:rPr>
          <w:lang w:val="en-GB"/>
        </w:rPr>
        <w:t>3</w:t>
      </w:r>
      <w:r w:rsidRPr="000B7798">
        <w:rPr>
          <w:lang w:val="en-GB"/>
        </w:rPr>
        <w:tab/>
        <w:t>Analysis for interference from adaptive systems</w:t>
      </w:r>
    </w:p>
    <w:p w:rsidR="000B7798" w:rsidRPr="000B7798" w:rsidRDefault="000B7798" w:rsidP="00F83405">
      <w:pPr>
        <w:rPr>
          <w:lang w:val="en-GB" w:eastAsia="zh-CN"/>
        </w:rPr>
      </w:pPr>
      <w:r w:rsidRPr="000B7798">
        <w:rPr>
          <w:lang w:val="en-GB" w:eastAsia="zh-CN"/>
        </w:rPr>
        <w:t xml:space="preserve">For cases where the interference source is from an adaptive system operating according to Recommendation ITU-R F.1778, the analysis for a sharing study can be done as described in </w:t>
      </w:r>
      <w:r w:rsidR="00F83405">
        <w:rPr>
          <w:lang w:val="en-GB" w:eastAsia="zh-CN"/>
        </w:rPr>
        <w:t>§ </w:t>
      </w:r>
      <w:r w:rsidRPr="000B7798">
        <w:rPr>
          <w:lang w:val="en-GB" w:eastAsia="zh-CN"/>
        </w:rPr>
        <w:t>2 above. If the adaptive system receives the victim link’s signal at a level above the thresholds given in Recommendation ITU-R F.1778, then it can be assumed that the adaptive system successfully detected the victims’ signal and that a frequency change was performed to prevent the victim link from experiencing interference. However, if the received signal level is below the threshold levels given in the Recommendation ITU-R F.1778, then the transmissions from the adaptive system can be considered as interference and the effect can be analysed according to the appropriate propagation mode (skywave or groundwave).</w:t>
      </w:r>
    </w:p>
    <w:p w:rsidR="000B7798" w:rsidRDefault="000B7798" w:rsidP="00847729">
      <w:pPr>
        <w:rPr>
          <w:lang w:val="en-GB" w:eastAsia="zh-CN"/>
        </w:rPr>
      </w:pPr>
    </w:p>
    <w:p w:rsidR="00847729" w:rsidRPr="000B7798" w:rsidRDefault="00847729" w:rsidP="00847729">
      <w:pPr>
        <w:rPr>
          <w:lang w:val="en-GB" w:eastAsia="zh-CN"/>
        </w:rPr>
      </w:pPr>
    </w:p>
    <w:p w:rsidR="000B7798" w:rsidRPr="00077C7F" w:rsidRDefault="000B7798" w:rsidP="00EB3DE9">
      <w:pPr>
        <w:pStyle w:val="AnnexNoTitle"/>
        <w:keepLines w:val="0"/>
        <w:rPr>
          <w:lang w:val="en-GB"/>
        </w:rPr>
      </w:pPr>
      <w:r w:rsidRPr="00077C7F">
        <w:rPr>
          <w:lang w:val="en-GB"/>
        </w:rPr>
        <w:lastRenderedPageBreak/>
        <w:t>Annex 3</w:t>
      </w:r>
      <w:r w:rsidR="00847729" w:rsidRPr="00077C7F">
        <w:rPr>
          <w:lang w:val="en-GB"/>
        </w:rPr>
        <w:br/>
      </w:r>
      <w:r w:rsidR="00847729" w:rsidRPr="00077C7F">
        <w:rPr>
          <w:lang w:val="en-GB"/>
        </w:rPr>
        <w:br/>
      </w:r>
      <w:r w:rsidRPr="00077C7F">
        <w:rPr>
          <w:lang w:val="en-GB"/>
        </w:rPr>
        <w:t>References</w:t>
      </w:r>
    </w:p>
    <w:p w:rsidR="000B7798" w:rsidRPr="000B7798" w:rsidRDefault="000B7798" w:rsidP="00EB3DE9">
      <w:pPr>
        <w:pStyle w:val="Normalaftertitle"/>
        <w:rPr>
          <w:lang w:val="en-GB"/>
        </w:rPr>
      </w:pPr>
      <w:r w:rsidRPr="000B7798">
        <w:rPr>
          <w:lang w:val="en-GB"/>
        </w:rPr>
        <w:t xml:space="preserve">The following ITU-R Recommendations and Reports provide fixed and land mobile system characteristics </w:t>
      </w:r>
      <w:r w:rsidRPr="000B7798">
        <w:rPr>
          <w:szCs w:val="24"/>
          <w:lang w:val="en-GB"/>
        </w:rPr>
        <w:t>in the frequency range 1.5-30 MHz</w:t>
      </w:r>
      <w:r w:rsidRPr="000B7798">
        <w:rPr>
          <w:lang w:val="en-GB"/>
        </w:rPr>
        <w:t xml:space="preserve"> to be used in sharing studies. Other Recommendations and Reports may also be applicable.</w:t>
      </w:r>
    </w:p>
    <w:p w:rsidR="000B7798" w:rsidRPr="000B7798" w:rsidRDefault="000B7798" w:rsidP="00077C7F">
      <w:pPr>
        <w:pStyle w:val="Reftext"/>
        <w:rPr>
          <w:lang w:val="en-GB"/>
        </w:rPr>
      </w:pPr>
      <w:r w:rsidRPr="000B7798">
        <w:rPr>
          <w:lang w:val="en-GB"/>
        </w:rPr>
        <w:t>Recommendation ITU-R F.240 – Signal-to-interference protection ratios for various classes of emission in the fixed service below about 30 MHz</w:t>
      </w:r>
      <w:r w:rsidR="00C503D3">
        <w:rPr>
          <w:lang w:val="en-GB"/>
        </w:rPr>
        <w:t>.</w:t>
      </w:r>
    </w:p>
    <w:p w:rsidR="000B7798" w:rsidRPr="000B7798" w:rsidRDefault="000B7798" w:rsidP="00077C7F">
      <w:pPr>
        <w:pStyle w:val="Reftext"/>
        <w:rPr>
          <w:lang w:val="en-GB"/>
        </w:rPr>
      </w:pPr>
      <w:r w:rsidRPr="000B7798">
        <w:rPr>
          <w:lang w:val="en-GB"/>
        </w:rPr>
        <w:t>Recommendation ITU-R F.339 – Bandwidths, signal-to-noise ratios and fading allowances in HF fixed and land mobile radiocommunication systems</w:t>
      </w:r>
      <w:r w:rsidR="00C503D3">
        <w:rPr>
          <w:lang w:val="en-GB"/>
        </w:rPr>
        <w:t>.</w:t>
      </w:r>
    </w:p>
    <w:p w:rsidR="000B7798" w:rsidRPr="000B7798" w:rsidRDefault="000B7798" w:rsidP="00077C7F">
      <w:pPr>
        <w:pStyle w:val="Reftext"/>
        <w:rPr>
          <w:lang w:val="en-GB"/>
        </w:rPr>
      </w:pPr>
      <w:r w:rsidRPr="000B7798">
        <w:rPr>
          <w:lang w:val="en-GB"/>
        </w:rPr>
        <w:t>Recommendation ITU-R F.1778 – Channel access requirements for HF adaptive systems in the fixed and land mobile services</w:t>
      </w:r>
      <w:r w:rsidR="00C503D3">
        <w:rPr>
          <w:lang w:val="en-GB"/>
        </w:rPr>
        <w:t>.</w:t>
      </w:r>
    </w:p>
    <w:p w:rsidR="000B7798" w:rsidRPr="000B7798" w:rsidRDefault="000B7798" w:rsidP="00077C7F">
      <w:pPr>
        <w:pStyle w:val="Reftext"/>
        <w:rPr>
          <w:lang w:val="en-GB"/>
        </w:rPr>
      </w:pPr>
      <w:r w:rsidRPr="000B7798">
        <w:rPr>
          <w:lang w:val="en-GB"/>
        </w:rPr>
        <w:t>Recommendation ITU-R F.1821 – Characteristics of advanced digital high frequency (HF) radiocommunication systems</w:t>
      </w:r>
      <w:r w:rsidR="00C503D3">
        <w:rPr>
          <w:lang w:val="en-GB"/>
        </w:rPr>
        <w:t>.</w:t>
      </w:r>
    </w:p>
    <w:p w:rsidR="000B7798" w:rsidRPr="000B7798" w:rsidRDefault="000B7798" w:rsidP="00CD6059">
      <w:pPr>
        <w:pStyle w:val="Reftext"/>
        <w:rPr>
          <w:lang w:val="en-GB"/>
        </w:rPr>
      </w:pPr>
      <w:r w:rsidRPr="000B7798">
        <w:rPr>
          <w:lang w:val="en-GB"/>
        </w:rPr>
        <w:t>Recommendation ITU-R P.368 – Ground-wave propagation curves for frequencies between 10 kHz and 30</w:t>
      </w:r>
      <w:r w:rsidR="00CD6059">
        <w:rPr>
          <w:lang w:val="en-GB"/>
        </w:rPr>
        <w:t> </w:t>
      </w:r>
      <w:r w:rsidRPr="000B7798">
        <w:rPr>
          <w:lang w:val="en-GB"/>
        </w:rPr>
        <w:t>MHz</w:t>
      </w:r>
      <w:r w:rsidR="0023106E">
        <w:rPr>
          <w:lang w:val="en-GB"/>
        </w:rPr>
        <w:t>.</w:t>
      </w:r>
    </w:p>
    <w:p w:rsidR="000B7798" w:rsidRPr="000B7798" w:rsidRDefault="000B7798" w:rsidP="00077C7F">
      <w:pPr>
        <w:pStyle w:val="Reftext"/>
        <w:rPr>
          <w:lang w:val="fr-CH"/>
        </w:rPr>
      </w:pPr>
      <w:r w:rsidRPr="000B7798">
        <w:rPr>
          <w:lang w:val="fr-CH"/>
        </w:rPr>
        <w:t>Recommendation ITU-R P.372 – Radio noise</w:t>
      </w:r>
      <w:r w:rsidR="0023106E">
        <w:rPr>
          <w:lang w:val="fr-CH"/>
        </w:rPr>
        <w:t>.</w:t>
      </w:r>
    </w:p>
    <w:p w:rsidR="000B7798" w:rsidRPr="000B7798" w:rsidRDefault="000B7798" w:rsidP="00077C7F">
      <w:pPr>
        <w:pStyle w:val="Reftext"/>
        <w:rPr>
          <w:lang w:val="en-GB"/>
        </w:rPr>
      </w:pPr>
      <w:r w:rsidRPr="000B7798">
        <w:rPr>
          <w:lang w:val="en-GB"/>
        </w:rPr>
        <w:t>Recommendation ITU-R P.533 – Method for the prediction of the performance of HF circuits</w:t>
      </w:r>
      <w:r w:rsidR="0023106E">
        <w:rPr>
          <w:lang w:val="en-GB"/>
        </w:rPr>
        <w:t>.</w:t>
      </w:r>
    </w:p>
    <w:p w:rsidR="000B7798" w:rsidRPr="000B7798" w:rsidRDefault="000B7798" w:rsidP="00077C7F">
      <w:pPr>
        <w:pStyle w:val="Reftext"/>
        <w:rPr>
          <w:lang w:val="en-GB"/>
        </w:rPr>
      </w:pPr>
      <w:r w:rsidRPr="000B7798">
        <w:rPr>
          <w:lang w:val="en-GB"/>
        </w:rPr>
        <w:t>Recommendation ITU-R SM.1539 – Variation of the boundary between the out-of-band and spurious domains required for the application of Recommendations ITU-R SM.1541 and ITU-R SM.329</w:t>
      </w:r>
      <w:r w:rsidR="0023106E">
        <w:rPr>
          <w:lang w:val="en-GB"/>
        </w:rPr>
        <w:t>.</w:t>
      </w:r>
    </w:p>
    <w:p w:rsidR="000B7798" w:rsidRPr="000B7798" w:rsidRDefault="000B7798" w:rsidP="00077C7F">
      <w:pPr>
        <w:pStyle w:val="Reftext"/>
        <w:rPr>
          <w:lang w:val="en-GB"/>
        </w:rPr>
      </w:pPr>
      <w:r w:rsidRPr="000B7798">
        <w:rPr>
          <w:lang w:val="en-GB"/>
        </w:rPr>
        <w:t>Report ITU-R F.2263 –Reliability calculations for adaptive HF fixed service networks</w:t>
      </w:r>
      <w:r w:rsidR="0023106E">
        <w:rPr>
          <w:lang w:val="en-GB"/>
        </w:rPr>
        <w:t>.</w:t>
      </w:r>
    </w:p>
    <w:p w:rsidR="000B7798" w:rsidRPr="000B7798" w:rsidRDefault="000B7798" w:rsidP="00116EF9">
      <w:pPr>
        <w:pStyle w:val="Reftext"/>
        <w:rPr>
          <w:lang w:val="en-GB"/>
        </w:rPr>
      </w:pPr>
      <w:r w:rsidRPr="000B7798">
        <w:rPr>
          <w:lang w:val="en-GB"/>
        </w:rPr>
        <w:t xml:space="preserve">ITU-R Handbook </w:t>
      </w:r>
      <w:r w:rsidR="00077C7F">
        <w:rPr>
          <w:lang w:val="en-GB"/>
        </w:rPr>
        <w:t>–</w:t>
      </w:r>
      <w:r w:rsidRPr="000B7798">
        <w:rPr>
          <w:lang w:val="en-GB"/>
        </w:rPr>
        <w:t xml:space="preserve"> Frequency adaptive communication systems and networks in the MF/HF bands.</w:t>
      </w:r>
    </w:p>
    <w:p w:rsidR="00934ED7" w:rsidRPr="00BF487A" w:rsidRDefault="00934ED7" w:rsidP="00F552D5">
      <w:pPr>
        <w:pStyle w:val="Line"/>
        <w:spacing w:before="720"/>
        <w:rPr>
          <w:lang w:val="en-US"/>
        </w:rPr>
      </w:pPr>
    </w:p>
    <w:sectPr w:rsidR="00934ED7" w:rsidRPr="00BF487A" w:rsidSect="005419AD">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BF4" w:rsidRDefault="00057BF4">
      <w:r>
        <w:separator/>
      </w:r>
    </w:p>
  </w:endnote>
  <w:endnote w:type="continuationSeparator" w:id="0">
    <w:p w:rsidR="00057BF4" w:rsidRDefault="00057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BF4" w:rsidRDefault="00057BF4">
      <w:r>
        <w:separator/>
      </w:r>
    </w:p>
  </w:footnote>
  <w:footnote w:type="continuationSeparator" w:id="0">
    <w:p w:rsidR="00057BF4" w:rsidRDefault="00057BF4">
      <w:r>
        <w:continuationSeparator/>
      </w:r>
    </w:p>
  </w:footnote>
  <w:footnote w:id="1">
    <w:p w:rsidR="000B7798" w:rsidRPr="000B7798" w:rsidRDefault="000B7798" w:rsidP="000B7798">
      <w:pPr>
        <w:pStyle w:val="FootnoteText"/>
        <w:rPr>
          <w:lang w:val="en-GB"/>
        </w:rPr>
      </w:pPr>
      <w:r w:rsidRPr="006853A7">
        <w:rPr>
          <w:rStyle w:val="FootnoteReference"/>
        </w:rPr>
        <w:footnoteRef/>
      </w:r>
      <w:r w:rsidRPr="000B7798">
        <w:rPr>
          <w:lang w:val="en-GB"/>
        </w:rPr>
        <w:tab/>
        <w:t xml:space="preserve">Links for </w:t>
      </w:r>
      <w:r w:rsidRPr="006853A7">
        <w:rPr>
          <w:lang w:val="en-US"/>
        </w:rPr>
        <w:t xml:space="preserve">software models associated with some of the ITU-R Recommendations </w:t>
      </w:r>
      <w:r>
        <w:rPr>
          <w:lang w:val="en-US"/>
        </w:rPr>
        <w:t xml:space="preserve">on </w:t>
      </w:r>
      <w:r w:rsidRPr="006853A7">
        <w:rPr>
          <w:lang w:val="en-US"/>
        </w:rPr>
        <w:t xml:space="preserve">propagation described in this </w:t>
      </w:r>
      <w:r>
        <w:rPr>
          <w:lang w:val="en-US"/>
        </w:rPr>
        <w:t>Recommendation</w:t>
      </w:r>
      <w:r w:rsidRPr="006853A7">
        <w:rPr>
          <w:lang w:val="en-US"/>
        </w:rPr>
        <w:t xml:space="preserve"> ma</w:t>
      </w:r>
      <w:r>
        <w:rPr>
          <w:lang w:val="en-US"/>
        </w:rPr>
        <w:t>y be available on the ITU web</w:t>
      </w:r>
      <w:r w:rsidRPr="006853A7">
        <w:rPr>
          <w:lang w:val="en-US"/>
        </w:rPr>
        <w:t>site on software, data, and validation examples for ionospheric and tropospheric radio wave propagation and radio noise (</w:t>
      </w:r>
      <w:hyperlink r:id="rId1" w:history="1">
        <w:r w:rsidRPr="000B7798">
          <w:rPr>
            <w:rStyle w:val="Hyperlink"/>
            <w:lang w:val="en-GB"/>
          </w:rPr>
          <w:t>https://www.itu.int/en/ITU-R/study-groups/rsg3/Pages/iono-tropo-spheric.aspx</w:t>
        </w:r>
      </w:hyperlink>
      <w:r w:rsidRPr="000B7798">
        <w:rPr>
          <w:color w:val="000000"/>
          <w:lang w:val="en-GB"/>
        </w:rPr>
        <w:t>).</w:t>
      </w:r>
    </w:p>
  </w:footnote>
  <w:footnote w:id="2">
    <w:p w:rsidR="000B7798" w:rsidRPr="00476FEC" w:rsidRDefault="000B7798" w:rsidP="000B7798">
      <w:pPr>
        <w:pStyle w:val="FootnoteText"/>
        <w:rPr>
          <w:lang w:val="en-CA"/>
        </w:rPr>
      </w:pPr>
      <w:r>
        <w:rPr>
          <w:rStyle w:val="FootnoteReference"/>
        </w:rPr>
        <w:footnoteRef/>
      </w:r>
      <w:r w:rsidRPr="009366F9">
        <w:rPr>
          <w:lang w:val="en-US"/>
        </w:rPr>
        <w:t xml:space="preserve"> </w:t>
      </w:r>
      <w:r w:rsidRPr="009366F9">
        <w:rPr>
          <w:lang w:val="en-US"/>
        </w:rPr>
        <w:tab/>
        <w:t>SNR for the desired grade service f</w:t>
      </w:r>
      <w:r>
        <w:rPr>
          <w:lang w:val="en-CA"/>
        </w:rPr>
        <w:t xml:space="preserve">or groundwave paths “Stable condition” or “AWGN Channel” and for skywave paths “fading condition” are tabulated in </w:t>
      </w:r>
      <w:r w:rsidRPr="00EC6857">
        <w:rPr>
          <w:lang w:val="en-CA"/>
        </w:rPr>
        <w:t xml:space="preserve">Recommendation </w:t>
      </w:r>
      <w:hyperlink r:id="rId2" w:history="1">
        <w:r w:rsidRPr="00B03E83">
          <w:rPr>
            <w:rStyle w:val="Hyperlink"/>
            <w:color w:val="auto"/>
            <w:u w:val="none"/>
            <w:lang w:val="en-CA"/>
          </w:rPr>
          <w:t>ITU-R F.339</w:t>
        </w:r>
      </w:hyperlink>
      <w:r>
        <w:rPr>
          <w:lang w:val="en-CA"/>
        </w:rPr>
        <w:t>.</w:t>
      </w:r>
    </w:p>
  </w:footnote>
  <w:footnote w:id="3">
    <w:p w:rsidR="000B7798" w:rsidRPr="00F13A4F" w:rsidRDefault="000B7798" w:rsidP="00F83405">
      <w:pPr>
        <w:pStyle w:val="FootnoteText"/>
        <w:rPr>
          <w:lang w:val="en-CA"/>
        </w:rPr>
      </w:pPr>
      <w:r w:rsidRPr="001B6863">
        <w:rPr>
          <w:rStyle w:val="FootnoteReference"/>
        </w:rPr>
        <w:footnoteRef/>
      </w:r>
      <w:r w:rsidRPr="000B7798">
        <w:rPr>
          <w:lang w:val="en-GB"/>
        </w:rPr>
        <w:tab/>
      </w:r>
      <w:r w:rsidRPr="001B6863">
        <w:rPr>
          <w:lang w:val="en-CA"/>
        </w:rPr>
        <w:t>In the ITU</w:t>
      </w:r>
      <w:r w:rsidRPr="00F13A4F">
        <w:rPr>
          <w:lang w:val="en-CA"/>
        </w:rPr>
        <w:t>-R</w:t>
      </w:r>
      <w:r w:rsidRPr="001B6863">
        <w:rPr>
          <w:lang w:val="en-CA"/>
        </w:rPr>
        <w:t xml:space="preserve"> Radio Regulations, the term “MF” refers to t</w:t>
      </w:r>
      <w:r>
        <w:rPr>
          <w:lang w:val="en-CA"/>
        </w:rPr>
        <w:t>he frequency range 300</w:t>
      </w:r>
      <w:r w:rsidR="00F83405">
        <w:rPr>
          <w:lang w:val="en-CA"/>
        </w:rPr>
        <w:t>-</w:t>
      </w:r>
      <w:r w:rsidRPr="001B6863">
        <w:rPr>
          <w:lang w:val="en-CA"/>
        </w:rPr>
        <w:t xml:space="preserve">3 000 kHz, and the term “HF” </w:t>
      </w:r>
      <w:r>
        <w:rPr>
          <w:lang w:val="en-CA"/>
        </w:rPr>
        <w:t>refers to the frequency range 3</w:t>
      </w:r>
      <w:r w:rsidR="00F83405">
        <w:rPr>
          <w:lang w:val="en-CA"/>
        </w:rPr>
        <w:t>-</w:t>
      </w:r>
      <w:r w:rsidRPr="001B6863">
        <w:rPr>
          <w:lang w:val="en-CA"/>
        </w:rPr>
        <w:t>30 MHz.</w:t>
      </w:r>
      <w:r>
        <w:rPr>
          <w:lang w:val="en-CA"/>
        </w:rPr>
        <w:t xml:space="preserve"> </w:t>
      </w:r>
      <w:r w:rsidRPr="00F13A4F">
        <w:rPr>
          <w:lang w:val="en-CA"/>
        </w:rPr>
        <w:t>The guidance related to MF/HF systems provided in this Recommendation is lim</w:t>
      </w:r>
      <w:r>
        <w:rPr>
          <w:lang w:val="en-CA"/>
        </w:rPr>
        <w:t>ited to the frequency range 1.5</w:t>
      </w:r>
      <w:r w:rsidR="00F83405">
        <w:rPr>
          <w:lang w:val="en-CA"/>
        </w:rPr>
        <w:t>-</w:t>
      </w:r>
      <w:r w:rsidRPr="00F13A4F">
        <w:rPr>
          <w:lang w:val="en-CA"/>
        </w:rPr>
        <w:t>30 MHz.</w:t>
      </w:r>
    </w:p>
  </w:footnote>
  <w:footnote w:id="4">
    <w:p w:rsidR="000B7798" w:rsidRPr="000B7798" w:rsidRDefault="000B7798" w:rsidP="000B7798">
      <w:pPr>
        <w:pStyle w:val="FootnoteText"/>
        <w:rPr>
          <w:lang w:val="en-GB"/>
        </w:rPr>
      </w:pPr>
      <w:r w:rsidRPr="006853A7">
        <w:rPr>
          <w:rStyle w:val="FootnoteReference"/>
        </w:rPr>
        <w:footnoteRef/>
      </w:r>
      <w:r w:rsidRPr="000B7798">
        <w:rPr>
          <w:lang w:val="en-GB"/>
        </w:rPr>
        <w:tab/>
        <w:t>REC533 and ITURHFPROP are software models associated with Recommendation ITU-R P.533.</w:t>
      </w:r>
    </w:p>
  </w:footnote>
  <w:footnote w:id="5">
    <w:p w:rsidR="000B7798" w:rsidRPr="000B7798" w:rsidRDefault="000B7798" w:rsidP="000B7798">
      <w:pPr>
        <w:pStyle w:val="FootnoteText"/>
        <w:rPr>
          <w:lang w:val="en-GB"/>
        </w:rPr>
      </w:pPr>
      <w:r w:rsidRPr="006853A7">
        <w:rPr>
          <w:rStyle w:val="FootnoteReference"/>
        </w:rPr>
        <w:footnoteRef/>
      </w:r>
      <w:r w:rsidRPr="000B7798">
        <w:rPr>
          <w:lang w:val="en-GB"/>
        </w:rPr>
        <w:tab/>
        <w:t>GRWAVE is a software model associated with Recommendation ITU-R P.368.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24F" w:rsidRDefault="007D224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24F" w:rsidRDefault="00413059" w:rsidP="00B033C8">
    <w:pPr>
      <w:pStyle w:val="Header"/>
      <w:ind w:right="360" w:firstLine="360"/>
    </w:pPr>
    <w:r>
      <w:rPr>
        <w:noProof/>
        <w:lang w:val="en-GB" w:eastAsia="en-GB"/>
      </w:rPr>
      <w:drawing>
        <wp:anchor distT="0" distB="0" distL="114300" distR="114300" simplePos="0" relativeHeight="251656704" behindDoc="1" locked="0" layoutInCell="1" allowOverlap="1" wp14:anchorId="11D2AE41" wp14:editId="5A73A67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24F" w:rsidRPr="00FC42AF" w:rsidRDefault="00A11CB5">
    <w:pPr>
      <w:pStyle w:val="Header"/>
      <w:jc w:val="left"/>
    </w:pPr>
    <w:r>
      <w:rPr>
        <w:rStyle w:val="PageNumber"/>
        <w:b/>
        <w:bCs/>
      </w:rPr>
      <w:fldChar w:fldCharType="begin"/>
    </w:r>
    <w:r w:rsidR="007D224F" w:rsidRPr="00FC42AF">
      <w:rPr>
        <w:rStyle w:val="PageNumber"/>
        <w:b/>
        <w:bCs/>
      </w:rPr>
      <w:instrText xml:space="preserve"> PAGE </w:instrText>
    </w:r>
    <w:r>
      <w:rPr>
        <w:rStyle w:val="PageNumber"/>
        <w:b/>
        <w:bCs/>
      </w:rPr>
      <w:fldChar w:fldCharType="separate"/>
    </w:r>
    <w:r w:rsidR="000D2BC0">
      <w:rPr>
        <w:rStyle w:val="PageNumber"/>
        <w:b/>
        <w:bCs/>
        <w:noProof/>
      </w:rPr>
      <w:t>6</w:t>
    </w:r>
    <w:r>
      <w:rPr>
        <w:rStyle w:val="PageNumber"/>
        <w:b/>
        <w:bCs/>
      </w:rPr>
      <w:fldChar w:fldCharType="end"/>
    </w:r>
    <w:r w:rsidR="007D224F" w:rsidRPr="00FC42AF">
      <w:tab/>
    </w:r>
    <w:r w:rsidR="00594CD0">
      <w:rPr>
        <w:b/>
        <w:bCs/>
      </w:rPr>
      <w:fldChar w:fldCharType="begin"/>
    </w:r>
    <w:r w:rsidR="00594CD0">
      <w:rPr>
        <w:b/>
        <w:bCs/>
      </w:rPr>
      <w:instrText xml:space="preserve"> DOCPROPERTY "Header" \* MERGEFORMAT </w:instrText>
    </w:r>
    <w:r w:rsidR="00594CD0">
      <w:rPr>
        <w:b/>
        <w:bCs/>
      </w:rPr>
      <w:fldChar w:fldCharType="separate"/>
    </w:r>
    <w:r w:rsidR="000D2BC0">
      <w:rPr>
        <w:b/>
        <w:bCs/>
      </w:rPr>
      <w:t xml:space="preserve">Rec. </w:t>
    </w:r>
    <w:r w:rsidR="00594CD0">
      <w:rPr>
        <w:b/>
        <w:bCs/>
      </w:rPr>
      <w:fldChar w:fldCharType="end"/>
    </w:r>
    <w:r w:rsidR="007D224F">
      <w:rPr>
        <w:b/>
        <w:bCs/>
      </w:rPr>
      <w:t xml:space="preserve"> </w:t>
    </w:r>
    <w:r>
      <w:rPr>
        <w:b/>
        <w:bCs/>
      </w:rPr>
      <w:fldChar w:fldCharType="begin"/>
    </w:r>
    <w:r w:rsidR="007D224F" w:rsidRPr="00FC42AF">
      <w:rPr>
        <w:b/>
        <w:bCs/>
      </w:rPr>
      <w:instrText>styleref href</w:instrText>
    </w:r>
    <w:r>
      <w:rPr>
        <w:b/>
        <w:bCs/>
      </w:rPr>
      <w:fldChar w:fldCharType="separate"/>
    </w:r>
    <w:r w:rsidR="000D2BC0">
      <w:rPr>
        <w:b/>
        <w:bCs/>
        <w:noProof/>
      </w:rPr>
      <w:t>ITU-R  F.2119-0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24F" w:rsidRDefault="007D224F">
    <w:pPr>
      <w:pStyle w:val="Header"/>
    </w:pPr>
    <w:r>
      <w:tab/>
    </w:r>
    <w:r w:rsidR="00594CD0">
      <w:rPr>
        <w:b/>
        <w:bCs/>
      </w:rPr>
      <w:fldChar w:fldCharType="begin"/>
    </w:r>
    <w:r w:rsidR="00594CD0">
      <w:rPr>
        <w:b/>
        <w:bCs/>
      </w:rPr>
      <w:instrText xml:space="preserve"> DOCPROPERTY "Header" \* MERGEFORMAT </w:instrText>
    </w:r>
    <w:r w:rsidR="00594CD0">
      <w:rPr>
        <w:b/>
        <w:bCs/>
      </w:rPr>
      <w:fldChar w:fldCharType="separate"/>
    </w:r>
    <w:r w:rsidR="000D2BC0">
      <w:rPr>
        <w:b/>
        <w:bCs/>
      </w:rPr>
      <w:t xml:space="preserve">Rec. </w:t>
    </w:r>
    <w:r w:rsidR="00594CD0">
      <w:rPr>
        <w:b/>
        <w:bCs/>
      </w:rPr>
      <w:fldChar w:fldCharType="end"/>
    </w:r>
    <w:r>
      <w:rPr>
        <w:b/>
        <w:bCs/>
      </w:rPr>
      <w:t xml:space="preserve"> </w:t>
    </w:r>
    <w:r w:rsidR="00A11CB5">
      <w:rPr>
        <w:b/>
        <w:bCs/>
      </w:rPr>
      <w:fldChar w:fldCharType="begin"/>
    </w:r>
    <w:r>
      <w:rPr>
        <w:b/>
        <w:bCs/>
      </w:rPr>
      <w:instrText>styleref href</w:instrText>
    </w:r>
    <w:r w:rsidR="00A11CB5">
      <w:rPr>
        <w:b/>
        <w:bCs/>
      </w:rPr>
      <w:fldChar w:fldCharType="separate"/>
    </w:r>
    <w:r w:rsidR="000D2BC0">
      <w:rPr>
        <w:b/>
        <w:bCs/>
        <w:noProof/>
      </w:rPr>
      <w:t>ITU-R  F.2119-0</w:t>
    </w:r>
    <w:r w:rsidR="00A11CB5">
      <w:rPr>
        <w:b/>
        <w:bCs/>
      </w:rPr>
      <w:fldChar w:fldCharType="end"/>
    </w:r>
    <w:r>
      <w:tab/>
    </w:r>
    <w:r w:rsidR="00A11CB5">
      <w:rPr>
        <w:rStyle w:val="PageNumber"/>
        <w:b/>
        <w:bCs/>
      </w:rPr>
      <w:fldChar w:fldCharType="begin"/>
    </w:r>
    <w:r>
      <w:rPr>
        <w:rStyle w:val="PageNumber"/>
        <w:b/>
        <w:bCs/>
      </w:rPr>
      <w:instrText xml:space="preserve"> PAGE </w:instrText>
    </w:r>
    <w:r w:rsidR="00A11CB5">
      <w:rPr>
        <w:rStyle w:val="PageNumber"/>
        <w:b/>
        <w:bCs/>
      </w:rPr>
      <w:fldChar w:fldCharType="separate"/>
    </w:r>
    <w:r w:rsidR="000D2BC0">
      <w:rPr>
        <w:rStyle w:val="PageNumber"/>
        <w:b/>
        <w:bCs/>
        <w:noProof/>
      </w:rPr>
      <w:t>7</w:t>
    </w:r>
    <w:r w:rsidR="00A11CB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4D45E3E"/>
    <w:multiLevelType w:val="hybridMultilevel"/>
    <w:tmpl w:val="654EFD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1A75D5D"/>
    <w:multiLevelType w:val="hybridMultilevel"/>
    <w:tmpl w:val="125CB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n-CA"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174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17C7E"/>
    <w:rsid w:val="000269CE"/>
    <w:rsid w:val="00036EE3"/>
    <w:rsid w:val="00057BF4"/>
    <w:rsid w:val="00071277"/>
    <w:rsid w:val="00072484"/>
    <w:rsid w:val="00077C7F"/>
    <w:rsid w:val="00080EAD"/>
    <w:rsid w:val="00082D65"/>
    <w:rsid w:val="00082F56"/>
    <w:rsid w:val="00096612"/>
    <w:rsid w:val="000A4386"/>
    <w:rsid w:val="000B7683"/>
    <w:rsid w:val="000B7798"/>
    <w:rsid w:val="000D0677"/>
    <w:rsid w:val="000D2BC0"/>
    <w:rsid w:val="000E6A6E"/>
    <w:rsid w:val="000E6FCC"/>
    <w:rsid w:val="00102934"/>
    <w:rsid w:val="00116EF9"/>
    <w:rsid w:val="00123703"/>
    <w:rsid w:val="00147110"/>
    <w:rsid w:val="001511A6"/>
    <w:rsid w:val="00160EED"/>
    <w:rsid w:val="00191E81"/>
    <w:rsid w:val="001E6B0C"/>
    <w:rsid w:val="002058CE"/>
    <w:rsid w:val="002165F1"/>
    <w:rsid w:val="0023106E"/>
    <w:rsid w:val="00242FB8"/>
    <w:rsid w:val="002448C9"/>
    <w:rsid w:val="00252196"/>
    <w:rsid w:val="00276D21"/>
    <w:rsid w:val="00296D7F"/>
    <w:rsid w:val="002B3CF6"/>
    <w:rsid w:val="002C768A"/>
    <w:rsid w:val="002D76C4"/>
    <w:rsid w:val="002E6180"/>
    <w:rsid w:val="002F480B"/>
    <w:rsid w:val="002F5199"/>
    <w:rsid w:val="0030050F"/>
    <w:rsid w:val="00356B5D"/>
    <w:rsid w:val="00356C2E"/>
    <w:rsid w:val="003C2667"/>
    <w:rsid w:val="003D6B3C"/>
    <w:rsid w:val="00413059"/>
    <w:rsid w:val="00420DFD"/>
    <w:rsid w:val="004379D8"/>
    <w:rsid w:val="00437A76"/>
    <w:rsid w:val="00464B1A"/>
    <w:rsid w:val="00465C5A"/>
    <w:rsid w:val="00470E28"/>
    <w:rsid w:val="00476166"/>
    <w:rsid w:val="0048129A"/>
    <w:rsid w:val="00481A0A"/>
    <w:rsid w:val="0048422F"/>
    <w:rsid w:val="004934C5"/>
    <w:rsid w:val="004B32BC"/>
    <w:rsid w:val="004E6F32"/>
    <w:rsid w:val="004F65E4"/>
    <w:rsid w:val="0052149E"/>
    <w:rsid w:val="005419AD"/>
    <w:rsid w:val="00542D96"/>
    <w:rsid w:val="00553527"/>
    <w:rsid w:val="005535A9"/>
    <w:rsid w:val="00556548"/>
    <w:rsid w:val="00563E53"/>
    <w:rsid w:val="00586EF8"/>
    <w:rsid w:val="0058774F"/>
    <w:rsid w:val="00594CD0"/>
    <w:rsid w:val="00596902"/>
    <w:rsid w:val="005B49AB"/>
    <w:rsid w:val="005B50E7"/>
    <w:rsid w:val="005C55F1"/>
    <w:rsid w:val="005D1106"/>
    <w:rsid w:val="005E7722"/>
    <w:rsid w:val="005E7B4F"/>
    <w:rsid w:val="00601882"/>
    <w:rsid w:val="00607D68"/>
    <w:rsid w:val="00613212"/>
    <w:rsid w:val="006147B1"/>
    <w:rsid w:val="006149B1"/>
    <w:rsid w:val="00677965"/>
    <w:rsid w:val="00680D2B"/>
    <w:rsid w:val="00681B32"/>
    <w:rsid w:val="006A2368"/>
    <w:rsid w:val="006A75CC"/>
    <w:rsid w:val="006B1D2B"/>
    <w:rsid w:val="006C01B5"/>
    <w:rsid w:val="006E1131"/>
    <w:rsid w:val="006E2037"/>
    <w:rsid w:val="006E6199"/>
    <w:rsid w:val="006F3EE2"/>
    <w:rsid w:val="00712870"/>
    <w:rsid w:val="00721338"/>
    <w:rsid w:val="00736EC5"/>
    <w:rsid w:val="00743D85"/>
    <w:rsid w:val="00753CF4"/>
    <w:rsid w:val="007565CC"/>
    <w:rsid w:val="00763B9A"/>
    <w:rsid w:val="00794726"/>
    <w:rsid w:val="007A5069"/>
    <w:rsid w:val="007A6AA8"/>
    <w:rsid w:val="007B303F"/>
    <w:rsid w:val="007B5592"/>
    <w:rsid w:val="007C3978"/>
    <w:rsid w:val="007D224F"/>
    <w:rsid w:val="007D70FD"/>
    <w:rsid w:val="00807436"/>
    <w:rsid w:val="008310C9"/>
    <w:rsid w:val="00847729"/>
    <w:rsid w:val="008479CA"/>
    <w:rsid w:val="0085307C"/>
    <w:rsid w:val="00853CC5"/>
    <w:rsid w:val="00856B07"/>
    <w:rsid w:val="0088675B"/>
    <w:rsid w:val="008B3452"/>
    <w:rsid w:val="008C1BAC"/>
    <w:rsid w:val="008C7848"/>
    <w:rsid w:val="00906589"/>
    <w:rsid w:val="00906AD6"/>
    <w:rsid w:val="00914E53"/>
    <w:rsid w:val="00916711"/>
    <w:rsid w:val="00917AF2"/>
    <w:rsid w:val="0092418A"/>
    <w:rsid w:val="00934ED7"/>
    <w:rsid w:val="00943053"/>
    <w:rsid w:val="009543C3"/>
    <w:rsid w:val="00960D6F"/>
    <w:rsid w:val="00966E1B"/>
    <w:rsid w:val="00973521"/>
    <w:rsid w:val="00981531"/>
    <w:rsid w:val="00990FC8"/>
    <w:rsid w:val="009947C0"/>
    <w:rsid w:val="009A7B78"/>
    <w:rsid w:val="009B49B5"/>
    <w:rsid w:val="009B7EFC"/>
    <w:rsid w:val="009F2D2C"/>
    <w:rsid w:val="00A03F5F"/>
    <w:rsid w:val="00A11CB5"/>
    <w:rsid w:val="00A155A2"/>
    <w:rsid w:val="00A31928"/>
    <w:rsid w:val="00A51727"/>
    <w:rsid w:val="00A62A14"/>
    <w:rsid w:val="00A6617B"/>
    <w:rsid w:val="00A71FE5"/>
    <w:rsid w:val="00A971A1"/>
    <w:rsid w:val="00AA3AD8"/>
    <w:rsid w:val="00AB0DC8"/>
    <w:rsid w:val="00AC5993"/>
    <w:rsid w:val="00AE644B"/>
    <w:rsid w:val="00B033C8"/>
    <w:rsid w:val="00B03E83"/>
    <w:rsid w:val="00B12395"/>
    <w:rsid w:val="00B33425"/>
    <w:rsid w:val="00B44E24"/>
    <w:rsid w:val="00B54ECC"/>
    <w:rsid w:val="00B714F3"/>
    <w:rsid w:val="00B82840"/>
    <w:rsid w:val="00B87B6B"/>
    <w:rsid w:val="00BC42B5"/>
    <w:rsid w:val="00BC5D77"/>
    <w:rsid w:val="00BF0B16"/>
    <w:rsid w:val="00BF2740"/>
    <w:rsid w:val="00BF487A"/>
    <w:rsid w:val="00C46BD9"/>
    <w:rsid w:val="00C503D3"/>
    <w:rsid w:val="00C55258"/>
    <w:rsid w:val="00C672AB"/>
    <w:rsid w:val="00C73560"/>
    <w:rsid w:val="00CB0F14"/>
    <w:rsid w:val="00CB4FF3"/>
    <w:rsid w:val="00CD6059"/>
    <w:rsid w:val="00CD659B"/>
    <w:rsid w:val="00CE0A43"/>
    <w:rsid w:val="00CE7A98"/>
    <w:rsid w:val="00CF0799"/>
    <w:rsid w:val="00D4781F"/>
    <w:rsid w:val="00D7185F"/>
    <w:rsid w:val="00D83556"/>
    <w:rsid w:val="00DD62EA"/>
    <w:rsid w:val="00DF21AC"/>
    <w:rsid w:val="00DF4176"/>
    <w:rsid w:val="00E17240"/>
    <w:rsid w:val="00E406BD"/>
    <w:rsid w:val="00E446AE"/>
    <w:rsid w:val="00E5600E"/>
    <w:rsid w:val="00E74595"/>
    <w:rsid w:val="00E96C36"/>
    <w:rsid w:val="00EB3DE9"/>
    <w:rsid w:val="00EB7C57"/>
    <w:rsid w:val="00ED2695"/>
    <w:rsid w:val="00ED50B2"/>
    <w:rsid w:val="00F22CC4"/>
    <w:rsid w:val="00F30C9B"/>
    <w:rsid w:val="00F354B1"/>
    <w:rsid w:val="00F44C8F"/>
    <w:rsid w:val="00F552D5"/>
    <w:rsid w:val="00F567CE"/>
    <w:rsid w:val="00F83405"/>
    <w:rsid w:val="00F96350"/>
    <w:rsid w:val="00FB0BC1"/>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1745">
      <o:colormru v:ext="edit" colors="#d62a47"/>
      <o:colormenu v:ext="edit" strokecolor="#d62a47"/>
    </o:shapedefaults>
    <o:shapelayout v:ext="edit">
      <o:idmap v:ext="edit" data="1"/>
    </o:shapelayout>
  </w:shapeDefaults>
  <w:decimalSymbol w:val="."/>
  <w:listSeparator w:val=","/>
  <w15:docId w15:val="{F2E846FE-529C-44BA-A67B-8EB57737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9C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479CA"/>
    <w:pPr>
      <w:keepNext/>
      <w:keepLines/>
      <w:spacing w:before="480"/>
      <w:ind w:left="794" w:hanging="794"/>
      <w:outlineLvl w:val="0"/>
    </w:pPr>
    <w:rPr>
      <w:b/>
    </w:rPr>
  </w:style>
  <w:style w:type="paragraph" w:styleId="Heading2">
    <w:name w:val="heading 2"/>
    <w:basedOn w:val="Heading1"/>
    <w:next w:val="Normal"/>
    <w:qFormat/>
    <w:rsid w:val="008479CA"/>
    <w:pPr>
      <w:spacing w:before="320"/>
      <w:outlineLvl w:val="1"/>
    </w:pPr>
  </w:style>
  <w:style w:type="paragraph" w:styleId="Heading3">
    <w:name w:val="heading 3"/>
    <w:basedOn w:val="Heading1"/>
    <w:next w:val="Normal"/>
    <w:qFormat/>
    <w:rsid w:val="008479CA"/>
    <w:pPr>
      <w:spacing w:before="200"/>
      <w:outlineLvl w:val="2"/>
    </w:pPr>
  </w:style>
  <w:style w:type="paragraph" w:styleId="Heading4">
    <w:name w:val="heading 4"/>
    <w:basedOn w:val="Heading3"/>
    <w:next w:val="Normal"/>
    <w:qFormat/>
    <w:rsid w:val="008479CA"/>
    <w:pPr>
      <w:tabs>
        <w:tab w:val="clear" w:pos="794"/>
        <w:tab w:val="left" w:pos="992"/>
      </w:tabs>
      <w:ind w:left="992" w:hanging="992"/>
      <w:outlineLvl w:val="3"/>
    </w:pPr>
  </w:style>
  <w:style w:type="paragraph" w:styleId="Heading5">
    <w:name w:val="heading 5"/>
    <w:basedOn w:val="Heading4"/>
    <w:next w:val="Normal"/>
    <w:qFormat/>
    <w:rsid w:val="008479CA"/>
    <w:pPr>
      <w:outlineLvl w:val="4"/>
    </w:pPr>
  </w:style>
  <w:style w:type="paragraph" w:styleId="Heading6">
    <w:name w:val="heading 6"/>
    <w:basedOn w:val="Heading4"/>
    <w:next w:val="Normal"/>
    <w:qFormat/>
    <w:rsid w:val="008479CA"/>
    <w:pPr>
      <w:tabs>
        <w:tab w:val="clear" w:pos="992"/>
        <w:tab w:val="clear" w:pos="1191"/>
      </w:tabs>
      <w:ind w:left="1588" w:hanging="1588"/>
      <w:outlineLvl w:val="5"/>
    </w:pPr>
  </w:style>
  <w:style w:type="paragraph" w:styleId="Heading7">
    <w:name w:val="heading 7"/>
    <w:basedOn w:val="Heading6"/>
    <w:next w:val="Normal"/>
    <w:qFormat/>
    <w:rsid w:val="008479CA"/>
    <w:pPr>
      <w:outlineLvl w:val="6"/>
    </w:pPr>
  </w:style>
  <w:style w:type="paragraph" w:styleId="Heading8">
    <w:name w:val="heading 8"/>
    <w:basedOn w:val="Heading6"/>
    <w:next w:val="Normal"/>
    <w:qFormat/>
    <w:rsid w:val="008479CA"/>
    <w:pPr>
      <w:outlineLvl w:val="7"/>
    </w:pPr>
  </w:style>
  <w:style w:type="paragraph" w:styleId="Heading9">
    <w:name w:val="heading 9"/>
    <w:basedOn w:val="Heading6"/>
    <w:next w:val="Normal"/>
    <w:qFormat/>
    <w:rsid w:val="008479C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479C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479C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479CA"/>
  </w:style>
  <w:style w:type="paragraph" w:customStyle="1" w:styleId="Headingb">
    <w:name w:val="Heading_b"/>
    <w:basedOn w:val="Heading3"/>
    <w:next w:val="Normal"/>
    <w:rsid w:val="008479CA"/>
    <w:pPr>
      <w:spacing w:before="160"/>
      <w:ind w:left="0" w:firstLine="0"/>
      <w:outlineLvl w:val="9"/>
    </w:pPr>
  </w:style>
  <w:style w:type="paragraph" w:customStyle="1" w:styleId="Headingi">
    <w:name w:val="Heading_i"/>
    <w:basedOn w:val="Heading3"/>
    <w:next w:val="Normal"/>
    <w:rsid w:val="008479CA"/>
    <w:pPr>
      <w:spacing w:before="160"/>
      <w:ind w:left="0" w:firstLine="0"/>
    </w:pPr>
    <w:rPr>
      <w:b w:val="0"/>
      <w:i/>
    </w:rPr>
  </w:style>
  <w:style w:type="character" w:customStyle="1" w:styleId="href">
    <w:name w:val="href"/>
    <w:basedOn w:val="DefaultParagraphFont"/>
    <w:rsid w:val="008479CA"/>
  </w:style>
  <w:style w:type="paragraph" w:customStyle="1" w:styleId="AnnexNoTitle">
    <w:name w:val="Annex_NoTitle"/>
    <w:basedOn w:val="Normal"/>
    <w:next w:val="Normalaftertitle"/>
    <w:rsid w:val="008479CA"/>
    <w:pPr>
      <w:keepNext/>
      <w:keepLines/>
      <w:spacing w:before="480" w:after="80"/>
      <w:jc w:val="center"/>
    </w:pPr>
    <w:rPr>
      <w:b/>
      <w:sz w:val="28"/>
    </w:rPr>
  </w:style>
  <w:style w:type="paragraph" w:customStyle="1" w:styleId="Normalaftertitle">
    <w:name w:val="Normal_after_title"/>
    <w:basedOn w:val="Normal"/>
    <w:next w:val="Normal"/>
    <w:rsid w:val="008479CA"/>
    <w:pPr>
      <w:spacing w:before="320"/>
    </w:pPr>
  </w:style>
  <w:style w:type="paragraph" w:customStyle="1" w:styleId="enumlev2">
    <w:name w:val="enumlev2"/>
    <w:basedOn w:val="enumlev1"/>
    <w:rsid w:val="008479CA"/>
    <w:pPr>
      <w:ind w:left="1191" w:hanging="397"/>
    </w:pPr>
  </w:style>
  <w:style w:type="paragraph" w:customStyle="1" w:styleId="enumlev1">
    <w:name w:val="enumlev1"/>
    <w:basedOn w:val="Normal"/>
    <w:rsid w:val="008479CA"/>
    <w:pPr>
      <w:spacing w:before="80"/>
      <w:ind w:left="794" w:hanging="794"/>
    </w:pPr>
  </w:style>
  <w:style w:type="paragraph" w:customStyle="1" w:styleId="enumlev3">
    <w:name w:val="enumlev3"/>
    <w:basedOn w:val="enumlev2"/>
    <w:rsid w:val="008479CA"/>
    <w:pPr>
      <w:ind w:left="1588"/>
    </w:pPr>
  </w:style>
  <w:style w:type="paragraph" w:customStyle="1" w:styleId="Note">
    <w:name w:val="Note"/>
    <w:basedOn w:val="Normal"/>
    <w:rsid w:val="008479C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479C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479CA"/>
    <w:pPr>
      <w:keepNext/>
      <w:keepLines/>
      <w:spacing w:before="240"/>
      <w:jc w:val="center"/>
    </w:pPr>
    <w:rPr>
      <w:b/>
      <w:sz w:val="28"/>
    </w:rPr>
  </w:style>
  <w:style w:type="paragraph" w:customStyle="1" w:styleId="Recref">
    <w:name w:val="Rec_ref"/>
    <w:basedOn w:val="Normal"/>
    <w:next w:val="Recdate"/>
    <w:rsid w:val="008479CA"/>
    <w:pPr>
      <w:jc w:val="center"/>
    </w:pPr>
  </w:style>
  <w:style w:type="paragraph" w:customStyle="1" w:styleId="Recdate">
    <w:name w:val="Rec_date"/>
    <w:basedOn w:val="Recref"/>
    <w:next w:val="Normalaftertitle"/>
    <w:rsid w:val="008479CA"/>
    <w:pPr>
      <w:jc w:val="right"/>
    </w:pPr>
  </w:style>
  <w:style w:type="paragraph" w:customStyle="1" w:styleId="HeadingSum">
    <w:name w:val="Heading_Sum"/>
    <w:basedOn w:val="Headingb"/>
    <w:next w:val="Normal"/>
    <w:autoRedefine/>
    <w:rsid w:val="008479CA"/>
    <w:pPr>
      <w:spacing w:before="240"/>
    </w:pPr>
    <w:rPr>
      <w:sz w:val="22"/>
      <w:lang w:val="es-ES_tradnl"/>
    </w:rPr>
  </w:style>
  <w:style w:type="paragraph" w:customStyle="1" w:styleId="AppendixNoTitle">
    <w:name w:val="Appendix_NoTitle"/>
    <w:basedOn w:val="AnnexNoTitle"/>
    <w:next w:val="Normal"/>
    <w:rsid w:val="008479CA"/>
  </w:style>
  <w:style w:type="paragraph" w:customStyle="1" w:styleId="Tablefin">
    <w:name w:val="Table_fin"/>
    <w:basedOn w:val="Normal"/>
    <w:next w:val="Normal"/>
    <w:rsid w:val="008479CA"/>
    <w:pPr>
      <w:spacing w:before="0"/>
    </w:pPr>
    <w:rPr>
      <w:sz w:val="20"/>
      <w:lang w:val="en-GB"/>
    </w:rPr>
  </w:style>
  <w:style w:type="paragraph" w:customStyle="1" w:styleId="Tablehead">
    <w:name w:val="Table_head"/>
    <w:basedOn w:val="Normal"/>
    <w:next w:val="Normal"/>
    <w:rsid w:val="008479C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479C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479CA"/>
    <w:pPr>
      <w:keepNext/>
      <w:spacing w:before="360" w:after="120"/>
      <w:jc w:val="center"/>
    </w:pPr>
  </w:style>
  <w:style w:type="paragraph" w:customStyle="1" w:styleId="Tabletext">
    <w:name w:val="Table_text"/>
    <w:basedOn w:val="Normal"/>
    <w:rsid w:val="008479C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479CA"/>
    <w:pPr>
      <w:tabs>
        <w:tab w:val="clear" w:pos="1191"/>
        <w:tab w:val="clear" w:pos="1588"/>
        <w:tab w:val="clear" w:pos="1985"/>
        <w:tab w:val="center" w:pos="4820"/>
        <w:tab w:val="right" w:pos="9639"/>
      </w:tabs>
    </w:pPr>
  </w:style>
  <w:style w:type="paragraph" w:customStyle="1" w:styleId="Equationlegend">
    <w:name w:val="Equation_legend"/>
    <w:basedOn w:val="NormalIndent"/>
    <w:rsid w:val="008479C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479CA"/>
    <w:pPr>
      <w:ind w:left="794"/>
    </w:pPr>
  </w:style>
  <w:style w:type="paragraph" w:customStyle="1" w:styleId="Figurelegend">
    <w:name w:val="Figure_legend"/>
    <w:basedOn w:val="Normal"/>
    <w:rsid w:val="008479C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479CA"/>
    <w:pPr>
      <w:keepNext/>
      <w:keepLines/>
      <w:spacing w:before="480" w:after="80"/>
      <w:jc w:val="center"/>
    </w:pPr>
    <w:rPr>
      <w:caps/>
      <w:sz w:val="18"/>
    </w:rPr>
  </w:style>
  <w:style w:type="paragraph" w:customStyle="1" w:styleId="Figuretitle">
    <w:name w:val="Figure_title"/>
    <w:basedOn w:val="Normal"/>
    <w:next w:val="Figure"/>
    <w:rsid w:val="008479CA"/>
    <w:pPr>
      <w:keepNext/>
      <w:spacing w:before="0" w:after="120"/>
      <w:jc w:val="center"/>
    </w:pPr>
    <w:rPr>
      <w:rFonts w:ascii="Times New Roman Bold" w:hAnsi="Times New Roman Bold"/>
      <w:b/>
      <w:sz w:val="18"/>
    </w:rPr>
  </w:style>
  <w:style w:type="paragraph" w:customStyle="1" w:styleId="Figure">
    <w:name w:val="Figure"/>
    <w:basedOn w:val="FigureNo"/>
    <w:next w:val="Normal"/>
    <w:rsid w:val="008479CA"/>
    <w:pPr>
      <w:keepNext w:val="0"/>
      <w:spacing w:before="0" w:after="240"/>
    </w:pPr>
  </w:style>
  <w:style w:type="paragraph" w:customStyle="1" w:styleId="tocpart">
    <w:name w:val="tocpart"/>
    <w:basedOn w:val="Normal"/>
    <w:rsid w:val="008479C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479CA"/>
    <w:pPr>
      <w:keepNext/>
      <w:keepLines/>
      <w:spacing w:before="480"/>
      <w:jc w:val="center"/>
    </w:pPr>
    <w:rPr>
      <w:sz w:val="28"/>
    </w:rPr>
  </w:style>
  <w:style w:type="paragraph" w:customStyle="1" w:styleId="Arttitle">
    <w:name w:val="Art_title"/>
    <w:basedOn w:val="Normal"/>
    <w:next w:val="Normalaftertitle"/>
    <w:rsid w:val="008479CA"/>
    <w:pPr>
      <w:keepNext/>
      <w:keepLines/>
      <w:spacing w:before="240"/>
      <w:jc w:val="center"/>
    </w:pPr>
    <w:rPr>
      <w:b/>
      <w:sz w:val="28"/>
    </w:rPr>
  </w:style>
  <w:style w:type="paragraph" w:customStyle="1" w:styleId="Blanc">
    <w:name w:val="Blanc"/>
    <w:basedOn w:val="Normal"/>
    <w:next w:val="Tabletext"/>
    <w:rsid w:val="008479C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479C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479CA"/>
    <w:pPr>
      <w:keepNext/>
      <w:keepLines/>
      <w:spacing w:before="160"/>
      <w:ind w:left="794"/>
    </w:pPr>
    <w:rPr>
      <w:i/>
    </w:rPr>
  </w:style>
  <w:style w:type="paragraph" w:customStyle="1" w:styleId="ChapNo">
    <w:name w:val="Chap_No"/>
    <w:basedOn w:val="ArtNo"/>
    <w:next w:val="Chaptitle"/>
    <w:rsid w:val="008479CA"/>
    <w:rPr>
      <w:b/>
    </w:rPr>
  </w:style>
  <w:style w:type="paragraph" w:customStyle="1" w:styleId="Chaptitle">
    <w:name w:val="Chap_title"/>
    <w:basedOn w:val="Arttitle"/>
    <w:next w:val="Normalaftertitle"/>
    <w:rsid w:val="008479CA"/>
  </w:style>
  <w:style w:type="character" w:styleId="FootnoteReference">
    <w:name w:val="footnote reference"/>
    <w:basedOn w:val="DefaultParagraphFont"/>
    <w:rsid w:val="008479CA"/>
    <w:rPr>
      <w:position w:val="6"/>
      <w:sz w:val="18"/>
    </w:rPr>
  </w:style>
  <w:style w:type="paragraph" w:styleId="FootnoteText">
    <w:name w:val="footnote text"/>
    <w:basedOn w:val="Normal"/>
    <w:semiHidden/>
    <w:rsid w:val="008479CA"/>
    <w:pPr>
      <w:keepLines/>
      <w:tabs>
        <w:tab w:val="left" w:pos="255"/>
      </w:tabs>
      <w:ind w:left="255" w:hanging="255"/>
    </w:pPr>
    <w:rPr>
      <w:sz w:val="22"/>
    </w:rPr>
  </w:style>
  <w:style w:type="paragraph" w:styleId="Index1">
    <w:name w:val="index 1"/>
    <w:basedOn w:val="Normal"/>
    <w:next w:val="Normal"/>
    <w:semiHidden/>
    <w:rsid w:val="008479CA"/>
  </w:style>
  <w:style w:type="paragraph" w:styleId="Index2">
    <w:name w:val="index 2"/>
    <w:basedOn w:val="Normal"/>
    <w:next w:val="Normal"/>
    <w:semiHidden/>
    <w:rsid w:val="008479CA"/>
    <w:pPr>
      <w:ind w:left="283"/>
    </w:pPr>
  </w:style>
  <w:style w:type="paragraph" w:styleId="Index3">
    <w:name w:val="index 3"/>
    <w:basedOn w:val="Normal"/>
    <w:next w:val="Normal"/>
    <w:semiHidden/>
    <w:rsid w:val="008479CA"/>
    <w:pPr>
      <w:ind w:left="566"/>
    </w:pPr>
  </w:style>
  <w:style w:type="paragraph" w:styleId="IndexHeading">
    <w:name w:val="index heading"/>
    <w:basedOn w:val="Normal"/>
    <w:next w:val="Index1"/>
    <w:semiHidden/>
    <w:rsid w:val="008479CA"/>
  </w:style>
  <w:style w:type="paragraph" w:customStyle="1" w:styleId="Line">
    <w:name w:val="Line"/>
    <w:basedOn w:val="Normal"/>
    <w:next w:val="Normal"/>
    <w:rsid w:val="008479C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479C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479CA"/>
  </w:style>
  <w:style w:type="paragraph" w:customStyle="1" w:styleId="Partref">
    <w:name w:val="Part_ref"/>
    <w:basedOn w:val="Normal"/>
    <w:next w:val="Normal"/>
    <w:rsid w:val="008479CA"/>
    <w:pPr>
      <w:keepNext/>
      <w:keepLines/>
      <w:spacing w:after="280"/>
      <w:jc w:val="center"/>
    </w:pPr>
  </w:style>
  <w:style w:type="paragraph" w:customStyle="1" w:styleId="Parttitle">
    <w:name w:val="Part_title"/>
    <w:basedOn w:val="Normal"/>
    <w:next w:val="Normalaftertitle"/>
    <w:rsid w:val="008479C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479CA"/>
  </w:style>
  <w:style w:type="paragraph" w:customStyle="1" w:styleId="QuestionNo">
    <w:name w:val="Question_No"/>
    <w:basedOn w:val="RecNo"/>
    <w:next w:val="Normal"/>
    <w:rsid w:val="008479CA"/>
  </w:style>
  <w:style w:type="paragraph" w:customStyle="1" w:styleId="Questionref">
    <w:name w:val="Question_ref"/>
    <w:basedOn w:val="Recref"/>
    <w:next w:val="Questiondate"/>
    <w:rsid w:val="008479CA"/>
  </w:style>
  <w:style w:type="paragraph" w:customStyle="1" w:styleId="Questiontitle">
    <w:name w:val="Question_title"/>
    <w:basedOn w:val="Normal"/>
    <w:next w:val="Questionref"/>
    <w:rsid w:val="008479CA"/>
  </w:style>
  <w:style w:type="paragraph" w:customStyle="1" w:styleId="Reftext">
    <w:name w:val="Ref_text"/>
    <w:basedOn w:val="Normal"/>
    <w:rsid w:val="008479CA"/>
    <w:pPr>
      <w:ind w:left="794" w:hanging="794"/>
    </w:pPr>
    <w:rPr>
      <w:sz w:val="22"/>
    </w:rPr>
  </w:style>
  <w:style w:type="paragraph" w:customStyle="1" w:styleId="Reftitle">
    <w:name w:val="Ref_title"/>
    <w:basedOn w:val="Normal"/>
    <w:next w:val="Reftext"/>
    <w:rsid w:val="008479C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479CA"/>
  </w:style>
  <w:style w:type="paragraph" w:customStyle="1" w:styleId="RepNo">
    <w:name w:val="Rep_No"/>
    <w:basedOn w:val="RecNo"/>
    <w:next w:val="Reptitle"/>
    <w:rsid w:val="008479CA"/>
  </w:style>
  <w:style w:type="paragraph" w:customStyle="1" w:styleId="Reptitle">
    <w:name w:val="Rep_title"/>
    <w:basedOn w:val="Rectitle"/>
    <w:next w:val="Repref"/>
    <w:rsid w:val="008479CA"/>
  </w:style>
  <w:style w:type="paragraph" w:customStyle="1" w:styleId="Repref">
    <w:name w:val="Rep_ref"/>
    <w:basedOn w:val="Recref"/>
    <w:next w:val="Repdate"/>
    <w:rsid w:val="008479CA"/>
  </w:style>
  <w:style w:type="paragraph" w:customStyle="1" w:styleId="Resdate">
    <w:name w:val="Res_date"/>
    <w:basedOn w:val="Recdate"/>
    <w:next w:val="Normalaftertitle"/>
    <w:rsid w:val="008479CA"/>
  </w:style>
  <w:style w:type="paragraph" w:customStyle="1" w:styleId="ResNo">
    <w:name w:val="Res_No"/>
    <w:basedOn w:val="RecNo"/>
    <w:next w:val="Restitle"/>
    <w:rsid w:val="008479CA"/>
  </w:style>
  <w:style w:type="paragraph" w:customStyle="1" w:styleId="Restitle">
    <w:name w:val="Res_title"/>
    <w:basedOn w:val="Normal"/>
    <w:next w:val="Resref"/>
    <w:rsid w:val="008479CA"/>
    <w:pPr>
      <w:spacing w:before="240"/>
      <w:jc w:val="center"/>
    </w:pPr>
    <w:rPr>
      <w:b/>
      <w:sz w:val="28"/>
    </w:rPr>
  </w:style>
  <w:style w:type="paragraph" w:customStyle="1" w:styleId="Resref">
    <w:name w:val="Res_ref"/>
    <w:basedOn w:val="Recref"/>
    <w:next w:val="Resdate"/>
    <w:rsid w:val="008479CA"/>
  </w:style>
  <w:style w:type="paragraph" w:customStyle="1" w:styleId="SectionNo">
    <w:name w:val="Section_No"/>
    <w:basedOn w:val="Normal"/>
    <w:next w:val="Normal"/>
    <w:rsid w:val="008479CA"/>
  </w:style>
  <w:style w:type="paragraph" w:customStyle="1" w:styleId="Sectiontitle">
    <w:name w:val="Section_title"/>
    <w:basedOn w:val="Normal"/>
    <w:next w:val="Normalaftertitle"/>
    <w:rsid w:val="008479C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479CA"/>
    <w:pPr>
      <w:tabs>
        <w:tab w:val="clear" w:pos="794"/>
        <w:tab w:val="clear" w:pos="1191"/>
        <w:tab w:val="clear" w:pos="1588"/>
        <w:tab w:val="clear" w:pos="1985"/>
        <w:tab w:val="right" w:pos="9611"/>
      </w:tabs>
    </w:pPr>
    <w:rPr>
      <w:i/>
    </w:rPr>
  </w:style>
  <w:style w:type="paragraph" w:styleId="TOC1">
    <w:name w:val="toc 1"/>
    <w:basedOn w:val="Normal"/>
    <w:semiHidden/>
    <w:rsid w:val="008479C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479CA"/>
    <w:pPr>
      <w:tabs>
        <w:tab w:val="clear" w:pos="567"/>
        <w:tab w:val="left" w:pos="1276"/>
      </w:tabs>
      <w:spacing w:before="160"/>
      <w:ind w:left="1276" w:hanging="709"/>
    </w:pPr>
  </w:style>
  <w:style w:type="paragraph" w:styleId="TOC3">
    <w:name w:val="toc 3"/>
    <w:basedOn w:val="TOC2"/>
    <w:semiHidden/>
    <w:rsid w:val="008479CA"/>
    <w:pPr>
      <w:tabs>
        <w:tab w:val="clear" w:pos="1276"/>
        <w:tab w:val="left" w:pos="2155"/>
      </w:tabs>
      <w:ind w:left="2155" w:hanging="879"/>
    </w:pPr>
  </w:style>
  <w:style w:type="paragraph" w:styleId="TOC4">
    <w:name w:val="toc 4"/>
    <w:basedOn w:val="TOC3"/>
    <w:semiHidden/>
    <w:rsid w:val="008479CA"/>
    <w:pPr>
      <w:tabs>
        <w:tab w:val="left" w:pos="3261"/>
      </w:tabs>
      <w:spacing w:before="80"/>
      <w:ind w:left="3261" w:hanging="993"/>
    </w:pPr>
  </w:style>
  <w:style w:type="paragraph" w:styleId="TOC5">
    <w:name w:val="toc 5"/>
    <w:basedOn w:val="TOC4"/>
    <w:semiHidden/>
    <w:rsid w:val="008479CA"/>
  </w:style>
  <w:style w:type="paragraph" w:styleId="TOC6">
    <w:name w:val="toc 6"/>
    <w:basedOn w:val="TOC4"/>
    <w:semiHidden/>
    <w:rsid w:val="008479CA"/>
  </w:style>
  <w:style w:type="paragraph" w:styleId="TOC7">
    <w:name w:val="toc 7"/>
    <w:basedOn w:val="TOC4"/>
    <w:semiHidden/>
    <w:rsid w:val="008479CA"/>
  </w:style>
  <w:style w:type="paragraph" w:styleId="TOC8">
    <w:name w:val="toc 8"/>
    <w:basedOn w:val="TOC4"/>
    <w:semiHidden/>
    <w:rsid w:val="008479CA"/>
  </w:style>
  <w:style w:type="paragraph" w:customStyle="1" w:styleId="Annexref">
    <w:name w:val="Annex_ref"/>
    <w:basedOn w:val="Normal"/>
    <w:next w:val="Normalaftertitle"/>
    <w:rsid w:val="008479CA"/>
    <w:pPr>
      <w:keepNext/>
      <w:keepLines/>
      <w:spacing w:after="280"/>
      <w:jc w:val="center"/>
    </w:pPr>
  </w:style>
  <w:style w:type="paragraph" w:customStyle="1" w:styleId="Appendixref">
    <w:name w:val="Appendix_ref"/>
    <w:basedOn w:val="Annexref"/>
    <w:next w:val="Normalaftertitle"/>
    <w:rsid w:val="008479CA"/>
  </w:style>
  <w:style w:type="paragraph" w:customStyle="1" w:styleId="Tabletitle">
    <w:name w:val="Table_title"/>
    <w:basedOn w:val="Normal"/>
    <w:next w:val="Tablehead"/>
    <w:rsid w:val="008479CA"/>
    <w:pPr>
      <w:keepNext/>
      <w:spacing w:before="0" w:after="120"/>
      <w:jc w:val="center"/>
    </w:pPr>
    <w:rPr>
      <w:b/>
    </w:rPr>
  </w:style>
  <w:style w:type="paragraph" w:customStyle="1" w:styleId="Summary">
    <w:name w:val="Summary"/>
    <w:basedOn w:val="Normal"/>
    <w:next w:val="Normalaftertitle"/>
    <w:autoRedefine/>
    <w:rsid w:val="008479C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8479CA"/>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itu.int/rec/R-REC-F.339/en" TargetMode="External"/><Relationship Id="rId1" Type="http://schemas.openxmlformats.org/officeDocument/2006/relationships/hyperlink" Target="https://www.itu.int/en/ITU-R/study-groups/rsg3/Pages/iono-tropo-spheric.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191</TotalTime>
  <Pages>1</Pages>
  <Words>2491</Words>
  <Characters>15649</Characters>
  <Application>Microsoft Office Word</Application>
  <DocSecurity>0</DocSecurity>
  <Lines>823</Lines>
  <Paragraphs>151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17989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109</cp:revision>
  <cp:lastPrinted>2019-02-04T15:14:00Z</cp:lastPrinted>
  <dcterms:created xsi:type="dcterms:W3CDTF">2010-07-12T09:15:00Z</dcterms:created>
  <dcterms:modified xsi:type="dcterms:W3CDTF">2019-02-04T15:15:00Z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