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C55" w:rsidRPr="00575CB8" w:rsidRDefault="00DC5C55" w:rsidP="00DC5C55">
      <w:pPr>
        <w:rPr>
          <w:lang w:val="en-US"/>
        </w:rPr>
      </w:pPr>
      <w:bookmarkStart w:id="0" w:name="dbreak"/>
      <w:bookmarkEnd w:id="0"/>
    </w:p>
    <w:p w:rsidR="00DC5C55" w:rsidRDefault="00DC5C55" w:rsidP="00DC5C55"/>
    <w:p w:rsidR="00DC5C55" w:rsidRDefault="00DC5C55" w:rsidP="00DC5C55"/>
    <w:p w:rsidR="00DC5C55" w:rsidRDefault="00DC5C55" w:rsidP="00DC5C55"/>
    <w:p w:rsidR="00DC5C55" w:rsidRDefault="00DC5C55" w:rsidP="00DC5C55"/>
    <w:p w:rsidR="00DC5C55" w:rsidRDefault="00DC5C55" w:rsidP="00DC5C55"/>
    <w:p w:rsidR="00DC5C55" w:rsidRDefault="00DC5C55" w:rsidP="00DC5C55"/>
    <w:p w:rsidR="00DC5C55" w:rsidRDefault="00DC5C55" w:rsidP="00DC5C55"/>
    <w:p w:rsidR="00DC5C55" w:rsidRDefault="00DC5C55" w:rsidP="00DC5C55"/>
    <w:p w:rsidR="00DC5C55" w:rsidRDefault="00DC5C55" w:rsidP="00DC5C55"/>
    <w:p w:rsidR="00DC5C55" w:rsidRDefault="00DC5C55" w:rsidP="00DC5C55"/>
    <w:p w:rsidR="00DC5C55" w:rsidRDefault="00DC5C55" w:rsidP="00DC5C5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C5C55" w:rsidRPr="002A58E4" w:rsidTr="005219D7">
        <w:tc>
          <w:tcPr>
            <w:tcW w:w="10089" w:type="dxa"/>
          </w:tcPr>
          <w:p w:rsidR="00DC5C55" w:rsidRPr="0010336F" w:rsidRDefault="00DC5C55" w:rsidP="005219D7">
            <w:pPr>
              <w:spacing w:before="380" w:line="280" w:lineRule="exact"/>
              <w:jc w:val="right"/>
              <w:rPr>
                <w:rFonts w:ascii="Tahoma" w:hAnsi="Tahoma" w:cs="Tahoma"/>
                <w:b/>
                <w:bCs/>
                <w:iCs/>
                <w:color w:val="243285"/>
                <w:sz w:val="32"/>
                <w:szCs w:val="32"/>
                <w:lang w:val="en-US"/>
              </w:rPr>
            </w:pPr>
          </w:p>
          <w:p w:rsidR="00DC5C55" w:rsidRPr="0010336F" w:rsidRDefault="00DC5C55" w:rsidP="005219D7">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F70189">
              <w:rPr>
                <w:rFonts w:ascii="Tahoma" w:hAnsi="Tahoma" w:cs="Tahoma"/>
                <w:b/>
                <w:bCs/>
                <w:iCs/>
                <w:color w:val="243285"/>
                <w:sz w:val="36"/>
                <w:szCs w:val="36"/>
                <w:lang w:val="es-ES_tradnl"/>
              </w:rPr>
              <w:t>2119-0</w:t>
            </w:r>
          </w:p>
          <w:p w:rsidR="00DC5C55" w:rsidRPr="0010336F" w:rsidRDefault="00DC5C55" w:rsidP="00F7018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70189">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F70189">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DC5C55" w:rsidRPr="0010336F" w:rsidTr="005219D7">
        <w:tc>
          <w:tcPr>
            <w:tcW w:w="10089" w:type="dxa"/>
          </w:tcPr>
          <w:p w:rsidR="00DC5C55" w:rsidRPr="0010336F" w:rsidRDefault="00DC5C55" w:rsidP="005219D7">
            <w:pPr>
              <w:spacing w:before="80" w:line="500" w:lineRule="exact"/>
              <w:jc w:val="right"/>
              <w:rPr>
                <w:rFonts w:ascii="Tahoma" w:hAnsi="Tahoma" w:cs="Tahoma"/>
                <w:b/>
                <w:bCs/>
                <w:iCs/>
                <w:color w:val="243285"/>
                <w:sz w:val="44"/>
                <w:szCs w:val="44"/>
                <w:lang w:val="es-ES_tradnl"/>
              </w:rPr>
            </w:pPr>
          </w:p>
          <w:p w:rsidR="00DC5C55" w:rsidRDefault="00F70189" w:rsidP="005219D7">
            <w:pPr>
              <w:spacing w:before="80" w:line="500" w:lineRule="exact"/>
              <w:jc w:val="right"/>
              <w:rPr>
                <w:rFonts w:ascii="Tahoma" w:hAnsi="Tahoma" w:cs="Tahoma"/>
                <w:b/>
                <w:bCs/>
                <w:color w:val="243285"/>
                <w:sz w:val="44"/>
                <w:szCs w:val="44"/>
                <w:lang w:val="es-ES_tradnl"/>
              </w:rPr>
            </w:pPr>
            <w:r w:rsidRPr="00F70189">
              <w:rPr>
                <w:rFonts w:ascii="Tahoma" w:hAnsi="Tahoma" w:cs="Tahoma"/>
                <w:b/>
                <w:bCs/>
                <w:color w:val="243285"/>
                <w:sz w:val="44"/>
                <w:szCs w:val="44"/>
                <w:lang w:val="es-ES_tradnl"/>
              </w:rPr>
              <w:t xml:space="preserve">Guía sobre parámetros técnicos </w:t>
            </w:r>
            <w:r w:rsidR="00E34238">
              <w:rPr>
                <w:rFonts w:ascii="Tahoma" w:hAnsi="Tahoma" w:cs="Tahoma"/>
                <w:b/>
                <w:bCs/>
                <w:color w:val="243285"/>
                <w:sz w:val="44"/>
                <w:szCs w:val="44"/>
                <w:lang w:val="es-ES_tradnl"/>
              </w:rPr>
              <w:br/>
            </w:r>
            <w:r w:rsidRPr="00F70189">
              <w:rPr>
                <w:rFonts w:ascii="Tahoma" w:hAnsi="Tahoma" w:cs="Tahoma"/>
                <w:b/>
                <w:bCs/>
                <w:color w:val="243285"/>
                <w:sz w:val="44"/>
                <w:szCs w:val="44"/>
                <w:lang w:val="es-ES_tradnl"/>
              </w:rPr>
              <w:t>y metodologías para los estudios de compartición y compatibilidad relacionados con los</w:t>
            </w:r>
            <w:r>
              <w:rPr>
                <w:rFonts w:ascii="Tahoma" w:hAnsi="Tahoma" w:cs="Tahoma"/>
                <w:b/>
                <w:bCs/>
                <w:color w:val="243285"/>
                <w:sz w:val="44"/>
                <w:szCs w:val="44"/>
                <w:lang w:val="es-ES_tradnl"/>
              </w:rPr>
              <w:t xml:space="preserve"> </w:t>
            </w:r>
            <w:r w:rsidRPr="00F70189">
              <w:rPr>
                <w:rFonts w:ascii="Tahoma" w:hAnsi="Tahoma" w:cs="Tahoma"/>
                <w:b/>
                <w:bCs/>
                <w:color w:val="243285"/>
                <w:sz w:val="44"/>
                <w:szCs w:val="44"/>
                <w:lang w:val="es-ES_tradnl"/>
              </w:rPr>
              <w:t xml:space="preserve">servicios fijo y móvil terrestre </w:t>
            </w:r>
            <w:r w:rsidR="00E34238">
              <w:rPr>
                <w:rFonts w:ascii="Tahoma" w:hAnsi="Tahoma" w:cs="Tahoma"/>
                <w:b/>
                <w:bCs/>
                <w:color w:val="243285"/>
                <w:sz w:val="44"/>
                <w:szCs w:val="44"/>
                <w:lang w:val="es-ES_tradnl"/>
              </w:rPr>
              <w:br/>
            </w:r>
            <w:r w:rsidRPr="00F70189">
              <w:rPr>
                <w:rFonts w:ascii="Tahoma" w:hAnsi="Tahoma" w:cs="Tahoma"/>
                <w:b/>
                <w:bCs/>
                <w:color w:val="243285"/>
                <w:sz w:val="44"/>
                <w:szCs w:val="44"/>
                <w:lang w:val="es-ES_tradnl"/>
              </w:rPr>
              <w:t>en</w:t>
            </w:r>
            <w:r w:rsidR="00E34238">
              <w:rPr>
                <w:rFonts w:ascii="Tahoma" w:hAnsi="Tahoma" w:cs="Tahoma"/>
                <w:b/>
                <w:bCs/>
                <w:color w:val="243285"/>
                <w:sz w:val="44"/>
                <w:szCs w:val="44"/>
                <w:lang w:val="es-ES_tradnl"/>
              </w:rPr>
              <w:t xml:space="preserve"> </w:t>
            </w:r>
            <w:r w:rsidRPr="00F70189">
              <w:rPr>
                <w:rFonts w:ascii="Tahoma" w:hAnsi="Tahoma" w:cs="Tahoma"/>
                <w:b/>
                <w:bCs/>
                <w:color w:val="243285"/>
                <w:sz w:val="44"/>
                <w:szCs w:val="44"/>
                <w:lang w:val="es-ES_tradnl"/>
              </w:rPr>
              <w:t>la gama</w:t>
            </w:r>
            <w:r w:rsidR="00B1523F">
              <w:rPr>
                <w:rFonts w:ascii="Tahoma" w:hAnsi="Tahoma" w:cs="Tahoma"/>
                <w:b/>
                <w:bCs/>
                <w:color w:val="243285"/>
                <w:sz w:val="44"/>
                <w:szCs w:val="44"/>
                <w:lang w:val="es-ES_tradnl"/>
              </w:rPr>
              <w:t xml:space="preserve"> </w:t>
            </w:r>
            <w:r w:rsidRPr="00F70189">
              <w:rPr>
                <w:rFonts w:ascii="Tahoma" w:hAnsi="Tahoma" w:cs="Tahoma"/>
                <w:b/>
                <w:bCs/>
                <w:color w:val="243285"/>
                <w:sz w:val="44"/>
                <w:szCs w:val="44"/>
                <w:lang w:val="es-ES_tradnl"/>
              </w:rPr>
              <w:t>de frecuencias 1,5-30 MHz</w:t>
            </w:r>
            <w:r>
              <w:rPr>
                <w:rFonts w:ascii="Tahoma" w:hAnsi="Tahoma" w:cs="Tahoma"/>
                <w:b/>
                <w:bCs/>
                <w:color w:val="243285"/>
                <w:sz w:val="44"/>
                <w:szCs w:val="44"/>
                <w:lang w:val="es-ES_tradnl"/>
              </w:rPr>
              <w:t xml:space="preserve"> </w:t>
            </w:r>
          </w:p>
          <w:p w:rsidR="00DC5C55" w:rsidRPr="0010336F" w:rsidRDefault="00DC5C55" w:rsidP="005219D7">
            <w:pPr>
              <w:spacing w:before="80" w:line="500" w:lineRule="exact"/>
              <w:jc w:val="right"/>
              <w:rPr>
                <w:rFonts w:ascii="Tahoma" w:hAnsi="Tahoma" w:cs="Tahoma"/>
                <w:b/>
                <w:bCs/>
                <w:iCs/>
                <w:color w:val="243285"/>
                <w:sz w:val="44"/>
                <w:szCs w:val="44"/>
                <w:lang w:val="es-ES_tradnl"/>
              </w:rPr>
            </w:pPr>
          </w:p>
        </w:tc>
      </w:tr>
      <w:tr w:rsidR="00DC5C55" w:rsidRPr="0026666F" w:rsidTr="005219D7">
        <w:tc>
          <w:tcPr>
            <w:tcW w:w="10089" w:type="dxa"/>
          </w:tcPr>
          <w:p w:rsidR="00DC5C55" w:rsidRPr="0010336F" w:rsidRDefault="00DC5C55" w:rsidP="005219D7">
            <w:pPr>
              <w:spacing w:before="80" w:line="280" w:lineRule="exact"/>
              <w:ind w:right="640"/>
              <w:rPr>
                <w:rFonts w:ascii="Tahoma" w:hAnsi="Tahoma" w:cs="Tahoma"/>
                <w:b/>
                <w:bCs/>
                <w:iCs/>
                <w:color w:val="243285"/>
                <w:sz w:val="32"/>
                <w:szCs w:val="32"/>
                <w:lang w:val="es-ES_tradnl"/>
              </w:rPr>
            </w:pPr>
          </w:p>
          <w:p w:rsidR="00DC5C55" w:rsidRPr="0010336F" w:rsidRDefault="00DC5C55" w:rsidP="005219D7">
            <w:pPr>
              <w:spacing w:before="80" w:line="280" w:lineRule="exact"/>
              <w:ind w:right="640"/>
              <w:rPr>
                <w:rFonts w:ascii="Tahoma" w:hAnsi="Tahoma" w:cs="Tahoma"/>
                <w:b/>
                <w:bCs/>
                <w:iCs/>
                <w:color w:val="243285"/>
                <w:sz w:val="32"/>
                <w:szCs w:val="32"/>
                <w:lang w:val="es-ES_tradnl"/>
              </w:rPr>
            </w:pPr>
          </w:p>
          <w:p w:rsidR="00DC5C55" w:rsidRPr="0010336F" w:rsidRDefault="00DC5C55" w:rsidP="005219D7">
            <w:pPr>
              <w:spacing w:before="80" w:after="180" w:line="360" w:lineRule="exact"/>
              <w:ind w:right="720"/>
              <w:rPr>
                <w:rFonts w:ascii="Tahoma" w:hAnsi="Tahoma" w:cs="Tahoma"/>
                <w:b/>
                <w:bCs/>
                <w:iCs/>
                <w:color w:val="243285"/>
                <w:sz w:val="36"/>
                <w:szCs w:val="36"/>
                <w:lang w:val="es-ES_tradnl"/>
              </w:rPr>
            </w:pPr>
          </w:p>
          <w:p w:rsidR="00DC5C55" w:rsidRPr="0010336F" w:rsidRDefault="00DC5C55" w:rsidP="005219D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DC5C55" w:rsidRPr="0010336F" w:rsidRDefault="00DC5C55" w:rsidP="005219D7">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DC5C55" w:rsidRPr="0026666F" w:rsidRDefault="00DC5C55" w:rsidP="00DC5C55">
      <w:pPr>
        <w:spacing w:before="80"/>
        <w:rPr>
          <w:i/>
          <w:sz w:val="22"/>
          <w:lang w:val="es-ES_tradnl"/>
        </w:rPr>
      </w:pPr>
    </w:p>
    <w:p w:rsidR="00DC5C55" w:rsidRPr="0026666F" w:rsidRDefault="00DC5C55" w:rsidP="00DC5C55">
      <w:pPr>
        <w:spacing w:before="80"/>
        <w:rPr>
          <w:i/>
          <w:sz w:val="22"/>
          <w:lang w:val="es-ES_tradnl"/>
        </w:rPr>
      </w:pPr>
    </w:p>
    <w:p w:rsidR="00DC5C55" w:rsidRPr="0026666F" w:rsidRDefault="00DC5C55" w:rsidP="00DC5C55">
      <w:pPr>
        <w:spacing w:before="80"/>
        <w:rPr>
          <w:i/>
          <w:sz w:val="22"/>
          <w:lang w:val="es-ES_tradnl"/>
        </w:rPr>
      </w:pPr>
    </w:p>
    <w:p w:rsidR="00DC5C55" w:rsidRPr="0026666F" w:rsidRDefault="00DC5C55" w:rsidP="00DC5C55">
      <w:pPr>
        <w:spacing w:before="80"/>
        <w:rPr>
          <w:i/>
          <w:sz w:val="22"/>
          <w:lang w:val="es-ES_tradnl"/>
        </w:rPr>
      </w:pPr>
    </w:p>
    <w:p w:rsidR="00DC5C55" w:rsidRPr="0026666F" w:rsidRDefault="00DC5C55" w:rsidP="00DC5C55">
      <w:pPr>
        <w:spacing w:before="80"/>
        <w:rPr>
          <w:i/>
          <w:sz w:val="22"/>
          <w:lang w:val="es-ES_tradnl"/>
        </w:rPr>
      </w:pPr>
    </w:p>
    <w:p w:rsidR="00DC5C55" w:rsidRPr="0026666F" w:rsidRDefault="00DC5C55" w:rsidP="00DC5C55">
      <w:pPr>
        <w:spacing w:before="80"/>
        <w:rPr>
          <w:i/>
          <w:sz w:val="22"/>
          <w:lang w:val="es-ES_tradnl"/>
        </w:rPr>
      </w:pPr>
    </w:p>
    <w:p w:rsidR="00DC5C55" w:rsidRPr="0026666F" w:rsidRDefault="00DC5C55" w:rsidP="00DC5C55">
      <w:pPr>
        <w:pStyle w:val="Equation"/>
        <w:tabs>
          <w:tab w:val="clear" w:pos="4820"/>
          <w:tab w:val="clear" w:pos="9639"/>
          <w:tab w:val="left" w:pos="1191"/>
          <w:tab w:val="left" w:pos="1588"/>
          <w:tab w:val="left" w:pos="1985"/>
        </w:tabs>
        <w:rPr>
          <w:rFonts w:ascii="Palatino Linotype" w:hAnsi="Palatino Linotype"/>
          <w:lang w:val="es-ES_tradnl"/>
        </w:rPr>
        <w:sectPr w:rsidR="00DC5C55" w:rsidRPr="0026666F">
          <w:headerReference w:type="even" r:id="rId6"/>
          <w:headerReference w:type="default" r:id="rId7"/>
          <w:pgSz w:w="11907" w:h="16840" w:code="9"/>
          <w:pgMar w:top="1089" w:right="1089" w:bottom="284" w:left="1089" w:header="567" w:footer="284" w:gutter="0"/>
          <w:pgNumType w:start="1"/>
          <w:cols w:space="720"/>
        </w:sectPr>
      </w:pPr>
    </w:p>
    <w:p w:rsidR="00DC5C55" w:rsidRPr="006C718C" w:rsidRDefault="00DC5C55" w:rsidP="00DC5C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DC5C55" w:rsidRPr="006C718C" w:rsidRDefault="00DC5C55" w:rsidP="00DC5C5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C5C55" w:rsidRPr="006C718C" w:rsidRDefault="00DC5C55" w:rsidP="00DC5C5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C5C55" w:rsidRPr="00021E8A" w:rsidRDefault="00DC5C55" w:rsidP="00DC5C5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C5C55" w:rsidRPr="00021E8A" w:rsidRDefault="00DC5C55" w:rsidP="002A58E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C5C55" w:rsidRPr="007C36CA" w:rsidRDefault="00DC5C55" w:rsidP="00DC5C55">
      <w:pPr>
        <w:spacing w:before="0"/>
        <w:jc w:val="center"/>
        <w:rPr>
          <w:sz w:val="22"/>
          <w:lang w:val="es-ES_tradnl"/>
        </w:rPr>
      </w:pPr>
    </w:p>
    <w:p w:rsidR="00DC5C55" w:rsidRPr="007C36CA" w:rsidRDefault="00DC5C55" w:rsidP="00DC5C5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C5C55" w:rsidRPr="002A58E4" w:rsidTr="005219D7">
        <w:tc>
          <w:tcPr>
            <w:tcW w:w="9360" w:type="dxa"/>
            <w:gridSpan w:val="2"/>
          </w:tcPr>
          <w:p w:rsidR="00DC5C55" w:rsidRPr="00021E8A" w:rsidRDefault="00DC5C55" w:rsidP="005219D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C5C55" w:rsidRPr="00763D08"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C5C55" w:rsidRPr="00036EE3" w:rsidTr="005219D7">
        <w:tc>
          <w:tcPr>
            <w:tcW w:w="1140" w:type="dxa"/>
            <w:tcBorders>
              <w:bottom w:val="nil"/>
            </w:tcBorders>
          </w:tcPr>
          <w:p w:rsidR="00DC5C55" w:rsidRPr="00036EE3" w:rsidRDefault="00DC5C55" w:rsidP="005219D7">
            <w:pPr>
              <w:spacing w:before="180" w:after="100"/>
              <w:ind w:left="57"/>
              <w:rPr>
                <w:b/>
                <w:bCs/>
                <w:sz w:val="20"/>
                <w:lang w:val="en-US"/>
              </w:rPr>
            </w:pPr>
            <w:r w:rsidRPr="00036EE3">
              <w:rPr>
                <w:b/>
                <w:bCs/>
                <w:sz w:val="20"/>
                <w:lang w:val="en-US"/>
              </w:rPr>
              <w:t>Series</w:t>
            </w:r>
          </w:p>
        </w:tc>
        <w:tc>
          <w:tcPr>
            <w:tcW w:w="8220" w:type="dxa"/>
            <w:tcBorders>
              <w:bottom w:val="nil"/>
            </w:tcBorders>
          </w:tcPr>
          <w:p w:rsidR="00DC5C55" w:rsidRPr="00036EE3"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C5C55" w:rsidRPr="004532F7" w:rsidTr="005219D7">
        <w:tc>
          <w:tcPr>
            <w:tcW w:w="1140" w:type="dxa"/>
            <w:tcBorders>
              <w:top w:val="nil"/>
              <w:bottom w:val="nil"/>
            </w:tcBorders>
            <w:shd w:val="clear" w:color="auto" w:fill="auto"/>
          </w:tcPr>
          <w:p w:rsidR="00DC5C55" w:rsidRPr="004532F7" w:rsidRDefault="00DC5C55" w:rsidP="005219D7">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C5C55" w:rsidRPr="004532F7"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C5C55" w:rsidRPr="002A58E4" w:rsidTr="005219D7">
        <w:tc>
          <w:tcPr>
            <w:tcW w:w="1140" w:type="dxa"/>
            <w:tcBorders>
              <w:top w:val="nil"/>
              <w:bottom w:val="nil"/>
            </w:tcBorders>
            <w:shd w:val="clear" w:color="auto" w:fill="auto"/>
          </w:tcPr>
          <w:p w:rsidR="00DC5C55" w:rsidRPr="006B22C3" w:rsidRDefault="00DC5C55" w:rsidP="005219D7">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C5C55" w:rsidRPr="006B22C3"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C5C55" w:rsidRPr="00847DD5" w:rsidTr="005219D7">
        <w:tc>
          <w:tcPr>
            <w:tcW w:w="1140" w:type="dxa"/>
            <w:tcBorders>
              <w:top w:val="nil"/>
              <w:bottom w:val="nil"/>
            </w:tcBorders>
            <w:shd w:val="clear" w:color="auto" w:fill="auto"/>
          </w:tcPr>
          <w:p w:rsidR="00DC5C55" w:rsidRPr="00847DD5" w:rsidRDefault="00DC5C55" w:rsidP="005219D7">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DC5C55" w:rsidRPr="00847DD5"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C5C55" w:rsidRPr="00ED2695" w:rsidTr="005219D7">
        <w:tc>
          <w:tcPr>
            <w:tcW w:w="1140" w:type="dxa"/>
            <w:tcBorders>
              <w:top w:val="nil"/>
              <w:bottom w:val="nil"/>
            </w:tcBorders>
            <w:shd w:val="clear" w:color="auto" w:fill="auto"/>
          </w:tcPr>
          <w:p w:rsidR="00DC5C55" w:rsidRPr="00ED2695" w:rsidRDefault="00DC5C55" w:rsidP="005219D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C5C55" w:rsidRPr="00021E8A"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C5C55" w:rsidRPr="00847DD5" w:rsidTr="005219D7">
        <w:tc>
          <w:tcPr>
            <w:tcW w:w="1140" w:type="dxa"/>
            <w:tcBorders>
              <w:top w:val="nil"/>
              <w:bottom w:val="nil"/>
            </w:tcBorders>
            <w:shd w:val="clear" w:color="auto" w:fill="F3F3F3"/>
          </w:tcPr>
          <w:p w:rsidR="00DC5C55" w:rsidRPr="00847DD5" w:rsidRDefault="00DC5C55" w:rsidP="005219D7">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DC5C55" w:rsidRPr="00847DD5" w:rsidRDefault="00DC5C55" w:rsidP="005219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DC5C55" w:rsidRPr="002A58E4" w:rsidTr="005219D7">
        <w:tc>
          <w:tcPr>
            <w:tcW w:w="1140" w:type="dxa"/>
            <w:tcBorders>
              <w:top w:val="nil"/>
              <w:bottom w:val="nil"/>
            </w:tcBorders>
            <w:shd w:val="clear" w:color="auto" w:fill="auto"/>
          </w:tcPr>
          <w:p w:rsidR="00DC5C55" w:rsidRPr="0010336F" w:rsidRDefault="00DC5C55" w:rsidP="005219D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C5C55" w:rsidRPr="0010336F" w:rsidRDefault="00DC5C55" w:rsidP="00521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C5C55" w:rsidRPr="002A58E4" w:rsidTr="005219D7">
        <w:tc>
          <w:tcPr>
            <w:tcW w:w="1140" w:type="dxa"/>
            <w:tcBorders>
              <w:top w:val="nil"/>
            </w:tcBorders>
          </w:tcPr>
          <w:p w:rsidR="00DC5C55" w:rsidRPr="00036EE3" w:rsidRDefault="00DC5C55" w:rsidP="005219D7">
            <w:pPr>
              <w:spacing w:before="30" w:after="30"/>
              <w:ind w:left="57"/>
              <w:jc w:val="left"/>
              <w:rPr>
                <w:b/>
                <w:bCs/>
                <w:sz w:val="20"/>
                <w:lang w:val="fr-CH"/>
              </w:rPr>
            </w:pPr>
            <w:r w:rsidRPr="00036EE3">
              <w:rPr>
                <w:b/>
                <w:bCs/>
                <w:sz w:val="20"/>
                <w:lang w:val="fr-CH"/>
              </w:rPr>
              <w:t>P</w:t>
            </w:r>
          </w:p>
        </w:tc>
        <w:tc>
          <w:tcPr>
            <w:tcW w:w="8220" w:type="dxa"/>
            <w:tcBorders>
              <w:top w:val="nil"/>
            </w:tcBorders>
          </w:tcPr>
          <w:p w:rsidR="00DC5C55" w:rsidRPr="00021E8A" w:rsidRDefault="00DC5C55" w:rsidP="005219D7">
            <w:pPr>
              <w:spacing w:before="30" w:after="30"/>
              <w:jc w:val="left"/>
              <w:rPr>
                <w:bCs/>
                <w:sz w:val="20"/>
                <w:lang w:val="es-ES_tradnl"/>
              </w:rPr>
            </w:pPr>
            <w:r w:rsidRPr="00021E8A">
              <w:rPr>
                <w:bCs/>
                <w:sz w:val="20"/>
                <w:lang w:val="es-ES_tradnl"/>
              </w:rPr>
              <w:t>Propagación de las ondas radioeléctricas</w:t>
            </w:r>
          </w:p>
        </w:tc>
      </w:tr>
      <w:tr w:rsidR="00DC5C55" w:rsidRPr="00036EE3" w:rsidTr="005219D7">
        <w:tc>
          <w:tcPr>
            <w:tcW w:w="1140" w:type="dxa"/>
          </w:tcPr>
          <w:p w:rsidR="00DC5C55" w:rsidRPr="00036EE3" w:rsidRDefault="00DC5C55" w:rsidP="005219D7">
            <w:pPr>
              <w:spacing w:before="30" w:after="30"/>
              <w:ind w:left="57"/>
              <w:jc w:val="left"/>
              <w:rPr>
                <w:b/>
                <w:bCs/>
                <w:sz w:val="20"/>
                <w:lang w:val="en-US"/>
              </w:rPr>
            </w:pPr>
            <w:r w:rsidRPr="00036EE3">
              <w:rPr>
                <w:b/>
                <w:bCs/>
                <w:sz w:val="20"/>
                <w:lang w:val="en-US"/>
              </w:rPr>
              <w:t>RA</w:t>
            </w:r>
          </w:p>
        </w:tc>
        <w:tc>
          <w:tcPr>
            <w:tcW w:w="8220" w:type="dxa"/>
          </w:tcPr>
          <w:p w:rsidR="00DC5C55" w:rsidRPr="00021E8A" w:rsidRDefault="00DC5C55" w:rsidP="005219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DC5C55" w:rsidRPr="002A58E4" w:rsidTr="005219D7">
        <w:tc>
          <w:tcPr>
            <w:tcW w:w="1140" w:type="dxa"/>
          </w:tcPr>
          <w:p w:rsidR="00DC5C55" w:rsidRPr="00036EE3" w:rsidRDefault="00DC5C55" w:rsidP="005219D7">
            <w:pPr>
              <w:spacing w:before="30" w:after="30"/>
              <w:ind w:left="57"/>
              <w:jc w:val="left"/>
              <w:rPr>
                <w:b/>
                <w:bCs/>
                <w:sz w:val="20"/>
                <w:lang w:val="en-US"/>
              </w:rPr>
            </w:pPr>
            <w:r w:rsidRPr="00036EE3">
              <w:rPr>
                <w:b/>
                <w:bCs/>
                <w:sz w:val="20"/>
                <w:lang w:val="en-US"/>
              </w:rPr>
              <w:t>RS</w:t>
            </w:r>
          </w:p>
        </w:tc>
        <w:tc>
          <w:tcPr>
            <w:tcW w:w="8220" w:type="dxa"/>
          </w:tcPr>
          <w:p w:rsidR="00DC5C55" w:rsidRPr="00021E8A" w:rsidRDefault="00DC5C55" w:rsidP="005219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C5C55" w:rsidRPr="00036EE3" w:rsidTr="005219D7">
        <w:tc>
          <w:tcPr>
            <w:tcW w:w="1140" w:type="dxa"/>
          </w:tcPr>
          <w:p w:rsidR="00DC5C55" w:rsidRPr="00036EE3" w:rsidRDefault="00DC5C55" w:rsidP="005219D7">
            <w:pPr>
              <w:spacing w:before="30" w:after="30"/>
              <w:ind w:left="57"/>
              <w:jc w:val="left"/>
              <w:rPr>
                <w:b/>
                <w:bCs/>
                <w:sz w:val="20"/>
                <w:lang w:val="en-US"/>
              </w:rPr>
            </w:pPr>
            <w:r w:rsidRPr="00036EE3">
              <w:rPr>
                <w:b/>
                <w:bCs/>
                <w:sz w:val="20"/>
                <w:lang w:val="en-US"/>
              </w:rPr>
              <w:t>S</w:t>
            </w:r>
          </w:p>
        </w:tc>
        <w:tc>
          <w:tcPr>
            <w:tcW w:w="8220" w:type="dxa"/>
          </w:tcPr>
          <w:p w:rsidR="00DC5C55" w:rsidRPr="00021E8A" w:rsidRDefault="00DC5C55" w:rsidP="005219D7">
            <w:pPr>
              <w:spacing w:before="30" w:after="30"/>
              <w:jc w:val="left"/>
              <w:rPr>
                <w:bCs/>
                <w:sz w:val="20"/>
                <w:lang w:val="en-US"/>
              </w:rPr>
            </w:pPr>
            <w:r w:rsidRPr="00021E8A">
              <w:rPr>
                <w:bCs/>
                <w:sz w:val="20"/>
              </w:rPr>
              <w:t>Servicio fijo por satélite</w:t>
            </w:r>
          </w:p>
        </w:tc>
      </w:tr>
      <w:tr w:rsidR="00DC5C55" w:rsidRPr="00036EE3" w:rsidTr="005219D7">
        <w:tc>
          <w:tcPr>
            <w:tcW w:w="1140" w:type="dxa"/>
          </w:tcPr>
          <w:p w:rsidR="00DC5C55" w:rsidRPr="00036EE3" w:rsidRDefault="00DC5C55" w:rsidP="005219D7">
            <w:pPr>
              <w:spacing w:before="30" w:after="30"/>
              <w:ind w:left="57"/>
              <w:jc w:val="left"/>
              <w:rPr>
                <w:b/>
                <w:bCs/>
                <w:sz w:val="20"/>
                <w:lang w:val="en-US"/>
              </w:rPr>
            </w:pPr>
            <w:r w:rsidRPr="00036EE3">
              <w:rPr>
                <w:b/>
                <w:bCs/>
                <w:sz w:val="20"/>
                <w:lang w:val="en-US"/>
              </w:rPr>
              <w:t>SA</w:t>
            </w:r>
          </w:p>
        </w:tc>
        <w:tc>
          <w:tcPr>
            <w:tcW w:w="8220" w:type="dxa"/>
          </w:tcPr>
          <w:p w:rsidR="00DC5C55" w:rsidRPr="00021E8A" w:rsidRDefault="00DC5C55" w:rsidP="005219D7">
            <w:pPr>
              <w:spacing w:before="30" w:after="30"/>
              <w:jc w:val="left"/>
              <w:rPr>
                <w:bCs/>
                <w:sz w:val="20"/>
                <w:lang w:val="en-US"/>
              </w:rPr>
            </w:pPr>
            <w:r w:rsidRPr="00021E8A">
              <w:rPr>
                <w:bCs/>
                <w:sz w:val="20"/>
              </w:rPr>
              <w:t>Aplicaciones espaciales y meteorología</w:t>
            </w:r>
          </w:p>
        </w:tc>
      </w:tr>
      <w:tr w:rsidR="00DC5C55" w:rsidRPr="002A58E4" w:rsidTr="005219D7">
        <w:tc>
          <w:tcPr>
            <w:tcW w:w="1140" w:type="dxa"/>
          </w:tcPr>
          <w:p w:rsidR="00DC5C55" w:rsidRPr="00036EE3" w:rsidRDefault="00DC5C55" w:rsidP="005219D7">
            <w:pPr>
              <w:spacing w:before="30" w:after="30"/>
              <w:ind w:left="57"/>
              <w:jc w:val="left"/>
              <w:rPr>
                <w:b/>
                <w:bCs/>
                <w:sz w:val="20"/>
                <w:lang w:val="en-US"/>
              </w:rPr>
            </w:pPr>
            <w:r w:rsidRPr="00036EE3">
              <w:rPr>
                <w:b/>
                <w:bCs/>
                <w:sz w:val="20"/>
                <w:lang w:val="en-US"/>
              </w:rPr>
              <w:t>SF</w:t>
            </w:r>
          </w:p>
        </w:tc>
        <w:tc>
          <w:tcPr>
            <w:tcW w:w="8220" w:type="dxa"/>
          </w:tcPr>
          <w:p w:rsidR="00DC5C55" w:rsidRPr="00021E8A" w:rsidRDefault="00DC5C55" w:rsidP="005219D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C5C55" w:rsidRPr="00036EE3" w:rsidTr="005219D7">
        <w:tc>
          <w:tcPr>
            <w:tcW w:w="1140" w:type="dxa"/>
            <w:shd w:val="clear" w:color="auto" w:fill="auto"/>
          </w:tcPr>
          <w:p w:rsidR="00DC5C55" w:rsidRPr="001240BC" w:rsidRDefault="00DC5C55" w:rsidP="005219D7">
            <w:pPr>
              <w:spacing w:before="30" w:after="30"/>
              <w:ind w:left="57"/>
              <w:jc w:val="left"/>
              <w:rPr>
                <w:b/>
                <w:bCs/>
                <w:sz w:val="20"/>
                <w:lang w:val="en-US"/>
              </w:rPr>
            </w:pPr>
            <w:r w:rsidRPr="001240BC">
              <w:rPr>
                <w:b/>
                <w:bCs/>
                <w:sz w:val="20"/>
                <w:lang w:val="en-US"/>
              </w:rPr>
              <w:t>SM</w:t>
            </w:r>
          </w:p>
        </w:tc>
        <w:tc>
          <w:tcPr>
            <w:tcW w:w="8220" w:type="dxa"/>
            <w:shd w:val="clear" w:color="auto" w:fill="auto"/>
          </w:tcPr>
          <w:p w:rsidR="00DC5C55" w:rsidRPr="001240BC" w:rsidRDefault="00DC5C55" w:rsidP="005219D7">
            <w:pPr>
              <w:spacing w:before="30" w:after="30"/>
              <w:jc w:val="left"/>
              <w:rPr>
                <w:sz w:val="20"/>
                <w:lang w:val="en-US"/>
              </w:rPr>
            </w:pPr>
            <w:r w:rsidRPr="001240BC">
              <w:rPr>
                <w:sz w:val="20"/>
              </w:rPr>
              <w:t>Gestión del espectro</w:t>
            </w:r>
          </w:p>
        </w:tc>
      </w:tr>
      <w:tr w:rsidR="00DC5C55" w:rsidRPr="00036EE3" w:rsidTr="005219D7">
        <w:tc>
          <w:tcPr>
            <w:tcW w:w="1140" w:type="dxa"/>
          </w:tcPr>
          <w:p w:rsidR="00DC5C55" w:rsidRPr="00036EE3" w:rsidRDefault="00DC5C55" w:rsidP="005219D7">
            <w:pPr>
              <w:spacing w:before="30" w:after="30"/>
              <w:ind w:left="57"/>
              <w:jc w:val="left"/>
              <w:rPr>
                <w:b/>
                <w:bCs/>
                <w:sz w:val="20"/>
                <w:lang w:val="en-US"/>
              </w:rPr>
            </w:pPr>
            <w:r w:rsidRPr="00036EE3">
              <w:rPr>
                <w:b/>
                <w:bCs/>
                <w:sz w:val="20"/>
                <w:lang w:val="en-US"/>
              </w:rPr>
              <w:t>SNG</w:t>
            </w:r>
          </w:p>
        </w:tc>
        <w:tc>
          <w:tcPr>
            <w:tcW w:w="8220" w:type="dxa"/>
          </w:tcPr>
          <w:p w:rsidR="00DC5C55" w:rsidRPr="00021E8A" w:rsidRDefault="00DC5C55" w:rsidP="005219D7">
            <w:pPr>
              <w:spacing w:before="30" w:after="30"/>
              <w:jc w:val="left"/>
              <w:rPr>
                <w:bCs/>
                <w:sz w:val="20"/>
                <w:lang w:val="en-US"/>
              </w:rPr>
            </w:pPr>
            <w:r w:rsidRPr="00021E8A">
              <w:rPr>
                <w:bCs/>
                <w:sz w:val="20"/>
              </w:rPr>
              <w:t>Periodismo electrónico por satélite</w:t>
            </w:r>
          </w:p>
        </w:tc>
      </w:tr>
      <w:tr w:rsidR="00DC5C55" w:rsidRPr="002A58E4" w:rsidTr="005219D7">
        <w:tc>
          <w:tcPr>
            <w:tcW w:w="1140" w:type="dxa"/>
          </w:tcPr>
          <w:p w:rsidR="00DC5C55" w:rsidRPr="00036EE3" w:rsidRDefault="00DC5C55" w:rsidP="005219D7">
            <w:pPr>
              <w:spacing w:before="30" w:after="30"/>
              <w:ind w:left="57"/>
              <w:jc w:val="left"/>
              <w:rPr>
                <w:b/>
                <w:bCs/>
                <w:sz w:val="20"/>
                <w:lang w:val="en-US"/>
              </w:rPr>
            </w:pPr>
            <w:r w:rsidRPr="00036EE3">
              <w:rPr>
                <w:b/>
                <w:bCs/>
                <w:sz w:val="20"/>
                <w:lang w:val="en-US"/>
              </w:rPr>
              <w:t>TF</w:t>
            </w:r>
          </w:p>
        </w:tc>
        <w:tc>
          <w:tcPr>
            <w:tcW w:w="8220" w:type="dxa"/>
          </w:tcPr>
          <w:p w:rsidR="00DC5C55" w:rsidRPr="00021E8A" w:rsidRDefault="00DC5C55" w:rsidP="005219D7">
            <w:pPr>
              <w:spacing w:before="30" w:after="30"/>
              <w:jc w:val="left"/>
              <w:rPr>
                <w:bCs/>
                <w:sz w:val="20"/>
                <w:lang w:val="es-ES_tradnl"/>
              </w:rPr>
            </w:pPr>
            <w:r w:rsidRPr="00021E8A">
              <w:rPr>
                <w:bCs/>
                <w:sz w:val="20"/>
                <w:lang w:val="es-ES_tradnl"/>
              </w:rPr>
              <w:t>Emisiones de frecuencias patrón y señales horarias</w:t>
            </w:r>
          </w:p>
        </w:tc>
      </w:tr>
      <w:tr w:rsidR="00DC5C55" w:rsidRPr="00036EE3" w:rsidTr="005219D7">
        <w:tc>
          <w:tcPr>
            <w:tcW w:w="1140" w:type="dxa"/>
          </w:tcPr>
          <w:p w:rsidR="00DC5C55" w:rsidRPr="00036EE3" w:rsidRDefault="00DC5C55" w:rsidP="005219D7">
            <w:pPr>
              <w:spacing w:before="30" w:after="30"/>
              <w:ind w:left="57"/>
              <w:jc w:val="left"/>
              <w:rPr>
                <w:b/>
                <w:bCs/>
                <w:sz w:val="20"/>
                <w:lang w:val="en-US"/>
              </w:rPr>
            </w:pPr>
            <w:r w:rsidRPr="00036EE3">
              <w:rPr>
                <w:b/>
                <w:bCs/>
                <w:sz w:val="20"/>
                <w:lang w:val="en-US"/>
              </w:rPr>
              <w:t>V</w:t>
            </w:r>
          </w:p>
        </w:tc>
        <w:tc>
          <w:tcPr>
            <w:tcW w:w="8220" w:type="dxa"/>
          </w:tcPr>
          <w:p w:rsidR="00DC5C55" w:rsidRPr="00021E8A" w:rsidRDefault="00DC5C55" w:rsidP="005219D7">
            <w:pPr>
              <w:spacing w:before="30" w:after="140"/>
              <w:jc w:val="left"/>
              <w:rPr>
                <w:bCs/>
                <w:sz w:val="20"/>
                <w:lang w:val="en-US"/>
              </w:rPr>
            </w:pPr>
            <w:r w:rsidRPr="00021E8A">
              <w:rPr>
                <w:bCs/>
                <w:sz w:val="20"/>
              </w:rPr>
              <w:t>Vocabulario y cuestiones afines</w:t>
            </w:r>
          </w:p>
        </w:tc>
      </w:tr>
    </w:tbl>
    <w:p w:rsidR="00DC5C55" w:rsidRPr="00036EE3" w:rsidRDefault="00DC5C55" w:rsidP="00DC5C5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C5C55" w:rsidTr="005219D7">
        <w:tc>
          <w:tcPr>
            <w:tcW w:w="720" w:type="dxa"/>
          </w:tcPr>
          <w:p w:rsidR="00DC5C55" w:rsidRDefault="00DC5C55" w:rsidP="005219D7">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DC5C55" w:rsidRPr="002A58E4" w:rsidTr="005219D7">
        <w:tc>
          <w:tcPr>
            <w:tcW w:w="9360" w:type="dxa"/>
          </w:tcPr>
          <w:p w:rsidR="00DC5C55" w:rsidRPr="00763D08" w:rsidRDefault="00DC5C55" w:rsidP="005219D7">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C5C55" w:rsidRPr="00763D08" w:rsidRDefault="00DC5C55" w:rsidP="00DC5C55">
      <w:pPr>
        <w:spacing w:before="0"/>
        <w:jc w:val="center"/>
        <w:rPr>
          <w:sz w:val="22"/>
          <w:lang w:val="es-ES_tradnl"/>
        </w:rPr>
      </w:pPr>
    </w:p>
    <w:p w:rsidR="00DC5C55" w:rsidRPr="00763D08" w:rsidRDefault="00DC5C55" w:rsidP="00DC5C55">
      <w:pPr>
        <w:spacing w:before="60"/>
        <w:jc w:val="right"/>
        <w:rPr>
          <w:i/>
          <w:iCs/>
          <w:sz w:val="20"/>
          <w:lang w:val="es-ES_tradnl"/>
        </w:rPr>
      </w:pPr>
      <w:r w:rsidRPr="00763D08">
        <w:rPr>
          <w:i/>
          <w:iCs/>
          <w:sz w:val="20"/>
          <w:lang w:val="es-ES_tradnl"/>
        </w:rPr>
        <w:t>Publicación electrónica</w:t>
      </w:r>
    </w:p>
    <w:p w:rsidR="00DC5C55" w:rsidRPr="00763D08" w:rsidRDefault="00DC5C55" w:rsidP="00DC5C55">
      <w:pPr>
        <w:spacing w:before="0" w:after="40"/>
        <w:jc w:val="right"/>
        <w:rPr>
          <w:sz w:val="20"/>
          <w:lang w:val="es-ES_tradnl"/>
        </w:rPr>
      </w:pPr>
      <w:r w:rsidRPr="00763D08">
        <w:rPr>
          <w:sz w:val="20"/>
          <w:lang w:val="es-ES_tradnl"/>
        </w:rPr>
        <w:t>Ginebra, 20</w:t>
      </w:r>
      <w:r>
        <w:rPr>
          <w:sz w:val="20"/>
          <w:lang w:val="es-ES_tradnl"/>
        </w:rPr>
        <w:t>1</w:t>
      </w:r>
      <w:r w:rsidR="00B1523F">
        <w:rPr>
          <w:sz w:val="20"/>
          <w:lang w:val="es-ES_tradnl"/>
        </w:rPr>
        <w:t>9</w:t>
      </w:r>
    </w:p>
    <w:p w:rsidR="00DC5C55" w:rsidRPr="00763D08" w:rsidRDefault="00DC5C55" w:rsidP="00DC5C55">
      <w:pPr>
        <w:spacing w:before="0"/>
        <w:jc w:val="center"/>
        <w:rPr>
          <w:sz w:val="22"/>
          <w:lang w:val="es-ES_tradnl"/>
        </w:rPr>
      </w:pPr>
    </w:p>
    <w:p w:rsidR="00DC5C55" w:rsidRPr="00763D08" w:rsidRDefault="00DC5C55" w:rsidP="00DC5C5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w:t>
      </w:r>
      <w:r w:rsidR="00B1523F">
        <w:rPr>
          <w:sz w:val="20"/>
          <w:lang w:val="es-ES_tradnl"/>
        </w:rPr>
        <w:t>9</w:t>
      </w:r>
    </w:p>
    <w:p w:rsidR="00DC5C55" w:rsidRPr="006C718C" w:rsidRDefault="00DC5C55" w:rsidP="00DC5C5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C5C55" w:rsidRPr="006C718C" w:rsidRDefault="00DC5C55" w:rsidP="00DC5C55">
      <w:pPr>
        <w:spacing w:before="160"/>
        <w:rPr>
          <w:i/>
          <w:sz w:val="20"/>
          <w:highlight w:val="yellow"/>
          <w:lang w:val="es-ES_tradnl"/>
        </w:rPr>
        <w:sectPr w:rsidR="00DC5C55"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1523F" w:rsidRDefault="00B1523F" w:rsidP="00DC5C55">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F</w:t>
      </w:r>
      <w:r w:rsidRPr="0010336F">
        <w:rPr>
          <w:rStyle w:val="href"/>
          <w:lang w:val="es-ES_tradnl"/>
        </w:rPr>
        <w:t>.</w:t>
      </w:r>
      <w:r>
        <w:rPr>
          <w:rStyle w:val="href"/>
          <w:lang w:val="es-ES_tradnl"/>
        </w:rPr>
        <w:t>2119-0</w:t>
      </w:r>
    </w:p>
    <w:p w:rsidR="00B1523F" w:rsidRPr="00EC42BA" w:rsidRDefault="00B1523F" w:rsidP="00B1523F">
      <w:pPr>
        <w:pStyle w:val="Rectitle"/>
        <w:rPr>
          <w:lang w:val="es-ES_tradnl" w:eastAsia="zh-CN"/>
        </w:rPr>
      </w:pPr>
      <w:r w:rsidRPr="00EC42BA">
        <w:rPr>
          <w:rFonts w:eastAsia="Times New Roman Bold"/>
          <w:lang w:val="es-ES_tradnl" w:eastAsia="zh-CN"/>
        </w:rPr>
        <w:t xml:space="preserve">Guía sobre parámetros técnicos y metodologías </w:t>
      </w:r>
      <w:r w:rsidR="00075608">
        <w:rPr>
          <w:rFonts w:eastAsia="Times New Roman Bold"/>
          <w:lang w:val="es-ES_tradnl" w:eastAsia="zh-CN"/>
        </w:rPr>
        <w:br/>
      </w:r>
      <w:r w:rsidRPr="00EC42BA">
        <w:rPr>
          <w:rFonts w:eastAsia="Times New Roman Bold"/>
          <w:lang w:val="es-ES_tradnl" w:eastAsia="zh-CN"/>
        </w:rPr>
        <w:t xml:space="preserve">para los estudios de compartición y compatibilidad </w:t>
      </w:r>
      <w:r w:rsidR="00075608">
        <w:rPr>
          <w:rFonts w:eastAsia="Times New Roman Bold"/>
          <w:lang w:val="es-ES_tradnl" w:eastAsia="zh-CN"/>
        </w:rPr>
        <w:br/>
      </w:r>
      <w:r w:rsidRPr="00EC42BA">
        <w:rPr>
          <w:rFonts w:eastAsia="Times New Roman Bold"/>
          <w:lang w:val="es-ES_tradnl" w:eastAsia="zh-CN"/>
        </w:rPr>
        <w:t xml:space="preserve">relacionados </w:t>
      </w:r>
      <w:r w:rsidR="00075608">
        <w:rPr>
          <w:rFonts w:eastAsia="Times New Roman Bold"/>
          <w:lang w:val="es-ES_tradnl" w:eastAsia="zh-CN"/>
        </w:rPr>
        <w:t>c</w:t>
      </w:r>
      <w:r w:rsidRPr="00EC42BA">
        <w:rPr>
          <w:rFonts w:eastAsia="Times New Roman Bold"/>
          <w:lang w:val="es-ES_tradnl" w:eastAsia="zh-CN"/>
        </w:rPr>
        <w:t xml:space="preserve">on los servicios fijo y móvil terrestre </w:t>
      </w:r>
      <w:r w:rsidR="00075608">
        <w:rPr>
          <w:rFonts w:eastAsia="Times New Roman Bold"/>
          <w:lang w:val="es-ES_tradnl" w:eastAsia="zh-CN"/>
        </w:rPr>
        <w:br/>
      </w:r>
      <w:r w:rsidRPr="00EC42BA">
        <w:rPr>
          <w:rFonts w:eastAsia="Times New Roman Bold"/>
          <w:lang w:val="es-ES_tradnl" w:eastAsia="zh-CN"/>
        </w:rPr>
        <w:t>en la gama</w:t>
      </w:r>
      <w:r w:rsidR="00075608">
        <w:rPr>
          <w:rFonts w:eastAsia="Times New Roman Bold"/>
          <w:lang w:val="es-ES_tradnl" w:eastAsia="zh-CN"/>
        </w:rPr>
        <w:t xml:space="preserve"> </w:t>
      </w:r>
      <w:r w:rsidRPr="00EC42BA">
        <w:rPr>
          <w:rFonts w:eastAsia="Times New Roman Bold"/>
          <w:lang w:val="es-ES_tradnl" w:eastAsia="zh-CN"/>
        </w:rPr>
        <w:t>de frecuencias 1,5-30 MHz</w:t>
      </w:r>
    </w:p>
    <w:p w:rsidR="00B1523F" w:rsidRPr="00EC42BA" w:rsidRDefault="00B1523F" w:rsidP="00B1523F">
      <w:pPr>
        <w:pStyle w:val="Recdate"/>
        <w:rPr>
          <w:lang w:val="es-ES_tradnl"/>
        </w:rPr>
      </w:pPr>
      <w:r w:rsidRPr="00EC42BA">
        <w:rPr>
          <w:lang w:val="es-ES_tradnl"/>
        </w:rPr>
        <w:t>(2019)</w:t>
      </w:r>
    </w:p>
    <w:p w:rsidR="00B1523F" w:rsidRPr="00EC42BA" w:rsidRDefault="00CC328F" w:rsidP="00B1523F">
      <w:pPr>
        <w:pStyle w:val="HeadingSum"/>
      </w:pPr>
      <w:r>
        <w:t>Cometido</w:t>
      </w:r>
    </w:p>
    <w:p w:rsidR="00B1523F" w:rsidRPr="00EC42BA" w:rsidRDefault="00B1523F" w:rsidP="00B1523F">
      <w:pPr>
        <w:pStyle w:val="Summary"/>
        <w:rPr>
          <w:lang w:eastAsia="zh-CN"/>
        </w:rPr>
      </w:pPr>
      <w:r w:rsidRPr="00EC42BA">
        <w:t>Esta Recomendación se dan orientaciones para realizar estudios de compartición relacionados con los sistemas de los servicios fijo y móvil terrestre en la gama de frecuencias 1,5-30 MHz. Se establece una lista de parámetros que caracterizan al sistema para ayudar a realizar los estudios de compartición y se proporciona información sobre las metodologías que pueden emplearse para realizar análisis de la compartición con los servicios fijo y móvil terrestre en esta gama de frecuencias. Esta Recomendación contiene asimismo una lista de las Recomendaciones, Informes y Manuales del UIT</w:t>
      </w:r>
      <w:r w:rsidRPr="00EC42BA">
        <w:noBreakHyphen/>
        <w:t>R pertinentes.</w:t>
      </w:r>
    </w:p>
    <w:p w:rsidR="00B1523F" w:rsidRPr="00EC42BA" w:rsidRDefault="00B1523F" w:rsidP="00B1523F">
      <w:pPr>
        <w:pStyle w:val="Headingb"/>
        <w:rPr>
          <w:lang w:val="es-ES_tradnl"/>
        </w:rPr>
      </w:pPr>
      <w:r w:rsidRPr="00EC42BA">
        <w:rPr>
          <w:lang w:val="es-ES_tradnl"/>
        </w:rPr>
        <w:t>Recomendaciones, Informes y Manuales de la UIT conexos</w:t>
      </w:r>
    </w:p>
    <w:p w:rsidR="00B1523F" w:rsidRPr="00EC42BA" w:rsidRDefault="00B1523F" w:rsidP="00B1523F">
      <w:pPr>
        <w:rPr>
          <w:lang w:val="es-ES_tradnl"/>
        </w:rPr>
      </w:pPr>
      <w:bookmarkStart w:id="4" w:name="lt_pId062"/>
      <w:r w:rsidRPr="00EC42BA">
        <w:rPr>
          <w:lang w:val="es-ES_tradnl"/>
        </w:rPr>
        <w:t>Véase el Anexo 3.</w:t>
      </w:r>
      <w:bookmarkEnd w:id="4"/>
    </w:p>
    <w:p w:rsidR="00B1523F" w:rsidRPr="00EC42BA" w:rsidRDefault="00B1523F" w:rsidP="00B1523F">
      <w:pPr>
        <w:pStyle w:val="Headingb"/>
        <w:rPr>
          <w:lang w:val="es-ES_tradnl"/>
        </w:rPr>
      </w:pPr>
      <w:r w:rsidRPr="00EC42BA">
        <w:rPr>
          <w:lang w:val="es-ES_tradnl"/>
        </w:rPr>
        <w:t>Palabras clave</w:t>
      </w:r>
    </w:p>
    <w:p w:rsidR="00B1523F" w:rsidRPr="00EC42BA" w:rsidRDefault="00B1523F" w:rsidP="00B1523F">
      <w:pPr>
        <w:rPr>
          <w:lang w:val="es-ES_tradnl"/>
        </w:rPr>
      </w:pPr>
      <w:bookmarkStart w:id="5" w:name="lt_pId064"/>
      <w:r w:rsidRPr="00EC42BA">
        <w:rPr>
          <w:lang w:val="es-ES_tradnl"/>
        </w:rPr>
        <w:t>Sistemas de los servicios fijo y móvil en ondas decamétricas, características técnicas para la compartición, criterios de protección</w:t>
      </w:r>
      <w:bookmarkEnd w:id="5"/>
    </w:p>
    <w:p w:rsidR="00B1523F" w:rsidRPr="00EC42BA" w:rsidRDefault="00B1523F" w:rsidP="00B1523F">
      <w:pPr>
        <w:pStyle w:val="Headingb"/>
        <w:rPr>
          <w:lang w:val="es-ES_tradnl"/>
        </w:rPr>
      </w:pPr>
      <w:bookmarkStart w:id="6" w:name="lt_pId065"/>
      <w:r w:rsidRPr="00EC42BA">
        <w:rPr>
          <w:lang w:val="es-ES_tradnl"/>
        </w:rPr>
        <w:t>Siglas/</w:t>
      </w:r>
      <w:bookmarkEnd w:id="6"/>
      <w:r w:rsidRPr="00EC42BA">
        <w:rPr>
          <w:lang w:val="es-ES_tradnl"/>
        </w:rPr>
        <w:t>Glosario</w:t>
      </w:r>
    </w:p>
    <w:p w:rsidR="00B1523F" w:rsidRPr="00EC42BA" w:rsidRDefault="00B1523F" w:rsidP="00B1523F">
      <w:pPr>
        <w:tabs>
          <w:tab w:val="clear" w:pos="794"/>
        </w:tabs>
        <w:rPr>
          <w:lang w:val="es-ES_tradnl"/>
        </w:rPr>
      </w:pPr>
      <w:bookmarkStart w:id="7" w:name="lt_pId066"/>
      <w:r w:rsidRPr="00EC42BA">
        <w:rPr>
          <w:lang w:val="es-ES_tradnl"/>
        </w:rPr>
        <w:t>AWGN</w:t>
      </w:r>
      <w:bookmarkEnd w:id="7"/>
      <w:r w:rsidRPr="00EC42BA">
        <w:rPr>
          <w:lang w:val="es-ES_tradnl"/>
        </w:rPr>
        <w:tab/>
        <w:t>Ruido blanco gaussiano aditivo (</w:t>
      </w:r>
      <w:r w:rsidRPr="00EC42BA">
        <w:rPr>
          <w:i/>
          <w:iCs/>
          <w:lang w:val="es-ES_tradnl"/>
        </w:rPr>
        <w:t>additive white gaussian noise</w:t>
      </w:r>
      <w:r w:rsidRPr="00EC42BA">
        <w:rPr>
          <w:lang w:val="es-ES_tradnl"/>
        </w:rPr>
        <w:t>)</w:t>
      </w:r>
    </w:p>
    <w:p w:rsidR="00B1523F" w:rsidRPr="00EC42BA" w:rsidRDefault="00B1523F" w:rsidP="00B1523F">
      <w:pPr>
        <w:tabs>
          <w:tab w:val="clear" w:pos="794"/>
        </w:tabs>
        <w:rPr>
          <w:lang w:val="es-ES_tradnl"/>
        </w:rPr>
      </w:pPr>
      <w:bookmarkStart w:id="8" w:name="lt_pId068"/>
      <w:r w:rsidRPr="00EC42BA">
        <w:rPr>
          <w:lang w:val="es-ES_tradnl"/>
        </w:rPr>
        <w:t>BER</w:t>
      </w:r>
      <w:bookmarkEnd w:id="8"/>
      <w:r w:rsidRPr="00EC42BA">
        <w:rPr>
          <w:lang w:val="es-ES_tradnl"/>
        </w:rPr>
        <w:tab/>
      </w:r>
      <w:bookmarkStart w:id="9" w:name="lt_pId069"/>
      <w:r w:rsidRPr="00EC42BA">
        <w:rPr>
          <w:lang w:val="es-ES_tradnl"/>
        </w:rPr>
        <w:t>Tasa de errores en los bits</w:t>
      </w:r>
      <w:bookmarkEnd w:id="9"/>
      <w:r w:rsidRPr="00EC42BA">
        <w:rPr>
          <w:lang w:val="es-ES_tradnl"/>
        </w:rPr>
        <w:t xml:space="preserve"> (</w:t>
      </w:r>
      <w:r w:rsidRPr="00EC42BA">
        <w:rPr>
          <w:i/>
          <w:lang w:val="es-ES_tradnl"/>
        </w:rPr>
        <w:t>bit error ratio</w:t>
      </w:r>
      <w:r w:rsidRPr="00EC42BA">
        <w:rPr>
          <w:lang w:val="es-ES_tradnl"/>
        </w:rPr>
        <w:t>)</w:t>
      </w:r>
    </w:p>
    <w:p w:rsidR="00B1523F" w:rsidRPr="00EC42BA" w:rsidRDefault="00B1523F" w:rsidP="00B1523F">
      <w:pPr>
        <w:tabs>
          <w:tab w:val="clear" w:pos="794"/>
        </w:tabs>
        <w:rPr>
          <w:lang w:val="es-ES_tradnl" w:eastAsia="zh-CN"/>
        </w:rPr>
      </w:pPr>
      <w:bookmarkStart w:id="10" w:name="lt_pId070"/>
      <w:r w:rsidRPr="00EC42BA">
        <w:rPr>
          <w:lang w:val="es-ES_tradnl"/>
        </w:rPr>
        <w:t>FOT</w:t>
      </w:r>
      <w:bookmarkEnd w:id="10"/>
      <w:r w:rsidRPr="00EC42BA">
        <w:rPr>
          <w:lang w:val="es-ES_tradnl"/>
        </w:rPr>
        <w:tab/>
      </w:r>
      <w:bookmarkStart w:id="11" w:name="lt_pId071"/>
      <w:r w:rsidRPr="00EC42BA">
        <w:rPr>
          <w:lang w:val="es-ES_tradnl"/>
        </w:rPr>
        <w:t>Frecuencia de transmisión óptima</w:t>
      </w:r>
      <w:bookmarkEnd w:id="11"/>
      <w:r w:rsidRPr="00EC42BA">
        <w:rPr>
          <w:lang w:val="es-ES_tradnl" w:eastAsia="zh-CN"/>
        </w:rPr>
        <w:t xml:space="preserve"> </w:t>
      </w:r>
      <w:r w:rsidRPr="00EC42BA">
        <w:rPr>
          <w:lang w:val="es-ES_tradnl"/>
        </w:rPr>
        <w:t>(</w:t>
      </w:r>
      <w:r w:rsidRPr="00EC42BA">
        <w:rPr>
          <w:i/>
          <w:lang w:val="es-ES_tradnl" w:eastAsia="zh-CN"/>
        </w:rPr>
        <w:t>frequency of optimum transmission</w:t>
      </w:r>
      <w:r w:rsidRPr="00EC42BA">
        <w:rPr>
          <w:lang w:val="es-ES_tradnl" w:eastAsia="zh-CN"/>
        </w:rPr>
        <w:t>)</w:t>
      </w:r>
    </w:p>
    <w:p w:rsidR="00B1523F" w:rsidRPr="00EC42BA" w:rsidRDefault="00B1523F" w:rsidP="00B1523F">
      <w:pPr>
        <w:tabs>
          <w:tab w:val="clear" w:pos="794"/>
        </w:tabs>
        <w:rPr>
          <w:lang w:val="es-ES_tradnl" w:eastAsia="zh-CN"/>
        </w:rPr>
      </w:pPr>
      <w:bookmarkStart w:id="12" w:name="lt_pId072"/>
      <w:r w:rsidRPr="00EC42BA">
        <w:rPr>
          <w:lang w:val="es-ES_tradnl"/>
        </w:rPr>
        <w:t>HF</w:t>
      </w:r>
      <w:bookmarkEnd w:id="12"/>
      <w:r w:rsidRPr="00EC42BA">
        <w:rPr>
          <w:lang w:val="es-ES_tradnl"/>
        </w:rPr>
        <w:tab/>
        <w:t>Ondas decamétricas (</w:t>
      </w:r>
      <w:r w:rsidRPr="00EC42BA">
        <w:rPr>
          <w:i/>
          <w:lang w:val="es-ES_tradnl"/>
        </w:rPr>
        <w:t xml:space="preserve">high </w:t>
      </w:r>
      <w:r w:rsidRPr="00EC42BA">
        <w:rPr>
          <w:i/>
          <w:lang w:val="es-ES_tradnl" w:eastAsia="zh-CN"/>
        </w:rPr>
        <w:t>frequency</w:t>
      </w:r>
      <w:r w:rsidRPr="00EC42BA">
        <w:rPr>
          <w:lang w:val="es-ES_tradnl" w:eastAsia="zh-CN"/>
        </w:rPr>
        <w:t>)</w:t>
      </w:r>
    </w:p>
    <w:p w:rsidR="00B1523F" w:rsidRPr="00EC42BA" w:rsidRDefault="00B1523F" w:rsidP="00B1523F">
      <w:pPr>
        <w:tabs>
          <w:tab w:val="clear" w:pos="794"/>
        </w:tabs>
        <w:rPr>
          <w:lang w:val="es-ES_tradnl"/>
        </w:rPr>
      </w:pPr>
      <w:bookmarkStart w:id="13" w:name="lt_pId074"/>
      <w:r w:rsidRPr="00EC42BA">
        <w:rPr>
          <w:i/>
          <w:iCs/>
          <w:lang w:val="es-ES_tradnl"/>
        </w:rPr>
        <w:t>I</w:t>
      </w:r>
      <w:r w:rsidRPr="00EC42BA">
        <w:rPr>
          <w:lang w:val="es-ES_tradnl"/>
        </w:rPr>
        <w:t>/</w:t>
      </w:r>
      <w:r w:rsidRPr="00EC42BA">
        <w:rPr>
          <w:i/>
          <w:iCs/>
          <w:lang w:val="es-ES_tradnl"/>
        </w:rPr>
        <w:t>N</w:t>
      </w:r>
      <w:bookmarkEnd w:id="13"/>
      <w:r w:rsidRPr="00EC42BA">
        <w:rPr>
          <w:lang w:val="es-ES_tradnl"/>
        </w:rPr>
        <w:tab/>
      </w:r>
      <w:bookmarkStart w:id="14" w:name="lt_pId075"/>
      <w:r w:rsidRPr="00EC42BA">
        <w:rPr>
          <w:lang w:val="es-ES_tradnl"/>
        </w:rPr>
        <w:t>Relación interferencia-</w:t>
      </w:r>
      <w:bookmarkEnd w:id="14"/>
      <w:r w:rsidRPr="00EC42BA">
        <w:rPr>
          <w:lang w:val="es-ES_tradnl"/>
        </w:rPr>
        <w:t>ruido (</w:t>
      </w:r>
      <w:r w:rsidRPr="00EC42BA">
        <w:rPr>
          <w:i/>
          <w:lang w:val="es-ES_tradnl"/>
        </w:rPr>
        <w:t>interference-to-noise ratio</w:t>
      </w:r>
      <w:r w:rsidRPr="00EC42BA">
        <w:rPr>
          <w:lang w:val="es-ES_tradnl"/>
        </w:rPr>
        <w:t>)</w:t>
      </w:r>
    </w:p>
    <w:p w:rsidR="00B1523F" w:rsidRPr="00EC42BA" w:rsidRDefault="00B1523F" w:rsidP="00B1523F">
      <w:pPr>
        <w:tabs>
          <w:tab w:val="clear" w:pos="794"/>
        </w:tabs>
        <w:rPr>
          <w:lang w:val="es-ES_tradnl"/>
        </w:rPr>
      </w:pPr>
      <w:bookmarkStart w:id="15" w:name="lt_pId076"/>
      <w:r w:rsidRPr="00EC42BA">
        <w:rPr>
          <w:lang w:val="es-ES_tradnl"/>
        </w:rPr>
        <w:t>MUF</w:t>
      </w:r>
      <w:bookmarkEnd w:id="15"/>
      <w:r w:rsidRPr="00EC42BA">
        <w:rPr>
          <w:lang w:val="es-ES_tradnl"/>
        </w:rPr>
        <w:tab/>
      </w:r>
      <w:bookmarkStart w:id="16" w:name="lt_pId077"/>
      <w:r w:rsidRPr="00EC42BA">
        <w:rPr>
          <w:lang w:val="es-ES_tradnl"/>
        </w:rPr>
        <w:t>Frecuencia máxima útil</w:t>
      </w:r>
      <w:bookmarkEnd w:id="16"/>
      <w:r w:rsidRPr="00EC42BA">
        <w:rPr>
          <w:lang w:val="es-ES_tradnl"/>
        </w:rPr>
        <w:t xml:space="preserve"> (</w:t>
      </w:r>
      <w:r w:rsidRPr="00EC42BA">
        <w:rPr>
          <w:i/>
          <w:lang w:val="es-ES_tradnl"/>
        </w:rPr>
        <w:t>m</w:t>
      </w:r>
      <w:r w:rsidRPr="00EC42BA">
        <w:rPr>
          <w:i/>
          <w:lang w:val="es-ES_tradnl" w:eastAsia="zh-CN"/>
        </w:rPr>
        <w:t>aximum usable frequency</w:t>
      </w:r>
      <w:r w:rsidRPr="00EC42BA">
        <w:rPr>
          <w:lang w:val="es-ES_tradnl" w:eastAsia="zh-CN"/>
        </w:rPr>
        <w:t>)</w:t>
      </w:r>
    </w:p>
    <w:p w:rsidR="00B1523F" w:rsidRPr="00EC42BA" w:rsidRDefault="00B1523F" w:rsidP="00B1523F">
      <w:pPr>
        <w:tabs>
          <w:tab w:val="clear" w:pos="794"/>
        </w:tabs>
        <w:ind w:left="1191" w:hanging="1191"/>
        <w:rPr>
          <w:lang w:val="es-ES_tradnl"/>
        </w:rPr>
      </w:pPr>
      <w:bookmarkStart w:id="17" w:name="lt_pId078"/>
      <w:r w:rsidRPr="00EC42BA">
        <w:rPr>
          <w:lang w:val="es-ES_tradnl"/>
        </w:rPr>
        <w:t>SNIR</w:t>
      </w:r>
      <w:bookmarkEnd w:id="17"/>
      <w:r w:rsidRPr="00EC42BA">
        <w:rPr>
          <w:lang w:val="es-ES_tradnl"/>
        </w:rPr>
        <w:tab/>
      </w:r>
      <w:bookmarkStart w:id="18" w:name="lt_pId079"/>
      <w:r w:rsidRPr="00EC42BA">
        <w:rPr>
          <w:i/>
          <w:iCs/>
          <w:lang w:val="es-ES_tradnl" w:eastAsia="zh-CN"/>
        </w:rPr>
        <w:t>S</w:t>
      </w:r>
      <w:r w:rsidRPr="00EC42BA">
        <w:rPr>
          <w:lang w:val="es-ES_tradnl" w:eastAsia="zh-CN"/>
        </w:rPr>
        <w:t>/</w:t>
      </w:r>
      <w:r w:rsidRPr="00EC42BA">
        <w:rPr>
          <w:i/>
          <w:iCs/>
          <w:lang w:val="es-ES_tradnl" w:eastAsia="zh-CN"/>
        </w:rPr>
        <w:t>(N+I)</w:t>
      </w:r>
      <w:r w:rsidRPr="00EC42BA">
        <w:rPr>
          <w:lang w:val="es-ES_tradnl" w:eastAsia="zh-CN"/>
        </w:rPr>
        <w:t xml:space="preserve">, Relación señal-ruido más </w:t>
      </w:r>
      <w:bookmarkEnd w:id="18"/>
      <w:r w:rsidRPr="00EC42BA">
        <w:rPr>
          <w:lang w:val="es-ES_tradnl" w:eastAsia="zh-CN"/>
        </w:rPr>
        <w:t>interferencia (</w:t>
      </w:r>
      <w:r w:rsidRPr="00EC42BA">
        <w:rPr>
          <w:i/>
          <w:iCs/>
          <w:lang w:val="es-ES_tradnl" w:eastAsia="zh-CN"/>
        </w:rPr>
        <w:t>S</w:t>
      </w:r>
      <w:r w:rsidRPr="00EC42BA">
        <w:rPr>
          <w:lang w:val="es-ES_tradnl" w:eastAsia="zh-CN"/>
        </w:rPr>
        <w:t>/</w:t>
      </w:r>
      <w:r w:rsidRPr="00EC42BA">
        <w:rPr>
          <w:i/>
          <w:iCs/>
          <w:lang w:val="es-ES_tradnl" w:eastAsia="zh-CN"/>
        </w:rPr>
        <w:t>(N+I</w:t>
      </w:r>
      <w:r w:rsidRPr="00EC42BA">
        <w:rPr>
          <w:i/>
          <w:lang w:val="es-ES_tradnl" w:eastAsia="zh-CN"/>
        </w:rPr>
        <w:t>), signal-to-noise plus interference ratio</w:t>
      </w:r>
      <w:r w:rsidRPr="00EC42BA">
        <w:rPr>
          <w:lang w:val="es-ES_tradnl" w:eastAsia="zh-CN"/>
        </w:rPr>
        <w:t>)</w:t>
      </w:r>
    </w:p>
    <w:p w:rsidR="00B1523F" w:rsidRPr="00EC42BA" w:rsidRDefault="00B1523F" w:rsidP="00B1523F">
      <w:pPr>
        <w:tabs>
          <w:tab w:val="clear" w:pos="794"/>
        </w:tabs>
        <w:rPr>
          <w:lang w:val="es-ES_tradnl"/>
        </w:rPr>
      </w:pPr>
      <w:bookmarkStart w:id="19" w:name="lt_pId080"/>
      <w:r w:rsidRPr="00EC42BA">
        <w:rPr>
          <w:lang w:val="es-ES_tradnl"/>
        </w:rPr>
        <w:t>SNR</w:t>
      </w:r>
      <w:bookmarkEnd w:id="19"/>
      <w:r w:rsidRPr="00EC42BA">
        <w:rPr>
          <w:lang w:val="es-ES_tradnl"/>
        </w:rPr>
        <w:tab/>
      </w:r>
      <w:bookmarkStart w:id="20" w:name="lt_pId081"/>
      <w:r w:rsidRPr="00EC42BA">
        <w:rPr>
          <w:i/>
          <w:iCs/>
          <w:lang w:val="es-ES_tradnl"/>
        </w:rPr>
        <w:t>S</w:t>
      </w:r>
      <w:r w:rsidRPr="00EC42BA">
        <w:rPr>
          <w:lang w:val="es-ES_tradnl"/>
        </w:rPr>
        <w:t>/</w:t>
      </w:r>
      <w:r w:rsidRPr="00EC42BA">
        <w:rPr>
          <w:i/>
          <w:iCs/>
          <w:lang w:val="es-ES_tradnl"/>
        </w:rPr>
        <w:t>N</w:t>
      </w:r>
      <w:r w:rsidRPr="00EC42BA">
        <w:rPr>
          <w:lang w:val="es-ES_tradnl"/>
        </w:rPr>
        <w:t>, Relación señal-ruido</w:t>
      </w:r>
      <w:bookmarkEnd w:id="20"/>
      <w:r w:rsidRPr="00EC42BA">
        <w:rPr>
          <w:lang w:val="es-ES_tradnl"/>
        </w:rPr>
        <w:t xml:space="preserve"> (</w:t>
      </w:r>
      <w:r w:rsidRPr="00EC42BA">
        <w:rPr>
          <w:i/>
          <w:iCs/>
          <w:lang w:val="es-ES_tradnl"/>
        </w:rPr>
        <w:t>S</w:t>
      </w:r>
      <w:r w:rsidRPr="00EC42BA">
        <w:rPr>
          <w:lang w:val="es-ES_tradnl"/>
        </w:rPr>
        <w:t>/</w:t>
      </w:r>
      <w:r w:rsidRPr="00EC42BA">
        <w:rPr>
          <w:i/>
          <w:iCs/>
          <w:lang w:val="es-ES_tradnl"/>
        </w:rPr>
        <w:t>N</w:t>
      </w:r>
      <w:r w:rsidRPr="00EC42BA">
        <w:rPr>
          <w:i/>
          <w:lang w:val="es-ES_tradnl"/>
        </w:rPr>
        <w:t>, signal-to-noise ratio</w:t>
      </w:r>
      <w:r w:rsidRPr="00EC42BA">
        <w:rPr>
          <w:lang w:val="es-ES_tradnl"/>
        </w:rPr>
        <w:t>)</w:t>
      </w:r>
    </w:p>
    <w:p w:rsidR="00B1523F" w:rsidRPr="00EC42BA" w:rsidRDefault="00B1523F" w:rsidP="00B1523F">
      <w:pPr>
        <w:rPr>
          <w:lang w:val="es-ES_tradnl"/>
        </w:rPr>
      </w:pPr>
      <w:bookmarkStart w:id="21" w:name="lt_pId082"/>
      <w:r w:rsidRPr="00EC42BA">
        <w:rPr>
          <w:lang w:val="es-ES_tradnl"/>
        </w:rPr>
        <w:t>SSN</w:t>
      </w:r>
      <w:bookmarkEnd w:id="21"/>
      <w:r w:rsidRPr="00EC42BA">
        <w:rPr>
          <w:lang w:val="es-ES_tradnl"/>
        </w:rPr>
        <w:tab/>
      </w:r>
      <w:r w:rsidRPr="00EC42BA">
        <w:rPr>
          <w:lang w:val="es-ES_tradnl"/>
        </w:rPr>
        <w:tab/>
        <w:t>Número medio de manchas solares (</w:t>
      </w:r>
      <w:r w:rsidRPr="00EC42BA">
        <w:rPr>
          <w:i/>
          <w:lang w:val="es-ES_tradnl"/>
        </w:rPr>
        <w:t>smoothed sunspot number</w:t>
      </w:r>
      <w:r w:rsidRPr="00EC42BA">
        <w:rPr>
          <w:iCs/>
          <w:lang w:val="es-ES_tradnl"/>
        </w:rPr>
        <w:t>)</w:t>
      </w:r>
    </w:p>
    <w:p w:rsidR="00B1523F" w:rsidRPr="00EC42BA" w:rsidRDefault="00B1523F" w:rsidP="00B1523F">
      <w:pPr>
        <w:pStyle w:val="Normalaftertitle"/>
        <w:rPr>
          <w:lang w:val="es-ES_tradnl"/>
        </w:rPr>
      </w:pPr>
      <w:r w:rsidRPr="00EC42BA">
        <w:rPr>
          <w:lang w:val="es-ES_tradnl"/>
        </w:rPr>
        <w:t xml:space="preserve">La Asamblea de Radiocomunicaciones de la UIT, </w:t>
      </w:r>
    </w:p>
    <w:p w:rsidR="00B1523F" w:rsidRPr="00EC42BA" w:rsidRDefault="00B1523F" w:rsidP="00B1523F">
      <w:pPr>
        <w:pStyle w:val="Call"/>
        <w:rPr>
          <w:lang w:val="es-ES_tradnl"/>
        </w:rPr>
      </w:pPr>
      <w:r w:rsidRPr="00EC42BA">
        <w:rPr>
          <w:lang w:val="es-ES_tradnl"/>
        </w:rPr>
        <w:t>considerando</w:t>
      </w:r>
    </w:p>
    <w:p w:rsidR="00B1523F" w:rsidRPr="00EC42BA" w:rsidRDefault="00B1523F" w:rsidP="00B1523F">
      <w:pPr>
        <w:rPr>
          <w:lang w:val="es-ES_tradnl"/>
        </w:rPr>
      </w:pPr>
      <w:r w:rsidRPr="00EC42BA">
        <w:rPr>
          <w:lang w:val="es-ES_tradnl"/>
        </w:rPr>
        <w:t>que las características técnicas de los sistemas de los servicios fijo y móvil terrestre en la gama de frecuencias 1,5-30 MHZ pueden variar,</w:t>
      </w:r>
    </w:p>
    <w:p w:rsidR="00B1523F" w:rsidRPr="00EC42BA" w:rsidRDefault="00B1523F" w:rsidP="00B1523F">
      <w:pPr>
        <w:pStyle w:val="Call"/>
        <w:rPr>
          <w:lang w:val="es-ES_tradnl"/>
        </w:rPr>
      </w:pPr>
      <w:r w:rsidRPr="00EC42BA">
        <w:rPr>
          <w:lang w:val="es-ES_tradnl"/>
        </w:rPr>
        <w:t>observando</w:t>
      </w:r>
    </w:p>
    <w:p w:rsidR="00B1523F" w:rsidRPr="00EC42BA" w:rsidRDefault="00B1523F" w:rsidP="00B1523F">
      <w:pPr>
        <w:rPr>
          <w:lang w:val="es-ES_tradnl"/>
        </w:rPr>
      </w:pPr>
      <w:r w:rsidRPr="00EC42BA">
        <w:rPr>
          <w:lang w:val="es-ES_tradnl"/>
        </w:rPr>
        <w:t>la lista de Recomendaciones, Informes y Manuales pertinentes enumerados en el Anexo 3,</w:t>
      </w:r>
    </w:p>
    <w:p w:rsidR="00B1523F" w:rsidRPr="00EC42BA" w:rsidRDefault="00B1523F" w:rsidP="00B1523F">
      <w:pPr>
        <w:pStyle w:val="Call"/>
        <w:rPr>
          <w:lang w:val="es-ES_tradnl"/>
        </w:rPr>
      </w:pPr>
      <w:r w:rsidRPr="00EC42BA">
        <w:rPr>
          <w:lang w:val="es-ES_tradnl"/>
        </w:rPr>
        <w:lastRenderedPageBreak/>
        <w:t>recomienda</w:t>
      </w:r>
    </w:p>
    <w:p w:rsidR="00B1523F" w:rsidRPr="00EC42BA" w:rsidRDefault="00B1523F" w:rsidP="00B1523F">
      <w:pPr>
        <w:rPr>
          <w:lang w:val="es-ES_tradnl"/>
        </w:rPr>
      </w:pPr>
      <w:r w:rsidRPr="00EC42BA">
        <w:rPr>
          <w:b/>
          <w:bCs/>
          <w:lang w:val="es-ES_tradnl"/>
        </w:rPr>
        <w:t>1</w:t>
      </w:r>
      <w:r w:rsidRPr="00EC42BA">
        <w:rPr>
          <w:lang w:val="es-ES_tradnl"/>
        </w:rPr>
        <w:tab/>
        <w:t>que se utilice la lista de parámetros que figura en el Anexo 1 como orientación sobre las características de los sistemas de los servicios fijo y móvil terrestre que conviene utilizar para realizar estudios de compartición en la gama de frecuencias 1,5-30 MHz;</w:t>
      </w:r>
    </w:p>
    <w:p w:rsidR="00B1523F" w:rsidRPr="00EC42BA" w:rsidRDefault="00B1523F" w:rsidP="00B1523F">
      <w:pPr>
        <w:rPr>
          <w:lang w:val="es-ES_tradnl"/>
        </w:rPr>
      </w:pPr>
      <w:r w:rsidRPr="00EC42BA">
        <w:rPr>
          <w:b/>
          <w:bCs/>
          <w:lang w:val="es-ES_tradnl"/>
        </w:rPr>
        <w:t>2</w:t>
      </w:r>
      <w:r w:rsidRPr="00EC42BA">
        <w:rPr>
          <w:lang w:val="es-ES_tradnl"/>
        </w:rPr>
        <w:tab/>
      </w:r>
      <w:bookmarkStart w:id="22" w:name="lt_pId093"/>
      <w:r w:rsidRPr="00EC42BA">
        <w:rPr>
          <w:lang w:val="es-ES_tradnl"/>
        </w:rPr>
        <w:t>que se utilice el Anexo 2 como guía para modelos para realizar estudios de compartición.</w:t>
      </w:r>
      <w:bookmarkEnd w:id="22"/>
    </w:p>
    <w:p w:rsidR="00B1523F" w:rsidRPr="00EC42BA" w:rsidRDefault="00B1523F" w:rsidP="00B1523F">
      <w:pPr>
        <w:rPr>
          <w:lang w:val="es-ES_tradnl"/>
        </w:rPr>
      </w:pPr>
    </w:p>
    <w:p w:rsidR="00B1523F" w:rsidRPr="00EC42BA" w:rsidRDefault="00B1523F" w:rsidP="00B1523F">
      <w:pPr>
        <w:rPr>
          <w:lang w:val="es-ES_tradnl"/>
        </w:rPr>
      </w:pPr>
    </w:p>
    <w:p w:rsidR="00B1523F" w:rsidRPr="00EC42BA" w:rsidRDefault="00B1523F" w:rsidP="00B1523F">
      <w:pPr>
        <w:pStyle w:val="AnnexNoTitle"/>
        <w:rPr>
          <w:lang w:val="es-ES_tradnl"/>
        </w:rPr>
      </w:pPr>
      <w:r w:rsidRPr="00EC42BA">
        <w:rPr>
          <w:lang w:val="es-ES_tradnl"/>
        </w:rPr>
        <w:t>Anexo 1</w:t>
      </w:r>
      <w:r w:rsidRPr="00EC42BA">
        <w:rPr>
          <w:lang w:val="es-ES_tradnl"/>
        </w:rPr>
        <w:br/>
      </w:r>
      <w:r w:rsidRPr="00EC42BA">
        <w:rPr>
          <w:lang w:val="es-ES_tradnl"/>
        </w:rPr>
        <w:br/>
        <w:t xml:space="preserve">Parámetros técnicos de los sistemas de los servicios fijo y móvil terrestre </w:t>
      </w:r>
      <w:r w:rsidR="00B57401">
        <w:rPr>
          <w:lang w:val="es-ES_tradnl"/>
        </w:rPr>
        <w:br/>
      </w:r>
      <w:r w:rsidRPr="00EC42BA">
        <w:rPr>
          <w:lang w:val="es-ES_tradnl"/>
        </w:rPr>
        <w:t xml:space="preserve">en la gama de frecuencias 1,5-30 MHz para los estudios </w:t>
      </w:r>
      <w:r w:rsidR="00B57401">
        <w:rPr>
          <w:lang w:val="es-ES_tradnl"/>
        </w:rPr>
        <w:br/>
      </w:r>
      <w:r w:rsidRPr="00EC42BA">
        <w:rPr>
          <w:lang w:val="es-ES_tradnl"/>
        </w:rPr>
        <w:t>de compartición y compatibilidad</w:t>
      </w:r>
    </w:p>
    <w:p w:rsidR="00B1523F" w:rsidRPr="00EC42BA" w:rsidRDefault="00B1523F" w:rsidP="00B1523F">
      <w:pPr>
        <w:pStyle w:val="Heading1"/>
        <w:rPr>
          <w:lang w:val="es-ES_tradnl"/>
        </w:rPr>
      </w:pPr>
      <w:r w:rsidRPr="00EC42BA">
        <w:rPr>
          <w:lang w:val="es-ES_tradnl"/>
        </w:rPr>
        <w:t>1</w:t>
      </w:r>
      <w:r w:rsidRPr="00EC42BA">
        <w:rPr>
          <w:lang w:val="es-ES_tradnl"/>
        </w:rPr>
        <w:tab/>
        <w:t>Introducción</w:t>
      </w:r>
    </w:p>
    <w:p w:rsidR="00B1523F" w:rsidRPr="00EC42BA" w:rsidRDefault="00B1523F" w:rsidP="00B1523F">
      <w:pPr>
        <w:rPr>
          <w:lang w:val="es-ES_tradnl"/>
        </w:rPr>
      </w:pPr>
      <w:r w:rsidRPr="00EC42BA">
        <w:rPr>
          <w:lang w:val="es-ES_tradnl"/>
        </w:rPr>
        <w:t>Para realizar cualquier estudio de compartición es necesario conocer las características de los sistemas que deben compartir el espectro. El § 2 contiene una lista de los parámetros cuyos valores deberían bastar para caracterizar a un sistema a los efectos de los estudios de compartición.</w:t>
      </w:r>
    </w:p>
    <w:p w:rsidR="00B1523F" w:rsidRPr="00EC42BA" w:rsidRDefault="00B1523F" w:rsidP="00B1523F">
      <w:pPr>
        <w:rPr>
          <w:lang w:val="es-ES_tradnl"/>
        </w:rPr>
      </w:pPr>
      <w:r w:rsidRPr="00EC42BA">
        <w:rPr>
          <w:lang w:val="es-ES_tradnl"/>
        </w:rPr>
        <w:t>Las orientaciones que se dan en la presente Recomendación también remiten a diversas Recomendaciones UIT-R relacionadas con la predicción de la propagación de ondas radioeléctricas.</w:t>
      </w:r>
      <w:r w:rsidRPr="00EC42BA">
        <w:rPr>
          <w:rStyle w:val="FootnoteReference"/>
          <w:lang w:val="es-ES_tradnl"/>
        </w:rPr>
        <w:footnoteReference w:id="1"/>
      </w:r>
    </w:p>
    <w:p w:rsidR="00B1523F" w:rsidRPr="00EC42BA" w:rsidRDefault="00B1523F" w:rsidP="00B1523F">
      <w:pPr>
        <w:pStyle w:val="Heading1"/>
        <w:rPr>
          <w:lang w:val="es-ES_tradnl"/>
        </w:rPr>
      </w:pPr>
      <w:r w:rsidRPr="00EC42BA">
        <w:rPr>
          <w:lang w:val="es-ES_tradnl"/>
        </w:rPr>
        <w:t>2</w:t>
      </w:r>
      <w:r w:rsidRPr="00EC42BA">
        <w:rPr>
          <w:lang w:val="es-ES_tradnl"/>
        </w:rPr>
        <w:tab/>
        <w:t>Lista general de parámetros</w:t>
      </w:r>
    </w:p>
    <w:p w:rsidR="00B1523F" w:rsidRPr="00EC42BA" w:rsidRDefault="00B1523F" w:rsidP="00B1523F">
      <w:pPr>
        <w:rPr>
          <w:lang w:val="es-ES_tradnl"/>
        </w:rPr>
      </w:pPr>
      <w:r w:rsidRPr="00EC42BA">
        <w:rPr>
          <w:lang w:val="es-ES_tradnl"/>
        </w:rPr>
        <w:t>Conviene que en los estudios de compartición en la gama de frecuencias 1,5-30 MHz se utilicen las características de los servicios fijo y móvil terrestre consignadas en el cuadro que figura a continuación. No obstante, cabe señalar que no todos los parámetros indicados resultan pertinentes para todos los sistemas. Por consiguiente, se debe seleccionar meticulosamente los parámetros pertinentes y sus valores a la hora de realizar estudios de compartición entre sistemas específicos.</w:t>
      </w:r>
    </w:p>
    <w:p w:rsidR="00B1523F" w:rsidRPr="00EC42BA" w:rsidRDefault="00B1523F" w:rsidP="00B1523F">
      <w:pPr>
        <w:pStyle w:val="TableNo"/>
        <w:rPr>
          <w:lang w:val="es-ES_tradnl"/>
        </w:rPr>
      </w:pPr>
      <w:bookmarkStart w:id="23" w:name="lt_pId107"/>
      <w:r w:rsidRPr="00EC42BA">
        <w:rPr>
          <w:lang w:val="es-ES_tradnl"/>
        </w:rPr>
        <w:lastRenderedPageBreak/>
        <w:t>CUADRO 1</w:t>
      </w:r>
      <w:bookmarkEnd w:id="23"/>
    </w:p>
    <w:p w:rsidR="00B1523F" w:rsidRPr="00EC42BA" w:rsidRDefault="00B1523F" w:rsidP="00B1523F">
      <w:pPr>
        <w:pStyle w:val="Tabletitle"/>
        <w:rPr>
          <w:lang w:val="es-ES_tradnl"/>
        </w:rPr>
      </w:pPr>
      <w:bookmarkStart w:id="24" w:name="lt_pId108"/>
      <w:r w:rsidRPr="00EC42BA">
        <w:rPr>
          <w:lang w:val="es-ES_tradnl"/>
        </w:rPr>
        <w:t>Lista general de parámetros y valores de ejemplo</w:t>
      </w:r>
      <w:bookmarkEnd w:id="2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B1523F" w:rsidRPr="00EC42BA" w:rsidTr="00862776">
        <w:trPr>
          <w:cantSplit/>
          <w:jc w:val="center"/>
        </w:trPr>
        <w:tc>
          <w:tcPr>
            <w:tcW w:w="9639" w:type="dxa"/>
          </w:tcPr>
          <w:p w:rsidR="00B1523F" w:rsidRPr="008D6BA7" w:rsidRDefault="00B1523F" w:rsidP="00862776">
            <w:pPr>
              <w:pStyle w:val="Tabletext"/>
              <w:rPr>
                <w:sz w:val="20"/>
                <w:lang w:val="es-ES_tradnl"/>
              </w:rPr>
            </w:pPr>
            <w:bookmarkStart w:id="25" w:name="lt_pId109"/>
            <w:r w:rsidRPr="008D6BA7">
              <w:rPr>
                <w:sz w:val="20"/>
                <w:lang w:val="es-ES_tradnl"/>
              </w:rPr>
              <w:t>General</w:t>
            </w:r>
            <w:bookmarkEnd w:id="25"/>
            <w:r w:rsidRPr="008D6BA7">
              <w:rPr>
                <w:sz w:val="20"/>
                <w:lang w:val="es-ES_tradnl"/>
              </w:rPr>
              <w:t>es</w:t>
            </w:r>
          </w:p>
          <w:p w:rsidR="00B1523F" w:rsidRPr="008D6BA7" w:rsidRDefault="00B1523F" w:rsidP="00862776">
            <w:pPr>
              <w:pStyle w:val="Tabletext"/>
              <w:rPr>
                <w:sz w:val="20"/>
                <w:lang w:val="es-ES_tradnl"/>
              </w:rPr>
            </w:pPr>
            <w:bookmarkStart w:id="26" w:name="lt_pId110"/>
            <w:r w:rsidRPr="008D6BA7">
              <w:rPr>
                <w:sz w:val="20"/>
                <w:lang w:val="es-ES_tradnl"/>
              </w:rPr>
              <w:t>Banda de frecuencias (MHz): 1,5 a 30</w:t>
            </w:r>
            <w:bookmarkEnd w:id="26"/>
          </w:p>
          <w:p w:rsidR="00B1523F" w:rsidRPr="008D6BA7" w:rsidRDefault="00B1523F" w:rsidP="00862776">
            <w:pPr>
              <w:pStyle w:val="Tabletext"/>
              <w:rPr>
                <w:sz w:val="20"/>
                <w:lang w:val="es-ES_tradnl"/>
              </w:rPr>
            </w:pPr>
            <w:bookmarkStart w:id="27" w:name="lt_pId111"/>
            <w:r w:rsidRPr="008D6BA7">
              <w:rPr>
                <w:sz w:val="20"/>
                <w:lang w:val="es-ES_tradnl"/>
              </w:rPr>
              <w:t>Tipo de emisión: analógica J3E, B8E o digital</w:t>
            </w:r>
            <w:bookmarkEnd w:id="27"/>
          </w:p>
          <w:p w:rsidR="00B1523F" w:rsidRPr="008D6BA7" w:rsidRDefault="00B1523F" w:rsidP="00862776">
            <w:pPr>
              <w:pStyle w:val="Tabletext"/>
              <w:rPr>
                <w:sz w:val="20"/>
                <w:lang w:val="es-ES_tradnl"/>
              </w:rPr>
            </w:pPr>
            <w:bookmarkStart w:id="28" w:name="lt_pId112"/>
            <w:r w:rsidRPr="008D6BA7">
              <w:rPr>
                <w:sz w:val="20"/>
                <w:lang w:val="es-ES_tradnl"/>
              </w:rPr>
              <w:t>Velocidad de datos (bit/s): 2 400, 3 200, 4 800, 9 600</w:t>
            </w:r>
            <w:bookmarkEnd w:id="28"/>
          </w:p>
          <w:p w:rsidR="00B1523F" w:rsidRPr="008D6BA7" w:rsidRDefault="00B1523F" w:rsidP="00862776">
            <w:pPr>
              <w:pStyle w:val="Tabletext"/>
              <w:rPr>
                <w:sz w:val="20"/>
                <w:lang w:val="es-ES_tradnl"/>
              </w:rPr>
            </w:pPr>
            <w:bookmarkStart w:id="29" w:name="lt_pId113"/>
            <w:r w:rsidRPr="008D6BA7">
              <w:rPr>
                <w:sz w:val="20"/>
                <w:lang w:val="es-ES_tradnl"/>
              </w:rPr>
              <w:t xml:space="preserve">Tipo de despliegue: fijo o móvil </w:t>
            </w:r>
            <w:bookmarkEnd w:id="29"/>
            <w:r w:rsidRPr="008D6BA7">
              <w:rPr>
                <w:sz w:val="20"/>
                <w:lang w:val="es-ES_tradnl"/>
              </w:rPr>
              <w:t>terrestre</w:t>
            </w:r>
          </w:p>
          <w:p w:rsidR="00B1523F" w:rsidRPr="008D6BA7" w:rsidRDefault="00B1523F" w:rsidP="00862776">
            <w:pPr>
              <w:pStyle w:val="Tabletext"/>
              <w:rPr>
                <w:sz w:val="20"/>
                <w:lang w:val="es-ES_tradnl"/>
              </w:rPr>
            </w:pPr>
            <w:bookmarkStart w:id="30" w:name="lt_pId114"/>
            <w:r w:rsidRPr="008D6BA7">
              <w:rPr>
                <w:sz w:val="20"/>
                <w:lang w:val="es-ES_tradnl"/>
              </w:rPr>
              <w:t>Ejemplos de periodos de evaluación: enero, abril, julio y octubre</w:t>
            </w:r>
            <w:bookmarkEnd w:id="30"/>
          </w:p>
          <w:p w:rsidR="00B1523F" w:rsidRPr="008D6BA7" w:rsidRDefault="00B1523F" w:rsidP="00862776">
            <w:pPr>
              <w:pStyle w:val="Tabletext"/>
              <w:rPr>
                <w:sz w:val="20"/>
                <w:lang w:val="es-ES_tradnl"/>
              </w:rPr>
            </w:pPr>
            <w:bookmarkStart w:id="31" w:name="lt_pId115"/>
            <w:r w:rsidRPr="008D6BA7">
              <w:rPr>
                <w:sz w:val="20"/>
                <w:lang w:val="es-ES_tradnl"/>
              </w:rPr>
              <w:t>Tiempo de muestreo: cada 4 horas</w:t>
            </w:r>
            <w:bookmarkEnd w:id="31"/>
          </w:p>
          <w:p w:rsidR="00B1523F" w:rsidRPr="008D6BA7" w:rsidRDefault="00B1523F" w:rsidP="00862776">
            <w:pPr>
              <w:pStyle w:val="Tabletext"/>
              <w:rPr>
                <w:sz w:val="20"/>
                <w:lang w:val="es-ES_tradnl"/>
              </w:rPr>
            </w:pPr>
            <w:bookmarkStart w:id="32" w:name="lt_pId116"/>
            <w:r w:rsidRPr="008D6BA7">
              <w:rPr>
                <w:sz w:val="20"/>
                <w:lang w:val="es-ES_tradnl"/>
              </w:rPr>
              <w:t>Número medio de manchas solares (SSN): 10, 100, 200</w:t>
            </w:r>
            <w:bookmarkEnd w:id="32"/>
          </w:p>
          <w:p w:rsidR="00B1523F" w:rsidRPr="008D6BA7" w:rsidRDefault="00B1523F" w:rsidP="00862776">
            <w:pPr>
              <w:pStyle w:val="Tabletext"/>
              <w:rPr>
                <w:sz w:val="20"/>
                <w:lang w:val="es-ES_tradnl"/>
              </w:rPr>
            </w:pPr>
            <w:bookmarkStart w:id="33" w:name="lt_pId117"/>
            <w:r w:rsidRPr="008D6BA7">
              <w:rPr>
                <w:sz w:val="20"/>
                <w:lang w:val="es-ES_tradnl"/>
              </w:rPr>
              <w:t>Conductividad del suelo (S/m): 0,005</w:t>
            </w:r>
            <w:bookmarkEnd w:id="33"/>
          </w:p>
          <w:p w:rsidR="00B1523F" w:rsidRPr="008D6BA7" w:rsidRDefault="00B1523F" w:rsidP="00862776">
            <w:pPr>
              <w:pStyle w:val="Tabletext"/>
              <w:rPr>
                <w:sz w:val="20"/>
                <w:lang w:val="es-ES_tradnl"/>
              </w:rPr>
            </w:pPr>
            <w:bookmarkStart w:id="34" w:name="lt_pId118"/>
            <w:r w:rsidRPr="008D6BA7">
              <w:rPr>
                <w:sz w:val="20"/>
                <w:lang w:val="es-ES_tradnl"/>
              </w:rPr>
              <w:t>Constante dieléctrica del suelo: 13</w:t>
            </w:r>
            <w:bookmarkEnd w:id="34"/>
          </w:p>
        </w:tc>
      </w:tr>
      <w:tr w:rsidR="00B1523F" w:rsidRPr="00EC42BA" w:rsidTr="00862776">
        <w:trPr>
          <w:cantSplit/>
          <w:jc w:val="center"/>
        </w:trPr>
        <w:tc>
          <w:tcPr>
            <w:tcW w:w="9639" w:type="dxa"/>
          </w:tcPr>
          <w:p w:rsidR="00B1523F" w:rsidRPr="008D6BA7" w:rsidRDefault="00B1523F" w:rsidP="00862776">
            <w:pPr>
              <w:pStyle w:val="Tabletext"/>
              <w:rPr>
                <w:sz w:val="20"/>
                <w:lang w:val="es-ES_tradnl"/>
              </w:rPr>
            </w:pPr>
            <w:bookmarkStart w:id="35" w:name="lt_pId119"/>
            <w:r w:rsidRPr="008D6BA7">
              <w:rPr>
                <w:sz w:val="20"/>
                <w:lang w:val="es-ES_tradnl"/>
              </w:rPr>
              <w:t>Sistem</w:t>
            </w:r>
            <w:bookmarkEnd w:id="35"/>
            <w:r w:rsidRPr="008D6BA7">
              <w:rPr>
                <w:sz w:val="20"/>
                <w:lang w:val="es-ES_tradnl"/>
              </w:rPr>
              <w:t>a</w:t>
            </w:r>
          </w:p>
          <w:p w:rsidR="00B1523F" w:rsidRPr="008D6BA7" w:rsidRDefault="00B1523F" w:rsidP="00862776">
            <w:pPr>
              <w:pStyle w:val="Tabletext"/>
              <w:rPr>
                <w:sz w:val="20"/>
                <w:lang w:val="es-ES_tradnl"/>
              </w:rPr>
            </w:pPr>
            <w:bookmarkStart w:id="36" w:name="lt_pId120"/>
            <w:r w:rsidRPr="008D6BA7">
              <w:rPr>
                <w:sz w:val="20"/>
                <w:lang w:val="es-ES_tradnl"/>
              </w:rPr>
              <w:t>Ancho de banda del canal (kHz):</w:t>
            </w:r>
            <w:bookmarkEnd w:id="36"/>
          </w:p>
          <w:p w:rsidR="00B1523F" w:rsidRPr="008D6BA7" w:rsidRDefault="00B1523F" w:rsidP="00862776">
            <w:pPr>
              <w:pStyle w:val="Tabletext"/>
              <w:rPr>
                <w:sz w:val="20"/>
                <w:lang w:val="es-ES_tradnl"/>
              </w:rPr>
            </w:pPr>
            <w:bookmarkStart w:id="37" w:name="lt_pId121"/>
            <w:r w:rsidRPr="008D6BA7">
              <w:rPr>
                <w:rFonts w:eastAsiaTheme="minorHAnsi"/>
                <w:sz w:val="20"/>
                <w:lang w:val="es-ES_tradnl"/>
              </w:rPr>
              <w:t>•</w:t>
            </w:r>
            <w:r w:rsidRPr="008D6BA7">
              <w:rPr>
                <w:rFonts w:eastAsiaTheme="minorHAnsi"/>
                <w:sz w:val="20"/>
                <w:lang w:val="es-ES_tradnl"/>
              </w:rPr>
              <w:tab/>
            </w:r>
            <w:r w:rsidRPr="008D6BA7">
              <w:rPr>
                <w:sz w:val="20"/>
                <w:lang w:val="es-ES_tradnl"/>
              </w:rPr>
              <w:t>3 para Telefonía J3E de banda lateral única, portadora suprimida;</w:t>
            </w:r>
            <w:bookmarkEnd w:id="37"/>
          </w:p>
          <w:p w:rsidR="00B1523F" w:rsidRPr="008D6BA7" w:rsidRDefault="00B1523F" w:rsidP="00862776">
            <w:pPr>
              <w:pStyle w:val="Tabletext"/>
              <w:rPr>
                <w:sz w:val="20"/>
                <w:lang w:val="es-ES_tradnl"/>
              </w:rPr>
            </w:pPr>
            <w:bookmarkStart w:id="38" w:name="lt_pId122"/>
            <w:r w:rsidRPr="008D6BA7">
              <w:rPr>
                <w:rFonts w:eastAsiaTheme="minorHAnsi"/>
                <w:sz w:val="20"/>
                <w:lang w:val="es-ES_tradnl"/>
              </w:rPr>
              <w:t>•</w:t>
            </w:r>
            <w:r w:rsidRPr="008D6BA7">
              <w:rPr>
                <w:rFonts w:eastAsiaTheme="minorHAnsi"/>
                <w:sz w:val="20"/>
                <w:lang w:val="es-ES_tradnl"/>
              </w:rPr>
              <w:tab/>
            </w:r>
            <w:r w:rsidRPr="008D6BA7">
              <w:rPr>
                <w:sz w:val="20"/>
                <w:lang w:val="es-ES_tradnl"/>
              </w:rPr>
              <w:t>3 para Telefonía B8E de 2 canales con banda lateral independiente;</w:t>
            </w:r>
            <w:bookmarkEnd w:id="38"/>
          </w:p>
          <w:p w:rsidR="00B1523F" w:rsidRPr="008D6BA7" w:rsidRDefault="00B1523F" w:rsidP="00862776">
            <w:pPr>
              <w:pStyle w:val="Tabletext"/>
              <w:rPr>
                <w:sz w:val="20"/>
                <w:lang w:val="es-ES_tradnl"/>
              </w:rPr>
            </w:pPr>
            <w:bookmarkStart w:id="39" w:name="lt_pId123"/>
            <w:r w:rsidRPr="008D6BA7">
              <w:rPr>
                <w:rFonts w:eastAsiaTheme="minorHAnsi"/>
                <w:sz w:val="20"/>
                <w:lang w:val="es-ES_tradnl"/>
              </w:rPr>
              <w:t>•</w:t>
            </w:r>
            <w:r w:rsidRPr="008D6BA7">
              <w:rPr>
                <w:rFonts w:eastAsiaTheme="minorHAnsi"/>
                <w:sz w:val="20"/>
                <w:lang w:val="es-ES_tradnl"/>
              </w:rPr>
              <w:tab/>
            </w:r>
            <w:r w:rsidRPr="008D6BA7">
              <w:rPr>
                <w:sz w:val="20"/>
                <w:lang w:val="es-ES_tradnl"/>
              </w:rPr>
              <w:t>hasta 40 para digital.</w:t>
            </w:r>
            <w:bookmarkEnd w:id="39"/>
          </w:p>
          <w:p w:rsidR="00B1523F" w:rsidRPr="008D6BA7" w:rsidRDefault="00B1523F" w:rsidP="00862776">
            <w:pPr>
              <w:pStyle w:val="Tabletext"/>
              <w:rPr>
                <w:sz w:val="20"/>
                <w:lang w:val="es-ES_tradnl"/>
              </w:rPr>
            </w:pPr>
            <w:bookmarkStart w:id="40" w:name="lt_pId124"/>
            <w:r w:rsidRPr="008D6BA7">
              <w:rPr>
                <w:sz w:val="20"/>
                <w:lang w:val="es-ES_tradnl"/>
              </w:rPr>
              <w:t>Trayecto de propagación: onda ionosférica u onda de superfici</w:t>
            </w:r>
            <w:bookmarkEnd w:id="40"/>
            <w:r w:rsidRPr="008D6BA7">
              <w:rPr>
                <w:sz w:val="20"/>
                <w:lang w:val="es-ES_tradnl"/>
              </w:rPr>
              <w:t>e</w:t>
            </w:r>
          </w:p>
          <w:p w:rsidR="00B1523F" w:rsidRPr="008D6BA7" w:rsidRDefault="00B1523F" w:rsidP="00862776">
            <w:pPr>
              <w:pStyle w:val="Tabletext"/>
              <w:rPr>
                <w:sz w:val="20"/>
                <w:lang w:val="es-ES_tradnl"/>
              </w:rPr>
            </w:pPr>
            <w:bookmarkStart w:id="41" w:name="lt_pId125"/>
            <w:r w:rsidRPr="008D6BA7">
              <w:rPr>
                <w:sz w:val="20"/>
                <w:lang w:val="es-ES_tradnl"/>
              </w:rPr>
              <w:t>Grado del servicio característico:</w:t>
            </w:r>
            <w:bookmarkEnd w:id="41"/>
          </w:p>
          <w:p w:rsidR="00B1523F" w:rsidRPr="008D6BA7" w:rsidRDefault="00B1523F" w:rsidP="00862776">
            <w:pPr>
              <w:pStyle w:val="Tabletext"/>
              <w:rPr>
                <w:sz w:val="20"/>
                <w:lang w:val="es-ES_tradnl"/>
              </w:rPr>
            </w:pPr>
            <w:bookmarkStart w:id="42" w:name="lt_pId126"/>
            <w:r w:rsidRPr="008D6BA7">
              <w:rPr>
                <w:rFonts w:eastAsiaTheme="minorHAnsi"/>
                <w:sz w:val="20"/>
                <w:lang w:val="es-ES_tradnl"/>
              </w:rPr>
              <w:t>•</w:t>
            </w:r>
            <w:r w:rsidRPr="008D6BA7">
              <w:rPr>
                <w:rFonts w:eastAsiaTheme="minorHAnsi"/>
                <w:sz w:val="20"/>
                <w:lang w:val="es-ES_tradnl"/>
              </w:rPr>
              <w:tab/>
            </w:r>
            <w:r w:rsidRPr="008D6BA7">
              <w:rPr>
                <w:sz w:val="20"/>
                <w:lang w:val="es-ES_tradnl"/>
              </w:rPr>
              <w:t>Telefonía J3E de banda lateral única, portadora suprimida:</w:t>
            </w:r>
            <w:bookmarkEnd w:id="42"/>
          </w:p>
          <w:p w:rsidR="00B1523F" w:rsidRPr="008D6BA7" w:rsidRDefault="00B1523F" w:rsidP="00862776">
            <w:pPr>
              <w:pStyle w:val="Tabletext"/>
              <w:rPr>
                <w:sz w:val="20"/>
                <w:lang w:val="es-ES_tradnl"/>
              </w:rPr>
            </w:pPr>
            <w:bookmarkStart w:id="43" w:name="lt_pId127"/>
            <w:r w:rsidRPr="008D6BA7">
              <w:rPr>
                <w:sz w:val="20"/>
                <w:lang w:val="es-ES_tradnl"/>
              </w:rPr>
              <w:tab/>
              <w:t>–</w:t>
            </w:r>
            <w:r w:rsidRPr="008D6BA7">
              <w:rPr>
                <w:sz w:val="20"/>
                <w:lang w:val="es-ES_tradnl"/>
              </w:rPr>
              <w:tab/>
              <w:t>47 (dB/Hz) (sólo para la propagación por onda de superficie);</w:t>
            </w:r>
            <w:bookmarkEnd w:id="43"/>
          </w:p>
          <w:p w:rsidR="00B1523F" w:rsidRPr="008D6BA7" w:rsidRDefault="00B1523F" w:rsidP="00862776">
            <w:pPr>
              <w:pStyle w:val="Tabletext"/>
              <w:rPr>
                <w:sz w:val="20"/>
                <w:lang w:val="es-ES_tradnl"/>
              </w:rPr>
            </w:pPr>
            <w:bookmarkStart w:id="44" w:name="lt_pId128"/>
            <w:r w:rsidRPr="008D6BA7">
              <w:rPr>
                <w:sz w:val="20"/>
                <w:lang w:val="es-ES_tradnl"/>
              </w:rPr>
              <w:tab/>
              <w:t>–</w:t>
            </w:r>
            <w:r w:rsidRPr="008D6BA7">
              <w:rPr>
                <w:sz w:val="20"/>
                <w:lang w:val="es-ES_tradnl"/>
              </w:rPr>
              <w:tab/>
              <w:t>48 (dB/Hz) (sólo para la propagación por onda ionosférica)</w:t>
            </w:r>
            <w:bookmarkEnd w:id="44"/>
            <w:r w:rsidRPr="008D6BA7">
              <w:rPr>
                <w:sz w:val="20"/>
                <w:lang w:val="es-ES_tradnl"/>
              </w:rPr>
              <w:t>.</w:t>
            </w:r>
          </w:p>
          <w:p w:rsidR="00B1523F" w:rsidRPr="008D6BA7" w:rsidRDefault="00B1523F" w:rsidP="00862776">
            <w:pPr>
              <w:pStyle w:val="Tabletext"/>
              <w:rPr>
                <w:sz w:val="20"/>
                <w:lang w:val="es-ES_tradnl"/>
              </w:rPr>
            </w:pPr>
            <w:bookmarkStart w:id="45" w:name="lt_pId129"/>
            <w:r w:rsidRPr="008D6BA7">
              <w:rPr>
                <w:rFonts w:eastAsiaTheme="minorHAnsi"/>
                <w:sz w:val="20"/>
                <w:lang w:val="es-ES_tradnl"/>
              </w:rPr>
              <w:t>•</w:t>
            </w:r>
            <w:r w:rsidRPr="008D6BA7">
              <w:rPr>
                <w:rFonts w:eastAsiaTheme="minorHAnsi"/>
                <w:sz w:val="20"/>
                <w:lang w:val="es-ES_tradnl"/>
              </w:rPr>
              <w:tab/>
            </w:r>
            <w:r w:rsidRPr="008D6BA7">
              <w:rPr>
                <w:sz w:val="20"/>
                <w:lang w:val="es-ES_tradnl"/>
              </w:rPr>
              <w:t>Telefonía B8E de 2 canales con banda lateral independiente:</w:t>
            </w:r>
            <w:bookmarkEnd w:id="45"/>
          </w:p>
          <w:p w:rsidR="00B1523F" w:rsidRPr="008D6BA7" w:rsidRDefault="00B1523F" w:rsidP="00862776">
            <w:pPr>
              <w:pStyle w:val="Tabletext"/>
              <w:rPr>
                <w:sz w:val="20"/>
                <w:lang w:val="es-ES_tradnl"/>
              </w:rPr>
            </w:pPr>
            <w:bookmarkStart w:id="46" w:name="lt_pId130"/>
            <w:r w:rsidRPr="008D6BA7">
              <w:rPr>
                <w:sz w:val="20"/>
                <w:lang w:val="es-ES_tradnl"/>
              </w:rPr>
              <w:tab/>
              <w:t>–</w:t>
            </w:r>
            <w:r w:rsidRPr="008D6BA7">
              <w:rPr>
                <w:sz w:val="20"/>
                <w:lang w:val="es-ES_tradnl"/>
              </w:rPr>
              <w:tab/>
              <w:t>49 (dB/Hz) (sólo para la propagación por onda de superficie);</w:t>
            </w:r>
            <w:bookmarkEnd w:id="46"/>
          </w:p>
          <w:p w:rsidR="00B1523F" w:rsidRPr="008D6BA7" w:rsidRDefault="00B1523F" w:rsidP="00862776">
            <w:pPr>
              <w:pStyle w:val="Tabletext"/>
              <w:rPr>
                <w:sz w:val="20"/>
                <w:lang w:val="es-ES_tradnl"/>
              </w:rPr>
            </w:pPr>
            <w:bookmarkStart w:id="47" w:name="lt_pId131"/>
            <w:r w:rsidRPr="008D6BA7">
              <w:rPr>
                <w:sz w:val="20"/>
                <w:lang w:val="es-ES_tradnl"/>
              </w:rPr>
              <w:tab/>
              <w:t>–</w:t>
            </w:r>
            <w:r w:rsidRPr="008D6BA7">
              <w:rPr>
                <w:sz w:val="20"/>
                <w:lang w:val="es-ES_tradnl"/>
              </w:rPr>
              <w:tab/>
              <w:t>50 (dB/Hz) (sólo para la propagación por onda ionosférica).</w:t>
            </w:r>
            <w:bookmarkEnd w:id="47"/>
          </w:p>
          <w:p w:rsidR="00B1523F" w:rsidRPr="008D6BA7" w:rsidRDefault="00B1523F" w:rsidP="00862776">
            <w:pPr>
              <w:pStyle w:val="Tabletext"/>
              <w:rPr>
                <w:sz w:val="20"/>
                <w:lang w:val="es-ES_tradnl"/>
              </w:rPr>
            </w:pPr>
            <w:bookmarkStart w:id="48" w:name="lt_pId132"/>
            <w:r w:rsidRPr="008D6BA7">
              <w:rPr>
                <w:rFonts w:eastAsiaTheme="minorHAnsi"/>
                <w:sz w:val="20"/>
                <w:lang w:val="es-ES_tradnl"/>
              </w:rPr>
              <w:t>•</w:t>
            </w:r>
            <w:r w:rsidRPr="008D6BA7">
              <w:rPr>
                <w:rFonts w:eastAsiaTheme="minorHAnsi"/>
                <w:sz w:val="20"/>
                <w:lang w:val="es-ES_tradnl"/>
              </w:rPr>
              <w:tab/>
            </w:r>
            <w:r w:rsidRPr="008D6BA7">
              <w:rPr>
                <w:sz w:val="20"/>
                <w:lang w:val="es-ES_tradnl"/>
              </w:rPr>
              <w:t xml:space="preserve">Clase de emisión J2D (para BER ≤ 1,0 </w:t>
            </w:r>
            <w:r w:rsidRPr="008D6BA7">
              <w:rPr>
                <w:sz w:val="20"/>
                <w:lang w:val="es-ES_tradnl"/>
              </w:rPr>
              <w:sym w:font="Symbol" w:char="F0B4"/>
            </w:r>
            <w:bookmarkEnd w:id="48"/>
            <w:r w:rsidRPr="008D6BA7">
              <w:rPr>
                <w:sz w:val="20"/>
                <w:lang w:val="es-ES_tradnl"/>
              </w:rPr>
              <w:t xml:space="preserve"> 10</w:t>
            </w:r>
            <w:r w:rsidRPr="008D6BA7">
              <w:rPr>
                <w:rFonts w:asciiTheme="majorBidi" w:hAnsiTheme="majorBidi" w:cstheme="majorBidi"/>
                <w:sz w:val="20"/>
                <w:vertAlign w:val="superscript"/>
                <w:lang w:val="es-ES_tradnl"/>
              </w:rPr>
              <w:t>–5</w:t>
            </w:r>
            <w:r w:rsidRPr="008D6BA7">
              <w:rPr>
                <w:sz w:val="20"/>
                <w:lang w:val="es-ES_tradnl"/>
              </w:rPr>
              <w:t>):</w:t>
            </w:r>
          </w:p>
          <w:p w:rsidR="00B1523F" w:rsidRPr="008D6BA7" w:rsidRDefault="00B1523F" w:rsidP="00862776">
            <w:pPr>
              <w:pStyle w:val="Tabletext"/>
              <w:rPr>
                <w:sz w:val="20"/>
                <w:lang w:val="es-ES_tradnl"/>
              </w:rPr>
            </w:pPr>
            <w:bookmarkStart w:id="49" w:name="lt_pId134"/>
            <w:r w:rsidRPr="008D6BA7">
              <w:rPr>
                <w:sz w:val="20"/>
                <w:lang w:val="es-ES_tradnl"/>
              </w:rPr>
              <w:tab/>
              <w:t>–</w:t>
            </w:r>
            <w:r w:rsidRPr="008D6BA7">
              <w:rPr>
                <w:sz w:val="20"/>
                <w:lang w:val="es-ES_tradnl"/>
              </w:rPr>
              <w:tab/>
              <w:t>2 400 bit/s propagación por onda de superficie: 40 (dB/Hz);</w:t>
            </w:r>
            <w:bookmarkEnd w:id="49"/>
          </w:p>
          <w:p w:rsidR="00B1523F" w:rsidRPr="008D6BA7" w:rsidRDefault="00B1523F" w:rsidP="00862776">
            <w:pPr>
              <w:pStyle w:val="Tabletext"/>
              <w:rPr>
                <w:sz w:val="20"/>
                <w:lang w:val="es-ES_tradnl"/>
              </w:rPr>
            </w:pPr>
            <w:bookmarkStart w:id="50" w:name="lt_pId135"/>
            <w:r w:rsidRPr="008D6BA7">
              <w:rPr>
                <w:sz w:val="20"/>
                <w:lang w:val="es-ES_tradnl"/>
              </w:rPr>
              <w:tab/>
              <w:t>–</w:t>
            </w:r>
            <w:r w:rsidRPr="008D6BA7">
              <w:rPr>
                <w:sz w:val="20"/>
                <w:lang w:val="es-ES_tradnl"/>
              </w:rPr>
              <w:tab/>
              <w:t>2 400 bit/s propagación por onda ionosférica: 46 (dB/Hz);</w:t>
            </w:r>
            <w:bookmarkEnd w:id="50"/>
          </w:p>
          <w:p w:rsidR="00B1523F" w:rsidRPr="008D6BA7" w:rsidRDefault="00B1523F" w:rsidP="00862776">
            <w:pPr>
              <w:pStyle w:val="Tabletext"/>
              <w:rPr>
                <w:sz w:val="20"/>
                <w:lang w:val="es-ES_tradnl"/>
              </w:rPr>
            </w:pPr>
            <w:bookmarkStart w:id="51" w:name="lt_pId136"/>
            <w:r w:rsidRPr="008D6BA7">
              <w:rPr>
                <w:sz w:val="20"/>
                <w:lang w:val="es-ES_tradnl"/>
              </w:rPr>
              <w:tab/>
              <w:t>–</w:t>
            </w:r>
            <w:r w:rsidRPr="008D6BA7">
              <w:rPr>
                <w:sz w:val="20"/>
                <w:lang w:val="es-ES_tradnl"/>
              </w:rPr>
              <w:tab/>
              <w:t>3 200 bit/s propagación por onda de superficie: 43 (dB/Hz);</w:t>
            </w:r>
            <w:bookmarkEnd w:id="51"/>
          </w:p>
          <w:p w:rsidR="00B1523F" w:rsidRPr="008D6BA7" w:rsidRDefault="00B1523F" w:rsidP="00862776">
            <w:pPr>
              <w:pStyle w:val="Tabletext"/>
              <w:rPr>
                <w:sz w:val="20"/>
                <w:lang w:val="es-ES_tradnl"/>
              </w:rPr>
            </w:pPr>
            <w:bookmarkStart w:id="52" w:name="lt_pId137"/>
            <w:r w:rsidRPr="008D6BA7">
              <w:rPr>
                <w:sz w:val="20"/>
                <w:lang w:val="es-ES_tradnl"/>
              </w:rPr>
              <w:tab/>
              <w:t>–</w:t>
            </w:r>
            <w:r w:rsidRPr="008D6BA7">
              <w:rPr>
                <w:sz w:val="20"/>
                <w:lang w:val="es-ES_tradnl"/>
              </w:rPr>
              <w:tab/>
              <w:t>3 200 bit/s propagación por onda ionosférica: 49 (dB/Hz);</w:t>
            </w:r>
            <w:bookmarkEnd w:id="52"/>
          </w:p>
          <w:p w:rsidR="00B1523F" w:rsidRPr="008D6BA7" w:rsidRDefault="00B1523F" w:rsidP="00862776">
            <w:pPr>
              <w:pStyle w:val="Tabletext"/>
              <w:rPr>
                <w:sz w:val="20"/>
                <w:lang w:val="es-ES_tradnl"/>
              </w:rPr>
            </w:pPr>
            <w:bookmarkStart w:id="53" w:name="lt_pId138"/>
            <w:r w:rsidRPr="008D6BA7">
              <w:rPr>
                <w:sz w:val="20"/>
                <w:lang w:val="es-ES_tradnl"/>
              </w:rPr>
              <w:tab/>
              <w:t>–</w:t>
            </w:r>
            <w:r w:rsidRPr="008D6BA7">
              <w:rPr>
                <w:sz w:val="20"/>
                <w:lang w:val="es-ES_tradnl"/>
              </w:rPr>
              <w:tab/>
              <w:t>4 800 bit/s propagación por onda de superficie: 47 (dB/Hz);</w:t>
            </w:r>
            <w:bookmarkEnd w:id="53"/>
          </w:p>
          <w:p w:rsidR="00B1523F" w:rsidRPr="008D6BA7" w:rsidRDefault="00B1523F" w:rsidP="00862776">
            <w:pPr>
              <w:pStyle w:val="Tabletext"/>
              <w:rPr>
                <w:sz w:val="20"/>
                <w:lang w:val="es-ES_tradnl"/>
              </w:rPr>
            </w:pPr>
            <w:bookmarkStart w:id="54" w:name="lt_pId139"/>
            <w:r w:rsidRPr="008D6BA7">
              <w:rPr>
                <w:sz w:val="20"/>
                <w:lang w:val="es-ES_tradnl"/>
              </w:rPr>
              <w:tab/>
              <w:t>–</w:t>
            </w:r>
            <w:r w:rsidRPr="008D6BA7">
              <w:rPr>
                <w:sz w:val="20"/>
                <w:lang w:val="es-ES_tradnl"/>
              </w:rPr>
              <w:tab/>
              <w:t>4 800 bit/s propagación por onda ionosférica: 54 (dB/Hz);</w:t>
            </w:r>
            <w:bookmarkEnd w:id="54"/>
          </w:p>
          <w:p w:rsidR="00B1523F" w:rsidRPr="008D6BA7" w:rsidRDefault="00B1523F" w:rsidP="00862776">
            <w:pPr>
              <w:pStyle w:val="Tabletext"/>
              <w:rPr>
                <w:sz w:val="20"/>
                <w:lang w:val="es-ES_tradnl"/>
              </w:rPr>
            </w:pPr>
            <w:bookmarkStart w:id="55" w:name="lt_pId140"/>
            <w:r w:rsidRPr="008D6BA7">
              <w:rPr>
                <w:sz w:val="20"/>
                <w:lang w:val="es-ES_tradnl"/>
              </w:rPr>
              <w:tab/>
              <w:t>–</w:t>
            </w:r>
            <w:r w:rsidRPr="008D6BA7">
              <w:rPr>
                <w:sz w:val="20"/>
                <w:lang w:val="es-ES_tradnl"/>
              </w:rPr>
              <w:tab/>
              <w:t>9 600 bit/s propagación por onda de superficie: 56 (dB/Hz);</w:t>
            </w:r>
            <w:bookmarkEnd w:id="55"/>
          </w:p>
          <w:p w:rsidR="00B1523F" w:rsidRPr="008D6BA7" w:rsidRDefault="00B1523F" w:rsidP="00862776">
            <w:pPr>
              <w:pStyle w:val="Tabletext"/>
              <w:rPr>
                <w:sz w:val="20"/>
                <w:lang w:val="es-ES_tradnl"/>
              </w:rPr>
            </w:pPr>
            <w:bookmarkStart w:id="56" w:name="lt_pId141"/>
            <w:r w:rsidRPr="008D6BA7">
              <w:rPr>
                <w:sz w:val="20"/>
                <w:lang w:val="es-ES_tradnl"/>
              </w:rPr>
              <w:tab/>
              <w:t>–</w:t>
            </w:r>
            <w:r w:rsidRPr="008D6BA7">
              <w:rPr>
                <w:sz w:val="20"/>
                <w:lang w:val="es-ES_tradnl"/>
              </w:rPr>
              <w:tab/>
              <w:t>9 600 bit/s propagación por onda ionosférica: 66 (dB/Hz).</w:t>
            </w:r>
            <w:bookmarkEnd w:id="56"/>
          </w:p>
          <w:p w:rsidR="00B1523F" w:rsidRPr="008D6BA7" w:rsidRDefault="00B1523F" w:rsidP="00862776">
            <w:pPr>
              <w:pStyle w:val="Tabletext"/>
              <w:rPr>
                <w:rFonts w:asciiTheme="majorBidi" w:hAnsiTheme="majorBidi" w:cstheme="majorBidi"/>
                <w:sz w:val="20"/>
                <w:lang w:val="es-ES_tradnl"/>
              </w:rPr>
            </w:pPr>
            <w:bookmarkStart w:id="57" w:name="lt_pId142"/>
            <w:r w:rsidRPr="008D6BA7">
              <w:rPr>
                <w:sz w:val="20"/>
                <w:lang w:val="es-ES_tradnl"/>
              </w:rPr>
              <w:t>Distancia entre el transmisor y el receptor (km): 100 (corta), 1 500 (media) y 5 000 (larga)</w:t>
            </w:r>
            <w:bookmarkEnd w:id="57"/>
          </w:p>
        </w:tc>
      </w:tr>
      <w:tr w:rsidR="00B1523F" w:rsidRPr="00EC42BA" w:rsidTr="00862776">
        <w:trPr>
          <w:cantSplit/>
          <w:jc w:val="center"/>
        </w:trPr>
        <w:tc>
          <w:tcPr>
            <w:tcW w:w="9639" w:type="dxa"/>
          </w:tcPr>
          <w:p w:rsidR="00B1523F" w:rsidRPr="008D6BA7" w:rsidRDefault="00B1523F" w:rsidP="00862776">
            <w:pPr>
              <w:pStyle w:val="Tabletext"/>
              <w:rPr>
                <w:sz w:val="20"/>
                <w:lang w:val="es-ES_tradnl"/>
              </w:rPr>
            </w:pPr>
            <w:r w:rsidRPr="008D6BA7">
              <w:rPr>
                <w:sz w:val="20"/>
                <w:lang w:val="es-ES_tradnl"/>
              </w:rPr>
              <w:t>Transmisor</w:t>
            </w:r>
          </w:p>
          <w:p w:rsidR="00B1523F" w:rsidRPr="008D6BA7" w:rsidRDefault="00B1523F" w:rsidP="00862776">
            <w:pPr>
              <w:pStyle w:val="Tabletext"/>
              <w:rPr>
                <w:sz w:val="20"/>
                <w:lang w:val="es-ES_tradnl"/>
              </w:rPr>
            </w:pPr>
            <w:bookmarkStart w:id="58" w:name="lt_pId144"/>
            <w:r w:rsidRPr="008D6BA7">
              <w:rPr>
                <w:sz w:val="20"/>
                <w:lang w:val="es-ES_tradnl"/>
              </w:rPr>
              <w:t xml:space="preserve">Ubicación (respecto de la ubicación del receptor interferido): Norte, Sur, </w:t>
            </w:r>
            <w:bookmarkEnd w:id="58"/>
            <w:r w:rsidRPr="008D6BA7">
              <w:rPr>
                <w:sz w:val="20"/>
                <w:lang w:val="es-ES_tradnl"/>
              </w:rPr>
              <w:t>Este y Oeste</w:t>
            </w:r>
          </w:p>
          <w:p w:rsidR="00B1523F" w:rsidRPr="008D6BA7" w:rsidRDefault="00B1523F" w:rsidP="00862776">
            <w:pPr>
              <w:pStyle w:val="Tabletext"/>
              <w:rPr>
                <w:sz w:val="20"/>
                <w:lang w:val="es-ES_tradnl"/>
              </w:rPr>
            </w:pPr>
            <w:bookmarkStart w:id="59" w:name="lt_pId145"/>
            <w:r w:rsidRPr="008D6BA7">
              <w:rPr>
                <w:sz w:val="20"/>
                <w:lang w:val="es-ES_tradnl"/>
              </w:rPr>
              <w:t>Potencia de salida (W): 100 (baja), 1 000 (media) y 10 000 (alta)</w:t>
            </w:r>
            <w:bookmarkEnd w:id="59"/>
          </w:p>
          <w:p w:rsidR="00B1523F" w:rsidRPr="008D6BA7" w:rsidRDefault="00B1523F" w:rsidP="00862776">
            <w:pPr>
              <w:pStyle w:val="Tabletext"/>
              <w:rPr>
                <w:sz w:val="20"/>
                <w:lang w:val="es-ES_tradnl"/>
              </w:rPr>
            </w:pPr>
            <w:bookmarkStart w:id="60" w:name="lt_pId146"/>
            <w:r w:rsidRPr="008D6BA7">
              <w:rPr>
                <w:sz w:val="20"/>
                <w:lang w:val="es-ES_tradnl"/>
              </w:rPr>
              <w:t>Pérdidas en la línea de conexión del transmisor (dB): 3, 6 para sistemas con Sistema de antenas remotas en la parte superior de la banda de frecuencias</w:t>
            </w:r>
            <w:bookmarkEnd w:id="60"/>
          </w:p>
          <w:p w:rsidR="00B1523F" w:rsidRPr="008D6BA7" w:rsidRDefault="00B1523F" w:rsidP="00862776">
            <w:pPr>
              <w:pStyle w:val="Tabletext"/>
              <w:rPr>
                <w:rFonts w:asciiTheme="majorBidi" w:hAnsiTheme="majorBidi" w:cstheme="majorBidi"/>
                <w:sz w:val="20"/>
                <w:lang w:val="es-ES_tradnl"/>
              </w:rPr>
            </w:pPr>
            <w:bookmarkStart w:id="61" w:name="lt_pId147"/>
            <w:r w:rsidRPr="008D6BA7">
              <w:rPr>
                <w:sz w:val="20"/>
                <w:lang w:val="es-ES_tradnl"/>
              </w:rPr>
              <w:t>Tipo de sistemas de antenas: dipolo, monopolo, periodo logarítmico, rómbicas, en V o de bucle (incluida la antena EH)</w:t>
            </w:r>
            <w:bookmarkEnd w:id="61"/>
          </w:p>
        </w:tc>
      </w:tr>
      <w:tr w:rsidR="00B1523F" w:rsidRPr="00EC42BA" w:rsidTr="00862776">
        <w:trPr>
          <w:cantSplit/>
          <w:jc w:val="center"/>
        </w:trPr>
        <w:tc>
          <w:tcPr>
            <w:tcW w:w="9639" w:type="dxa"/>
          </w:tcPr>
          <w:p w:rsidR="00B1523F" w:rsidRPr="008D6BA7" w:rsidRDefault="00B1523F" w:rsidP="00862776">
            <w:pPr>
              <w:pStyle w:val="Tabletext"/>
              <w:rPr>
                <w:sz w:val="20"/>
                <w:lang w:val="es-ES_tradnl"/>
              </w:rPr>
            </w:pPr>
            <w:r w:rsidRPr="008D6BA7">
              <w:rPr>
                <w:sz w:val="20"/>
                <w:lang w:val="es-ES_tradnl"/>
              </w:rPr>
              <w:t>Receptor</w:t>
            </w:r>
          </w:p>
          <w:p w:rsidR="00B1523F" w:rsidRPr="008D6BA7" w:rsidRDefault="00B1523F" w:rsidP="00862776">
            <w:pPr>
              <w:pStyle w:val="Tabletext"/>
              <w:rPr>
                <w:sz w:val="20"/>
                <w:lang w:val="es-ES_tradnl"/>
              </w:rPr>
            </w:pPr>
            <w:bookmarkStart w:id="62" w:name="lt_pId149"/>
            <w:r w:rsidRPr="008D6BA7">
              <w:rPr>
                <w:sz w:val="20"/>
                <w:lang w:val="es-ES_tradnl"/>
              </w:rPr>
              <w:t>Criterios de protección (dB): S/(N+I) (degradación del grado de servicio en presencia de interferencia), SNR</w:t>
            </w:r>
            <w:bookmarkEnd w:id="62"/>
            <w:r w:rsidRPr="008D6BA7">
              <w:rPr>
                <w:rStyle w:val="FootnoteReference"/>
                <w:sz w:val="20"/>
                <w:lang w:val="es-ES_tradnl"/>
              </w:rPr>
              <w:footnoteReference w:id="2"/>
            </w:r>
          </w:p>
          <w:p w:rsidR="00B1523F" w:rsidRPr="008D6BA7" w:rsidRDefault="00B1523F" w:rsidP="00862776">
            <w:pPr>
              <w:pStyle w:val="Tabletext"/>
              <w:rPr>
                <w:rFonts w:asciiTheme="majorBidi" w:hAnsiTheme="majorBidi" w:cstheme="majorBidi"/>
                <w:sz w:val="20"/>
                <w:lang w:val="es-ES_tradnl"/>
              </w:rPr>
            </w:pPr>
            <w:bookmarkStart w:id="64" w:name="lt_pId150"/>
            <w:r w:rsidRPr="008D6BA7">
              <w:rPr>
                <w:sz w:val="20"/>
                <w:lang w:val="es-ES_tradnl"/>
              </w:rPr>
              <w:t>Tipo de sistemas de antena: del mismo tipo que las definidas para el transmisor</w:t>
            </w:r>
            <w:bookmarkEnd w:id="64"/>
          </w:p>
        </w:tc>
      </w:tr>
    </w:tbl>
    <w:p w:rsidR="00B1523F" w:rsidRPr="00A412D0" w:rsidRDefault="00B1523F" w:rsidP="00B1523F">
      <w:pPr>
        <w:pStyle w:val="Tablefin"/>
        <w:rPr>
          <w:sz w:val="16"/>
          <w:szCs w:val="16"/>
          <w:lang w:val="es-ES_tradnl"/>
        </w:rPr>
      </w:pPr>
    </w:p>
    <w:p w:rsidR="00B1523F" w:rsidRPr="00EC42BA" w:rsidRDefault="00B1523F" w:rsidP="00B1523F">
      <w:pPr>
        <w:rPr>
          <w:lang w:val="es-ES_tradnl"/>
        </w:rPr>
      </w:pPr>
      <w:bookmarkStart w:id="65" w:name="lt_pId154"/>
      <w:r w:rsidRPr="00EC42BA">
        <w:rPr>
          <w:lang w:val="es-ES_tradnl"/>
        </w:rPr>
        <w:lastRenderedPageBreak/>
        <w:t>Los sistemas de tipo antena descritos en el cuadro anterior tienen en cuenta todas las características específicas de la configuración del sistema de antenas, comprendida la altura de la antena, la ganancia, la distancia entre elementos, la conductividad del suelo, etc. Estos parámetros de configuración deben diseñarse juntos a la frecuencia específica para producir el tipo de antena. En futuros estudios sobre estos tipos de antena también se podrían examinar los diagramas de directividad de la antena para estos sistemas.</w:t>
      </w:r>
    </w:p>
    <w:p w:rsidR="00B1523F" w:rsidRPr="00EC42BA" w:rsidRDefault="00B1523F" w:rsidP="00B1523F">
      <w:pPr>
        <w:rPr>
          <w:lang w:val="es-ES_tradnl"/>
        </w:rPr>
      </w:pPr>
      <w:r w:rsidRPr="00EC42BA">
        <w:rPr>
          <w:lang w:val="es-ES_tradnl"/>
        </w:rPr>
        <w:t>Para los estudios que consideran el impacto del canal adyacente, las características de las máscaras de bloqueo y de emisión pueden tomarse de la Recomendación UIT-R SM.1539.</w:t>
      </w:r>
      <w:bookmarkEnd w:id="65"/>
    </w:p>
    <w:p w:rsidR="00B1523F" w:rsidRPr="00EC42BA" w:rsidRDefault="00B1523F" w:rsidP="00B1523F">
      <w:pPr>
        <w:rPr>
          <w:lang w:val="es-ES_tradnl"/>
        </w:rPr>
      </w:pPr>
    </w:p>
    <w:p w:rsidR="00B1523F" w:rsidRPr="00EC42BA" w:rsidRDefault="00B1523F" w:rsidP="00B1523F">
      <w:pPr>
        <w:rPr>
          <w:lang w:val="es-ES_tradnl"/>
        </w:rPr>
      </w:pPr>
    </w:p>
    <w:p w:rsidR="00B1523F" w:rsidRPr="00EC42BA" w:rsidRDefault="00B1523F" w:rsidP="00B1523F">
      <w:pPr>
        <w:pStyle w:val="AnnexNoTitle"/>
        <w:rPr>
          <w:lang w:val="es-ES_tradnl"/>
        </w:rPr>
      </w:pPr>
      <w:bookmarkStart w:id="66" w:name="lt_pId155"/>
      <w:r w:rsidRPr="00EC42BA">
        <w:rPr>
          <w:caps/>
          <w:lang w:val="es-ES_tradnl"/>
        </w:rPr>
        <w:t>A</w:t>
      </w:r>
      <w:r w:rsidRPr="00EC42BA">
        <w:rPr>
          <w:lang w:val="es-ES_tradnl"/>
        </w:rPr>
        <w:t>nexo</w:t>
      </w:r>
      <w:r w:rsidRPr="00EC42BA">
        <w:rPr>
          <w:caps/>
          <w:lang w:val="es-ES_tradnl"/>
        </w:rPr>
        <w:t xml:space="preserve"> 2</w:t>
      </w:r>
      <w:bookmarkEnd w:id="66"/>
      <w:r w:rsidRPr="00EC42BA">
        <w:rPr>
          <w:caps/>
          <w:lang w:val="es-ES_tradnl"/>
        </w:rPr>
        <w:br/>
      </w:r>
      <w:r w:rsidRPr="00EC42BA">
        <w:rPr>
          <w:caps/>
          <w:lang w:val="es-ES_tradnl"/>
        </w:rPr>
        <w:br/>
      </w:r>
      <w:bookmarkStart w:id="67" w:name="lt_pId156"/>
      <w:r w:rsidRPr="00EC42BA">
        <w:rPr>
          <w:lang w:val="es-ES_tradnl"/>
        </w:rPr>
        <w:t xml:space="preserve">Metodologías para los estudios de compartición y compatibilidad </w:t>
      </w:r>
      <w:r w:rsidR="00B57401">
        <w:rPr>
          <w:lang w:val="es-ES_tradnl"/>
        </w:rPr>
        <w:br/>
      </w:r>
      <w:r w:rsidRPr="00EC42BA">
        <w:rPr>
          <w:lang w:val="es-ES_tradnl"/>
        </w:rPr>
        <w:t xml:space="preserve">de sistemas que funcionan en los servicios fijo y móvil terrestre </w:t>
      </w:r>
      <w:r w:rsidRPr="00EC42BA">
        <w:rPr>
          <w:lang w:val="es-ES_tradnl"/>
        </w:rPr>
        <w:br/>
        <w:t>en la gama de frecuencias 1,5-30 MHz</w:t>
      </w:r>
    </w:p>
    <w:bookmarkEnd w:id="67"/>
    <w:p w:rsidR="00B1523F" w:rsidRPr="00EC42BA" w:rsidRDefault="00B1523F" w:rsidP="00B1523F">
      <w:pPr>
        <w:pStyle w:val="Heading1"/>
        <w:rPr>
          <w:lang w:val="es-ES_tradnl"/>
        </w:rPr>
      </w:pPr>
      <w:r w:rsidRPr="00EC42BA">
        <w:rPr>
          <w:lang w:val="es-ES_tradnl"/>
        </w:rPr>
        <w:t>1</w:t>
      </w:r>
      <w:r w:rsidRPr="00EC42BA">
        <w:rPr>
          <w:lang w:val="es-ES_tradnl"/>
        </w:rPr>
        <w:tab/>
        <w:t>Introducción</w:t>
      </w:r>
    </w:p>
    <w:p w:rsidR="00B1523F" w:rsidRPr="00EC42BA" w:rsidRDefault="00B1523F" w:rsidP="00B1523F">
      <w:pPr>
        <w:rPr>
          <w:lang w:val="es-ES_tradnl"/>
        </w:rPr>
      </w:pPr>
      <w:r w:rsidRPr="00EC42BA">
        <w:rPr>
          <w:lang w:val="es-ES_tradnl"/>
        </w:rPr>
        <w:t>El primer paso en cualquier estudio de compartición es caracterizar el entorno, la configuración del sistema y las condiciones de compartición de los sistemas que se analizan. Es preciso considerar dos tipos de condiciones de compartición y compatibilidad: en la banda, cuando los sistemas comparten la misma banda, y el análisis de la banda adyacente, cuando las emisiones no deseadas de un sistema pueden afectar a los receptores radioeléctricos de una banda adyacente.</w:t>
      </w:r>
    </w:p>
    <w:p w:rsidR="00B1523F" w:rsidRPr="00EC42BA" w:rsidRDefault="00B1523F" w:rsidP="00B1523F">
      <w:pPr>
        <w:rPr>
          <w:lang w:val="es-ES_tradnl"/>
        </w:rPr>
      </w:pPr>
      <w:r w:rsidRPr="00EC42BA">
        <w:rPr>
          <w:lang w:val="es-ES_tradnl"/>
        </w:rPr>
        <w:t>En el § 2 se describen las metodologías que pueden utilizarse en los análisis de compartición con los servicios fijo y móvil terrestre.</w:t>
      </w:r>
    </w:p>
    <w:p w:rsidR="00B1523F" w:rsidRPr="00EC42BA" w:rsidRDefault="00B1523F" w:rsidP="00B1523F">
      <w:pPr>
        <w:pStyle w:val="Heading1"/>
        <w:rPr>
          <w:lang w:val="es-ES_tradnl"/>
        </w:rPr>
      </w:pPr>
      <w:r w:rsidRPr="00EC42BA">
        <w:rPr>
          <w:lang w:val="es-ES_tradnl"/>
        </w:rPr>
        <w:t>2</w:t>
      </w:r>
      <w:r w:rsidRPr="00EC42BA">
        <w:rPr>
          <w:lang w:val="es-ES_tradnl"/>
        </w:rPr>
        <w:tab/>
      </w:r>
      <w:bookmarkStart w:id="68" w:name="lt_pId163"/>
      <w:r w:rsidRPr="00EC42BA">
        <w:rPr>
          <w:lang w:val="es-ES_tradnl"/>
        </w:rPr>
        <w:t>Metodologías para los estudios de compartición y compatibilidad</w:t>
      </w:r>
      <w:bookmarkEnd w:id="68"/>
    </w:p>
    <w:p w:rsidR="00B1523F" w:rsidRPr="00EC42BA" w:rsidRDefault="00B1523F" w:rsidP="00B1523F">
      <w:pPr>
        <w:rPr>
          <w:lang w:val="es-ES_tradnl" w:eastAsia="zh-CN"/>
        </w:rPr>
      </w:pPr>
      <w:r w:rsidRPr="00EC42BA">
        <w:rPr>
          <w:lang w:val="es-ES_tradnl"/>
        </w:rPr>
        <w:t>Existen dos modos básicos de propagación radioeléctrica en ondas hectométricas/decamétricas</w:t>
      </w:r>
      <w:r w:rsidRPr="00EC42BA">
        <w:rPr>
          <w:rStyle w:val="FootnoteReference"/>
          <w:lang w:val="es-ES_tradnl"/>
        </w:rPr>
        <w:footnoteReference w:id="3"/>
      </w:r>
      <w:r w:rsidRPr="00EC42BA">
        <w:rPr>
          <w:lang w:val="es-ES_tradnl"/>
        </w:rPr>
        <w:t xml:space="preserve"> relacionados con las transmisiones en ondas hectométricas y decamétricas: por onda ionosférica y por onda de superficie. Estos modos de propagación dependen de la distancia de separación entre el transmisor y el receptor y pueden afectar a los sistemas en ondas hectométricas y decamétricas que comparten frecuencias operativas. Dado que la señal interferente podría seguir una trayectoria de propagación de onda de superficie o de onda ionosférica, se realizarán cálculos para ambas trayectorias cuando el transmisor interferente se encuentre dentro de la gama de ondas de superficie. El espectro de ondas hectométricas y decamétricas tiene características singulares comparado con otras gamas de frecuencias más altas. Los niveles de potencia media de la señal o del ruido recibidos (o ambos) de los sistemas en ondas hectométricas y decamétricas pueden presentar grandes variaciones con el tiempo. Para el análisis de los sistemas que funcionan por encima de 30 MHz, la relación interferencia/ruido (</w:t>
      </w:r>
      <w:r w:rsidRPr="00EC42BA">
        <w:rPr>
          <w:i/>
          <w:iCs/>
          <w:lang w:val="es-ES_tradnl"/>
        </w:rPr>
        <w:t>I/N</w:t>
      </w:r>
      <w:r w:rsidRPr="00EC42BA">
        <w:rPr>
          <w:lang w:val="es-ES_tradnl"/>
        </w:rPr>
        <w:t xml:space="preserve">) suele ser la metodología aceptada en los estudios de compartición, teniendo en cuenta los efectos de la señal interferente en la degradación del umbral de ruido. Sin </w:t>
      </w:r>
      <w:r w:rsidRPr="00EC42BA">
        <w:rPr>
          <w:lang w:val="es-ES_tradnl"/>
        </w:rPr>
        <w:lastRenderedPageBreak/>
        <w:t xml:space="preserve">embargo, en el caso de los sistemas en ondas hectométricas y decamétricas, los análisis basados en la relación </w:t>
      </w:r>
      <w:r w:rsidRPr="00EC42BA">
        <w:rPr>
          <w:i/>
          <w:iCs/>
          <w:lang w:val="es-ES_tradnl"/>
        </w:rPr>
        <w:t>I/N</w:t>
      </w:r>
      <w:r w:rsidRPr="00EC42BA">
        <w:rPr>
          <w:lang w:val="es-ES_tradnl"/>
        </w:rPr>
        <w:t xml:space="preserve"> no tiene en cuenta que algunos enlaces ionosféricos funcionan con márgenes de enlace suficientemente altos como para que las pequeñas variaciones en el umbral de ruido efectivo no afecten significativamente a su grado de servicio. La consideración de un nivel de interferencia superior a un nivel de ruido quizá no sea suficientemente alta como para que la relación señal/ruido más interferencia (SNIR) degrade la calidad de funcionamiento del sistema por debajo de la mínima relación señal/ruido (SNR) relacionada con el grado de servicio deseado del sistema.</w:t>
      </w:r>
    </w:p>
    <w:p w:rsidR="00B1523F" w:rsidRPr="00EC42BA" w:rsidRDefault="00B1523F" w:rsidP="00B1523F">
      <w:pPr>
        <w:rPr>
          <w:lang w:val="es-ES_tradnl" w:eastAsia="zh-CN"/>
        </w:rPr>
      </w:pPr>
      <w:bookmarkStart w:id="71" w:name="lt_pId176"/>
      <w:r w:rsidRPr="00EC42BA">
        <w:rPr>
          <w:lang w:val="es-ES_tradnl" w:eastAsia="zh-CN"/>
        </w:rPr>
        <w:t xml:space="preserve">Por otra parte, el análisis de la relación </w:t>
      </w:r>
      <w:r w:rsidRPr="00EC42BA">
        <w:rPr>
          <w:i/>
          <w:iCs/>
          <w:lang w:val="es-ES_tradnl" w:eastAsia="zh-CN"/>
        </w:rPr>
        <w:t>I/N</w:t>
      </w:r>
      <w:r w:rsidRPr="00EC42BA">
        <w:rPr>
          <w:lang w:val="es-ES_tradnl" w:eastAsia="zh-CN"/>
        </w:rPr>
        <w:t xml:space="preserve"> tampoco tiene en cuenta que, aunque una señal interferente pueda propagarse a un lugar en el que la relación </w:t>
      </w:r>
      <w:r w:rsidRPr="00EC42BA">
        <w:rPr>
          <w:i/>
          <w:iCs/>
          <w:lang w:val="es-ES_tradnl" w:eastAsia="zh-CN"/>
        </w:rPr>
        <w:t>I/N</w:t>
      </w:r>
      <w:r w:rsidRPr="00EC42BA">
        <w:rPr>
          <w:lang w:val="es-ES_tradnl" w:eastAsia="zh-CN"/>
        </w:rPr>
        <w:t xml:space="preserve"> supere un determinado nivel, es posible que la señal deseada del enlace deseado en la frecuencia concreta estudiada no se propague con un nivel suficiente fiabilidad en ese lugar. Así pues, si bien es posible que se rebasen los criterios de </w:t>
      </w:r>
      <w:r w:rsidRPr="00EC42BA">
        <w:rPr>
          <w:i/>
          <w:iCs/>
          <w:lang w:val="es-ES_tradnl" w:eastAsia="zh-CN"/>
        </w:rPr>
        <w:t>I/N</w:t>
      </w:r>
      <w:r w:rsidRPr="00EC42BA">
        <w:rPr>
          <w:lang w:val="es-ES_tradnl" w:eastAsia="zh-CN"/>
        </w:rPr>
        <w:t xml:space="preserve">, el receptor no funcionará en la frecuencia interferente, por cuanto la frecuencia no puede soportar las operaciones del enlace deseado en la ubicación dada. Con el método </w:t>
      </w:r>
      <w:r w:rsidRPr="00EC42BA">
        <w:rPr>
          <w:i/>
          <w:iCs/>
          <w:lang w:val="es-ES_tradnl" w:eastAsia="zh-CN"/>
        </w:rPr>
        <w:t>I/N</w:t>
      </w:r>
      <w:r w:rsidRPr="00EC42BA">
        <w:rPr>
          <w:lang w:val="es-ES_tradnl" w:eastAsia="zh-CN"/>
        </w:rPr>
        <w:t xml:space="preserve">, la frecuencia analizada puede estar lo suficientemente alejada de la frecuencia de transmisión óptima (FOT) como para que sea improbable que el enlace deseado funcione cerca de la frecuencia analizada. En general, los enlaces de propagación ionosférica </w:t>
      </w:r>
      <w:r w:rsidRPr="00EC42BA">
        <w:rPr>
          <w:lang w:val="es-ES_tradnl"/>
        </w:rPr>
        <w:t>en ondas hectométricas y decamétricas</w:t>
      </w:r>
      <w:r w:rsidRPr="00EC42BA">
        <w:rPr>
          <w:lang w:val="es-ES_tradnl" w:eastAsia="zh-CN"/>
        </w:rPr>
        <w:t xml:space="preserve"> no están diseñados para funcionar como circuitos con ruido limitado. Debido a las características cambiantes de la ionosfera, los sistemas de ondas hectométricas y decamétricas no utilizan una sola frecuencia y la frecuencia de funcionamiento adecuada se selecciona en función de los parámetros predominantes.</w:t>
      </w:r>
      <w:bookmarkEnd w:id="71"/>
    </w:p>
    <w:p w:rsidR="00B1523F" w:rsidRPr="00EC42BA" w:rsidRDefault="00B1523F" w:rsidP="00B1523F">
      <w:pPr>
        <w:pStyle w:val="Heading2"/>
        <w:rPr>
          <w:lang w:val="es-ES_tradnl"/>
        </w:rPr>
      </w:pPr>
      <w:r w:rsidRPr="00EC42BA">
        <w:rPr>
          <w:lang w:val="es-ES_tradnl"/>
        </w:rPr>
        <w:t>2.1</w:t>
      </w:r>
      <w:r w:rsidRPr="00EC42BA">
        <w:rPr>
          <w:lang w:val="es-ES_tradnl"/>
        </w:rPr>
        <w:tab/>
      </w:r>
      <w:bookmarkStart w:id="72" w:name="lt_pId178"/>
      <w:r w:rsidRPr="00EC42BA">
        <w:rPr>
          <w:lang w:val="es-ES_tradnl"/>
        </w:rPr>
        <w:t>Modo de propagación por onda ionosférica</w:t>
      </w:r>
      <w:bookmarkEnd w:id="72"/>
    </w:p>
    <w:p w:rsidR="00B1523F" w:rsidRPr="00EC42BA" w:rsidRDefault="00B1523F" w:rsidP="00B1523F">
      <w:pPr>
        <w:rPr>
          <w:lang w:val="es-ES_tradnl" w:eastAsia="zh-CN"/>
        </w:rPr>
      </w:pPr>
      <w:bookmarkStart w:id="73" w:name="lt_pId195"/>
      <w:r w:rsidRPr="00EC42BA">
        <w:rPr>
          <w:lang w:val="es-ES_tradnl" w:eastAsia="zh-CN"/>
        </w:rPr>
        <w:t>Se recomienda el siguiente procedimiento paso a paso para los estudios de compartición y compatibilidad que servirán de modelo operativo de los sistemas de ondas decamétricas.</w:t>
      </w:r>
    </w:p>
    <w:p w:rsidR="00B1523F" w:rsidRPr="00EC42BA" w:rsidRDefault="00B1523F" w:rsidP="00B1523F">
      <w:pPr>
        <w:rPr>
          <w:i/>
          <w:lang w:val="es-ES_tradnl" w:eastAsia="zh-CN"/>
        </w:rPr>
      </w:pPr>
      <w:r w:rsidRPr="00EC42BA">
        <w:rPr>
          <w:i/>
          <w:lang w:val="es-ES_tradnl" w:eastAsia="zh-CN"/>
        </w:rPr>
        <w:t xml:space="preserve">Paso 1: </w:t>
      </w:r>
      <w:r w:rsidRPr="00EC42BA">
        <w:rPr>
          <w:lang w:val="es-ES_tradnl" w:eastAsia="zh-CN"/>
        </w:rPr>
        <w:t>Determinar la idoneidad de la frecuencia para el enlace interferido, utilizando los parámetros enumerados en el Cuadro 1 del Anexo 1. Las predicciones de propagación de la señal de onda ionosférica en la gama de frecuencias de 2 a 30 MHz deben efectuarse de conformidad con la Recomendación UIT-R P.533</w:t>
      </w:r>
      <w:r w:rsidRPr="00EC42BA">
        <w:rPr>
          <w:rStyle w:val="FootnoteReference"/>
          <w:lang w:val="es-ES_tradnl" w:eastAsia="zh-CN"/>
        </w:rPr>
        <w:footnoteReference w:id="4"/>
      </w:r>
      <w:r w:rsidRPr="00EC42BA">
        <w:rPr>
          <w:lang w:val="es-ES_tradnl" w:eastAsia="zh-CN"/>
        </w:rPr>
        <w:t xml:space="preserve">. Los enlaces de radiocomunicación ionosférica </w:t>
      </w:r>
      <w:r w:rsidRPr="00EC42BA">
        <w:rPr>
          <w:lang w:val="es-ES_tradnl"/>
        </w:rPr>
        <w:t>en ondas hectométricas y decamétricas</w:t>
      </w:r>
      <w:r w:rsidRPr="00EC42BA">
        <w:rPr>
          <w:lang w:val="es-ES_tradnl" w:eastAsia="zh-CN"/>
        </w:rPr>
        <w:t xml:space="preserve"> funcionan mejor en frecuencias comprendidas entre –25% y +10% de la frecuencia máxima útil (MUF). Es probable que el funcionamiento a frecuencias superiores al 10% por encima de la MUF tenga un rendimiento insatisfactorio, mientras que el funcionamiento a frecuencias inferiores al –25% por debajo de la MUF tendrá probablemente una relación señal/ruido inadecuada. Por consiguiente, al realizar el análisis de interferencia en un estudio de compartición se debe considerar una ventana de frecuencias de funcionamiento por debajo y por encima de la MUF, tal como se ha especificado anteriormente. Si la frecuencia considerada para una hora, mes y número medio de manchas solares determinados no se encuentra dentro de la ventana de frecuencias, se debe suponer que el enlace interferido no está funcionando en esa frecuencia</w:t>
      </w:r>
      <w:r w:rsidRPr="00EC42BA">
        <w:rPr>
          <w:i/>
          <w:lang w:val="es-ES_tradnl" w:eastAsia="zh-CN"/>
        </w:rPr>
        <w:t>.</w:t>
      </w:r>
    </w:p>
    <w:p w:rsidR="00B1523F" w:rsidRPr="00EC42BA" w:rsidRDefault="00B1523F" w:rsidP="00B1523F">
      <w:pPr>
        <w:rPr>
          <w:i/>
          <w:lang w:val="es-ES_tradnl" w:eastAsia="zh-CN"/>
        </w:rPr>
      </w:pPr>
      <w:r w:rsidRPr="00EC42BA">
        <w:rPr>
          <w:i/>
          <w:lang w:val="es-ES_tradnl" w:eastAsia="zh-CN"/>
        </w:rPr>
        <w:t xml:space="preserve">Paso 2: </w:t>
      </w:r>
      <w:r w:rsidRPr="00EC42BA">
        <w:rPr>
          <w:lang w:val="es-ES_tradnl" w:eastAsia="zh-CN"/>
        </w:rPr>
        <w:t>Determinar la viabilidad del enlace interferido para el grado del servicio necesario dentro de la ventana de frecuencia operativa establecida en el primer paso. Se calcula la SNR mediana para el sistema interferido de acuerdo con la Recomendación UIT-R P.533 utilizando los números de manchas solares, las estaciones y los intervalos de tiempo. Si se comprueba que el enlace interferido puede alcanzar el grado del servicio deseado, se puede predecir el nivel de la señal interferente en el paso siguiente.</w:t>
      </w:r>
    </w:p>
    <w:p w:rsidR="00B1523F" w:rsidRPr="00EC42BA" w:rsidRDefault="00B1523F" w:rsidP="00B1523F">
      <w:pPr>
        <w:rPr>
          <w:i/>
          <w:lang w:val="es-ES_tradnl" w:eastAsia="zh-CN"/>
        </w:rPr>
      </w:pPr>
      <w:r w:rsidRPr="00EC42BA">
        <w:rPr>
          <w:i/>
          <w:lang w:val="es-ES_tradnl" w:eastAsia="zh-CN"/>
        </w:rPr>
        <w:t xml:space="preserve">Paso 3: </w:t>
      </w:r>
      <w:r w:rsidRPr="00EC42BA">
        <w:rPr>
          <w:lang w:val="es-ES_tradnl" w:eastAsia="zh-CN"/>
        </w:rPr>
        <w:t xml:space="preserve">Para los intervalos de tiempo durante los cuales el enlace interferido puede funcionar con un grado de servicio igual o mayor al deseado, determinar la potencia interferente en el receptor interferido siguiendo el procedimiento descrito en la Recomendación UIT-R P.533. Después, se calcula la SNIR para determinar los periodos de tiempo durante los cuales el rendimiento del enlace </w:t>
      </w:r>
      <w:r w:rsidRPr="00EC42BA">
        <w:rPr>
          <w:lang w:val="es-ES_tradnl" w:eastAsia="zh-CN"/>
        </w:rPr>
        <w:lastRenderedPageBreak/>
        <w:t>es inferior al grado de servicio deseado. Los valores de la SNR del trayecto de onda ionosférica necesarios para los distintos tipos de emisiones y grados de servicio figuran en la Recomendación UIT-R F.339 (en condiciones de desvanecimiento). El transmisor debe estar ubicado en las direcciones norte y sur, y a distancias corta, media y larga respecto del receptor. La fuente de la señal interferente también debe estar situada en cuatro puntos cardinales con respecto al receptor interferido y a distancias de separación cortas, medias y largas, dependiendo de la situación que se esté analizando. Los análisis deben repetirse sobre valores bajos y altos de manchas solares, en diferentes estaciones y horas del día.</w:t>
      </w:r>
    </w:p>
    <w:p w:rsidR="00B1523F" w:rsidRPr="00EC42BA" w:rsidRDefault="00B1523F" w:rsidP="00B1523F">
      <w:pPr>
        <w:rPr>
          <w:lang w:val="es-ES_tradnl" w:eastAsia="zh-CN"/>
        </w:rPr>
      </w:pPr>
      <w:bookmarkStart w:id="75" w:name="lt_pId203"/>
      <w:bookmarkEnd w:id="73"/>
      <w:r w:rsidRPr="00EC42BA">
        <w:rPr>
          <w:i/>
          <w:lang w:val="es-ES_tradnl" w:eastAsia="zh-CN"/>
        </w:rPr>
        <w:t xml:space="preserve">Paso 4: </w:t>
      </w:r>
      <w:r w:rsidRPr="00EC42BA">
        <w:rPr>
          <w:lang w:val="es-ES_tradnl" w:eastAsia="zh-CN"/>
        </w:rPr>
        <w:t>Calcular la disponibilidad del enlace interferido con y sin interferencias. Las predicciones de propagación realizadas de conformidad con la Recomendación UIT-R P.533 presentan la disponibilidad como una probabilidad de nivel de señal, en un intervalo de tiempo de una hora por día durante un mes. Cabe suponer que las transmisiones interferentes y las transmisiones interferentes son independientes, y se debe utilizar su probabilidad conjunta para determinar la duración de la interferencia. Por ejemplo, si para una hora dada dentro de un mes se calcula que el enlace interferido tiene una disponibilidad de un 50% de probabilidad, y la señal interferente llega al receptor interferido con un 50% de probabilidad, entonces la duración del tiempo durante el cual el enlace interferido experimentará degradación causada por el transmisor interferente se determina por la probabilidad conjunta, que es del 25% en este ejemplo. Cuando el transmisor interferente no está presente, el enlace interferido podrá funcionar durante 15 de las 30 horas posibles dentro de ese mes e intervalo de tiempo. Con el transmisor interferente presente, la disponibilidad del enla</w:t>
      </w:r>
      <w:r w:rsidR="00E44D57">
        <w:rPr>
          <w:lang w:val="es-ES_tradnl" w:eastAsia="zh-CN"/>
        </w:rPr>
        <w:t>ce interferido se reduciría a </w:t>
      </w:r>
      <w:r w:rsidRPr="00EC42BA">
        <w:rPr>
          <w:lang w:val="es-ES_tradnl" w:eastAsia="zh-CN"/>
        </w:rPr>
        <w:t>7,5 horas para el mes e intervalo de tiempo dados.</w:t>
      </w:r>
    </w:p>
    <w:p w:rsidR="00B1523F" w:rsidRPr="00EC42BA" w:rsidRDefault="00B1523F" w:rsidP="00B1523F">
      <w:pPr>
        <w:rPr>
          <w:lang w:val="es-ES_tradnl" w:eastAsia="zh-CN"/>
        </w:rPr>
      </w:pPr>
      <w:r w:rsidRPr="00EC42BA">
        <w:rPr>
          <w:lang w:val="es-ES_tradnl" w:eastAsia="zh-CN"/>
        </w:rPr>
        <w:t>Para los estudios de compartición en esta banda, con el modo de propagación ionosférica, la cobertura o las zonas de interferencia dependen de la hora del día, de la estación y de los ciclos de actividad solar de 11 años. Por ese motivo, los sistemas de transmisión en ondas decamétricas pueden cambiar de frecuencia más de una vez al día. Por consiguiente, será necesario redefinir regularmente los parámetros de estudio (cada cuatro horas, por ejemplo).</w:t>
      </w:r>
      <w:bookmarkEnd w:id="75"/>
    </w:p>
    <w:p w:rsidR="00B1523F" w:rsidRPr="00EC42BA" w:rsidRDefault="00B1523F" w:rsidP="00B1523F">
      <w:pPr>
        <w:pStyle w:val="Heading2"/>
        <w:rPr>
          <w:lang w:val="es-ES_tradnl"/>
        </w:rPr>
      </w:pPr>
      <w:r w:rsidRPr="00EC42BA">
        <w:rPr>
          <w:lang w:val="es-ES_tradnl"/>
        </w:rPr>
        <w:t>2.2</w:t>
      </w:r>
      <w:r w:rsidRPr="00EC42BA">
        <w:rPr>
          <w:lang w:val="es-ES_tradnl"/>
        </w:rPr>
        <w:tab/>
        <w:t>Modo de propagación por onda de superficie</w:t>
      </w:r>
    </w:p>
    <w:p w:rsidR="00B1523F" w:rsidRPr="00EC42BA" w:rsidRDefault="00B1523F" w:rsidP="00B1523F">
      <w:pPr>
        <w:rPr>
          <w:lang w:val="es-ES_tradnl" w:eastAsia="zh-CN"/>
        </w:rPr>
      </w:pPr>
      <w:bookmarkStart w:id="76" w:name="lt_pId211"/>
      <w:r w:rsidRPr="00EC42BA">
        <w:rPr>
          <w:lang w:val="es-ES_tradnl" w:eastAsia="zh-CN"/>
        </w:rPr>
        <w:t>La SNR mediana se evalúa con arreglo a la Recomendación UIT-R P.368</w:t>
      </w:r>
      <w:r w:rsidRPr="00EC42BA">
        <w:rPr>
          <w:rStyle w:val="FootnoteReference"/>
          <w:lang w:val="es-ES_tradnl"/>
        </w:rPr>
        <w:footnoteReference w:id="5"/>
      </w:r>
      <w:r w:rsidRPr="00EC42BA">
        <w:rPr>
          <w:lang w:val="es-ES_tradnl" w:eastAsia="zh-CN"/>
        </w:rPr>
        <w:t xml:space="preserve"> para las estaciones y los intervalos de tiempo a lo largo de un periodo de un año, y a continuación se calcula el SNIR. El nivel de ruido se calcula de conformidad con la Recomendación UIT-R P.372. Para los periodos en los que el enlace interferido ha alcanzado una SNR superior al umbral requerido para el grado de servicio deseado, se evalúa el SNIR para determinar el periodo de tiempo durante el cual la calidad de funcionamiento del enlace se degrada por debajo del nivel deseado. Los valores de la SNR para la banda de frecuencias 3-30 MHz se indican en la Recomendación UIT-R F.339 para condiciones estables.</w:t>
      </w:r>
    </w:p>
    <w:p w:rsidR="00B1523F" w:rsidRPr="00EC42BA" w:rsidRDefault="00B1523F" w:rsidP="00B1523F">
      <w:pPr>
        <w:rPr>
          <w:lang w:val="es-ES_tradnl" w:eastAsia="zh-CN"/>
        </w:rPr>
      </w:pPr>
      <w:r w:rsidRPr="00EC42BA">
        <w:rPr>
          <w:lang w:val="es-ES_tradnl" w:eastAsia="zh-CN"/>
        </w:rPr>
        <w:t>La señal interferente podría seguir un trayecto de propagación por onda de superficie o ionosférica, por lo que se realizarán los cálculos correspondientes. Las distancias entre el transmisor y el receptor del sistema interferido deben estar dentro de las distancias de propagación por onda de superficie y la señal interferente puede originarse desde el alcance de la onda de superficie hasta distancias de separación de onda de superficie cortas, medias y largas.</w:t>
      </w:r>
      <w:bookmarkEnd w:id="76"/>
    </w:p>
    <w:p w:rsidR="00B1523F" w:rsidRPr="00EC42BA" w:rsidRDefault="00B1523F" w:rsidP="00B1523F">
      <w:pPr>
        <w:pStyle w:val="Heading1"/>
        <w:rPr>
          <w:lang w:val="es-ES_tradnl"/>
        </w:rPr>
      </w:pPr>
      <w:r w:rsidRPr="00EC42BA">
        <w:rPr>
          <w:lang w:val="es-ES_tradnl"/>
        </w:rPr>
        <w:t>3</w:t>
      </w:r>
      <w:r w:rsidRPr="00EC42BA">
        <w:rPr>
          <w:lang w:val="es-ES_tradnl"/>
        </w:rPr>
        <w:tab/>
      </w:r>
      <w:bookmarkStart w:id="78" w:name="lt_pId213"/>
      <w:r w:rsidRPr="00EC42BA">
        <w:rPr>
          <w:lang w:val="es-ES_tradnl"/>
        </w:rPr>
        <w:t>Análisis de la interferencia causada por sistemas adaptativos</w:t>
      </w:r>
      <w:bookmarkEnd w:id="78"/>
    </w:p>
    <w:p w:rsidR="00B1523F" w:rsidRPr="00BF39A2" w:rsidRDefault="00B1523F" w:rsidP="00BF39A2">
      <w:bookmarkStart w:id="79" w:name="lt_pId216"/>
      <w:r w:rsidRPr="00EC42BA">
        <w:rPr>
          <w:lang w:val="es-ES_tradnl" w:eastAsia="zh-CN"/>
        </w:rPr>
        <w:t xml:space="preserve">En los casos en que la fuente de interferencia proceda de un sistema adaptativo que funcione con arreglo a la Recomendación UIT-R F.1778, el análisis para realizar un estudio de compartición puede </w:t>
      </w:r>
      <w:r w:rsidRPr="00BF39A2">
        <w:lastRenderedPageBreak/>
        <w:t xml:space="preserve">realizarse como se describe en el § 2 anterior. Si el sistema adaptativo recibe la señal del enlace interferido a un nivel superior a los umbrales de la Recomendación UIT-R F.1778, puede suponerse </w:t>
      </w:r>
      <w:proofErr w:type="gramStart"/>
      <w:r w:rsidRPr="00BF39A2">
        <w:t>que el</w:t>
      </w:r>
      <w:proofErr w:type="gramEnd"/>
      <w:r w:rsidRPr="00BF39A2">
        <w:t xml:space="preserve"> sistema adaptativo detecta con éxito la señal de los sistemas interferidos y que ha realizado un cambio de frecuencia para evitar que el enlace interferido sufra interferencia. Sin embargo, si el nivel de la señal recibida</w:t>
      </w:r>
      <w:bookmarkStart w:id="80" w:name="_GoBack"/>
      <w:bookmarkEnd w:id="80"/>
      <w:r w:rsidRPr="00BF39A2">
        <w:t xml:space="preserve"> es inferior a los niveles umbral de la Recomendación UIT-R F.1778, las transmisiones del sistema adaptativo pueden considerarse interferencia y el efecto puede analizarse con arreglo al modo de propagación adecuado (onda ionosférica u onda de superficie).</w:t>
      </w:r>
      <w:bookmarkEnd w:id="79"/>
    </w:p>
    <w:p w:rsidR="00B1523F" w:rsidRPr="00BF39A2" w:rsidRDefault="00B1523F" w:rsidP="00BF39A2"/>
    <w:p w:rsidR="00B1523F" w:rsidRPr="00BF39A2" w:rsidRDefault="00B1523F" w:rsidP="00BF39A2"/>
    <w:p w:rsidR="00B1523F" w:rsidRPr="00BF39A2" w:rsidRDefault="00B1523F" w:rsidP="00BF39A2">
      <w:pPr>
        <w:pStyle w:val="AnnexNoTitle"/>
      </w:pPr>
      <w:bookmarkStart w:id="81" w:name="lt_pId217"/>
      <w:r w:rsidRPr="00BF39A2">
        <w:t>Anexo 3</w:t>
      </w:r>
      <w:bookmarkEnd w:id="81"/>
      <w:r w:rsidRPr="00BF39A2">
        <w:br/>
      </w:r>
      <w:r w:rsidRPr="00BF39A2">
        <w:br/>
        <w:t>Referencias</w:t>
      </w:r>
    </w:p>
    <w:p w:rsidR="00B1523F" w:rsidRPr="00BF39A2" w:rsidRDefault="00B1523F" w:rsidP="00BF39A2">
      <w:pPr>
        <w:pStyle w:val="Normalaftertitle"/>
      </w:pPr>
      <w:r w:rsidRPr="00BF39A2">
        <w:t>En las siguientes Recomendaciones e Informes del UIT-R se proporcionan las características de los sistemas de los servicios fijo y móvil terrestre que se han de utilizar en los estudios de compartición. También podrían aplicarse a dichos estudios otras Recomendaciones e Informes.</w:t>
      </w:r>
    </w:p>
    <w:p w:rsidR="00B1523F" w:rsidRPr="00BF39A2" w:rsidRDefault="00B1523F" w:rsidP="00BF39A2">
      <w:pPr>
        <w:pStyle w:val="Reftext"/>
      </w:pPr>
      <w:r w:rsidRPr="00BF39A2">
        <w:t>Recomendación UIT-R F.240 – Relaciones de protección señal/interferencia para las distintas clases de emisión en el servicio fijo por debajo de unos 30 MHz</w:t>
      </w:r>
    </w:p>
    <w:p w:rsidR="00B1523F" w:rsidRPr="00BF39A2" w:rsidRDefault="00B1523F" w:rsidP="00BF39A2">
      <w:pPr>
        <w:pStyle w:val="Reftext"/>
      </w:pPr>
      <w:r w:rsidRPr="00BF39A2">
        <w:t>Recomendación UIT-R F.339 – Anchuras de banda, relaciones señal/ruido y márgenes para el desvanecimiento en sistemas de radiocomunicaciones fijos y móviles terrestres en ondas decamétricas</w:t>
      </w:r>
    </w:p>
    <w:p w:rsidR="00B1523F" w:rsidRPr="00BF39A2" w:rsidRDefault="00B1523F" w:rsidP="00BF39A2">
      <w:pPr>
        <w:pStyle w:val="Reftext"/>
      </w:pPr>
      <w:r w:rsidRPr="00BF39A2">
        <w:t>Recomendación UIT-R F.1778 – Requisitos de acceso de canal para sistemas adaptativos en ondas decamétricas de los servicios fijo y móvil terrestre</w:t>
      </w:r>
    </w:p>
    <w:p w:rsidR="00B1523F" w:rsidRPr="00BF39A2" w:rsidRDefault="00B1523F" w:rsidP="00BF39A2">
      <w:pPr>
        <w:pStyle w:val="Reftext"/>
      </w:pPr>
      <w:r w:rsidRPr="00BF39A2">
        <w:t>Recomendación UIT-R F.1821 – Características de los sistemas de radiocomunicaciones digitales avanzados en ondas decamétricas</w:t>
      </w:r>
    </w:p>
    <w:p w:rsidR="00B1523F" w:rsidRPr="00BF39A2" w:rsidRDefault="00B1523F" w:rsidP="00BF39A2">
      <w:pPr>
        <w:pStyle w:val="Reftext"/>
      </w:pPr>
      <w:r w:rsidRPr="00BF39A2">
        <w:t>Recomendación UIT-R P.368 – Curvas de propagación por onda de superficie para frecuencias comprendidas entre 10 kHz y 30 MHz</w:t>
      </w:r>
    </w:p>
    <w:p w:rsidR="00B1523F" w:rsidRPr="00BF39A2" w:rsidRDefault="00B1523F" w:rsidP="00BF39A2">
      <w:pPr>
        <w:pStyle w:val="Reftext"/>
      </w:pPr>
      <w:r w:rsidRPr="00BF39A2">
        <w:t>Recomendación UIT-R P.372 – Ruido radioeléctrico</w:t>
      </w:r>
    </w:p>
    <w:p w:rsidR="00B1523F" w:rsidRPr="00BF39A2" w:rsidRDefault="00B1523F" w:rsidP="00BF39A2">
      <w:pPr>
        <w:pStyle w:val="Reftext"/>
      </w:pPr>
      <w:r w:rsidRPr="00BF39A2">
        <w:t>Recomendación UIT-R P.533 – Método de predicción de la calidad de funcionamiento de circuitos que funcionan en ondas decamétricas</w:t>
      </w:r>
    </w:p>
    <w:p w:rsidR="00B1523F" w:rsidRPr="00BF39A2" w:rsidRDefault="00B1523F" w:rsidP="00BF39A2">
      <w:pPr>
        <w:pStyle w:val="Reftext"/>
      </w:pPr>
      <w:r w:rsidRPr="00BF39A2">
        <w:t>Recomendación UIT-R SM.1539 – Variación del límite entre los dominios de emisión fuera de banda y no esencial requerida para la aplicación de las Recomendaciones UIT-R SM.1541 y UIT-R SM.329</w:t>
      </w:r>
    </w:p>
    <w:p w:rsidR="00B1523F" w:rsidRPr="00BF39A2" w:rsidRDefault="00B1523F" w:rsidP="00BF39A2">
      <w:pPr>
        <w:pStyle w:val="Reftext"/>
      </w:pPr>
      <w:bookmarkStart w:id="82" w:name="lt_pId229"/>
      <w:r w:rsidRPr="00BF39A2">
        <w:t>Informe UIT-R F.2263 – Reliability calculations for adaptive HF fixed service networks</w:t>
      </w:r>
      <w:bookmarkEnd w:id="82"/>
    </w:p>
    <w:p w:rsidR="00B1523F" w:rsidRPr="00BF39A2" w:rsidRDefault="00B1523F" w:rsidP="00BF39A2">
      <w:pPr>
        <w:pStyle w:val="Reftext"/>
      </w:pPr>
      <w:r w:rsidRPr="00BF39A2">
        <w:t>Manual UIT</w:t>
      </w:r>
      <w:r w:rsidRPr="00BF39A2">
        <w:noBreakHyphen/>
        <w:t>R – Sistemas y redes de comunicación adaptativos en frecuencia en las bandas de ondas hectométricas y decamétricas</w:t>
      </w:r>
    </w:p>
    <w:p w:rsidR="00DC5C55" w:rsidRPr="00BF39A2" w:rsidRDefault="00B1523F" w:rsidP="00BF39A2">
      <w:pPr>
        <w:jc w:val="center"/>
      </w:pPr>
      <w:r w:rsidRPr="00BF39A2">
        <w:t>______________</w:t>
      </w:r>
    </w:p>
    <w:sectPr w:rsidR="00DC5C55" w:rsidRPr="00BF39A2" w:rsidSect="00B1717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0D5" w:rsidRDefault="00B900D5">
      <w:r>
        <w:separator/>
      </w:r>
    </w:p>
  </w:endnote>
  <w:endnote w:type="continuationSeparator" w:id="0">
    <w:p w:rsidR="00B900D5" w:rsidRDefault="00B9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0D5" w:rsidRDefault="00B900D5">
      <w:r>
        <w:separator/>
      </w:r>
    </w:p>
  </w:footnote>
  <w:footnote w:type="continuationSeparator" w:id="0">
    <w:p w:rsidR="00B900D5" w:rsidRDefault="00B900D5">
      <w:r>
        <w:continuationSeparator/>
      </w:r>
    </w:p>
  </w:footnote>
  <w:footnote w:id="1">
    <w:p w:rsidR="00B1523F" w:rsidRPr="005B2086" w:rsidRDefault="00B1523F" w:rsidP="00B1523F">
      <w:pPr>
        <w:pStyle w:val="FootnoteText"/>
        <w:rPr>
          <w:lang w:val="es-ES"/>
        </w:rPr>
      </w:pPr>
      <w:r w:rsidRPr="005B2086">
        <w:rPr>
          <w:rStyle w:val="FootnoteReference"/>
          <w:lang w:val="es-ES"/>
        </w:rPr>
        <w:footnoteRef/>
      </w:r>
      <w:r w:rsidRPr="005B2086">
        <w:rPr>
          <w:lang w:val="es-ES"/>
        </w:rPr>
        <w:tab/>
        <w:t>En el sitio web de la UIT sobre ejemplos de software, datos y validación para la propagación de ondas radioeléctricas en la ionosfera y la troposfera y sobre el ruido radioeléctrico (</w:t>
      </w:r>
      <w:hyperlink r:id="rId1" w:history="1">
        <w:r w:rsidRPr="005B2086">
          <w:rPr>
            <w:rStyle w:val="Hyperlink"/>
            <w:lang w:val="es-ES"/>
          </w:rPr>
          <w:t>https://www.itu.int/en/ITU-R/study-groups/rsg3/Pages/iono-tropo-spheric.aspx</w:t>
        </w:r>
      </w:hyperlink>
      <w:r w:rsidRPr="005B2086">
        <w:rPr>
          <w:lang w:val="es-ES"/>
        </w:rPr>
        <w:t>) figuran enlaces a modelos software relacionados con algunas Recomendaciones UIT-R sobre propagación descrito</w:t>
      </w:r>
      <w:r>
        <w:rPr>
          <w:lang w:val="es-ES"/>
        </w:rPr>
        <w:t>s en la presente Recomendación.</w:t>
      </w:r>
    </w:p>
  </w:footnote>
  <w:footnote w:id="2">
    <w:p w:rsidR="00B1523F" w:rsidRPr="005B2086" w:rsidRDefault="00B1523F" w:rsidP="00B1523F">
      <w:pPr>
        <w:pStyle w:val="FootnoteText"/>
        <w:rPr>
          <w:lang w:val="es-ES"/>
        </w:rPr>
      </w:pPr>
      <w:r w:rsidRPr="005B2086">
        <w:rPr>
          <w:rStyle w:val="FootnoteReference"/>
          <w:lang w:val="es-ES"/>
        </w:rPr>
        <w:footnoteRef/>
      </w:r>
      <w:r w:rsidRPr="005B2086">
        <w:rPr>
          <w:lang w:val="es-ES"/>
        </w:rPr>
        <w:tab/>
      </w:r>
      <w:bookmarkStart w:id="63" w:name="lt_pId232"/>
      <w:r w:rsidRPr="005B2086">
        <w:rPr>
          <w:lang w:val="es-ES"/>
        </w:rPr>
        <w:t xml:space="preserve">La SNR para el grado de servicio deseado en los trayectos de onda de superficie </w:t>
      </w:r>
      <w:r>
        <w:rPr>
          <w:lang w:val="es-ES"/>
        </w:rPr>
        <w:t>«</w:t>
      </w:r>
      <w:r w:rsidRPr="005B2086">
        <w:rPr>
          <w:lang w:val="es-ES"/>
        </w:rPr>
        <w:t>en condiciones estables</w:t>
      </w:r>
      <w:r>
        <w:rPr>
          <w:lang w:val="es-ES"/>
        </w:rPr>
        <w:t>»</w:t>
      </w:r>
      <w:r w:rsidRPr="005B2086">
        <w:rPr>
          <w:lang w:val="es-ES"/>
        </w:rPr>
        <w:t xml:space="preserve"> o para el </w:t>
      </w:r>
      <w:r>
        <w:rPr>
          <w:lang w:val="es-ES"/>
        </w:rPr>
        <w:t>«</w:t>
      </w:r>
      <w:r w:rsidRPr="005B2086">
        <w:rPr>
          <w:lang w:val="es-ES"/>
        </w:rPr>
        <w:t>canal AWGN</w:t>
      </w:r>
      <w:r>
        <w:rPr>
          <w:lang w:val="es-ES"/>
        </w:rPr>
        <w:t>»</w:t>
      </w:r>
      <w:r w:rsidRPr="005B2086">
        <w:rPr>
          <w:lang w:val="es-ES"/>
        </w:rPr>
        <w:t xml:space="preserve"> y para los trayectos ionosféricos en </w:t>
      </w:r>
      <w:r>
        <w:rPr>
          <w:lang w:val="es-ES"/>
        </w:rPr>
        <w:t>«</w:t>
      </w:r>
      <w:r w:rsidRPr="005B2086">
        <w:rPr>
          <w:lang w:val="es-ES"/>
        </w:rPr>
        <w:t>condiciones de desvanecimiento</w:t>
      </w:r>
      <w:r>
        <w:rPr>
          <w:lang w:val="es-ES"/>
        </w:rPr>
        <w:t>»</w:t>
      </w:r>
      <w:r w:rsidRPr="005B2086">
        <w:rPr>
          <w:lang w:val="es-ES"/>
        </w:rPr>
        <w:t xml:space="preserve"> se indican en la Recomendación </w:t>
      </w:r>
      <w:r w:rsidRPr="008D6BA7">
        <w:rPr>
          <w:lang w:val="es-ES"/>
        </w:rPr>
        <w:t>ITU-R F.339</w:t>
      </w:r>
      <w:r w:rsidRPr="005B2086">
        <w:rPr>
          <w:lang w:val="es-ES"/>
        </w:rPr>
        <w:t>.</w:t>
      </w:r>
      <w:bookmarkEnd w:id="63"/>
    </w:p>
  </w:footnote>
  <w:footnote w:id="3">
    <w:p w:rsidR="00B1523F" w:rsidRPr="005B2086" w:rsidRDefault="00B1523F" w:rsidP="00B1523F">
      <w:pPr>
        <w:pStyle w:val="FootnoteText"/>
        <w:rPr>
          <w:lang w:val="es-ES"/>
        </w:rPr>
      </w:pPr>
      <w:r w:rsidRPr="005B2086">
        <w:rPr>
          <w:rStyle w:val="FootnoteReference"/>
          <w:lang w:val="es-ES"/>
        </w:rPr>
        <w:footnoteRef/>
      </w:r>
      <w:r w:rsidRPr="005B2086">
        <w:rPr>
          <w:lang w:val="es-ES"/>
        </w:rPr>
        <w:tab/>
      </w:r>
      <w:bookmarkStart w:id="69" w:name="lt_pId233"/>
      <w:r w:rsidRPr="005B2086">
        <w:rPr>
          <w:lang w:val="es-ES"/>
        </w:rPr>
        <w:t xml:space="preserve">En el Reglamento de Radiocomunicaciones de la UIT, por </w:t>
      </w:r>
      <w:r>
        <w:rPr>
          <w:lang w:val="es-ES"/>
        </w:rPr>
        <w:t>«</w:t>
      </w:r>
      <w:r w:rsidRPr="005B2086">
        <w:rPr>
          <w:lang w:val="es-ES"/>
        </w:rPr>
        <w:t>ondas hectométricas</w:t>
      </w:r>
      <w:r>
        <w:rPr>
          <w:lang w:val="es-ES"/>
        </w:rPr>
        <w:t>»</w:t>
      </w:r>
      <w:r w:rsidRPr="005B2086">
        <w:rPr>
          <w:lang w:val="es-ES"/>
        </w:rPr>
        <w:t xml:space="preserve"> se entiende la gama de frecuencias 300-3 000 kHz, y por </w:t>
      </w:r>
      <w:r>
        <w:rPr>
          <w:lang w:val="es-ES"/>
        </w:rPr>
        <w:t>«</w:t>
      </w:r>
      <w:r w:rsidRPr="005B2086">
        <w:rPr>
          <w:lang w:val="es-ES"/>
        </w:rPr>
        <w:t>ondas decamétricas</w:t>
      </w:r>
      <w:r>
        <w:rPr>
          <w:lang w:val="es-ES"/>
        </w:rPr>
        <w:t>»</w:t>
      </w:r>
      <w:r w:rsidRPr="005B2086">
        <w:rPr>
          <w:lang w:val="es-ES"/>
        </w:rPr>
        <w:t xml:space="preserve"> la gama 3-30 MHz.</w:t>
      </w:r>
      <w:bookmarkEnd w:id="69"/>
      <w:r w:rsidRPr="005B2086">
        <w:rPr>
          <w:lang w:val="es-ES"/>
        </w:rPr>
        <w:t xml:space="preserve"> </w:t>
      </w:r>
      <w:bookmarkStart w:id="70" w:name="lt_pId234"/>
      <w:r w:rsidRPr="005B2086">
        <w:rPr>
          <w:lang w:val="es-ES"/>
        </w:rPr>
        <w:t>La guía para los sistemas en</w:t>
      </w:r>
      <w:r w:rsidR="00E44D57">
        <w:rPr>
          <w:lang w:val="es-ES"/>
        </w:rPr>
        <w:t> </w:t>
      </w:r>
      <w:r w:rsidRPr="005B2086">
        <w:rPr>
          <w:lang w:val="es-ES"/>
        </w:rPr>
        <w:t>ondas hectométricas/decamétricas descrita en esta Recomendación se limita a la gama de frecuencia</w:t>
      </w:r>
      <w:r>
        <w:rPr>
          <w:lang w:val="es-ES"/>
        </w:rPr>
        <w:t>s</w:t>
      </w:r>
      <w:r w:rsidR="00E44D57">
        <w:rPr>
          <w:lang w:val="es-ES"/>
        </w:rPr>
        <w:t> </w:t>
      </w:r>
      <w:r>
        <w:rPr>
          <w:lang w:val="es-ES"/>
        </w:rPr>
        <w:t>1,5</w:t>
      </w:r>
      <w:r>
        <w:rPr>
          <w:lang w:val="es-ES"/>
        </w:rPr>
        <w:noBreakHyphen/>
        <w:t>30 </w:t>
      </w:r>
      <w:r w:rsidRPr="005B2086">
        <w:rPr>
          <w:lang w:val="es-ES"/>
        </w:rPr>
        <w:t>MHz.</w:t>
      </w:r>
      <w:bookmarkEnd w:id="70"/>
    </w:p>
  </w:footnote>
  <w:footnote w:id="4">
    <w:p w:rsidR="00B1523F" w:rsidRPr="008E5C29" w:rsidRDefault="00B1523F" w:rsidP="00B1523F">
      <w:pPr>
        <w:pStyle w:val="FootnoteText"/>
        <w:rPr>
          <w:lang w:val="es-ES"/>
        </w:rPr>
      </w:pPr>
      <w:r>
        <w:rPr>
          <w:rStyle w:val="FootnoteReference"/>
        </w:rPr>
        <w:footnoteRef/>
      </w:r>
      <w:r>
        <w:tab/>
      </w:r>
      <w:bookmarkStart w:id="74" w:name="lt_pId235"/>
      <w:r w:rsidRPr="00865B71">
        <w:rPr>
          <w:lang w:val="fr-CH"/>
        </w:rPr>
        <w:t>REC533</w:t>
      </w:r>
      <w:r>
        <w:rPr>
          <w:lang w:val="fr-CH"/>
        </w:rPr>
        <w:t xml:space="preserve"> y</w:t>
      </w:r>
      <w:r w:rsidRPr="00865B71">
        <w:rPr>
          <w:lang w:val="fr-CH"/>
        </w:rPr>
        <w:t xml:space="preserve"> ITURHFPROP </w:t>
      </w:r>
      <w:r>
        <w:rPr>
          <w:lang w:val="fr-CH"/>
        </w:rPr>
        <w:t>son</w:t>
      </w:r>
      <w:r w:rsidRPr="00865B71">
        <w:rPr>
          <w:lang w:val="fr-CH"/>
        </w:rPr>
        <w:t xml:space="preserve"> </w:t>
      </w:r>
      <w:r w:rsidRPr="005B2086">
        <w:rPr>
          <w:lang w:val="es-ES"/>
        </w:rPr>
        <w:t>modelo</w:t>
      </w:r>
      <w:r>
        <w:rPr>
          <w:lang w:val="es-ES"/>
        </w:rPr>
        <w:t>s</w:t>
      </w:r>
      <w:r w:rsidRPr="005B2086">
        <w:rPr>
          <w:lang w:val="es-ES"/>
        </w:rPr>
        <w:t xml:space="preserve"> software relacionado con la Recomendación </w:t>
      </w:r>
      <w:r w:rsidRPr="00865B71">
        <w:rPr>
          <w:lang w:val="fr-CH"/>
        </w:rPr>
        <w:t>UIT</w:t>
      </w:r>
      <w:r>
        <w:rPr>
          <w:lang w:val="fr-CH"/>
        </w:rPr>
        <w:noBreakHyphen/>
      </w:r>
      <w:r w:rsidRPr="00865B71">
        <w:rPr>
          <w:lang w:val="fr-CH"/>
        </w:rPr>
        <w:t>R P.533.</w:t>
      </w:r>
      <w:bookmarkEnd w:id="74"/>
    </w:p>
  </w:footnote>
  <w:footnote w:id="5">
    <w:p w:rsidR="00B1523F" w:rsidRPr="005B2086" w:rsidRDefault="00B1523F" w:rsidP="00B1523F">
      <w:pPr>
        <w:pStyle w:val="FootnoteText"/>
        <w:rPr>
          <w:lang w:val="es-ES"/>
        </w:rPr>
      </w:pPr>
      <w:r w:rsidRPr="005B2086">
        <w:rPr>
          <w:rStyle w:val="FootnoteReference"/>
          <w:lang w:val="es-ES"/>
        </w:rPr>
        <w:footnoteRef/>
      </w:r>
      <w:r w:rsidRPr="005B2086">
        <w:rPr>
          <w:lang w:val="es-ES"/>
        </w:rPr>
        <w:tab/>
      </w:r>
      <w:bookmarkStart w:id="77" w:name="lt_pId236"/>
      <w:r w:rsidRPr="005B2086">
        <w:rPr>
          <w:lang w:val="es-ES"/>
        </w:rPr>
        <w:t>GRWAVE es un modelo software relacionado con la Recomendación UIT-R P.368.</w:t>
      </w:r>
      <w:bookmarkEnd w:id="77"/>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C55" w:rsidRDefault="00DC5C5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C55" w:rsidRDefault="00DC5C55" w:rsidP="00D62884">
    <w:pPr>
      <w:pStyle w:val="Header"/>
      <w:ind w:right="360" w:firstLine="360"/>
    </w:pPr>
    <w:r>
      <w:rPr>
        <w:noProof/>
        <w:lang w:val="en-GB" w:eastAsia="en-GB"/>
      </w:rPr>
      <w:drawing>
        <wp:anchor distT="0" distB="0" distL="114300" distR="114300" simplePos="0" relativeHeight="251659264" behindDoc="1" locked="0" layoutInCell="1" allowOverlap="1" wp14:anchorId="30F94AE6" wp14:editId="66BB27B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C55" w:rsidRDefault="00DC5C55"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91156">
      <w:rPr>
        <w:rStyle w:val="PageNumber"/>
        <w:b/>
        <w:bCs/>
        <w:noProof/>
      </w:rPr>
      <w:t>ii</w:t>
    </w:r>
    <w:r>
      <w:rPr>
        <w:rStyle w:val="PageNumber"/>
        <w:b/>
        <w:bCs/>
      </w:rPr>
      <w:fldChar w:fldCharType="end"/>
    </w:r>
    <w:r>
      <w:tab/>
    </w:r>
    <w:r w:rsidR="00E64B6D">
      <w:rPr>
        <w:b/>
        <w:bCs/>
        <w:lang w:val="fr-CH"/>
      </w:rPr>
      <w:fldChar w:fldCharType="begin"/>
    </w:r>
    <w:r w:rsidR="00E64B6D">
      <w:rPr>
        <w:b/>
        <w:bCs/>
        <w:lang w:val="fr-CH"/>
      </w:rPr>
      <w:instrText xml:space="preserve"> DOCPROPERTY "Header" \* MERGEFORMAT </w:instrText>
    </w:r>
    <w:r w:rsidR="00E64B6D">
      <w:rPr>
        <w:b/>
        <w:bCs/>
        <w:lang w:val="fr-CH"/>
      </w:rPr>
      <w:fldChar w:fldCharType="separate"/>
    </w:r>
    <w:r w:rsidR="00491156">
      <w:rPr>
        <w:b/>
        <w:bCs/>
        <w:lang w:val="fr-CH"/>
      </w:rPr>
      <w:t xml:space="preserve">Rec. </w:t>
    </w:r>
    <w:r w:rsidR="00E64B6D">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491156">
      <w:rPr>
        <w:b/>
        <w:bCs/>
        <w:noProof/>
      </w:rPr>
      <w:t>UIT-R  F.2119-0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C55" w:rsidRDefault="00DC5C55">
    <w:pPr>
      <w:pStyle w:val="Header"/>
    </w:pPr>
    <w:r>
      <w:tab/>
    </w:r>
    <w:r w:rsidR="00E64B6D">
      <w:rPr>
        <w:lang w:val="en-US"/>
      </w:rPr>
      <w:fldChar w:fldCharType="begin"/>
    </w:r>
    <w:r w:rsidR="00E64B6D">
      <w:rPr>
        <w:lang w:val="en-US"/>
      </w:rPr>
      <w:instrText xml:space="preserve"> DOCPROPERTY "Header" \* MERGEFORMAT </w:instrText>
    </w:r>
    <w:r w:rsidR="00E64B6D">
      <w:rPr>
        <w:lang w:val="en-US"/>
      </w:rPr>
      <w:fldChar w:fldCharType="separate"/>
    </w:r>
    <w:r w:rsidR="00491156">
      <w:rPr>
        <w:lang w:val="en-US"/>
      </w:rPr>
      <w:t xml:space="preserve">Rec. </w:t>
    </w:r>
    <w:r w:rsidR="00E64B6D">
      <w:rPr>
        <w:lang w:val="en-US"/>
      </w:rPr>
      <w:fldChar w:fldCharType="end"/>
    </w:r>
    <w:r>
      <w:rPr>
        <w:b/>
        <w:bCs/>
      </w:rPr>
      <w:t xml:space="preserve">  </w:t>
    </w:r>
    <w:r>
      <w:rPr>
        <w:b/>
        <w:bCs/>
      </w:rPr>
      <w:fldChar w:fldCharType="begin"/>
    </w:r>
    <w:r>
      <w:rPr>
        <w:b/>
        <w:bCs/>
      </w:rPr>
      <w:instrText>styleref href</w:instrText>
    </w:r>
    <w:r>
      <w:rPr>
        <w:b/>
        <w:bCs/>
      </w:rPr>
      <w:fldChar w:fldCharType="separate"/>
    </w:r>
    <w:r w:rsidR="00491156">
      <w:rPr>
        <w:b/>
        <w:bCs/>
        <w:noProof/>
      </w:rPr>
      <w:t>UIT-R  F.2119-0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DD5" w:rsidRDefault="00A47C90">
    <w:pPr>
      <w:pStyle w:val="Header"/>
      <w:jc w:val="left"/>
      <w:rPr>
        <w:lang w:val="en-US"/>
      </w:rPr>
    </w:pPr>
    <w:r>
      <w:rPr>
        <w:rStyle w:val="PageNumber"/>
        <w:b/>
        <w:bCs/>
      </w:rPr>
      <w:fldChar w:fldCharType="begin"/>
    </w:r>
    <w:r w:rsidR="00847DD5">
      <w:rPr>
        <w:rStyle w:val="PageNumber"/>
        <w:b/>
        <w:bCs/>
        <w:lang w:val="en-US"/>
      </w:rPr>
      <w:instrText xml:space="preserve"> PAGE </w:instrText>
    </w:r>
    <w:r>
      <w:rPr>
        <w:rStyle w:val="PageNumber"/>
        <w:b/>
        <w:bCs/>
      </w:rPr>
      <w:fldChar w:fldCharType="separate"/>
    </w:r>
    <w:r w:rsidR="00491156">
      <w:rPr>
        <w:rStyle w:val="PageNumber"/>
        <w:b/>
        <w:bCs/>
        <w:noProof/>
        <w:lang w:val="en-US"/>
      </w:rPr>
      <w:t>6</w:t>
    </w:r>
    <w:r>
      <w:rPr>
        <w:rStyle w:val="PageNumber"/>
        <w:b/>
        <w:bCs/>
      </w:rPr>
      <w:fldChar w:fldCharType="end"/>
    </w:r>
    <w:r w:rsidR="00847DD5">
      <w:rPr>
        <w:lang w:val="en-US"/>
      </w:rPr>
      <w:tab/>
    </w:r>
    <w:r w:rsidR="00E64B6D">
      <w:rPr>
        <w:b/>
        <w:bCs/>
        <w:lang w:val="en-US"/>
      </w:rPr>
      <w:fldChar w:fldCharType="begin"/>
    </w:r>
    <w:r w:rsidR="00E64B6D">
      <w:rPr>
        <w:b/>
        <w:bCs/>
        <w:lang w:val="en-US"/>
      </w:rPr>
      <w:instrText xml:space="preserve"> DOCPROPERTY "Header" \* MERGEFORMAT </w:instrText>
    </w:r>
    <w:r w:rsidR="00E64B6D">
      <w:rPr>
        <w:b/>
        <w:bCs/>
        <w:lang w:val="en-US"/>
      </w:rPr>
      <w:fldChar w:fldCharType="separate"/>
    </w:r>
    <w:r w:rsidR="00491156">
      <w:rPr>
        <w:b/>
        <w:bCs/>
        <w:lang w:val="en-US"/>
      </w:rPr>
      <w:t xml:space="preserve">Rec. </w:t>
    </w:r>
    <w:r w:rsidR="00E64B6D">
      <w:rPr>
        <w:b/>
        <w:bCs/>
        <w:lang w:val="en-US"/>
      </w:rPr>
      <w:fldChar w:fldCharType="end"/>
    </w:r>
    <w:r w:rsidR="00847DD5">
      <w:rPr>
        <w:b/>
        <w:bCs/>
      </w:rPr>
      <w:t xml:space="preserve"> </w:t>
    </w:r>
    <w:r>
      <w:rPr>
        <w:b/>
        <w:bCs/>
      </w:rPr>
      <w:fldChar w:fldCharType="begin"/>
    </w:r>
    <w:r w:rsidR="00847DD5">
      <w:rPr>
        <w:b/>
        <w:bCs/>
        <w:lang w:val="en-US"/>
      </w:rPr>
      <w:instrText>styleref href</w:instrText>
    </w:r>
    <w:r>
      <w:rPr>
        <w:b/>
        <w:bCs/>
      </w:rPr>
      <w:fldChar w:fldCharType="separate"/>
    </w:r>
    <w:r w:rsidR="00491156">
      <w:rPr>
        <w:b/>
        <w:bCs/>
        <w:noProof/>
        <w:lang w:val="en-US"/>
      </w:rPr>
      <w:t>UIT-R  F.2119-0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DD5" w:rsidRDefault="00BF39A2">
    <w:pPr>
      <w:pStyle w:val="Header"/>
    </w:pPr>
    <w:r>
      <w:rPr>
        <w:b/>
        <w:bCs/>
        <w:lang w:val="en-US"/>
      </w:rPr>
      <w:tab/>
    </w:r>
    <w:r w:rsidR="00F552D1">
      <w:rPr>
        <w:b/>
        <w:bCs/>
        <w:lang w:val="en-US"/>
      </w:rPr>
      <w:fldChar w:fldCharType="begin"/>
    </w:r>
    <w:r w:rsidR="00F552D1">
      <w:rPr>
        <w:b/>
        <w:bCs/>
        <w:lang w:val="en-US"/>
      </w:rPr>
      <w:instrText xml:space="preserve"> DOCPROPERTY "Header" \* MERGEFORMAT </w:instrText>
    </w:r>
    <w:r w:rsidR="00F552D1">
      <w:rPr>
        <w:b/>
        <w:bCs/>
        <w:lang w:val="en-US"/>
      </w:rPr>
      <w:fldChar w:fldCharType="separate"/>
    </w:r>
    <w:r w:rsidR="00491156">
      <w:rPr>
        <w:b/>
        <w:bCs/>
        <w:lang w:val="en-US"/>
      </w:rPr>
      <w:t xml:space="preserve">Rec. </w:t>
    </w:r>
    <w:r w:rsidR="00F552D1">
      <w:rPr>
        <w:b/>
        <w:bCs/>
        <w:lang w:val="en-US"/>
      </w:rPr>
      <w:fldChar w:fldCharType="end"/>
    </w:r>
    <w:r w:rsidR="00F552D1">
      <w:rPr>
        <w:b/>
        <w:bCs/>
      </w:rPr>
      <w:t xml:space="preserve"> </w:t>
    </w:r>
    <w:r>
      <w:rPr>
        <w:b/>
        <w:bCs/>
      </w:rPr>
      <w:fldChar w:fldCharType="begin"/>
    </w:r>
    <w:r>
      <w:rPr>
        <w:b/>
        <w:bCs/>
        <w:lang w:val="en-US"/>
      </w:rPr>
      <w:instrText>styleref href</w:instrText>
    </w:r>
    <w:r>
      <w:rPr>
        <w:b/>
        <w:bCs/>
      </w:rPr>
      <w:fldChar w:fldCharType="separate"/>
    </w:r>
    <w:r w:rsidR="00491156">
      <w:rPr>
        <w:b/>
        <w:bCs/>
        <w:noProof/>
        <w:lang w:val="en-US"/>
      </w:rPr>
      <w:t>UIT-R  F.2119-0</w:t>
    </w:r>
    <w:r>
      <w:rPr>
        <w:b/>
        <w:bCs/>
      </w:rPr>
      <w:fldChar w:fldCharType="end"/>
    </w:r>
    <w:r w:rsidR="00847DD5">
      <w:tab/>
    </w:r>
    <w:r w:rsidR="00A47C90">
      <w:rPr>
        <w:rStyle w:val="PageNumber"/>
        <w:b/>
        <w:bCs/>
      </w:rPr>
      <w:fldChar w:fldCharType="begin"/>
    </w:r>
    <w:r w:rsidR="00847DD5">
      <w:rPr>
        <w:rStyle w:val="PageNumber"/>
        <w:b/>
        <w:bCs/>
      </w:rPr>
      <w:instrText xml:space="preserve"> PAGE </w:instrText>
    </w:r>
    <w:r w:rsidR="00A47C90">
      <w:rPr>
        <w:rStyle w:val="PageNumber"/>
        <w:b/>
        <w:bCs/>
      </w:rPr>
      <w:fldChar w:fldCharType="separate"/>
    </w:r>
    <w:r w:rsidR="00491156">
      <w:rPr>
        <w:rStyle w:val="PageNumber"/>
        <w:b/>
        <w:bCs/>
        <w:noProof/>
      </w:rPr>
      <w:t>7</w:t>
    </w:r>
    <w:r w:rsidR="00A47C90">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75608"/>
    <w:rsid w:val="001F7816"/>
    <w:rsid w:val="002249F5"/>
    <w:rsid w:val="0027601E"/>
    <w:rsid w:val="002A58E4"/>
    <w:rsid w:val="002D76C4"/>
    <w:rsid w:val="00363835"/>
    <w:rsid w:val="004532F7"/>
    <w:rsid w:val="00491156"/>
    <w:rsid w:val="004C4955"/>
    <w:rsid w:val="004D0BFD"/>
    <w:rsid w:val="0050269D"/>
    <w:rsid w:val="00593832"/>
    <w:rsid w:val="005A6102"/>
    <w:rsid w:val="005E03F8"/>
    <w:rsid w:val="00604D06"/>
    <w:rsid w:val="00607D68"/>
    <w:rsid w:val="00643006"/>
    <w:rsid w:val="006B22C3"/>
    <w:rsid w:val="006C64BB"/>
    <w:rsid w:val="0070522D"/>
    <w:rsid w:val="0072152F"/>
    <w:rsid w:val="007C7328"/>
    <w:rsid w:val="00834A65"/>
    <w:rsid w:val="00847DD5"/>
    <w:rsid w:val="008B517D"/>
    <w:rsid w:val="008D6BA7"/>
    <w:rsid w:val="009A3628"/>
    <w:rsid w:val="00A213C0"/>
    <w:rsid w:val="00A412D0"/>
    <w:rsid w:val="00A47C90"/>
    <w:rsid w:val="00A6617B"/>
    <w:rsid w:val="00AB0DC8"/>
    <w:rsid w:val="00AF095C"/>
    <w:rsid w:val="00B1523F"/>
    <w:rsid w:val="00B1717A"/>
    <w:rsid w:val="00B44E24"/>
    <w:rsid w:val="00B57401"/>
    <w:rsid w:val="00B900D5"/>
    <w:rsid w:val="00BA784A"/>
    <w:rsid w:val="00BF39A2"/>
    <w:rsid w:val="00BF7841"/>
    <w:rsid w:val="00C13937"/>
    <w:rsid w:val="00C34880"/>
    <w:rsid w:val="00C64A6E"/>
    <w:rsid w:val="00CA0934"/>
    <w:rsid w:val="00CC328F"/>
    <w:rsid w:val="00CF1D61"/>
    <w:rsid w:val="00D50E83"/>
    <w:rsid w:val="00D62884"/>
    <w:rsid w:val="00DC5C55"/>
    <w:rsid w:val="00DD4A97"/>
    <w:rsid w:val="00DF4176"/>
    <w:rsid w:val="00E34238"/>
    <w:rsid w:val="00E44D57"/>
    <w:rsid w:val="00E64B6D"/>
    <w:rsid w:val="00F552D1"/>
    <w:rsid w:val="00F70189"/>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264AB5"/>
  <w15:docId w15:val="{D7E942C5-21E3-49F9-A24D-1D194564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9F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249F5"/>
    <w:pPr>
      <w:keepNext/>
      <w:keepLines/>
      <w:spacing w:before="480"/>
      <w:ind w:left="794" w:hanging="794"/>
      <w:outlineLvl w:val="0"/>
    </w:pPr>
    <w:rPr>
      <w:b/>
    </w:rPr>
  </w:style>
  <w:style w:type="paragraph" w:styleId="Heading2">
    <w:name w:val="heading 2"/>
    <w:basedOn w:val="Heading1"/>
    <w:next w:val="Normal"/>
    <w:link w:val="Heading2Char"/>
    <w:qFormat/>
    <w:rsid w:val="002249F5"/>
    <w:pPr>
      <w:spacing w:before="320"/>
      <w:outlineLvl w:val="1"/>
    </w:pPr>
  </w:style>
  <w:style w:type="paragraph" w:styleId="Heading3">
    <w:name w:val="heading 3"/>
    <w:basedOn w:val="Heading1"/>
    <w:next w:val="Normal"/>
    <w:qFormat/>
    <w:rsid w:val="002249F5"/>
    <w:pPr>
      <w:spacing w:before="200"/>
      <w:outlineLvl w:val="2"/>
    </w:pPr>
  </w:style>
  <w:style w:type="paragraph" w:styleId="Heading4">
    <w:name w:val="heading 4"/>
    <w:basedOn w:val="Heading3"/>
    <w:next w:val="Normal"/>
    <w:qFormat/>
    <w:rsid w:val="002249F5"/>
    <w:pPr>
      <w:tabs>
        <w:tab w:val="clear" w:pos="794"/>
        <w:tab w:val="left" w:pos="992"/>
      </w:tabs>
      <w:ind w:left="992" w:hanging="992"/>
      <w:outlineLvl w:val="3"/>
    </w:pPr>
  </w:style>
  <w:style w:type="paragraph" w:styleId="Heading5">
    <w:name w:val="heading 5"/>
    <w:basedOn w:val="Heading4"/>
    <w:next w:val="Normal"/>
    <w:qFormat/>
    <w:rsid w:val="002249F5"/>
    <w:pPr>
      <w:outlineLvl w:val="4"/>
    </w:pPr>
  </w:style>
  <w:style w:type="paragraph" w:styleId="Heading6">
    <w:name w:val="heading 6"/>
    <w:basedOn w:val="Heading4"/>
    <w:next w:val="Normal"/>
    <w:qFormat/>
    <w:rsid w:val="002249F5"/>
    <w:pPr>
      <w:tabs>
        <w:tab w:val="clear" w:pos="992"/>
        <w:tab w:val="clear" w:pos="1191"/>
      </w:tabs>
      <w:ind w:left="1588" w:hanging="1588"/>
      <w:outlineLvl w:val="5"/>
    </w:pPr>
  </w:style>
  <w:style w:type="paragraph" w:styleId="Heading7">
    <w:name w:val="heading 7"/>
    <w:basedOn w:val="Heading6"/>
    <w:next w:val="Normal"/>
    <w:qFormat/>
    <w:rsid w:val="002249F5"/>
    <w:pPr>
      <w:outlineLvl w:val="6"/>
    </w:pPr>
  </w:style>
  <w:style w:type="paragraph" w:styleId="Heading8">
    <w:name w:val="heading 8"/>
    <w:basedOn w:val="Heading6"/>
    <w:next w:val="Normal"/>
    <w:qFormat/>
    <w:rsid w:val="002249F5"/>
    <w:pPr>
      <w:outlineLvl w:val="7"/>
    </w:pPr>
  </w:style>
  <w:style w:type="paragraph" w:styleId="Heading9">
    <w:name w:val="heading 9"/>
    <w:basedOn w:val="Heading6"/>
    <w:next w:val="Normal"/>
    <w:qFormat/>
    <w:rsid w:val="002249F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249F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249F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249F5"/>
  </w:style>
  <w:style w:type="paragraph" w:customStyle="1" w:styleId="Headingb">
    <w:name w:val="Heading_b"/>
    <w:basedOn w:val="Heading3"/>
    <w:next w:val="Normal"/>
    <w:link w:val="HeadingbChar"/>
    <w:rsid w:val="002249F5"/>
    <w:pPr>
      <w:spacing w:before="160"/>
      <w:ind w:left="0" w:firstLine="0"/>
      <w:outlineLvl w:val="9"/>
    </w:pPr>
  </w:style>
  <w:style w:type="paragraph" w:customStyle="1" w:styleId="Headingi">
    <w:name w:val="Heading_i"/>
    <w:basedOn w:val="Heading3"/>
    <w:next w:val="Normal"/>
    <w:rsid w:val="002249F5"/>
    <w:pPr>
      <w:spacing w:before="160"/>
      <w:ind w:left="0" w:firstLine="0"/>
    </w:pPr>
    <w:rPr>
      <w:b w:val="0"/>
      <w:i/>
    </w:rPr>
  </w:style>
  <w:style w:type="character" w:customStyle="1" w:styleId="href">
    <w:name w:val="href"/>
    <w:basedOn w:val="DefaultParagraphFont"/>
    <w:rsid w:val="002249F5"/>
  </w:style>
  <w:style w:type="paragraph" w:customStyle="1" w:styleId="enumlev1">
    <w:name w:val="enumlev1"/>
    <w:basedOn w:val="Normal"/>
    <w:link w:val="enumlev1Char"/>
    <w:rsid w:val="002249F5"/>
    <w:pPr>
      <w:spacing w:before="80"/>
      <w:ind w:left="794" w:hanging="794"/>
    </w:pPr>
  </w:style>
  <w:style w:type="paragraph" w:customStyle="1" w:styleId="enumlev2">
    <w:name w:val="enumlev2"/>
    <w:basedOn w:val="enumlev1"/>
    <w:rsid w:val="002249F5"/>
    <w:pPr>
      <w:ind w:left="1191" w:hanging="397"/>
    </w:pPr>
  </w:style>
  <w:style w:type="paragraph" w:customStyle="1" w:styleId="enumlev3">
    <w:name w:val="enumlev3"/>
    <w:basedOn w:val="enumlev2"/>
    <w:rsid w:val="002249F5"/>
    <w:pPr>
      <w:ind w:left="1588"/>
    </w:pPr>
  </w:style>
  <w:style w:type="paragraph" w:customStyle="1" w:styleId="Normalaftertitle">
    <w:name w:val="Normal_after_title"/>
    <w:basedOn w:val="Normal"/>
    <w:next w:val="Normal"/>
    <w:link w:val="NormalaftertitleChar"/>
    <w:rsid w:val="002249F5"/>
    <w:pPr>
      <w:spacing w:before="320"/>
    </w:pPr>
  </w:style>
  <w:style w:type="paragraph" w:customStyle="1" w:styleId="Note">
    <w:name w:val="Note"/>
    <w:basedOn w:val="Normal"/>
    <w:rsid w:val="002249F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249F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249F5"/>
    <w:pPr>
      <w:spacing w:before="240"/>
    </w:pPr>
    <w:rPr>
      <w:sz w:val="22"/>
      <w:lang w:val="es-ES_tradnl"/>
    </w:rPr>
  </w:style>
  <w:style w:type="paragraph" w:customStyle="1" w:styleId="Recref">
    <w:name w:val="Rec_ref"/>
    <w:basedOn w:val="Normal"/>
    <w:next w:val="Recdate"/>
    <w:rsid w:val="002249F5"/>
    <w:pPr>
      <w:jc w:val="center"/>
    </w:pPr>
  </w:style>
  <w:style w:type="paragraph" w:customStyle="1" w:styleId="Recdate">
    <w:name w:val="Rec_date"/>
    <w:basedOn w:val="Recref"/>
    <w:next w:val="Normalaftertitle"/>
    <w:rsid w:val="002249F5"/>
    <w:pPr>
      <w:jc w:val="right"/>
    </w:pPr>
  </w:style>
  <w:style w:type="paragraph" w:customStyle="1" w:styleId="AnnexNoTitle">
    <w:name w:val="Annex_NoTitle"/>
    <w:basedOn w:val="Normal"/>
    <w:next w:val="Normalaftertitle"/>
    <w:link w:val="AnnexNoTitleChar"/>
    <w:rsid w:val="002249F5"/>
    <w:pPr>
      <w:keepNext/>
      <w:keepLines/>
      <w:spacing w:before="480" w:after="80"/>
      <w:jc w:val="center"/>
    </w:pPr>
    <w:rPr>
      <w:b/>
      <w:sz w:val="28"/>
    </w:rPr>
  </w:style>
  <w:style w:type="paragraph" w:customStyle="1" w:styleId="AppendixNoTitle">
    <w:name w:val="Appendix_NoTitle"/>
    <w:basedOn w:val="AnnexNoTitle"/>
    <w:next w:val="Normal"/>
    <w:rsid w:val="002249F5"/>
  </w:style>
  <w:style w:type="paragraph" w:customStyle="1" w:styleId="Tablefin">
    <w:name w:val="Table_fin"/>
    <w:basedOn w:val="Normal"/>
    <w:next w:val="Normal"/>
    <w:rsid w:val="002249F5"/>
    <w:pPr>
      <w:spacing w:before="0"/>
    </w:pPr>
    <w:rPr>
      <w:sz w:val="20"/>
      <w:lang w:val="en-GB"/>
    </w:rPr>
  </w:style>
  <w:style w:type="paragraph" w:customStyle="1" w:styleId="Tablehead">
    <w:name w:val="Table_head"/>
    <w:basedOn w:val="Normal"/>
    <w:next w:val="Normal"/>
    <w:rsid w:val="002249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249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249F5"/>
    <w:pPr>
      <w:keepNext/>
      <w:spacing w:before="360" w:after="120"/>
      <w:jc w:val="center"/>
    </w:pPr>
  </w:style>
  <w:style w:type="paragraph" w:customStyle="1" w:styleId="Tabletext">
    <w:name w:val="Table_text"/>
    <w:basedOn w:val="Normal"/>
    <w:link w:val="TabletextChar"/>
    <w:rsid w:val="002249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249F5"/>
    <w:pPr>
      <w:tabs>
        <w:tab w:val="clear" w:pos="1191"/>
        <w:tab w:val="clear" w:pos="1588"/>
        <w:tab w:val="clear" w:pos="1985"/>
        <w:tab w:val="center" w:pos="4820"/>
        <w:tab w:val="right" w:pos="9639"/>
      </w:tabs>
    </w:pPr>
  </w:style>
  <w:style w:type="paragraph" w:customStyle="1" w:styleId="Equationlegend">
    <w:name w:val="Equation_legend"/>
    <w:basedOn w:val="NormalIndent"/>
    <w:rsid w:val="002249F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249F5"/>
    <w:pPr>
      <w:ind w:left="794"/>
    </w:pPr>
  </w:style>
  <w:style w:type="paragraph" w:customStyle="1" w:styleId="Figurelegend">
    <w:name w:val="Figure_legend"/>
    <w:basedOn w:val="Normal"/>
    <w:rsid w:val="002249F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249F5"/>
    <w:pPr>
      <w:keepNext/>
      <w:keepLines/>
      <w:spacing w:before="480" w:after="80"/>
      <w:jc w:val="center"/>
    </w:pPr>
    <w:rPr>
      <w:caps/>
      <w:sz w:val="18"/>
    </w:rPr>
  </w:style>
  <w:style w:type="paragraph" w:customStyle="1" w:styleId="tocpart">
    <w:name w:val="tocpart"/>
    <w:basedOn w:val="Normal"/>
    <w:rsid w:val="002249F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249F5"/>
    <w:pPr>
      <w:keepNext/>
      <w:keepLines/>
      <w:spacing w:before="480"/>
      <w:jc w:val="center"/>
    </w:pPr>
    <w:rPr>
      <w:sz w:val="28"/>
    </w:rPr>
  </w:style>
  <w:style w:type="paragraph" w:customStyle="1" w:styleId="Arttitle">
    <w:name w:val="Art_title"/>
    <w:basedOn w:val="Normal"/>
    <w:next w:val="Normalaftertitle"/>
    <w:rsid w:val="002249F5"/>
    <w:pPr>
      <w:keepNext/>
      <w:keepLines/>
      <w:spacing w:before="240"/>
      <w:jc w:val="center"/>
    </w:pPr>
    <w:rPr>
      <w:b/>
      <w:sz w:val="28"/>
    </w:rPr>
  </w:style>
  <w:style w:type="paragraph" w:customStyle="1" w:styleId="Blanc">
    <w:name w:val="Blanc"/>
    <w:basedOn w:val="Normal"/>
    <w:next w:val="Tabletext"/>
    <w:rsid w:val="002249F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249F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249F5"/>
    <w:pPr>
      <w:keepNext/>
      <w:keepLines/>
      <w:spacing w:before="160"/>
      <w:ind w:left="794"/>
    </w:pPr>
    <w:rPr>
      <w:i/>
    </w:rPr>
  </w:style>
  <w:style w:type="paragraph" w:customStyle="1" w:styleId="ChapNo">
    <w:name w:val="Chap_No"/>
    <w:basedOn w:val="ArtNo"/>
    <w:next w:val="Chaptitle"/>
    <w:rsid w:val="002249F5"/>
    <w:rPr>
      <w:b/>
    </w:rPr>
  </w:style>
  <w:style w:type="paragraph" w:customStyle="1" w:styleId="Chaptitle">
    <w:name w:val="Chap_title"/>
    <w:basedOn w:val="Arttitle"/>
    <w:next w:val="Normalaftertitle"/>
    <w:rsid w:val="002249F5"/>
  </w:style>
  <w:style w:type="character" w:styleId="FootnoteReference">
    <w:name w:val="footnote reference"/>
    <w:basedOn w:val="DefaultParagraphFont"/>
    <w:rsid w:val="002249F5"/>
    <w:rPr>
      <w:position w:val="6"/>
      <w:sz w:val="18"/>
    </w:rPr>
  </w:style>
  <w:style w:type="paragraph" w:styleId="FootnoteText">
    <w:name w:val="footnote text"/>
    <w:basedOn w:val="Normal"/>
    <w:link w:val="FootnoteTextChar"/>
    <w:rsid w:val="002249F5"/>
    <w:pPr>
      <w:keepLines/>
      <w:tabs>
        <w:tab w:val="left" w:pos="255"/>
      </w:tabs>
      <w:ind w:left="255" w:hanging="255"/>
    </w:pPr>
    <w:rPr>
      <w:sz w:val="22"/>
    </w:rPr>
  </w:style>
  <w:style w:type="paragraph" w:styleId="Index1">
    <w:name w:val="index 1"/>
    <w:basedOn w:val="Normal"/>
    <w:next w:val="Normal"/>
    <w:semiHidden/>
    <w:rsid w:val="002249F5"/>
  </w:style>
  <w:style w:type="paragraph" w:styleId="Index2">
    <w:name w:val="index 2"/>
    <w:basedOn w:val="Normal"/>
    <w:next w:val="Normal"/>
    <w:semiHidden/>
    <w:rsid w:val="002249F5"/>
    <w:pPr>
      <w:ind w:left="283"/>
    </w:pPr>
  </w:style>
  <w:style w:type="paragraph" w:styleId="Index3">
    <w:name w:val="index 3"/>
    <w:basedOn w:val="Normal"/>
    <w:next w:val="Normal"/>
    <w:semiHidden/>
    <w:rsid w:val="002249F5"/>
    <w:pPr>
      <w:ind w:left="566"/>
    </w:pPr>
  </w:style>
  <w:style w:type="paragraph" w:styleId="IndexHeading">
    <w:name w:val="index heading"/>
    <w:basedOn w:val="Normal"/>
    <w:next w:val="Index1"/>
    <w:semiHidden/>
    <w:rsid w:val="002249F5"/>
  </w:style>
  <w:style w:type="paragraph" w:customStyle="1" w:styleId="Line">
    <w:name w:val="Line"/>
    <w:basedOn w:val="Normal"/>
    <w:next w:val="Normal"/>
    <w:rsid w:val="002249F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249F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249F5"/>
  </w:style>
  <w:style w:type="paragraph" w:customStyle="1" w:styleId="Partref">
    <w:name w:val="Part_ref"/>
    <w:basedOn w:val="Normal"/>
    <w:next w:val="Normal"/>
    <w:rsid w:val="002249F5"/>
    <w:pPr>
      <w:keepNext/>
      <w:keepLines/>
      <w:spacing w:after="280"/>
      <w:jc w:val="center"/>
    </w:pPr>
  </w:style>
  <w:style w:type="paragraph" w:customStyle="1" w:styleId="Parttitle">
    <w:name w:val="Part_title"/>
    <w:basedOn w:val="Normal"/>
    <w:next w:val="Normalaftertitle"/>
    <w:rsid w:val="002249F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249F5"/>
  </w:style>
  <w:style w:type="paragraph" w:customStyle="1" w:styleId="QuestionNo">
    <w:name w:val="Question_No"/>
    <w:basedOn w:val="RecNo"/>
    <w:next w:val="Normal"/>
    <w:rsid w:val="002249F5"/>
  </w:style>
  <w:style w:type="paragraph" w:customStyle="1" w:styleId="Questionref">
    <w:name w:val="Question_ref"/>
    <w:basedOn w:val="Recref"/>
    <w:next w:val="Questiondate"/>
    <w:rsid w:val="002249F5"/>
  </w:style>
  <w:style w:type="paragraph" w:customStyle="1" w:styleId="Questiontitle">
    <w:name w:val="Question_title"/>
    <w:basedOn w:val="Normal"/>
    <w:next w:val="Questionref"/>
    <w:rsid w:val="002249F5"/>
  </w:style>
  <w:style w:type="paragraph" w:customStyle="1" w:styleId="Reftext">
    <w:name w:val="Ref_text"/>
    <w:basedOn w:val="Normal"/>
    <w:rsid w:val="002249F5"/>
    <w:pPr>
      <w:ind w:left="794" w:hanging="794"/>
    </w:pPr>
    <w:rPr>
      <w:sz w:val="22"/>
    </w:rPr>
  </w:style>
  <w:style w:type="paragraph" w:customStyle="1" w:styleId="Reftitle">
    <w:name w:val="Ref_title"/>
    <w:basedOn w:val="Normal"/>
    <w:next w:val="Reftext"/>
    <w:rsid w:val="002249F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249F5"/>
  </w:style>
  <w:style w:type="paragraph" w:customStyle="1" w:styleId="RepNo">
    <w:name w:val="Rep_No"/>
    <w:basedOn w:val="RecNo"/>
    <w:next w:val="Reptitle"/>
    <w:rsid w:val="002249F5"/>
  </w:style>
  <w:style w:type="paragraph" w:customStyle="1" w:styleId="Repref">
    <w:name w:val="Rep_ref"/>
    <w:basedOn w:val="Recref"/>
    <w:next w:val="Repdate"/>
    <w:rsid w:val="002249F5"/>
  </w:style>
  <w:style w:type="paragraph" w:customStyle="1" w:styleId="Reptitle">
    <w:name w:val="Rep_title"/>
    <w:basedOn w:val="Rectitle"/>
    <w:next w:val="Repref"/>
    <w:rsid w:val="002249F5"/>
  </w:style>
  <w:style w:type="paragraph" w:customStyle="1" w:styleId="Resdate">
    <w:name w:val="Res_date"/>
    <w:basedOn w:val="Recdate"/>
    <w:next w:val="Normalaftertitle"/>
    <w:rsid w:val="002249F5"/>
  </w:style>
  <w:style w:type="paragraph" w:customStyle="1" w:styleId="ResNo">
    <w:name w:val="Res_No"/>
    <w:basedOn w:val="RecNo"/>
    <w:next w:val="Restitle"/>
    <w:rsid w:val="002249F5"/>
  </w:style>
  <w:style w:type="paragraph" w:customStyle="1" w:styleId="Resref">
    <w:name w:val="Res_ref"/>
    <w:basedOn w:val="Recref"/>
    <w:next w:val="Resdate"/>
    <w:rsid w:val="002249F5"/>
  </w:style>
  <w:style w:type="paragraph" w:customStyle="1" w:styleId="Restitle">
    <w:name w:val="Res_title"/>
    <w:basedOn w:val="Normal"/>
    <w:next w:val="Resref"/>
    <w:rsid w:val="002249F5"/>
    <w:pPr>
      <w:spacing w:before="240"/>
      <w:jc w:val="center"/>
    </w:pPr>
    <w:rPr>
      <w:b/>
      <w:sz w:val="28"/>
    </w:rPr>
  </w:style>
  <w:style w:type="paragraph" w:customStyle="1" w:styleId="SectionNo">
    <w:name w:val="Section_No"/>
    <w:basedOn w:val="Normal"/>
    <w:next w:val="Normal"/>
    <w:rsid w:val="002249F5"/>
  </w:style>
  <w:style w:type="paragraph" w:customStyle="1" w:styleId="Sectiontitle">
    <w:name w:val="Section_title"/>
    <w:basedOn w:val="Normal"/>
    <w:next w:val="Normalaftertitle"/>
    <w:rsid w:val="002249F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249F5"/>
    <w:pPr>
      <w:tabs>
        <w:tab w:val="clear" w:pos="794"/>
        <w:tab w:val="clear" w:pos="1191"/>
        <w:tab w:val="clear" w:pos="1588"/>
        <w:tab w:val="clear" w:pos="1985"/>
        <w:tab w:val="right" w:pos="9611"/>
      </w:tabs>
    </w:pPr>
    <w:rPr>
      <w:i/>
    </w:rPr>
  </w:style>
  <w:style w:type="paragraph" w:styleId="TOC1">
    <w:name w:val="toc 1"/>
    <w:basedOn w:val="Normal"/>
    <w:semiHidden/>
    <w:rsid w:val="002249F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249F5"/>
    <w:pPr>
      <w:tabs>
        <w:tab w:val="clear" w:pos="567"/>
        <w:tab w:val="left" w:pos="1276"/>
      </w:tabs>
      <w:spacing w:before="160"/>
      <w:ind w:left="1276" w:hanging="709"/>
    </w:pPr>
  </w:style>
  <w:style w:type="paragraph" w:styleId="TOC3">
    <w:name w:val="toc 3"/>
    <w:basedOn w:val="TOC2"/>
    <w:semiHidden/>
    <w:rsid w:val="002249F5"/>
    <w:pPr>
      <w:tabs>
        <w:tab w:val="clear" w:pos="1276"/>
        <w:tab w:val="left" w:pos="2155"/>
      </w:tabs>
      <w:ind w:left="2155" w:hanging="879"/>
    </w:pPr>
  </w:style>
  <w:style w:type="paragraph" w:styleId="TOC4">
    <w:name w:val="toc 4"/>
    <w:basedOn w:val="TOC3"/>
    <w:semiHidden/>
    <w:rsid w:val="002249F5"/>
    <w:pPr>
      <w:tabs>
        <w:tab w:val="left" w:pos="3261"/>
      </w:tabs>
      <w:spacing w:before="80"/>
      <w:ind w:left="3261" w:hanging="993"/>
    </w:pPr>
  </w:style>
  <w:style w:type="paragraph" w:styleId="TOC5">
    <w:name w:val="toc 5"/>
    <w:basedOn w:val="TOC4"/>
    <w:semiHidden/>
    <w:rsid w:val="002249F5"/>
  </w:style>
  <w:style w:type="paragraph" w:styleId="TOC6">
    <w:name w:val="toc 6"/>
    <w:basedOn w:val="TOC4"/>
    <w:semiHidden/>
    <w:rsid w:val="002249F5"/>
  </w:style>
  <w:style w:type="paragraph" w:styleId="TOC7">
    <w:name w:val="toc 7"/>
    <w:basedOn w:val="TOC4"/>
    <w:semiHidden/>
    <w:rsid w:val="002249F5"/>
  </w:style>
  <w:style w:type="paragraph" w:styleId="TOC8">
    <w:name w:val="toc 8"/>
    <w:basedOn w:val="TOC4"/>
    <w:semiHidden/>
    <w:rsid w:val="002249F5"/>
  </w:style>
  <w:style w:type="paragraph" w:customStyle="1" w:styleId="Rectitle">
    <w:name w:val="Rec_title"/>
    <w:basedOn w:val="Normal"/>
    <w:next w:val="Recref"/>
    <w:rsid w:val="002249F5"/>
    <w:pPr>
      <w:keepNext/>
      <w:keepLines/>
      <w:spacing w:before="240"/>
      <w:jc w:val="center"/>
    </w:pPr>
    <w:rPr>
      <w:b/>
      <w:sz w:val="28"/>
    </w:rPr>
  </w:style>
  <w:style w:type="paragraph" w:customStyle="1" w:styleId="Annexref">
    <w:name w:val="Annex_ref"/>
    <w:basedOn w:val="Normal"/>
    <w:next w:val="Normalaftertitle"/>
    <w:rsid w:val="002249F5"/>
    <w:pPr>
      <w:keepNext/>
      <w:keepLines/>
      <w:spacing w:after="280"/>
      <w:jc w:val="center"/>
    </w:pPr>
  </w:style>
  <w:style w:type="paragraph" w:customStyle="1" w:styleId="Appendixref">
    <w:name w:val="Appendix_ref"/>
    <w:basedOn w:val="Annexref"/>
    <w:next w:val="Normalaftertitle"/>
    <w:rsid w:val="002249F5"/>
  </w:style>
  <w:style w:type="paragraph" w:customStyle="1" w:styleId="Figuretitle">
    <w:name w:val="Figure_title"/>
    <w:basedOn w:val="Normal"/>
    <w:next w:val="Figure"/>
    <w:rsid w:val="002249F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249F5"/>
    <w:pPr>
      <w:keepNext/>
      <w:spacing w:before="0" w:after="120"/>
      <w:jc w:val="center"/>
    </w:pPr>
    <w:rPr>
      <w:b/>
    </w:rPr>
  </w:style>
  <w:style w:type="paragraph" w:customStyle="1" w:styleId="Summary">
    <w:name w:val="Summary"/>
    <w:basedOn w:val="Normal"/>
    <w:next w:val="Normalaftertitle"/>
    <w:link w:val="SummaryChar"/>
    <w:autoRedefine/>
    <w:rsid w:val="002249F5"/>
    <w:pPr>
      <w:spacing w:after="480"/>
    </w:pPr>
    <w:rPr>
      <w:sz w:val="22"/>
      <w:lang w:val="es-ES_tradnl"/>
    </w:rPr>
  </w:style>
  <w:style w:type="character" w:styleId="Hyperlink">
    <w:name w:val="Hyperlink"/>
    <w:aliases w:val="CEO_Hyperlink"/>
    <w:basedOn w:val="DefaultParagraphFont"/>
    <w:rsid w:val="00B1717A"/>
    <w:rPr>
      <w:color w:val="0000FF"/>
      <w:u w:val="single"/>
    </w:rPr>
  </w:style>
  <w:style w:type="paragraph" w:customStyle="1" w:styleId="Figure">
    <w:name w:val="Figure"/>
    <w:basedOn w:val="FigureNo"/>
    <w:next w:val="Normal"/>
    <w:rsid w:val="002249F5"/>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2249F5"/>
    <w:pPr>
      <w:ind w:left="-85" w:firstLine="0"/>
    </w:pPr>
    <w:rPr>
      <w:lang w:val="en-US"/>
    </w:rPr>
  </w:style>
  <w:style w:type="character" w:customStyle="1" w:styleId="Heading1Char">
    <w:name w:val="Heading 1 Char"/>
    <w:basedOn w:val="DefaultParagraphFont"/>
    <w:link w:val="Heading1"/>
    <w:rsid w:val="00B1523F"/>
    <w:rPr>
      <w:b/>
      <w:sz w:val="24"/>
      <w:lang w:val="fr-FR" w:eastAsia="en-US"/>
    </w:rPr>
  </w:style>
  <w:style w:type="character" w:customStyle="1" w:styleId="Heading2Char">
    <w:name w:val="Heading 2 Char"/>
    <w:basedOn w:val="DefaultParagraphFont"/>
    <w:link w:val="Heading2"/>
    <w:locked/>
    <w:rsid w:val="00B1523F"/>
    <w:rPr>
      <w:b/>
      <w:sz w:val="24"/>
      <w:lang w:val="fr-FR" w:eastAsia="en-US"/>
    </w:rPr>
  </w:style>
  <w:style w:type="character" w:customStyle="1" w:styleId="enumlev1Char">
    <w:name w:val="enumlev1 Char"/>
    <w:basedOn w:val="DefaultParagraphFont"/>
    <w:link w:val="enumlev1"/>
    <w:locked/>
    <w:rsid w:val="00B1523F"/>
    <w:rPr>
      <w:sz w:val="24"/>
      <w:lang w:val="fr-FR" w:eastAsia="en-US"/>
    </w:rPr>
  </w:style>
  <w:style w:type="character" w:customStyle="1" w:styleId="NormalaftertitleChar">
    <w:name w:val="Normal_after_title Char"/>
    <w:basedOn w:val="DefaultParagraphFont"/>
    <w:link w:val="Normalaftertitle"/>
    <w:locked/>
    <w:rsid w:val="00B1523F"/>
    <w:rPr>
      <w:sz w:val="24"/>
      <w:lang w:val="fr-FR" w:eastAsia="en-US"/>
    </w:rPr>
  </w:style>
  <w:style w:type="character" w:customStyle="1" w:styleId="AnnexNoTitleChar">
    <w:name w:val="Annex_NoTitle Char"/>
    <w:basedOn w:val="DefaultParagraphFont"/>
    <w:link w:val="AnnexNoTitle"/>
    <w:locked/>
    <w:rsid w:val="00B1523F"/>
    <w:rPr>
      <w:b/>
      <w:sz w:val="28"/>
      <w:lang w:val="fr-FR" w:eastAsia="en-US"/>
    </w:rPr>
  </w:style>
  <w:style w:type="character" w:customStyle="1" w:styleId="TableNo0">
    <w:name w:val="Table_No Знак"/>
    <w:basedOn w:val="DefaultParagraphFont"/>
    <w:link w:val="TableNo"/>
    <w:locked/>
    <w:rsid w:val="00B1523F"/>
    <w:rPr>
      <w:sz w:val="24"/>
      <w:lang w:val="fr-FR" w:eastAsia="en-US"/>
    </w:rPr>
  </w:style>
  <w:style w:type="character" w:customStyle="1" w:styleId="TabletextChar">
    <w:name w:val="Table_text Char"/>
    <w:basedOn w:val="DefaultParagraphFont"/>
    <w:link w:val="Tabletext"/>
    <w:locked/>
    <w:rsid w:val="00B1523F"/>
    <w:rPr>
      <w:sz w:val="22"/>
      <w:lang w:val="fr-FR" w:eastAsia="en-US"/>
    </w:rPr>
  </w:style>
  <w:style w:type="character" w:customStyle="1" w:styleId="CallChar">
    <w:name w:val="Call Char"/>
    <w:basedOn w:val="DefaultParagraphFont"/>
    <w:link w:val="Call"/>
    <w:locked/>
    <w:rsid w:val="00B1523F"/>
    <w:rPr>
      <w:i/>
      <w:sz w:val="24"/>
      <w:lang w:val="fr-FR" w:eastAsia="en-US"/>
    </w:rPr>
  </w:style>
  <w:style w:type="character" w:customStyle="1" w:styleId="FootnoteTextChar">
    <w:name w:val="Footnote Text Char"/>
    <w:basedOn w:val="DefaultParagraphFont"/>
    <w:link w:val="FootnoteText"/>
    <w:rsid w:val="00B1523F"/>
    <w:rPr>
      <w:sz w:val="22"/>
      <w:lang w:val="fr-FR" w:eastAsia="en-US"/>
    </w:rPr>
  </w:style>
  <w:style w:type="character" w:customStyle="1" w:styleId="TabletitleChar">
    <w:name w:val="Table_title Char"/>
    <w:basedOn w:val="DefaultParagraphFont"/>
    <w:link w:val="Tabletitle"/>
    <w:locked/>
    <w:rsid w:val="00B1523F"/>
    <w:rPr>
      <w:b/>
      <w:sz w:val="24"/>
      <w:lang w:val="fr-FR" w:eastAsia="en-US"/>
    </w:rPr>
  </w:style>
  <w:style w:type="character" w:customStyle="1" w:styleId="SummaryChar">
    <w:name w:val="Summary Char"/>
    <w:basedOn w:val="DefaultParagraphFont"/>
    <w:link w:val="Summary"/>
    <w:rsid w:val="00B1523F"/>
    <w:rPr>
      <w:sz w:val="22"/>
      <w:lang w:val="es-ES_tradnl" w:eastAsia="en-US"/>
    </w:rPr>
  </w:style>
  <w:style w:type="character" w:customStyle="1" w:styleId="HeadingbChar">
    <w:name w:val="Heading_b Char"/>
    <w:basedOn w:val="DefaultParagraphFont"/>
    <w:link w:val="Headingb"/>
    <w:locked/>
    <w:rsid w:val="00B1523F"/>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en/ITU-R/study-groups/rsg3/Pages/iono-tropo-spheric.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155</TotalTime>
  <Pages>9</Pages>
  <Words>3313</Words>
  <Characters>18713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21983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25</cp:revision>
  <cp:lastPrinted>2019-04-17T12:16:00Z</cp:lastPrinted>
  <dcterms:created xsi:type="dcterms:W3CDTF">2019-04-17T09:39:00Z</dcterms:created>
  <dcterms:modified xsi:type="dcterms:W3CDTF">2019-04-17T12:19:00Z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