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688" w:rsidRPr="000D1EE0" w:rsidRDefault="00FC5688" w:rsidP="00B1717A">
      <w:bookmarkStart w:id="0" w:name="dbreak"/>
      <w:bookmarkEnd w:id="0"/>
    </w:p>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p w:rsidR="00FC5688" w:rsidRPr="000D1EE0" w:rsidRDefault="00FC5688"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C5688" w:rsidRPr="000D1EE0" w:rsidTr="00D62884">
        <w:tc>
          <w:tcPr>
            <w:tcW w:w="10089" w:type="dxa"/>
          </w:tcPr>
          <w:p w:rsidR="00FC5688" w:rsidRPr="000D1EE0" w:rsidRDefault="00FC5688" w:rsidP="00D62884">
            <w:pPr>
              <w:spacing w:before="380" w:line="280" w:lineRule="exact"/>
              <w:jc w:val="right"/>
              <w:rPr>
                <w:rFonts w:ascii="Tahoma" w:hAnsi="Tahoma" w:cs="Tahoma"/>
                <w:b/>
                <w:bCs/>
                <w:iCs/>
                <w:color w:val="243285"/>
                <w:sz w:val="32"/>
                <w:szCs w:val="32"/>
              </w:rPr>
            </w:pPr>
          </w:p>
          <w:p w:rsidR="00FC5688" w:rsidRPr="000D1EE0" w:rsidRDefault="00FC5688" w:rsidP="00FC5688">
            <w:pPr>
              <w:spacing w:before="380" w:line="280" w:lineRule="exact"/>
              <w:jc w:val="right"/>
              <w:rPr>
                <w:rFonts w:ascii="Tahoma" w:hAnsi="Tahoma" w:cs="Tahoma"/>
                <w:b/>
                <w:bCs/>
                <w:iCs/>
                <w:color w:val="243285"/>
                <w:sz w:val="36"/>
                <w:szCs w:val="36"/>
              </w:rPr>
            </w:pPr>
            <w:r w:rsidRPr="000D1EE0">
              <w:rPr>
                <w:rFonts w:ascii="Tahoma" w:hAnsi="Tahoma" w:cs="Tahoma"/>
                <w:b/>
                <w:bCs/>
                <w:iCs/>
                <w:color w:val="243285"/>
                <w:sz w:val="36"/>
                <w:szCs w:val="36"/>
              </w:rPr>
              <w:t>Recomendación  UIT-R  F.384-11</w:t>
            </w:r>
          </w:p>
          <w:p w:rsidR="00FC5688" w:rsidRPr="000D1EE0" w:rsidRDefault="00FC5688" w:rsidP="00D62884">
            <w:pPr>
              <w:spacing w:before="80" w:line="280" w:lineRule="exact"/>
              <w:jc w:val="right"/>
              <w:rPr>
                <w:rFonts w:ascii="Tahoma" w:hAnsi="Tahoma" w:cs="Tahoma"/>
                <w:b/>
                <w:bCs/>
                <w:iCs/>
                <w:color w:val="243285"/>
                <w:szCs w:val="24"/>
              </w:rPr>
            </w:pPr>
            <w:r w:rsidRPr="000D1EE0">
              <w:rPr>
                <w:rFonts w:ascii="Tahoma" w:hAnsi="Tahoma" w:cs="Tahoma"/>
                <w:b/>
                <w:bCs/>
                <w:iCs/>
                <w:color w:val="243285"/>
                <w:szCs w:val="24"/>
              </w:rPr>
              <w:t>(03/2012)</w:t>
            </w:r>
          </w:p>
        </w:tc>
      </w:tr>
      <w:tr w:rsidR="00FC5688" w:rsidRPr="000D1EE0" w:rsidTr="00D62884">
        <w:tc>
          <w:tcPr>
            <w:tcW w:w="10089" w:type="dxa"/>
          </w:tcPr>
          <w:p w:rsidR="00FC5688" w:rsidRPr="000D1EE0" w:rsidRDefault="00FC5688" w:rsidP="00D62884">
            <w:pPr>
              <w:spacing w:before="80" w:line="500" w:lineRule="exact"/>
              <w:jc w:val="right"/>
              <w:rPr>
                <w:rFonts w:ascii="Tahoma" w:hAnsi="Tahoma" w:cs="Tahoma"/>
                <w:b/>
                <w:bCs/>
                <w:iCs/>
                <w:color w:val="243285"/>
                <w:sz w:val="44"/>
                <w:szCs w:val="44"/>
              </w:rPr>
            </w:pPr>
          </w:p>
          <w:p w:rsidR="00FC5688" w:rsidRPr="000D1EE0" w:rsidRDefault="00F45EF5" w:rsidP="00D62884">
            <w:pPr>
              <w:spacing w:before="80" w:line="500" w:lineRule="exact"/>
              <w:jc w:val="right"/>
              <w:rPr>
                <w:rFonts w:ascii="Tahoma" w:hAnsi="Tahoma" w:cs="Tahoma"/>
                <w:b/>
                <w:bCs/>
                <w:color w:val="243285"/>
                <w:sz w:val="44"/>
                <w:szCs w:val="44"/>
              </w:rPr>
            </w:pPr>
            <w:r w:rsidRPr="000D1EE0">
              <w:rPr>
                <w:rFonts w:ascii="Tahoma" w:hAnsi="Tahoma" w:cs="Tahoma"/>
                <w:b/>
                <w:bCs/>
                <w:color w:val="243285"/>
                <w:sz w:val="44"/>
                <w:szCs w:val="44"/>
              </w:rPr>
              <w:t>Disposición de radiocanales para sistemas</w:t>
            </w:r>
          </w:p>
          <w:p w:rsidR="00F45EF5" w:rsidRPr="000D1EE0" w:rsidRDefault="00F45EF5" w:rsidP="00F45EF5">
            <w:pPr>
              <w:spacing w:before="80" w:line="500" w:lineRule="exact"/>
              <w:jc w:val="right"/>
              <w:rPr>
                <w:rFonts w:ascii="Tahoma" w:hAnsi="Tahoma" w:cs="Tahoma"/>
                <w:b/>
                <w:bCs/>
                <w:color w:val="243285"/>
                <w:sz w:val="44"/>
                <w:szCs w:val="44"/>
              </w:rPr>
            </w:pPr>
            <w:r w:rsidRPr="000D1EE0">
              <w:rPr>
                <w:rFonts w:ascii="Tahoma" w:hAnsi="Tahoma" w:cs="Tahoma"/>
                <w:b/>
                <w:bCs/>
                <w:color w:val="243285"/>
                <w:sz w:val="44"/>
                <w:szCs w:val="44"/>
              </w:rPr>
              <w:t>inalámbricos fijos digitales de media</w:t>
            </w:r>
          </w:p>
          <w:p w:rsidR="00F45EF5" w:rsidRPr="000D1EE0" w:rsidRDefault="0033526E" w:rsidP="00F45EF5">
            <w:pPr>
              <w:spacing w:before="80" w:line="500" w:lineRule="exact"/>
              <w:jc w:val="right"/>
              <w:rPr>
                <w:rFonts w:ascii="Tahoma" w:hAnsi="Tahoma" w:cs="Tahoma"/>
                <w:b/>
                <w:bCs/>
                <w:color w:val="243285"/>
                <w:sz w:val="44"/>
                <w:szCs w:val="44"/>
              </w:rPr>
            </w:pPr>
            <w:r w:rsidRPr="000D1EE0">
              <w:rPr>
                <w:rFonts w:ascii="Tahoma" w:hAnsi="Tahoma" w:cs="Tahoma"/>
                <w:b/>
                <w:bCs/>
                <w:color w:val="243285"/>
                <w:sz w:val="44"/>
                <w:szCs w:val="44"/>
              </w:rPr>
              <w:t>y gran capacidad que funcionan en</w:t>
            </w:r>
          </w:p>
          <w:p w:rsidR="0033526E" w:rsidRPr="000D1EE0" w:rsidRDefault="0033526E" w:rsidP="00F45EF5">
            <w:pPr>
              <w:spacing w:before="80" w:line="500" w:lineRule="exact"/>
              <w:jc w:val="right"/>
              <w:rPr>
                <w:rFonts w:ascii="Tahoma" w:hAnsi="Tahoma" w:cs="Tahoma"/>
                <w:b/>
                <w:bCs/>
                <w:color w:val="243285"/>
                <w:sz w:val="44"/>
                <w:szCs w:val="44"/>
              </w:rPr>
            </w:pPr>
            <w:r w:rsidRPr="000D1EE0">
              <w:rPr>
                <w:rFonts w:ascii="Tahoma" w:hAnsi="Tahoma" w:cs="Tahoma"/>
                <w:b/>
                <w:bCs/>
                <w:color w:val="243285"/>
                <w:sz w:val="44"/>
                <w:szCs w:val="44"/>
              </w:rPr>
              <w:t>banda 6 425-7 125 MHz</w:t>
            </w:r>
          </w:p>
          <w:p w:rsidR="00FC5688" w:rsidRPr="000D1EE0" w:rsidRDefault="00FC5688" w:rsidP="00D62884">
            <w:pPr>
              <w:spacing w:before="80" w:line="500" w:lineRule="exact"/>
              <w:jc w:val="right"/>
              <w:rPr>
                <w:rFonts w:ascii="Tahoma" w:hAnsi="Tahoma" w:cs="Tahoma"/>
                <w:b/>
                <w:bCs/>
                <w:iCs/>
                <w:color w:val="243285"/>
                <w:sz w:val="44"/>
                <w:szCs w:val="44"/>
              </w:rPr>
            </w:pPr>
          </w:p>
        </w:tc>
      </w:tr>
      <w:tr w:rsidR="00FC5688" w:rsidRPr="000D1EE0" w:rsidTr="00D62884">
        <w:tc>
          <w:tcPr>
            <w:tcW w:w="10089" w:type="dxa"/>
          </w:tcPr>
          <w:p w:rsidR="00FC5688" w:rsidRPr="000D1EE0" w:rsidRDefault="00FC5688" w:rsidP="00D62884">
            <w:pPr>
              <w:spacing w:before="80" w:line="280" w:lineRule="exact"/>
              <w:ind w:right="640"/>
              <w:rPr>
                <w:rFonts w:ascii="Tahoma" w:hAnsi="Tahoma" w:cs="Tahoma"/>
                <w:b/>
                <w:bCs/>
                <w:iCs/>
                <w:color w:val="243285"/>
                <w:sz w:val="32"/>
                <w:szCs w:val="32"/>
              </w:rPr>
            </w:pPr>
          </w:p>
          <w:p w:rsidR="00FC5688" w:rsidRPr="000D1EE0" w:rsidRDefault="00FC5688" w:rsidP="00D62884">
            <w:pPr>
              <w:spacing w:before="80" w:line="280" w:lineRule="exact"/>
              <w:ind w:right="640"/>
              <w:rPr>
                <w:rFonts w:ascii="Tahoma" w:hAnsi="Tahoma" w:cs="Tahoma"/>
                <w:b/>
                <w:bCs/>
                <w:iCs/>
                <w:color w:val="243285"/>
                <w:sz w:val="32"/>
                <w:szCs w:val="32"/>
              </w:rPr>
            </w:pPr>
          </w:p>
          <w:p w:rsidR="00FC5688" w:rsidRPr="000D1EE0" w:rsidRDefault="00FC5688" w:rsidP="00D62884">
            <w:pPr>
              <w:spacing w:before="80" w:after="180" w:line="360" w:lineRule="exact"/>
              <w:ind w:right="720"/>
              <w:rPr>
                <w:rFonts w:ascii="Tahoma" w:hAnsi="Tahoma" w:cs="Tahoma"/>
                <w:b/>
                <w:bCs/>
                <w:iCs/>
                <w:color w:val="243285"/>
                <w:sz w:val="36"/>
                <w:szCs w:val="36"/>
              </w:rPr>
            </w:pPr>
          </w:p>
          <w:p w:rsidR="00FC5688" w:rsidRPr="000D1EE0" w:rsidRDefault="00FC5688" w:rsidP="00847DD5">
            <w:pPr>
              <w:spacing w:before="80" w:after="180" w:line="360" w:lineRule="exact"/>
              <w:jc w:val="right"/>
              <w:rPr>
                <w:rFonts w:ascii="Tahoma" w:hAnsi="Tahoma" w:cs="Tahoma"/>
                <w:b/>
                <w:bCs/>
                <w:iCs/>
                <w:color w:val="243285"/>
                <w:sz w:val="36"/>
                <w:szCs w:val="36"/>
              </w:rPr>
            </w:pPr>
            <w:r w:rsidRPr="000D1EE0">
              <w:rPr>
                <w:rFonts w:ascii="Tahoma" w:hAnsi="Tahoma" w:cs="Tahoma"/>
                <w:b/>
                <w:bCs/>
                <w:iCs/>
                <w:color w:val="243285"/>
                <w:sz w:val="36"/>
                <w:szCs w:val="36"/>
              </w:rPr>
              <w:t>Serie F</w:t>
            </w:r>
          </w:p>
          <w:p w:rsidR="00FC5688" w:rsidRPr="000D1EE0" w:rsidRDefault="00FC5688" w:rsidP="00D62884">
            <w:pPr>
              <w:spacing w:before="80" w:line="420" w:lineRule="exact"/>
              <w:jc w:val="right"/>
              <w:rPr>
                <w:rFonts w:ascii="Tahoma" w:hAnsi="Tahoma" w:cs="Tahoma"/>
                <w:b/>
                <w:bCs/>
                <w:iCs/>
                <w:color w:val="243285"/>
                <w:sz w:val="36"/>
                <w:szCs w:val="36"/>
              </w:rPr>
            </w:pPr>
            <w:r w:rsidRPr="000D1EE0">
              <w:rPr>
                <w:rFonts w:ascii="Tahoma" w:hAnsi="Tahoma" w:cs="Tahoma"/>
                <w:b/>
                <w:bCs/>
                <w:iCs/>
                <w:color w:val="243285"/>
                <w:sz w:val="36"/>
                <w:szCs w:val="36"/>
              </w:rPr>
              <w:t>Servicio fijo</w:t>
            </w:r>
          </w:p>
        </w:tc>
      </w:tr>
    </w:tbl>
    <w:p w:rsidR="00FC5688" w:rsidRPr="000D1EE0" w:rsidRDefault="00FC5688" w:rsidP="00B1717A">
      <w:pPr>
        <w:spacing w:before="80"/>
        <w:rPr>
          <w:i/>
          <w:sz w:val="22"/>
        </w:rPr>
      </w:pPr>
    </w:p>
    <w:p w:rsidR="00FC5688" w:rsidRPr="000D1EE0" w:rsidRDefault="00FC5688" w:rsidP="00B1717A">
      <w:pPr>
        <w:spacing w:before="80"/>
        <w:rPr>
          <w:i/>
          <w:sz w:val="22"/>
        </w:rPr>
      </w:pPr>
    </w:p>
    <w:p w:rsidR="00FC5688" w:rsidRPr="000D1EE0" w:rsidRDefault="00FC5688" w:rsidP="00B1717A">
      <w:pPr>
        <w:spacing w:before="80"/>
        <w:rPr>
          <w:i/>
          <w:sz w:val="22"/>
        </w:rPr>
      </w:pPr>
    </w:p>
    <w:p w:rsidR="00FC5688" w:rsidRPr="000D1EE0" w:rsidRDefault="00FC5688" w:rsidP="00B1717A">
      <w:pPr>
        <w:spacing w:before="80"/>
        <w:rPr>
          <w:i/>
          <w:sz w:val="22"/>
        </w:rPr>
      </w:pPr>
    </w:p>
    <w:p w:rsidR="00FC5688" w:rsidRPr="000D1EE0" w:rsidRDefault="00FC5688" w:rsidP="00B1717A">
      <w:pPr>
        <w:spacing w:before="80"/>
        <w:rPr>
          <w:i/>
          <w:sz w:val="22"/>
        </w:rPr>
      </w:pPr>
    </w:p>
    <w:p w:rsidR="00FC5688" w:rsidRPr="000D1EE0" w:rsidRDefault="00FC5688" w:rsidP="00B1717A">
      <w:pPr>
        <w:spacing w:before="80"/>
        <w:rPr>
          <w:i/>
          <w:sz w:val="22"/>
        </w:rPr>
      </w:pPr>
    </w:p>
    <w:p w:rsidR="00FC5688" w:rsidRPr="000D1EE0" w:rsidRDefault="00FC5688" w:rsidP="00B1717A">
      <w:pPr>
        <w:pStyle w:val="Equation"/>
        <w:tabs>
          <w:tab w:val="clear" w:pos="4820"/>
          <w:tab w:val="clear" w:pos="9639"/>
          <w:tab w:val="left" w:pos="1191"/>
          <w:tab w:val="left" w:pos="1588"/>
          <w:tab w:val="left" w:pos="1985"/>
        </w:tabs>
        <w:rPr>
          <w:rFonts w:ascii="Palatino Linotype" w:hAnsi="Palatino Linotype"/>
        </w:rPr>
        <w:sectPr w:rsidR="00FC5688" w:rsidRPr="000D1EE0" w:rsidSect="00C954ED">
          <w:headerReference w:type="even" r:id="rId8"/>
          <w:headerReference w:type="default" r:id="rId9"/>
          <w:pgSz w:w="11907" w:h="16834" w:code="9"/>
          <w:pgMar w:top="1418" w:right="1134" w:bottom="1134" w:left="1134" w:header="720" w:footer="482" w:gutter="0"/>
          <w:paperSrc w:first="15" w:other="15"/>
          <w:cols w:space="720"/>
        </w:sectPr>
      </w:pPr>
    </w:p>
    <w:p w:rsidR="00FC5688" w:rsidRPr="000D1EE0" w:rsidRDefault="00FC5688"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0D1EE0">
        <w:rPr>
          <w:bCs/>
          <w:sz w:val="24"/>
          <w:szCs w:val="24"/>
        </w:rPr>
        <w:lastRenderedPageBreak/>
        <w:t>Prólogo</w:t>
      </w:r>
    </w:p>
    <w:p w:rsidR="00FC5688" w:rsidRPr="000D1EE0" w:rsidRDefault="00FC5688" w:rsidP="00B1717A">
      <w:pPr>
        <w:spacing w:before="180"/>
        <w:rPr>
          <w:sz w:val="20"/>
        </w:rPr>
      </w:pPr>
      <w:r w:rsidRPr="000D1EE0">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C5688" w:rsidRPr="000D1EE0" w:rsidRDefault="00FC5688" w:rsidP="00B1717A">
      <w:pPr>
        <w:rPr>
          <w:sz w:val="20"/>
        </w:rPr>
      </w:pPr>
      <w:r w:rsidRPr="000D1EE0">
        <w:rPr>
          <w:sz w:val="20"/>
        </w:rPr>
        <w:t>Las Conferencias Mundiales y Regionales de Radiocomunicaciones y las Asambleas de Radiocomunicaciones, con la colaboración de las Comisiones de Estudio, cumplen las funciones reglamentarias y políticas del Sector de Radiocomunicaciones.</w:t>
      </w:r>
    </w:p>
    <w:p w:rsidR="00FC5688" w:rsidRPr="000D1EE0" w:rsidRDefault="00FC5688" w:rsidP="00B1717A">
      <w:pPr>
        <w:pStyle w:val="Heading1"/>
        <w:spacing w:before="340"/>
        <w:jc w:val="center"/>
        <w:rPr>
          <w:szCs w:val="24"/>
        </w:rPr>
      </w:pPr>
      <w:r w:rsidRPr="000D1EE0">
        <w:t>Política sobre Derechos de Propiedad Intelectual</w:t>
      </w:r>
      <w:r w:rsidRPr="000D1EE0">
        <w:rPr>
          <w:szCs w:val="24"/>
        </w:rPr>
        <w:t xml:space="preserve"> (IPR)</w:t>
      </w:r>
    </w:p>
    <w:p w:rsidR="00FC5688" w:rsidRPr="000D1EE0" w:rsidRDefault="00FC5688" w:rsidP="00B1717A">
      <w:pPr>
        <w:spacing w:before="180"/>
        <w:rPr>
          <w:sz w:val="20"/>
        </w:rPr>
      </w:pPr>
      <w:r w:rsidRPr="000D1EE0">
        <w:rPr>
          <w:sz w:val="20"/>
        </w:rPr>
        <w:t>La política del UIT</w:t>
      </w:r>
      <w:r w:rsidRPr="000D1EE0">
        <w:rPr>
          <w:sz w:val="20"/>
        </w:rPr>
        <w:noBreakHyphen/>
        <w:t>R sobre Derechos de Propiedad Intelectual se describe en la Política Común de Patentes UIT</w:t>
      </w:r>
      <w:r w:rsidRPr="000D1EE0">
        <w:rPr>
          <w:sz w:val="20"/>
        </w:rPr>
        <w:noBreakHyphen/>
        <w:t>T/UIT</w:t>
      </w:r>
      <w:r w:rsidRPr="000D1EE0">
        <w:rPr>
          <w:sz w:val="20"/>
        </w:rPr>
        <w:noBreakHyphen/>
        <w:t>R/ISO/CEI a la que se hace referencia en el Anexo 1 a la Resolución UIT</w:t>
      </w:r>
      <w:r w:rsidRPr="000D1EE0">
        <w:rPr>
          <w:sz w:val="20"/>
        </w:rPr>
        <w:noBreakHyphen/>
        <w:t xml:space="preserve">R 1. Los formularios que deben utilizarse en la declaración sobre patentes y utilización de patentes por los titulares de las mismas figuran en la dirección web </w:t>
      </w:r>
      <w:hyperlink r:id="rId10" w:history="1">
        <w:r w:rsidRPr="000D1EE0">
          <w:rPr>
            <w:rStyle w:val="Hyperlink"/>
            <w:sz w:val="20"/>
          </w:rPr>
          <w:t>http://www.itu.int/ITU-R/go/patents/es</w:t>
        </w:r>
      </w:hyperlink>
      <w:r w:rsidRPr="000D1EE0">
        <w:rPr>
          <w:sz w:val="20"/>
        </w:rPr>
        <w:t>, donde también aparecen las Directrices para la implementación de la Política Común de Patentes UIT</w:t>
      </w:r>
      <w:r w:rsidRPr="000D1EE0">
        <w:rPr>
          <w:sz w:val="20"/>
        </w:rPr>
        <w:noBreakHyphen/>
        <w:t>T/UIT</w:t>
      </w:r>
      <w:r w:rsidRPr="000D1EE0">
        <w:rPr>
          <w:sz w:val="20"/>
        </w:rPr>
        <w:noBreakHyphen/>
        <w:t>R/ISO/CEI y la base de datos sobre información de patentes del UIT</w:t>
      </w:r>
      <w:r w:rsidRPr="000D1EE0">
        <w:rPr>
          <w:sz w:val="20"/>
        </w:rPr>
        <w:noBreakHyphen/>
        <w:t>R sobre este asunto.</w:t>
      </w:r>
    </w:p>
    <w:p w:rsidR="00FC5688" w:rsidRPr="000D1EE0" w:rsidRDefault="00FC5688" w:rsidP="00B1717A">
      <w:pPr>
        <w:spacing w:before="0"/>
        <w:jc w:val="center"/>
        <w:rPr>
          <w:sz w:val="22"/>
        </w:rPr>
      </w:pPr>
    </w:p>
    <w:p w:rsidR="00FC5688" w:rsidRPr="000D1EE0" w:rsidRDefault="00FC5688" w:rsidP="00B1717A">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C5688" w:rsidRPr="000D1EE0" w:rsidTr="00D62884">
        <w:tc>
          <w:tcPr>
            <w:tcW w:w="9360" w:type="dxa"/>
            <w:gridSpan w:val="2"/>
          </w:tcPr>
          <w:p w:rsidR="00FC5688" w:rsidRPr="000D1EE0" w:rsidRDefault="00FC5688" w:rsidP="00D62884">
            <w:pPr>
              <w:pStyle w:val="Chaptitle"/>
              <w:keepLines w:val="0"/>
              <w:tabs>
                <w:tab w:val="clear" w:pos="794"/>
                <w:tab w:val="clear" w:pos="1191"/>
                <w:tab w:val="clear" w:pos="1588"/>
                <w:tab w:val="clear" w:pos="1985"/>
              </w:tabs>
              <w:overflowPunct/>
              <w:spacing w:before="140"/>
              <w:textAlignment w:val="auto"/>
              <w:rPr>
                <w:sz w:val="22"/>
                <w:szCs w:val="22"/>
              </w:rPr>
            </w:pPr>
            <w:r w:rsidRPr="000D1EE0">
              <w:rPr>
                <w:sz w:val="22"/>
                <w:szCs w:val="22"/>
              </w:rPr>
              <w:t xml:space="preserve">Series de las Recomendaciones UIT-R </w:t>
            </w:r>
          </w:p>
          <w:p w:rsidR="00FC5688" w:rsidRPr="000D1EE0" w:rsidRDefault="00FC5688"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D1EE0">
              <w:rPr>
                <w:b w:val="0"/>
                <w:sz w:val="18"/>
                <w:szCs w:val="18"/>
              </w:rPr>
              <w:t xml:space="preserve">(También disponible en línea en </w:t>
            </w:r>
            <w:hyperlink r:id="rId11" w:history="1">
              <w:r w:rsidRPr="000D1EE0">
                <w:rPr>
                  <w:rStyle w:val="Hyperlink"/>
                  <w:b w:val="0"/>
                  <w:bCs/>
                  <w:sz w:val="18"/>
                  <w:szCs w:val="18"/>
                </w:rPr>
                <w:t>http://www.itu.int/publ/R-REC/es</w:t>
              </w:r>
            </w:hyperlink>
            <w:r w:rsidRPr="000D1EE0">
              <w:rPr>
                <w:b w:val="0"/>
                <w:bCs/>
                <w:sz w:val="18"/>
                <w:szCs w:val="18"/>
              </w:rPr>
              <w:t>)</w:t>
            </w:r>
          </w:p>
        </w:tc>
      </w:tr>
      <w:tr w:rsidR="00FC5688" w:rsidRPr="000D1EE0" w:rsidTr="004532F7">
        <w:tc>
          <w:tcPr>
            <w:tcW w:w="1140" w:type="dxa"/>
            <w:tcBorders>
              <w:bottom w:val="nil"/>
            </w:tcBorders>
          </w:tcPr>
          <w:p w:rsidR="00FC5688" w:rsidRPr="000D1EE0" w:rsidRDefault="00FC5688" w:rsidP="00D62884">
            <w:pPr>
              <w:spacing w:before="180" w:after="100"/>
              <w:ind w:left="57"/>
              <w:rPr>
                <w:b/>
                <w:bCs/>
                <w:sz w:val="20"/>
              </w:rPr>
            </w:pPr>
            <w:r w:rsidRPr="000D1EE0">
              <w:rPr>
                <w:b/>
                <w:bCs/>
                <w:sz w:val="20"/>
              </w:rPr>
              <w:t>Series</w:t>
            </w:r>
          </w:p>
        </w:tc>
        <w:tc>
          <w:tcPr>
            <w:tcW w:w="8220" w:type="dxa"/>
            <w:tcBorders>
              <w:bottom w:val="nil"/>
            </w:tcBorders>
          </w:tcPr>
          <w:p w:rsidR="00FC5688" w:rsidRPr="000D1EE0" w:rsidRDefault="00FC5688"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0D1EE0">
              <w:rPr>
                <w:bCs/>
                <w:sz w:val="20"/>
              </w:rPr>
              <w:t>Título</w:t>
            </w:r>
          </w:p>
        </w:tc>
      </w:tr>
      <w:tr w:rsidR="00FC5688" w:rsidRPr="000D1EE0" w:rsidTr="004532F7">
        <w:tc>
          <w:tcPr>
            <w:tcW w:w="1140" w:type="dxa"/>
            <w:tcBorders>
              <w:top w:val="nil"/>
              <w:bottom w:val="nil"/>
            </w:tcBorders>
            <w:shd w:val="clear" w:color="auto" w:fill="auto"/>
          </w:tcPr>
          <w:p w:rsidR="00FC5688" w:rsidRPr="000D1EE0" w:rsidRDefault="00FC5688" w:rsidP="00D62884">
            <w:pPr>
              <w:spacing w:before="30" w:after="30"/>
              <w:ind w:left="57"/>
              <w:jc w:val="left"/>
              <w:rPr>
                <w:b/>
                <w:bCs/>
                <w:sz w:val="20"/>
              </w:rPr>
            </w:pPr>
            <w:r w:rsidRPr="000D1EE0">
              <w:rPr>
                <w:b/>
                <w:bCs/>
                <w:sz w:val="20"/>
              </w:rPr>
              <w:t>BO</w:t>
            </w:r>
          </w:p>
        </w:tc>
        <w:tc>
          <w:tcPr>
            <w:tcW w:w="8220" w:type="dxa"/>
            <w:tcBorders>
              <w:top w:val="nil"/>
              <w:bottom w:val="nil"/>
            </w:tcBorders>
            <w:shd w:val="clear" w:color="auto" w:fill="auto"/>
          </w:tcPr>
          <w:p w:rsidR="00FC5688" w:rsidRPr="000D1EE0" w:rsidRDefault="00FC5688"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D1EE0">
              <w:rPr>
                <w:b w:val="0"/>
                <w:sz w:val="20"/>
              </w:rPr>
              <w:t>Distribución por satélite</w:t>
            </w:r>
          </w:p>
        </w:tc>
      </w:tr>
      <w:tr w:rsidR="00FC5688" w:rsidRPr="000D1EE0" w:rsidTr="00847DD5">
        <w:tc>
          <w:tcPr>
            <w:tcW w:w="1140" w:type="dxa"/>
            <w:tcBorders>
              <w:top w:val="nil"/>
              <w:bottom w:val="nil"/>
            </w:tcBorders>
            <w:shd w:val="clear" w:color="auto" w:fill="auto"/>
          </w:tcPr>
          <w:p w:rsidR="00FC5688" w:rsidRPr="000D1EE0" w:rsidRDefault="00FC5688" w:rsidP="00D62884">
            <w:pPr>
              <w:spacing w:before="30" w:after="30"/>
              <w:ind w:left="57"/>
              <w:jc w:val="left"/>
              <w:rPr>
                <w:b/>
                <w:bCs/>
                <w:sz w:val="20"/>
              </w:rPr>
            </w:pPr>
            <w:r w:rsidRPr="000D1EE0">
              <w:rPr>
                <w:b/>
                <w:bCs/>
                <w:sz w:val="20"/>
              </w:rPr>
              <w:t>BR</w:t>
            </w:r>
          </w:p>
        </w:tc>
        <w:tc>
          <w:tcPr>
            <w:tcW w:w="8220" w:type="dxa"/>
            <w:tcBorders>
              <w:top w:val="nil"/>
              <w:bottom w:val="nil"/>
            </w:tcBorders>
            <w:shd w:val="clear" w:color="auto" w:fill="auto"/>
          </w:tcPr>
          <w:p w:rsidR="00FC5688" w:rsidRPr="000D1EE0" w:rsidRDefault="00FC5688"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D1EE0">
              <w:rPr>
                <w:b w:val="0"/>
                <w:sz w:val="20"/>
              </w:rPr>
              <w:t>Registro para producción, archivo y reproducción; películas en televisión</w:t>
            </w:r>
          </w:p>
        </w:tc>
      </w:tr>
      <w:tr w:rsidR="00FC5688" w:rsidRPr="000D1EE0" w:rsidTr="00847DD5">
        <w:tc>
          <w:tcPr>
            <w:tcW w:w="1140" w:type="dxa"/>
            <w:tcBorders>
              <w:top w:val="nil"/>
              <w:bottom w:val="nil"/>
            </w:tcBorders>
            <w:shd w:val="clear" w:color="auto" w:fill="auto"/>
          </w:tcPr>
          <w:p w:rsidR="00FC5688" w:rsidRPr="000D1EE0" w:rsidRDefault="00FC5688" w:rsidP="00D62884">
            <w:pPr>
              <w:spacing w:before="30" w:after="30"/>
              <w:ind w:left="57"/>
              <w:jc w:val="left"/>
              <w:rPr>
                <w:b/>
                <w:bCs/>
                <w:sz w:val="20"/>
              </w:rPr>
            </w:pPr>
            <w:r w:rsidRPr="000D1EE0">
              <w:rPr>
                <w:b/>
                <w:bCs/>
                <w:sz w:val="20"/>
              </w:rPr>
              <w:t>BS</w:t>
            </w:r>
          </w:p>
        </w:tc>
        <w:tc>
          <w:tcPr>
            <w:tcW w:w="8220" w:type="dxa"/>
            <w:tcBorders>
              <w:top w:val="nil"/>
              <w:bottom w:val="nil"/>
            </w:tcBorders>
            <w:shd w:val="clear" w:color="auto" w:fill="auto"/>
          </w:tcPr>
          <w:p w:rsidR="00FC5688" w:rsidRPr="000D1EE0" w:rsidRDefault="00FC5688"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D1EE0">
              <w:rPr>
                <w:b w:val="0"/>
                <w:sz w:val="20"/>
              </w:rPr>
              <w:t>Servicio de radiodifusión sonora</w:t>
            </w:r>
          </w:p>
        </w:tc>
      </w:tr>
      <w:tr w:rsidR="00FC5688" w:rsidRPr="000D1EE0" w:rsidTr="00847DD5">
        <w:tc>
          <w:tcPr>
            <w:tcW w:w="1140" w:type="dxa"/>
            <w:tcBorders>
              <w:top w:val="nil"/>
              <w:bottom w:val="nil"/>
            </w:tcBorders>
            <w:shd w:val="clear" w:color="auto" w:fill="auto"/>
          </w:tcPr>
          <w:p w:rsidR="00FC5688" w:rsidRPr="000D1EE0" w:rsidRDefault="00FC5688" w:rsidP="00D62884">
            <w:pPr>
              <w:spacing w:before="30" w:after="30"/>
              <w:ind w:left="57"/>
              <w:jc w:val="left"/>
              <w:rPr>
                <w:b/>
                <w:bCs/>
                <w:sz w:val="20"/>
              </w:rPr>
            </w:pPr>
            <w:r w:rsidRPr="000D1EE0">
              <w:rPr>
                <w:b/>
                <w:bCs/>
                <w:sz w:val="20"/>
              </w:rPr>
              <w:t>BT</w:t>
            </w:r>
          </w:p>
        </w:tc>
        <w:tc>
          <w:tcPr>
            <w:tcW w:w="8220" w:type="dxa"/>
            <w:tcBorders>
              <w:top w:val="nil"/>
              <w:bottom w:val="nil"/>
            </w:tcBorders>
            <w:shd w:val="clear" w:color="auto" w:fill="auto"/>
          </w:tcPr>
          <w:p w:rsidR="00FC5688" w:rsidRPr="000D1EE0" w:rsidRDefault="00FC5688"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D1EE0">
              <w:rPr>
                <w:b w:val="0"/>
                <w:bCs/>
                <w:sz w:val="20"/>
              </w:rPr>
              <w:t>Servicio de radiodifusión (televisión)</w:t>
            </w:r>
          </w:p>
        </w:tc>
      </w:tr>
      <w:tr w:rsidR="00FC5688" w:rsidRPr="000D1EE0" w:rsidTr="00847DD5">
        <w:tc>
          <w:tcPr>
            <w:tcW w:w="1140" w:type="dxa"/>
            <w:tcBorders>
              <w:top w:val="nil"/>
              <w:bottom w:val="nil"/>
            </w:tcBorders>
            <w:shd w:val="clear" w:color="auto" w:fill="F3F3F3"/>
          </w:tcPr>
          <w:p w:rsidR="00FC5688" w:rsidRPr="000D1EE0" w:rsidRDefault="00FC5688" w:rsidP="00D62884">
            <w:pPr>
              <w:spacing w:before="30" w:after="30"/>
              <w:ind w:left="57"/>
              <w:jc w:val="left"/>
              <w:rPr>
                <w:b/>
                <w:bCs/>
                <w:color w:val="000080"/>
                <w:sz w:val="20"/>
              </w:rPr>
            </w:pPr>
            <w:r w:rsidRPr="000D1EE0">
              <w:rPr>
                <w:b/>
                <w:bCs/>
                <w:color w:val="000080"/>
                <w:sz w:val="20"/>
              </w:rPr>
              <w:t>F</w:t>
            </w:r>
          </w:p>
        </w:tc>
        <w:tc>
          <w:tcPr>
            <w:tcW w:w="8220" w:type="dxa"/>
            <w:tcBorders>
              <w:top w:val="nil"/>
              <w:bottom w:val="nil"/>
            </w:tcBorders>
            <w:shd w:val="clear" w:color="auto" w:fill="F3F3F3"/>
          </w:tcPr>
          <w:p w:rsidR="00FC5688" w:rsidRPr="000D1EE0" w:rsidRDefault="00FC5688"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0D1EE0">
              <w:rPr>
                <w:b/>
                <w:bCs/>
                <w:color w:val="000080"/>
                <w:sz w:val="20"/>
              </w:rPr>
              <w:t>Servicio fijo</w:t>
            </w:r>
          </w:p>
        </w:tc>
      </w:tr>
      <w:tr w:rsidR="00FC5688" w:rsidRPr="000D1EE0" w:rsidTr="00D62884">
        <w:tc>
          <w:tcPr>
            <w:tcW w:w="1140" w:type="dxa"/>
            <w:tcBorders>
              <w:top w:val="nil"/>
              <w:bottom w:val="nil"/>
            </w:tcBorders>
            <w:shd w:val="clear" w:color="auto" w:fill="auto"/>
          </w:tcPr>
          <w:p w:rsidR="00FC5688" w:rsidRPr="000D1EE0" w:rsidRDefault="00FC5688" w:rsidP="00D62884">
            <w:pPr>
              <w:spacing w:before="30" w:after="30"/>
              <w:ind w:left="57"/>
              <w:jc w:val="left"/>
              <w:rPr>
                <w:rFonts w:hAnsi="Times New Roman Bold"/>
                <w:b/>
                <w:bCs/>
                <w:sz w:val="20"/>
              </w:rPr>
            </w:pPr>
            <w:r w:rsidRPr="000D1EE0">
              <w:rPr>
                <w:rFonts w:hAnsi="Times New Roman Bold"/>
                <w:b/>
                <w:bCs/>
                <w:sz w:val="20"/>
              </w:rPr>
              <w:t>M</w:t>
            </w:r>
          </w:p>
        </w:tc>
        <w:tc>
          <w:tcPr>
            <w:tcW w:w="8220" w:type="dxa"/>
            <w:tcBorders>
              <w:top w:val="nil"/>
              <w:bottom w:val="nil"/>
            </w:tcBorders>
            <w:shd w:val="clear" w:color="auto" w:fill="auto"/>
          </w:tcPr>
          <w:p w:rsidR="00FC5688" w:rsidRPr="000D1EE0" w:rsidRDefault="00FC5688"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0D1EE0">
              <w:rPr>
                <w:rFonts w:hAnsi="Times New Roman Bold"/>
                <w:b w:val="0"/>
                <w:sz w:val="20"/>
              </w:rPr>
              <w:t>Servicios m</w:t>
            </w:r>
            <w:r w:rsidRPr="000D1EE0">
              <w:rPr>
                <w:rFonts w:hAnsi="Times New Roman Bold"/>
                <w:b w:val="0"/>
                <w:sz w:val="20"/>
              </w:rPr>
              <w:t>ó</w:t>
            </w:r>
            <w:r w:rsidRPr="000D1EE0">
              <w:rPr>
                <w:rFonts w:hAnsi="Times New Roman Bold"/>
                <w:b w:val="0"/>
                <w:sz w:val="20"/>
              </w:rPr>
              <w:t>viles, de radiodeterminaci</w:t>
            </w:r>
            <w:r w:rsidRPr="000D1EE0">
              <w:rPr>
                <w:rFonts w:hAnsi="Times New Roman Bold"/>
                <w:b w:val="0"/>
                <w:sz w:val="20"/>
              </w:rPr>
              <w:t>ó</w:t>
            </w:r>
            <w:r w:rsidRPr="000D1EE0">
              <w:rPr>
                <w:rFonts w:hAnsi="Times New Roman Bold"/>
                <w:b w:val="0"/>
                <w:sz w:val="20"/>
              </w:rPr>
              <w:t>n, de aficionados y otros servicios por sat</w:t>
            </w:r>
            <w:r w:rsidRPr="000D1EE0">
              <w:rPr>
                <w:rFonts w:hAnsi="Times New Roman Bold"/>
                <w:b w:val="0"/>
                <w:sz w:val="20"/>
              </w:rPr>
              <w:t>é</w:t>
            </w:r>
            <w:r w:rsidRPr="000D1EE0">
              <w:rPr>
                <w:rFonts w:hAnsi="Times New Roman Bold"/>
                <w:b w:val="0"/>
                <w:sz w:val="20"/>
              </w:rPr>
              <w:t>lite conexos</w:t>
            </w:r>
          </w:p>
        </w:tc>
      </w:tr>
      <w:tr w:rsidR="00FC5688" w:rsidRPr="000D1EE0" w:rsidTr="00D62884">
        <w:tc>
          <w:tcPr>
            <w:tcW w:w="1140" w:type="dxa"/>
            <w:tcBorders>
              <w:top w:val="nil"/>
            </w:tcBorders>
          </w:tcPr>
          <w:p w:rsidR="00FC5688" w:rsidRPr="000D1EE0" w:rsidRDefault="00FC5688" w:rsidP="00D62884">
            <w:pPr>
              <w:spacing w:before="30" w:after="30"/>
              <w:ind w:left="57"/>
              <w:jc w:val="left"/>
              <w:rPr>
                <w:b/>
                <w:bCs/>
                <w:sz w:val="20"/>
              </w:rPr>
            </w:pPr>
            <w:r w:rsidRPr="000D1EE0">
              <w:rPr>
                <w:b/>
                <w:bCs/>
                <w:sz w:val="20"/>
              </w:rPr>
              <w:t>P</w:t>
            </w:r>
          </w:p>
        </w:tc>
        <w:tc>
          <w:tcPr>
            <w:tcW w:w="8220" w:type="dxa"/>
            <w:tcBorders>
              <w:top w:val="nil"/>
            </w:tcBorders>
          </w:tcPr>
          <w:p w:rsidR="00FC5688" w:rsidRPr="000D1EE0" w:rsidRDefault="00FC5688" w:rsidP="00D62884">
            <w:pPr>
              <w:spacing w:before="30" w:after="30"/>
              <w:jc w:val="left"/>
              <w:rPr>
                <w:bCs/>
                <w:sz w:val="20"/>
              </w:rPr>
            </w:pPr>
            <w:r w:rsidRPr="000D1EE0">
              <w:rPr>
                <w:bCs/>
                <w:sz w:val="20"/>
              </w:rPr>
              <w:t>Propagación de las ondas radioeléctricas</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RA</w:t>
            </w:r>
          </w:p>
        </w:tc>
        <w:tc>
          <w:tcPr>
            <w:tcW w:w="8220" w:type="dxa"/>
          </w:tcPr>
          <w:p w:rsidR="00FC5688" w:rsidRPr="000D1EE0" w:rsidRDefault="00FC5688"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0D1EE0">
              <w:rPr>
                <w:bCs/>
                <w:sz w:val="20"/>
              </w:rPr>
              <w:t>Radio astronomía</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RS</w:t>
            </w:r>
          </w:p>
        </w:tc>
        <w:tc>
          <w:tcPr>
            <w:tcW w:w="8220" w:type="dxa"/>
          </w:tcPr>
          <w:p w:rsidR="00FC5688" w:rsidRPr="000D1EE0" w:rsidRDefault="00FC5688"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0D1EE0">
              <w:rPr>
                <w:bCs/>
                <w:sz w:val="20"/>
              </w:rPr>
              <w:t>Sistemas de detección a distancia</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S</w:t>
            </w:r>
          </w:p>
        </w:tc>
        <w:tc>
          <w:tcPr>
            <w:tcW w:w="8220" w:type="dxa"/>
          </w:tcPr>
          <w:p w:rsidR="00FC5688" w:rsidRPr="000D1EE0" w:rsidRDefault="00FC5688" w:rsidP="00D62884">
            <w:pPr>
              <w:spacing w:before="30" w:after="30"/>
              <w:jc w:val="left"/>
              <w:rPr>
                <w:bCs/>
                <w:sz w:val="20"/>
              </w:rPr>
            </w:pPr>
            <w:r w:rsidRPr="000D1EE0">
              <w:rPr>
                <w:bCs/>
                <w:sz w:val="20"/>
              </w:rPr>
              <w:t>Servicio fijo por satélite</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SA</w:t>
            </w:r>
          </w:p>
        </w:tc>
        <w:tc>
          <w:tcPr>
            <w:tcW w:w="8220" w:type="dxa"/>
          </w:tcPr>
          <w:p w:rsidR="00FC5688" w:rsidRPr="000D1EE0" w:rsidRDefault="00FC5688" w:rsidP="00D62884">
            <w:pPr>
              <w:spacing w:before="30" w:after="30"/>
              <w:jc w:val="left"/>
              <w:rPr>
                <w:bCs/>
                <w:sz w:val="20"/>
              </w:rPr>
            </w:pPr>
            <w:r w:rsidRPr="000D1EE0">
              <w:rPr>
                <w:bCs/>
                <w:sz w:val="20"/>
              </w:rPr>
              <w:t>Aplicaciones espaciales y meteorología</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SF</w:t>
            </w:r>
          </w:p>
        </w:tc>
        <w:tc>
          <w:tcPr>
            <w:tcW w:w="8220" w:type="dxa"/>
          </w:tcPr>
          <w:p w:rsidR="00FC5688" w:rsidRPr="000D1EE0" w:rsidRDefault="00FC5688" w:rsidP="00D62884">
            <w:pPr>
              <w:spacing w:before="30" w:after="30"/>
              <w:jc w:val="left"/>
              <w:rPr>
                <w:bCs/>
                <w:sz w:val="20"/>
              </w:rPr>
            </w:pPr>
            <w:r w:rsidRPr="000D1EE0">
              <w:rPr>
                <w:bCs/>
                <w:sz w:val="20"/>
              </w:rPr>
              <w:t>Compartición de frecuencias y coordinación entre los sistemas del servicio fijo por satélite y del servicio fijo</w:t>
            </w:r>
          </w:p>
        </w:tc>
      </w:tr>
      <w:tr w:rsidR="00FC5688" w:rsidRPr="000D1EE0" w:rsidTr="00D62884">
        <w:tc>
          <w:tcPr>
            <w:tcW w:w="1140" w:type="dxa"/>
            <w:shd w:val="clear" w:color="auto" w:fill="auto"/>
          </w:tcPr>
          <w:p w:rsidR="00FC5688" w:rsidRPr="000D1EE0" w:rsidRDefault="00FC5688" w:rsidP="00D62884">
            <w:pPr>
              <w:spacing w:before="30" w:after="30"/>
              <w:ind w:left="57"/>
              <w:jc w:val="left"/>
              <w:rPr>
                <w:b/>
                <w:bCs/>
                <w:sz w:val="20"/>
              </w:rPr>
            </w:pPr>
            <w:r w:rsidRPr="000D1EE0">
              <w:rPr>
                <w:b/>
                <w:bCs/>
                <w:sz w:val="20"/>
              </w:rPr>
              <w:t>SM</w:t>
            </w:r>
          </w:p>
        </w:tc>
        <w:tc>
          <w:tcPr>
            <w:tcW w:w="8220" w:type="dxa"/>
            <w:shd w:val="clear" w:color="auto" w:fill="auto"/>
          </w:tcPr>
          <w:p w:rsidR="00FC5688" w:rsidRPr="000D1EE0" w:rsidRDefault="00FC5688" w:rsidP="00D62884">
            <w:pPr>
              <w:spacing w:before="30" w:after="30"/>
              <w:jc w:val="left"/>
              <w:rPr>
                <w:sz w:val="20"/>
              </w:rPr>
            </w:pPr>
            <w:r w:rsidRPr="000D1EE0">
              <w:rPr>
                <w:sz w:val="20"/>
              </w:rPr>
              <w:t>Gestión del espectro</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SNG</w:t>
            </w:r>
          </w:p>
        </w:tc>
        <w:tc>
          <w:tcPr>
            <w:tcW w:w="8220" w:type="dxa"/>
          </w:tcPr>
          <w:p w:rsidR="00FC5688" w:rsidRPr="000D1EE0" w:rsidRDefault="00FC5688" w:rsidP="00D62884">
            <w:pPr>
              <w:spacing w:before="30" w:after="30"/>
              <w:jc w:val="left"/>
              <w:rPr>
                <w:bCs/>
                <w:sz w:val="20"/>
              </w:rPr>
            </w:pPr>
            <w:r w:rsidRPr="000D1EE0">
              <w:rPr>
                <w:bCs/>
                <w:sz w:val="20"/>
              </w:rPr>
              <w:t>Periodismo electrónico por satélite</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TF</w:t>
            </w:r>
          </w:p>
        </w:tc>
        <w:tc>
          <w:tcPr>
            <w:tcW w:w="8220" w:type="dxa"/>
          </w:tcPr>
          <w:p w:rsidR="00FC5688" w:rsidRPr="000D1EE0" w:rsidRDefault="00FC5688" w:rsidP="00D62884">
            <w:pPr>
              <w:spacing w:before="30" w:after="30"/>
              <w:jc w:val="left"/>
              <w:rPr>
                <w:bCs/>
                <w:sz w:val="20"/>
              </w:rPr>
            </w:pPr>
            <w:r w:rsidRPr="000D1EE0">
              <w:rPr>
                <w:bCs/>
                <w:sz w:val="20"/>
              </w:rPr>
              <w:t>Emisiones de frecuencias patrón y señales horarias</w:t>
            </w:r>
          </w:p>
        </w:tc>
      </w:tr>
      <w:tr w:rsidR="00FC5688" w:rsidRPr="000D1EE0" w:rsidTr="00D62884">
        <w:tc>
          <w:tcPr>
            <w:tcW w:w="1140" w:type="dxa"/>
          </w:tcPr>
          <w:p w:rsidR="00FC5688" w:rsidRPr="000D1EE0" w:rsidRDefault="00FC5688" w:rsidP="00D62884">
            <w:pPr>
              <w:spacing w:before="30" w:after="30"/>
              <w:ind w:left="57"/>
              <w:jc w:val="left"/>
              <w:rPr>
                <w:b/>
                <w:bCs/>
                <w:sz w:val="20"/>
              </w:rPr>
            </w:pPr>
            <w:r w:rsidRPr="000D1EE0">
              <w:rPr>
                <w:b/>
                <w:bCs/>
                <w:sz w:val="20"/>
              </w:rPr>
              <w:t>V</w:t>
            </w:r>
          </w:p>
        </w:tc>
        <w:tc>
          <w:tcPr>
            <w:tcW w:w="8220" w:type="dxa"/>
          </w:tcPr>
          <w:p w:rsidR="00FC5688" w:rsidRPr="000D1EE0" w:rsidRDefault="00FC5688" w:rsidP="00D62884">
            <w:pPr>
              <w:spacing w:before="30" w:after="140"/>
              <w:jc w:val="left"/>
              <w:rPr>
                <w:bCs/>
                <w:sz w:val="20"/>
              </w:rPr>
            </w:pPr>
            <w:r w:rsidRPr="000D1EE0">
              <w:rPr>
                <w:bCs/>
                <w:sz w:val="20"/>
              </w:rPr>
              <w:t>Vocabulario y cuestiones afines</w:t>
            </w:r>
          </w:p>
        </w:tc>
      </w:tr>
    </w:tbl>
    <w:p w:rsidR="00FC5688" w:rsidRPr="000D1EE0" w:rsidRDefault="00FC5688" w:rsidP="00B1717A">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FC5688" w:rsidRPr="000D1EE0" w:rsidTr="00D62884">
        <w:tc>
          <w:tcPr>
            <w:tcW w:w="720" w:type="dxa"/>
          </w:tcPr>
          <w:p w:rsidR="00FC5688" w:rsidRPr="000D1EE0" w:rsidRDefault="00FC5688" w:rsidP="00D62884">
            <w:pPr>
              <w:spacing w:before="0"/>
              <w:jc w:val="center"/>
              <w:rPr>
                <w:sz w:val="22"/>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FC5688" w:rsidRPr="000D1EE0" w:rsidTr="00D62884">
        <w:tc>
          <w:tcPr>
            <w:tcW w:w="9360" w:type="dxa"/>
          </w:tcPr>
          <w:p w:rsidR="00FC5688" w:rsidRPr="000D1EE0" w:rsidRDefault="00FC5688" w:rsidP="00A213C0">
            <w:pPr>
              <w:spacing w:before="92" w:after="92"/>
              <w:jc w:val="left"/>
              <w:rPr>
                <w:i/>
                <w:iCs/>
                <w:sz w:val="20"/>
              </w:rPr>
            </w:pPr>
            <w:r w:rsidRPr="000D1EE0">
              <w:rPr>
                <w:b/>
                <w:bCs/>
                <w:i/>
                <w:iCs/>
                <w:sz w:val="20"/>
              </w:rPr>
              <w:t>Nota</w:t>
            </w:r>
            <w:r w:rsidRPr="000D1EE0">
              <w:rPr>
                <w:i/>
                <w:iCs/>
                <w:sz w:val="20"/>
              </w:rPr>
              <w:t xml:space="preserve">: Esta Recomendación UIT-R fue aprobada en inglés conforme al procedimiento detallado en la </w:t>
            </w:r>
            <w:r w:rsidRPr="000D1EE0">
              <w:rPr>
                <w:i/>
                <w:iCs/>
                <w:sz w:val="20"/>
              </w:rPr>
              <w:br/>
              <w:t>Resolución UIT-R 1.</w:t>
            </w:r>
          </w:p>
        </w:tc>
      </w:tr>
    </w:tbl>
    <w:p w:rsidR="00FC5688" w:rsidRPr="000D1EE0" w:rsidRDefault="00FC5688" w:rsidP="00B1717A">
      <w:pPr>
        <w:spacing w:before="0"/>
        <w:jc w:val="center"/>
        <w:rPr>
          <w:sz w:val="22"/>
        </w:rPr>
      </w:pPr>
    </w:p>
    <w:p w:rsidR="00FC5688" w:rsidRPr="000D1EE0" w:rsidRDefault="00FC5688" w:rsidP="00B1717A">
      <w:pPr>
        <w:spacing w:before="60"/>
        <w:jc w:val="right"/>
        <w:rPr>
          <w:i/>
          <w:iCs/>
          <w:sz w:val="20"/>
        </w:rPr>
      </w:pPr>
      <w:r w:rsidRPr="000D1EE0">
        <w:rPr>
          <w:i/>
          <w:iCs/>
          <w:sz w:val="20"/>
        </w:rPr>
        <w:t>Publicación electrónica</w:t>
      </w:r>
    </w:p>
    <w:p w:rsidR="00FC5688" w:rsidRPr="000D1EE0" w:rsidRDefault="00FC5688" w:rsidP="007C7328">
      <w:pPr>
        <w:spacing w:before="0" w:after="40"/>
        <w:jc w:val="right"/>
        <w:rPr>
          <w:sz w:val="20"/>
        </w:rPr>
      </w:pPr>
      <w:r w:rsidRPr="000D1EE0">
        <w:rPr>
          <w:sz w:val="20"/>
        </w:rPr>
        <w:t>Ginebra, 2012</w:t>
      </w:r>
    </w:p>
    <w:p w:rsidR="00FC5688" w:rsidRPr="000D1EE0" w:rsidRDefault="00FC5688" w:rsidP="00B1717A">
      <w:pPr>
        <w:spacing w:before="0"/>
        <w:jc w:val="center"/>
        <w:rPr>
          <w:sz w:val="22"/>
        </w:rPr>
      </w:pPr>
    </w:p>
    <w:p w:rsidR="00FC5688" w:rsidRPr="000D1EE0" w:rsidRDefault="00FC5688" w:rsidP="007C7328">
      <w:pPr>
        <w:spacing w:before="0"/>
        <w:jc w:val="center"/>
        <w:rPr>
          <w:sz w:val="20"/>
        </w:rPr>
      </w:pPr>
      <w:r w:rsidRPr="000D1EE0">
        <w:rPr>
          <w:sz w:val="20"/>
        </w:rPr>
        <w:sym w:font="Symbol" w:char="F0E3"/>
      </w:r>
      <w:r w:rsidRPr="000D1EE0">
        <w:rPr>
          <w:sz w:val="20"/>
        </w:rPr>
        <w:t xml:space="preserve"> UIT </w:t>
      </w:r>
      <w:bookmarkStart w:id="2" w:name="iiannee"/>
      <w:bookmarkEnd w:id="2"/>
      <w:r w:rsidRPr="000D1EE0">
        <w:rPr>
          <w:sz w:val="20"/>
        </w:rPr>
        <w:t>2012</w:t>
      </w:r>
    </w:p>
    <w:p w:rsidR="00FC5688" w:rsidRPr="000D1EE0" w:rsidRDefault="00FC5688" w:rsidP="00B1717A">
      <w:pPr>
        <w:spacing w:before="80"/>
        <w:rPr>
          <w:sz w:val="18"/>
          <w:szCs w:val="18"/>
        </w:rPr>
      </w:pPr>
      <w:r w:rsidRPr="000D1EE0">
        <w:rPr>
          <w:sz w:val="18"/>
          <w:szCs w:val="18"/>
        </w:rPr>
        <w:t>Reservados todos los derechos. Ninguna parte de esta publicación puede reproducirse por ningún procedimiento sin previa autorización escrita por parte de la UIT.</w:t>
      </w:r>
    </w:p>
    <w:p w:rsidR="00FC5688" w:rsidRPr="000D1EE0" w:rsidRDefault="00FC5688" w:rsidP="00B1717A">
      <w:pPr>
        <w:spacing w:before="160"/>
        <w:rPr>
          <w:i/>
          <w:sz w:val="20"/>
          <w:highlight w:val="yellow"/>
        </w:rPr>
        <w:sectPr w:rsidR="00FC5688" w:rsidRPr="000D1EE0"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FC5688" w:rsidRPr="000D1EE0" w:rsidRDefault="00FC5688" w:rsidP="00847DD5">
      <w:pPr>
        <w:pStyle w:val="RecNo"/>
        <w:spacing w:before="0"/>
      </w:pPr>
      <w:bookmarkStart w:id="3" w:name="irecnoe"/>
      <w:bookmarkEnd w:id="3"/>
      <w:r w:rsidRPr="000D1EE0">
        <w:lastRenderedPageBreak/>
        <w:t xml:space="preserve">RECOMENDACIÓN  </w:t>
      </w:r>
      <w:r w:rsidRPr="000D1EE0">
        <w:rPr>
          <w:rStyle w:val="href"/>
        </w:rPr>
        <w:t>UIT-R  F.384-11</w:t>
      </w:r>
    </w:p>
    <w:p w:rsidR="00923330" w:rsidRPr="000D1EE0" w:rsidRDefault="00923330" w:rsidP="00D22D09">
      <w:pPr>
        <w:pStyle w:val="Rectitle"/>
      </w:pPr>
      <w:bookmarkStart w:id="4" w:name="Pre_title"/>
      <w:bookmarkStart w:id="5" w:name="Related_Questions"/>
      <w:r w:rsidRPr="000D1EE0">
        <w:t xml:space="preserve">Disposición de radiocanales para sistemas inalámbricos fijos </w:t>
      </w:r>
      <w:r w:rsidR="00D22D09" w:rsidRPr="000D1EE0">
        <w:t>digitales</w:t>
      </w:r>
      <w:r w:rsidR="00D22D09">
        <w:br/>
      </w:r>
      <w:r w:rsidRPr="000D1EE0">
        <w:t>de media y gran capacidad que funcionan</w:t>
      </w:r>
      <w:r w:rsidR="00D22D09">
        <w:br/>
      </w:r>
      <w:r w:rsidRPr="000D1EE0">
        <w:t>en la banda</w:t>
      </w:r>
      <w:r w:rsidR="00D22D09">
        <w:t xml:space="preserve"> </w:t>
      </w:r>
      <w:r w:rsidRPr="000D1EE0">
        <w:t>6 425-7 125 MHz</w:t>
      </w:r>
      <w:bookmarkEnd w:id="4"/>
    </w:p>
    <w:p w:rsidR="00923330" w:rsidRPr="000D1EE0" w:rsidRDefault="00923330" w:rsidP="00923330">
      <w:pPr>
        <w:pStyle w:val="Blanc"/>
        <w:rPr>
          <w:lang w:val="es-ES"/>
        </w:rPr>
      </w:pPr>
      <w:bookmarkStart w:id="6" w:name="Revision_history"/>
      <w:bookmarkEnd w:id="5"/>
    </w:p>
    <w:p w:rsidR="00923330" w:rsidRPr="000D1EE0" w:rsidRDefault="00923330" w:rsidP="00923330">
      <w:pPr>
        <w:pStyle w:val="Recdate"/>
      </w:pPr>
      <w:r w:rsidRPr="000D1EE0">
        <w:t>(1963-1966-1974-1982-1986-1990-1995-1999-2003-2006-2007-2012)</w:t>
      </w:r>
      <w:bookmarkEnd w:id="6"/>
    </w:p>
    <w:p w:rsidR="00923330" w:rsidRPr="000D1EE0" w:rsidRDefault="00923330" w:rsidP="00923330">
      <w:pPr>
        <w:pStyle w:val="Blanc"/>
        <w:rPr>
          <w:lang w:val="es-ES" w:eastAsia="ja-JP"/>
        </w:rPr>
      </w:pPr>
    </w:p>
    <w:p w:rsidR="00E23F83" w:rsidRPr="000D1EE0" w:rsidRDefault="00E23F83" w:rsidP="00E23F83">
      <w:pPr>
        <w:pStyle w:val="HeadingSum"/>
        <w:rPr>
          <w:szCs w:val="22"/>
          <w:lang w:val="es-ES" w:eastAsia="ja-JP"/>
        </w:rPr>
      </w:pPr>
      <w:r w:rsidRPr="000D1EE0">
        <w:rPr>
          <w:szCs w:val="22"/>
          <w:lang w:val="es-ES" w:eastAsia="ja-JP"/>
        </w:rPr>
        <w:t>Cometido</w:t>
      </w:r>
    </w:p>
    <w:p w:rsidR="00E23F83" w:rsidRPr="000D1EE0" w:rsidRDefault="00E23F83" w:rsidP="00D22D09">
      <w:pPr>
        <w:pStyle w:val="Summary"/>
        <w:rPr>
          <w:lang w:val="es-ES"/>
        </w:rPr>
      </w:pPr>
      <w:r w:rsidRPr="000D1EE0">
        <w:rPr>
          <w:lang w:val="es-ES"/>
        </w:rPr>
        <w:t>La presente Recomendación aporta información sobre disposiciones de radiocanales para sistemas inalámbricos fijos que funcionan en la parte superior de la banda de 6 GHz (6</w:t>
      </w:r>
      <w:r w:rsidR="00D22D09">
        <w:rPr>
          <w:lang w:val="es-ES"/>
        </w:rPr>
        <w:t> </w:t>
      </w:r>
      <w:r w:rsidRPr="000D1EE0">
        <w:rPr>
          <w:lang w:val="es-ES"/>
        </w:rPr>
        <w:t>425-7</w:t>
      </w:r>
      <w:r w:rsidR="00D22D09">
        <w:rPr>
          <w:lang w:val="es-ES"/>
        </w:rPr>
        <w:t> </w:t>
      </w:r>
      <w:r w:rsidRPr="000D1EE0">
        <w:rPr>
          <w:lang w:val="es-ES"/>
        </w:rPr>
        <w:t>125</w:t>
      </w:r>
      <w:r w:rsidR="00D22D09">
        <w:rPr>
          <w:lang w:val="es-ES"/>
        </w:rPr>
        <w:t> </w:t>
      </w:r>
      <w:r w:rsidRPr="000D1EE0">
        <w:rPr>
          <w:lang w:val="es-ES"/>
        </w:rPr>
        <w:t>MHz) y pueden utilizarse para sistemas fijos de media y gran capacidad. En el texto principal se recomienda que la separación entre canales sea de 40, 30, 20, 10 y 5 MHz con las disposiciones intercaladas con un posible uso de las disposiciones en el mismo canal; en el Anexo</w:t>
      </w:r>
      <w:r w:rsidR="00D22D09">
        <w:rPr>
          <w:lang w:val="es-ES"/>
        </w:rPr>
        <w:t> </w:t>
      </w:r>
      <w:r w:rsidRPr="000D1EE0">
        <w:rPr>
          <w:lang w:val="es-ES"/>
        </w:rPr>
        <w:t>2 aparecen las disposiciones recomendadas con separaciones entre canales de 14, 7 y 3,5</w:t>
      </w:r>
      <w:r w:rsidR="00D22D09">
        <w:rPr>
          <w:lang w:val="es-ES"/>
        </w:rPr>
        <w:t> </w:t>
      </w:r>
      <w:r w:rsidRPr="000D1EE0">
        <w:rPr>
          <w:lang w:val="es-ES"/>
        </w:rPr>
        <w:t>MHz en combinación con la disposición de 30 MHz. En el Anexo 1 se considera el empleo de la transmisión multiportadora basada en dichas disposiciones y se describe en detalle esa aplicación.</w:t>
      </w:r>
    </w:p>
    <w:p w:rsidR="00E23F83" w:rsidRPr="000D1EE0" w:rsidRDefault="00E23F83" w:rsidP="00E23F83">
      <w:pPr>
        <w:pStyle w:val="Normalaftertitle"/>
      </w:pPr>
      <w:r w:rsidRPr="000D1EE0">
        <w:t>La Asamblea de Radiocomunicaciones de la UIT,</w:t>
      </w:r>
    </w:p>
    <w:p w:rsidR="00E23F83" w:rsidRPr="000D1EE0" w:rsidRDefault="00E23F83" w:rsidP="00E23F83">
      <w:pPr>
        <w:pStyle w:val="Call"/>
      </w:pPr>
      <w:r w:rsidRPr="000D1EE0">
        <w:t>considerando</w:t>
      </w:r>
    </w:p>
    <w:p w:rsidR="00E23F83" w:rsidRPr="000D1EE0" w:rsidRDefault="00E23F83" w:rsidP="00E23F83">
      <w:r w:rsidRPr="000D1EE0">
        <w:t>a)</w:t>
      </w:r>
      <w:r w:rsidRPr="000D1EE0">
        <w:tab/>
        <w:t>que deben poder establecerse sistemas inalámbricos fijos (FWS) de media y gran capacidad en la parte superior de la banda de 6 GHz, a condición de estudiar detenidamente los trayectos radioeléctricos con miras a reducir los efectos de trayectos múltiples;</w:t>
      </w:r>
    </w:p>
    <w:p w:rsidR="00E23F83" w:rsidRPr="000D1EE0" w:rsidRDefault="00E23F83" w:rsidP="00E23F83">
      <w:r w:rsidRPr="000D1EE0">
        <w:t>b)</w:t>
      </w:r>
      <w:r w:rsidRPr="000D1EE0">
        <w:tab/>
        <w:t>que, en ciertos casos, conviene poder interconectar en radiofrecuencia los FWS de los enlaces internacionales que trabajan en la parte superior de la banda de 6 GHz;</w:t>
      </w:r>
    </w:p>
    <w:p w:rsidR="00E23F83" w:rsidRPr="000D1EE0" w:rsidRDefault="00E23F83" w:rsidP="00E23F83">
      <w:r w:rsidRPr="000D1EE0">
        <w:t>c)</w:t>
      </w:r>
      <w:r w:rsidRPr="000D1EE0">
        <w:tab/>
        <w:t>que una disposición uniforme de los radiocanales para los FWS ofrece grandes ventajas;</w:t>
      </w:r>
    </w:p>
    <w:p w:rsidR="00E23F83" w:rsidRPr="000D1EE0" w:rsidRDefault="00E23F83" w:rsidP="00E23F83">
      <w:r w:rsidRPr="000D1EE0">
        <w:t>d)</w:t>
      </w:r>
      <w:r w:rsidRPr="000D1EE0">
        <w:tab/>
        <w:t>que la utilización de determinados tipos de modulación digital (véase la Recomendación UIT-R F.1101) permite utilizar para la transmisión una velocidad binaria del orden de 140 Mbit/s, o velocidades binarias de la jerarquía digital síncrona (SDH) la disposición de radiocanales;</w:t>
      </w:r>
    </w:p>
    <w:p w:rsidR="00E23F83" w:rsidRPr="000D1EE0" w:rsidRDefault="00E23F83" w:rsidP="00E23F83">
      <w:r w:rsidRPr="000D1EE0">
        <w:t>e)</w:t>
      </w:r>
      <w:r w:rsidRPr="000D1EE0">
        <w:tab/>
        <w:t>que para los sistemas radioeléctricos digitales se puede conseguir un mayor ahorro acomodando hasta ocho radiocanales de ida y otros ocho de retorno en una antena única de características de funcionamiento adecuadas;</w:t>
      </w:r>
    </w:p>
    <w:p w:rsidR="00E23F83" w:rsidRPr="000D1EE0" w:rsidRDefault="00E23F83" w:rsidP="00E23F83">
      <w:r w:rsidRPr="000D1EE0">
        <w:t>f)</w:t>
      </w:r>
      <w:r w:rsidRPr="000D1EE0">
        <w:tab/>
        <w:t>que podrían reducirse enormemente los efectos perturbadores mediante una disposición adecuada de las frecuencias radioeléctricas de los FWS que consten de varios radiocanales;</w:t>
      </w:r>
    </w:p>
    <w:p w:rsidR="00E23F83" w:rsidRPr="000D1EE0" w:rsidRDefault="00E23F83" w:rsidP="00E23F83">
      <w:r w:rsidRPr="000D1EE0">
        <w:t>g)</w:t>
      </w:r>
      <w:r w:rsidRPr="000D1EE0">
        <w:tab/>
        <w:t>que los FWS digitales de una portadora y multiportadora son conceptos útiles para lograr en el diseño del sistema el mejor compromiso técnico y económico;</w:t>
      </w:r>
    </w:p>
    <w:p w:rsidR="00E23F83" w:rsidRPr="000D1EE0" w:rsidRDefault="00E23F83" w:rsidP="00E23F83">
      <w:r w:rsidRPr="000D1EE0">
        <w:t>h)</w:t>
      </w:r>
      <w:r w:rsidRPr="000D1EE0">
        <w:tab/>
        <w:t>que las técnicas digitales, como los canceladores de interferencia de transpolarización (XPIC), podrían contribuir significativamente al factor de mejora de la discriminación por polarización cruzada (XIF, definido en la Recomendación UIT</w:t>
      </w:r>
      <w:r w:rsidRPr="000D1EE0">
        <w:noBreakHyphen/>
        <w:t>R F.746), compensando así la despolarización de propagación ocasionada por la propagación por trayectos múltiples;</w:t>
      </w:r>
    </w:p>
    <w:p w:rsidR="00E23F83" w:rsidRPr="000D1EE0" w:rsidRDefault="00E23F83" w:rsidP="00E23F83">
      <w:r w:rsidRPr="000D1EE0">
        <w:t>j)</w:t>
      </w:r>
      <w:r w:rsidRPr="000D1EE0">
        <w:tab/>
        <w:t>que cuando se necesitan enlaces de muy alta capacidad (por ejemplo, dos veces el modo de transferencia síncrono-1 (STM-1)), puede que sea más económico utilizar anchuras de banda del sistema más amplias que la separación entre canales recomendada, junto con formatos de modulación altamente eficaces,</w:t>
      </w:r>
    </w:p>
    <w:p w:rsidR="00E23F83" w:rsidRPr="000D1EE0" w:rsidRDefault="00E23F83" w:rsidP="00E23F83">
      <w:pPr>
        <w:pStyle w:val="Call"/>
      </w:pPr>
      <w:r w:rsidRPr="000D1EE0">
        <w:lastRenderedPageBreak/>
        <w:t>recomienda</w:t>
      </w:r>
    </w:p>
    <w:p w:rsidR="00E23F83" w:rsidRPr="000D1EE0" w:rsidRDefault="00E23F83" w:rsidP="00E23F83">
      <w:r w:rsidRPr="000D1EE0">
        <w:rPr>
          <w:b/>
        </w:rPr>
        <w:t>1</w:t>
      </w:r>
      <w:r w:rsidRPr="000D1EE0">
        <w:tab/>
        <w:t xml:space="preserve">que la disposición preferida de los radiocanales para ocho radiocanales de ida y ocho de retorno, como máximo, cada uno de ellos para una velocidad binaria del orden </w:t>
      </w:r>
      <w:r w:rsidR="00D22D09">
        <w:t xml:space="preserve">de </w:t>
      </w:r>
      <w:r w:rsidRPr="000D1EE0">
        <w:t>140 Mbit/s, velocidades binarias de la SDH (véase la Nota 2), y que utilicen frecuencias de la parte superior de la banda de 6 GHz, se obtenga como sigue:</w:t>
      </w:r>
    </w:p>
    <w:p w:rsidR="00E23F83" w:rsidRPr="000D1EE0" w:rsidRDefault="00E23F83" w:rsidP="00E23F83">
      <w:pPr>
        <w:pStyle w:val="Equationlegend"/>
        <w:rPr>
          <w:lang w:val="es-ES"/>
        </w:rPr>
      </w:pPr>
      <w:r w:rsidRPr="000D1EE0">
        <w:rPr>
          <w:lang w:val="es-ES"/>
        </w:rPr>
        <w:t>Sea</w:t>
      </w:r>
      <w:r w:rsidRPr="000D1EE0">
        <w:rPr>
          <w:lang w:val="es-ES"/>
        </w:rPr>
        <w:tab/>
      </w:r>
      <w:r w:rsidRPr="000D1EE0">
        <w:rPr>
          <w:i/>
          <w:lang w:val="es-ES"/>
        </w:rPr>
        <w:t>f</w:t>
      </w:r>
      <w:r w:rsidRPr="000D1EE0">
        <w:rPr>
          <w:vertAlign w:val="subscript"/>
          <w:lang w:val="es-ES"/>
        </w:rPr>
        <w:t>0</w:t>
      </w:r>
      <w:r w:rsidRPr="000D1EE0">
        <w:rPr>
          <w:lang w:val="es-ES"/>
        </w:rPr>
        <w:t>:</w:t>
      </w:r>
      <w:r w:rsidRPr="000D1EE0">
        <w:rPr>
          <w:lang w:val="es-ES"/>
        </w:rPr>
        <w:tab/>
        <w:t>la frecuencia central de la banda de frecuencias ocupada (MHz),</w:t>
      </w:r>
    </w:p>
    <w:p w:rsidR="00E23F83" w:rsidRPr="000D1EE0" w:rsidRDefault="00E23F83" w:rsidP="00E23F83">
      <w:pPr>
        <w:pStyle w:val="Equationlegend"/>
        <w:rPr>
          <w:lang w:val="es-ES"/>
        </w:rPr>
      </w:pPr>
      <w:r w:rsidRPr="000D1EE0">
        <w:rPr>
          <w:lang w:val="es-ES"/>
        </w:rPr>
        <w:tab/>
      </w:r>
      <w:r w:rsidRPr="000D1EE0">
        <w:rPr>
          <w:i/>
          <w:lang w:val="es-ES"/>
        </w:rPr>
        <w:t>f</w:t>
      </w:r>
      <w:r w:rsidRPr="000D1EE0">
        <w:rPr>
          <w:i/>
          <w:iCs/>
          <w:vertAlign w:val="subscript"/>
          <w:lang w:val="es-ES"/>
        </w:rPr>
        <w:t>n</w:t>
      </w:r>
      <w:r w:rsidRPr="000D1EE0">
        <w:rPr>
          <w:lang w:val="es-ES"/>
        </w:rPr>
        <w:t>:</w:t>
      </w:r>
      <w:r w:rsidRPr="000D1EE0">
        <w:rPr>
          <w:lang w:val="es-ES"/>
        </w:rPr>
        <w:tab/>
        <w:t>la frecuencia central de uno de los radiocanales de la mitad inferior de esa banda (MHz),</w:t>
      </w:r>
    </w:p>
    <w:p w:rsidR="00E23F83" w:rsidRPr="000D1EE0" w:rsidRDefault="00E23F83" w:rsidP="00E23F83">
      <w:pPr>
        <w:pStyle w:val="Equationlegend"/>
        <w:rPr>
          <w:lang w:val="es-ES"/>
        </w:rPr>
      </w:pPr>
      <w:r w:rsidRPr="000D1EE0">
        <w:rPr>
          <w:lang w:val="es-ES"/>
        </w:rPr>
        <w:tab/>
      </w:r>
      <w:r w:rsidRPr="000D1EE0">
        <w:rPr>
          <w:position w:val="-12"/>
          <w:lang w:val="es-ES"/>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8.45pt" o:ole="">
            <v:imagedata r:id="rId14" o:title=""/>
          </v:shape>
          <o:OLEObject Type="Embed" ProgID="Equation.3" ShapeID="_x0000_i1025" DrawAspect="Content" ObjectID="_1417335976" r:id="rId15"/>
        </w:object>
      </w:r>
      <w:r w:rsidRPr="000D1EE0">
        <w:rPr>
          <w:lang w:val="es-ES"/>
        </w:rPr>
        <w:t>:</w:t>
      </w:r>
      <w:r w:rsidRPr="000D1EE0">
        <w:rPr>
          <w:lang w:val="es-ES"/>
        </w:rPr>
        <w:tab/>
        <w:t>la frecuencia central de uno de los radiocanales de la mitad superior de esa banda (MHz);</w:t>
      </w:r>
    </w:p>
    <w:p w:rsidR="00E23F83" w:rsidRPr="000D1EE0" w:rsidRDefault="00E23F83" w:rsidP="00E23F83">
      <w:r w:rsidRPr="000D1EE0">
        <w:t>las frecuencias de cada radiocanal se expresarán entonces mediante las relaciones siguientes:</w:t>
      </w:r>
    </w:p>
    <w:p w:rsidR="00E23F83" w:rsidRPr="000D1EE0" w:rsidRDefault="00E23F83" w:rsidP="00E23F83">
      <w:pPr>
        <w:pStyle w:val="enumlev1"/>
        <w:tabs>
          <w:tab w:val="left" w:pos="3780"/>
          <w:tab w:val="left" w:pos="3827"/>
          <w:tab w:val="left" w:pos="4111"/>
          <w:tab w:val="left" w:pos="6480"/>
        </w:tabs>
      </w:pPr>
      <w:r w:rsidRPr="000D1EE0">
        <w:tab/>
        <w:t>mitad inferior de la banda:</w:t>
      </w:r>
      <w:r w:rsidRPr="000D1EE0">
        <w:tab/>
      </w:r>
      <w:r w:rsidRPr="000D1EE0">
        <w:rPr>
          <w:i/>
        </w:rPr>
        <w:t>f</w:t>
      </w:r>
      <w:r w:rsidRPr="000D1EE0">
        <w:rPr>
          <w:i/>
          <w:iCs/>
          <w:vertAlign w:val="subscript"/>
        </w:rPr>
        <w:t>n</w:t>
      </w:r>
      <w:r w:rsidRPr="000D1EE0">
        <w:t>  =  </w:t>
      </w:r>
      <w:r w:rsidRPr="000D1EE0">
        <w:rPr>
          <w:i/>
        </w:rPr>
        <w:t>f</w:t>
      </w:r>
      <w:r w:rsidRPr="000D1EE0">
        <w:rPr>
          <w:vertAlign w:val="subscript"/>
        </w:rPr>
        <w:t>0</w:t>
      </w:r>
      <w:r w:rsidRPr="000D1EE0">
        <w:t xml:space="preserve">  –  350  +  40</w:t>
      </w:r>
      <w:r w:rsidRPr="000D1EE0">
        <w:rPr>
          <w:i/>
        </w:rPr>
        <w:t xml:space="preserve"> n</w:t>
      </w:r>
      <w:r w:rsidRPr="000D1EE0">
        <w:tab/>
        <w:t>MHz</w:t>
      </w:r>
    </w:p>
    <w:p w:rsidR="00E23F83" w:rsidRPr="000D1EE0" w:rsidRDefault="00E23F83" w:rsidP="00E23F83">
      <w:pPr>
        <w:pStyle w:val="enumlev1"/>
        <w:tabs>
          <w:tab w:val="left" w:pos="3600"/>
          <w:tab w:val="left" w:pos="3827"/>
          <w:tab w:val="left" w:pos="4111"/>
          <w:tab w:val="left" w:pos="6480"/>
        </w:tabs>
      </w:pPr>
      <w:r w:rsidRPr="000D1EE0">
        <w:tab/>
        <w:t>mitad superior de la banda:</w:t>
      </w:r>
      <w:r w:rsidRPr="000D1EE0">
        <w:tab/>
        <w:t> </w:t>
      </w:r>
      <w:r w:rsidRPr="000D1EE0">
        <w:rPr>
          <w:position w:val="-12"/>
        </w:rPr>
        <w:object w:dxaOrig="300" w:dyaOrig="360">
          <v:shape id="_x0000_i1026" type="#_x0000_t75" style="width:15.25pt;height:18.45pt" o:ole="">
            <v:imagedata r:id="rId16" o:title=""/>
          </v:shape>
          <o:OLEObject Type="Embed" ProgID="Equation.3" ShapeID="_x0000_i1026" DrawAspect="Content" ObjectID="_1417335977" r:id="rId17"/>
        </w:object>
      </w:r>
      <w:r w:rsidRPr="000D1EE0">
        <w:t>  =  </w:t>
      </w:r>
      <w:r w:rsidRPr="000D1EE0">
        <w:rPr>
          <w:i/>
        </w:rPr>
        <w:t>f</w:t>
      </w:r>
      <w:r w:rsidRPr="000D1EE0">
        <w:rPr>
          <w:vertAlign w:val="subscript"/>
        </w:rPr>
        <w:t>0</w:t>
      </w:r>
      <w:r w:rsidRPr="000D1EE0">
        <w:t xml:space="preserve">  –  10  +  40</w:t>
      </w:r>
      <w:r w:rsidRPr="000D1EE0">
        <w:rPr>
          <w:i/>
        </w:rPr>
        <w:t xml:space="preserve"> n</w:t>
      </w:r>
      <w:r w:rsidRPr="000D1EE0">
        <w:tab/>
        <w:t>MHz</w:t>
      </w:r>
    </w:p>
    <w:p w:rsidR="00E23F83" w:rsidRPr="000D1EE0" w:rsidRDefault="00E23F83" w:rsidP="00E23F83">
      <w:pPr>
        <w:spacing w:before="0"/>
      </w:pPr>
      <w:r w:rsidRPr="000D1EE0">
        <w:t>donde:</w:t>
      </w:r>
    </w:p>
    <w:p w:rsidR="00E23F83" w:rsidRPr="000D1EE0" w:rsidRDefault="00E23F83" w:rsidP="00E23F83">
      <w:pPr>
        <w:pStyle w:val="enumlev1"/>
      </w:pPr>
      <w:r w:rsidRPr="000D1EE0">
        <w:rPr>
          <w:i/>
        </w:rPr>
        <w:tab/>
        <w:t>n</w:t>
      </w:r>
      <w:r w:rsidRPr="000D1EE0">
        <w:t xml:space="preserve">  =  1, 2, 3, 4, 5, 6, 7 u 8;</w:t>
      </w:r>
    </w:p>
    <w:p w:rsidR="00E23F83" w:rsidRPr="000D1EE0" w:rsidRDefault="00E23F83" w:rsidP="00E23F83">
      <w:r w:rsidRPr="000D1EE0">
        <w:rPr>
          <w:b/>
        </w:rPr>
        <w:t>1.1</w:t>
      </w:r>
      <w:r w:rsidRPr="000D1EE0">
        <w:tab/>
        <w:t>que en la sección en que se haga la interconexión internacional, todos los radiocanales de ida estén situados en una mitad de la banda y todos los de retorno en la otra mitad;</w:t>
      </w:r>
    </w:p>
    <w:p w:rsidR="00E23F83" w:rsidRPr="000D1EE0" w:rsidRDefault="00E23F83" w:rsidP="00E23F83">
      <w:r w:rsidRPr="000D1EE0">
        <w:rPr>
          <w:b/>
        </w:rPr>
        <w:t>1.2</w:t>
      </w:r>
      <w:r w:rsidRPr="000D1EE0">
        <w:tab/>
        <w:t>que para los radiocanales adyacentes de una misma mitad de banda se utilicen alternativamente polarizaciones distintas;</w:t>
      </w:r>
    </w:p>
    <w:p w:rsidR="00E23F83" w:rsidRPr="000D1EE0" w:rsidRDefault="00E23F83" w:rsidP="00E23F83">
      <w:r w:rsidRPr="000D1EE0">
        <w:rPr>
          <w:b/>
        </w:rPr>
        <w:t>1.3</w:t>
      </w:r>
      <w:r w:rsidRPr="000D1EE0">
        <w:tab/>
        <w:t>que los canales de ida y retorno en una sección determinada utilicen preferentemente las polarizaciones indicadas a continuación en la Fig. 1a (véanse las Notas 2 y 3):</w:t>
      </w:r>
    </w:p>
    <w:tbl>
      <w:tblPr>
        <w:tblW w:w="0" w:type="auto"/>
        <w:jc w:val="center"/>
        <w:tblLook w:val="04A0" w:firstRow="1" w:lastRow="0" w:firstColumn="1" w:lastColumn="0" w:noHBand="0" w:noVBand="1"/>
      </w:tblPr>
      <w:tblGrid>
        <w:gridCol w:w="1247"/>
        <w:gridCol w:w="1587"/>
        <w:gridCol w:w="1587"/>
      </w:tblGrid>
      <w:tr w:rsidR="00E23F83" w:rsidRPr="000D1EE0" w:rsidTr="002F46D7">
        <w:trPr>
          <w:jc w:val="center"/>
        </w:trPr>
        <w:tc>
          <w:tcPr>
            <w:tcW w:w="1247" w:type="dxa"/>
            <w:shd w:val="clear" w:color="auto" w:fill="auto"/>
          </w:tcPr>
          <w:p w:rsidR="00E23F83" w:rsidRPr="000D1EE0" w:rsidRDefault="00E23F83" w:rsidP="002F46D7">
            <w:pPr>
              <w:rPr>
                <w:rFonts w:eastAsia="SimSun"/>
              </w:rPr>
            </w:pPr>
          </w:p>
        </w:tc>
        <w:tc>
          <w:tcPr>
            <w:tcW w:w="1587" w:type="dxa"/>
            <w:shd w:val="clear" w:color="auto" w:fill="auto"/>
          </w:tcPr>
          <w:p w:rsidR="00E23F83" w:rsidRPr="000D1EE0" w:rsidRDefault="00E23F83" w:rsidP="002F46D7">
            <w:pPr>
              <w:jc w:val="center"/>
              <w:rPr>
                <w:rFonts w:eastAsia="SimSun"/>
              </w:rPr>
            </w:pPr>
            <w:r w:rsidRPr="000D1EE0">
              <w:rPr>
                <w:rFonts w:eastAsia="SimSun"/>
                <w:i/>
              </w:rPr>
              <w:t>Ida</w:t>
            </w:r>
          </w:p>
        </w:tc>
        <w:tc>
          <w:tcPr>
            <w:tcW w:w="1587" w:type="dxa"/>
            <w:shd w:val="clear" w:color="auto" w:fill="auto"/>
          </w:tcPr>
          <w:p w:rsidR="00E23F83" w:rsidRPr="000D1EE0" w:rsidRDefault="00E23F83" w:rsidP="002F46D7">
            <w:pPr>
              <w:jc w:val="center"/>
              <w:rPr>
                <w:rFonts w:eastAsia="SimSun"/>
              </w:rPr>
            </w:pPr>
            <w:r w:rsidRPr="000D1EE0">
              <w:rPr>
                <w:rFonts w:eastAsia="SimSun"/>
                <w:i/>
              </w:rPr>
              <w:t>Retorno</w:t>
            </w:r>
          </w:p>
        </w:tc>
      </w:tr>
      <w:tr w:rsidR="00E23F83" w:rsidRPr="000D1EE0" w:rsidTr="002F46D7">
        <w:trPr>
          <w:jc w:val="center"/>
        </w:trPr>
        <w:tc>
          <w:tcPr>
            <w:tcW w:w="1247" w:type="dxa"/>
            <w:shd w:val="clear" w:color="auto" w:fill="auto"/>
          </w:tcPr>
          <w:p w:rsidR="00E23F83" w:rsidRPr="000D1EE0" w:rsidRDefault="00E23F83" w:rsidP="002F46D7">
            <w:pPr>
              <w:rPr>
                <w:b/>
                <w:sz w:val="28"/>
              </w:rPr>
            </w:pPr>
            <w:r w:rsidRPr="000D1EE0">
              <w:rPr>
                <w:rFonts w:eastAsia="SimSun"/>
              </w:rPr>
              <w:t>H(V)</w:t>
            </w:r>
          </w:p>
        </w:tc>
        <w:tc>
          <w:tcPr>
            <w:tcW w:w="1587" w:type="dxa"/>
            <w:shd w:val="clear" w:color="auto" w:fill="auto"/>
          </w:tcPr>
          <w:p w:rsidR="00E23F83" w:rsidRPr="000D1EE0" w:rsidRDefault="00E23F83" w:rsidP="002F46D7">
            <w:pPr>
              <w:jc w:val="center"/>
              <w:rPr>
                <w:rFonts w:eastAsia="SimSun"/>
              </w:rPr>
            </w:pPr>
            <w:r w:rsidRPr="000D1EE0">
              <w:rPr>
                <w:rFonts w:eastAsia="SimSun"/>
              </w:rPr>
              <w:t>1  3  5  7</w:t>
            </w:r>
          </w:p>
        </w:tc>
        <w:tc>
          <w:tcPr>
            <w:tcW w:w="1587" w:type="dxa"/>
            <w:shd w:val="clear" w:color="auto" w:fill="auto"/>
          </w:tcPr>
          <w:p w:rsidR="00E23F83" w:rsidRPr="000D1EE0" w:rsidRDefault="00E23F83" w:rsidP="002F46D7">
            <w:pPr>
              <w:jc w:val="center"/>
              <w:rPr>
                <w:rFonts w:eastAsia="SimSun"/>
              </w:rPr>
            </w:pPr>
            <w:r w:rsidRPr="000D1EE0">
              <w:rPr>
                <w:rFonts w:eastAsia="SimSun"/>
              </w:rPr>
              <w:t>1'  3'  5'  7'</w:t>
            </w:r>
          </w:p>
        </w:tc>
      </w:tr>
      <w:tr w:rsidR="00E23F83" w:rsidRPr="000D1EE0" w:rsidTr="002F46D7">
        <w:trPr>
          <w:jc w:val="center"/>
        </w:trPr>
        <w:tc>
          <w:tcPr>
            <w:tcW w:w="1247" w:type="dxa"/>
            <w:shd w:val="clear" w:color="auto" w:fill="auto"/>
          </w:tcPr>
          <w:p w:rsidR="00E23F83" w:rsidRPr="000D1EE0" w:rsidRDefault="00E23F83" w:rsidP="002F46D7">
            <w:pPr>
              <w:rPr>
                <w:b/>
                <w:sz w:val="28"/>
              </w:rPr>
            </w:pPr>
            <w:r w:rsidRPr="000D1EE0">
              <w:rPr>
                <w:rFonts w:eastAsia="SimSun"/>
              </w:rPr>
              <w:t>V(H)</w:t>
            </w:r>
          </w:p>
        </w:tc>
        <w:tc>
          <w:tcPr>
            <w:tcW w:w="1587" w:type="dxa"/>
            <w:shd w:val="clear" w:color="auto" w:fill="auto"/>
          </w:tcPr>
          <w:p w:rsidR="00E23F83" w:rsidRPr="000D1EE0" w:rsidRDefault="00E23F83" w:rsidP="002F46D7">
            <w:pPr>
              <w:jc w:val="center"/>
              <w:rPr>
                <w:rFonts w:eastAsia="SimSun"/>
              </w:rPr>
            </w:pPr>
            <w:r w:rsidRPr="000D1EE0">
              <w:rPr>
                <w:rFonts w:eastAsia="SimSun"/>
              </w:rPr>
              <w:t>2  4  6  8</w:t>
            </w:r>
          </w:p>
        </w:tc>
        <w:tc>
          <w:tcPr>
            <w:tcW w:w="1587" w:type="dxa"/>
            <w:shd w:val="clear" w:color="auto" w:fill="auto"/>
          </w:tcPr>
          <w:p w:rsidR="00E23F83" w:rsidRPr="000D1EE0" w:rsidRDefault="00E23F83" w:rsidP="002F46D7">
            <w:pPr>
              <w:jc w:val="center"/>
              <w:rPr>
                <w:rFonts w:eastAsia="SimSun"/>
              </w:rPr>
            </w:pPr>
            <w:r w:rsidRPr="000D1EE0">
              <w:rPr>
                <w:rFonts w:eastAsia="SimSun"/>
              </w:rPr>
              <w:t>2'  4'  6'  8'</w:t>
            </w:r>
          </w:p>
        </w:tc>
      </w:tr>
    </w:tbl>
    <w:p w:rsidR="00E23F83" w:rsidRPr="000D1EE0" w:rsidRDefault="00E23F83" w:rsidP="00E23F83">
      <w:r w:rsidRPr="000D1EE0">
        <w:rPr>
          <w:b/>
        </w:rPr>
        <w:t>1.4</w:t>
      </w:r>
      <w:r w:rsidRPr="000D1EE0">
        <w:tab/>
        <w:t>que para mejorar la eficacia espectral en los FWS digitales se utilicen también las disposiciones cocanal de la Fig. 1b);</w:t>
      </w:r>
    </w:p>
    <w:p w:rsidR="00E23F83" w:rsidRPr="000D1EE0" w:rsidRDefault="00E23F83" w:rsidP="00D22D09">
      <w:r w:rsidRPr="000D1EE0">
        <w:rPr>
          <w:b/>
        </w:rPr>
        <w:t>1.5</w:t>
      </w:r>
      <w:r w:rsidRPr="000D1EE0">
        <w:tab/>
        <w:t>que cuando se necesiten enlaces de muy alta capacidad (por ejemplo, dos veces STM-1) y la coordinación de la red lo permita, con el acuerdo de las administraciones implicadas, sea posible la utilización de cualquiera de los dos canales adyacentes de 40</w:t>
      </w:r>
      <w:r w:rsidR="00D22D09">
        <w:t> </w:t>
      </w:r>
      <w:r w:rsidRPr="000D1EE0">
        <w:t xml:space="preserve">MHz especificados en el </w:t>
      </w:r>
      <w:r w:rsidRPr="000D1EE0">
        <w:rPr>
          <w:i/>
          <w:iCs/>
        </w:rPr>
        <w:t xml:space="preserve">recomienda </w:t>
      </w:r>
      <w:r w:rsidRPr="000D1EE0">
        <w:t>1, para sistemas de anchura de banda más amplia, con la frecuencia central situada en el punto central de la distancia entre los dos canales adyacentes de 40 MHz;</w:t>
      </w:r>
    </w:p>
    <w:p w:rsidR="00E23F83" w:rsidRPr="000D1EE0" w:rsidRDefault="00E23F83" w:rsidP="00E23F83">
      <w:pPr>
        <w:pStyle w:val="FigureNo"/>
      </w:pPr>
      <w:r w:rsidRPr="000D1EE0">
        <w:t>FIGURA 1</w:t>
      </w:r>
      <w:r w:rsidRPr="000D1EE0">
        <w:rPr>
          <w:caps w:val="0"/>
        </w:rPr>
        <w:t>a</w:t>
      </w:r>
    </w:p>
    <w:p w:rsidR="00E23F83" w:rsidRPr="000D1EE0" w:rsidRDefault="00E23F83" w:rsidP="00D22D09">
      <w:pPr>
        <w:pStyle w:val="Figuretitle"/>
        <w:rPr>
          <w:caps/>
          <w:szCs w:val="18"/>
        </w:rPr>
      </w:pPr>
      <w:r w:rsidRPr="000D1EE0">
        <w:t>Disposición alternada de canales de RF para sistemas inalámbricos fijos de alta capacidad</w:t>
      </w:r>
      <w:r w:rsidRPr="000D1EE0">
        <w:br/>
      </w:r>
      <w:r w:rsidR="00D22D09" w:rsidRPr="00D22D09">
        <w:rPr>
          <w:rFonts w:ascii="Times New Roman"/>
          <w:b w:val="0"/>
          <w:caps/>
        </w:rPr>
        <w:t>(</w:t>
      </w:r>
      <w:r w:rsidR="00D22D09" w:rsidRPr="00D22D09">
        <w:rPr>
          <w:rFonts w:ascii="Times New Roman"/>
          <w:b w:val="0"/>
        </w:rPr>
        <w:t xml:space="preserve">Todas las frecuencias en </w:t>
      </w:r>
      <w:r w:rsidR="00D22D09" w:rsidRPr="00D22D09">
        <w:rPr>
          <w:rFonts w:ascii="Times New Roman"/>
          <w:b w:val="0"/>
          <w:caps/>
        </w:rPr>
        <w:t>MH</w:t>
      </w:r>
      <w:r w:rsidR="00D22D09" w:rsidRPr="00D22D09">
        <w:rPr>
          <w:rFonts w:ascii="Times New Roman"/>
          <w:b w:val="0"/>
        </w:rPr>
        <w:t>z</w:t>
      </w:r>
      <w:r w:rsidR="00D22D09" w:rsidRPr="00D22D09">
        <w:rPr>
          <w:rFonts w:ascii="Times New Roman"/>
          <w:b w:val="0"/>
          <w:caps/>
        </w:rPr>
        <w:t>)</w:t>
      </w:r>
    </w:p>
    <w:p w:rsidR="00E23F83" w:rsidRPr="000D1EE0" w:rsidRDefault="00E23F83" w:rsidP="00E23F83">
      <w:pPr>
        <w:pStyle w:val="Figure"/>
      </w:pPr>
      <w:r w:rsidRPr="000D1EE0">
        <w:object w:dxaOrig="7551" w:dyaOrig="2726">
          <v:shape id="_x0000_i1027" type="#_x0000_t75" style="width:354.45pt;height:127.85pt" o:ole="">
            <v:imagedata r:id="rId18" o:title=""/>
          </v:shape>
          <o:OLEObject Type="Embed" ProgID="CorelDRAW.Graphic.14" ShapeID="_x0000_i1027" DrawAspect="Content" ObjectID="_1417335978" r:id="rId19"/>
        </w:object>
      </w:r>
    </w:p>
    <w:p w:rsidR="00E23F83" w:rsidRPr="000D1EE0" w:rsidRDefault="00E23F83" w:rsidP="00E23F83">
      <w:pPr>
        <w:pStyle w:val="FigureNo"/>
      </w:pPr>
      <w:r w:rsidRPr="000D1EE0">
        <w:lastRenderedPageBreak/>
        <w:t>FIGURA 1</w:t>
      </w:r>
      <w:r w:rsidRPr="000D1EE0">
        <w:rPr>
          <w:caps w:val="0"/>
        </w:rPr>
        <w:t>b</w:t>
      </w:r>
    </w:p>
    <w:p w:rsidR="00E23F83" w:rsidRPr="000D1EE0" w:rsidRDefault="00E23F83" w:rsidP="00D22D09">
      <w:pPr>
        <w:pStyle w:val="Figuretitle"/>
        <w:rPr>
          <w:caps/>
        </w:rPr>
      </w:pPr>
      <w:r w:rsidRPr="000D1EE0">
        <w:t>Disposición cocanal de RF para sistemas inalámbricos fijos de alta capacidad</w:t>
      </w:r>
      <w:r w:rsidRPr="000D1EE0">
        <w:br/>
      </w:r>
      <w:r w:rsidR="00D22D09" w:rsidRPr="00D22D09">
        <w:rPr>
          <w:rFonts w:ascii="Times New Roman"/>
          <w:b w:val="0"/>
          <w:caps/>
        </w:rPr>
        <w:t>(</w:t>
      </w:r>
      <w:r w:rsidR="00D22D09" w:rsidRPr="00D22D09">
        <w:rPr>
          <w:rFonts w:ascii="Times New Roman"/>
          <w:b w:val="0"/>
        </w:rPr>
        <w:t xml:space="preserve">Todas las frecuencias en </w:t>
      </w:r>
      <w:r w:rsidR="00D22D09" w:rsidRPr="00D22D09">
        <w:rPr>
          <w:rFonts w:ascii="Times New Roman"/>
          <w:b w:val="0"/>
          <w:caps/>
        </w:rPr>
        <w:t>MH</w:t>
      </w:r>
      <w:r w:rsidR="00D22D09" w:rsidRPr="00D22D09">
        <w:rPr>
          <w:rFonts w:ascii="Times New Roman"/>
          <w:b w:val="0"/>
        </w:rPr>
        <w:t>z</w:t>
      </w:r>
      <w:r w:rsidR="00D22D09" w:rsidRPr="00D22D09">
        <w:rPr>
          <w:rFonts w:ascii="Times New Roman"/>
          <w:b w:val="0"/>
          <w:caps/>
        </w:rPr>
        <w:t>)</w:t>
      </w:r>
    </w:p>
    <w:p w:rsidR="00E23F83" w:rsidRPr="000D1EE0" w:rsidRDefault="00E23F83" w:rsidP="00E23F83">
      <w:pPr>
        <w:pStyle w:val="Figure"/>
      </w:pPr>
      <w:r w:rsidRPr="000D1EE0">
        <w:object w:dxaOrig="7527" w:dyaOrig="2727">
          <v:shape id="_x0000_i1028" type="#_x0000_t75" style="width:354.45pt;height:128.3pt" o:ole="">
            <v:imagedata r:id="rId20" o:title=""/>
          </v:shape>
          <o:OLEObject Type="Embed" ProgID="CorelDRAW.Graphic.14" ShapeID="_x0000_i1028" DrawAspect="Content" ObjectID="_1417335979" r:id="rId21"/>
        </w:object>
      </w:r>
    </w:p>
    <w:p w:rsidR="00E23F83" w:rsidRPr="000D1EE0" w:rsidRDefault="00E23F83" w:rsidP="00D22D09">
      <w:pPr>
        <w:pStyle w:val="Normalaftertitle"/>
      </w:pPr>
      <w:r w:rsidRPr="000D1EE0">
        <w:rPr>
          <w:b/>
        </w:rPr>
        <w:t>2</w:t>
      </w:r>
      <w:r w:rsidRPr="000D1EE0">
        <w:tab/>
        <w:t>que la disposición preferida de los radiocanales para 16 canales de ida y 16 de retorno, como máximo, cada uno con velocidades de transmisión de capacidad media plesiócrona o síncrona digital mostrada en la Fig.</w:t>
      </w:r>
      <w:r w:rsidR="00D22D09">
        <w:t> </w:t>
      </w:r>
      <w:r w:rsidRPr="000D1EE0">
        <w:t xml:space="preserve">2, se obtenga intercalando radiocanales adicionales con los de la disposición principal del </w:t>
      </w:r>
      <w:r w:rsidRPr="000D1EE0">
        <w:rPr>
          <w:i/>
          <w:iCs/>
        </w:rPr>
        <w:t xml:space="preserve">recomienda </w:t>
      </w:r>
      <w:r w:rsidRPr="000D1EE0">
        <w:t>1 y se exprese mediante las relaciones siguientes:</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t>mitad inferior de la banda:</w:t>
      </w:r>
      <w:r w:rsidRPr="000D1EE0">
        <w:tab/>
      </w:r>
      <w:r w:rsidRPr="000D1EE0">
        <w:rPr>
          <w:i/>
        </w:rPr>
        <w:t>f</w:t>
      </w:r>
      <w:r w:rsidRPr="000D1EE0">
        <w:rPr>
          <w:i/>
          <w:iCs/>
          <w:vertAlign w:val="subscript"/>
        </w:rPr>
        <w:t>n</w:t>
      </w:r>
      <w:r w:rsidRPr="000D1EE0">
        <w:t>  =  </w:t>
      </w:r>
      <w:r w:rsidRPr="000D1EE0">
        <w:rPr>
          <w:i/>
        </w:rPr>
        <w:t>f</w:t>
      </w:r>
      <w:r w:rsidRPr="000D1EE0">
        <w:rPr>
          <w:vertAlign w:val="subscript"/>
        </w:rPr>
        <w:t>0</w:t>
      </w:r>
      <w:r w:rsidRPr="000D1EE0">
        <w:t xml:space="preserve">  –  350  +  20</w:t>
      </w:r>
      <w:r w:rsidRPr="000D1EE0">
        <w:rPr>
          <w:i/>
        </w:rPr>
        <w:t xml:space="preserve"> n</w:t>
      </w:r>
      <w:r w:rsidRPr="000D1EE0">
        <w:t xml:space="preserve"> </w:t>
      </w:r>
      <w:r w:rsidRPr="000D1EE0">
        <w:tab/>
        <w:t>MHz</w:t>
      </w:r>
    </w:p>
    <w:p w:rsidR="00E23F83" w:rsidRPr="000D1EE0" w:rsidRDefault="00E23F83" w:rsidP="00E23F83">
      <w:pPr>
        <w:pStyle w:val="enumlev1"/>
        <w:tabs>
          <w:tab w:val="left" w:pos="3472"/>
          <w:tab w:val="left" w:pos="3827"/>
          <w:tab w:val="left" w:pos="4111"/>
          <w:tab w:val="left" w:pos="6480"/>
        </w:tabs>
      </w:pPr>
      <w:r w:rsidRPr="000D1EE0">
        <w:tab/>
        <w:t>mitad superior de la banda:</w:t>
      </w:r>
      <w:r w:rsidRPr="000D1EE0">
        <w:tab/>
      </w:r>
      <w:r w:rsidRPr="000D1EE0">
        <w:rPr>
          <w:position w:val="-12"/>
        </w:rPr>
        <w:object w:dxaOrig="300" w:dyaOrig="360">
          <v:shape id="_x0000_i1029" type="#_x0000_t75" style="width:15.25pt;height:18.45pt" o:ole="">
            <v:imagedata r:id="rId22" o:title=""/>
          </v:shape>
          <o:OLEObject Type="Embed" ProgID="Equation.3" ShapeID="_x0000_i1029" DrawAspect="Content" ObjectID="_1417335980" r:id="rId23"/>
        </w:object>
      </w:r>
      <w:r w:rsidRPr="000D1EE0">
        <w:t> =  </w:t>
      </w:r>
      <w:r w:rsidRPr="000D1EE0">
        <w:rPr>
          <w:i/>
        </w:rPr>
        <w:t>f</w:t>
      </w:r>
      <w:r w:rsidRPr="000D1EE0">
        <w:rPr>
          <w:vertAlign w:val="subscript"/>
        </w:rPr>
        <w:t>0</w:t>
      </w:r>
      <w:r w:rsidRPr="000D1EE0">
        <w:t xml:space="preserve">  –  10  +  20</w:t>
      </w:r>
      <w:r w:rsidRPr="000D1EE0">
        <w:rPr>
          <w:i/>
        </w:rPr>
        <w:t xml:space="preserve"> n</w:t>
      </w:r>
      <w:r w:rsidRPr="000D1EE0">
        <w:tab/>
        <w:t>MHz</w:t>
      </w:r>
    </w:p>
    <w:p w:rsidR="00E23F83" w:rsidRPr="000D1EE0" w:rsidRDefault="00E23F83" w:rsidP="00E23F83">
      <w:pPr>
        <w:spacing w:before="0"/>
      </w:pPr>
      <w:r w:rsidRPr="000D1EE0">
        <w:t>donde:</w:t>
      </w:r>
    </w:p>
    <w:p w:rsidR="00E23F83" w:rsidRPr="000D1EE0" w:rsidRDefault="00E23F83" w:rsidP="00E23F83">
      <w:pPr>
        <w:pStyle w:val="enumlev1"/>
      </w:pPr>
      <w:r w:rsidRPr="000D1EE0">
        <w:rPr>
          <w:i/>
        </w:rPr>
        <w:tab/>
        <w:t>n</w:t>
      </w:r>
      <w:r w:rsidRPr="000D1EE0">
        <w:t xml:space="preserve">  =  1, 2, 3, . . . 15, 16;</w:t>
      </w:r>
    </w:p>
    <w:p w:rsidR="00E23F83" w:rsidRPr="000D1EE0" w:rsidRDefault="00E23F83" w:rsidP="00E23F83">
      <w:r w:rsidRPr="000D1EE0">
        <w:rPr>
          <w:b/>
        </w:rPr>
        <w:t>2.1</w:t>
      </w:r>
      <w:r w:rsidRPr="000D1EE0">
        <w:tab/>
        <w:t>que en la sección en que se haga la interconexión internacional, todos los radiocanales de ida estén situados en una mitad de la banda y todos los de retorno en la otra mitad;</w:t>
      </w:r>
    </w:p>
    <w:p w:rsidR="00E23F83" w:rsidRPr="000D1EE0" w:rsidRDefault="00E23F83" w:rsidP="00E23F83">
      <w:r w:rsidRPr="000D1EE0">
        <w:rPr>
          <w:b/>
        </w:rPr>
        <w:t>2.2</w:t>
      </w:r>
      <w:r w:rsidRPr="000D1EE0">
        <w:tab/>
        <w:t>que para los radiocanales adyacentes de una misma mitad de la banda, se utilicen alternativamente polarizaciones distintas; también puede emplearse cuando sea adecuada la reutilización de frecuencias cocanal;</w:t>
      </w:r>
    </w:p>
    <w:p w:rsidR="00E23F83" w:rsidRPr="000D1EE0" w:rsidRDefault="00E23F83" w:rsidP="00E23F83">
      <w:pPr>
        <w:pStyle w:val="FigureNo"/>
      </w:pPr>
      <w:r w:rsidRPr="000D1EE0">
        <w:t>FIGURA 2</w:t>
      </w:r>
    </w:p>
    <w:p w:rsidR="00E23F83" w:rsidRPr="000D1EE0" w:rsidRDefault="00E23F83" w:rsidP="00E23F83">
      <w:pPr>
        <w:pStyle w:val="Figuretitle"/>
        <w:rPr>
          <w:caps/>
        </w:rPr>
      </w:pPr>
      <w:r w:rsidRPr="000D1EE0">
        <w:t>Disposición de radiocanales para sistemas inalámbricos fijos de capacidad media</w:t>
      </w:r>
      <w:r w:rsidRPr="000D1EE0">
        <w:br/>
      </w:r>
      <w:r w:rsidRPr="00D22D09">
        <w:rPr>
          <w:rFonts w:ascii="Times New Roman"/>
          <w:b w:val="0"/>
          <w:caps/>
        </w:rPr>
        <w:t>(</w:t>
      </w:r>
      <w:r w:rsidR="00D22D09" w:rsidRPr="00D22D09">
        <w:rPr>
          <w:rFonts w:ascii="Times New Roman"/>
          <w:b w:val="0"/>
        </w:rPr>
        <w:t xml:space="preserve">Todas </w:t>
      </w:r>
      <w:r w:rsidRPr="00D22D09">
        <w:rPr>
          <w:rFonts w:ascii="Times New Roman"/>
          <w:b w:val="0"/>
        </w:rPr>
        <w:t xml:space="preserve">las frecuencias en </w:t>
      </w:r>
      <w:r w:rsidRPr="00D22D09">
        <w:rPr>
          <w:rFonts w:ascii="Times New Roman"/>
          <w:b w:val="0"/>
          <w:caps/>
        </w:rPr>
        <w:t>MH</w:t>
      </w:r>
      <w:r w:rsidRPr="00D22D09">
        <w:rPr>
          <w:rFonts w:ascii="Times New Roman"/>
          <w:b w:val="0"/>
        </w:rPr>
        <w:t>z</w:t>
      </w:r>
      <w:r w:rsidRPr="00D22D09">
        <w:rPr>
          <w:rFonts w:ascii="Times New Roman"/>
          <w:b w:val="0"/>
          <w:caps/>
        </w:rPr>
        <w:t>)</w:t>
      </w:r>
    </w:p>
    <w:p w:rsidR="00E23F83" w:rsidRPr="000D1EE0" w:rsidRDefault="00E23F83" w:rsidP="00E23F83">
      <w:pPr>
        <w:pStyle w:val="Figure"/>
      </w:pPr>
      <w:r w:rsidRPr="000D1EE0">
        <w:object w:dxaOrig="7524" w:dyaOrig="2727">
          <v:shape id="_x0000_i1030" type="#_x0000_t75" style="width:354.45pt;height:128.3pt" o:ole="">
            <v:imagedata r:id="rId24" o:title=""/>
          </v:shape>
          <o:OLEObject Type="Embed" ProgID="CorelDRAW.Graphic.14" ShapeID="_x0000_i1030" DrawAspect="Content" ObjectID="_1417335981" r:id="rId25"/>
        </w:object>
      </w:r>
    </w:p>
    <w:p w:rsidR="00E23F83" w:rsidRPr="000D1EE0" w:rsidRDefault="00E23F83" w:rsidP="00D22D09">
      <w:pPr>
        <w:pStyle w:val="Normalaftertitle"/>
      </w:pPr>
      <w:r w:rsidRPr="000D1EE0">
        <w:rPr>
          <w:b/>
        </w:rPr>
        <w:t>3</w:t>
      </w:r>
      <w:r w:rsidRPr="000D1EE0">
        <w:tab/>
        <w:t>que si se utiliza una transmisión multiportadora (véase la Nota</w:t>
      </w:r>
      <w:r w:rsidR="00D22D09">
        <w:t> </w:t>
      </w:r>
      <w:r w:rsidRPr="000D1EE0">
        <w:t xml:space="preserve">4), el número total de </w:t>
      </w:r>
      <w:r w:rsidRPr="000D1EE0">
        <w:rPr>
          <w:i/>
        </w:rPr>
        <w:t>n</w:t>
      </w:r>
      <w:r w:rsidRPr="000D1EE0">
        <w:t xml:space="preserve"> portadoras se considere como un solo canal. La frecuencia central de dicho canal debe obtenerse de los </w:t>
      </w:r>
      <w:r w:rsidRPr="000D1EE0">
        <w:rPr>
          <w:i/>
        </w:rPr>
        <w:t>recomienda</w:t>
      </w:r>
      <w:r w:rsidRPr="000D1EE0">
        <w:t xml:space="preserve"> </w:t>
      </w:r>
      <w:r w:rsidR="00D22D09">
        <w:t xml:space="preserve">1, </w:t>
      </w:r>
      <w:r w:rsidRPr="000D1EE0">
        <w:t>1.</w:t>
      </w:r>
      <w:r w:rsidR="002F46D7">
        <w:t>5</w:t>
      </w:r>
      <w:r w:rsidRPr="000D1EE0">
        <w:t xml:space="preserve"> ó 4.2, haciendo caso omiso de las frecuencias centrales reales de las portadoras individuales que pueden variar, por razones técnicas, según la realización práctica. En el Anexo 1 se considera con detalle el funcionamiento de los sistemas multiportadora;</w:t>
      </w:r>
    </w:p>
    <w:p w:rsidR="00E23F83" w:rsidRPr="000D1EE0" w:rsidRDefault="00E23F83" w:rsidP="00E23F83">
      <w:pPr>
        <w:rPr>
          <w:bCs/>
        </w:rPr>
      </w:pPr>
      <w:r w:rsidRPr="000D1EE0">
        <w:rPr>
          <w:b/>
        </w:rPr>
        <w:lastRenderedPageBreak/>
        <w:t>4</w:t>
      </w:r>
      <w:r w:rsidRPr="000D1EE0">
        <w:rPr>
          <w:bCs/>
        </w:rPr>
        <w:tab/>
        <w:t>que la disposición preferida de los radiocanales para 10 canales de ida y 10 de retorno, de 30 MHz como máximo, cada uno de ellos con una velocidad binaria del orden de 155 Mbit/s, o velocidades binarias de la SDH (véase la Nota 1), se obtenga como sigue:</w:t>
      </w:r>
    </w:p>
    <w:p w:rsidR="00E23F83" w:rsidRPr="000D1EE0" w:rsidRDefault="00E23F83" w:rsidP="00E23F83">
      <w:pPr>
        <w:pStyle w:val="Equationlegend"/>
        <w:rPr>
          <w:lang w:val="es-ES"/>
        </w:rPr>
      </w:pPr>
      <w:r w:rsidRPr="000D1EE0">
        <w:rPr>
          <w:lang w:val="es-ES"/>
        </w:rPr>
        <w:t>Sea</w:t>
      </w:r>
      <w:r w:rsidRPr="000D1EE0">
        <w:rPr>
          <w:lang w:val="es-ES"/>
        </w:rPr>
        <w:tab/>
      </w:r>
      <w:r w:rsidRPr="000D1EE0">
        <w:rPr>
          <w:i/>
          <w:lang w:val="es-ES"/>
        </w:rPr>
        <w:t>f</w:t>
      </w:r>
      <w:r w:rsidRPr="000D1EE0">
        <w:rPr>
          <w:szCs w:val="24"/>
          <w:vertAlign w:val="subscript"/>
          <w:lang w:val="es-ES"/>
        </w:rPr>
        <w:t>0</w:t>
      </w:r>
      <w:r w:rsidRPr="000D1EE0">
        <w:rPr>
          <w:szCs w:val="24"/>
          <w:lang w:val="es-ES"/>
        </w:rPr>
        <w:t>:</w:t>
      </w:r>
      <w:r w:rsidRPr="000D1EE0">
        <w:rPr>
          <w:lang w:val="es-ES"/>
        </w:rPr>
        <w:tab/>
        <w:t>la frecuencia central de la banda de frecuencias ocupada (MHz),</w:t>
      </w:r>
    </w:p>
    <w:p w:rsidR="00E23F83" w:rsidRPr="000D1EE0" w:rsidRDefault="00E23F83" w:rsidP="00E23F83">
      <w:pPr>
        <w:pStyle w:val="Equationlegend"/>
        <w:rPr>
          <w:lang w:val="es-ES"/>
        </w:rPr>
      </w:pPr>
      <w:r w:rsidRPr="000D1EE0">
        <w:rPr>
          <w:lang w:val="es-ES"/>
        </w:rPr>
        <w:tab/>
      </w:r>
      <w:r w:rsidRPr="000D1EE0">
        <w:rPr>
          <w:i/>
          <w:lang w:val="es-ES"/>
        </w:rPr>
        <w:t>f</w:t>
      </w:r>
      <w:r w:rsidRPr="000D1EE0">
        <w:rPr>
          <w:i/>
          <w:szCs w:val="24"/>
          <w:vertAlign w:val="subscript"/>
          <w:lang w:val="es-ES"/>
        </w:rPr>
        <w:t>n</w:t>
      </w:r>
      <w:r w:rsidRPr="000D1EE0">
        <w:rPr>
          <w:iCs/>
          <w:szCs w:val="24"/>
          <w:lang w:val="es-ES"/>
        </w:rPr>
        <w:t>:</w:t>
      </w:r>
      <w:r w:rsidRPr="000D1EE0">
        <w:rPr>
          <w:lang w:val="es-ES"/>
        </w:rPr>
        <w:tab/>
        <w:t>la frecuencia central de uno de los radiocanales de la mitad inferior de esa banda (MHz),</w:t>
      </w:r>
    </w:p>
    <w:p w:rsidR="00E23F83" w:rsidRPr="000D1EE0" w:rsidRDefault="00E23F83" w:rsidP="00E23F83">
      <w:pPr>
        <w:pStyle w:val="Equationlegend"/>
        <w:rPr>
          <w:lang w:val="es-ES"/>
        </w:rPr>
      </w:pPr>
      <w:r w:rsidRPr="000D1EE0">
        <w:rPr>
          <w:lang w:val="es-ES"/>
        </w:rPr>
        <w:tab/>
      </w:r>
      <w:r w:rsidRPr="000D1EE0">
        <w:rPr>
          <w:position w:val="-12"/>
          <w:lang w:val="es-ES"/>
        </w:rPr>
        <w:object w:dxaOrig="300" w:dyaOrig="360">
          <v:shape id="_x0000_i1031" type="#_x0000_t75" style="width:15.25pt;height:18.45pt" o:ole="">
            <v:imagedata r:id="rId26" o:title=""/>
          </v:shape>
          <o:OLEObject Type="Embed" ProgID="Equation.3" ShapeID="_x0000_i1031" DrawAspect="Content" ObjectID="_1417335982" r:id="rId27"/>
        </w:object>
      </w:r>
      <w:r w:rsidRPr="000D1EE0">
        <w:rPr>
          <w:lang w:val="es-ES"/>
        </w:rPr>
        <w:t>:</w:t>
      </w:r>
      <w:r w:rsidRPr="000D1EE0">
        <w:rPr>
          <w:lang w:val="es-ES"/>
        </w:rPr>
        <w:tab/>
        <w:t>la frecuencia central de uno de los radiocanales de la mitad superior de esa banda (MHz),</w:t>
      </w:r>
    </w:p>
    <w:p w:rsidR="00E23F83" w:rsidRPr="000D1EE0" w:rsidRDefault="00E23F83" w:rsidP="00E23F83">
      <w:r w:rsidRPr="000D1EE0">
        <w:t>las frecuencias de cada radiocanal se expresarán entonces mediante las relaciones siguientes:</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t>mitad inferior de la banda:</w:t>
      </w:r>
      <w:r w:rsidRPr="000D1EE0">
        <w:tab/>
        <w:t xml:space="preserve"> </w:t>
      </w:r>
      <w:r w:rsidRPr="000D1EE0">
        <w:rPr>
          <w:i/>
        </w:rPr>
        <w:t>f</w:t>
      </w:r>
      <w:r w:rsidRPr="000D1EE0">
        <w:rPr>
          <w:i/>
          <w:iCs/>
          <w:vertAlign w:val="subscript"/>
        </w:rPr>
        <w:t>n</w:t>
      </w:r>
      <w:r w:rsidRPr="000D1EE0">
        <w:t>  =  </w:t>
      </w:r>
      <w:r w:rsidRPr="000D1EE0">
        <w:rPr>
          <w:i/>
          <w:sz w:val="22"/>
          <w:szCs w:val="22"/>
        </w:rPr>
        <w:t>f</w:t>
      </w:r>
      <w:r w:rsidRPr="000D1EE0">
        <w:rPr>
          <w:sz w:val="22"/>
          <w:szCs w:val="22"/>
          <w:vertAlign w:val="subscript"/>
        </w:rPr>
        <w:t>0</w:t>
      </w:r>
      <w:r w:rsidRPr="000D1EE0">
        <w:t xml:space="preserve">  –  340  +  30 </w:t>
      </w:r>
      <w:r w:rsidRPr="000D1EE0">
        <w:rPr>
          <w:i/>
          <w:iCs/>
        </w:rPr>
        <w:t>n</w:t>
      </w:r>
      <w:r w:rsidRPr="000D1EE0">
        <w:tab/>
        <w:t>MHz</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t>mitad superior de la banda:</w:t>
      </w:r>
      <w:r w:rsidRPr="000D1EE0">
        <w:tab/>
      </w:r>
      <w:r w:rsidRPr="000D1EE0">
        <w:rPr>
          <w:position w:val="-10"/>
        </w:rPr>
        <w:object w:dxaOrig="279" w:dyaOrig="320">
          <v:shape id="_x0000_i1032" type="#_x0000_t75" style="width:14.3pt;height:16.15pt" o:ole="">
            <v:imagedata r:id="rId28" o:title=""/>
          </v:shape>
          <o:OLEObject Type="Embed" ProgID="Equation.3" ShapeID="_x0000_i1032" DrawAspect="Content" ObjectID="_1417335983" r:id="rId29"/>
        </w:object>
      </w:r>
      <w:r w:rsidRPr="000D1EE0">
        <w:t>  =  </w:t>
      </w:r>
      <w:r w:rsidRPr="000D1EE0">
        <w:rPr>
          <w:i/>
          <w:sz w:val="22"/>
          <w:szCs w:val="22"/>
        </w:rPr>
        <w:t>f</w:t>
      </w:r>
      <w:r w:rsidRPr="000D1EE0">
        <w:rPr>
          <w:sz w:val="22"/>
          <w:szCs w:val="22"/>
          <w:vertAlign w:val="subscript"/>
        </w:rPr>
        <w:t>0</w:t>
      </w:r>
      <w:r w:rsidRPr="000D1EE0">
        <w:t xml:space="preserve">  +  30 </w:t>
      </w:r>
      <w:r w:rsidRPr="000D1EE0">
        <w:rPr>
          <w:i/>
          <w:iCs/>
        </w:rPr>
        <w:t>n</w:t>
      </w:r>
      <w:r w:rsidRPr="000D1EE0">
        <w:tab/>
        <w:t>MHz</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donde:</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r>
      <w:r w:rsidRPr="000D1EE0">
        <w:rPr>
          <w:i/>
          <w:iCs/>
        </w:rPr>
        <w:t>n</w:t>
      </w:r>
      <w:r w:rsidRPr="000D1EE0">
        <w:t>  =  1, 2, 3, 4, 5, 6, 7, 8, 9 y 10;</w:t>
      </w:r>
    </w:p>
    <w:p w:rsidR="00E23F83" w:rsidRPr="000D1EE0" w:rsidRDefault="00E23F83" w:rsidP="00E23F83">
      <w:r w:rsidRPr="000D1EE0">
        <w:rPr>
          <w:i/>
          <w:iCs/>
        </w:rPr>
        <w:t xml:space="preserve">n </w:t>
      </w:r>
      <w:r w:rsidRPr="000D1EE0">
        <w:t xml:space="preserve">= 11 también puede considerarse teniendo en cuenta el intervalo central limitado (10 MHz) entre los canales 11 y 1' y la superposición con el canal 1' de la disposición de radiocanales de 20 MHz del </w:t>
      </w:r>
      <w:r w:rsidRPr="000D1EE0">
        <w:rPr>
          <w:i/>
          <w:iCs/>
        </w:rPr>
        <w:t>recomienda</w:t>
      </w:r>
      <w:r w:rsidRPr="000D1EE0">
        <w:t xml:space="preserve"> 2. Sin embargo, su utilización debe añadir más flexibilidad a la hora de coordinar las zonas congestionadas de la red;</w:t>
      </w:r>
    </w:p>
    <w:p w:rsidR="00E23F83" w:rsidRPr="000D1EE0" w:rsidRDefault="00E23F83" w:rsidP="00E23F83">
      <w:pPr>
        <w:keepNext/>
        <w:keepLines/>
      </w:pPr>
      <w:r w:rsidRPr="000D1EE0">
        <w:rPr>
          <w:b/>
          <w:bCs/>
        </w:rPr>
        <w:t>4.1</w:t>
      </w:r>
      <w:r w:rsidRPr="000D1EE0">
        <w:tab/>
        <w:t>que cuando así lo permitan el equipo y las características de red, se pueda emplear reutilización de frecuencias cocanal, previo acuerdo de las administraciones interesadas, para mejorar la eficiencia espectral;</w:t>
      </w:r>
    </w:p>
    <w:p w:rsidR="00E23F83" w:rsidRPr="000D1EE0" w:rsidRDefault="00E23F83" w:rsidP="00E23F83">
      <w:r w:rsidRPr="000D1EE0">
        <w:rPr>
          <w:b/>
          <w:bCs/>
        </w:rPr>
        <w:t>4.2</w:t>
      </w:r>
      <w:r w:rsidRPr="000D1EE0">
        <w:tab/>
        <w:t xml:space="preserve">que cuando se requieran enlaces de muy alta capacidad (por ejemplo, de dos veces el modo de transferencia síncrono de módulo 1 (STM-1)) y la coordinación de red lo permita, sea posible utilizar, previo acuerdo de las administraciones interesadas, cualquiera de los dos canales adyacentes de 30 MHz especificados en el </w:t>
      </w:r>
      <w:r w:rsidRPr="000D1EE0">
        <w:rPr>
          <w:i/>
          <w:iCs/>
        </w:rPr>
        <w:t>recomienda</w:t>
      </w:r>
      <w:r w:rsidRPr="000D1EE0">
        <w:t xml:space="preserve"> 4, para un sistema de anchura de banda mayor y una frecuencia central situada en el punto central de separación entre los dos canales adyacentes de 30 MHz;</w:t>
      </w:r>
    </w:p>
    <w:p w:rsidR="00E23F83" w:rsidRPr="000D1EE0" w:rsidRDefault="00E23F83" w:rsidP="00E23F83">
      <w:r w:rsidRPr="000D1EE0">
        <w:rPr>
          <w:b/>
          <w:bCs/>
        </w:rPr>
        <w:t>4.3</w:t>
      </w:r>
      <w:r w:rsidRPr="000D1EE0">
        <w:rPr>
          <w:b/>
          <w:bCs/>
        </w:rPr>
        <w:tab/>
      </w:r>
      <w:r w:rsidRPr="000D1EE0">
        <w:t>que las disposiciones de radiocanales de 14 MHz, 7 MHz y 3,5 MHz puedan obtenerse mediante una adecuada subdivisión del canal coherente con los radiocanales de 30 MHz, como muestra el Anexo 2;</w:t>
      </w:r>
    </w:p>
    <w:p w:rsidR="00E23F83" w:rsidRPr="000D1EE0" w:rsidRDefault="00E23F83" w:rsidP="00E23F83">
      <w:r w:rsidRPr="000D1EE0">
        <w:rPr>
          <w:b/>
        </w:rPr>
        <w:t>5</w:t>
      </w:r>
      <w:r w:rsidRPr="000D1EE0">
        <w:rPr>
          <w:b/>
        </w:rPr>
        <w:tab/>
      </w:r>
      <w:r w:rsidRPr="000D1EE0">
        <w:t>que la disposición preferida de los radiocanales para hasta 32 canales de ida y 32 de retorno, de 10 MHz como máximo, cada uno de ellos con velocidades medias de capacidad de transmisión síncrona digital, se exprese mediante las relaciones siguientes:</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t>mitad inferior de la banda:</w:t>
      </w:r>
      <w:r w:rsidRPr="000D1EE0">
        <w:tab/>
        <w:t xml:space="preserve"> </w:t>
      </w:r>
      <w:r w:rsidRPr="000D1EE0">
        <w:rPr>
          <w:i/>
        </w:rPr>
        <w:t>f</w:t>
      </w:r>
      <w:r w:rsidRPr="000D1EE0">
        <w:rPr>
          <w:i/>
          <w:iCs/>
          <w:vertAlign w:val="subscript"/>
        </w:rPr>
        <w:t>n</w:t>
      </w:r>
      <w:r w:rsidRPr="000D1EE0">
        <w:t>  =  </w:t>
      </w:r>
      <w:r w:rsidRPr="000D1EE0">
        <w:rPr>
          <w:i/>
          <w:sz w:val="22"/>
          <w:szCs w:val="22"/>
        </w:rPr>
        <w:t>f</w:t>
      </w:r>
      <w:r w:rsidRPr="000D1EE0">
        <w:rPr>
          <w:sz w:val="22"/>
          <w:szCs w:val="22"/>
          <w:vertAlign w:val="subscript"/>
        </w:rPr>
        <w:t>0</w:t>
      </w:r>
      <w:r w:rsidRPr="000D1EE0">
        <w:t xml:space="preserve">  –  340  +  10 </w:t>
      </w:r>
      <w:r w:rsidRPr="000D1EE0">
        <w:rPr>
          <w:i/>
          <w:iCs/>
        </w:rPr>
        <w:t>n</w:t>
      </w:r>
      <w:r w:rsidRPr="000D1EE0">
        <w:tab/>
        <w:t>MHz</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t>mitad superior de la banda:</w:t>
      </w:r>
      <w:r w:rsidRPr="000D1EE0">
        <w:tab/>
      </w:r>
      <w:r w:rsidRPr="000D1EE0">
        <w:object w:dxaOrig="300" w:dyaOrig="360">
          <v:shape id="_x0000_i1033" type="#_x0000_t75" style="width:15.25pt;height:15.7pt" o:ole="">
            <v:imagedata r:id="rId30" o:title=""/>
          </v:shape>
          <o:OLEObject Type="Embed" ProgID="Equation.3" ShapeID="_x0000_i1033" DrawAspect="Content" ObjectID="_1417335984" r:id="rId31"/>
        </w:object>
      </w:r>
      <w:r w:rsidRPr="000D1EE0">
        <w:t> =  </w:t>
      </w:r>
      <w:r w:rsidRPr="000D1EE0">
        <w:rPr>
          <w:i/>
          <w:sz w:val="22"/>
          <w:szCs w:val="22"/>
        </w:rPr>
        <w:t>f</w:t>
      </w:r>
      <w:r w:rsidRPr="000D1EE0">
        <w:rPr>
          <w:sz w:val="22"/>
          <w:szCs w:val="22"/>
          <w:vertAlign w:val="subscript"/>
        </w:rPr>
        <w:t>0</w:t>
      </w:r>
      <w:r w:rsidRPr="000D1EE0">
        <w:t xml:space="preserve">  +  10 </w:t>
      </w:r>
      <w:r w:rsidRPr="000D1EE0">
        <w:rPr>
          <w:i/>
          <w:iCs/>
        </w:rPr>
        <w:t>n</w:t>
      </w:r>
      <w:r w:rsidRPr="000D1EE0">
        <w:tab/>
        <w:t>MHz</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donde:</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r>
      <w:r w:rsidRPr="000D1EE0">
        <w:rPr>
          <w:i/>
          <w:iCs/>
        </w:rPr>
        <w:t>n</w:t>
      </w:r>
      <w:r w:rsidRPr="000D1EE0">
        <w:t xml:space="preserve">  =  1, 2, 3, . . . 31, 32;</w:t>
      </w:r>
    </w:p>
    <w:p w:rsidR="00E23F83" w:rsidRPr="000D1EE0" w:rsidRDefault="00E23F83" w:rsidP="00E23F83">
      <w:r w:rsidRPr="000D1EE0">
        <w:rPr>
          <w:b/>
        </w:rPr>
        <w:t>6</w:t>
      </w:r>
      <w:r w:rsidRPr="000D1EE0">
        <w:tab/>
        <w:t>que la disposición preferida de los radiocanales para hasta 64 canales de ida y 64 de retorno, de 5 MHz como máximo, cada uno de ellos con velocidades medias de capacidad de transmisión síncrona digital, se exprese mediante las relaciones siguientes:</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t>mitad inferior de la banda:</w:t>
      </w:r>
      <w:r w:rsidRPr="000D1EE0">
        <w:tab/>
        <w:t xml:space="preserve"> </w:t>
      </w:r>
      <w:r w:rsidRPr="000D1EE0">
        <w:rPr>
          <w:i/>
        </w:rPr>
        <w:t>f</w:t>
      </w:r>
      <w:r w:rsidRPr="000D1EE0">
        <w:rPr>
          <w:i/>
          <w:iCs/>
          <w:vertAlign w:val="subscript"/>
        </w:rPr>
        <w:t>n</w:t>
      </w:r>
      <w:r w:rsidRPr="000D1EE0">
        <w:t>  =  </w:t>
      </w:r>
      <w:r w:rsidRPr="000D1EE0">
        <w:rPr>
          <w:i/>
          <w:sz w:val="22"/>
          <w:szCs w:val="22"/>
        </w:rPr>
        <w:t>f</w:t>
      </w:r>
      <w:r w:rsidRPr="000D1EE0">
        <w:rPr>
          <w:sz w:val="22"/>
          <w:szCs w:val="22"/>
          <w:vertAlign w:val="subscript"/>
        </w:rPr>
        <w:t>0</w:t>
      </w:r>
      <w:r w:rsidRPr="000D1EE0">
        <w:t xml:space="preserve">  –  340  +  5 </w:t>
      </w:r>
      <w:r w:rsidRPr="000D1EE0">
        <w:rPr>
          <w:i/>
          <w:iCs/>
        </w:rPr>
        <w:t>n</w:t>
      </w:r>
      <w:r w:rsidRPr="000D1EE0">
        <w:tab/>
        <w:t>MHz</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t>mitad superior de la banda:</w:t>
      </w:r>
      <w:r w:rsidRPr="000D1EE0">
        <w:tab/>
      </w:r>
      <w:r w:rsidRPr="000D1EE0">
        <w:object w:dxaOrig="300" w:dyaOrig="360">
          <v:shape id="_x0000_i1034" type="#_x0000_t75" style="width:15.25pt;height:15.7pt" o:ole="">
            <v:imagedata r:id="rId30" o:title=""/>
          </v:shape>
          <o:OLEObject Type="Embed" ProgID="Equation.3" ShapeID="_x0000_i1034" DrawAspect="Content" ObjectID="_1417335985" r:id="rId32"/>
        </w:object>
      </w:r>
      <w:r w:rsidRPr="000D1EE0">
        <w:t> =  </w:t>
      </w:r>
      <w:r w:rsidRPr="000D1EE0">
        <w:rPr>
          <w:i/>
          <w:sz w:val="22"/>
          <w:szCs w:val="22"/>
        </w:rPr>
        <w:t>f</w:t>
      </w:r>
      <w:r w:rsidRPr="000D1EE0">
        <w:rPr>
          <w:sz w:val="22"/>
          <w:szCs w:val="22"/>
          <w:vertAlign w:val="subscript"/>
        </w:rPr>
        <w:t>0</w:t>
      </w:r>
      <w:r w:rsidRPr="000D1EE0">
        <w:t xml:space="preserve">  +  5  +  5 </w:t>
      </w:r>
      <w:r w:rsidRPr="000D1EE0">
        <w:rPr>
          <w:i/>
          <w:iCs/>
        </w:rPr>
        <w:t>n</w:t>
      </w:r>
      <w:r w:rsidRPr="000D1EE0">
        <w:tab/>
        <w:t>MHz</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donde:</w:t>
      </w:r>
    </w:p>
    <w:p w:rsidR="00E23F83" w:rsidRPr="000D1EE0" w:rsidRDefault="00E23F83" w:rsidP="00E23F83">
      <w:pPr>
        <w:pStyle w:val="enumlev1"/>
        <w:tabs>
          <w:tab w:val="clear" w:pos="794"/>
          <w:tab w:val="left" w:pos="822"/>
          <w:tab w:val="left" w:pos="851"/>
          <w:tab w:val="left" w:pos="3600"/>
          <w:tab w:val="left" w:pos="4111"/>
          <w:tab w:val="left" w:pos="6480"/>
        </w:tabs>
      </w:pPr>
      <w:r w:rsidRPr="000D1EE0">
        <w:tab/>
      </w:r>
      <w:r w:rsidRPr="000D1EE0">
        <w:rPr>
          <w:i/>
          <w:iCs/>
        </w:rPr>
        <w:t>n</w:t>
      </w:r>
      <w:r w:rsidRPr="000D1EE0">
        <w:t xml:space="preserve">  =  1, 2, 3, . . . 63, 64;</w:t>
      </w:r>
    </w:p>
    <w:p w:rsidR="00E23F83" w:rsidRPr="000D1EE0" w:rsidRDefault="00E23F83" w:rsidP="00E23F83">
      <w:r w:rsidRPr="000D1EE0">
        <w:rPr>
          <w:b/>
          <w:bCs/>
        </w:rPr>
        <w:lastRenderedPageBreak/>
        <w:t>7</w:t>
      </w:r>
      <w:r w:rsidRPr="000D1EE0">
        <w:rPr>
          <w:b/>
          <w:bCs/>
        </w:rPr>
        <w:tab/>
      </w:r>
      <w:r w:rsidRPr="000D1EE0">
        <w:t xml:space="preserve">que la frecuencia central preferida, </w:t>
      </w:r>
      <w:r w:rsidRPr="000D1EE0">
        <w:rPr>
          <w:i/>
        </w:rPr>
        <w:t>f</w:t>
      </w:r>
      <w:r w:rsidRPr="000D1EE0">
        <w:rPr>
          <w:iCs/>
          <w:vertAlign w:val="subscript"/>
        </w:rPr>
        <w:t>0</w:t>
      </w:r>
      <w:r w:rsidRPr="000D1EE0">
        <w:t>, sea de 6 770 MHz; adicionalmente, se pueden utilizar otras frecuencias centrales previo acuerdo entre las administraciones interesadas;</w:t>
      </w:r>
    </w:p>
    <w:p w:rsidR="00E23F83" w:rsidRPr="000D1EE0" w:rsidRDefault="00E23F83" w:rsidP="00E23F83">
      <w:r w:rsidRPr="000D1EE0">
        <w:rPr>
          <w:b/>
          <w:bCs/>
        </w:rPr>
        <w:t>8</w:t>
      </w:r>
      <w:r w:rsidRPr="000D1EE0">
        <w:tab/>
        <w:t xml:space="preserve">que otra posibilidad para obtener la disposición de radiocanales con 20 MHz, 10 MHz y 5 MHz consiste en subdividir los radiocanales de 40 MHz de la disposición que figura en el </w:t>
      </w:r>
      <w:r w:rsidRPr="000D1EE0">
        <w:rPr>
          <w:i/>
          <w:iCs/>
        </w:rPr>
        <w:t>recomienda</w:t>
      </w:r>
      <w:r w:rsidRPr="000D1EE0">
        <w:t xml:space="preserve"> 1.</w:t>
      </w:r>
    </w:p>
    <w:p w:rsidR="00E23F83" w:rsidRPr="000D1EE0" w:rsidRDefault="00E23F83" w:rsidP="002F46D7">
      <w:r w:rsidRPr="000D1EE0">
        <w:t>NOTA 1 – Las velocidades binarias brutas reales, incluidos los bits de tara, pueden rebasar en un 5%, o incluso más, las velocidades de transmisión netas.</w:t>
      </w:r>
    </w:p>
    <w:p w:rsidR="00E23F83" w:rsidRPr="000D1EE0" w:rsidRDefault="00E23F83" w:rsidP="00573D0A">
      <w:r w:rsidRPr="000D1EE0">
        <w:t>NOTA 2 – Cuando se utilizan antenas comunes de transmisión-recepción y el canal</w:t>
      </w:r>
      <w:r w:rsidR="00573D0A">
        <w:t> </w:t>
      </w:r>
      <w:bookmarkStart w:id="7" w:name="_GoBack"/>
      <w:bookmarkEnd w:id="7"/>
      <w:r w:rsidRPr="000D1EE0">
        <w:t>8 se emplea junto con el canal 1', ya sea en la disposición de la Fig.</w:t>
      </w:r>
      <w:r w:rsidR="00573D0A">
        <w:t> </w:t>
      </w:r>
      <w:r w:rsidRPr="000D1EE0">
        <w:t>1a o incluso en la disposición más problemática de la Fig.</w:t>
      </w:r>
      <w:r w:rsidR="002F46D7">
        <w:t> </w:t>
      </w:r>
      <w:r w:rsidRPr="000D1EE0">
        <w:t>1b, puede que se necesiten disposiciones especiales de ramificaciones y filtros para limitar las interferencias mutuas y permitir el funcionamiento común.</w:t>
      </w:r>
    </w:p>
    <w:p w:rsidR="00E23F83" w:rsidRPr="000D1EE0" w:rsidRDefault="00E23F83" w:rsidP="002F46D7">
      <w:r w:rsidRPr="000D1EE0">
        <w:t>NOTA 3 – En versiones precedentes de esta Recomendación, se ha sugerido la disposición alternativa de la polarización mostrada a continuación y se ha utilizado en la instalación de sistemas analógicos de hasta 2 700 canales. Es posible mantener tal disposición al pasar a sistemas digitales y puede seguir siendo empleada mediante acuerdo entre las administraciones implicadas;</w:t>
      </w:r>
    </w:p>
    <w:tbl>
      <w:tblPr>
        <w:tblW w:w="0" w:type="auto"/>
        <w:jc w:val="center"/>
        <w:tblLook w:val="04A0" w:firstRow="1" w:lastRow="0" w:firstColumn="1" w:lastColumn="0" w:noHBand="0" w:noVBand="1"/>
      </w:tblPr>
      <w:tblGrid>
        <w:gridCol w:w="1247"/>
        <w:gridCol w:w="1587"/>
        <w:gridCol w:w="1587"/>
      </w:tblGrid>
      <w:tr w:rsidR="00E23F83" w:rsidRPr="000D1EE0" w:rsidTr="002F46D7">
        <w:trPr>
          <w:jc w:val="center"/>
        </w:trPr>
        <w:tc>
          <w:tcPr>
            <w:tcW w:w="1247" w:type="dxa"/>
            <w:shd w:val="clear" w:color="auto" w:fill="auto"/>
          </w:tcPr>
          <w:p w:rsidR="00E23F83" w:rsidRPr="000D1EE0" w:rsidRDefault="00E23F83" w:rsidP="002F46D7">
            <w:pPr>
              <w:rPr>
                <w:rFonts w:eastAsia="SimSun"/>
              </w:rPr>
            </w:pPr>
          </w:p>
        </w:tc>
        <w:tc>
          <w:tcPr>
            <w:tcW w:w="1587" w:type="dxa"/>
            <w:shd w:val="clear" w:color="auto" w:fill="auto"/>
          </w:tcPr>
          <w:p w:rsidR="00E23F83" w:rsidRPr="000D1EE0" w:rsidRDefault="00E23F83" w:rsidP="002F46D7">
            <w:pPr>
              <w:jc w:val="center"/>
              <w:rPr>
                <w:rFonts w:eastAsia="SimSun"/>
              </w:rPr>
            </w:pPr>
            <w:r w:rsidRPr="000D1EE0">
              <w:rPr>
                <w:rFonts w:eastAsia="SimSun"/>
                <w:i/>
              </w:rPr>
              <w:t>Ida</w:t>
            </w:r>
          </w:p>
        </w:tc>
        <w:tc>
          <w:tcPr>
            <w:tcW w:w="1587" w:type="dxa"/>
            <w:shd w:val="clear" w:color="auto" w:fill="auto"/>
          </w:tcPr>
          <w:p w:rsidR="00E23F83" w:rsidRPr="000D1EE0" w:rsidRDefault="00E23F83" w:rsidP="002F46D7">
            <w:pPr>
              <w:jc w:val="center"/>
              <w:rPr>
                <w:rFonts w:eastAsia="SimSun"/>
              </w:rPr>
            </w:pPr>
            <w:r w:rsidRPr="000D1EE0">
              <w:rPr>
                <w:rFonts w:eastAsia="SimSun"/>
                <w:i/>
              </w:rPr>
              <w:t>Retorno</w:t>
            </w:r>
          </w:p>
        </w:tc>
      </w:tr>
      <w:tr w:rsidR="00E23F83" w:rsidRPr="000D1EE0" w:rsidTr="002F46D7">
        <w:trPr>
          <w:jc w:val="center"/>
        </w:trPr>
        <w:tc>
          <w:tcPr>
            <w:tcW w:w="1247" w:type="dxa"/>
            <w:shd w:val="clear" w:color="auto" w:fill="auto"/>
          </w:tcPr>
          <w:p w:rsidR="00E23F83" w:rsidRPr="000D1EE0" w:rsidRDefault="00E23F83" w:rsidP="002F46D7">
            <w:pPr>
              <w:rPr>
                <w:b/>
                <w:sz w:val="28"/>
              </w:rPr>
            </w:pPr>
            <w:r w:rsidRPr="000D1EE0">
              <w:rPr>
                <w:rFonts w:eastAsia="SimSun"/>
              </w:rPr>
              <w:t>H(V)</w:t>
            </w:r>
          </w:p>
        </w:tc>
        <w:tc>
          <w:tcPr>
            <w:tcW w:w="1587" w:type="dxa"/>
            <w:shd w:val="clear" w:color="auto" w:fill="auto"/>
          </w:tcPr>
          <w:p w:rsidR="00E23F83" w:rsidRPr="000D1EE0" w:rsidRDefault="00E23F83" w:rsidP="002F46D7">
            <w:pPr>
              <w:jc w:val="center"/>
              <w:rPr>
                <w:rFonts w:eastAsia="SimSun"/>
              </w:rPr>
            </w:pPr>
            <w:r w:rsidRPr="000D1EE0">
              <w:rPr>
                <w:rFonts w:eastAsia="SimSun"/>
              </w:rPr>
              <w:t>1  3  5  7</w:t>
            </w:r>
          </w:p>
        </w:tc>
        <w:tc>
          <w:tcPr>
            <w:tcW w:w="1587" w:type="dxa"/>
            <w:shd w:val="clear" w:color="auto" w:fill="auto"/>
          </w:tcPr>
          <w:p w:rsidR="00E23F83" w:rsidRPr="000D1EE0" w:rsidRDefault="00E23F83" w:rsidP="002F46D7">
            <w:pPr>
              <w:jc w:val="center"/>
              <w:rPr>
                <w:rFonts w:eastAsia="SimSun"/>
              </w:rPr>
            </w:pPr>
            <w:r w:rsidRPr="000D1EE0">
              <w:rPr>
                <w:rFonts w:eastAsia="SimSun"/>
              </w:rPr>
              <w:t>2′  4′  6′  8′</w:t>
            </w:r>
          </w:p>
        </w:tc>
      </w:tr>
      <w:tr w:rsidR="00E23F83" w:rsidRPr="000D1EE0" w:rsidTr="002F46D7">
        <w:trPr>
          <w:jc w:val="center"/>
        </w:trPr>
        <w:tc>
          <w:tcPr>
            <w:tcW w:w="1247" w:type="dxa"/>
            <w:shd w:val="clear" w:color="auto" w:fill="auto"/>
          </w:tcPr>
          <w:p w:rsidR="00E23F83" w:rsidRPr="000D1EE0" w:rsidRDefault="00E23F83" w:rsidP="002F46D7">
            <w:pPr>
              <w:rPr>
                <w:b/>
                <w:sz w:val="28"/>
              </w:rPr>
            </w:pPr>
            <w:r w:rsidRPr="000D1EE0">
              <w:rPr>
                <w:rFonts w:eastAsia="SimSun"/>
              </w:rPr>
              <w:t>V(H)</w:t>
            </w:r>
          </w:p>
        </w:tc>
        <w:tc>
          <w:tcPr>
            <w:tcW w:w="1587" w:type="dxa"/>
            <w:shd w:val="clear" w:color="auto" w:fill="auto"/>
          </w:tcPr>
          <w:p w:rsidR="00E23F83" w:rsidRPr="000D1EE0" w:rsidRDefault="00E23F83" w:rsidP="002F46D7">
            <w:pPr>
              <w:jc w:val="center"/>
              <w:rPr>
                <w:rFonts w:eastAsia="SimSun"/>
              </w:rPr>
            </w:pPr>
            <w:r w:rsidRPr="000D1EE0">
              <w:rPr>
                <w:rFonts w:eastAsia="SimSun"/>
              </w:rPr>
              <w:t>2  4  6  8</w:t>
            </w:r>
          </w:p>
        </w:tc>
        <w:tc>
          <w:tcPr>
            <w:tcW w:w="1587" w:type="dxa"/>
            <w:shd w:val="clear" w:color="auto" w:fill="auto"/>
          </w:tcPr>
          <w:p w:rsidR="00E23F83" w:rsidRPr="000D1EE0" w:rsidRDefault="00E23F83" w:rsidP="002F46D7">
            <w:pPr>
              <w:jc w:val="center"/>
              <w:rPr>
                <w:rFonts w:eastAsia="SimSun"/>
              </w:rPr>
            </w:pPr>
            <w:r w:rsidRPr="000D1EE0">
              <w:rPr>
                <w:rFonts w:eastAsia="SimSun"/>
              </w:rPr>
              <w:t>1′  3′  5′  7′</w:t>
            </w:r>
          </w:p>
        </w:tc>
      </w:tr>
    </w:tbl>
    <w:p w:rsidR="00E23F83" w:rsidRPr="000D1EE0" w:rsidRDefault="00E23F83" w:rsidP="002F46D7">
      <w:r w:rsidRPr="000D1EE0">
        <w:t xml:space="preserve">NOTA 4 – Un sistema multiportadora consta de </w:t>
      </w:r>
      <w:r w:rsidRPr="000D1EE0">
        <w:rPr>
          <w:i/>
        </w:rPr>
        <w:t>n</w:t>
      </w:r>
      <w:r w:rsidRPr="000D1EE0">
        <w:t xml:space="preserve"> (siendo </w:t>
      </w:r>
      <w:r w:rsidRPr="000D1EE0">
        <w:rPr>
          <w:i/>
        </w:rPr>
        <w:t>n</w:t>
      </w:r>
      <w:r w:rsidRPr="000D1EE0">
        <w:t xml:space="preserve"> &gt; 1) señales portadoras con modulación digital transmitidas o recibidas simultáneamente por el mismo equipo de radiofrecuencia. La frecuencia central debe considerarse como la media aritmética de las </w:t>
      </w:r>
      <w:r w:rsidRPr="000D1EE0">
        <w:rPr>
          <w:i/>
        </w:rPr>
        <w:t>n</w:t>
      </w:r>
      <w:r w:rsidRPr="000D1EE0">
        <w:t xml:space="preserve"> frecuencias de las portadoras individuales del sistema multiportadora.</w:t>
      </w:r>
    </w:p>
    <w:p w:rsidR="00974436" w:rsidRPr="000D1EE0" w:rsidRDefault="00974436" w:rsidP="00E23F83">
      <w:pPr>
        <w:pStyle w:val="Note"/>
        <w:rPr>
          <w:sz w:val="24"/>
          <w:szCs w:val="24"/>
        </w:rPr>
      </w:pPr>
    </w:p>
    <w:p w:rsidR="00E23F83" w:rsidRPr="000D1EE0" w:rsidRDefault="00E23F83" w:rsidP="00E23F83">
      <w:pPr>
        <w:pStyle w:val="AnnexNoTitle"/>
      </w:pPr>
      <w:r w:rsidRPr="000D1EE0">
        <w:t>Anexo 1</w:t>
      </w:r>
      <w:r w:rsidRPr="000D1EE0">
        <w:br/>
      </w:r>
      <w:r w:rsidRPr="000D1EE0">
        <w:br/>
        <w:t>Descripción de un sistema multiportadora</w:t>
      </w:r>
    </w:p>
    <w:p w:rsidR="00E23F83" w:rsidRPr="000D1EE0" w:rsidRDefault="00E23F83" w:rsidP="00E23F83">
      <w:pPr>
        <w:pStyle w:val="Normalaftertitle"/>
      </w:pPr>
      <w:r w:rsidRPr="000D1EE0">
        <w:t xml:space="preserve">Un sistema multiportadora consta de </w:t>
      </w:r>
      <w:r w:rsidRPr="000D1EE0">
        <w:rPr>
          <w:i/>
        </w:rPr>
        <w:t>n</w:t>
      </w:r>
      <w:r w:rsidRPr="000D1EE0">
        <w:t xml:space="preserve"> (siendo </w:t>
      </w:r>
      <w:r w:rsidRPr="000D1EE0">
        <w:rPr>
          <w:i/>
        </w:rPr>
        <w:t>n</w:t>
      </w:r>
      <w:r w:rsidRPr="000D1EE0">
        <w:t xml:space="preserve"> &gt; 1) señales portadoras con modulación digital transmitidas (o recibidas) simultáneamente por el mismo equipo de radiofrecuencia.</w:t>
      </w:r>
    </w:p>
    <w:p w:rsidR="00E23F83" w:rsidRPr="000D1EE0" w:rsidRDefault="00E23F83" w:rsidP="00E23F83">
      <w:r w:rsidRPr="000D1EE0">
        <w:t xml:space="preserve">Para una transmisión multiportadora de alta capacidad, la frecuencia central del canal debe coincidir con una de las correspondientes frecuencias de la disposición de canales básica indicada en los </w:t>
      </w:r>
      <w:r w:rsidRPr="000D1EE0">
        <w:rPr>
          <w:i/>
        </w:rPr>
        <w:t>recomienda</w:t>
      </w:r>
      <w:r w:rsidRPr="000D1EE0">
        <w:t xml:space="preserve"> 1, </w:t>
      </w:r>
      <w:r w:rsidR="002F46D7">
        <w:t>1.5</w:t>
      </w:r>
      <w:r w:rsidRPr="000D1EE0">
        <w:t xml:space="preserve"> ó 4.2. La separación de canales puede ser un múltiplo entero de los valores básicos definidos por los </w:t>
      </w:r>
      <w:r w:rsidRPr="000D1EE0">
        <w:rPr>
          <w:i/>
        </w:rPr>
        <w:t>recomienda</w:t>
      </w:r>
      <w:r w:rsidRPr="000D1EE0">
        <w:t xml:space="preserve"> 1, 2 ó 4. Al elegir la alternativa adecuada debe tenerse en cuenta la compatibilidad con las configuraciones existentes.</w:t>
      </w:r>
    </w:p>
    <w:p w:rsidR="00E23F83" w:rsidRPr="000D1EE0" w:rsidRDefault="00E23F83" w:rsidP="00E23F83">
      <w:r w:rsidRPr="000D1EE0">
        <w:t>En la Fig. 3 aparecen algunos ejemplos de disposiciones de canales copolares con reutilización de frecuencia que utilizan un sistema de dos portadoras con MAQ-64. Cada portadora se modula a 155,52 Mbit/s (STM-1).</w:t>
      </w:r>
    </w:p>
    <w:p w:rsidR="00E23F83" w:rsidRPr="000D1EE0" w:rsidRDefault="00E23F83" w:rsidP="00E23F83">
      <w:r w:rsidRPr="000D1EE0">
        <w:t xml:space="preserve">Las frecuencias centrales de la disposición de canales de la Fig. 3a) se obtienen del </w:t>
      </w:r>
      <w:r w:rsidRPr="000D1EE0">
        <w:rPr>
          <w:i/>
        </w:rPr>
        <w:t>recomienda</w:t>
      </w:r>
      <w:r w:rsidRPr="000D1EE0">
        <w:t xml:space="preserve"> 1 haciendo </w:t>
      </w:r>
      <w:r w:rsidRPr="000D1EE0">
        <w:rPr>
          <w:i/>
        </w:rPr>
        <w:t>n</w:t>
      </w:r>
      <w:r w:rsidRPr="000D1EE0">
        <w:t xml:space="preserve"> = 2, 4, 6, 8. La separación de canales es de 80 MHz. Cada canal de radiofrecuencia contiene 2 × 2 portadoras situadas a </w:t>
      </w:r>
      <w:r w:rsidRPr="000D1EE0">
        <w:sym w:font="Symbol" w:char="F0B1"/>
      </w:r>
      <w:r w:rsidRPr="000D1EE0">
        <w:t> 17,5 MHz alrededor de la frecuencia central y utilizan ambas polarizaciones. Esto fue preferible cuando se estaba realizando la transición de analógico a digital.</w:t>
      </w:r>
    </w:p>
    <w:p w:rsidR="00E23F83" w:rsidRPr="000D1EE0" w:rsidRDefault="00E23F83" w:rsidP="00974436">
      <w:pPr>
        <w:keepNext/>
        <w:keepLines/>
      </w:pPr>
      <w:r w:rsidRPr="000D1EE0">
        <w:lastRenderedPageBreak/>
        <w:t xml:space="preserve">La Fig. 3b) representa una disposición de canales entrelazada donde las frecuencias centrales se obtienen del </w:t>
      </w:r>
      <w:r w:rsidRPr="000D1EE0">
        <w:rPr>
          <w:i/>
        </w:rPr>
        <w:t>recomienda</w:t>
      </w:r>
      <w:r w:rsidRPr="000D1EE0">
        <w:t> </w:t>
      </w:r>
      <w:r w:rsidR="002F46D7">
        <w:t>1.5</w:t>
      </w:r>
      <w:r w:rsidRPr="000D1EE0">
        <w:t xml:space="preserve"> combinando los canales con </w:t>
      </w:r>
      <w:r w:rsidRPr="000D1EE0">
        <w:rPr>
          <w:i/>
          <w:iCs/>
        </w:rPr>
        <w:t xml:space="preserve">n = </w:t>
      </w:r>
      <w:r w:rsidRPr="000D1EE0">
        <w:t>1 y 2, 3 y 4, 5 y 6, 7 y 8. Esta disposición de canales es la preferida porque proporciona bandas de guarda más simétricas en los bordes de la banda.</w:t>
      </w:r>
    </w:p>
    <w:p w:rsidR="00E23F83" w:rsidRPr="000D1EE0" w:rsidRDefault="00E23F83" w:rsidP="00E23F83">
      <w:pPr>
        <w:pStyle w:val="FigureNo"/>
      </w:pPr>
      <w:r w:rsidRPr="000D1EE0">
        <w:t>FIGURA 3</w:t>
      </w:r>
    </w:p>
    <w:p w:rsidR="00E23F83" w:rsidRPr="000D1EE0" w:rsidRDefault="00E23F83" w:rsidP="00E23F83">
      <w:pPr>
        <w:pStyle w:val="Figuretitle"/>
        <w:rPr>
          <w:rFonts w:ascii="Times New Roman"/>
          <w:b w:val="0"/>
          <w:bCs/>
          <w:szCs w:val="18"/>
        </w:rPr>
      </w:pPr>
      <w:r w:rsidRPr="000D1EE0">
        <w:t>Ejemplo de disposiciones de radiocanales para un sistema inalámbrico fijo</w:t>
      </w:r>
      <w:r w:rsidRPr="000D1EE0">
        <w:br/>
        <w:t xml:space="preserve">a 2 × 2 × 155,52 Mbit/s (4 × STM-1) que funciona con una separación </w:t>
      </w:r>
      <w:r w:rsidRPr="000D1EE0">
        <w:br/>
        <w:t>de canales de 80 MHz en la banda de 6 GHz superior</w:t>
      </w:r>
      <w:r w:rsidRPr="000D1EE0">
        <w:br/>
      </w:r>
      <w:r w:rsidRPr="000D1EE0">
        <w:rPr>
          <w:rFonts w:ascii="Times New Roman"/>
          <w:b w:val="0"/>
          <w:bCs/>
          <w:szCs w:val="18"/>
          <w:lang w:eastAsia="ja-JP"/>
        </w:rPr>
        <w:t>(Todas las frecuencias en MHz)</w:t>
      </w:r>
    </w:p>
    <w:p w:rsidR="00E23F83" w:rsidRPr="000D1EE0" w:rsidRDefault="00E23F83" w:rsidP="00E23F83">
      <w:pPr>
        <w:pStyle w:val="Figure"/>
      </w:pPr>
      <w:r w:rsidRPr="000D1EE0">
        <w:object w:dxaOrig="8452" w:dyaOrig="8223">
          <v:shape id="_x0000_i1035" type="#_x0000_t75" style="width:406.6pt;height:395.55pt" o:ole="">
            <v:imagedata r:id="rId33" o:title=""/>
          </v:shape>
          <o:OLEObject Type="Embed" ProgID="CorelDRAW.Graphic.14" ShapeID="_x0000_i1035" DrawAspect="Content" ObjectID="_1417335986" r:id="rId34"/>
        </w:object>
      </w:r>
    </w:p>
    <w:p w:rsidR="00D22D09" w:rsidRDefault="00D22D09" w:rsidP="00D22D09"/>
    <w:p w:rsidR="00E23F83" w:rsidRPr="000D1EE0" w:rsidRDefault="00E23F83" w:rsidP="00E23F83">
      <w:pPr>
        <w:pStyle w:val="AnnexNoTitle"/>
      </w:pPr>
      <w:r w:rsidRPr="000D1EE0">
        <w:t>Anexo 2</w:t>
      </w:r>
      <w:r w:rsidRPr="000D1EE0">
        <w:br/>
      </w:r>
      <w:r w:rsidRPr="000D1EE0">
        <w:br/>
        <w:t xml:space="preserve">Disposiciones de 14 MHz, 7 MHz y 3,5 MHz indicadas en el </w:t>
      </w:r>
      <w:r w:rsidRPr="000D1EE0">
        <w:rPr>
          <w:i/>
          <w:iCs/>
        </w:rPr>
        <w:t>recomienda</w:t>
      </w:r>
      <w:r w:rsidRPr="000D1EE0">
        <w:t xml:space="preserve"> 4.3</w:t>
      </w:r>
    </w:p>
    <w:p w:rsidR="00E23F83" w:rsidRPr="000D1EE0" w:rsidRDefault="00E23F83" w:rsidP="00D22D09">
      <w:pPr>
        <w:pStyle w:val="Normalaftertitle"/>
      </w:pPr>
      <w:r w:rsidRPr="000D1EE0">
        <w:t>Los canales de banda estrecha de 14</w:t>
      </w:r>
      <w:r w:rsidR="00D22D09">
        <w:t> </w:t>
      </w:r>
      <w:r w:rsidRPr="000D1EE0">
        <w:t>MHz, 7</w:t>
      </w:r>
      <w:r w:rsidR="00D22D09">
        <w:t> </w:t>
      </w:r>
      <w:r w:rsidRPr="000D1EE0">
        <w:t>MHz y 3,5</w:t>
      </w:r>
      <w:r w:rsidR="00D22D09">
        <w:t> </w:t>
      </w:r>
      <w:r w:rsidRPr="000D1EE0">
        <w:t>MHz se obtienen formalmente subdividiendo cada uno de los canales de 30</w:t>
      </w:r>
      <w:r w:rsidR="00D22D09">
        <w:t> </w:t>
      </w:r>
      <w:r w:rsidRPr="000D1EE0">
        <w:t xml:space="preserve">MHz indicados en el </w:t>
      </w:r>
      <w:r w:rsidRPr="000D1EE0">
        <w:rPr>
          <w:i/>
          <w:iCs/>
        </w:rPr>
        <w:t xml:space="preserve">recomienda </w:t>
      </w:r>
      <w:r w:rsidRPr="000D1EE0">
        <w:t>4 y utilizando los 2 MHz residuales como banda de guarda entre cada intervalo de 30 MHz, como muestra la Fig.</w:t>
      </w:r>
      <w:r w:rsidR="00D22D09">
        <w:t> </w:t>
      </w:r>
      <w:r w:rsidRPr="000D1EE0">
        <w:t>4.</w:t>
      </w:r>
    </w:p>
    <w:p w:rsidR="00E23F83" w:rsidRPr="000D1EE0" w:rsidRDefault="00E23F83" w:rsidP="007A6C72">
      <w:pPr>
        <w:keepNext/>
        <w:keepLines/>
      </w:pPr>
      <w:r w:rsidRPr="000D1EE0">
        <w:lastRenderedPageBreak/>
        <w:t>El conjunto completo de frecuencias centrales de los canales puede obtenerse mediante las siguientes relaciones:</w:t>
      </w:r>
    </w:p>
    <w:p w:rsidR="00E23F83" w:rsidRPr="000D1EE0" w:rsidRDefault="00E23F83" w:rsidP="00E23F83">
      <w:r w:rsidRPr="000D1EE0">
        <w:t>a)</w:t>
      </w:r>
      <w:r w:rsidRPr="000D1EE0">
        <w:tab/>
        <w:t>para sistemas con una separación de portadoras de 14 MHz:</w:t>
      </w:r>
    </w:p>
    <w:p w:rsidR="00E23F83" w:rsidRPr="000D1EE0" w:rsidRDefault="00E23F83" w:rsidP="00E23F83">
      <w:pPr>
        <w:pStyle w:val="enumlev2"/>
      </w:pPr>
      <w:r w:rsidRPr="000D1EE0">
        <w:tab/>
        <w:t xml:space="preserve">mitad inferior de la banda:   </w:t>
      </w:r>
      <w:r w:rsidRPr="000D1EE0">
        <w:rPr>
          <w:i/>
        </w:rPr>
        <w:t>fn</w:t>
      </w:r>
      <w:r w:rsidRPr="000D1EE0">
        <w:t xml:space="preserve"> = </w:t>
      </w:r>
      <w:r w:rsidRPr="000D1EE0">
        <w:rPr>
          <w:i/>
        </w:rPr>
        <w:t>f</w:t>
      </w:r>
      <w:r w:rsidRPr="000D1EE0">
        <w:rPr>
          <w:iCs/>
          <w:vertAlign w:val="subscript"/>
        </w:rPr>
        <w:t>0</w:t>
      </w:r>
      <w:r w:rsidRPr="000D1EE0">
        <w:t xml:space="preserve"> </w:t>
      </w:r>
      <w:r w:rsidRPr="000D1EE0">
        <w:rPr>
          <w:szCs w:val="24"/>
        </w:rPr>
        <w:sym w:font="Symbol" w:char="F02D"/>
      </w:r>
      <w:r w:rsidRPr="000D1EE0">
        <w:t xml:space="preserve"> 340 + 9 + </w:t>
      </w:r>
      <w:r w:rsidRPr="000D1EE0">
        <w:rPr>
          <w:i/>
        </w:rPr>
        <w:t>n</w:t>
      </w:r>
      <w:r w:rsidRPr="000D1EE0">
        <w:t>*14 + 2*parte entera de((</w:t>
      </w:r>
      <w:r w:rsidRPr="000D1EE0">
        <w:rPr>
          <w:i/>
        </w:rPr>
        <w:t>n </w:t>
      </w:r>
      <w:r w:rsidRPr="000D1EE0">
        <w:rPr>
          <w:szCs w:val="24"/>
        </w:rPr>
        <w:sym w:font="Symbol" w:char="F02D"/>
      </w:r>
      <w:r w:rsidRPr="000D1EE0">
        <w:rPr>
          <w:szCs w:val="24"/>
        </w:rPr>
        <w:t> </w:t>
      </w:r>
      <w:r w:rsidRPr="000D1EE0">
        <w:t>1)/2)</w:t>
      </w:r>
    </w:p>
    <w:p w:rsidR="00E23F83" w:rsidRPr="000D1EE0" w:rsidRDefault="00E23F83" w:rsidP="00E23F83">
      <w:pPr>
        <w:pStyle w:val="enumlev2"/>
      </w:pPr>
      <w:r w:rsidRPr="000D1EE0">
        <w:tab/>
        <w:t xml:space="preserve">mitad superior de la banda:  </w:t>
      </w:r>
      <w:r w:rsidRPr="000D1EE0">
        <w:rPr>
          <w:i/>
        </w:rPr>
        <w:t>f'n</w:t>
      </w:r>
      <w:r w:rsidRPr="000D1EE0">
        <w:t xml:space="preserve"> = </w:t>
      </w:r>
      <w:r w:rsidRPr="000D1EE0">
        <w:rPr>
          <w:i/>
        </w:rPr>
        <w:t>f</w:t>
      </w:r>
      <w:r w:rsidRPr="000D1EE0">
        <w:rPr>
          <w:iCs/>
          <w:vertAlign w:val="subscript"/>
        </w:rPr>
        <w:t>0</w:t>
      </w:r>
      <w:r w:rsidRPr="000D1EE0">
        <w:t xml:space="preserve"> + 9 + </w:t>
      </w:r>
      <w:r w:rsidRPr="000D1EE0">
        <w:rPr>
          <w:i/>
        </w:rPr>
        <w:t>n</w:t>
      </w:r>
      <w:r w:rsidRPr="000D1EE0">
        <w:t>*14 + 2*parte entera de((</w:t>
      </w:r>
      <w:r w:rsidRPr="000D1EE0">
        <w:rPr>
          <w:i/>
        </w:rPr>
        <w:t>n </w:t>
      </w:r>
      <w:r w:rsidRPr="000D1EE0">
        <w:rPr>
          <w:szCs w:val="24"/>
        </w:rPr>
        <w:sym w:font="Symbol" w:char="F02D"/>
      </w:r>
      <w:r w:rsidRPr="000D1EE0">
        <w:rPr>
          <w:szCs w:val="24"/>
        </w:rPr>
        <w:t> </w:t>
      </w:r>
      <w:r w:rsidRPr="000D1EE0">
        <w:t>1)/2)</w:t>
      </w:r>
    </w:p>
    <w:p w:rsidR="00E23F83" w:rsidRPr="000D1EE0" w:rsidRDefault="00E23F83" w:rsidP="00E23F83">
      <w:pPr>
        <w:keepNext/>
      </w:pPr>
      <w:r w:rsidRPr="000D1EE0">
        <w:t>donde:</w:t>
      </w:r>
    </w:p>
    <w:p w:rsidR="00E23F83" w:rsidRPr="000D1EE0" w:rsidRDefault="00E23F83" w:rsidP="00E23F83">
      <w:r w:rsidRPr="000D1EE0">
        <w:tab/>
      </w:r>
      <w:r w:rsidRPr="000D1EE0">
        <w:rPr>
          <w:i/>
        </w:rPr>
        <w:t>n</w:t>
      </w:r>
      <w:r w:rsidRPr="000D1EE0">
        <w:t xml:space="preserve"> = 1, 2, 3, …, 21, 22</w:t>
      </w:r>
      <w:r w:rsidR="004E72EF">
        <w:t>;</w:t>
      </w:r>
    </w:p>
    <w:p w:rsidR="00E23F83" w:rsidRPr="000D1EE0" w:rsidRDefault="00E23F83" w:rsidP="00E23F83">
      <w:r w:rsidRPr="000D1EE0">
        <w:t>b)</w:t>
      </w:r>
      <w:r w:rsidRPr="000D1EE0">
        <w:tab/>
        <w:t>para sistemas con una separación de portadoras de 7 MHz:</w:t>
      </w:r>
    </w:p>
    <w:p w:rsidR="00E23F83" w:rsidRPr="000D1EE0" w:rsidRDefault="00E23F83" w:rsidP="00E23F83">
      <w:pPr>
        <w:pStyle w:val="enumlev2"/>
      </w:pPr>
      <w:r w:rsidRPr="000D1EE0">
        <w:tab/>
        <w:t xml:space="preserve">mitad inferior de la banda:   </w:t>
      </w:r>
      <w:r w:rsidRPr="000D1EE0">
        <w:rPr>
          <w:i/>
        </w:rPr>
        <w:t>fn </w:t>
      </w:r>
      <w:r w:rsidRPr="000D1EE0">
        <w:t xml:space="preserve">= </w:t>
      </w:r>
      <w:r w:rsidRPr="000D1EE0">
        <w:rPr>
          <w:i/>
        </w:rPr>
        <w:t>f</w:t>
      </w:r>
      <w:r w:rsidRPr="000D1EE0">
        <w:rPr>
          <w:iCs/>
          <w:vertAlign w:val="subscript"/>
        </w:rPr>
        <w:t>0</w:t>
      </w:r>
      <w:r w:rsidRPr="000D1EE0">
        <w:t xml:space="preserve"> </w:t>
      </w:r>
      <w:r w:rsidRPr="000D1EE0">
        <w:rPr>
          <w:szCs w:val="24"/>
        </w:rPr>
        <w:sym w:font="Symbol" w:char="F02D"/>
      </w:r>
      <w:r w:rsidRPr="000D1EE0">
        <w:t xml:space="preserve"> 340 + 12,5 + </w:t>
      </w:r>
      <w:r w:rsidRPr="000D1EE0">
        <w:rPr>
          <w:i/>
        </w:rPr>
        <w:t>n</w:t>
      </w:r>
      <w:r w:rsidRPr="000D1EE0">
        <w:rPr>
          <w:lang w:eastAsia="ja-JP"/>
        </w:rPr>
        <w:t>×</w:t>
      </w:r>
      <w:r w:rsidRPr="000D1EE0">
        <w:t>7 + 2*parte entera de((</w:t>
      </w:r>
      <w:r w:rsidRPr="000D1EE0">
        <w:rPr>
          <w:i/>
        </w:rPr>
        <w:t>n </w:t>
      </w:r>
      <w:r w:rsidRPr="000D1EE0">
        <w:rPr>
          <w:szCs w:val="24"/>
        </w:rPr>
        <w:sym w:font="Symbol" w:char="F02D"/>
      </w:r>
      <w:r w:rsidRPr="000D1EE0">
        <w:rPr>
          <w:szCs w:val="24"/>
        </w:rPr>
        <w:t> </w:t>
      </w:r>
      <w:r w:rsidRPr="000D1EE0">
        <w:t>1)/4)</w:t>
      </w:r>
    </w:p>
    <w:p w:rsidR="00E23F83" w:rsidRPr="000D1EE0" w:rsidRDefault="00E23F83" w:rsidP="00E23F83">
      <w:pPr>
        <w:pStyle w:val="enumlev2"/>
      </w:pPr>
      <w:r w:rsidRPr="000D1EE0">
        <w:tab/>
        <w:t xml:space="preserve">mitad superior de la banda:  </w:t>
      </w:r>
      <w:r w:rsidRPr="000D1EE0">
        <w:rPr>
          <w:i/>
        </w:rPr>
        <w:t>f'n</w:t>
      </w:r>
      <w:r w:rsidRPr="000D1EE0">
        <w:t xml:space="preserve"> = </w:t>
      </w:r>
      <w:r w:rsidRPr="000D1EE0">
        <w:rPr>
          <w:i/>
        </w:rPr>
        <w:t>f</w:t>
      </w:r>
      <w:r w:rsidRPr="000D1EE0">
        <w:rPr>
          <w:iCs/>
          <w:vertAlign w:val="subscript"/>
        </w:rPr>
        <w:t>0</w:t>
      </w:r>
      <w:r w:rsidRPr="000D1EE0">
        <w:t xml:space="preserve"> + 12,5 + </w:t>
      </w:r>
      <w:r w:rsidRPr="000D1EE0">
        <w:rPr>
          <w:i/>
        </w:rPr>
        <w:t>n</w:t>
      </w:r>
      <w:r w:rsidRPr="000D1EE0">
        <w:t>*7 + 2*parte entera de((</w:t>
      </w:r>
      <w:r w:rsidRPr="000D1EE0">
        <w:rPr>
          <w:i/>
        </w:rPr>
        <w:t>n </w:t>
      </w:r>
      <w:r w:rsidRPr="000D1EE0">
        <w:rPr>
          <w:szCs w:val="24"/>
        </w:rPr>
        <w:sym w:font="Symbol" w:char="F02D"/>
      </w:r>
      <w:r w:rsidRPr="000D1EE0">
        <w:rPr>
          <w:szCs w:val="24"/>
        </w:rPr>
        <w:t> </w:t>
      </w:r>
      <w:r w:rsidRPr="000D1EE0">
        <w:t>1)/4)</w:t>
      </w:r>
    </w:p>
    <w:p w:rsidR="00E23F83" w:rsidRPr="000D1EE0" w:rsidRDefault="00E23F83" w:rsidP="00E23F83">
      <w:pPr>
        <w:keepNext/>
      </w:pPr>
      <w:r w:rsidRPr="000D1EE0">
        <w:t>donde:</w:t>
      </w:r>
    </w:p>
    <w:p w:rsidR="00E23F83" w:rsidRPr="000D1EE0" w:rsidRDefault="00E23F83" w:rsidP="00E23F83">
      <w:r w:rsidRPr="000D1EE0">
        <w:tab/>
      </w:r>
      <w:r w:rsidRPr="000D1EE0">
        <w:rPr>
          <w:i/>
        </w:rPr>
        <w:t>n</w:t>
      </w:r>
      <w:r w:rsidRPr="000D1EE0">
        <w:t xml:space="preserve"> = 1, 2, 3, …, 43, 44</w:t>
      </w:r>
      <w:r w:rsidR="004E72EF">
        <w:t>;</w:t>
      </w:r>
    </w:p>
    <w:p w:rsidR="00E23F83" w:rsidRPr="000D1EE0" w:rsidRDefault="00E23F83" w:rsidP="00E23F83">
      <w:r w:rsidRPr="000D1EE0">
        <w:t>c)</w:t>
      </w:r>
      <w:r w:rsidRPr="000D1EE0">
        <w:tab/>
        <w:t>para sistemas con una separación de portadoras de 3,5 MHz:</w:t>
      </w:r>
    </w:p>
    <w:p w:rsidR="00E23F83" w:rsidRPr="000D1EE0" w:rsidRDefault="00E23F83" w:rsidP="00E23F83">
      <w:pPr>
        <w:pStyle w:val="enumlev2"/>
      </w:pPr>
      <w:r w:rsidRPr="000D1EE0">
        <w:tab/>
        <w:t xml:space="preserve">mitad inferior de la banda:   </w:t>
      </w:r>
      <w:r w:rsidRPr="000D1EE0">
        <w:rPr>
          <w:i/>
        </w:rPr>
        <w:t>fn</w:t>
      </w:r>
      <w:r w:rsidRPr="000D1EE0">
        <w:t xml:space="preserve"> = </w:t>
      </w:r>
      <w:r w:rsidRPr="000D1EE0">
        <w:rPr>
          <w:i/>
        </w:rPr>
        <w:t>f</w:t>
      </w:r>
      <w:r w:rsidRPr="000D1EE0">
        <w:rPr>
          <w:iCs/>
          <w:vertAlign w:val="subscript"/>
        </w:rPr>
        <w:t>0</w:t>
      </w:r>
      <w:r w:rsidRPr="000D1EE0">
        <w:t xml:space="preserve"> </w:t>
      </w:r>
      <w:r w:rsidRPr="000D1EE0">
        <w:rPr>
          <w:szCs w:val="24"/>
        </w:rPr>
        <w:sym w:font="Symbol" w:char="F02D"/>
      </w:r>
      <w:r w:rsidRPr="000D1EE0">
        <w:t xml:space="preserve"> 340 + 14,25 + </w:t>
      </w:r>
      <w:r w:rsidRPr="000D1EE0">
        <w:rPr>
          <w:i/>
        </w:rPr>
        <w:t>n</w:t>
      </w:r>
      <w:r w:rsidRPr="000D1EE0">
        <w:t>*3,5 + 2*parte entera de((</w:t>
      </w:r>
      <w:r w:rsidRPr="000D1EE0">
        <w:rPr>
          <w:i/>
        </w:rPr>
        <w:t>n </w:t>
      </w:r>
      <w:r w:rsidRPr="000D1EE0">
        <w:rPr>
          <w:szCs w:val="24"/>
        </w:rPr>
        <w:sym w:font="Symbol" w:char="F02D"/>
      </w:r>
      <w:r w:rsidRPr="000D1EE0">
        <w:rPr>
          <w:szCs w:val="24"/>
        </w:rPr>
        <w:t> </w:t>
      </w:r>
      <w:r w:rsidRPr="000D1EE0">
        <w:t>1)/8)</w:t>
      </w:r>
    </w:p>
    <w:p w:rsidR="00E23F83" w:rsidRPr="000D1EE0" w:rsidRDefault="00E23F83" w:rsidP="00E23F83">
      <w:pPr>
        <w:pStyle w:val="enumlev2"/>
      </w:pPr>
      <w:r w:rsidRPr="000D1EE0">
        <w:tab/>
        <w:t xml:space="preserve">mitad superior de la banda:  </w:t>
      </w:r>
      <w:r w:rsidRPr="000D1EE0">
        <w:rPr>
          <w:i/>
        </w:rPr>
        <w:t>f'n</w:t>
      </w:r>
      <w:r w:rsidRPr="000D1EE0">
        <w:t xml:space="preserve">= </w:t>
      </w:r>
      <w:r w:rsidRPr="000D1EE0">
        <w:rPr>
          <w:i/>
        </w:rPr>
        <w:t>f</w:t>
      </w:r>
      <w:r w:rsidRPr="000D1EE0">
        <w:rPr>
          <w:iCs/>
          <w:vertAlign w:val="subscript"/>
        </w:rPr>
        <w:t>0</w:t>
      </w:r>
      <w:r w:rsidRPr="000D1EE0">
        <w:t xml:space="preserve"> + 14,25 + </w:t>
      </w:r>
      <w:r w:rsidRPr="000D1EE0">
        <w:rPr>
          <w:i/>
        </w:rPr>
        <w:t>n</w:t>
      </w:r>
      <w:r w:rsidRPr="000D1EE0">
        <w:t>*3,5 + 2*parte entera de((</w:t>
      </w:r>
      <w:r w:rsidRPr="000D1EE0">
        <w:rPr>
          <w:i/>
        </w:rPr>
        <w:t>n </w:t>
      </w:r>
      <w:r w:rsidRPr="000D1EE0">
        <w:rPr>
          <w:szCs w:val="24"/>
        </w:rPr>
        <w:sym w:font="Symbol" w:char="F02D"/>
      </w:r>
      <w:r w:rsidRPr="000D1EE0">
        <w:rPr>
          <w:szCs w:val="24"/>
        </w:rPr>
        <w:t> </w:t>
      </w:r>
      <w:r w:rsidRPr="000D1EE0">
        <w:t>1)/8)</w:t>
      </w:r>
    </w:p>
    <w:p w:rsidR="00E23F83" w:rsidRPr="000D1EE0" w:rsidRDefault="00E23F83" w:rsidP="00E23F83">
      <w:pPr>
        <w:keepNext/>
      </w:pPr>
      <w:r w:rsidRPr="000D1EE0">
        <w:t>donde:</w:t>
      </w:r>
    </w:p>
    <w:p w:rsidR="00E23F83" w:rsidRPr="000D1EE0" w:rsidRDefault="00E23F83" w:rsidP="00E23F83">
      <w:r w:rsidRPr="000D1EE0">
        <w:tab/>
      </w:r>
      <w:r w:rsidRPr="000D1EE0">
        <w:rPr>
          <w:i/>
        </w:rPr>
        <w:t>n</w:t>
      </w:r>
      <w:r w:rsidRPr="000D1EE0">
        <w:t xml:space="preserve"> = 1, 2, 3, ..., 87, 88</w:t>
      </w:r>
      <w:r w:rsidR="004E72EF">
        <w:t>.</w:t>
      </w:r>
    </w:p>
    <w:p w:rsidR="00E23F83" w:rsidRPr="000D1EE0" w:rsidRDefault="00E23F83" w:rsidP="00E23F83">
      <w:pPr>
        <w:pStyle w:val="FigureNo"/>
      </w:pPr>
      <w:r w:rsidRPr="000D1EE0">
        <w:t>FigurA 4</w:t>
      </w:r>
    </w:p>
    <w:p w:rsidR="00E23F83" w:rsidRPr="000D1EE0" w:rsidRDefault="00E23F83" w:rsidP="00E23F83">
      <w:pPr>
        <w:pStyle w:val="Figuretitle"/>
      </w:pPr>
      <w:r w:rsidRPr="000D1EE0">
        <w:t>Ocupación del espectro combinado de 30 MHz, 14 MHz, 7 MHz y 3,5 MHz</w:t>
      </w:r>
    </w:p>
    <w:p w:rsidR="00E23F83" w:rsidRPr="000D1EE0" w:rsidRDefault="007A6C72" w:rsidP="00E23F83">
      <w:pPr>
        <w:pStyle w:val="Figure"/>
      </w:pPr>
      <w:r w:rsidRPr="000D1EE0">
        <w:object w:dxaOrig="8510" w:dyaOrig="6451">
          <v:shape id="_x0000_i1036" type="#_x0000_t75" style="width:414.45pt;height:314.3pt" o:ole="">
            <v:imagedata r:id="rId35" o:title=""/>
          </v:shape>
          <o:OLEObject Type="Embed" ProgID="CorelDRAW.Graphic.14" ShapeID="_x0000_i1036" DrawAspect="Content" ObjectID="_1417335987" r:id="rId36"/>
        </w:object>
      </w:r>
    </w:p>
    <w:p w:rsidR="00E23F83" w:rsidRPr="00286417" w:rsidRDefault="00E23F83" w:rsidP="00E23F83">
      <w:pPr>
        <w:jc w:val="center"/>
      </w:pPr>
      <w:r w:rsidRPr="000D1EE0">
        <w:t>______________</w:t>
      </w:r>
    </w:p>
    <w:sectPr w:rsidR="00E23F83" w:rsidRPr="00286417" w:rsidSect="00C254BC">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688" w:rsidRDefault="00FC5688">
      <w:r>
        <w:separator/>
      </w:r>
    </w:p>
  </w:endnote>
  <w:endnote w:type="continuationSeparator" w:id="0">
    <w:p w:rsidR="00FC5688" w:rsidRDefault="00FC5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688" w:rsidRDefault="00FC5688">
      <w:r>
        <w:separator/>
      </w:r>
    </w:p>
  </w:footnote>
  <w:footnote w:type="continuationSeparator" w:id="0">
    <w:p w:rsidR="00FC5688" w:rsidRDefault="00FC56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88" w:rsidRDefault="00FC56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88" w:rsidRDefault="00FC5688" w:rsidP="00D62884">
    <w:pPr>
      <w:pStyle w:val="Header"/>
      <w:ind w:right="360" w:firstLine="360"/>
    </w:pPr>
    <w:r>
      <w:rPr>
        <w:noProof/>
        <w:lang w:val="en-US" w:eastAsia="zh-CN"/>
      </w:rPr>
      <w:drawing>
        <wp:anchor distT="0" distB="0" distL="114300" distR="114300" simplePos="0" relativeHeight="251659264" behindDoc="1" locked="0" layoutInCell="1" allowOverlap="1" wp14:anchorId="4F7E17AE" wp14:editId="335F470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88" w:rsidRDefault="00FC568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73D0A">
      <w:rPr>
        <w:rStyle w:val="PageNumber"/>
        <w:b/>
        <w:bCs/>
        <w:noProof/>
      </w:rPr>
      <w:t>ii</w:t>
    </w:r>
    <w:r>
      <w:rPr>
        <w:rStyle w:val="PageNumber"/>
        <w:b/>
        <w:bCs/>
      </w:rPr>
      <w:fldChar w:fldCharType="end"/>
    </w:r>
    <w:r>
      <w:tab/>
    </w:r>
    <w:r w:rsidR="00573D0A">
      <w:fldChar w:fldCharType="begin"/>
    </w:r>
    <w:r w:rsidR="00573D0A">
      <w:instrText xml:space="preserve"> DOCPROPERTY "Header" \* MERGEFORMAT </w:instrText>
    </w:r>
    <w:r w:rsidR="00573D0A">
      <w:fldChar w:fldCharType="separate"/>
    </w:r>
    <w:r w:rsidR="00832028" w:rsidRPr="00832028">
      <w:rPr>
        <w:b/>
        <w:bCs/>
        <w:lang w:val="en-US"/>
      </w:rPr>
      <w:t xml:space="preserve">Rec. </w:t>
    </w:r>
    <w:r w:rsidR="00573D0A">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73D0A">
      <w:rPr>
        <w:b/>
        <w:bCs/>
        <w:noProof/>
      </w:rPr>
      <w:t>UIT-R  F.384-11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88" w:rsidRDefault="00FC5688">
    <w:pPr>
      <w:pStyle w:val="Header"/>
    </w:pPr>
    <w:r>
      <w:tab/>
    </w:r>
    <w:r w:rsidR="00573D0A">
      <w:fldChar w:fldCharType="begin"/>
    </w:r>
    <w:r w:rsidR="00573D0A">
      <w:instrText xml:space="preserve"> DOCPROPERTY "Header" \* MERGEFORMAT </w:instrText>
    </w:r>
    <w:r w:rsidR="00573D0A">
      <w:fldChar w:fldCharType="separate"/>
    </w:r>
    <w:r w:rsidR="00832028" w:rsidRPr="00832028">
      <w:rPr>
        <w:lang w:val="en-US"/>
      </w:rPr>
      <w:t xml:space="preserve">Rec. </w:t>
    </w:r>
    <w:r w:rsidR="00573D0A">
      <w:rPr>
        <w:lang w:val="en-US"/>
      </w:rPr>
      <w:fldChar w:fldCharType="end"/>
    </w:r>
    <w:r>
      <w:rPr>
        <w:b/>
        <w:bCs/>
      </w:rPr>
      <w:t xml:space="preserve">  </w:t>
    </w:r>
    <w:r>
      <w:rPr>
        <w:b/>
        <w:bCs/>
      </w:rPr>
      <w:fldChar w:fldCharType="begin"/>
    </w:r>
    <w:r>
      <w:rPr>
        <w:b/>
        <w:bCs/>
      </w:rPr>
      <w:instrText>styleref href</w:instrText>
    </w:r>
    <w:r>
      <w:rPr>
        <w:b/>
        <w:bCs/>
      </w:rPr>
      <w:fldChar w:fldCharType="separate"/>
    </w:r>
    <w:r w:rsidR="00832028">
      <w:rPr>
        <w:b/>
        <w:bCs/>
        <w:noProof/>
      </w:rPr>
      <w:t>UIT-R  F.384-11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3D0A">
      <w:rPr>
        <w:rStyle w:val="PageNumber"/>
        <w:b/>
        <w:bCs/>
        <w:noProof/>
        <w:lang w:val="en-US"/>
      </w:rPr>
      <w:t>6</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832028" w:rsidRPr="0083202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3D0A">
      <w:rPr>
        <w:b/>
        <w:bCs/>
        <w:noProof/>
      </w:rPr>
      <w:t>UIT-R  F.384-11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832028" w:rsidRPr="0083202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3D0A">
      <w:rPr>
        <w:b/>
        <w:bCs/>
        <w:noProof/>
      </w:rPr>
      <w:t>UIT-R  F.384-11</w:t>
    </w:r>
    <w:r>
      <w:rPr>
        <w:b/>
        <w:bCs/>
      </w:rPr>
      <w:fldChar w:fldCharType="end"/>
    </w:r>
    <w:r>
      <w:tab/>
    </w:r>
    <w:r w:rsidR="00C254BC">
      <w:fldChar w:fldCharType="begin"/>
    </w:r>
    <w:r w:rsidR="00C254BC">
      <w:instrText>PAGE   \* MERGEFORMAT</w:instrText>
    </w:r>
    <w:r w:rsidR="00C254BC">
      <w:fldChar w:fldCharType="separate"/>
    </w:r>
    <w:r w:rsidR="00573D0A">
      <w:rPr>
        <w:noProof/>
      </w:rPr>
      <w:t>5</w:t>
    </w:r>
    <w:r w:rsidR="00C254BC">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88"/>
    <w:rsid w:val="000D1EE0"/>
    <w:rsid w:val="00217EBF"/>
    <w:rsid w:val="00242AEE"/>
    <w:rsid w:val="002D76C4"/>
    <w:rsid w:val="002F46D7"/>
    <w:rsid w:val="0033526E"/>
    <w:rsid w:val="004E72EF"/>
    <w:rsid w:val="0052529D"/>
    <w:rsid w:val="00573D0A"/>
    <w:rsid w:val="00607D68"/>
    <w:rsid w:val="00736024"/>
    <w:rsid w:val="007468DA"/>
    <w:rsid w:val="007A6C72"/>
    <w:rsid w:val="00832028"/>
    <w:rsid w:val="00923330"/>
    <w:rsid w:val="00974436"/>
    <w:rsid w:val="009E00A8"/>
    <w:rsid w:val="00A6617B"/>
    <w:rsid w:val="00AB0DC8"/>
    <w:rsid w:val="00B44E24"/>
    <w:rsid w:val="00C254BC"/>
    <w:rsid w:val="00D22D09"/>
    <w:rsid w:val="00DF4176"/>
    <w:rsid w:val="00E23F83"/>
    <w:rsid w:val="00F45EF5"/>
    <w:rsid w:val="00FC56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F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E23F83"/>
    <w:pPr>
      <w:keepNext/>
      <w:keepLines/>
      <w:spacing w:before="480"/>
      <w:ind w:left="794" w:hanging="794"/>
      <w:outlineLvl w:val="0"/>
    </w:pPr>
    <w:rPr>
      <w:b/>
    </w:rPr>
  </w:style>
  <w:style w:type="paragraph" w:styleId="Heading2">
    <w:name w:val="heading 2"/>
    <w:basedOn w:val="Heading1"/>
    <w:next w:val="Normal"/>
    <w:qFormat/>
    <w:rsid w:val="00E23F83"/>
    <w:pPr>
      <w:spacing w:before="320"/>
      <w:outlineLvl w:val="1"/>
    </w:pPr>
  </w:style>
  <w:style w:type="paragraph" w:styleId="Heading3">
    <w:name w:val="heading 3"/>
    <w:basedOn w:val="Heading1"/>
    <w:next w:val="Normal"/>
    <w:qFormat/>
    <w:rsid w:val="00E23F83"/>
    <w:pPr>
      <w:spacing w:before="200"/>
      <w:outlineLvl w:val="2"/>
    </w:pPr>
  </w:style>
  <w:style w:type="paragraph" w:styleId="Heading4">
    <w:name w:val="heading 4"/>
    <w:basedOn w:val="Heading3"/>
    <w:next w:val="Normal"/>
    <w:qFormat/>
    <w:rsid w:val="00E23F83"/>
    <w:pPr>
      <w:tabs>
        <w:tab w:val="clear" w:pos="794"/>
        <w:tab w:val="left" w:pos="992"/>
      </w:tabs>
      <w:ind w:left="992" w:hanging="992"/>
      <w:outlineLvl w:val="3"/>
    </w:pPr>
  </w:style>
  <w:style w:type="paragraph" w:styleId="Heading5">
    <w:name w:val="heading 5"/>
    <w:basedOn w:val="Heading4"/>
    <w:next w:val="Normal"/>
    <w:qFormat/>
    <w:rsid w:val="00E23F83"/>
    <w:pPr>
      <w:outlineLvl w:val="4"/>
    </w:pPr>
  </w:style>
  <w:style w:type="paragraph" w:styleId="Heading6">
    <w:name w:val="heading 6"/>
    <w:basedOn w:val="Heading4"/>
    <w:next w:val="Normal"/>
    <w:qFormat/>
    <w:rsid w:val="00E23F83"/>
    <w:pPr>
      <w:tabs>
        <w:tab w:val="clear" w:pos="992"/>
        <w:tab w:val="clear" w:pos="1191"/>
      </w:tabs>
      <w:ind w:left="1588" w:hanging="1588"/>
      <w:outlineLvl w:val="5"/>
    </w:pPr>
  </w:style>
  <w:style w:type="paragraph" w:styleId="Heading7">
    <w:name w:val="heading 7"/>
    <w:basedOn w:val="Heading6"/>
    <w:next w:val="Normal"/>
    <w:qFormat/>
    <w:rsid w:val="00E23F83"/>
    <w:pPr>
      <w:outlineLvl w:val="6"/>
    </w:pPr>
  </w:style>
  <w:style w:type="paragraph" w:styleId="Heading8">
    <w:name w:val="heading 8"/>
    <w:basedOn w:val="Heading6"/>
    <w:next w:val="Normal"/>
    <w:qFormat/>
    <w:rsid w:val="00E23F83"/>
    <w:pPr>
      <w:outlineLvl w:val="7"/>
    </w:pPr>
  </w:style>
  <w:style w:type="paragraph" w:styleId="Heading9">
    <w:name w:val="heading 9"/>
    <w:basedOn w:val="Heading6"/>
    <w:next w:val="Normal"/>
    <w:qFormat/>
    <w:rsid w:val="00E23F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3F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23F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23F83"/>
  </w:style>
  <w:style w:type="paragraph" w:customStyle="1" w:styleId="Headingb">
    <w:name w:val="Heading_b"/>
    <w:basedOn w:val="Heading3"/>
    <w:next w:val="Normal"/>
    <w:rsid w:val="00E23F83"/>
    <w:pPr>
      <w:spacing w:before="160"/>
      <w:ind w:left="0" w:firstLine="0"/>
      <w:outlineLvl w:val="9"/>
    </w:pPr>
  </w:style>
  <w:style w:type="paragraph" w:customStyle="1" w:styleId="Headingi">
    <w:name w:val="Heading_i"/>
    <w:basedOn w:val="Heading3"/>
    <w:next w:val="Normal"/>
    <w:rsid w:val="00E23F83"/>
    <w:pPr>
      <w:spacing w:before="160"/>
      <w:ind w:left="0" w:firstLine="0"/>
    </w:pPr>
    <w:rPr>
      <w:b w:val="0"/>
      <w:i/>
    </w:rPr>
  </w:style>
  <w:style w:type="character" w:customStyle="1" w:styleId="href">
    <w:name w:val="href"/>
    <w:basedOn w:val="DefaultParagraphFont"/>
    <w:rsid w:val="00E23F83"/>
  </w:style>
  <w:style w:type="paragraph" w:customStyle="1" w:styleId="enumlev1">
    <w:name w:val="enumlev1"/>
    <w:basedOn w:val="Normal"/>
    <w:rsid w:val="00E23F83"/>
    <w:pPr>
      <w:spacing w:before="80"/>
      <w:ind w:left="794" w:hanging="794"/>
    </w:pPr>
  </w:style>
  <w:style w:type="paragraph" w:customStyle="1" w:styleId="enumlev2">
    <w:name w:val="enumlev2"/>
    <w:basedOn w:val="enumlev1"/>
    <w:rsid w:val="00E23F83"/>
    <w:pPr>
      <w:ind w:left="1191" w:hanging="397"/>
    </w:pPr>
  </w:style>
  <w:style w:type="paragraph" w:customStyle="1" w:styleId="enumlev3">
    <w:name w:val="enumlev3"/>
    <w:basedOn w:val="enumlev2"/>
    <w:rsid w:val="00E23F83"/>
    <w:pPr>
      <w:ind w:left="1588"/>
    </w:pPr>
  </w:style>
  <w:style w:type="paragraph" w:customStyle="1" w:styleId="Normalaftertitle">
    <w:name w:val="Normal_after_title"/>
    <w:basedOn w:val="Normal"/>
    <w:next w:val="Normal"/>
    <w:rsid w:val="00E23F83"/>
    <w:pPr>
      <w:spacing w:before="320"/>
    </w:pPr>
  </w:style>
  <w:style w:type="paragraph" w:customStyle="1" w:styleId="Note">
    <w:name w:val="Note"/>
    <w:basedOn w:val="Normal"/>
    <w:rsid w:val="00E23F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23F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F83"/>
    <w:pPr>
      <w:spacing w:before="240"/>
    </w:pPr>
    <w:rPr>
      <w:sz w:val="22"/>
      <w:lang w:val="es-ES_tradnl"/>
    </w:rPr>
  </w:style>
  <w:style w:type="paragraph" w:customStyle="1" w:styleId="Recref">
    <w:name w:val="Rec_ref"/>
    <w:basedOn w:val="Normal"/>
    <w:next w:val="Recdate"/>
    <w:rsid w:val="00E23F83"/>
    <w:pPr>
      <w:jc w:val="center"/>
    </w:pPr>
  </w:style>
  <w:style w:type="paragraph" w:customStyle="1" w:styleId="Recdate">
    <w:name w:val="Rec_date"/>
    <w:basedOn w:val="Recref"/>
    <w:next w:val="Normalaftertitle"/>
    <w:rsid w:val="00E23F83"/>
    <w:pPr>
      <w:jc w:val="right"/>
    </w:pPr>
  </w:style>
  <w:style w:type="paragraph" w:customStyle="1" w:styleId="AnnexNoTitle">
    <w:name w:val="Annex_NoTitle"/>
    <w:basedOn w:val="Normal"/>
    <w:next w:val="Normalaftertitle"/>
    <w:rsid w:val="00E23F83"/>
    <w:pPr>
      <w:keepNext/>
      <w:keepLines/>
      <w:spacing w:before="480" w:after="80"/>
      <w:jc w:val="center"/>
    </w:pPr>
    <w:rPr>
      <w:b/>
      <w:sz w:val="28"/>
    </w:rPr>
  </w:style>
  <w:style w:type="paragraph" w:customStyle="1" w:styleId="AppendixNoTitle">
    <w:name w:val="Appendix_NoTitle"/>
    <w:basedOn w:val="AnnexNoTitle"/>
    <w:next w:val="Normal"/>
    <w:rsid w:val="00E23F83"/>
  </w:style>
  <w:style w:type="paragraph" w:customStyle="1" w:styleId="Tablefin">
    <w:name w:val="Table_fin"/>
    <w:basedOn w:val="Normal"/>
    <w:next w:val="Normal"/>
    <w:rsid w:val="00E23F83"/>
    <w:pPr>
      <w:spacing w:before="0"/>
    </w:pPr>
    <w:rPr>
      <w:sz w:val="20"/>
      <w:lang w:val="en-GB"/>
    </w:rPr>
  </w:style>
  <w:style w:type="paragraph" w:customStyle="1" w:styleId="Tablehead">
    <w:name w:val="Table_head"/>
    <w:basedOn w:val="Normal"/>
    <w:next w:val="Normal"/>
    <w:rsid w:val="00E23F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3F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23F83"/>
    <w:pPr>
      <w:keepNext/>
      <w:spacing w:before="360" w:after="120"/>
      <w:jc w:val="center"/>
    </w:pPr>
  </w:style>
  <w:style w:type="paragraph" w:customStyle="1" w:styleId="Tabletext">
    <w:name w:val="Table_text"/>
    <w:basedOn w:val="Normal"/>
    <w:link w:val="TabletextChar"/>
    <w:rsid w:val="00E23F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23F83"/>
    <w:pPr>
      <w:tabs>
        <w:tab w:val="clear" w:pos="1191"/>
        <w:tab w:val="clear" w:pos="1588"/>
        <w:tab w:val="clear" w:pos="1985"/>
        <w:tab w:val="center" w:pos="4820"/>
        <w:tab w:val="right" w:pos="9639"/>
      </w:tabs>
    </w:pPr>
  </w:style>
  <w:style w:type="paragraph" w:customStyle="1" w:styleId="Equationlegend">
    <w:name w:val="Equation_legend"/>
    <w:basedOn w:val="NormalIndent"/>
    <w:rsid w:val="00E23F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F83"/>
    <w:pPr>
      <w:ind w:left="794"/>
    </w:pPr>
  </w:style>
  <w:style w:type="paragraph" w:customStyle="1" w:styleId="Figurelegend">
    <w:name w:val="Figure_legend"/>
    <w:basedOn w:val="Normal"/>
    <w:rsid w:val="00E23F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F83"/>
    <w:pPr>
      <w:keepNext/>
      <w:keepLines/>
      <w:spacing w:before="480" w:after="80"/>
      <w:jc w:val="center"/>
    </w:pPr>
    <w:rPr>
      <w:caps/>
      <w:sz w:val="18"/>
    </w:rPr>
  </w:style>
  <w:style w:type="paragraph" w:customStyle="1" w:styleId="tocpart">
    <w:name w:val="tocpart"/>
    <w:basedOn w:val="Normal"/>
    <w:rsid w:val="00E23F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F83"/>
    <w:pPr>
      <w:keepNext/>
      <w:keepLines/>
      <w:spacing w:before="480"/>
      <w:jc w:val="center"/>
    </w:pPr>
    <w:rPr>
      <w:sz w:val="28"/>
    </w:rPr>
  </w:style>
  <w:style w:type="paragraph" w:customStyle="1" w:styleId="Arttitle">
    <w:name w:val="Art_title"/>
    <w:basedOn w:val="Normal"/>
    <w:next w:val="Normalaftertitle"/>
    <w:rsid w:val="00E23F83"/>
    <w:pPr>
      <w:keepNext/>
      <w:keepLines/>
      <w:spacing w:before="240"/>
      <w:jc w:val="center"/>
    </w:pPr>
    <w:rPr>
      <w:b/>
      <w:sz w:val="28"/>
    </w:rPr>
  </w:style>
  <w:style w:type="paragraph" w:customStyle="1" w:styleId="Blanc">
    <w:name w:val="Blanc"/>
    <w:basedOn w:val="Normal"/>
    <w:next w:val="Tabletext"/>
    <w:rsid w:val="00E23F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F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23F83"/>
    <w:pPr>
      <w:keepNext/>
      <w:keepLines/>
      <w:spacing w:before="160"/>
      <w:ind w:left="794"/>
    </w:pPr>
    <w:rPr>
      <w:i/>
    </w:rPr>
  </w:style>
  <w:style w:type="paragraph" w:customStyle="1" w:styleId="ChapNo">
    <w:name w:val="Chap_No"/>
    <w:basedOn w:val="ArtNo"/>
    <w:next w:val="Chaptitle"/>
    <w:rsid w:val="00E23F83"/>
    <w:rPr>
      <w:b/>
    </w:rPr>
  </w:style>
  <w:style w:type="paragraph" w:customStyle="1" w:styleId="Chaptitle">
    <w:name w:val="Chap_title"/>
    <w:basedOn w:val="Arttitle"/>
    <w:next w:val="Normalaftertitle"/>
    <w:rsid w:val="00E23F83"/>
  </w:style>
  <w:style w:type="character" w:styleId="FootnoteReference">
    <w:name w:val="footnote reference"/>
    <w:basedOn w:val="DefaultParagraphFont"/>
    <w:semiHidden/>
    <w:rsid w:val="00E23F83"/>
    <w:rPr>
      <w:position w:val="6"/>
      <w:sz w:val="18"/>
    </w:rPr>
  </w:style>
  <w:style w:type="paragraph" w:styleId="FootnoteText">
    <w:name w:val="footnote text"/>
    <w:basedOn w:val="Normal"/>
    <w:semiHidden/>
    <w:rsid w:val="00E23F83"/>
    <w:pPr>
      <w:keepLines/>
      <w:tabs>
        <w:tab w:val="left" w:pos="255"/>
      </w:tabs>
      <w:ind w:left="255" w:hanging="255"/>
    </w:pPr>
    <w:rPr>
      <w:sz w:val="22"/>
    </w:rPr>
  </w:style>
  <w:style w:type="paragraph" w:styleId="Index1">
    <w:name w:val="index 1"/>
    <w:basedOn w:val="Normal"/>
    <w:next w:val="Normal"/>
    <w:semiHidden/>
    <w:rsid w:val="00E23F83"/>
  </w:style>
  <w:style w:type="paragraph" w:styleId="Index2">
    <w:name w:val="index 2"/>
    <w:basedOn w:val="Normal"/>
    <w:next w:val="Normal"/>
    <w:semiHidden/>
    <w:rsid w:val="00E23F83"/>
    <w:pPr>
      <w:ind w:left="283"/>
    </w:pPr>
  </w:style>
  <w:style w:type="paragraph" w:styleId="Index3">
    <w:name w:val="index 3"/>
    <w:basedOn w:val="Normal"/>
    <w:next w:val="Normal"/>
    <w:semiHidden/>
    <w:rsid w:val="00E23F83"/>
    <w:pPr>
      <w:ind w:left="566"/>
    </w:pPr>
  </w:style>
  <w:style w:type="paragraph" w:styleId="IndexHeading">
    <w:name w:val="index heading"/>
    <w:basedOn w:val="Normal"/>
    <w:next w:val="Index1"/>
    <w:semiHidden/>
    <w:rsid w:val="00E23F83"/>
  </w:style>
  <w:style w:type="paragraph" w:customStyle="1" w:styleId="Line">
    <w:name w:val="Line"/>
    <w:basedOn w:val="Normal"/>
    <w:next w:val="Normal"/>
    <w:rsid w:val="00E23F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F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F83"/>
  </w:style>
  <w:style w:type="paragraph" w:customStyle="1" w:styleId="Partref">
    <w:name w:val="Part_ref"/>
    <w:basedOn w:val="Normal"/>
    <w:next w:val="Normal"/>
    <w:rsid w:val="00E23F83"/>
    <w:pPr>
      <w:keepNext/>
      <w:keepLines/>
      <w:spacing w:after="280"/>
      <w:jc w:val="center"/>
    </w:pPr>
  </w:style>
  <w:style w:type="paragraph" w:customStyle="1" w:styleId="Parttitle">
    <w:name w:val="Part_title"/>
    <w:basedOn w:val="Normal"/>
    <w:next w:val="Normalaftertitle"/>
    <w:rsid w:val="00E23F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F83"/>
  </w:style>
  <w:style w:type="paragraph" w:customStyle="1" w:styleId="QuestionNo">
    <w:name w:val="Question_No"/>
    <w:basedOn w:val="RecNo"/>
    <w:next w:val="Normal"/>
    <w:rsid w:val="00E23F83"/>
  </w:style>
  <w:style w:type="paragraph" w:customStyle="1" w:styleId="Questionref">
    <w:name w:val="Question_ref"/>
    <w:basedOn w:val="Recref"/>
    <w:next w:val="Questiondate"/>
    <w:rsid w:val="00E23F83"/>
  </w:style>
  <w:style w:type="paragraph" w:customStyle="1" w:styleId="Questiontitle">
    <w:name w:val="Question_title"/>
    <w:basedOn w:val="Normal"/>
    <w:next w:val="Questionref"/>
    <w:rsid w:val="00E23F83"/>
  </w:style>
  <w:style w:type="paragraph" w:customStyle="1" w:styleId="Reftext">
    <w:name w:val="Ref_text"/>
    <w:basedOn w:val="Normal"/>
    <w:rsid w:val="00E23F83"/>
    <w:pPr>
      <w:ind w:left="794" w:hanging="794"/>
    </w:pPr>
    <w:rPr>
      <w:sz w:val="22"/>
    </w:rPr>
  </w:style>
  <w:style w:type="paragraph" w:customStyle="1" w:styleId="Reftitle">
    <w:name w:val="Ref_title"/>
    <w:basedOn w:val="Normal"/>
    <w:next w:val="Reftext"/>
    <w:rsid w:val="00E23F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F83"/>
  </w:style>
  <w:style w:type="paragraph" w:customStyle="1" w:styleId="RepNo">
    <w:name w:val="Rep_No"/>
    <w:basedOn w:val="RecNo"/>
    <w:next w:val="Reptitle"/>
    <w:rsid w:val="00E23F83"/>
  </w:style>
  <w:style w:type="paragraph" w:customStyle="1" w:styleId="Repref">
    <w:name w:val="Rep_ref"/>
    <w:basedOn w:val="Recref"/>
    <w:next w:val="Repdate"/>
    <w:rsid w:val="00E23F83"/>
  </w:style>
  <w:style w:type="paragraph" w:customStyle="1" w:styleId="Reptitle">
    <w:name w:val="Rep_title"/>
    <w:basedOn w:val="Rectitle"/>
    <w:next w:val="Repref"/>
    <w:rsid w:val="00E23F83"/>
  </w:style>
  <w:style w:type="paragraph" w:customStyle="1" w:styleId="Resdate">
    <w:name w:val="Res_date"/>
    <w:basedOn w:val="Recdate"/>
    <w:next w:val="Normalaftertitle"/>
    <w:rsid w:val="00E23F83"/>
  </w:style>
  <w:style w:type="paragraph" w:customStyle="1" w:styleId="ResNo">
    <w:name w:val="Res_No"/>
    <w:basedOn w:val="RecNo"/>
    <w:next w:val="Restitle"/>
    <w:rsid w:val="00E23F83"/>
  </w:style>
  <w:style w:type="paragraph" w:customStyle="1" w:styleId="Resref">
    <w:name w:val="Res_ref"/>
    <w:basedOn w:val="Recref"/>
    <w:next w:val="Resdate"/>
    <w:rsid w:val="00E23F83"/>
  </w:style>
  <w:style w:type="paragraph" w:customStyle="1" w:styleId="Restitle">
    <w:name w:val="Res_title"/>
    <w:basedOn w:val="Normal"/>
    <w:next w:val="Resref"/>
    <w:rsid w:val="00E23F83"/>
    <w:pPr>
      <w:spacing w:before="240"/>
      <w:jc w:val="center"/>
    </w:pPr>
    <w:rPr>
      <w:b/>
      <w:sz w:val="28"/>
    </w:rPr>
  </w:style>
  <w:style w:type="paragraph" w:customStyle="1" w:styleId="SectionNo">
    <w:name w:val="Section_No"/>
    <w:basedOn w:val="Normal"/>
    <w:next w:val="Normal"/>
    <w:rsid w:val="00E23F83"/>
  </w:style>
  <w:style w:type="paragraph" w:customStyle="1" w:styleId="Sectiontitle">
    <w:name w:val="Section_title"/>
    <w:basedOn w:val="Normal"/>
    <w:next w:val="Normalaftertitle"/>
    <w:rsid w:val="00E23F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F83"/>
    <w:pPr>
      <w:tabs>
        <w:tab w:val="clear" w:pos="794"/>
        <w:tab w:val="clear" w:pos="1191"/>
        <w:tab w:val="clear" w:pos="1588"/>
        <w:tab w:val="clear" w:pos="1985"/>
        <w:tab w:val="right" w:pos="9611"/>
      </w:tabs>
    </w:pPr>
    <w:rPr>
      <w:i/>
    </w:rPr>
  </w:style>
  <w:style w:type="paragraph" w:styleId="TOC1">
    <w:name w:val="toc 1"/>
    <w:basedOn w:val="Normal"/>
    <w:semiHidden/>
    <w:rsid w:val="00E23F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23F83"/>
    <w:pPr>
      <w:tabs>
        <w:tab w:val="clear" w:pos="567"/>
        <w:tab w:val="left" w:pos="1276"/>
      </w:tabs>
      <w:spacing w:before="160"/>
      <w:ind w:left="1276" w:hanging="709"/>
    </w:pPr>
  </w:style>
  <w:style w:type="paragraph" w:styleId="TOC3">
    <w:name w:val="toc 3"/>
    <w:basedOn w:val="TOC2"/>
    <w:semiHidden/>
    <w:rsid w:val="00E23F83"/>
    <w:pPr>
      <w:tabs>
        <w:tab w:val="clear" w:pos="1276"/>
        <w:tab w:val="left" w:pos="2155"/>
      </w:tabs>
      <w:ind w:left="2155" w:hanging="879"/>
    </w:pPr>
  </w:style>
  <w:style w:type="paragraph" w:styleId="TOC4">
    <w:name w:val="toc 4"/>
    <w:basedOn w:val="TOC3"/>
    <w:semiHidden/>
    <w:rsid w:val="00E23F83"/>
    <w:pPr>
      <w:tabs>
        <w:tab w:val="left" w:pos="3261"/>
      </w:tabs>
      <w:spacing w:before="80"/>
      <w:ind w:left="3261" w:hanging="993"/>
    </w:pPr>
  </w:style>
  <w:style w:type="paragraph" w:styleId="TOC5">
    <w:name w:val="toc 5"/>
    <w:basedOn w:val="TOC4"/>
    <w:semiHidden/>
    <w:rsid w:val="00E23F83"/>
  </w:style>
  <w:style w:type="paragraph" w:styleId="TOC6">
    <w:name w:val="toc 6"/>
    <w:basedOn w:val="TOC4"/>
    <w:semiHidden/>
    <w:rsid w:val="00E23F83"/>
  </w:style>
  <w:style w:type="paragraph" w:styleId="TOC7">
    <w:name w:val="toc 7"/>
    <w:basedOn w:val="TOC4"/>
    <w:semiHidden/>
    <w:rsid w:val="00E23F83"/>
  </w:style>
  <w:style w:type="paragraph" w:styleId="TOC8">
    <w:name w:val="toc 8"/>
    <w:basedOn w:val="TOC4"/>
    <w:semiHidden/>
    <w:rsid w:val="00E23F83"/>
  </w:style>
  <w:style w:type="paragraph" w:customStyle="1" w:styleId="Rectitle">
    <w:name w:val="Rec_title"/>
    <w:basedOn w:val="Normal"/>
    <w:next w:val="Recref"/>
    <w:rsid w:val="00E23F83"/>
    <w:pPr>
      <w:keepNext/>
      <w:keepLines/>
      <w:spacing w:before="240"/>
      <w:jc w:val="center"/>
    </w:pPr>
    <w:rPr>
      <w:b/>
      <w:sz w:val="28"/>
    </w:rPr>
  </w:style>
  <w:style w:type="paragraph" w:customStyle="1" w:styleId="Annexref">
    <w:name w:val="Annex_ref"/>
    <w:basedOn w:val="Normal"/>
    <w:next w:val="Normalaftertitle"/>
    <w:rsid w:val="00E23F83"/>
    <w:pPr>
      <w:keepNext/>
      <w:keepLines/>
      <w:spacing w:after="280"/>
      <w:jc w:val="center"/>
    </w:pPr>
  </w:style>
  <w:style w:type="paragraph" w:customStyle="1" w:styleId="Appendixref">
    <w:name w:val="Appendix_ref"/>
    <w:basedOn w:val="Annexref"/>
    <w:next w:val="Normalaftertitle"/>
    <w:rsid w:val="00E23F83"/>
  </w:style>
  <w:style w:type="paragraph" w:customStyle="1" w:styleId="Figuretitle">
    <w:name w:val="Figure_title"/>
    <w:basedOn w:val="Normal"/>
    <w:next w:val="Figure"/>
    <w:link w:val="FiguretitleChar"/>
    <w:rsid w:val="00E23F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23F83"/>
    <w:pPr>
      <w:keepNext/>
      <w:spacing w:before="0" w:after="120"/>
      <w:jc w:val="center"/>
    </w:pPr>
    <w:rPr>
      <w:b/>
    </w:rPr>
  </w:style>
  <w:style w:type="paragraph" w:customStyle="1" w:styleId="Summary">
    <w:name w:val="Summary"/>
    <w:basedOn w:val="Normal"/>
    <w:next w:val="Normalaftertitle"/>
    <w:autoRedefine/>
    <w:rsid w:val="00E23F83"/>
    <w:pPr>
      <w:spacing w:after="480"/>
    </w:pPr>
    <w:rPr>
      <w:sz w:val="22"/>
      <w:lang w:val="es-ES_tradnl"/>
    </w:rPr>
  </w:style>
  <w:style w:type="paragraph" w:customStyle="1" w:styleId="TableLegendNote">
    <w:name w:val="Table_Legend_Note"/>
    <w:basedOn w:val="Tablelegend"/>
    <w:next w:val="Tablelegend"/>
    <w:rsid w:val="00E23F83"/>
    <w:pPr>
      <w:ind w:left="-85" w:firstLine="0"/>
    </w:pPr>
    <w:rPr>
      <w:lang w:val="en-US"/>
    </w:rPr>
  </w:style>
  <w:style w:type="paragraph" w:customStyle="1" w:styleId="Figure">
    <w:name w:val="Figure"/>
    <w:basedOn w:val="FigureNo"/>
    <w:next w:val="Normal"/>
    <w:rsid w:val="00E23F83"/>
    <w:pPr>
      <w:keepNext w:val="0"/>
      <w:spacing w:before="0" w:after="240"/>
    </w:pPr>
  </w:style>
  <w:style w:type="character" w:styleId="Hyperlink">
    <w:name w:val="Hyperlink"/>
    <w:basedOn w:val="DefaultParagraphFont"/>
    <w:rsid w:val="00FC5688"/>
    <w:rPr>
      <w:color w:val="0000FF"/>
      <w:u w:val="single"/>
    </w:rPr>
  </w:style>
  <w:style w:type="table" w:styleId="TableGrid">
    <w:name w:val="Table Grid"/>
    <w:basedOn w:val="TableNormal"/>
    <w:rsid w:val="00FC568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_text Char"/>
    <w:link w:val="Tabletext"/>
    <w:rsid w:val="00E23F83"/>
    <w:rPr>
      <w:sz w:val="22"/>
      <w:lang w:val="fr-FR" w:eastAsia="en-US"/>
    </w:rPr>
  </w:style>
  <w:style w:type="character" w:customStyle="1" w:styleId="FiguretitleChar">
    <w:name w:val="Figure_title Char"/>
    <w:link w:val="Figuretitle"/>
    <w:locked/>
    <w:rsid w:val="00E23F83"/>
    <w:rPr>
      <w:rFonts w:ascii="Times New Roman Bold" w:hAnsi="Times New Roman Bold"/>
      <w:b/>
      <w:sz w:val="18"/>
      <w:lang w:val="fr-FR" w:eastAsia="en-US"/>
    </w:rPr>
  </w:style>
  <w:style w:type="character" w:customStyle="1" w:styleId="FigureNoChar">
    <w:name w:val="Figure_No Char"/>
    <w:link w:val="FigureNo"/>
    <w:locked/>
    <w:rsid w:val="00E23F83"/>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F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E23F83"/>
    <w:pPr>
      <w:keepNext/>
      <w:keepLines/>
      <w:spacing w:before="480"/>
      <w:ind w:left="794" w:hanging="794"/>
      <w:outlineLvl w:val="0"/>
    </w:pPr>
    <w:rPr>
      <w:b/>
    </w:rPr>
  </w:style>
  <w:style w:type="paragraph" w:styleId="Heading2">
    <w:name w:val="heading 2"/>
    <w:basedOn w:val="Heading1"/>
    <w:next w:val="Normal"/>
    <w:qFormat/>
    <w:rsid w:val="00E23F83"/>
    <w:pPr>
      <w:spacing w:before="320"/>
      <w:outlineLvl w:val="1"/>
    </w:pPr>
  </w:style>
  <w:style w:type="paragraph" w:styleId="Heading3">
    <w:name w:val="heading 3"/>
    <w:basedOn w:val="Heading1"/>
    <w:next w:val="Normal"/>
    <w:qFormat/>
    <w:rsid w:val="00E23F83"/>
    <w:pPr>
      <w:spacing w:before="200"/>
      <w:outlineLvl w:val="2"/>
    </w:pPr>
  </w:style>
  <w:style w:type="paragraph" w:styleId="Heading4">
    <w:name w:val="heading 4"/>
    <w:basedOn w:val="Heading3"/>
    <w:next w:val="Normal"/>
    <w:qFormat/>
    <w:rsid w:val="00E23F83"/>
    <w:pPr>
      <w:tabs>
        <w:tab w:val="clear" w:pos="794"/>
        <w:tab w:val="left" w:pos="992"/>
      </w:tabs>
      <w:ind w:left="992" w:hanging="992"/>
      <w:outlineLvl w:val="3"/>
    </w:pPr>
  </w:style>
  <w:style w:type="paragraph" w:styleId="Heading5">
    <w:name w:val="heading 5"/>
    <w:basedOn w:val="Heading4"/>
    <w:next w:val="Normal"/>
    <w:qFormat/>
    <w:rsid w:val="00E23F83"/>
    <w:pPr>
      <w:outlineLvl w:val="4"/>
    </w:pPr>
  </w:style>
  <w:style w:type="paragraph" w:styleId="Heading6">
    <w:name w:val="heading 6"/>
    <w:basedOn w:val="Heading4"/>
    <w:next w:val="Normal"/>
    <w:qFormat/>
    <w:rsid w:val="00E23F83"/>
    <w:pPr>
      <w:tabs>
        <w:tab w:val="clear" w:pos="992"/>
        <w:tab w:val="clear" w:pos="1191"/>
      </w:tabs>
      <w:ind w:left="1588" w:hanging="1588"/>
      <w:outlineLvl w:val="5"/>
    </w:pPr>
  </w:style>
  <w:style w:type="paragraph" w:styleId="Heading7">
    <w:name w:val="heading 7"/>
    <w:basedOn w:val="Heading6"/>
    <w:next w:val="Normal"/>
    <w:qFormat/>
    <w:rsid w:val="00E23F83"/>
    <w:pPr>
      <w:outlineLvl w:val="6"/>
    </w:pPr>
  </w:style>
  <w:style w:type="paragraph" w:styleId="Heading8">
    <w:name w:val="heading 8"/>
    <w:basedOn w:val="Heading6"/>
    <w:next w:val="Normal"/>
    <w:qFormat/>
    <w:rsid w:val="00E23F83"/>
    <w:pPr>
      <w:outlineLvl w:val="7"/>
    </w:pPr>
  </w:style>
  <w:style w:type="paragraph" w:styleId="Heading9">
    <w:name w:val="heading 9"/>
    <w:basedOn w:val="Heading6"/>
    <w:next w:val="Normal"/>
    <w:qFormat/>
    <w:rsid w:val="00E23F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3F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23F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23F83"/>
  </w:style>
  <w:style w:type="paragraph" w:customStyle="1" w:styleId="Headingb">
    <w:name w:val="Heading_b"/>
    <w:basedOn w:val="Heading3"/>
    <w:next w:val="Normal"/>
    <w:rsid w:val="00E23F83"/>
    <w:pPr>
      <w:spacing w:before="160"/>
      <w:ind w:left="0" w:firstLine="0"/>
      <w:outlineLvl w:val="9"/>
    </w:pPr>
  </w:style>
  <w:style w:type="paragraph" w:customStyle="1" w:styleId="Headingi">
    <w:name w:val="Heading_i"/>
    <w:basedOn w:val="Heading3"/>
    <w:next w:val="Normal"/>
    <w:rsid w:val="00E23F83"/>
    <w:pPr>
      <w:spacing w:before="160"/>
      <w:ind w:left="0" w:firstLine="0"/>
    </w:pPr>
    <w:rPr>
      <w:b w:val="0"/>
      <w:i/>
    </w:rPr>
  </w:style>
  <w:style w:type="character" w:customStyle="1" w:styleId="href">
    <w:name w:val="href"/>
    <w:basedOn w:val="DefaultParagraphFont"/>
    <w:rsid w:val="00E23F83"/>
  </w:style>
  <w:style w:type="paragraph" w:customStyle="1" w:styleId="enumlev1">
    <w:name w:val="enumlev1"/>
    <w:basedOn w:val="Normal"/>
    <w:rsid w:val="00E23F83"/>
    <w:pPr>
      <w:spacing w:before="80"/>
      <w:ind w:left="794" w:hanging="794"/>
    </w:pPr>
  </w:style>
  <w:style w:type="paragraph" w:customStyle="1" w:styleId="enumlev2">
    <w:name w:val="enumlev2"/>
    <w:basedOn w:val="enumlev1"/>
    <w:rsid w:val="00E23F83"/>
    <w:pPr>
      <w:ind w:left="1191" w:hanging="397"/>
    </w:pPr>
  </w:style>
  <w:style w:type="paragraph" w:customStyle="1" w:styleId="enumlev3">
    <w:name w:val="enumlev3"/>
    <w:basedOn w:val="enumlev2"/>
    <w:rsid w:val="00E23F83"/>
    <w:pPr>
      <w:ind w:left="1588"/>
    </w:pPr>
  </w:style>
  <w:style w:type="paragraph" w:customStyle="1" w:styleId="Normalaftertitle">
    <w:name w:val="Normal_after_title"/>
    <w:basedOn w:val="Normal"/>
    <w:next w:val="Normal"/>
    <w:rsid w:val="00E23F83"/>
    <w:pPr>
      <w:spacing w:before="320"/>
    </w:pPr>
  </w:style>
  <w:style w:type="paragraph" w:customStyle="1" w:styleId="Note">
    <w:name w:val="Note"/>
    <w:basedOn w:val="Normal"/>
    <w:rsid w:val="00E23F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23F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F83"/>
    <w:pPr>
      <w:spacing w:before="240"/>
    </w:pPr>
    <w:rPr>
      <w:sz w:val="22"/>
      <w:lang w:val="es-ES_tradnl"/>
    </w:rPr>
  </w:style>
  <w:style w:type="paragraph" w:customStyle="1" w:styleId="Recref">
    <w:name w:val="Rec_ref"/>
    <w:basedOn w:val="Normal"/>
    <w:next w:val="Recdate"/>
    <w:rsid w:val="00E23F83"/>
    <w:pPr>
      <w:jc w:val="center"/>
    </w:pPr>
  </w:style>
  <w:style w:type="paragraph" w:customStyle="1" w:styleId="Recdate">
    <w:name w:val="Rec_date"/>
    <w:basedOn w:val="Recref"/>
    <w:next w:val="Normalaftertitle"/>
    <w:rsid w:val="00E23F83"/>
    <w:pPr>
      <w:jc w:val="right"/>
    </w:pPr>
  </w:style>
  <w:style w:type="paragraph" w:customStyle="1" w:styleId="AnnexNoTitle">
    <w:name w:val="Annex_NoTitle"/>
    <w:basedOn w:val="Normal"/>
    <w:next w:val="Normalaftertitle"/>
    <w:rsid w:val="00E23F83"/>
    <w:pPr>
      <w:keepNext/>
      <w:keepLines/>
      <w:spacing w:before="480" w:after="80"/>
      <w:jc w:val="center"/>
    </w:pPr>
    <w:rPr>
      <w:b/>
      <w:sz w:val="28"/>
    </w:rPr>
  </w:style>
  <w:style w:type="paragraph" w:customStyle="1" w:styleId="AppendixNoTitle">
    <w:name w:val="Appendix_NoTitle"/>
    <w:basedOn w:val="AnnexNoTitle"/>
    <w:next w:val="Normal"/>
    <w:rsid w:val="00E23F83"/>
  </w:style>
  <w:style w:type="paragraph" w:customStyle="1" w:styleId="Tablefin">
    <w:name w:val="Table_fin"/>
    <w:basedOn w:val="Normal"/>
    <w:next w:val="Normal"/>
    <w:rsid w:val="00E23F83"/>
    <w:pPr>
      <w:spacing w:before="0"/>
    </w:pPr>
    <w:rPr>
      <w:sz w:val="20"/>
      <w:lang w:val="en-GB"/>
    </w:rPr>
  </w:style>
  <w:style w:type="paragraph" w:customStyle="1" w:styleId="Tablehead">
    <w:name w:val="Table_head"/>
    <w:basedOn w:val="Normal"/>
    <w:next w:val="Normal"/>
    <w:rsid w:val="00E23F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3F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23F83"/>
    <w:pPr>
      <w:keepNext/>
      <w:spacing w:before="360" w:after="120"/>
      <w:jc w:val="center"/>
    </w:pPr>
  </w:style>
  <w:style w:type="paragraph" w:customStyle="1" w:styleId="Tabletext">
    <w:name w:val="Table_text"/>
    <w:basedOn w:val="Normal"/>
    <w:link w:val="TabletextChar"/>
    <w:rsid w:val="00E23F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23F83"/>
    <w:pPr>
      <w:tabs>
        <w:tab w:val="clear" w:pos="1191"/>
        <w:tab w:val="clear" w:pos="1588"/>
        <w:tab w:val="clear" w:pos="1985"/>
        <w:tab w:val="center" w:pos="4820"/>
        <w:tab w:val="right" w:pos="9639"/>
      </w:tabs>
    </w:pPr>
  </w:style>
  <w:style w:type="paragraph" w:customStyle="1" w:styleId="Equationlegend">
    <w:name w:val="Equation_legend"/>
    <w:basedOn w:val="NormalIndent"/>
    <w:rsid w:val="00E23F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F83"/>
    <w:pPr>
      <w:ind w:left="794"/>
    </w:pPr>
  </w:style>
  <w:style w:type="paragraph" w:customStyle="1" w:styleId="Figurelegend">
    <w:name w:val="Figure_legend"/>
    <w:basedOn w:val="Normal"/>
    <w:rsid w:val="00E23F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F83"/>
    <w:pPr>
      <w:keepNext/>
      <w:keepLines/>
      <w:spacing w:before="480" w:after="80"/>
      <w:jc w:val="center"/>
    </w:pPr>
    <w:rPr>
      <w:caps/>
      <w:sz w:val="18"/>
    </w:rPr>
  </w:style>
  <w:style w:type="paragraph" w:customStyle="1" w:styleId="tocpart">
    <w:name w:val="tocpart"/>
    <w:basedOn w:val="Normal"/>
    <w:rsid w:val="00E23F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F83"/>
    <w:pPr>
      <w:keepNext/>
      <w:keepLines/>
      <w:spacing w:before="480"/>
      <w:jc w:val="center"/>
    </w:pPr>
    <w:rPr>
      <w:sz w:val="28"/>
    </w:rPr>
  </w:style>
  <w:style w:type="paragraph" w:customStyle="1" w:styleId="Arttitle">
    <w:name w:val="Art_title"/>
    <w:basedOn w:val="Normal"/>
    <w:next w:val="Normalaftertitle"/>
    <w:rsid w:val="00E23F83"/>
    <w:pPr>
      <w:keepNext/>
      <w:keepLines/>
      <w:spacing w:before="240"/>
      <w:jc w:val="center"/>
    </w:pPr>
    <w:rPr>
      <w:b/>
      <w:sz w:val="28"/>
    </w:rPr>
  </w:style>
  <w:style w:type="paragraph" w:customStyle="1" w:styleId="Blanc">
    <w:name w:val="Blanc"/>
    <w:basedOn w:val="Normal"/>
    <w:next w:val="Tabletext"/>
    <w:rsid w:val="00E23F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F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23F83"/>
    <w:pPr>
      <w:keepNext/>
      <w:keepLines/>
      <w:spacing w:before="160"/>
      <w:ind w:left="794"/>
    </w:pPr>
    <w:rPr>
      <w:i/>
    </w:rPr>
  </w:style>
  <w:style w:type="paragraph" w:customStyle="1" w:styleId="ChapNo">
    <w:name w:val="Chap_No"/>
    <w:basedOn w:val="ArtNo"/>
    <w:next w:val="Chaptitle"/>
    <w:rsid w:val="00E23F83"/>
    <w:rPr>
      <w:b/>
    </w:rPr>
  </w:style>
  <w:style w:type="paragraph" w:customStyle="1" w:styleId="Chaptitle">
    <w:name w:val="Chap_title"/>
    <w:basedOn w:val="Arttitle"/>
    <w:next w:val="Normalaftertitle"/>
    <w:rsid w:val="00E23F83"/>
  </w:style>
  <w:style w:type="character" w:styleId="FootnoteReference">
    <w:name w:val="footnote reference"/>
    <w:basedOn w:val="DefaultParagraphFont"/>
    <w:semiHidden/>
    <w:rsid w:val="00E23F83"/>
    <w:rPr>
      <w:position w:val="6"/>
      <w:sz w:val="18"/>
    </w:rPr>
  </w:style>
  <w:style w:type="paragraph" w:styleId="FootnoteText">
    <w:name w:val="footnote text"/>
    <w:basedOn w:val="Normal"/>
    <w:semiHidden/>
    <w:rsid w:val="00E23F83"/>
    <w:pPr>
      <w:keepLines/>
      <w:tabs>
        <w:tab w:val="left" w:pos="255"/>
      </w:tabs>
      <w:ind w:left="255" w:hanging="255"/>
    </w:pPr>
    <w:rPr>
      <w:sz w:val="22"/>
    </w:rPr>
  </w:style>
  <w:style w:type="paragraph" w:styleId="Index1">
    <w:name w:val="index 1"/>
    <w:basedOn w:val="Normal"/>
    <w:next w:val="Normal"/>
    <w:semiHidden/>
    <w:rsid w:val="00E23F83"/>
  </w:style>
  <w:style w:type="paragraph" w:styleId="Index2">
    <w:name w:val="index 2"/>
    <w:basedOn w:val="Normal"/>
    <w:next w:val="Normal"/>
    <w:semiHidden/>
    <w:rsid w:val="00E23F83"/>
    <w:pPr>
      <w:ind w:left="283"/>
    </w:pPr>
  </w:style>
  <w:style w:type="paragraph" w:styleId="Index3">
    <w:name w:val="index 3"/>
    <w:basedOn w:val="Normal"/>
    <w:next w:val="Normal"/>
    <w:semiHidden/>
    <w:rsid w:val="00E23F83"/>
    <w:pPr>
      <w:ind w:left="566"/>
    </w:pPr>
  </w:style>
  <w:style w:type="paragraph" w:styleId="IndexHeading">
    <w:name w:val="index heading"/>
    <w:basedOn w:val="Normal"/>
    <w:next w:val="Index1"/>
    <w:semiHidden/>
    <w:rsid w:val="00E23F83"/>
  </w:style>
  <w:style w:type="paragraph" w:customStyle="1" w:styleId="Line">
    <w:name w:val="Line"/>
    <w:basedOn w:val="Normal"/>
    <w:next w:val="Normal"/>
    <w:rsid w:val="00E23F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F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F83"/>
  </w:style>
  <w:style w:type="paragraph" w:customStyle="1" w:styleId="Partref">
    <w:name w:val="Part_ref"/>
    <w:basedOn w:val="Normal"/>
    <w:next w:val="Normal"/>
    <w:rsid w:val="00E23F83"/>
    <w:pPr>
      <w:keepNext/>
      <w:keepLines/>
      <w:spacing w:after="280"/>
      <w:jc w:val="center"/>
    </w:pPr>
  </w:style>
  <w:style w:type="paragraph" w:customStyle="1" w:styleId="Parttitle">
    <w:name w:val="Part_title"/>
    <w:basedOn w:val="Normal"/>
    <w:next w:val="Normalaftertitle"/>
    <w:rsid w:val="00E23F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F83"/>
  </w:style>
  <w:style w:type="paragraph" w:customStyle="1" w:styleId="QuestionNo">
    <w:name w:val="Question_No"/>
    <w:basedOn w:val="RecNo"/>
    <w:next w:val="Normal"/>
    <w:rsid w:val="00E23F83"/>
  </w:style>
  <w:style w:type="paragraph" w:customStyle="1" w:styleId="Questionref">
    <w:name w:val="Question_ref"/>
    <w:basedOn w:val="Recref"/>
    <w:next w:val="Questiondate"/>
    <w:rsid w:val="00E23F83"/>
  </w:style>
  <w:style w:type="paragraph" w:customStyle="1" w:styleId="Questiontitle">
    <w:name w:val="Question_title"/>
    <w:basedOn w:val="Normal"/>
    <w:next w:val="Questionref"/>
    <w:rsid w:val="00E23F83"/>
  </w:style>
  <w:style w:type="paragraph" w:customStyle="1" w:styleId="Reftext">
    <w:name w:val="Ref_text"/>
    <w:basedOn w:val="Normal"/>
    <w:rsid w:val="00E23F83"/>
    <w:pPr>
      <w:ind w:left="794" w:hanging="794"/>
    </w:pPr>
    <w:rPr>
      <w:sz w:val="22"/>
    </w:rPr>
  </w:style>
  <w:style w:type="paragraph" w:customStyle="1" w:styleId="Reftitle">
    <w:name w:val="Ref_title"/>
    <w:basedOn w:val="Normal"/>
    <w:next w:val="Reftext"/>
    <w:rsid w:val="00E23F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F83"/>
  </w:style>
  <w:style w:type="paragraph" w:customStyle="1" w:styleId="RepNo">
    <w:name w:val="Rep_No"/>
    <w:basedOn w:val="RecNo"/>
    <w:next w:val="Reptitle"/>
    <w:rsid w:val="00E23F83"/>
  </w:style>
  <w:style w:type="paragraph" w:customStyle="1" w:styleId="Repref">
    <w:name w:val="Rep_ref"/>
    <w:basedOn w:val="Recref"/>
    <w:next w:val="Repdate"/>
    <w:rsid w:val="00E23F83"/>
  </w:style>
  <w:style w:type="paragraph" w:customStyle="1" w:styleId="Reptitle">
    <w:name w:val="Rep_title"/>
    <w:basedOn w:val="Rectitle"/>
    <w:next w:val="Repref"/>
    <w:rsid w:val="00E23F83"/>
  </w:style>
  <w:style w:type="paragraph" w:customStyle="1" w:styleId="Resdate">
    <w:name w:val="Res_date"/>
    <w:basedOn w:val="Recdate"/>
    <w:next w:val="Normalaftertitle"/>
    <w:rsid w:val="00E23F83"/>
  </w:style>
  <w:style w:type="paragraph" w:customStyle="1" w:styleId="ResNo">
    <w:name w:val="Res_No"/>
    <w:basedOn w:val="RecNo"/>
    <w:next w:val="Restitle"/>
    <w:rsid w:val="00E23F83"/>
  </w:style>
  <w:style w:type="paragraph" w:customStyle="1" w:styleId="Resref">
    <w:name w:val="Res_ref"/>
    <w:basedOn w:val="Recref"/>
    <w:next w:val="Resdate"/>
    <w:rsid w:val="00E23F83"/>
  </w:style>
  <w:style w:type="paragraph" w:customStyle="1" w:styleId="Restitle">
    <w:name w:val="Res_title"/>
    <w:basedOn w:val="Normal"/>
    <w:next w:val="Resref"/>
    <w:rsid w:val="00E23F83"/>
    <w:pPr>
      <w:spacing w:before="240"/>
      <w:jc w:val="center"/>
    </w:pPr>
    <w:rPr>
      <w:b/>
      <w:sz w:val="28"/>
    </w:rPr>
  </w:style>
  <w:style w:type="paragraph" w:customStyle="1" w:styleId="SectionNo">
    <w:name w:val="Section_No"/>
    <w:basedOn w:val="Normal"/>
    <w:next w:val="Normal"/>
    <w:rsid w:val="00E23F83"/>
  </w:style>
  <w:style w:type="paragraph" w:customStyle="1" w:styleId="Sectiontitle">
    <w:name w:val="Section_title"/>
    <w:basedOn w:val="Normal"/>
    <w:next w:val="Normalaftertitle"/>
    <w:rsid w:val="00E23F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F83"/>
    <w:pPr>
      <w:tabs>
        <w:tab w:val="clear" w:pos="794"/>
        <w:tab w:val="clear" w:pos="1191"/>
        <w:tab w:val="clear" w:pos="1588"/>
        <w:tab w:val="clear" w:pos="1985"/>
        <w:tab w:val="right" w:pos="9611"/>
      </w:tabs>
    </w:pPr>
    <w:rPr>
      <w:i/>
    </w:rPr>
  </w:style>
  <w:style w:type="paragraph" w:styleId="TOC1">
    <w:name w:val="toc 1"/>
    <w:basedOn w:val="Normal"/>
    <w:semiHidden/>
    <w:rsid w:val="00E23F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23F83"/>
    <w:pPr>
      <w:tabs>
        <w:tab w:val="clear" w:pos="567"/>
        <w:tab w:val="left" w:pos="1276"/>
      </w:tabs>
      <w:spacing w:before="160"/>
      <w:ind w:left="1276" w:hanging="709"/>
    </w:pPr>
  </w:style>
  <w:style w:type="paragraph" w:styleId="TOC3">
    <w:name w:val="toc 3"/>
    <w:basedOn w:val="TOC2"/>
    <w:semiHidden/>
    <w:rsid w:val="00E23F83"/>
    <w:pPr>
      <w:tabs>
        <w:tab w:val="clear" w:pos="1276"/>
        <w:tab w:val="left" w:pos="2155"/>
      </w:tabs>
      <w:ind w:left="2155" w:hanging="879"/>
    </w:pPr>
  </w:style>
  <w:style w:type="paragraph" w:styleId="TOC4">
    <w:name w:val="toc 4"/>
    <w:basedOn w:val="TOC3"/>
    <w:semiHidden/>
    <w:rsid w:val="00E23F83"/>
    <w:pPr>
      <w:tabs>
        <w:tab w:val="left" w:pos="3261"/>
      </w:tabs>
      <w:spacing w:before="80"/>
      <w:ind w:left="3261" w:hanging="993"/>
    </w:pPr>
  </w:style>
  <w:style w:type="paragraph" w:styleId="TOC5">
    <w:name w:val="toc 5"/>
    <w:basedOn w:val="TOC4"/>
    <w:semiHidden/>
    <w:rsid w:val="00E23F83"/>
  </w:style>
  <w:style w:type="paragraph" w:styleId="TOC6">
    <w:name w:val="toc 6"/>
    <w:basedOn w:val="TOC4"/>
    <w:semiHidden/>
    <w:rsid w:val="00E23F83"/>
  </w:style>
  <w:style w:type="paragraph" w:styleId="TOC7">
    <w:name w:val="toc 7"/>
    <w:basedOn w:val="TOC4"/>
    <w:semiHidden/>
    <w:rsid w:val="00E23F83"/>
  </w:style>
  <w:style w:type="paragraph" w:styleId="TOC8">
    <w:name w:val="toc 8"/>
    <w:basedOn w:val="TOC4"/>
    <w:semiHidden/>
    <w:rsid w:val="00E23F83"/>
  </w:style>
  <w:style w:type="paragraph" w:customStyle="1" w:styleId="Rectitle">
    <w:name w:val="Rec_title"/>
    <w:basedOn w:val="Normal"/>
    <w:next w:val="Recref"/>
    <w:rsid w:val="00E23F83"/>
    <w:pPr>
      <w:keepNext/>
      <w:keepLines/>
      <w:spacing w:before="240"/>
      <w:jc w:val="center"/>
    </w:pPr>
    <w:rPr>
      <w:b/>
      <w:sz w:val="28"/>
    </w:rPr>
  </w:style>
  <w:style w:type="paragraph" w:customStyle="1" w:styleId="Annexref">
    <w:name w:val="Annex_ref"/>
    <w:basedOn w:val="Normal"/>
    <w:next w:val="Normalaftertitle"/>
    <w:rsid w:val="00E23F83"/>
    <w:pPr>
      <w:keepNext/>
      <w:keepLines/>
      <w:spacing w:after="280"/>
      <w:jc w:val="center"/>
    </w:pPr>
  </w:style>
  <w:style w:type="paragraph" w:customStyle="1" w:styleId="Appendixref">
    <w:name w:val="Appendix_ref"/>
    <w:basedOn w:val="Annexref"/>
    <w:next w:val="Normalaftertitle"/>
    <w:rsid w:val="00E23F83"/>
  </w:style>
  <w:style w:type="paragraph" w:customStyle="1" w:styleId="Figuretitle">
    <w:name w:val="Figure_title"/>
    <w:basedOn w:val="Normal"/>
    <w:next w:val="Figure"/>
    <w:link w:val="FiguretitleChar"/>
    <w:rsid w:val="00E23F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23F83"/>
    <w:pPr>
      <w:keepNext/>
      <w:spacing w:before="0" w:after="120"/>
      <w:jc w:val="center"/>
    </w:pPr>
    <w:rPr>
      <w:b/>
    </w:rPr>
  </w:style>
  <w:style w:type="paragraph" w:customStyle="1" w:styleId="Summary">
    <w:name w:val="Summary"/>
    <w:basedOn w:val="Normal"/>
    <w:next w:val="Normalaftertitle"/>
    <w:autoRedefine/>
    <w:rsid w:val="00E23F83"/>
    <w:pPr>
      <w:spacing w:after="480"/>
    </w:pPr>
    <w:rPr>
      <w:sz w:val="22"/>
      <w:lang w:val="es-ES_tradnl"/>
    </w:rPr>
  </w:style>
  <w:style w:type="paragraph" w:customStyle="1" w:styleId="TableLegendNote">
    <w:name w:val="Table_Legend_Note"/>
    <w:basedOn w:val="Tablelegend"/>
    <w:next w:val="Tablelegend"/>
    <w:rsid w:val="00E23F83"/>
    <w:pPr>
      <w:ind w:left="-85" w:firstLine="0"/>
    </w:pPr>
    <w:rPr>
      <w:lang w:val="en-US"/>
    </w:rPr>
  </w:style>
  <w:style w:type="paragraph" w:customStyle="1" w:styleId="Figure">
    <w:name w:val="Figure"/>
    <w:basedOn w:val="FigureNo"/>
    <w:next w:val="Normal"/>
    <w:rsid w:val="00E23F83"/>
    <w:pPr>
      <w:keepNext w:val="0"/>
      <w:spacing w:before="0" w:after="240"/>
    </w:pPr>
  </w:style>
  <w:style w:type="character" w:styleId="Hyperlink">
    <w:name w:val="Hyperlink"/>
    <w:basedOn w:val="DefaultParagraphFont"/>
    <w:rsid w:val="00FC5688"/>
    <w:rPr>
      <w:color w:val="0000FF"/>
      <w:u w:val="single"/>
    </w:rPr>
  </w:style>
  <w:style w:type="table" w:styleId="TableGrid">
    <w:name w:val="Table Grid"/>
    <w:basedOn w:val="TableNormal"/>
    <w:rsid w:val="00FC568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_text Char"/>
    <w:link w:val="Tabletext"/>
    <w:rsid w:val="00E23F83"/>
    <w:rPr>
      <w:sz w:val="22"/>
      <w:lang w:val="fr-FR" w:eastAsia="en-US"/>
    </w:rPr>
  </w:style>
  <w:style w:type="character" w:customStyle="1" w:styleId="FiguretitleChar">
    <w:name w:val="Figure_title Char"/>
    <w:link w:val="Figuretitle"/>
    <w:locked/>
    <w:rsid w:val="00E23F83"/>
    <w:rPr>
      <w:rFonts w:ascii="Times New Roman Bold" w:hAnsi="Times New Roman Bold"/>
      <w:b/>
      <w:sz w:val="18"/>
      <w:lang w:val="fr-FR" w:eastAsia="en-US"/>
    </w:rPr>
  </w:style>
  <w:style w:type="character" w:customStyle="1" w:styleId="FigureNoChar">
    <w:name w:val="Figure_No Char"/>
    <w:link w:val="FigureNo"/>
    <w:locked/>
    <w:rsid w:val="00E23F83"/>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B32C0-D181-4C97-BF0A-82567D9C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33</TotalTime>
  <Pages>9</Pages>
  <Words>2623</Words>
  <Characters>14955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15</cp:revision>
  <cp:lastPrinted>2012-12-18T08:52:00Z</cp:lastPrinted>
  <dcterms:created xsi:type="dcterms:W3CDTF">2012-12-13T09:23:00Z</dcterms:created>
  <dcterms:modified xsi:type="dcterms:W3CDTF">2012-12-18T10:38:00Z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