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7F4" w:rsidRDefault="007777F4" w:rsidP="007777F4"/>
    <w:p w:rsidR="007777F4" w:rsidRDefault="007777F4" w:rsidP="007777F4"/>
    <w:p w:rsidR="007777F4" w:rsidRDefault="007777F4" w:rsidP="007777F4"/>
    <w:p w:rsidR="007777F4" w:rsidRDefault="007777F4" w:rsidP="007777F4"/>
    <w:p w:rsidR="007777F4" w:rsidRDefault="007777F4" w:rsidP="007777F4"/>
    <w:p w:rsidR="007777F4" w:rsidRDefault="007777F4" w:rsidP="007777F4"/>
    <w:p w:rsidR="007777F4" w:rsidRDefault="007777F4" w:rsidP="007777F4"/>
    <w:p w:rsidR="007777F4" w:rsidRDefault="007777F4" w:rsidP="007777F4"/>
    <w:p w:rsidR="007777F4" w:rsidRDefault="007777F4" w:rsidP="007777F4"/>
    <w:p w:rsidR="007777F4" w:rsidRDefault="007777F4" w:rsidP="007777F4"/>
    <w:p w:rsidR="007777F4" w:rsidRDefault="007777F4" w:rsidP="007777F4"/>
    <w:p w:rsidR="007777F4" w:rsidRDefault="007777F4" w:rsidP="007777F4"/>
    <w:tbl>
      <w:tblPr>
        <w:tblW w:w="10089" w:type="dxa"/>
        <w:tblLook w:val="01E0" w:firstRow="1" w:lastRow="1" w:firstColumn="1" w:lastColumn="1" w:noHBand="0" w:noVBand="0"/>
      </w:tblPr>
      <w:tblGrid>
        <w:gridCol w:w="10089"/>
      </w:tblGrid>
      <w:tr w:rsidR="007777F4" w:rsidRPr="004F65E4" w:rsidTr="007D70DC">
        <w:tc>
          <w:tcPr>
            <w:tcW w:w="10089" w:type="dxa"/>
          </w:tcPr>
          <w:p w:rsidR="007777F4" w:rsidRPr="001511A6" w:rsidRDefault="007777F4" w:rsidP="007D70DC">
            <w:pPr>
              <w:spacing w:before="380" w:line="280" w:lineRule="exact"/>
              <w:jc w:val="right"/>
              <w:rPr>
                <w:rFonts w:ascii="Tahoma" w:hAnsi="Tahoma" w:cs="Tahoma"/>
                <w:b/>
                <w:bCs/>
                <w:iCs/>
                <w:color w:val="243285"/>
                <w:sz w:val="32"/>
                <w:szCs w:val="32"/>
                <w:lang w:val="en-US"/>
              </w:rPr>
            </w:pPr>
          </w:p>
          <w:p w:rsidR="007777F4" w:rsidRPr="004F65E4" w:rsidRDefault="007777F4" w:rsidP="00AF0DA7">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sidR="00AF0DA7">
              <w:rPr>
                <w:rFonts w:ascii="Tahoma" w:hAnsi="Tahoma" w:cs="Tahoma"/>
                <w:b/>
                <w:bCs/>
                <w:iCs/>
                <w:color w:val="243285"/>
                <w:sz w:val="36"/>
                <w:szCs w:val="36"/>
              </w:rPr>
              <w:t>557-5</w:t>
            </w:r>
          </w:p>
          <w:p w:rsidR="007777F4" w:rsidRPr="004F65E4" w:rsidRDefault="007777F4" w:rsidP="00AF0DA7">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AF0DA7">
              <w:rPr>
                <w:rFonts w:ascii="Tahoma" w:hAnsi="Tahoma" w:cs="Tahoma"/>
                <w:b/>
                <w:bCs/>
                <w:iCs/>
                <w:color w:val="243285"/>
                <w:szCs w:val="24"/>
              </w:rPr>
              <w:t>02</w:t>
            </w:r>
            <w:r w:rsidRPr="004F65E4">
              <w:rPr>
                <w:rFonts w:ascii="Tahoma" w:hAnsi="Tahoma" w:cs="Tahoma"/>
                <w:b/>
                <w:bCs/>
                <w:iCs/>
                <w:color w:val="243285"/>
                <w:szCs w:val="24"/>
              </w:rPr>
              <w:t>/</w:t>
            </w:r>
            <w:r w:rsidR="00AF0DA7">
              <w:rPr>
                <w:rFonts w:ascii="Tahoma" w:hAnsi="Tahoma" w:cs="Tahoma"/>
                <w:b/>
                <w:bCs/>
                <w:iCs/>
                <w:color w:val="243285"/>
                <w:szCs w:val="24"/>
              </w:rPr>
              <w:t>2014</w:t>
            </w:r>
            <w:r w:rsidRPr="004F65E4">
              <w:rPr>
                <w:rFonts w:ascii="Tahoma" w:hAnsi="Tahoma" w:cs="Tahoma"/>
                <w:b/>
                <w:bCs/>
                <w:iCs/>
                <w:color w:val="243285"/>
                <w:szCs w:val="24"/>
              </w:rPr>
              <w:t>)</w:t>
            </w:r>
          </w:p>
        </w:tc>
      </w:tr>
      <w:tr w:rsidR="007777F4" w:rsidRPr="006A632D" w:rsidTr="007D70DC">
        <w:tc>
          <w:tcPr>
            <w:tcW w:w="10089" w:type="dxa"/>
          </w:tcPr>
          <w:p w:rsidR="007777F4" w:rsidRPr="00AF0DA7" w:rsidRDefault="007777F4" w:rsidP="007D70DC">
            <w:pPr>
              <w:spacing w:before="80" w:line="500" w:lineRule="exact"/>
              <w:jc w:val="right"/>
              <w:rPr>
                <w:rFonts w:ascii="Tahoma" w:hAnsi="Tahoma" w:cs="Tahoma"/>
                <w:b/>
                <w:bCs/>
                <w:iCs/>
                <w:color w:val="243285"/>
                <w:sz w:val="44"/>
                <w:szCs w:val="44"/>
                <w:lang w:val="en-US"/>
              </w:rPr>
            </w:pPr>
          </w:p>
          <w:p w:rsidR="007777F4" w:rsidRPr="001511A6" w:rsidRDefault="00AF0DA7" w:rsidP="00DF0789">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Availability objective for radio-relay systems over a hypothetical reference digital path</w:t>
            </w:r>
          </w:p>
          <w:p w:rsidR="007777F4" w:rsidRPr="001511A6" w:rsidRDefault="007777F4" w:rsidP="007D70DC">
            <w:pPr>
              <w:spacing w:before="80" w:line="500" w:lineRule="exact"/>
              <w:jc w:val="right"/>
              <w:rPr>
                <w:rFonts w:ascii="Tahoma" w:hAnsi="Tahoma" w:cs="Tahoma"/>
                <w:b/>
                <w:bCs/>
                <w:iCs/>
                <w:color w:val="243285"/>
                <w:sz w:val="40"/>
                <w:szCs w:val="40"/>
                <w:lang w:val="en-US"/>
              </w:rPr>
            </w:pPr>
          </w:p>
        </w:tc>
      </w:tr>
      <w:tr w:rsidR="007777F4" w:rsidTr="007D70DC">
        <w:tc>
          <w:tcPr>
            <w:tcW w:w="10089" w:type="dxa"/>
          </w:tcPr>
          <w:p w:rsidR="007777F4" w:rsidRPr="00AF0DA7" w:rsidRDefault="007777F4" w:rsidP="007D70DC">
            <w:pPr>
              <w:spacing w:before="80" w:line="280" w:lineRule="exact"/>
              <w:ind w:right="640"/>
              <w:rPr>
                <w:rFonts w:ascii="Tahoma" w:hAnsi="Tahoma" w:cs="Tahoma"/>
                <w:b/>
                <w:bCs/>
                <w:iCs/>
                <w:color w:val="243285"/>
                <w:sz w:val="32"/>
                <w:szCs w:val="32"/>
                <w:lang w:val="en-US"/>
              </w:rPr>
            </w:pPr>
          </w:p>
          <w:p w:rsidR="007777F4" w:rsidRPr="00AF0DA7" w:rsidRDefault="007777F4" w:rsidP="007D70DC">
            <w:pPr>
              <w:spacing w:before="80" w:line="280" w:lineRule="exact"/>
              <w:ind w:right="640"/>
              <w:rPr>
                <w:rFonts w:ascii="Tahoma" w:hAnsi="Tahoma" w:cs="Tahoma"/>
                <w:b/>
                <w:bCs/>
                <w:iCs/>
                <w:color w:val="243285"/>
                <w:sz w:val="32"/>
                <w:szCs w:val="32"/>
                <w:lang w:val="en-US"/>
              </w:rPr>
            </w:pPr>
          </w:p>
          <w:p w:rsidR="007777F4" w:rsidRPr="00AF0DA7" w:rsidRDefault="007777F4" w:rsidP="007D70DC">
            <w:pPr>
              <w:spacing w:before="80" w:after="180" w:line="360" w:lineRule="exact"/>
              <w:ind w:right="720"/>
              <w:rPr>
                <w:rFonts w:ascii="Tahoma" w:hAnsi="Tahoma" w:cs="Tahoma"/>
                <w:b/>
                <w:bCs/>
                <w:iCs/>
                <w:color w:val="243285"/>
                <w:sz w:val="36"/>
                <w:szCs w:val="36"/>
                <w:lang w:val="en-US"/>
              </w:rPr>
            </w:pPr>
          </w:p>
          <w:p w:rsidR="007777F4" w:rsidRPr="001511A6" w:rsidRDefault="007777F4" w:rsidP="007D70DC">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rsidR="007777F4" w:rsidRPr="00E406BD" w:rsidRDefault="007777F4" w:rsidP="007D70DC">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7777F4" w:rsidRDefault="007777F4" w:rsidP="007777F4">
      <w:pPr>
        <w:spacing w:before="80"/>
        <w:rPr>
          <w:i/>
          <w:sz w:val="22"/>
          <w:lang w:val="en-US"/>
        </w:rPr>
      </w:pPr>
    </w:p>
    <w:p w:rsidR="007777F4" w:rsidRDefault="007777F4" w:rsidP="007777F4">
      <w:pPr>
        <w:spacing w:before="80"/>
        <w:rPr>
          <w:i/>
          <w:sz w:val="22"/>
          <w:lang w:val="en-US"/>
        </w:rPr>
      </w:pPr>
    </w:p>
    <w:p w:rsidR="007777F4" w:rsidRDefault="007777F4" w:rsidP="007777F4">
      <w:pPr>
        <w:spacing w:before="80"/>
        <w:rPr>
          <w:i/>
          <w:sz w:val="22"/>
          <w:lang w:val="en-US"/>
        </w:rPr>
      </w:pPr>
    </w:p>
    <w:p w:rsidR="007777F4" w:rsidRDefault="007777F4" w:rsidP="007777F4">
      <w:pPr>
        <w:spacing w:before="80"/>
        <w:rPr>
          <w:i/>
          <w:sz w:val="22"/>
          <w:lang w:val="en-US"/>
        </w:rPr>
      </w:pPr>
    </w:p>
    <w:p w:rsidR="007777F4" w:rsidRDefault="007777F4" w:rsidP="007777F4">
      <w:pPr>
        <w:spacing w:before="80"/>
        <w:rPr>
          <w:i/>
          <w:sz w:val="22"/>
          <w:lang w:val="en-US"/>
        </w:rPr>
      </w:pPr>
    </w:p>
    <w:p w:rsidR="007777F4" w:rsidRDefault="007777F4" w:rsidP="007777F4">
      <w:pPr>
        <w:spacing w:before="80"/>
        <w:rPr>
          <w:i/>
          <w:sz w:val="22"/>
          <w:lang w:val="en-US"/>
        </w:rPr>
      </w:pPr>
    </w:p>
    <w:p w:rsidR="007777F4" w:rsidRDefault="007777F4" w:rsidP="007777F4">
      <w:pPr>
        <w:pStyle w:val="Equation"/>
        <w:tabs>
          <w:tab w:val="clear" w:pos="4820"/>
          <w:tab w:val="clear" w:pos="9639"/>
          <w:tab w:val="left" w:pos="1191"/>
          <w:tab w:val="left" w:pos="1588"/>
          <w:tab w:val="left" w:pos="1985"/>
        </w:tabs>
        <w:rPr>
          <w:rFonts w:ascii="Palatino Linotype" w:hAnsi="Palatino Linotype"/>
          <w:lang w:val="en-US"/>
        </w:rPr>
        <w:sectPr w:rsidR="007777F4">
          <w:headerReference w:type="even" r:id="rId8"/>
          <w:headerReference w:type="default" r:id="rId9"/>
          <w:pgSz w:w="11907" w:h="16840" w:code="9"/>
          <w:pgMar w:top="1089" w:right="1089" w:bottom="284" w:left="1089" w:header="567" w:footer="284" w:gutter="0"/>
          <w:pgNumType w:start="1"/>
          <w:cols w:space="720"/>
        </w:sectPr>
      </w:pPr>
    </w:p>
    <w:p w:rsidR="007777F4" w:rsidRPr="00586EF8" w:rsidRDefault="007777F4" w:rsidP="007777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777F4" w:rsidRDefault="007777F4" w:rsidP="007777F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777F4" w:rsidRDefault="007777F4" w:rsidP="007777F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777F4" w:rsidRPr="00B714F3" w:rsidRDefault="007777F4" w:rsidP="007777F4">
      <w:pPr>
        <w:pStyle w:val="Heading1"/>
        <w:spacing w:before="680"/>
        <w:jc w:val="center"/>
        <w:rPr>
          <w:szCs w:val="24"/>
          <w:lang w:val="en-US"/>
        </w:rPr>
      </w:pPr>
      <w:r w:rsidRPr="00B714F3">
        <w:rPr>
          <w:szCs w:val="24"/>
          <w:lang w:val="en-US"/>
        </w:rPr>
        <w:t>Policy on Intellectual Property Right (IPR)</w:t>
      </w:r>
    </w:p>
    <w:p w:rsidR="007777F4" w:rsidRPr="00B714F3" w:rsidRDefault="007777F4" w:rsidP="007777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777F4" w:rsidRDefault="007777F4" w:rsidP="007777F4">
      <w:pPr>
        <w:jc w:val="center"/>
        <w:rPr>
          <w:sz w:val="22"/>
          <w:lang w:val="en-US"/>
        </w:rPr>
      </w:pPr>
    </w:p>
    <w:p w:rsidR="007777F4" w:rsidRDefault="007777F4" w:rsidP="007777F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777F4" w:rsidRPr="006A632D" w:rsidTr="007D70DC">
        <w:tc>
          <w:tcPr>
            <w:tcW w:w="9360" w:type="dxa"/>
            <w:gridSpan w:val="2"/>
          </w:tcPr>
          <w:p w:rsidR="007777F4" w:rsidRPr="00036EE3" w:rsidRDefault="007777F4" w:rsidP="007D70DC">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777F4" w:rsidRPr="00036EE3" w:rsidRDefault="007777F4" w:rsidP="007D70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7777F4" w:rsidRPr="00036EE3" w:rsidTr="007D70DC">
        <w:tc>
          <w:tcPr>
            <w:tcW w:w="1140" w:type="dxa"/>
          </w:tcPr>
          <w:p w:rsidR="007777F4" w:rsidRPr="00036EE3" w:rsidRDefault="007777F4" w:rsidP="007D70DC">
            <w:pPr>
              <w:spacing w:before="200" w:after="100"/>
              <w:ind w:left="57"/>
              <w:rPr>
                <w:b/>
                <w:bCs/>
                <w:sz w:val="20"/>
                <w:lang w:val="en-US"/>
              </w:rPr>
            </w:pPr>
            <w:r w:rsidRPr="00036EE3">
              <w:rPr>
                <w:b/>
                <w:bCs/>
                <w:sz w:val="20"/>
                <w:lang w:val="en-US"/>
              </w:rPr>
              <w:t>Series</w:t>
            </w:r>
          </w:p>
        </w:tc>
        <w:tc>
          <w:tcPr>
            <w:tcW w:w="8220" w:type="dxa"/>
          </w:tcPr>
          <w:p w:rsidR="007777F4" w:rsidRPr="00036EE3" w:rsidRDefault="007777F4" w:rsidP="007D70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777F4" w:rsidRPr="00036EE3" w:rsidTr="007D70DC">
        <w:tc>
          <w:tcPr>
            <w:tcW w:w="1140" w:type="dxa"/>
          </w:tcPr>
          <w:p w:rsidR="007777F4" w:rsidRPr="00036EE3" w:rsidRDefault="007777F4" w:rsidP="007D70DC">
            <w:pPr>
              <w:spacing w:before="30" w:after="30"/>
              <w:ind w:left="57"/>
              <w:jc w:val="left"/>
              <w:rPr>
                <w:b/>
                <w:bCs/>
                <w:sz w:val="20"/>
                <w:lang w:val="en-US"/>
              </w:rPr>
            </w:pPr>
            <w:r w:rsidRPr="00036EE3">
              <w:rPr>
                <w:b/>
                <w:bCs/>
                <w:sz w:val="20"/>
                <w:lang w:val="en-US"/>
              </w:rPr>
              <w:t>BO</w:t>
            </w:r>
          </w:p>
        </w:tc>
        <w:tc>
          <w:tcPr>
            <w:tcW w:w="8220" w:type="dxa"/>
          </w:tcPr>
          <w:p w:rsidR="007777F4" w:rsidRPr="00036EE3" w:rsidRDefault="007777F4" w:rsidP="007D70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777F4" w:rsidRPr="006A632D" w:rsidTr="007D70DC">
        <w:tc>
          <w:tcPr>
            <w:tcW w:w="1140" w:type="dxa"/>
            <w:tcBorders>
              <w:bottom w:val="nil"/>
            </w:tcBorders>
          </w:tcPr>
          <w:p w:rsidR="007777F4" w:rsidRPr="00036EE3" w:rsidRDefault="007777F4" w:rsidP="007D70DC">
            <w:pPr>
              <w:spacing w:before="30" w:after="30"/>
              <w:ind w:left="57"/>
              <w:jc w:val="left"/>
              <w:rPr>
                <w:b/>
                <w:bCs/>
                <w:sz w:val="20"/>
                <w:lang w:val="en-US"/>
              </w:rPr>
            </w:pPr>
            <w:r w:rsidRPr="00036EE3">
              <w:rPr>
                <w:b/>
                <w:bCs/>
                <w:sz w:val="20"/>
                <w:lang w:val="en-US"/>
              </w:rPr>
              <w:t>BR</w:t>
            </w:r>
          </w:p>
        </w:tc>
        <w:tc>
          <w:tcPr>
            <w:tcW w:w="8220" w:type="dxa"/>
            <w:tcBorders>
              <w:bottom w:val="nil"/>
            </w:tcBorders>
          </w:tcPr>
          <w:p w:rsidR="007777F4" w:rsidRPr="00036EE3" w:rsidRDefault="007777F4" w:rsidP="007D70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777F4" w:rsidRPr="00036EE3" w:rsidTr="007D70DC">
        <w:tc>
          <w:tcPr>
            <w:tcW w:w="1140" w:type="dxa"/>
            <w:tcBorders>
              <w:top w:val="nil"/>
              <w:bottom w:val="nil"/>
            </w:tcBorders>
            <w:shd w:val="clear" w:color="auto" w:fill="auto"/>
          </w:tcPr>
          <w:p w:rsidR="007777F4" w:rsidRPr="007D224F" w:rsidRDefault="007777F4" w:rsidP="007D70DC">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7777F4" w:rsidRPr="007D224F" w:rsidRDefault="007777F4" w:rsidP="007D70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7777F4" w:rsidRPr="00ED2695" w:rsidTr="007D70DC">
        <w:tc>
          <w:tcPr>
            <w:tcW w:w="1140" w:type="dxa"/>
            <w:tcBorders>
              <w:top w:val="nil"/>
              <w:bottom w:val="nil"/>
            </w:tcBorders>
            <w:shd w:val="clear" w:color="auto" w:fill="auto"/>
          </w:tcPr>
          <w:p w:rsidR="007777F4" w:rsidRPr="00ED2695" w:rsidRDefault="007777F4" w:rsidP="007D70DC">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7777F4" w:rsidRPr="00ED2695" w:rsidRDefault="007777F4" w:rsidP="007D70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777F4" w:rsidRPr="007D224F" w:rsidTr="007D70DC">
        <w:tc>
          <w:tcPr>
            <w:tcW w:w="1140" w:type="dxa"/>
            <w:tcBorders>
              <w:top w:val="nil"/>
              <w:bottom w:val="nil"/>
            </w:tcBorders>
            <w:shd w:val="clear" w:color="auto" w:fill="F3F3F3"/>
          </w:tcPr>
          <w:p w:rsidR="007777F4" w:rsidRPr="007D224F" w:rsidRDefault="007777F4" w:rsidP="007D70DC">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7777F4" w:rsidRPr="007D224F" w:rsidRDefault="007777F4" w:rsidP="007D70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7777F4" w:rsidRPr="00036EE3" w:rsidTr="007D70DC">
        <w:tc>
          <w:tcPr>
            <w:tcW w:w="1140" w:type="dxa"/>
            <w:tcBorders>
              <w:top w:val="nil"/>
            </w:tcBorders>
            <w:shd w:val="clear" w:color="auto" w:fill="auto"/>
          </w:tcPr>
          <w:p w:rsidR="007777F4" w:rsidRPr="00906589" w:rsidRDefault="007777F4" w:rsidP="007D70DC">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7777F4" w:rsidRPr="00906589" w:rsidRDefault="007777F4" w:rsidP="007D70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7777F4" w:rsidRPr="00036EE3" w:rsidTr="007D70DC">
        <w:tc>
          <w:tcPr>
            <w:tcW w:w="1140" w:type="dxa"/>
          </w:tcPr>
          <w:p w:rsidR="007777F4" w:rsidRPr="00036EE3" w:rsidRDefault="007777F4" w:rsidP="007D70DC">
            <w:pPr>
              <w:spacing w:before="30" w:after="30"/>
              <w:ind w:left="57"/>
              <w:jc w:val="left"/>
              <w:rPr>
                <w:b/>
                <w:bCs/>
                <w:sz w:val="20"/>
                <w:lang w:val="fr-CH"/>
              </w:rPr>
            </w:pPr>
            <w:r w:rsidRPr="00036EE3">
              <w:rPr>
                <w:b/>
                <w:bCs/>
                <w:sz w:val="20"/>
                <w:lang w:val="fr-CH"/>
              </w:rPr>
              <w:t>P</w:t>
            </w:r>
          </w:p>
        </w:tc>
        <w:tc>
          <w:tcPr>
            <w:tcW w:w="8220" w:type="dxa"/>
          </w:tcPr>
          <w:p w:rsidR="007777F4" w:rsidRPr="00036EE3" w:rsidRDefault="007777F4" w:rsidP="007D70DC">
            <w:pPr>
              <w:spacing w:before="30" w:after="30"/>
              <w:jc w:val="left"/>
              <w:rPr>
                <w:sz w:val="20"/>
                <w:lang w:val="fr-CH"/>
              </w:rPr>
            </w:pPr>
            <w:r w:rsidRPr="00036EE3">
              <w:rPr>
                <w:sz w:val="20"/>
                <w:lang w:val="fr-CH"/>
              </w:rPr>
              <w:t>Radiowave propagation</w:t>
            </w:r>
          </w:p>
        </w:tc>
      </w:tr>
      <w:tr w:rsidR="007777F4" w:rsidRPr="00036EE3" w:rsidTr="007D70DC">
        <w:tc>
          <w:tcPr>
            <w:tcW w:w="1140" w:type="dxa"/>
          </w:tcPr>
          <w:p w:rsidR="007777F4" w:rsidRPr="00036EE3" w:rsidRDefault="007777F4" w:rsidP="007D70DC">
            <w:pPr>
              <w:spacing w:before="30" w:after="30"/>
              <w:ind w:left="57"/>
              <w:jc w:val="left"/>
              <w:rPr>
                <w:b/>
                <w:bCs/>
                <w:sz w:val="20"/>
                <w:lang w:val="en-US"/>
              </w:rPr>
            </w:pPr>
            <w:r w:rsidRPr="00036EE3">
              <w:rPr>
                <w:b/>
                <w:bCs/>
                <w:sz w:val="20"/>
                <w:lang w:val="en-US"/>
              </w:rPr>
              <w:t>RA</w:t>
            </w:r>
          </w:p>
        </w:tc>
        <w:tc>
          <w:tcPr>
            <w:tcW w:w="8220" w:type="dxa"/>
          </w:tcPr>
          <w:p w:rsidR="007777F4" w:rsidRPr="00036EE3" w:rsidRDefault="007777F4" w:rsidP="007D70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777F4" w:rsidRPr="00036EE3" w:rsidTr="007D70DC">
        <w:tc>
          <w:tcPr>
            <w:tcW w:w="1140" w:type="dxa"/>
          </w:tcPr>
          <w:p w:rsidR="007777F4" w:rsidRPr="00036EE3" w:rsidRDefault="007777F4" w:rsidP="007D70DC">
            <w:pPr>
              <w:spacing w:before="30" w:after="30"/>
              <w:ind w:left="57"/>
              <w:jc w:val="left"/>
              <w:rPr>
                <w:b/>
                <w:bCs/>
                <w:sz w:val="20"/>
                <w:lang w:val="en-US"/>
              </w:rPr>
            </w:pPr>
            <w:r w:rsidRPr="00036EE3">
              <w:rPr>
                <w:b/>
                <w:bCs/>
                <w:sz w:val="20"/>
                <w:lang w:val="en-US"/>
              </w:rPr>
              <w:t>RS</w:t>
            </w:r>
          </w:p>
        </w:tc>
        <w:tc>
          <w:tcPr>
            <w:tcW w:w="8220" w:type="dxa"/>
          </w:tcPr>
          <w:p w:rsidR="007777F4" w:rsidRPr="00036EE3" w:rsidRDefault="007777F4" w:rsidP="007D70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777F4" w:rsidRPr="00036EE3" w:rsidTr="007D70DC">
        <w:tc>
          <w:tcPr>
            <w:tcW w:w="1140" w:type="dxa"/>
          </w:tcPr>
          <w:p w:rsidR="007777F4" w:rsidRPr="00036EE3" w:rsidRDefault="007777F4" w:rsidP="007D70DC">
            <w:pPr>
              <w:spacing w:before="30" w:after="30"/>
              <w:ind w:left="57"/>
              <w:jc w:val="left"/>
              <w:rPr>
                <w:b/>
                <w:bCs/>
                <w:sz w:val="20"/>
                <w:lang w:val="en-US"/>
              </w:rPr>
            </w:pPr>
            <w:r w:rsidRPr="00036EE3">
              <w:rPr>
                <w:b/>
                <w:bCs/>
                <w:sz w:val="20"/>
                <w:lang w:val="en-US"/>
              </w:rPr>
              <w:t>S</w:t>
            </w:r>
          </w:p>
        </w:tc>
        <w:tc>
          <w:tcPr>
            <w:tcW w:w="8220" w:type="dxa"/>
          </w:tcPr>
          <w:p w:rsidR="007777F4" w:rsidRPr="00036EE3" w:rsidRDefault="007777F4" w:rsidP="007D70DC">
            <w:pPr>
              <w:spacing w:before="30" w:after="30"/>
              <w:jc w:val="left"/>
              <w:rPr>
                <w:sz w:val="20"/>
                <w:lang w:val="en-US"/>
              </w:rPr>
            </w:pPr>
            <w:r w:rsidRPr="00036EE3">
              <w:rPr>
                <w:sz w:val="20"/>
                <w:lang w:val="en-US"/>
              </w:rPr>
              <w:t>Fixed-satellite service</w:t>
            </w:r>
          </w:p>
        </w:tc>
      </w:tr>
      <w:tr w:rsidR="007777F4" w:rsidRPr="00036EE3" w:rsidTr="007D70DC">
        <w:tc>
          <w:tcPr>
            <w:tcW w:w="1140" w:type="dxa"/>
          </w:tcPr>
          <w:p w:rsidR="007777F4" w:rsidRPr="00036EE3" w:rsidRDefault="007777F4" w:rsidP="007D70DC">
            <w:pPr>
              <w:spacing w:before="30" w:after="30"/>
              <w:ind w:left="57"/>
              <w:jc w:val="left"/>
              <w:rPr>
                <w:b/>
                <w:bCs/>
                <w:sz w:val="20"/>
                <w:lang w:val="en-US"/>
              </w:rPr>
            </w:pPr>
            <w:r w:rsidRPr="00036EE3">
              <w:rPr>
                <w:b/>
                <w:bCs/>
                <w:sz w:val="20"/>
                <w:lang w:val="en-US"/>
              </w:rPr>
              <w:t>SA</w:t>
            </w:r>
          </w:p>
        </w:tc>
        <w:tc>
          <w:tcPr>
            <w:tcW w:w="8220" w:type="dxa"/>
          </w:tcPr>
          <w:p w:rsidR="007777F4" w:rsidRPr="00036EE3" w:rsidRDefault="007777F4" w:rsidP="007D70DC">
            <w:pPr>
              <w:spacing w:before="30" w:after="30"/>
              <w:jc w:val="left"/>
              <w:rPr>
                <w:sz w:val="20"/>
                <w:lang w:val="en-US"/>
              </w:rPr>
            </w:pPr>
            <w:r w:rsidRPr="00036EE3">
              <w:rPr>
                <w:sz w:val="20"/>
                <w:lang w:val="en-US"/>
              </w:rPr>
              <w:t>Space applications and meteorology</w:t>
            </w:r>
          </w:p>
        </w:tc>
      </w:tr>
      <w:tr w:rsidR="007777F4" w:rsidRPr="006A632D" w:rsidTr="007D70DC">
        <w:tc>
          <w:tcPr>
            <w:tcW w:w="1140" w:type="dxa"/>
            <w:tcBorders>
              <w:bottom w:val="nil"/>
            </w:tcBorders>
          </w:tcPr>
          <w:p w:rsidR="007777F4" w:rsidRPr="00036EE3" w:rsidRDefault="007777F4" w:rsidP="007D70DC">
            <w:pPr>
              <w:spacing w:before="30" w:after="30"/>
              <w:ind w:left="57"/>
              <w:jc w:val="left"/>
              <w:rPr>
                <w:b/>
                <w:bCs/>
                <w:sz w:val="20"/>
                <w:lang w:val="en-US"/>
              </w:rPr>
            </w:pPr>
            <w:r w:rsidRPr="00036EE3">
              <w:rPr>
                <w:b/>
                <w:bCs/>
                <w:sz w:val="20"/>
                <w:lang w:val="en-US"/>
              </w:rPr>
              <w:t>SF</w:t>
            </w:r>
          </w:p>
        </w:tc>
        <w:tc>
          <w:tcPr>
            <w:tcW w:w="8220" w:type="dxa"/>
            <w:tcBorders>
              <w:bottom w:val="nil"/>
            </w:tcBorders>
          </w:tcPr>
          <w:p w:rsidR="007777F4" w:rsidRPr="00036EE3" w:rsidRDefault="007777F4" w:rsidP="007D70DC">
            <w:pPr>
              <w:spacing w:before="30" w:after="30"/>
              <w:jc w:val="left"/>
              <w:rPr>
                <w:sz w:val="20"/>
                <w:lang w:val="en-US"/>
              </w:rPr>
            </w:pPr>
            <w:r w:rsidRPr="00036EE3">
              <w:rPr>
                <w:sz w:val="20"/>
                <w:lang w:val="en-US"/>
              </w:rPr>
              <w:t>Frequency sharing and coordination between fixed-satellite and fixed service systems</w:t>
            </w:r>
          </w:p>
        </w:tc>
      </w:tr>
      <w:tr w:rsidR="007777F4" w:rsidRPr="00036EE3" w:rsidTr="007D70DC">
        <w:tc>
          <w:tcPr>
            <w:tcW w:w="1140" w:type="dxa"/>
            <w:tcBorders>
              <w:top w:val="nil"/>
              <w:bottom w:val="nil"/>
            </w:tcBorders>
            <w:shd w:val="clear" w:color="auto" w:fill="auto"/>
          </w:tcPr>
          <w:p w:rsidR="007777F4" w:rsidRPr="000A4386" w:rsidRDefault="007777F4" w:rsidP="007D70DC">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7777F4" w:rsidRPr="000A4386" w:rsidRDefault="007777F4" w:rsidP="007D70DC">
            <w:pPr>
              <w:spacing w:before="30" w:after="30"/>
              <w:jc w:val="left"/>
              <w:rPr>
                <w:sz w:val="20"/>
                <w:lang w:val="en-US"/>
              </w:rPr>
            </w:pPr>
            <w:r w:rsidRPr="000A4386">
              <w:rPr>
                <w:sz w:val="20"/>
                <w:lang w:val="en-US"/>
              </w:rPr>
              <w:t>Spectrum management</w:t>
            </w:r>
          </w:p>
        </w:tc>
      </w:tr>
      <w:tr w:rsidR="007777F4" w:rsidRPr="00036EE3" w:rsidTr="007D70DC">
        <w:tc>
          <w:tcPr>
            <w:tcW w:w="1140" w:type="dxa"/>
            <w:tcBorders>
              <w:top w:val="nil"/>
            </w:tcBorders>
          </w:tcPr>
          <w:p w:rsidR="007777F4" w:rsidRPr="00036EE3" w:rsidRDefault="007777F4" w:rsidP="007D70DC">
            <w:pPr>
              <w:spacing w:before="30" w:after="30"/>
              <w:ind w:left="57"/>
              <w:jc w:val="left"/>
              <w:rPr>
                <w:b/>
                <w:bCs/>
                <w:sz w:val="20"/>
                <w:lang w:val="en-US"/>
              </w:rPr>
            </w:pPr>
            <w:r w:rsidRPr="00036EE3">
              <w:rPr>
                <w:b/>
                <w:bCs/>
                <w:sz w:val="20"/>
                <w:lang w:val="en-US"/>
              </w:rPr>
              <w:t>SNG</w:t>
            </w:r>
          </w:p>
        </w:tc>
        <w:tc>
          <w:tcPr>
            <w:tcW w:w="8220" w:type="dxa"/>
            <w:tcBorders>
              <w:top w:val="nil"/>
            </w:tcBorders>
          </w:tcPr>
          <w:p w:rsidR="007777F4" w:rsidRPr="00036EE3" w:rsidRDefault="007777F4" w:rsidP="007D70DC">
            <w:pPr>
              <w:spacing w:before="30" w:after="30"/>
              <w:jc w:val="left"/>
              <w:rPr>
                <w:sz w:val="20"/>
                <w:lang w:val="en-US"/>
              </w:rPr>
            </w:pPr>
            <w:r w:rsidRPr="00036EE3">
              <w:rPr>
                <w:sz w:val="20"/>
                <w:lang w:val="en-US"/>
              </w:rPr>
              <w:t>Satellite news gathering</w:t>
            </w:r>
          </w:p>
        </w:tc>
      </w:tr>
      <w:tr w:rsidR="007777F4" w:rsidRPr="006A632D" w:rsidTr="007D70DC">
        <w:tc>
          <w:tcPr>
            <w:tcW w:w="1140" w:type="dxa"/>
          </w:tcPr>
          <w:p w:rsidR="007777F4" w:rsidRPr="00036EE3" w:rsidRDefault="007777F4" w:rsidP="007D70DC">
            <w:pPr>
              <w:spacing w:before="30" w:after="30"/>
              <w:ind w:left="57"/>
              <w:jc w:val="left"/>
              <w:rPr>
                <w:b/>
                <w:bCs/>
                <w:sz w:val="20"/>
                <w:lang w:val="en-US"/>
              </w:rPr>
            </w:pPr>
            <w:r w:rsidRPr="00036EE3">
              <w:rPr>
                <w:b/>
                <w:bCs/>
                <w:sz w:val="20"/>
                <w:lang w:val="en-US"/>
              </w:rPr>
              <w:t>TF</w:t>
            </w:r>
          </w:p>
        </w:tc>
        <w:tc>
          <w:tcPr>
            <w:tcW w:w="8220" w:type="dxa"/>
          </w:tcPr>
          <w:p w:rsidR="007777F4" w:rsidRPr="00036EE3" w:rsidRDefault="007777F4" w:rsidP="007D70DC">
            <w:pPr>
              <w:spacing w:before="30" w:after="30"/>
              <w:jc w:val="left"/>
              <w:rPr>
                <w:sz w:val="20"/>
                <w:lang w:val="en-US"/>
              </w:rPr>
            </w:pPr>
            <w:r w:rsidRPr="00036EE3">
              <w:rPr>
                <w:sz w:val="20"/>
                <w:lang w:val="en-US"/>
              </w:rPr>
              <w:t>Time signals and frequency standards emissions</w:t>
            </w:r>
          </w:p>
        </w:tc>
      </w:tr>
      <w:tr w:rsidR="007777F4" w:rsidRPr="00036EE3" w:rsidTr="007D70DC">
        <w:tc>
          <w:tcPr>
            <w:tcW w:w="1140" w:type="dxa"/>
          </w:tcPr>
          <w:p w:rsidR="007777F4" w:rsidRPr="00036EE3" w:rsidRDefault="007777F4" w:rsidP="007D70DC">
            <w:pPr>
              <w:spacing w:before="30" w:after="30"/>
              <w:ind w:left="57"/>
              <w:jc w:val="left"/>
              <w:rPr>
                <w:b/>
                <w:bCs/>
                <w:sz w:val="20"/>
                <w:lang w:val="en-US"/>
              </w:rPr>
            </w:pPr>
            <w:r w:rsidRPr="00036EE3">
              <w:rPr>
                <w:b/>
                <w:bCs/>
                <w:sz w:val="20"/>
                <w:lang w:val="en-US"/>
              </w:rPr>
              <w:t>V</w:t>
            </w:r>
          </w:p>
        </w:tc>
        <w:tc>
          <w:tcPr>
            <w:tcW w:w="8220" w:type="dxa"/>
          </w:tcPr>
          <w:p w:rsidR="007777F4" w:rsidRPr="00036EE3" w:rsidRDefault="007777F4" w:rsidP="007D70DC">
            <w:pPr>
              <w:spacing w:before="30" w:after="180"/>
              <w:jc w:val="left"/>
              <w:rPr>
                <w:sz w:val="20"/>
                <w:lang w:val="en-US"/>
              </w:rPr>
            </w:pPr>
            <w:r w:rsidRPr="00036EE3">
              <w:rPr>
                <w:sz w:val="20"/>
                <w:lang w:val="en-US"/>
              </w:rPr>
              <w:t>Vocabulary and related subjects</w:t>
            </w:r>
          </w:p>
        </w:tc>
      </w:tr>
    </w:tbl>
    <w:p w:rsidR="007777F4" w:rsidRPr="00036EE3" w:rsidRDefault="007777F4" w:rsidP="007777F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777F4" w:rsidTr="007D70DC">
        <w:tc>
          <w:tcPr>
            <w:tcW w:w="720" w:type="dxa"/>
          </w:tcPr>
          <w:p w:rsidR="007777F4" w:rsidRDefault="007777F4" w:rsidP="007D70DC">
            <w:pPr>
              <w:jc w:val="center"/>
              <w:rPr>
                <w:sz w:val="22"/>
                <w:lang w:val="en-US"/>
              </w:rPr>
            </w:pPr>
          </w:p>
        </w:tc>
      </w:tr>
    </w:tbl>
    <w:p w:rsidR="007777F4" w:rsidRPr="00036EE3" w:rsidRDefault="007777F4" w:rsidP="007777F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777F4" w:rsidRPr="006A632D" w:rsidTr="007D70DC">
        <w:tc>
          <w:tcPr>
            <w:tcW w:w="9360" w:type="dxa"/>
          </w:tcPr>
          <w:p w:rsidR="007777F4" w:rsidRPr="002F5199" w:rsidRDefault="007777F4" w:rsidP="007D70DC">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7777F4" w:rsidRDefault="007777F4" w:rsidP="007777F4">
      <w:pPr>
        <w:spacing w:before="0"/>
        <w:jc w:val="center"/>
        <w:rPr>
          <w:sz w:val="22"/>
          <w:lang w:val="en-US"/>
        </w:rPr>
      </w:pPr>
    </w:p>
    <w:p w:rsidR="007777F4" w:rsidRDefault="007777F4" w:rsidP="007777F4">
      <w:pPr>
        <w:spacing w:before="0"/>
        <w:jc w:val="center"/>
        <w:rPr>
          <w:sz w:val="22"/>
          <w:lang w:val="en-US"/>
        </w:rPr>
      </w:pPr>
    </w:p>
    <w:p w:rsidR="007777F4" w:rsidRPr="002F5199" w:rsidRDefault="007777F4" w:rsidP="007777F4">
      <w:pPr>
        <w:spacing w:before="0"/>
        <w:jc w:val="right"/>
        <w:rPr>
          <w:i/>
          <w:iCs/>
          <w:sz w:val="20"/>
          <w:lang w:val="en-US"/>
        </w:rPr>
      </w:pPr>
      <w:r w:rsidRPr="002F5199">
        <w:rPr>
          <w:i/>
          <w:iCs/>
          <w:sz w:val="20"/>
          <w:lang w:val="en-US"/>
        </w:rPr>
        <w:t>Electronic Publication</w:t>
      </w:r>
    </w:p>
    <w:p w:rsidR="007777F4" w:rsidRPr="002F5199" w:rsidRDefault="007777F4" w:rsidP="007777F4">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rsidR="007777F4" w:rsidRDefault="007777F4" w:rsidP="007777F4">
      <w:pPr>
        <w:jc w:val="center"/>
        <w:rPr>
          <w:sz w:val="22"/>
          <w:lang w:val="en-US"/>
        </w:rPr>
      </w:pPr>
    </w:p>
    <w:p w:rsidR="007777F4" w:rsidRPr="00470E28" w:rsidRDefault="007777F4" w:rsidP="007777F4">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14</w:t>
      </w:r>
    </w:p>
    <w:p w:rsidR="007777F4" w:rsidRPr="00470E28" w:rsidRDefault="007777F4" w:rsidP="007777F4">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777F4" w:rsidRDefault="007777F4" w:rsidP="007777F4">
      <w:pPr>
        <w:spacing w:before="160"/>
        <w:rPr>
          <w:i/>
          <w:sz w:val="20"/>
          <w:lang w:val="en-US"/>
        </w:rPr>
        <w:sectPr w:rsidR="007777F4"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7777F4" w:rsidRPr="00BF487A" w:rsidRDefault="007777F4" w:rsidP="00AF0DA7">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sidR="00AF0DA7">
        <w:rPr>
          <w:rStyle w:val="href"/>
          <w:lang w:val="en-US"/>
        </w:rPr>
        <w:t>557-5</w:t>
      </w:r>
    </w:p>
    <w:p w:rsidR="007461DD" w:rsidRPr="007461DD" w:rsidRDefault="007461DD" w:rsidP="00DA79A8">
      <w:pPr>
        <w:pStyle w:val="Rectitle"/>
        <w:rPr>
          <w:lang w:val="en-US"/>
        </w:rPr>
      </w:pPr>
      <w:r w:rsidRPr="007461DD">
        <w:rPr>
          <w:lang w:val="en-US"/>
        </w:rPr>
        <w:t>Availability objective for radio-relay systems over a hypothetical</w:t>
      </w:r>
      <w:r w:rsidR="00DA79A8">
        <w:rPr>
          <w:lang w:val="en-US"/>
        </w:rPr>
        <w:t xml:space="preserve"> </w:t>
      </w:r>
      <w:r w:rsidR="00DA79A8">
        <w:rPr>
          <w:lang w:val="en-US"/>
        </w:rPr>
        <w:br/>
      </w:r>
      <w:r w:rsidRPr="007461DD">
        <w:rPr>
          <w:lang w:val="en-US"/>
        </w:rPr>
        <w:t>reference digital path</w:t>
      </w:r>
    </w:p>
    <w:p w:rsidR="007461DD" w:rsidRPr="009371C6" w:rsidRDefault="007461DD" w:rsidP="007461DD">
      <w:pPr>
        <w:pStyle w:val="RecTitleDate"/>
        <w:rPr>
          <w:sz w:val="22"/>
          <w:szCs w:val="22"/>
        </w:rPr>
      </w:pPr>
      <w:r w:rsidRPr="009371C6">
        <w:rPr>
          <w:sz w:val="22"/>
          <w:szCs w:val="22"/>
        </w:rPr>
        <w:t>(1978-1986-1990-1991-1997</w:t>
      </w:r>
      <w:r w:rsidR="00047370">
        <w:rPr>
          <w:sz w:val="22"/>
          <w:szCs w:val="22"/>
        </w:rPr>
        <w:t>-2014</w:t>
      </w:r>
      <w:r w:rsidRPr="009371C6">
        <w:rPr>
          <w:sz w:val="22"/>
          <w:szCs w:val="22"/>
        </w:rPr>
        <w:t>)</w:t>
      </w:r>
    </w:p>
    <w:p w:rsidR="007461DD" w:rsidRPr="007461DD" w:rsidRDefault="007461DD" w:rsidP="000C7ED9">
      <w:pPr>
        <w:pStyle w:val="HeadingSum"/>
      </w:pPr>
      <w:r w:rsidRPr="007461DD">
        <w:t>Scope</w:t>
      </w:r>
    </w:p>
    <w:p w:rsidR="007461DD" w:rsidRPr="00FD06DD" w:rsidRDefault="007461DD" w:rsidP="000C7ED9">
      <w:pPr>
        <w:pStyle w:val="Summary"/>
        <w:spacing w:after="0"/>
      </w:pPr>
      <w:r w:rsidRPr="00FD06DD">
        <w:t>This Recommendation provides the availability objective for radio-relay systems over a hypothetical reference digital path</w:t>
      </w:r>
      <w:r w:rsidRPr="00FD06DD">
        <w:rPr>
          <w:lang w:eastAsia="ja-JP"/>
        </w:rPr>
        <w:t xml:space="preserve"> </w:t>
      </w:r>
      <w:r w:rsidRPr="00FD06DD">
        <w:t xml:space="preserve">(HRDP) including the concept of unavailability of a HRDP and factors to be included in the </w:t>
      </w:r>
      <w:r w:rsidRPr="00FD06DD">
        <w:rPr>
          <w:lang w:eastAsia="ja-JP"/>
        </w:rPr>
        <w:t>assessment</w:t>
      </w:r>
      <w:r w:rsidRPr="00FD06DD">
        <w:t xml:space="preserve"> of unavailability</w:t>
      </w:r>
      <w:r w:rsidR="00DF0789">
        <w:t>.</w:t>
      </w:r>
      <w:r w:rsidRPr="00FD06DD">
        <w:t xml:space="preserve"> This</w:t>
      </w:r>
      <w:r w:rsidRPr="00FD06DD">
        <w:rPr>
          <w:lang w:eastAsia="ja-JP"/>
        </w:rPr>
        <w:t xml:space="preserve"> Recommendation</w:t>
      </w:r>
      <w:r w:rsidRPr="00FD06DD">
        <w:t xml:space="preserve"> also provides the guidance of the availability and reliability of radio-relay systems.</w:t>
      </w:r>
    </w:p>
    <w:p w:rsidR="007461DD" w:rsidRPr="00FD06DD" w:rsidRDefault="007461DD" w:rsidP="000C7ED9">
      <w:pPr>
        <w:pStyle w:val="Summary"/>
        <w:spacing w:after="0"/>
        <w:rPr>
          <w:lang w:eastAsia="ja-JP"/>
        </w:rPr>
      </w:pPr>
      <w:r w:rsidRPr="00FD06DD">
        <w:t>It should be noted that this Recommendation could be used only for system</w:t>
      </w:r>
      <w:r w:rsidRPr="00FD06DD">
        <w:rPr>
          <w:lang w:eastAsia="ja-JP"/>
        </w:rPr>
        <w:t>s</w:t>
      </w:r>
      <w:r w:rsidRPr="00FD06DD">
        <w:t xml:space="preserve"> designed prior to the approval of Recommendation ITU-R F.1703</w:t>
      </w:r>
      <w:r w:rsidRPr="00FD06DD">
        <w:rPr>
          <w:lang w:eastAsia="ja-JP"/>
        </w:rPr>
        <w:t xml:space="preserve"> in 2005</w:t>
      </w:r>
      <w:r w:rsidRPr="00FD06DD">
        <w:t>.</w:t>
      </w:r>
    </w:p>
    <w:p w:rsidR="007461DD" w:rsidRDefault="007461DD" w:rsidP="000C7ED9">
      <w:pPr>
        <w:pStyle w:val="Summary"/>
        <w:rPr>
          <w:lang w:eastAsia="ja-JP"/>
        </w:rPr>
      </w:pPr>
      <w:r w:rsidRPr="00FD06DD">
        <w:rPr>
          <w:lang w:eastAsia="ja-JP"/>
        </w:rPr>
        <w:t xml:space="preserve">The reference to the hypothetical reference circuit (HRC) and related analogue information are removed in this revised version. For this information, </w:t>
      </w:r>
      <w:r w:rsidR="006A632D">
        <w:rPr>
          <w:lang w:eastAsia="ja-JP"/>
        </w:rPr>
        <w:t xml:space="preserve">see </w:t>
      </w:r>
      <w:r w:rsidRPr="00FD06DD">
        <w:rPr>
          <w:lang w:eastAsia="ja-JP"/>
        </w:rPr>
        <w:t>the previous version of this Recommendation</w:t>
      </w:r>
      <w:r w:rsidR="006A632D">
        <w:rPr>
          <w:lang w:eastAsia="ja-JP"/>
        </w:rPr>
        <w:t>,</w:t>
      </w:r>
      <w:r w:rsidRPr="00FD06DD">
        <w:rPr>
          <w:lang w:eastAsia="ja-JP"/>
        </w:rPr>
        <w:t xml:space="preserve"> as well as the </w:t>
      </w:r>
      <w:r>
        <w:rPr>
          <w:lang w:eastAsia="ja-JP"/>
        </w:rPr>
        <w:t xml:space="preserve">guide </w:t>
      </w:r>
      <w:r w:rsidR="00DF0789">
        <w:rPr>
          <w:lang w:eastAsia="ja-JP"/>
        </w:rPr>
        <w:t xml:space="preserve">– </w:t>
      </w:r>
      <w:r>
        <w:rPr>
          <w:lang w:eastAsia="ja-JP"/>
        </w:rPr>
        <w:t>List of ITU-R Recommendations on analogue systems in the fixed service in the frequency bands above 30 MHz (this document is available on the web page of ITU-R Working Party</w:t>
      </w:r>
      <w:r w:rsidRPr="00FD06DD">
        <w:rPr>
          <w:rFonts w:hint="eastAsia"/>
          <w:lang w:eastAsia="ja-JP"/>
        </w:rPr>
        <w:t xml:space="preserve"> </w:t>
      </w:r>
      <w:r>
        <w:rPr>
          <w:lang w:eastAsia="ja-JP"/>
        </w:rPr>
        <w:t xml:space="preserve">5C), </w:t>
      </w:r>
      <w:r w:rsidR="006A632D">
        <w:rPr>
          <w:lang w:eastAsia="ja-JP"/>
        </w:rPr>
        <w:t xml:space="preserve">which </w:t>
      </w:r>
      <w:r w:rsidRPr="00FD06DD">
        <w:rPr>
          <w:lang w:eastAsia="ja-JP"/>
        </w:rPr>
        <w:t>contain</w:t>
      </w:r>
      <w:r w:rsidR="006A632D">
        <w:rPr>
          <w:lang w:eastAsia="ja-JP"/>
        </w:rPr>
        <w:t>s</w:t>
      </w:r>
      <w:r w:rsidRPr="00FD06DD">
        <w:rPr>
          <w:lang w:eastAsia="ja-JP"/>
        </w:rPr>
        <w:t xml:space="preserve"> a list of all the Recommendations referring to the analogue fixed </w:t>
      </w:r>
      <w:r w:rsidRPr="00FD06DD">
        <w:rPr>
          <w:rFonts w:hint="eastAsia"/>
          <w:lang w:eastAsia="ja-JP"/>
        </w:rPr>
        <w:t xml:space="preserve">service </w:t>
      </w:r>
      <w:r w:rsidRPr="00FD06DD">
        <w:rPr>
          <w:lang w:eastAsia="ja-JP"/>
        </w:rPr>
        <w:t>systems, including those already suppressed.</w:t>
      </w:r>
    </w:p>
    <w:p w:rsidR="007461DD" w:rsidRPr="00DA79A8" w:rsidRDefault="007461DD" w:rsidP="00DA79A8">
      <w:pPr>
        <w:pStyle w:val="Headingb"/>
        <w:rPr>
          <w:rFonts w:ascii="Times" w:hAnsi="Times"/>
          <w:sz w:val="22"/>
          <w:szCs w:val="22"/>
          <w:lang w:val="en-GB"/>
        </w:rPr>
      </w:pPr>
      <w:r w:rsidRPr="00DA79A8">
        <w:rPr>
          <w:sz w:val="22"/>
          <w:szCs w:val="22"/>
          <w:lang w:val="en-GB"/>
        </w:rPr>
        <w:t>Keywords</w:t>
      </w:r>
    </w:p>
    <w:p w:rsidR="007461DD" w:rsidRPr="00FD06DD" w:rsidRDefault="00840B36" w:rsidP="00DF0789">
      <w:pPr>
        <w:rPr>
          <w:sz w:val="22"/>
          <w:szCs w:val="22"/>
          <w:lang w:val="en-US" w:eastAsia="ja-JP"/>
        </w:rPr>
      </w:pPr>
      <w:r w:rsidRPr="00036EC8">
        <w:rPr>
          <w:sz w:val="22"/>
          <w:szCs w:val="22"/>
          <w:lang w:val="en-US" w:eastAsia="ja-JP"/>
        </w:rPr>
        <w:t>F</w:t>
      </w:r>
      <w:r w:rsidR="007461DD" w:rsidRPr="00036EC8">
        <w:rPr>
          <w:sz w:val="22"/>
          <w:szCs w:val="22"/>
          <w:lang w:val="en-US" w:eastAsia="ja-JP"/>
        </w:rPr>
        <w:t>ixed service, hypothetical reference digital path (HRDP), availability, unavailability, mean time between failures (MTBF), mean time to restore (MTTR)</w:t>
      </w:r>
    </w:p>
    <w:p w:rsidR="007461DD" w:rsidRPr="007461DD" w:rsidRDefault="007461DD" w:rsidP="007461DD">
      <w:pPr>
        <w:spacing w:before="480"/>
        <w:rPr>
          <w:lang w:val="en-US"/>
        </w:rPr>
      </w:pPr>
      <w:r w:rsidRPr="007461DD">
        <w:rPr>
          <w:lang w:val="en-US"/>
        </w:rPr>
        <w:t>The ITU Radiocommunication Assembly,</w:t>
      </w:r>
    </w:p>
    <w:p w:rsidR="007461DD" w:rsidRPr="007461DD" w:rsidRDefault="007461DD" w:rsidP="007461DD">
      <w:pPr>
        <w:pStyle w:val="Call"/>
        <w:rPr>
          <w:lang w:val="en-US"/>
        </w:rPr>
      </w:pPr>
      <w:r w:rsidRPr="007461DD">
        <w:rPr>
          <w:lang w:val="en-US"/>
        </w:rPr>
        <w:t>considering</w:t>
      </w:r>
    </w:p>
    <w:p w:rsidR="007461DD" w:rsidRPr="007461DD" w:rsidRDefault="007461DD" w:rsidP="007461DD">
      <w:pPr>
        <w:rPr>
          <w:lang w:val="en-US"/>
        </w:rPr>
      </w:pPr>
      <w:r w:rsidRPr="007461DD">
        <w:rPr>
          <w:i/>
          <w:iCs/>
          <w:lang w:val="en-US"/>
        </w:rPr>
        <w:t>a)</w:t>
      </w:r>
      <w:r w:rsidRPr="007461DD">
        <w:rPr>
          <w:lang w:val="en-US"/>
        </w:rPr>
        <w:tab/>
        <w:t xml:space="preserve">that the hypothetical reference digital path (HRDP) </w:t>
      </w:r>
      <w:r w:rsidRPr="007461DD">
        <w:rPr>
          <w:rFonts w:hint="eastAsia"/>
          <w:lang w:val="en-US"/>
        </w:rPr>
        <w:t>is</w:t>
      </w:r>
      <w:r w:rsidRPr="007461DD">
        <w:rPr>
          <w:lang w:val="en-US"/>
        </w:rPr>
        <w:t xml:space="preserve"> intended as a guide to designers and planners</w:t>
      </w:r>
      <w:r w:rsidRPr="007461DD">
        <w:rPr>
          <w:rFonts w:hint="eastAsia"/>
          <w:lang w:val="en-US" w:eastAsia="ja-JP"/>
        </w:rPr>
        <w:t xml:space="preserve"> for systems designed prior to 2005</w:t>
      </w:r>
      <w:r w:rsidRPr="007461DD">
        <w:rPr>
          <w:lang w:val="en-US"/>
        </w:rPr>
        <w:t>;</w:t>
      </w:r>
    </w:p>
    <w:p w:rsidR="007461DD" w:rsidRPr="007461DD" w:rsidRDefault="007461DD" w:rsidP="007461DD">
      <w:pPr>
        <w:rPr>
          <w:lang w:val="en-US"/>
        </w:rPr>
      </w:pPr>
      <w:r w:rsidRPr="007461DD">
        <w:rPr>
          <w:i/>
          <w:iCs/>
          <w:lang w:val="en-US"/>
        </w:rPr>
        <w:t>b)</w:t>
      </w:r>
      <w:r w:rsidRPr="007461DD">
        <w:rPr>
          <w:lang w:val="en-US"/>
        </w:rPr>
        <w:tab/>
        <w:t>that the availability of a radio-relay system is dependent upon many factors and particularly upon: the maintenance organization (which determines the time to restore), the reliability of equipment and the system design and propagation conditions. The relative importance of these various factors may vary significantly, sometimes without possibility of control, from one area to another;</w:t>
      </w:r>
    </w:p>
    <w:p w:rsidR="007461DD" w:rsidRPr="007461DD" w:rsidRDefault="007461DD" w:rsidP="007461DD">
      <w:pPr>
        <w:rPr>
          <w:lang w:val="en-US"/>
        </w:rPr>
      </w:pPr>
      <w:r w:rsidRPr="007461DD">
        <w:rPr>
          <w:i/>
          <w:iCs/>
          <w:lang w:val="en-US"/>
        </w:rPr>
        <w:t>c)</w:t>
      </w:r>
      <w:r w:rsidRPr="007461DD">
        <w:rPr>
          <w:lang w:val="en-US"/>
        </w:rPr>
        <w:tab/>
        <w:t>that it is desirable to apply common availability objectives to both cable and radio-relay systems,</w:t>
      </w:r>
    </w:p>
    <w:p w:rsidR="007461DD" w:rsidRPr="007461DD" w:rsidRDefault="007461DD" w:rsidP="007461DD">
      <w:pPr>
        <w:pStyle w:val="Call"/>
        <w:rPr>
          <w:lang w:val="en-US"/>
        </w:rPr>
      </w:pPr>
      <w:r w:rsidRPr="007461DD">
        <w:rPr>
          <w:lang w:val="en-US"/>
        </w:rPr>
        <w:t>recommends</w:t>
      </w:r>
    </w:p>
    <w:p w:rsidR="007461DD" w:rsidRPr="007461DD" w:rsidRDefault="007461DD" w:rsidP="007461DD">
      <w:pPr>
        <w:ind w:right="-142"/>
        <w:rPr>
          <w:lang w:val="en-US"/>
        </w:rPr>
      </w:pPr>
      <w:r w:rsidRPr="00840B36">
        <w:rPr>
          <w:b/>
          <w:lang w:val="en-US"/>
        </w:rPr>
        <w:t>1</w:t>
      </w:r>
      <w:r w:rsidRPr="007461DD">
        <w:rPr>
          <w:lang w:val="en-US"/>
        </w:rPr>
        <w:tab/>
        <w:t>that the availability objective appropriate to a 2</w:t>
      </w:r>
      <w:r w:rsidRPr="007461DD">
        <w:rPr>
          <w:rFonts w:ascii="Tms Rmn" w:hAnsi="Tms Rmn"/>
          <w:sz w:val="12"/>
          <w:lang w:val="en-US"/>
        </w:rPr>
        <w:t> </w:t>
      </w:r>
      <w:r w:rsidRPr="007461DD">
        <w:rPr>
          <w:lang w:val="en-US"/>
        </w:rPr>
        <w:t>500 km HRDP for digital radio-relay systems (Recommendation ITU</w:t>
      </w:r>
      <w:r w:rsidRPr="007461DD">
        <w:rPr>
          <w:lang w:val="en-US"/>
        </w:rPr>
        <w:noBreakHyphen/>
        <w:t>R F.556) should be 99.7% of the time, the percentage being considered over a period of time sufficiently long to be statistically valid, this period is probably greater than one year; the period of time is under study (see Notes 2, 3 and 4);</w:t>
      </w:r>
    </w:p>
    <w:p w:rsidR="007461DD" w:rsidRPr="007461DD" w:rsidRDefault="007461DD" w:rsidP="007461DD">
      <w:pPr>
        <w:rPr>
          <w:lang w:val="en-US"/>
        </w:rPr>
      </w:pPr>
      <w:r w:rsidRPr="00840B36">
        <w:rPr>
          <w:rFonts w:hint="eastAsia"/>
          <w:b/>
          <w:lang w:val="en-US"/>
        </w:rPr>
        <w:t>2</w:t>
      </w:r>
      <w:r w:rsidRPr="007461DD">
        <w:rPr>
          <w:lang w:val="en-US"/>
        </w:rPr>
        <w:tab/>
        <w:t>that the concept of unavailability of a HRDP should be as follows:</w:t>
      </w:r>
    </w:p>
    <w:p w:rsidR="007461DD" w:rsidRPr="007461DD" w:rsidRDefault="007461DD" w:rsidP="007461DD">
      <w:pPr>
        <w:rPr>
          <w:lang w:val="en-US"/>
        </w:rPr>
      </w:pPr>
      <w:r w:rsidRPr="00840B36">
        <w:rPr>
          <w:rFonts w:hint="eastAsia"/>
          <w:b/>
          <w:lang w:val="en-US"/>
        </w:rPr>
        <w:t>2</w:t>
      </w:r>
      <w:r w:rsidRPr="00840B36">
        <w:rPr>
          <w:b/>
          <w:lang w:val="en-US"/>
        </w:rPr>
        <w:t>.1</w:t>
      </w:r>
      <w:r w:rsidRPr="007461DD">
        <w:rPr>
          <w:lang w:val="en-US"/>
        </w:rPr>
        <w:tab/>
        <w:t>the period of unavailable time begins at the onset of ten consecutive severely errored second (SES) events, in at least one direction of transmission (see Notes 1 and 9). These ten seconds are considered to be unavailable time. For the definition of SES</w:t>
      </w:r>
      <w:r w:rsidR="00DF0789">
        <w:rPr>
          <w:lang w:val="en-US"/>
        </w:rPr>
        <w:t>,</w:t>
      </w:r>
      <w:r w:rsidRPr="007461DD">
        <w:rPr>
          <w:lang w:val="en-US"/>
        </w:rPr>
        <w:t xml:space="preserve"> refer to related Recommendations </w:t>
      </w:r>
      <w:r w:rsidRPr="00DA79A8">
        <w:rPr>
          <w:lang w:val="en-US" w:eastAsia="ja-JP"/>
        </w:rPr>
        <w:t>ITU-T</w:t>
      </w:r>
      <w:r w:rsidRPr="007461DD">
        <w:rPr>
          <w:lang w:val="en-US"/>
        </w:rPr>
        <w:t xml:space="preserve"> G.821 and ITU-T G.826;</w:t>
      </w:r>
    </w:p>
    <w:p w:rsidR="007461DD" w:rsidRPr="007461DD" w:rsidRDefault="007461DD" w:rsidP="007461DD">
      <w:pPr>
        <w:rPr>
          <w:lang w:val="en-US"/>
        </w:rPr>
      </w:pPr>
      <w:r w:rsidRPr="00840B36">
        <w:rPr>
          <w:b/>
          <w:lang w:val="en-US"/>
        </w:rPr>
        <w:lastRenderedPageBreak/>
        <w:t>2.2</w:t>
      </w:r>
      <w:r w:rsidRPr="007461DD">
        <w:rPr>
          <w:lang w:val="en-US"/>
        </w:rPr>
        <w:tab/>
        <w:t>a new period of available time begins at the onset of ten consecutive non-SES events for both directions of transmission. These ten seconds are considered to be available time. For the definition of SES</w:t>
      </w:r>
      <w:r w:rsidR="00DF0789">
        <w:rPr>
          <w:lang w:val="en-US"/>
        </w:rPr>
        <w:t>,</w:t>
      </w:r>
      <w:r w:rsidRPr="007461DD">
        <w:rPr>
          <w:lang w:val="en-US"/>
        </w:rPr>
        <w:t xml:space="preserve"> refer to related Recommendations </w:t>
      </w:r>
      <w:r w:rsidRPr="00DA79A8">
        <w:rPr>
          <w:lang w:val="en-US" w:eastAsia="ja-JP"/>
        </w:rPr>
        <w:t>ITU-T</w:t>
      </w:r>
      <w:r w:rsidRPr="007461DD">
        <w:rPr>
          <w:lang w:val="en-US"/>
        </w:rPr>
        <w:t xml:space="preserve"> G.821 and </w:t>
      </w:r>
      <w:r w:rsidRPr="00DA79A8">
        <w:rPr>
          <w:lang w:val="en-US" w:eastAsia="ja-JP"/>
        </w:rPr>
        <w:t>ITU-T</w:t>
      </w:r>
      <w:r w:rsidRPr="007461DD">
        <w:rPr>
          <w:lang w:val="en-US"/>
        </w:rPr>
        <w:t xml:space="preserve"> G.826;</w:t>
      </w:r>
    </w:p>
    <w:p w:rsidR="007461DD" w:rsidRPr="007461DD" w:rsidRDefault="007461DD" w:rsidP="00DF0789">
      <w:pPr>
        <w:rPr>
          <w:lang w:val="en-US"/>
        </w:rPr>
      </w:pPr>
      <w:r w:rsidRPr="00840B36">
        <w:rPr>
          <w:rFonts w:hint="eastAsia"/>
          <w:b/>
          <w:lang w:val="en-US"/>
        </w:rPr>
        <w:t>3</w:t>
      </w:r>
      <w:r w:rsidRPr="007461DD">
        <w:rPr>
          <w:lang w:val="en-US"/>
        </w:rPr>
        <w:tab/>
        <w:t>that in the estimate of unavailability, one must include all causes which are statistically predictable, unintentional and resulting from the radio equipment</w:t>
      </w:r>
      <w:r w:rsidR="00DF0789">
        <w:rPr>
          <w:rStyle w:val="FootnoteReference"/>
          <w:lang w:val="en-US"/>
        </w:rPr>
        <w:footnoteReference w:customMarkFollows="1" w:id="1"/>
        <w:t>*</w:t>
      </w:r>
      <w:r w:rsidRPr="007461DD">
        <w:rPr>
          <w:lang w:val="en-US"/>
        </w:rPr>
        <w:t>, power supplies, propagation, interference and from auxiliary equipment and human activity. The estimate of unavailability includes consideration of the mean time to restore (see Notes 6 and 7);</w:t>
      </w:r>
    </w:p>
    <w:p w:rsidR="007461DD" w:rsidRPr="007461DD" w:rsidRDefault="007461DD" w:rsidP="007461DD">
      <w:pPr>
        <w:rPr>
          <w:lang w:val="en-US"/>
        </w:rPr>
      </w:pPr>
      <w:r w:rsidRPr="00840B36">
        <w:rPr>
          <w:rFonts w:hint="eastAsia"/>
          <w:b/>
          <w:lang w:val="en-US"/>
        </w:rPr>
        <w:t>4</w:t>
      </w:r>
      <w:r w:rsidRPr="007461DD">
        <w:rPr>
          <w:lang w:val="en-US"/>
        </w:rPr>
        <w:tab/>
        <w:t>that Annex 1 should be used for guidance on availability and reliability of radio-relay systems;</w:t>
      </w:r>
    </w:p>
    <w:p w:rsidR="007461DD" w:rsidRPr="007461DD" w:rsidRDefault="007461DD" w:rsidP="007461DD">
      <w:pPr>
        <w:rPr>
          <w:lang w:val="en-US"/>
        </w:rPr>
      </w:pPr>
      <w:r w:rsidRPr="00840B36">
        <w:rPr>
          <w:rFonts w:hint="eastAsia"/>
          <w:b/>
          <w:lang w:val="en-US"/>
        </w:rPr>
        <w:t>5</w:t>
      </w:r>
      <w:r w:rsidRPr="007461DD">
        <w:rPr>
          <w:lang w:val="en-US"/>
        </w:rPr>
        <w:tab/>
        <w:t>that the following Notes should be treated as part of the Recommendation:</w:t>
      </w:r>
    </w:p>
    <w:p w:rsidR="007461DD" w:rsidRPr="007461DD" w:rsidRDefault="007461DD" w:rsidP="00840B36">
      <w:pPr>
        <w:rPr>
          <w:lang w:val="en-US"/>
        </w:rPr>
      </w:pPr>
      <w:r w:rsidRPr="007461DD">
        <w:rPr>
          <w:lang w:val="en-US"/>
        </w:rPr>
        <w:t xml:space="preserve">NOTE 1 – Overall availability </w:t>
      </w:r>
      <w:r w:rsidRPr="007461DD">
        <w:rPr>
          <w:i/>
          <w:lang w:val="en-US"/>
        </w:rPr>
        <w:t>A</w:t>
      </w:r>
      <w:r w:rsidRPr="007461DD">
        <w:rPr>
          <w:lang w:val="en-US"/>
        </w:rPr>
        <w:t xml:space="preserve"> is defined by the following formula:</w:t>
      </w:r>
    </w:p>
    <w:p w:rsidR="007461DD" w:rsidRPr="008B2F6D" w:rsidRDefault="007461DD" w:rsidP="007461DD">
      <w:pPr>
        <w:pStyle w:val="Equation"/>
        <w:rPr>
          <w:lang w:val="en-US"/>
        </w:rPr>
      </w:pPr>
      <w:r w:rsidRPr="008B2F6D">
        <w:rPr>
          <w:i/>
          <w:lang w:val="en-US"/>
        </w:rPr>
        <w:tab/>
      </w:r>
      <w:r w:rsidRPr="008B2F6D">
        <w:rPr>
          <w:i/>
          <w:lang w:val="en-US"/>
        </w:rPr>
        <w:tab/>
        <w:t>A</w:t>
      </w:r>
      <w:r w:rsidRPr="008B2F6D">
        <w:rPr>
          <w:lang w:val="en-US"/>
        </w:rPr>
        <w:t xml:space="preserve">   </w:t>
      </w:r>
      <w:r>
        <w:rPr>
          <w:rFonts w:ascii="Symbol" w:hAnsi="Symbol"/>
        </w:rPr>
        <w:t></w:t>
      </w:r>
      <w:r w:rsidRPr="008B2F6D">
        <w:rPr>
          <w:lang w:val="en-US"/>
        </w:rPr>
        <w:t xml:space="preserve">  100 [1  –  </w:t>
      </w:r>
      <w:r>
        <w:rPr>
          <w:rFonts w:ascii="Symbol" w:hAnsi="Symbol"/>
        </w:rPr>
        <w:t></w:t>
      </w:r>
      <w:r>
        <w:rPr>
          <w:rFonts w:ascii="Symbol" w:hAnsi="Symbol"/>
        </w:rPr>
        <w:t></w:t>
      </w:r>
      <w:r w:rsidRPr="008B2F6D">
        <w:rPr>
          <w:i/>
          <w:lang w:val="en-US"/>
        </w:rPr>
        <w:t>T</w:t>
      </w:r>
      <w:r w:rsidRPr="008B2F6D">
        <w:rPr>
          <w:position w:val="-4"/>
          <w:sz w:val="18"/>
          <w:lang w:val="en-US"/>
        </w:rPr>
        <w:t>1</w:t>
      </w:r>
      <w:r w:rsidRPr="008B2F6D">
        <w:rPr>
          <w:lang w:val="en-US"/>
        </w:rPr>
        <w:t xml:space="preserve">  </w:t>
      </w:r>
      <w:r>
        <w:rPr>
          <w:rFonts w:ascii="Symbol" w:hAnsi="Symbol"/>
        </w:rPr>
        <w:t></w:t>
      </w:r>
      <w:r w:rsidRPr="008B2F6D">
        <w:rPr>
          <w:lang w:val="en-US"/>
        </w:rPr>
        <w:t xml:space="preserve">  </w:t>
      </w:r>
      <w:r w:rsidRPr="008B2F6D">
        <w:rPr>
          <w:i/>
          <w:lang w:val="en-US"/>
        </w:rPr>
        <w:t>T</w:t>
      </w:r>
      <w:r w:rsidRPr="008B2F6D">
        <w:rPr>
          <w:position w:val="-4"/>
          <w:sz w:val="18"/>
          <w:lang w:val="en-US"/>
        </w:rPr>
        <w:t>2</w:t>
      </w:r>
      <w:r w:rsidRPr="008B2F6D">
        <w:rPr>
          <w:lang w:val="en-US"/>
        </w:rPr>
        <w:t xml:space="preserve">  –  </w:t>
      </w:r>
      <w:r w:rsidRPr="008B2F6D">
        <w:rPr>
          <w:i/>
          <w:lang w:val="en-US"/>
        </w:rPr>
        <w:t>T</w:t>
      </w:r>
      <w:r w:rsidRPr="008B2F6D">
        <w:rPr>
          <w:i/>
          <w:position w:val="-4"/>
          <w:sz w:val="16"/>
          <w:lang w:val="en-US"/>
        </w:rPr>
        <w:t>b</w:t>
      </w:r>
      <w:r w:rsidRPr="008B2F6D">
        <w:rPr>
          <w:lang w:val="en-US"/>
        </w:rPr>
        <w:t>)</w:t>
      </w:r>
      <w:r w:rsidRPr="008B2F6D">
        <w:rPr>
          <w:rFonts w:ascii="Tms Rmn" w:hAnsi="Tms Rmn"/>
          <w:sz w:val="12"/>
          <w:lang w:val="en-US"/>
        </w:rPr>
        <w:t> </w:t>
      </w:r>
      <w:r w:rsidRPr="008B2F6D">
        <w:rPr>
          <w:lang w:val="en-US"/>
        </w:rPr>
        <w:t>/</w:t>
      </w:r>
      <w:r w:rsidRPr="008B2F6D">
        <w:rPr>
          <w:rFonts w:ascii="Tms Rmn" w:hAnsi="Tms Rmn"/>
          <w:sz w:val="12"/>
          <w:lang w:val="en-US"/>
        </w:rPr>
        <w:t> </w:t>
      </w:r>
      <w:r w:rsidRPr="008B2F6D">
        <w:rPr>
          <w:i/>
          <w:lang w:val="en-US"/>
        </w:rPr>
        <w:t>T</w:t>
      </w:r>
      <w:r w:rsidRPr="008B2F6D">
        <w:rPr>
          <w:i/>
          <w:position w:val="-4"/>
          <w:sz w:val="18"/>
          <w:lang w:val="en-US"/>
        </w:rPr>
        <w:t>e</w:t>
      </w:r>
      <w:r>
        <w:rPr>
          <w:rFonts w:ascii="Symbol" w:hAnsi="Symbol"/>
        </w:rPr>
        <w:t></w:t>
      </w:r>
      <w:r w:rsidRPr="008B2F6D">
        <w:rPr>
          <w:lang w:val="en-US"/>
        </w:rPr>
        <w:t>]</w:t>
      </w:r>
    </w:p>
    <w:p w:rsidR="007461DD" w:rsidRPr="007461DD" w:rsidRDefault="007461DD" w:rsidP="007461DD">
      <w:pPr>
        <w:rPr>
          <w:lang w:val="en-US"/>
        </w:rPr>
      </w:pPr>
      <w:r w:rsidRPr="007461DD">
        <w:rPr>
          <w:lang w:val="en-US"/>
        </w:rPr>
        <w:t>where:</w:t>
      </w:r>
    </w:p>
    <w:p w:rsidR="007461DD" w:rsidRDefault="007461DD" w:rsidP="007461DD">
      <w:pPr>
        <w:pStyle w:val="Equationlegend"/>
      </w:pPr>
      <w:r>
        <w:rPr>
          <w:i/>
        </w:rPr>
        <w:tab/>
        <w:t>A</w:t>
      </w:r>
      <w:r>
        <w:rPr>
          <w:rFonts w:ascii="Tms Rmn" w:hAnsi="Tms Rmn"/>
          <w:sz w:val="12"/>
        </w:rPr>
        <w:t> </w:t>
      </w:r>
      <w:r>
        <w:t>:</w:t>
      </w:r>
      <w:r>
        <w:tab/>
        <w:t>percentage availability</w:t>
      </w:r>
    </w:p>
    <w:p w:rsidR="007461DD" w:rsidRDefault="007461DD" w:rsidP="007461DD">
      <w:pPr>
        <w:pStyle w:val="Equationlegend"/>
      </w:pPr>
      <w:r>
        <w:rPr>
          <w:i/>
        </w:rPr>
        <w:tab/>
        <w:t>T</w:t>
      </w:r>
      <w:r>
        <w:rPr>
          <w:position w:val="-4"/>
          <w:sz w:val="16"/>
        </w:rPr>
        <w:t>1</w:t>
      </w:r>
      <w:r>
        <w:rPr>
          <w:rFonts w:ascii="Tms Rmn" w:hAnsi="Tms Rmn"/>
          <w:sz w:val="12"/>
        </w:rPr>
        <w:t> </w:t>
      </w:r>
      <w:r>
        <w:t>:</w:t>
      </w:r>
      <w:r>
        <w:rPr>
          <w:position w:val="-6"/>
        </w:rPr>
        <w:tab/>
      </w:r>
      <w:r>
        <w:t>total unavailability time for one direction of transmission</w:t>
      </w:r>
    </w:p>
    <w:p w:rsidR="007461DD" w:rsidRDefault="007461DD" w:rsidP="007461DD">
      <w:pPr>
        <w:pStyle w:val="Equationlegend"/>
      </w:pPr>
      <w:r>
        <w:rPr>
          <w:i/>
        </w:rPr>
        <w:tab/>
        <w:t>T</w:t>
      </w:r>
      <w:r>
        <w:rPr>
          <w:position w:val="-4"/>
          <w:sz w:val="16"/>
        </w:rPr>
        <w:t>2</w:t>
      </w:r>
      <w:r>
        <w:rPr>
          <w:rFonts w:ascii="Tms Rmn" w:hAnsi="Tms Rmn"/>
          <w:sz w:val="12"/>
        </w:rPr>
        <w:t> </w:t>
      </w:r>
      <w:r>
        <w:t>:</w:t>
      </w:r>
      <w:r>
        <w:tab/>
        <w:t>total unavailability time for the other direction of transmission</w:t>
      </w:r>
    </w:p>
    <w:p w:rsidR="007461DD" w:rsidRDefault="007461DD" w:rsidP="007461DD">
      <w:pPr>
        <w:pStyle w:val="Equationlegend"/>
      </w:pPr>
      <w:r>
        <w:rPr>
          <w:i/>
        </w:rPr>
        <w:tab/>
        <w:t>T</w:t>
      </w:r>
      <w:r>
        <w:rPr>
          <w:i/>
          <w:position w:val="-4"/>
          <w:sz w:val="16"/>
        </w:rPr>
        <w:t>b</w:t>
      </w:r>
      <w:r>
        <w:rPr>
          <w:rFonts w:ascii="Tms Rmn" w:hAnsi="Tms Rmn"/>
          <w:sz w:val="12"/>
        </w:rPr>
        <w:t> </w:t>
      </w:r>
      <w:r>
        <w:rPr>
          <w:position w:val="-3"/>
          <w:sz w:val="18"/>
        </w:rPr>
        <w:t>:</w:t>
      </w:r>
      <w:r>
        <w:rPr>
          <w:position w:val="-3"/>
          <w:sz w:val="18"/>
        </w:rPr>
        <w:tab/>
      </w:r>
      <w:r>
        <w:t>bidirectional unavailability time</w:t>
      </w:r>
    </w:p>
    <w:p w:rsidR="007461DD" w:rsidRDefault="007461DD" w:rsidP="007461DD">
      <w:pPr>
        <w:pStyle w:val="Equationlegend"/>
      </w:pPr>
      <w:r>
        <w:rPr>
          <w:i/>
        </w:rPr>
        <w:tab/>
        <w:t>T</w:t>
      </w:r>
      <w:r>
        <w:rPr>
          <w:i/>
          <w:position w:val="-4"/>
          <w:sz w:val="16"/>
        </w:rPr>
        <w:t>e</w:t>
      </w:r>
      <w:r>
        <w:rPr>
          <w:rFonts w:ascii="Tms Rmn" w:hAnsi="Tms Rmn"/>
          <w:sz w:val="12"/>
        </w:rPr>
        <w:t> </w:t>
      </w:r>
      <w:r>
        <w:t>:</w:t>
      </w:r>
      <w:r>
        <w:tab/>
        <w:t>period of time for evaluation.</w:t>
      </w:r>
    </w:p>
    <w:p w:rsidR="007461DD" w:rsidRPr="007461DD" w:rsidRDefault="007461DD" w:rsidP="007461DD">
      <w:pPr>
        <w:rPr>
          <w:lang w:val="en-US" w:eastAsia="ja-JP"/>
        </w:rPr>
      </w:pPr>
      <w:r w:rsidRPr="007461DD">
        <w:rPr>
          <w:lang w:val="en-US"/>
        </w:rPr>
        <w:t xml:space="preserve">For unidirectional transmission </w:t>
      </w:r>
      <w:r w:rsidRPr="007461DD">
        <w:rPr>
          <w:i/>
          <w:lang w:val="en-US"/>
        </w:rPr>
        <w:t>T</w:t>
      </w:r>
      <w:r w:rsidRPr="007461DD">
        <w:rPr>
          <w:position w:val="-4"/>
          <w:sz w:val="16"/>
          <w:lang w:val="en-US"/>
        </w:rPr>
        <w:t>2</w:t>
      </w:r>
      <w:r w:rsidRPr="007461DD">
        <w:rPr>
          <w:lang w:val="en-US"/>
        </w:rPr>
        <w:t> </w:t>
      </w:r>
      <w:r>
        <w:rPr>
          <w:rFonts w:ascii="Symbol" w:hAnsi="Symbol"/>
        </w:rPr>
        <w:t></w:t>
      </w:r>
      <w:r w:rsidRPr="007461DD">
        <w:rPr>
          <w:lang w:val="en-US"/>
        </w:rPr>
        <w:t xml:space="preserve"> 0; </w:t>
      </w:r>
      <w:r w:rsidRPr="007461DD">
        <w:rPr>
          <w:i/>
          <w:lang w:val="en-US"/>
        </w:rPr>
        <w:t>T</w:t>
      </w:r>
      <w:r w:rsidRPr="007461DD">
        <w:rPr>
          <w:i/>
          <w:position w:val="-4"/>
          <w:sz w:val="16"/>
          <w:lang w:val="en-US"/>
        </w:rPr>
        <w:t>b</w:t>
      </w:r>
      <w:r w:rsidRPr="007461DD">
        <w:rPr>
          <w:lang w:val="en-US"/>
        </w:rPr>
        <w:t> </w:t>
      </w:r>
      <w:r>
        <w:rPr>
          <w:rFonts w:ascii="Symbol" w:hAnsi="Symbol"/>
        </w:rPr>
        <w:t></w:t>
      </w:r>
      <w:r w:rsidRPr="007461DD">
        <w:rPr>
          <w:lang w:val="en-US"/>
        </w:rPr>
        <w:t> 0.</w:t>
      </w:r>
    </w:p>
    <w:p w:rsidR="007461DD" w:rsidRPr="007461DD" w:rsidRDefault="007461DD" w:rsidP="007461DD">
      <w:pPr>
        <w:overflowPunct/>
        <w:autoSpaceDE/>
        <w:autoSpaceDN/>
        <w:adjustRightInd/>
        <w:spacing w:beforeLines="50"/>
        <w:textAlignment w:val="auto"/>
        <w:rPr>
          <w:lang w:val="en-US"/>
        </w:rPr>
      </w:pPr>
      <w:r w:rsidRPr="007461DD">
        <w:rPr>
          <w:lang w:val="en-US"/>
        </w:rPr>
        <w:t>NOTE 2 – The value of 99.7% is a provisional one and it is recognized that, in practice, the objectives selected may fall into the range 99.5% to 99.9%. The choice of a specific value in this range depends on the optimum allocation of outage time among the various causes which may not be the same when local conditions are taken into account (i.e. propagation, geographical size, population distribution, organization of maintenance).</w:t>
      </w:r>
    </w:p>
    <w:p w:rsidR="007461DD" w:rsidRPr="007461DD" w:rsidRDefault="007461DD" w:rsidP="00840B36">
      <w:pPr>
        <w:rPr>
          <w:lang w:val="en-US"/>
        </w:rPr>
      </w:pPr>
      <w:r w:rsidRPr="007461DD">
        <w:rPr>
          <w:lang w:val="en-US"/>
        </w:rPr>
        <w:t xml:space="preserve">Furthermore, the availability of radio-relay systems is only one of the many aspects that ensure the acceptable grade of service of the </w:t>
      </w:r>
      <w:r w:rsidRPr="007461DD">
        <w:rPr>
          <w:lang w:val="en-US" w:eastAsia="ja-JP"/>
        </w:rPr>
        <w:t>digital transmission</w:t>
      </w:r>
      <w:r w:rsidRPr="007461DD">
        <w:rPr>
          <w:lang w:val="en-US"/>
        </w:rPr>
        <w:t xml:space="preserve"> traffic; the choice of an optimum value for this particular aspect can only be done by considering all transmission systems either existing or planned in the network under study.</w:t>
      </w:r>
    </w:p>
    <w:p w:rsidR="007461DD" w:rsidRPr="007461DD" w:rsidRDefault="007461DD" w:rsidP="00840B36">
      <w:pPr>
        <w:rPr>
          <w:lang w:val="en-US"/>
        </w:rPr>
      </w:pPr>
      <w:r w:rsidRPr="007461DD">
        <w:rPr>
          <w:lang w:val="en-US"/>
        </w:rPr>
        <w:t>For these many reasons, administrations may select different values of availability objective for the use of their planning organization, the said values lying in the range shown above.</w:t>
      </w:r>
    </w:p>
    <w:p w:rsidR="007461DD" w:rsidRPr="007461DD" w:rsidRDefault="007461DD" w:rsidP="00840B36">
      <w:pPr>
        <w:rPr>
          <w:lang w:val="en-US"/>
        </w:rPr>
      </w:pPr>
      <w:r w:rsidRPr="007461DD">
        <w:rPr>
          <w:lang w:val="en-US"/>
        </w:rPr>
        <w:t>NOTE 3 – Availability of multiplex equipment is excluded from the foregoing. The ITU-T is expected to establish availability objectives for this equipment.</w:t>
      </w:r>
    </w:p>
    <w:p w:rsidR="007461DD" w:rsidRPr="007461DD" w:rsidRDefault="007461DD" w:rsidP="00840B36">
      <w:pPr>
        <w:rPr>
          <w:lang w:val="en-US"/>
        </w:rPr>
      </w:pPr>
      <w:r w:rsidRPr="007461DD">
        <w:rPr>
          <w:lang w:val="en-US"/>
        </w:rPr>
        <w:t>NOTE 4 – This Recommendation relates to the HRDP. Its purpose is to set an availability figure as planning objective for new radio-relay systems.</w:t>
      </w:r>
    </w:p>
    <w:p w:rsidR="007461DD" w:rsidRPr="007461DD" w:rsidRDefault="007461DD" w:rsidP="007461DD">
      <w:pPr>
        <w:rPr>
          <w:lang w:val="en-US" w:eastAsia="ja-JP"/>
        </w:rPr>
      </w:pPr>
      <w:r w:rsidRPr="007461DD">
        <w:rPr>
          <w:lang w:val="en-US"/>
        </w:rPr>
        <w:t>It is not intended that it will be quoted in specifications of real systems, for acceptance tests, or for operational agreements.</w:t>
      </w:r>
    </w:p>
    <w:p w:rsidR="007461DD" w:rsidRPr="007461DD" w:rsidRDefault="007461DD" w:rsidP="007461DD">
      <w:pPr>
        <w:rPr>
          <w:lang w:val="en-US"/>
        </w:rPr>
      </w:pPr>
      <w:r w:rsidRPr="007461DD">
        <w:rPr>
          <w:lang w:val="en-US"/>
        </w:rPr>
        <w:t xml:space="preserve">The measured data on availability figures for real </w:t>
      </w:r>
      <w:r w:rsidRPr="007461DD">
        <w:rPr>
          <w:rFonts w:hint="eastAsia"/>
          <w:lang w:val="en-US"/>
        </w:rPr>
        <w:t>paths</w:t>
      </w:r>
      <w:r w:rsidRPr="007461DD">
        <w:rPr>
          <w:lang w:val="en-US"/>
        </w:rPr>
        <w:t xml:space="preserve"> shows a wide distribution, a reliable figure of the actual availability can be estimated only as an average of a large amount of data collected from many radio-relay routes for a sufficiently long period of time.</w:t>
      </w:r>
    </w:p>
    <w:p w:rsidR="007461DD" w:rsidRPr="007461DD" w:rsidRDefault="007461DD" w:rsidP="00840B36">
      <w:pPr>
        <w:rPr>
          <w:lang w:val="en-US"/>
        </w:rPr>
      </w:pPr>
      <w:r w:rsidRPr="007461DD">
        <w:rPr>
          <w:lang w:val="en-US"/>
        </w:rPr>
        <w:lastRenderedPageBreak/>
        <w:t xml:space="preserve">NOTE 5 – The sub-division of the availability objective in the high grade portion of </w:t>
      </w:r>
      <w:r w:rsidRPr="007461DD">
        <w:rPr>
          <w:rFonts w:hint="eastAsia"/>
          <w:lang w:val="en-US"/>
        </w:rPr>
        <w:t>paths</w:t>
      </w:r>
      <w:r w:rsidRPr="007461DD">
        <w:rPr>
          <w:lang w:val="en-US"/>
        </w:rPr>
        <w:t xml:space="preserve"> to be established over real links is given in Recommendation ITU-R F.695.</w:t>
      </w:r>
    </w:p>
    <w:p w:rsidR="007461DD" w:rsidRPr="007461DD" w:rsidRDefault="007461DD" w:rsidP="00840B36">
      <w:pPr>
        <w:rPr>
          <w:lang w:val="en-US"/>
        </w:rPr>
      </w:pPr>
      <w:r w:rsidRPr="007461DD">
        <w:rPr>
          <w:lang w:val="en-US"/>
        </w:rPr>
        <w:t>NOTE 6 – Planners should indicate their assumptions concerning the mean time between failures (MTBF), the mean time to restore (MTTR), the precautions taken against interruptions and fading (in particular the use of protection channels and the number of hops per switching section) and the distribution of fading with a duration longer than 10 s.</w:t>
      </w:r>
    </w:p>
    <w:p w:rsidR="007461DD" w:rsidRPr="007461DD" w:rsidRDefault="007461DD" w:rsidP="00840B36">
      <w:pPr>
        <w:rPr>
          <w:lang w:val="en-US"/>
        </w:rPr>
      </w:pPr>
      <w:r w:rsidRPr="007461DD">
        <w:rPr>
          <w:lang w:val="en-US"/>
        </w:rPr>
        <w:t>NOTE 7 – The time to restore, which is the time elapsing between an interruption to traffic and its restoration, includes recognition time, travelling time as well as repair time. Differences in the time to restore will occur between administrations due to various factors such as site accessibility, weather, maintenance policy and other economic considerations.</w:t>
      </w:r>
    </w:p>
    <w:p w:rsidR="007461DD" w:rsidRPr="007461DD" w:rsidRDefault="007461DD" w:rsidP="00840B36">
      <w:pPr>
        <w:rPr>
          <w:lang w:val="en-US"/>
        </w:rPr>
      </w:pPr>
      <w:r w:rsidRPr="007461DD">
        <w:rPr>
          <w:lang w:val="en-US"/>
        </w:rPr>
        <w:t>NOTE 8 – This Recommendation does not take into account the improvements which could be obtained by means of rerouting traffic over other systems, e.g. cables and other radio-relay systems.</w:t>
      </w:r>
    </w:p>
    <w:p w:rsidR="007461DD" w:rsidRPr="007461DD" w:rsidRDefault="007461DD" w:rsidP="00840B36">
      <w:pPr>
        <w:rPr>
          <w:lang w:val="en-US"/>
        </w:rPr>
      </w:pPr>
      <w:r w:rsidRPr="007461DD">
        <w:rPr>
          <w:lang w:val="en-US"/>
        </w:rPr>
        <w:t>NOTE 9 – For interruptions with durations less than 10 s</w:t>
      </w:r>
      <w:r w:rsidR="00DF0789">
        <w:rPr>
          <w:lang w:val="en-US"/>
        </w:rPr>
        <w:t>,</w:t>
      </w:r>
      <w:r w:rsidRPr="007461DD">
        <w:rPr>
          <w:lang w:val="en-US"/>
        </w:rPr>
        <w:t xml:space="preserve"> further study is necessary taking also into account intermittent interruptions.</w:t>
      </w:r>
    </w:p>
    <w:p w:rsidR="007461DD" w:rsidRPr="007461DD" w:rsidRDefault="007461DD" w:rsidP="00840B36">
      <w:pPr>
        <w:rPr>
          <w:lang w:val="en-US"/>
        </w:rPr>
      </w:pPr>
      <w:r w:rsidRPr="007461DD">
        <w:rPr>
          <w:lang w:val="en-US"/>
        </w:rPr>
        <w:t>NOTE 1</w:t>
      </w:r>
      <w:r w:rsidRPr="007461DD">
        <w:rPr>
          <w:rFonts w:hint="eastAsia"/>
          <w:lang w:val="en-US" w:eastAsia="ja-JP"/>
        </w:rPr>
        <w:t>0</w:t>
      </w:r>
      <w:r w:rsidRPr="007461DD">
        <w:rPr>
          <w:lang w:val="en-US"/>
        </w:rPr>
        <w:t> – Periods of less than 10 s during which the error ratio is greater than 1 </w:t>
      </w:r>
      <w:r>
        <w:rPr>
          <w:rFonts w:ascii="Symbol" w:hAnsi="Symbol"/>
        </w:rPr>
        <w:t></w:t>
      </w:r>
      <w:r w:rsidRPr="007461DD">
        <w:rPr>
          <w:lang w:val="en-US"/>
        </w:rPr>
        <w:t> 10</w:t>
      </w:r>
      <w:r w:rsidRPr="007461DD">
        <w:rPr>
          <w:position w:val="6"/>
          <w:sz w:val="16"/>
          <w:lang w:val="en-US"/>
        </w:rPr>
        <w:t>–3</w:t>
      </w:r>
      <w:r w:rsidRPr="007461DD">
        <w:rPr>
          <w:position w:val="4"/>
          <w:sz w:val="18"/>
          <w:lang w:val="en-US"/>
        </w:rPr>
        <w:t xml:space="preserve"> </w:t>
      </w:r>
      <w:r w:rsidRPr="007461DD">
        <w:rPr>
          <w:lang w:val="en-US"/>
        </w:rPr>
        <w:t>are taken into account in Recommendation ITU-R F.594.</w:t>
      </w:r>
    </w:p>
    <w:p w:rsidR="007461DD" w:rsidRDefault="007461DD" w:rsidP="00840B36">
      <w:pPr>
        <w:rPr>
          <w:lang w:val="en-US"/>
        </w:rPr>
      </w:pPr>
    </w:p>
    <w:p w:rsidR="00840B36" w:rsidRDefault="00840B36" w:rsidP="00840B36">
      <w:pPr>
        <w:rPr>
          <w:lang w:val="en-US"/>
        </w:rPr>
      </w:pPr>
    </w:p>
    <w:p w:rsidR="00840B36" w:rsidRPr="007461DD" w:rsidRDefault="00840B36" w:rsidP="00840B36">
      <w:pPr>
        <w:rPr>
          <w:lang w:val="en-US"/>
        </w:rPr>
      </w:pPr>
    </w:p>
    <w:p w:rsidR="007461DD" w:rsidRPr="00840B36" w:rsidRDefault="007461DD" w:rsidP="002E6BB3">
      <w:pPr>
        <w:pStyle w:val="AnnexNoTitle"/>
        <w:rPr>
          <w:lang w:val="en-US"/>
        </w:rPr>
      </w:pPr>
      <w:r w:rsidRPr="002E6BB3">
        <w:rPr>
          <w:lang w:val="en-US"/>
        </w:rPr>
        <w:t>A</w:t>
      </w:r>
      <w:r w:rsidR="002E6BB3" w:rsidRPr="002E6BB3">
        <w:rPr>
          <w:lang w:val="en-US"/>
        </w:rPr>
        <w:t>nnex</w:t>
      </w:r>
      <w:r w:rsidRPr="00744245">
        <w:rPr>
          <w:b w:val="0"/>
          <w:bCs/>
          <w:lang w:val="en-US"/>
        </w:rPr>
        <w:t xml:space="preserve"> </w:t>
      </w:r>
      <w:r w:rsidRPr="00DF0789">
        <w:rPr>
          <w:lang w:val="en-US"/>
        </w:rPr>
        <w:t>1</w:t>
      </w:r>
      <w:r w:rsidR="00840B36" w:rsidRPr="00840B36">
        <w:rPr>
          <w:lang w:val="en-US"/>
        </w:rPr>
        <w:br/>
      </w:r>
      <w:r w:rsidR="00840B36" w:rsidRPr="00840B36">
        <w:rPr>
          <w:lang w:val="en-US"/>
        </w:rPr>
        <w:br/>
      </w:r>
      <w:r w:rsidRPr="00840B36">
        <w:rPr>
          <w:lang w:val="en-US"/>
        </w:rPr>
        <w:t>Availability and reliability of radio-relay systems</w:t>
      </w:r>
    </w:p>
    <w:p w:rsidR="007461DD" w:rsidRPr="007461DD" w:rsidRDefault="007461DD" w:rsidP="007461DD">
      <w:pPr>
        <w:pStyle w:val="Heading1"/>
        <w:rPr>
          <w:lang w:val="en-US"/>
        </w:rPr>
      </w:pPr>
      <w:r w:rsidRPr="007461DD">
        <w:rPr>
          <w:lang w:val="en-US"/>
        </w:rPr>
        <w:t>1</w:t>
      </w:r>
      <w:r w:rsidRPr="007461DD">
        <w:rPr>
          <w:lang w:val="en-US"/>
        </w:rPr>
        <w:tab/>
        <w:t>Introduction</w:t>
      </w:r>
    </w:p>
    <w:p w:rsidR="007461DD" w:rsidRPr="007461DD" w:rsidRDefault="007461DD" w:rsidP="007461DD">
      <w:pPr>
        <w:rPr>
          <w:lang w:val="en-US"/>
        </w:rPr>
      </w:pPr>
      <w:r w:rsidRPr="007461DD">
        <w:rPr>
          <w:lang w:val="en-US"/>
        </w:rPr>
        <w:t>This Annex provides guidance useful in the interpretation of this Recommendation. It should be noted, however, that the figures and parameters quoted are by way of example only.</w:t>
      </w:r>
    </w:p>
    <w:p w:rsidR="007461DD" w:rsidRPr="007461DD" w:rsidRDefault="007461DD" w:rsidP="002E6BB3">
      <w:pPr>
        <w:rPr>
          <w:lang w:val="en-US"/>
        </w:rPr>
      </w:pPr>
      <w:r w:rsidRPr="007461DD">
        <w:rPr>
          <w:lang w:val="en-US"/>
        </w:rPr>
        <w:t>The terms reliability and availability in this Annex follow th</w:t>
      </w:r>
      <w:r w:rsidR="002E6BB3">
        <w:rPr>
          <w:lang w:val="en-US"/>
        </w:rPr>
        <w:t xml:space="preserve">e definition agreed upon by the </w:t>
      </w:r>
      <w:r w:rsidRPr="007461DD">
        <w:rPr>
          <w:lang w:val="en-US"/>
        </w:rPr>
        <w:t>ITU</w:t>
      </w:r>
      <w:r w:rsidR="002E6BB3">
        <w:rPr>
          <w:lang w:val="en-US"/>
        </w:rPr>
        <w:noBreakHyphen/>
      </w:r>
      <w:r w:rsidRPr="007461DD">
        <w:rPr>
          <w:lang w:val="en-US"/>
        </w:rPr>
        <w:t>R and the International Electrotechnical Commission (IEC).</w:t>
      </w:r>
    </w:p>
    <w:p w:rsidR="007461DD" w:rsidRPr="007461DD" w:rsidRDefault="007461DD" w:rsidP="007461DD">
      <w:pPr>
        <w:pStyle w:val="Heading1"/>
        <w:rPr>
          <w:lang w:val="en-US"/>
        </w:rPr>
      </w:pPr>
      <w:r w:rsidRPr="007461DD">
        <w:rPr>
          <w:lang w:val="en-US"/>
        </w:rPr>
        <w:t>2</w:t>
      </w:r>
      <w:r w:rsidRPr="007461DD">
        <w:rPr>
          <w:lang w:val="en-US"/>
        </w:rPr>
        <w:tab/>
        <w:t>Causes of unavailability</w:t>
      </w:r>
    </w:p>
    <w:p w:rsidR="007461DD" w:rsidRPr="007461DD" w:rsidRDefault="007461DD" w:rsidP="007461DD">
      <w:pPr>
        <w:rPr>
          <w:lang w:val="en-US"/>
        </w:rPr>
      </w:pPr>
      <w:r w:rsidRPr="007461DD">
        <w:rPr>
          <w:lang w:val="en-US"/>
        </w:rPr>
        <w:t xml:space="preserve">The concept of unavailability of digital radio-relay systems </w:t>
      </w:r>
      <w:r w:rsidRPr="007461DD">
        <w:rPr>
          <w:rFonts w:hint="eastAsia"/>
          <w:lang w:val="en-US"/>
        </w:rPr>
        <w:t>is</w:t>
      </w:r>
      <w:r w:rsidRPr="007461DD">
        <w:rPr>
          <w:lang w:val="en-US"/>
        </w:rPr>
        <w:t xml:space="preserve"> stated in </w:t>
      </w:r>
      <w:r w:rsidRPr="007461DD">
        <w:rPr>
          <w:i/>
          <w:lang w:val="en-US"/>
        </w:rPr>
        <w:t>recommends</w:t>
      </w:r>
      <w:r w:rsidRPr="007461DD">
        <w:rPr>
          <w:b/>
          <w:lang w:val="en-US"/>
        </w:rPr>
        <w:t> </w:t>
      </w:r>
      <w:r w:rsidRPr="007461DD">
        <w:rPr>
          <w:lang w:val="en-US"/>
        </w:rPr>
        <w:t>2. System planners should take into account all causes of interruption or quality degradation affecting system unavailability.</w:t>
      </w:r>
    </w:p>
    <w:p w:rsidR="007461DD" w:rsidRPr="007461DD" w:rsidRDefault="007461DD" w:rsidP="007461DD">
      <w:pPr>
        <w:rPr>
          <w:lang w:val="en-US"/>
        </w:rPr>
      </w:pPr>
      <w:r w:rsidRPr="007461DD">
        <w:rPr>
          <w:lang w:val="en-US"/>
        </w:rPr>
        <w:t>Features of the major causes of unavailability in radio-relay systems are described below.</w:t>
      </w:r>
    </w:p>
    <w:p w:rsidR="007461DD" w:rsidRPr="007461DD" w:rsidRDefault="007461DD" w:rsidP="007461DD">
      <w:pPr>
        <w:pStyle w:val="Heading2"/>
        <w:rPr>
          <w:lang w:val="en-US"/>
        </w:rPr>
      </w:pPr>
      <w:r w:rsidRPr="007461DD">
        <w:rPr>
          <w:lang w:val="en-US"/>
        </w:rPr>
        <w:t>2.1</w:t>
      </w:r>
      <w:r w:rsidRPr="007461DD">
        <w:rPr>
          <w:lang w:val="en-US"/>
        </w:rPr>
        <w:tab/>
        <w:t>Equipment</w:t>
      </w:r>
    </w:p>
    <w:p w:rsidR="007461DD" w:rsidRPr="007461DD" w:rsidRDefault="007461DD" w:rsidP="007461DD">
      <w:pPr>
        <w:pStyle w:val="enumlev1"/>
        <w:rPr>
          <w:lang w:val="en-US"/>
        </w:rPr>
      </w:pPr>
      <w:r w:rsidRPr="007461DD">
        <w:rPr>
          <w:lang w:val="en-US"/>
        </w:rPr>
        <w:t>–</w:t>
      </w:r>
      <w:r w:rsidRPr="007461DD">
        <w:rPr>
          <w:lang w:val="en-US"/>
        </w:rPr>
        <w:tab/>
        <w:t>Failure or degradation of radio equipment including modulators and demodulators</w:t>
      </w:r>
    </w:p>
    <w:p w:rsidR="007461DD" w:rsidRPr="007461DD" w:rsidRDefault="007461DD" w:rsidP="007461DD">
      <w:pPr>
        <w:pStyle w:val="enumlev1"/>
        <w:rPr>
          <w:lang w:val="en-US"/>
        </w:rPr>
      </w:pPr>
      <w:r w:rsidRPr="007461DD">
        <w:rPr>
          <w:lang w:val="en-US"/>
        </w:rPr>
        <w:t>–</w:t>
      </w:r>
      <w:r w:rsidRPr="007461DD">
        <w:rPr>
          <w:lang w:val="en-US"/>
        </w:rPr>
        <w:tab/>
        <w:t>Failure of auxiliary equipment such as switch-over equipment</w:t>
      </w:r>
    </w:p>
    <w:p w:rsidR="007461DD" w:rsidRPr="007461DD" w:rsidRDefault="007461DD" w:rsidP="007461DD">
      <w:pPr>
        <w:pStyle w:val="enumlev1"/>
        <w:rPr>
          <w:lang w:val="en-US"/>
        </w:rPr>
      </w:pPr>
      <w:r w:rsidRPr="007461DD">
        <w:rPr>
          <w:lang w:val="en-US"/>
        </w:rPr>
        <w:t>–</w:t>
      </w:r>
      <w:r w:rsidRPr="007461DD">
        <w:rPr>
          <w:lang w:val="en-US"/>
        </w:rPr>
        <w:tab/>
        <w:t>Failure of radio system power supply equipment</w:t>
      </w:r>
    </w:p>
    <w:p w:rsidR="007461DD" w:rsidRPr="007461DD" w:rsidRDefault="007461DD" w:rsidP="007461DD">
      <w:pPr>
        <w:pStyle w:val="enumlev1"/>
        <w:rPr>
          <w:lang w:val="en-US"/>
        </w:rPr>
      </w:pPr>
      <w:r w:rsidRPr="007461DD">
        <w:rPr>
          <w:lang w:val="en-US"/>
        </w:rPr>
        <w:t>–</w:t>
      </w:r>
      <w:r w:rsidRPr="007461DD">
        <w:rPr>
          <w:lang w:val="en-US"/>
        </w:rPr>
        <w:tab/>
        <w:t>Failure of antenna or feeder.</w:t>
      </w:r>
    </w:p>
    <w:p w:rsidR="007461DD" w:rsidRPr="007461DD" w:rsidRDefault="007461DD" w:rsidP="007461DD">
      <w:pPr>
        <w:rPr>
          <w:lang w:val="en-US"/>
        </w:rPr>
      </w:pPr>
      <w:r w:rsidRPr="007461DD">
        <w:rPr>
          <w:lang w:val="en-US"/>
        </w:rPr>
        <w:lastRenderedPageBreak/>
        <w:t>The latest radio-relay systems are designed to be highly reliable and the MTBF becomes extremely long. Unavailability depends also on the MTTR as stated in Note 6.</w:t>
      </w:r>
    </w:p>
    <w:p w:rsidR="007461DD" w:rsidRPr="007461DD" w:rsidRDefault="007461DD" w:rsidP="002E6BB3">
      <w:pPr>
        <w:rPr>
          <w:lang w:val="en-US"/>
        </w:rPr>
      </w:pPr>
      <w:r w:rsidRPr="007461DD">
        <w:rPr>
          <w:lang w:val="en-US"/>
        </w:rPr>
        <w:t>Within a typical switching section, unavailability due to equipment failures may be of the order of</w:t>
      </w:r>
      <w:r w:rsidR="002E6BB3">
        <w:rPr>
          <w:lang w:val="en-US"/>
        </w:rPr>
        <w:t> </w:t>
      </w:r>
      <w:r w:rsidRPr="007461DD">
        <w:rPr>
          <w:lang w:val="en-US"/>
        </w:rPr>
        <w:t>0.01% (see Recommendation ITU-R F.695). This is representative of typical equipment with an MTBF of the order of several 10</w:t>
      </w:r>
      <w:r w:rsidRPr="007461DD">
        <w:rPr>
          <w:position w:val="6"/>
          <w:sz w:val="16"/>
          <w:lang w:val="en-US"/>
        </w:rPr>
        <w:t>4</w:t>
      </w:r>
      <w:r w:rsidRPr="007461DD">
        <w:rPr>
          <w:lang w:val="en-US"/>
        </w:rPr>
        <w:t> hours and an MTTR of several hours. However, an HRDP consists of a large number of switching sections. Naturally, the probability of a failure in each switching section is low, and may perhaps only occur once in several years. It is therefore reasonable to select a long integration period with which to measure unavailability, e.g. one year.</w:t>
      </w:r>
    </w:p>
    <w:p w:rsidR="007461DD" w:rsidRPr="007461DD" w:rsidRDefault="007461DD" w:rsidP="007461DD">
      <w:pPr>
        <w:pStyle w:val="Heading2"/>
        <w:rPr>
          <w:lang w:val="en-US"/>
        </w:rPr>
      </w:pPr>
      <w:r w:rsidRPr="007461DD">
        <w:rPr>
          <w:lang w:val="en-US"/>
        </w:rPr>
        <w:t>2.2</w:t>
      </w:r>
      <w:r w:rsidRPr="007461DD">
        <w:rPr>
          <w:lang w:val="en-US"/>
        </w:rPr>
        <w:tab/>
        <w:t>Propagation</w:t>
      </w:r>
    </w:p>
    <w:p w:rsidR="007461DD" w:rsidRPr="007461DD" w:rsidRDefault="007461DD" w:rsidP="007461DD">
      <w:pPr>
        <w:rPr>
          <w:lang w:val="en-US"/>
        </w:rPr>
      </w:pPr>
      <w:r w:rsidRPr="007461DD">
        <w:rPr>
          <w:lang w:val="en-US"/>
        </w:rPr>
        <w:t>System interruptions due to deep multipath fading often recover within 10 s, however, they sometimes occur for more than 10 s causing unavailability.</w:t>
      </w:r>
    </w:p>
    <w:p w:rsidR="007461DD" w:rsidRPr="007461DD" w:rsidRDefault="007461DD" w:rsidP="007461DD">
      <w:pPr>
        <w:rPr>
          <w:lang w:val="en-US"/>
        </w:rPr>
      </w:pPr>
      <w:r w:rsidRPr="007461DD">
        <w:rPr>
          <w:lang w:val="en-US"/>
        </w:rPr>
        <w:t>Excessive precipitation-attenuation due to heavy rainfall or snow fall lasts for a fairly long time and causes unavailability in systems operating in the frequency bands above 10 GHz. It may be possible to derive prediction statistics on propagation effects by applying the formulae or methods given in P-series ITU-R Recommendations. Also, since there is generally a low probability of heavy precipitation occurring, the unavailability time it causes may differ from year to year. To evaluate the unavailability time, the same considerations as described in § 2.1 could be applied.</w:t>
      </w:r>
    </w:p>
    <w:p w:rsidR="007461DD" w:rsidRPr="00DF0789" w:rsidRDefault="007461DD" w:rsidP="007461DD">
      <w:pPr>
        <w:pStyle w:val="Heading2"/>
        <w:rPr>
          <w:lang w:val="en-US"/>
        </w:rPr>
      </w:pPr>
      <w:r w:rsidRPr="00DF0789">
        <w:rPr>
          <w:lang w:val="en-US"/>
        </w:rPr>
        <w:t>2.3</w:t>
      </w:r>
      <w:r w:rsidRPr="00DF0789">
        <w:rPr>
          <w:lang w:val="en-US"/>
        </w:rPr>
        <w:tab/>
        <w:t>Other causes</w:t>
      </w:r>
    </w:p>
    <w:p w:rsidR="007461DD" w:rsidRPr="007461DD" w:rsidRDefault="007461DD" w:rsidP="007461DD">
      <w:pPr>
        <w:rPr>
          <w:lang w:val="en-US"/>
        </w:rPr>
      </w:pPr>
      <w:r w:rsidRPr="007461DD">
        <w:rPr>
          <w:lang w:val="en-US"/>
        </w:rPr>
        <w:t>Unpredictable noise bursts due to interference mainly from sources outside the interfered-with system may cause unavailability when the noise power exceeds a certain threshold. This kind of interruption includes interference from space systems or radar systems associated with anomalous propagation.</w:t>
      </w:r>
    </w:p>
    <w:p w:rsidR="007461DD" w:rsidRPr="007461DD" w:rsidRDefault="007461DD" w:rsidP="007461DD">
      <w:pPr>
        <w:rPr>
          <w:lang w:val="en-US"/>
        </w:rPr>
      </w:pPr>
      <w:r w:rsidRPr="007461DD">
        <w:rPr>
          <w:lang w:val="en-US"/>
        </w:rPr>
        <w:t>Disasters such as earthquakes may bring about collapse of towers or buildings and result in unavailability of radio-relay systems.</w:t>
      </w:r>
    </w:p>
    <w:p w:rsidR="007461DD" w:rsidRPr="007461DD" w:rsidRDefault="007461DD" w:rsidP="00DF0789">
      <w:pPr>
        <w:rPr>
          <w:lang w:val="en-US"/>
        </w:rPr>
      </w:pPr>
      <w:r w:rsidRPr="007461DD">
        <w:rPr>
          <w:lang w:val="en-US"/>
        </w:rPr>
        <w:t>Human intervention during maintenance activities can also cause unavailability. The contribution of these factors is generally difficult to predict through mathematical analysis. However, they should be considered when designing radio-relay systems.</w:t>
      </w:r>
    </w:p>
    <w:p w:rsidR="007461DD" w:rsidRPr="007461DD" w:rsidRDefault="007461DD" w:rsidP="007461DD">
      <w:pPr>
        <w:pStyle w:val="Heading1"/>
        <w:rPr>
          <w:lang w:val="en-US"/>
        </w:rPr>
      </w:pPr>
      <w:r w:rsidRPr="007461DD">
        <w:rPr>
          <w:lang w:val="en-US"/>
        </w:rPr>
        <w:t>3</w:t>
      </w:r>
      <w:r w:rsidRPr="007461DD">
        <w:rPr>
          <w:lang w:val="en-US"/>
        </w:rPr>
        <w:tab/>
        <w:t>Protection switching</w:t>
      </w:r>
    </w:p>
    <w:p w:rsidR="007461DD" w:rsidRPr="007461DD" w:rsidRDefault="007461DD" w:rsidP="00A51964">
      <w:pPr>
        <w:rPr>
          <w:lang w:val="en-US"/>
        </w:rPr>
      </w:pPr>
      <w:r w:rsidRPr="007461DD">
        <w:rPr>
          <w:lang w:val="en-US"/>
        </w:rPr>
        <w:t>Protection switching is often effective to improve system availability. In radio-relay systems</w:t>
      </w:r>
      <w:r w:rsidR="00DF0789">
        <w:rPr>
          <w:lang w:val="en-US"/>
        </w:rPr>
        <w:t>,</w:t>
      </w:r>
      <w:r w:rsidRPr="007461DD">
        <w:rPr>
          <w:lang w:val="en-US"/>
        </w:rPr>
        <w:t xml:space="preserve"> the so</w:t>
      </w:r>
      <w:r w:rsidR="00A51964">
        <w:rPr>
          <w:lang w:val="en-US"/>
        </w:rPr>
        <w:noBreakHyphen/>
      </w:r>
      <w:r w:rsidRPr="007461DD">
        <w:rPr>
          <w:lang w:val="en-US"/>
        </w:rPr>
        <w:t xml:space="preserve">called multi-line switching method is usually used. In this method one or </w:t>
      </w:r>
      <w:r w:rsidRPr="007461DD">
        <w:rPr>
          <w:i/>
          <w:lang w:val="en-US"/>
        </w:rPr>
        <w:t>P</w:t>
      </w:r>
      <w:r w:rsidR="00DF0789">
        <w:rPr>
          <w:i/>
          <w:lang w:val="en-US"/>
        </w:rPr>
        <w:t> </w:t>
      </w:r>
      <w:r w:rsidRPr="007461DD">
        <w:rPr>
          <w:lang w:val="en-US"/>
        </w:rPr>
        <w:t>(</w:t>
      </w:r>
      <w:r w:rsidRPr="007461DD">
        <w:rPr>
          <w:i/>
          <w:lang w:val="en-US"/>
        </w:rPr>
        <w:t>P </w:t>
      </w:r>
      <w:r>
        <w:rPr>
          <w:rFonts w:ascii="Symbol" w:hAnsi="Symbol"/>
        </w:rPr>
        <w:t></w:t>
      </w:r>
      <w:r w:rsidRPr="007461DD">
        <w:rPr>
          <w:lang w:val="en-US"/>
        </w:rPr>
        <w:t xml:space="preserve"> 1) protection radio channels are prepared for </w:t>
      </w:r>
      <w:r w:rsidRPr="007461DD">
        <w:rPr>
          <w:i/>
          <w:lang w:val="en-US"/>
        </w:rPr>
        <w:t>N</w:t>
      </w:r>
      <w:r w:rsidRPr="007461DD">
        <w:rPr>
          <w:lang w:val="en-US"/>
        </w:rPr>
        <w:t xml:space="preserve"> working channels. When one of the </w:t>
      </w:r>
      <w:r w:rsidRPr="007461DD">
        <w:rPr>
          <w:i/>
          <w:lang w:val="en-US"/>
        </w:rPr>
        <w:t>N</w:t>
      </w:r>
      <w:r w:rsidRPr="007461DD">
        <w:rPr>
          <w:lang w:val="en-US"/>
        </w:rPr>
        <w:t xml:space="preserve"> working channels is interrupted</w:t>
      </w:r>
      <w:r w:rsidR="00DF0789">
        <w:rPr>
          <w:lang w:val="en-US"/>
        </w:rPr>
        <w:t>,</w:t>
      </w:r>
      <w:r w:rsidRPr="007461DD">
        <w:rPr>
          <w:lang w:val="en-US"/>
        </w:rPr>
        <w:t xml:space="preserve"> the signal in the interrupted channel will immediately be recovered by one of the protection channels over </w:t>
      </w:r>
      <w:r w:rsidRPr="007461DD">
        <w:rPr>
          <w:i/>
          <w:lang w:val="en-US"/>
        </w:rPr>
        <w:t>m</w:t>
      </w:r>
      <w:r w:rsidRPr="007461DD">
        <w:rPr>
          <w:lang w:val="en-US"/>
        </w:rPr>
        <w:t xml:space="preserve"> radio hops. In such a case, the unavailability </w:t>
      </w:r>
      <w:r w:rsidRPr="007461DD">
        <w:rPr>
          <w:i/>
          <w:lang w:val="en-US"/>
        </w:rPr>
        <w:t>U</w:t>
      </w:r>
      <w:r w:rsidRPr="007461DD">
        <w:rPr>
          <w:lang w:val="en-US"/>
        </w:rPr>
        <w:t xml:space="preserve"> of each both-way radio channels due only to equipment failure, assuming that the failure rate of switching equipment is negligibly small, can be expressed by the following formula:</w:t>
      </w:r>
    </w:p>
    <w:p w:rsidR="007461DD" w:rsidRPr="00EE67C7" w:rsidRDefault="007461DD" w:rsidP="005345CE">
      <w:pPr>
        <w:pStyle w:val="Equation"/>
        <w:spacing w:before="240" w:after="120"/>
        <w:rPr>
          <w:lang w:val="en-US"/>
        </w:rPr>
      </w:pPr>
      <w:r w:rsidRPr="0026481D">
        <w:rPr>
          <w:lang w:val="en-US"/>
        </w:rPr>
        <w:tab/>
      </w:r>
      <w:r w:rsidRPr="0026481D">
        <w:rPr>
          <w:lang w:val="en-US"/>
        </w:rPr>
        <w:tab/>
      </w:r>
      <w:r w:rsidR="00CE7CE6" w:rsidRPr="005345CE">
        <w:rPr>
          <w:position w:val="-32"/>
          <w:lang w:val="en-US"/>
        </w:rPr>
        <w:object w:dxaOrig="26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6pt;height:37.85pt" o:ole="">
            <v:imagedata r:id="rId14" o:title=""/>
          </v:shape>
          <o:OLEObject Type="Embed" ProgID="Equation.3" ShapeID="_x0000_i1025" DrawAspect="Content" ObjectID="_1456813922" r:id="rId15"/>
        </w:object>
      </w:r>
      <w:r w:rsidRPr="00EE67C7">
        <w:rPr>
          <w:lang w:val="en-US"/>
        </w:rPr>
        <w:tab/>
        <w:t>(1)</w:t>
      </w:r>
    </w:p>
    <w:p w:rsidR="007461DD" w:rsidRPr="007461DD" w:rsidRDefault="007461DD" w:rsidP="002E6BB3">
      <w:pPr>
        <w:keepNext/>
        <w:keepLines/>
        <w:rPr>
          <w:lang w:val="en-US"/>
        </w:rPr>
      </w:pPr>
      <w:r w:rsidRPr="007461DD">
        <w:rPr>
          <w:lang w:val="en-US"/>
        </w:rPr>
        <w:lastRenderedPageBreak/>
        <w:t>where:</w:t>
      </w:r>
    </w:p>
    <w:p w:rsidR="007461DD" w:rsidRDefault="007461DD" w:rsidP="002E6BB3">
      <w:pPr>
        <w:pStyle w:val="Equationlegend"/>
        <w:keepNext/>
        <w:keepLines/>
      </w:pPr>
      <w:r>
        <w:rPr>
          <w:i/>
        </w:rPr>
        <w:tab/>
        <w:t xml:space="preserve">m </w:t>
      </w:r>
      <w:r>
        <w:t>:</w:t>
      </w:r>
      <w:r>
        <w:tab/>
        <w:t>number of radio hops contained in a switching section</w:t>
      </w:r>
    </w:p>
    <w:p w:rsidR="007461DD" w:rsidRDefault="007461DD" w:rsidP="002E6BB3">
      <w:pPr>
        <w:pStyle w:val="Equationlegend"/>
        <w:keepNext/>
        <w:keepLines/>
      </w:pPr>
      <w:r>
        <w:rPr>
          <w:i/>
        </w:rPr>
        <w:tab/>
        <w:t xml:space="preserve">q </w:t>
      </w:r>
      <w:r>
        <w:t>:</w:t>
      </w:r>
      <w:r>
        <w:tab/>
        <w:t xml:space="preserve">probability of an interruption of each hop (as far as equipment failure is concerned, </w:t>
      </w:r>
      <w:r>
        <w:rPr>
          <w:i/>
        </w:rPr>
        <w:t>q</w:t>
      </w:r>
      <w:r>
        <w:t> </w:t>
      </w:r>
      <w:r>
        <w:rPr>
          <w:rFonts w:ascii="Symbol" w:hAnsi="Symbol"/>
        </w:rPr>
        <w:t></w:t>
      </w:r>
      <w:r>
        <w:t> MTTR/MTBF).</w:t>
      </w:r>
    </w:p>
    <w:p w:rsidR="007461DD" w:rsidRDefault="007461DD" w:rsidP="002E6BB3">
      <w:pPr>
        <w:pStyle w:val="Equation"/>
        <w:keepNext/>
        <w:keepLines/>
        <w:spacing w:before="240" w:after="120"/>
      </w:pPr>
      <w:bookmarkStart w:id="3" w:name="F001"/>
      <w:bookmarkStart w:id="4" w:name="F002"/>
      <w:r w:rsidRPr="007461DD">
        <w:rPr>
          <w:lang w:val="en-US"/>
        </w:rPr>
        <w:tab/>
      </w:r>
      <w:r w:rsidRPr="007461DD">
        <w:rPr>
          <w:lang w:val="en-US"/>
        </w:rPr>
        <w:tab/>
      </w:r>
      <w:r w:rsidR="00CE7CE6" w:rsidRPr="00CE7CE6">
        <w:rPr>
          <w:position w:val="-30"/>
          <w:lang w:val="en-US"/>
        </w:rPr>
        <w:object w:dxaOrig="2900" w:dyaOrig="720">
          <v:shape id="_x0000_i1026" type="#_x0000_t75" style="width:144.9pt;height:36.45pt" o:ole="">
            <v:imagedata r:id="rId16" o:title=""/>
          </v:shape>
          <o:OLEObject Type="Embed" ProgID="Equation.3" ShapeID="_x0000_i1026" DrawAspect="Content" ObjectID="_1456813923" r:id="rId17"/>
        </w:object>
      </w:r>
    </w:p>
    <w:bookmarkEnd w:id="3"/>
    <w:bookmarkEnd w:id="4"/>
    <w:p w:rsidR="007461DD" w:rsidRPr="007461DD" w:rsidRDefault="007461DD" w:rsidP="007461DD">
      <w:pPr>
        <w:spacing w:before="240"/>
        <w:rPr>
          <w:position w:val="-6"/>
          <w:lang w:val="en-US"/>
        </w:rPr>
      </w:pPr>
      <w:r w:rsidRPr="007461DD">
        <w:rPr>
          <w:lang w:val="en-US"/>
        </w:rPr>
        <w:t xml:space="preserve">In many cases the number of the protection channels </w:t>
      </w:r>
      <w:r w:rsidRPr="007461DD">
        <w:rPr>
          <w:i/>
          <w:lang w:val="en-US"/>
        </w:rPr>
        <w:t>P</w:t>
      </w:r>
      <w:r w:rsidRPr="007461DD">
        <w:rPr>
          <w:lang w:val="en-US"/>
        </w:rPr>
        <w:t> </w:t>
      </w:r>
      <w:r>
        <w:rPr>
          <w:rFonts w:ascii="Symbol" w:hAnsi="Symbol"/>
        </w:rPr>
        <w:t></w:t>
      </w:r>
      <w:r w:rsidRPr="007461DD">
        <w:rPr>
          <w:lang w:val="en-US"/>
        </w:rPr>
        <w:t> 1 and formula (1) can be written by the following:</w:t>
      </w:r>
    </w:p>
    <w:p w:rsidR="007461DD" w:rsidRDefault="007461DD" w:rsidP="00D22106">
      <w:pPr>
        <w:pStyle w:val="Equation"/>
        <w:spacing w:before="240" w:after="120"/>
      </w:pPr>
      <w:bookmarkStart w:id="5" w:name="F003"/>
      <w:r w:rsidRPr="007461DD">
        <w:rPr>
          <w:lang w:val="en-US"/>
        </w:rPr>
        <w:tab/>
      </w:r>
      <w:r w:rsidRPr="007461DD">
        <w:rPr>
          <w:lang w:val="en-US"/>
        </w:rPr>
        <w:tab/>
      </w:r>
      <w:r w:rsidR="002E6BB3" w:rsidRPr="00D22106">
        <w:rPr>
          <w:position w:val="-32"/>
          <w:lang w:val="en-US"/>
        </w:rPr>
        <w:object w:dxaOrig="2400" w:dyaOrig="760">
          <v:shape id="_x0000_i1027" type="#_x0000_t75" style="width:120.45pt;height:37.85pt" o:ole="">
            <v:imagedata r:id="rId18" o:title=""/>
          </v:shape>
          <o:OLEObject Type="Embed" ProgID="Equation.3" ShapeID="_x0000_i1027" DrawAspect="Content" ObjectID="_1456813924" r:id="rId19"/>
        </w:object>
      </w:r>
    </w:p>
    <w:bookmarkEnd w:id="5"/>
    <w:p w:rsidR="007461DD" w:rsidRPr="007461DD" w:rsidRDefault="007461DD" w:rsidP="00DF0789">
      <w:pPr>
        <w:spacing w:before="240"/>
        <w:rPr>
          <w:lang w:val="en-US" w:eastAsia="ja-JP"/>
        </w:rPr>
      </w:pPr>
      <w:r w:rsidRPr="007461DD">
        <w:rPr>
          <w:lang w:val="en-US"/>
        </w:rPr>
        <w:t>Protection switching is effective not only for equipment failure but also for multipath fading through frequency diversity effects. Information on frequency diversity is given in Recommendation ITU-R F.752.</w:t>
      </w:r>
    </w:p>
    <w:p w:rsidR="00A6617B" w:rsidRDefault="00A6617B" w:rsidP="00242AEE">
      <w:pPr>
        <w:pStyle w:val="HeadingSum"/>
        <w:rPr>
          <w:lang w:val="en-US"/>
        </w:rPr>
      </w:pPr>
    </w:p>
    <w:p w:rsidR="00047370" w:rsidRDefault="00047370" w:rsidP="00047370">
      <w:pPr>
        <w:rPr>
          <w:lang w:val="en-US"/>
        </w:rPr>
      </w:pPr>
    </w:p>
    <w:p w:rsidR="00047370" w:rsidRPr="00047370" w:rsidRDefault="00047370" w:rsidP="00047370">
      <w:pPr>
        <w:jc w:val="center"/>
        <w:rPr>
          <w:lang w:val="en-US"/>
        </w:rPr>
      </w:pPr>
      <w:r>
        <w:rPr>
          <w:lang w:val="en-US"/>
        </w:rPr>
        <w:t>______________</w:t>
      </w:r>
      <w:bookmarkStart w:id="6" w:name="_GoBack"/>
      <w:bookmarkEnd w:id="6"/>
    </w:p>
    <w:sectPr w:rsidR="00047370" w:rsidRPr="00047370" w:rsidSect="00D81E07">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7F4" w:rsidRDefault="007777F4">
      <w:r>
        <w:separator/>
      </w:r>
    </w:p>
  </w:endnote>
  <w:endnote w:type="continuationSeparator" w:id="0">
    <w:p w:rsidR="007777F4" w:rsidRDefault="00777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7F4" w:rsidRDefault="007777F4">
      <w:r>
        <w:separator/>
      </w:r>
    </w:p>
  </w:footnote>
  <w:footnote w:type="continuationSeparator" w:id="0">
    <w:p w:rsidR="007777F4" w:rsidRDefault="007777F4">
      <w:r>
        <w:continuationSeparator/>
      </w:r>
    </w:p>
  </w:footnote>
  <w:footnote w:id="1">
    <w:p w:rsidR="00DF0789" w:rsidRPr="00DF0789" w:rsidRDefault="00DF0789">
      <w:pPr>
        <w:pStyle w:val="FootnoteText"/>
        <w:rPr>
          <w:lang w:val="en-US"/>
        </w:rPr>
      </w:pPr>
      <w:r w:rsidRPr="00DF0789">
        <w:rPr>
          <w:rStyle w:val="FootnoteReference"/>
          <w:lang w:val="en-US"/>
        </w:rPr>
        <w:t>*</w:t>
      </w:r>
      <w:r w:rsidRPr="00DF0789">
        <w:rPr>
          <w:lang w:val="en-US"/>
        </w:rPr>
        <w:t xml:space="preserve"> </w:t>
      </w:r>
      <w:r w:rsidRPr="00DF0789">
        <w:rPr>
          <w:lang w:val="en-US"/>
        </w:rPr>
        <w:tab/>
      </w:r>
      <w:r w:rsidRPr="007461DD">
        <w:rPr>
          <w:lang w:val="en-US"/>
        </w:rPr>
        <w:t>This includes all equipment within a digital radio section for digital systems.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F4" w:rsidRDefault="007777F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F4" w:rsidRDefault="007777F4" w:rsidP="00B033C8">
    <w:pPr>
      <w:pStyle w:val="Header"/>
      <w:ind w:right="360" w:firstLine="360"/>
    </w:pPr>
    <w:r>
      <w:rPr>
        <w:noProof/>
        <w:lang w:val="en-US" w:eastAsia="zh-CN"/>
      </w:rPr>
      <w:drawing>
        <wp:anchor distT="0" distB="0" distL="114300" distR="114300" simplePos="0" relativeHeight="251659264" behindDoc="1" locked="0" layoutInCell="1" allowOverlap="1" wp14:anchorId="47BC2354" wp14:editId="17A4219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F4" w:rsidRPr="00FC42AF" w:rsidRDefault="007777F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0C7ED9">
      <w:rPr>
        <w:rStyle w:val="PageNumber"/>
        <w:b/>
        <w:bCs/>
        <w:noProof/>
      </w:rPr>
      <w:t>ii</w:t>
    </w:r>
    <w:r>
      <w:rPr>
        <w:rStyle w:val="PageNumber"/>
        <w:b/>
        <w:bCs/>
      </w:rPr>
      <w:fldChar w:fldCharType="end"/>
    </w:r>
    <w:r w:rsidRPr="00FC42AF">
      <w:tab/>
    </w:r>
    <w:fldSimple w:instr=" DOCPROPERTY &quot;Header&quot; \* MERGEFORMAT ">
      <w:r w:rsidR="002E6BB3" w:rsidRPr="002E6BB3">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0C7ED9">
      <w:rPr>
        <w:b/>
        <w:bCs/>
        <w:noProof/>
      </w:rPr>
      <w:t>ITU-R  F.557-5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F4" w:rsidRDefault="007777F4">
    <w:pPr>
      <w:pStyle w:val="Header"/>
    </w:pPr>
    <w:r>
      <w:tab/>
    </w:r>
    <w:fldSimple w:instr=" DOCPROPERTY &quot;Header&quot; \* MERGEFORMAT ">
      <w:r w:rsidR="002E6BB3" w:rsidRPr="002E6BB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E6BB3">
      <w:rPr>
        <w:b/>
        <w:bCs/>
        <w:noProof/>
      </w:rPr>
      <w:t>ITU-R  F.557-5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C7ED9">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E6BB3" w:rsidRPr="002E6BB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C7ED9">
      <w:rPr>
        <w:b/>
        <w:bCs/>
        <w:noProof/>
      </w:rPr>
      <w:t>ITU-R  F.557-5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2E6BB3" w:rsidRPr="002E6BB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C7ED9">
      <w:rPr>
        <w:b/>
        <w:bCs/>
        <w:noProof/>
      </w:rPr>
      <w:t>ITU-R  F.557-5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C7ED9">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7F4"/>
    <w:rsid w:val="00047370"/>
    <w:rsid w:val="000C7ED9"/>
    <w:rsid w:val="00217EBF"/>
    <w:rsid w:val="00242AEE"/>
    <w:rsid w:val="002D76C4"/>
    <w:rsid w:val="002E6BB3"/>
    <w:rsid w:val="0052529D"/>
    <w:rsid w:val="005345CE"/>
    <w:rsid w:val="00606E4F"/>
    <w:rsid w:val="00607D68"/>
    <w:rsid w:val="006A632D"/>
    <w:rsid w:val="00744245"/>
    <w:rsid w:val="007461DD"/>
    <w:rsid w:val="007468DA"/>
    <w:rsid w:val="007777F4"/>
    <w:rsid w:val="00840B36"/>
    <w:rsid w:val="00977F50"/>
    <w:rsid w:val="009E00A8"/>
    <w:rsid w:val="00A51964"/>
    <w:rsid w:val="00A6617B"/>
    <w:rsid w:val="00AB0DC8"/>
    <w:rsid w:val="00AF0DA7"/>
    <w:rsid w:val="00B44E24"/>
    <w:rsid w:val="00CC45E2"/>
    <w:rsid w:val="00CE7CE6"/>
    <w:rsid w:val="00D22106"/>
    <w:rsid w:val="00D81E07"/>
    <w:rsid w:val="00DA79A8"/>
    <w:rsid w:val="00DF0789"/>
    <w:rsid w:val="00DF4176"/>
    <w:rsid w:val="00F128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77F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777F4"/>
    <w:rPr>
      <w:color w:val="0000FF"/>
      <w:u w:val="single"/>
    </w:rPr>
  </w:style>
  <w:style w:type="paragraph" w:customStyle="1" w:styleId="AnnexNo">
    <w:name w:val="Annex_No"/>
    <w:basedOn w:val="Normal"/>
    <w:next w:val="Normal"/>
    <w:rsid w:val="007461D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461D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HeadingbChar">
    <w:name w:val="Heading_b Char"/>
    <w:link w:val="Headingb"/>
    <w:rsid w:val="007461DD"/>
    <w:rPr>
      <w:b/>
      <w:sz w:val="24"/>
      <w:lang w:val="fr-FR" w:eastAsia="en-US"/>
    </w:rPr>
  </w:style>
  <w:style w:type="character" w:customStyle="1" w:styleId="enumlev1Char">
    <w:name w:val="enumlev1 Char"/>
    <w:link w:val="enumlev1"/>
    <w:locked/>
    <w:rsid w:val="007461DD"/>
    <w:rPr>
      <w:sz w:val="24"/>
      <w:lang w:val="fr-FR" w:eastAsia="en-US"/>
    </w:rPr>
  </w:style>
  <w:style w:type="character" w:customStyle="1" w:styleId="NoteChar">
    <w:name w:val="Note Char"/>
    <w:link w:val="Note"/>
    <w:locked/>
    <w:rsid w:val="007461DD"/>
    <w:rPr>
      <w:sz w:val="22"/>
      <w:lang w:val="fr-FR" w:eastAsia="en-US"/>
    </w:rPr>
  </w:style>
  <w:style w:type="paragraph" w:customStyle="1" w:styleId="RecTitleRef">
    <w:name w:val="Rec_Title/Ref"/>
    <w:basedOn w:val="Rectitle"/>
    <w:next w:val="RecTitleDate"/>
    <w:rsid w:val="007461DD"/>
    <w:pPr>
      <w:tabs>
        <w:tab w:val="clear" w:pos="794"/>
        <w:tab w:val="clear" w:pos="1191"/>
        <w:tab w:val="clear" w:pos="1588"/>
        <w:tab w:val="clear" w:pos="1985"/>
        <w:tab w:val="center" w:pos="4849"/>
        <w:tab w:val="right" w:pos="9696"/>
      </w:tabs>
      <w:spacing w:before="136"/>
    </w:pPr>
    <w:rPr>
      <w:rFonts w:eastAsiaTheme="minorEastAsia"/>
      <w:b w:val="0"/>
      <w:sz w:val="20"/>
      <w:lang w:val="en-GB" w:eastAsia="ja-JP"/>
    </w:rPr>
  </w:style>
  <w:style w:type="paragraph" w:customStyle="1" w:styleId="RecTitleDate">
    <w:name w:val="Rec_Title/Date"/>
    <w:basedOn w:val="RecTitleRef"/>
    <w:next w:val="Normal"/>
    <w:rsid w:val="007461DD"/>
    <w:pPr>
      <w:tabs>
        <w:tab w:val="clear" w:pos="4849"/>
      </w:tabs>
      <w:jc w:val="right"/>
    </w:pPr>
  </w:style>
  <w:style w:type="character" w:styleId="PlaceholderText">
    <w:name w:val="Placeholder Text"/>
    <w:basedOn w:val="DefaultParagraphFont"/>
    <w:uiPriority w:val="99"/>
    <w:semiHidden/>
    <w:rsid w:val="00977F5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77F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777F4"/>
    <w:rPr>
      <w:color w:val="0000FF"/>
      <w:u w:val="single"/>
    </w:rPr>
  </w:style>
  <w:style w:type="paragraph" w:customStyle="1" w:styleId="AnnexNo">
    <w:name w:val="Annex_No"/>
    <w:basedOn w:val="Normal"/>
    <w:next w:val="Normal"/>
    <w:rsid w:val="007461D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461D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HeadingbChar">
    <w:name w:val="Heading_b Char"/>
    <w:link w:val="Headingb"/>
    <w:rsid w:val="007461DD"/>
    <w:rPr>
      <w:b/>
      <w:sz w:val="24"/>
      <w:lang w:val="fr-FR" w:eastAsia="en-US"/>
    </w:rPr>
  </w:style>
  <w:style w:type="character" w:customStyle="1" w:styleId="enumlev1Char">
    <w:name w:val="enumlev1 Char"/>
    <w:link w:val="enumlev1"/>
    <w:locked/>
    <w:rsid w:val="007461DD"/>
    <w:rPr>
      <w:sz w:val="24"/>
      <w:lang w:val="fr-FR" w:eastAsia="en-US"/>
    </w:rPr>
  </w:style>
  <w:style w:type="character" w:customStyle="1" w:styleId="NoteChar">
    <w:name w:val="Note Char"/>
    <w:link w:val="Note"/>
    <w:locked/>
    <w:rsid w:val="007461DD"/>
    <w:rPr>
      <w:sz w:val="22"/>
      <w:lang w:val="fr-FR" w:eastAsia="en-US"/>
    </w:rPr>
  </w:style>
  <w:style w:type="paragraph" w:customStyle="1" w:styleId="RecTitleRef">
    <w:name w:val="Rec_Title/Ref"/>
    <w:basedOn w:val="Rectitle"/>
    <w:next w:val="RecTitleDate"/>
    <w:rsid w:val="007461DD"/>
    <w:pPr>
      <w:tabs>
        <w:tab w:val="clear" w:pos="794"/>
        <w:tab w:val="clear" w:pos="1191"/>
        <w:tab w:val="clear" w:pos="1588"/>
        <w:tab w:val="clear" w:pos="1985"/>
        <w:tab w:val="center" w:pos="4849"/>
        <w:tab w:val="right" w:pos="9696"/>
      </w:tabs>
      <w:spacing w:before="136"/>
    </w:pPr>
    <w:rPr>
      <w:rFonts w:eastAsiaTheme="minorEastAsia"/>
      <w:b w:val="0"/>
      <w:sz w:val="20"/>
      <w:lang w:val="en-GB" w:eastAsia="ja-JP"/>
    </w:rPr>
  </w:style>
  <w:style w:type="paragraph" w:customStyle="1" w:styleId="RecTitleDate">
    <w:name w:val="Rec_Title/Date"/>
    <w:basedOn w:val="RecTitleRef"/>
    <w:next w:val="Normal"/>
    <w:rsid w:val="007461DD"/>
    <w:pPr>
      <w:tabs>
        <w:tab w:val="clear" w:pos="4849"/>
      </w:tabs>
      <w:jc w:val="right"/>
    </w:pPr>
  </w:style>
  <w:style w:type="character" w:styleId="PlaceholderText">
    <w:name w:val="Placeholder Text"/>
    <w:basedOn w:val="DefaultParagraphFont"/>
    <w:uiPriority w:val="99"/>
    <w:semiHidden/>
    <w:rsid w:val="00977F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F1FFB-23DF-4A22-B81F-4E1D5DCD2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267</TotalTime>
  <Pages>7</Pages>
  <Words>2029</Words>
  <Characters>11717</Characters>
  <Application>Microsoft Office Word</Application>
  <DocSecurity>0</DocSecurity>
  <Lines>689</Lines>
  <Paragraphs>140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Gachet, Christelle</cp:lastModifiedBy>
  <cp:revision>16</cp:revision>
  <cp:lastPrinted>2005-02-10T15:54:00Z</cp:lastPrinted>
  <dcterms:created xsi:type="dcterms:W3CDTF">2014-02-20T09:11:00Z</dcterms:created>
  <dcterms:modified xsi:type="dcterms:W3CDTF">2014-03-20T08:43:00Z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