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3FEA" w:rsidRPr="009934E7" w:rsidRDefault="00833FEA">
      <w:pPr>
        <w:rPr>
          <w:lang w:val="fr-CH"/>
        </w:rPr>
      </w:pPr>
      <w:bookmarkStart w:id="0" w:name="_GoBack"/>
      <w:bookmarkEnd w:id="0"/>
    </w:p>
    <w:p w:rsidR="00833FEA" w:rsidRPr="009934E7" w:rsidRDefault="00833FEA">
      <w:pPr>
        <w:rPr>
          <w:lang w:val="fr-CH"/>
        </w:rPr>
      </w:pPr>
    </w:p>
    <w:p w:rsidR="00833FEA" w:rsidRPr="009934E7" w:rsidRDefault="00833FEA">
      <w:pPr>
        <w:rPr>
          <w:lang w:val="fr-CH"/>
        </w:rPr>
      </w:pPr>
    </w:p>
    <w:p w:rsidR="00833FEA" w:rsidRPr="009934E7" w:rsidRDefault="00833FEA">
      <w:pPr>
        <w:rPr>
          <w:lang w:val="fr-CH"/>
        </w:rPr>
      </w:pPr>
    </w:p>
    <w:p w:rsidR="00833FEA" w:rsidRPr="009934E7" w:rsidRDefault="00833FEA">
      <w:pPr>
        <w:rPr>
          <w:lang w:val="fr-CH"/>
        </w:rPr>
      </w:pPr>
    </w:p>
    <w:p w:rsidR="00833FEA" w:rsidRPr="009934E7" w:rsidRDefault="00833FEA">
      <w:pPr>
        <w:rPr>
          <w:lang w:val="fr-CH"/>
        </w:rPr>
      </w:pPr>
    </w:p>
    <w:p w:rsidR="00833FEA" w:rsidRPr="009934E7" w:rsidRDefault="00833FEA">
      <w:pPr>
        <w:rPr>
          <w:lang w:val="fr-CH"/>
        </w:rPr>
      </w:pPr>
    </w:p>
    <w:p w:rsidR="00833FEA" w:rsidRPr="009934E7" w:rsidRDefault="00833FEA">
      <w:pPr>
        <w:rPr>
          <w:lang w:val="fr-CH"/>
        </w:rPr>
      </w:pPr>
    </w:p>
    <w:p w:rsidR="00833FEA" w:rsidRPr="009934E7" w:rsidRDefault="00833FEA">
      <w:pPr>
        <w:rPr>
          <w:lang w:val="fr-CH"/>
        </w:rPr>
      </w:pPr>
    </w:p>
    <w:p w:rsidR="00833FEA" w:rsidRPr="009934E7" w:rsidRDefault="00833FEA">
      <w:pPr>
        <w:rPr>
          <w:lang w:val="fr-CH"/>
        </w:rPr>
      </w:pPr>
    </w:p>
    <w:p w:rsidR="00833FEA" w:rsidRPr="009934E7" w:rsidRDefault="00833FEA">
      <w:pPr>
        <w:rPr>
          <w:lang w:val="fr-CH"/>
        </w:rPr>
      </w:pPr>
    </w:p>
    <w:p w:rsidR="00833FEA" w:rsidRPr="009934E7" w:rsidRDefault="00833FEA">
      <w:pPr>
        <w:rPr>
          <w:lang w:val="fr-CH"/>
        </w:rPr>
      </w:pPr>
    </w:p>
    <w:tbl>
      <w:tblPr>
        <w:tblW w:w="10089" w:type="dxa"/>
        <w:tblLook w:val="01E0" w:firstRow="1" w:lastRow="1" w:firstColumn="1" w:lastColumn="1" w:noHBand="0" w:noVBand="0"/>
      </w:tblPr>
      <w:tblGrid>
        <w:gridCol w:w="10089"/>
      </w:tblGrid>
      <w:tr w:rsidR="00833FEA" w:rsidRPr="009934E7">
        <w:tc>
          <w:tcPr>
            <w:tcW w:w="10089" w:type="dxa"/>
          </w:tcPr>
          <w:p w:rsidR="00833FEA" w:rsidRPr="009934E7" w:rsidRDefault="00833FEA" w:rsidP="006E15EE">
            <w:pPr>
              <w:spacing w:before="380" w:line="280" w:lineRule="exact"/>
              <w:jc w:val="right"/>
              <w:rPr>
                <w:rFonts w:ascii="Tahoma" w:hAnsi="Tahoma" w:cs="Tahoma"/>
                <w:b/>
                <w:bCs/>
                <w:iCs/>
                <w:color w:val="243285"/>
                <w:sz w:val="32"/>
                <w:szCs w:val="32"/>
                <w:lang w:val="fr-CH"/>
              </w:rPr>
            </w:pPr>
          </w:p>
          <w:p w:rsidR="00833FEA" w:rsidRPr="009934E7" w:rsidRDefault="00833FEA" w:rsidP="00105CE7">
            <w:pPr>
              <w:spacing w:before="380" w:line="280" w:lineRule="exact"/>
              <w:jc w:val="right"/>
              <w:rPr>
                <w:rFonts w:ascii="Tahoma" w:hAnsi="Tahoma" w:cs="Tahoma"/>
                <w:b/>
                <w:bCs/>
                <w:iCs/>
                <w:color w:val="243285"/>
                <w:sz w:val="36"/>
                <w:szCs w:val="36"/>
                <w:lang w:val="fr-CH"/>
              </w:rPr>
            </w:pPr>
            <w:r w:rsidRPr="009934E7">
              <w:rPr>
                <w:rFonts w:ascii="Tahoma" w:hAnsi="Tahoma" w:cs="Tahoma"/>
                <w:b/>
                <w:bCs/>
                <w:iCs/>
                <w:color w:val="243285"/>
                <w:sz w:val="36"/>
                <w:szCs w:val="36"/>
                <w:lang w:val="fr-CH"/>
              </w:rPr>
              <w:t>Recommandation  UIT-R  F.</w:t>
            </w:r>
            <w:r w:rsidR="006E15EE" w:rsidRPr="009934E7">
              <w:rPr>
                <w:rFonts w:ascii="Tahoma" w:hAnsi="Tahoma" w:cs="Tahoma"/>
                <w:b/>
                <w:bCs/>
                <w:iCs/>
                <w:color w:val="243285"/>
                <w:sz w:val="36"/>
                <w:szCs w:val="36"/>
                <w:lang w:val="fr-CH"/>
              </w:rPr>
              <w:t>5</w:t>
            </w:r>
            <w:r w:rsidR="00105CE7" w:rsidRPr="009934E7">
              <w:rPr>
                <w:rFonts w:ascii="Tahoma" w:hAnsi="Tahoma" w:cs="Tahoma"/>
                <w:b/>
                <w:bCs/>
                <w:iCs/>
                <w:color w:val="243285"/>
                <w:sz w:val="36"/>
                <w:szCs w:val="36"/>
                <w:lang w:val="fr-CH"/>
              </w:rPr>
              <w:t>57</w:t>
            </w:r>
            <w:r w:rsidR="006E15EE" w:rsidRPr="009934E7">
              <w:rPr>
                <w:rFonts w:ascii="Tahoma" w:hAnsi="Tahoma" w:cs="Tahoma"/>
                <w:b/>
                <w:bCs/>
                <w:iCs/>
                <w:color w:val="243285"/>
                <w:sz w:val="36"/>
                <w:szCs w:val="36"/>
                <w:lang w:val="fr-CH"/>
              </w:rPr>
              <w:t>-</w:t>
            </w:r>
            <w:r w:rsidR="00105CE7" w:rsidRPr="009934E7">
              <w:rPr>
                <w:rFonts w:ascii="Tahoma" w:hAnsi="Tahoma" w:cs="Tahoma"/>
                <w:b/>
                <w:bCs/>
                <w:iCs/>
                <w:color w:val="243285"/>
                <w:sz w:val="36"/>
                <w:szCs w:val="36"/>
                <w:lang w:val="fr-CH"/>
              </w:rPr>
              <w:t>5</w:t>
            </w:r>
          </w:p>
          <w:p w:rsidR="00833FEA" w:rsidRPr="009934E7" w:rsidRDefault="00833FEA" w:rsidP="00105CE7">
            <w:pPr>
              <w:spacing w:before="80" w:line="280" w:lineRule="exact"/>
              <w:jc w:val="right"/>
              <w:rPr>
                <w:rFonts w:ascii="Tahoma" w:hAnsi="Tahoma" w:cs="Tahoma"/>
                <w:b/>
                <w:bCs/>
                <w:iCs/>
                <w:color w:val="243285"/>
                <w:szCs w:val="24"/>
                <w:lang w:val="fr-CH"/>
              </w:rPr>
            </w:pPr>
            <w:r w:rsidRPr="009934E7">
              <w:rPr>
                <w:rFonts w:ascii="Tahoma" w:hAnsi="Tahoma" w:cs="Tahoma"/>
                <w:b/>
                <w:bCs/>
                <w:iCs/>
                <w:color w:val="243285"/>
                <w:szCs w:val="24"/>
                <w:lang w:val="fr-CH"/>
              </w:rPr>
              <w:t>(</w:t>
            </w:r>
            <w:r w:rsidR="003B2E1C" w:rsidRPr="009934E7">
              <w:rPr>
                <w:rFonts w:ascii="Tahoma" w:hAnsi="Tahoma" w:cs="Tahoma"/>
                <w:b/>
                <w:bCs/>
                <w:iCs/>
                <w:color w:val="243285"/>
                <w:szCs w:val="24"/>
                <w:lang w:val="fr-CH"/>
              </w:rPr>
              <w:t>0</w:t>
            </w:r>
            <w:r w:rsidR="00105CE7" w:rsidRPr="009934E7">
              <w:rPr>
                <w:rFonts w:ascii="Tahoma" w:hAnsi="Tahoma" w:cs="Tahoma"/>
                <w:b/>
                <w:bCs/>
                <w:iCs/>
                <w:color w:val="243285"/>
                <w:szCs w:val="24"/>
                <w:lang w:val="fr-CH"/>
              </w:rPr>
              <w:t>2</w:t>
            </w:r>
            <w:r w:rsidRPr="009934E7">
              <w:rPr>
                <w:rFonts w:ascii="Tahoma" w:hAnsi="Tahoma" w:cs="Tahoma"/>
                <w:b/>
                <w:bCs/>
                <w:iCs/>
                <w:color w:val="243285"/>
                <w:szCs w:val="24"/>
                <w:lang w:val="fr-CH"/>
              </w:rPr>
              <w:t>/</w:t>
            </w:r>
            <w:r w:rsidR="003B2E1C" w:rsidRPr="009934E7">
              <w:rPr>
                <w:rFonts w:ascii="Tahoma" w:hAnsi="Tahoma" w:cs="Tahoma"/>
                <w:b/>
                <w:bCs/>
                <w:iCs/>
                <w:color w:val="243285"/>
                <w:szCs w:val="24"/>
                <w:lang w:val="fr-CH"/>
              </w:rPr>
              <w:t>201</w:t>
            </w:r>
            <w:r w:rsidR="00105CE7" w:rsidRPr="009934E7">
              <w:rPr>
                <w:rFonts w:ascii="Tahoma" w:hAnsi="Tahoma" w:cs="Tahoma"/>
                <w:b/>
                <w:bCs/>
                <w:iCs/>
                <w:color w:val="243285"/>
                <w:szCs w:val="24"/>
                <w:lang w:val="fr-CH"/>
              </w:rPr>
              <w:t>4</w:t>
            </w:r>
            <w:r w:rsidRPr="009934E7">
              <w:rPr>
                <w:rFonts w:ascii="Tahoma" w:hAnsi="Tahoma" w:cs="Tahoma"/>
                <w:b/>
                <w:bCs/>
                <w:iCs/>
                <w:color w:val="243285"/>
                <w:szCs w:val="24"/>
                <w:lang w:val="fr-CH"/>
              </w:rPr>
              <w:t>)</w:t>
            </w:r>
          </w:p>
        </w:tc>
      </w:tr>
      <w:tr w:rsidR="00833FEA" w:rsidRPr="009934E7">
        <w:tc>
          <w:tcPr>
            <w:tcW w:w="10089" w:type="dxa"/>
          </w:tcPr>
          <w:p w:rsidR="00833FEA" w:rsidRPr="009934E7" w:rsidRDefault="00833FEA" w:rsidP="006E15EE">
            <w:pPr>
              <w:spacing w:before="80" w:line="500" w:lineRule="exact"/>
              <w:jc w:val="right"/>
              <w:rPr>
                <w:rFonts w:ascii="Tahoma" w:hAnsi="Tahoma" w:cs="Tahoma"/>
                <w:b/>
                <w:bCs/>
                <w:iCs/>
                <w:color w:val="243285"/>
                <w:sz w:val="44"/>
                <w:szCs w:val="44"/>
                <w:lang w:val="fr-CH"/>
              </w:rPr>
            </w:pPr>
          </w:p>
          <w:p w:rsidR="00833FEA" w:rsidRPr="009934E7" w:rsidRDefault="00105CE7" w:rsidP="00105CE7">
            <w:pPr>
              <w:spacing w:before="80" w:line="500" w:lineRule="exact"/>
              <w:jc w:val="right"/>
              <w:rPr>
                <w:rFonts w:ascii="Tahoma" w:hAnsi="Tahoma" w:cs="Tahoma"/>
                <w:b/>
                <w:bCs/>
                <w:iCs/>
                <w:color w:val="243285"/>
                <w:sz w:val="44"/>
                <w:szCs w:val="44"/>
                <w:lang w:val="fr-CH"/>
              </w:rPr>
            </w:pPr>
            <w:r w:rsidRPr="009934E7">
              <w:rPr>
                <w:rFonts w:ascii="Tahoma" w:hAnsi="Tahoma" w:cs="Tahoma"/>
                <w:b/>
                <w:bCs/>
                <w:color w:val="243285"/>
                <w:sz w:val="44"/>
                <w:szCs w:val="44"/>
                <w:lang w:val="fr-CH"/>
              </w:rPr>
              <w:t xml:space="preserve">Objectif de disponibilité d'un conduit numérique fictif de référence pour </w:t>
            </w:r>
            <w:r w:rsidR="00985452">
              <w:rPr>
                <w:rFonts w:ascii="Tahoma" w:hAnsi="Tahoma" w:cs="Tahoma"/>
                <w:b/>
                <w:bCs/>
                <w:color w:val="243285"/>
                <w:sz w:val="44"/>
                <w:szCs w:val="44"/>
                <w:lang w:val="fr-CH"/>
              </w:rPr>
              <w:br/>
            </w:r>
            <w:r w:rsidRPr="009934E7">
              <w:rPr>
                <w:rFonts w:ascii="Tahoma" w:hAnsi="Tahoma" w:cs="Tahoma"/>
                <w:b/>
                <w:bCs/>
                <w:color w:val="243285"/>
                <w:sz w:val="44"/>
                <w:szCs w:val="44"/>
                <w:lang w:val="fr-CH"/>
              </w:rPr>
              <w:t>les faisceaux hertziens</w:t>
            </w:r>
          </w:p>
        </w:tc>
      </w:tr>
      <w:tr w:rsidR="00833FEA" w:rsidRPr="009934E7">
        <w:tc>
          <w:tcPr>
            <w:tcW w:w="10089" w:type="dxa"/>
          </w:tcPr>
          <w:p w:rsidR="00833FEA" w:rsidRPr="009934E7" w:rsidRDefault="00833FEA" w:rsidP="006E15EE">
            <w:pPr>
              <w:spacing w:before="80" w:line="280" w:lineRule="exact"/>
              <w:ind w:right="640"/>
              <w:rPr>
                <w:rFonts w:ascii="Tahoma" w:hAnsi="Tahoma" w:cs="Tahoma"/>
                <w:b/>
                <w:bCs/>
                <w:iCs/>
                <w:color w:val="243285"/>
                <w:sz w:val="32"/>
                <w:szCs w:val="32"/>
                <w:lang w:val="fr-CH"/>
              </w:rPr>
            </w:pPr>
          </w:p>
          <w:p w:rsidR="00833FEA" w:rsidRPr="009934E7" w:rsidRDefault="00833FEA" w:rsidP="006E15EE">
            <w:pPr>
              <w:spacing w:before="80" w:line="280" w:lineRule="exact"/>
              <w:ind w:right="640"/>
              <w:rPr>
                <w:rFonts w:ascii="Tahoma" w:hAnsi="Tahoma" w:cs="Tahoma"/>
                <w:b/>
                <w:bCs/>
                <w:iCs/>
                <w:color w:val="243285"/>
                <w:sz w:val="32"/>
                <w:szCs w:val="32"/>
                <w:lang w:val="fr-CH"/>
              </w:rPr>
            </w:pPr>
          </w:p>
          <w:p w:rsidR="00833FEA" w:rsidRPr="009934E7" w:rsidRDefault="00833FEA" w:rsidP="006E15EE">
            <w:pPr>
              <w:spacing w:before="80" w:after="180" w:line="360" w:lineRule="exact"/>
              <w:ind w:right="720"/>
              <w:rPr>
                <w:rFonts w:ascii="Tahoma" w:hAnsi="Tahoma" w:cs="Tahoma"/>
                <w:b/>
                <w:bCs/>
                <w:iCs/>
                <w:color w:val="243285"/>
                <w:sz w:val="36"/>
                <w:szCs w:val="36"/>
                <w:lang w:val="fr-CH"/>
              </w:rPr>
            </w:pPr>
          </w:p>
          <w:p w:rsidR="00833FEA" w:rsidRPr="009934E7" w:rsidRDefault="00833FEA" w:rsidP="006E15EE">
            <w:pPr>
              <w:spacing w:before="80" w:after="180" w:line="360" w:lineRule="exact"/>
              <w:jc w:val="right"/>
              <w:rPr>
                <w:rFonts w:ascii="Tahoma" w:hAnsi="Tahoma" w:cs="Tahoma"/>
                <w:b/>
                <w:bCs/>
                <w:iCs/>
                <w:color w:val="243285"/>
                <w:sz w:val="36"/>
                <w:szCs w:val="36"/>
                <w:lang w:val="fr-CH"/>
              </w:rPr>
            </w:pPr>
            <w:r w:rsidRPr="009934E7">
              <w:rPr>
                <w:rFonts w:ascii="Tahoma" w:hAnsi="Tahoma" w:cs="Tahoma"/>
                <w:b/>
                <w:bCs/>
                <w:iCs/>
                <w:color w:val="243285"/>
                <w:sz w:val="36"/>
                <w:szCs w:val="36"/>
                <w:lang w:val="fr-CH"/>
              </w:rPr>
              <w:t>Série F</w:t>
            </w:r>
          </w:p>
          <w:p w:rsidR="00833FEA" w:rsidRPr="009934E7" w:rsidRDefault="00833FEA" w:rsidP="006E15EE">
            <w:pPr>
              <w:spacing w:before="80" w:line="420" w:lineRule="exact"/>
              <w:jc w:val="right"/>
              <w:rPr>
                <w:rFonts w:ascii="Tahoma" w:hAnsi="Tahoma" w:cs="Tahoma"/>
                <w:b/>
                <w:bCs/>
                <w:iCs/>
                <w:color w:val="243285"/>
                <w:sz w:val="36"/>
                <w:szCs w:val="36"/>
                <w:lang w:val="fr-CH"/>
              </w:rPr>
            </w:pPr>
            <w:r w:rsidRPr="009934E7">
              <w:rPr>
                <w:rFonts w:ascii="Tahoma" w:hAnsi="Tahoma" w:cs="Tahoma"/>
                <w:b/>
                <w:bCs/>
                <w:iCs/>
                <w:color w:val="243285"/>
                <w:sz w:val="36"/>
                <w:szCs w:val="36"/>
                <w:lang w:val="fr-CH"/>
              </w:rPr>
              <w:t>Service fixe</w:t>
            </w:r>
          </w:p>
        </w:tc>
      </w:tr>
    </w:tbl>
    <w:p w:rsidR="00833FEA" w:rsidRPr="009934E7" w:rsidRDefault="00833FEA" w:rsidP="006E15EE">
      <w:pPr>
        <w:spacing w:before="80"/>
        <w:rPr>
          <w:i/>
          <w:sz w:val="22"/>
          <w:lang w:val="fr-CH"/>
        </w:rPr>
      </w:pPr>
    </w:p>
    <w:p w:rsidR="00833FEA" w:rsidRPr="009934E7" w:rsidRDefault="00833FEA" w:rsidP="006E15EE">
      <w:pPr>
        <w:spacing w:before="80"/>
        <w:rPr>
          <w:i/>
          <w:sz w:val="22"/>
          <w:lang w:val="fr-CH"/>
        </w:rPr>
      </w:pPr>
    </w:p>
    <w:p w:rsidR="00833FEA" w:rsidRPr="009934E7" w:rsidRDefault="00833FEA" w:rsidP="006E15EE">
      <w:pPr>
        <w:spacing w:before="80"/>
        <w:rPr>
          <w:i/>
          <w:sz w:val="22"/>
          <w:lang w:val="fr-CH"/>
        </w:rPr>
      </w:pPr>
    </w:p>
    <w:p w:rsidR="00833FEA" w:rsidRPr="009934E7" w:rsidRDefault="00833FEA" w:rsidP="006E15EE">
      <w:pPr>
        <w:spacing w:before="80"/>
        <w:rPr>
          <w:i/>
          <w:sz w:val="22"/>
          <w:lang w:val="fr-CH"/>
        </w:rPr>
      </w:pPr>
    </w:p>
    <w:p w:rsidR="00833FEA" w:rsidRPr="009934E7" w:rsidRDefault="00833FEA" w:rsidP="006E15EE">
      <w:pPr>
        <w:spacing w:before="80"/>
        <w:rPr>
          <w:i/>
          <w:sz w:val="22"/>
          <w:lang w:val="fr-CH"/>
        </w:rPr>
      </w:pPr>
    </w:p>
    <w:p w:rsidR="00833FEA" w:rsidRPr="009934E7" w:rsidRDefault="00833FEA" w:rsidP="006E15EE">
      <w:pPr>
        <w:spacing w:before="80"/>
        <w:rPr>
          <w:i/>
          <w:sz w:val="22"/>
          <w:lang w:val="fr-CH"/>
        </w:rPr>
      </w:pPr>
    </w:p>
    <w:p w:rsidR="00833FEA" w:rsidRPr="009934E7" w:rsidRDefault="00833FEA" w:rsidP="006E15EE">
      <w:pPr>
        <w:pStyle w:val="Equation"/>
        <w:tabs>
          <w:tab w:val="clear" w:pos="4820"/>
          <w:tab w:val="clear" w:pos="9639"/>
          <w:tab w:val="left" w:pos="1191"/>
          <w:tab w:val="left" w:pos="1588"/>
          <w:tab w:val="left" w:pos="1985"/>
        </w:tabs>
        <w:rPr>
          <w:rFonts w:ascii="Palatino Linotype" w:hAnsi="Palatino Linotype"/>
          <w:lang w:val="fr-CH"/>
        </w:rPr>
        <w:sectPr w:rsidR="00833FEA" w:rsidRPr="009934E7" w:rsidSect="006E15EE">
          <w:headerReference w:type="even" r:id="rId7"/>
          <w:headerReference w:type="default" r:id="rId8"/>
          <w:pgSz w:w="11907" w:h="16834" w:code="9"/>
          <w:pgMar w:top="1418" w:right="1134" w:bottom="1134" w:left="1134" w:header="720" w:footer="482" w:gutter="0"/>
          <w:paperSrc w:first="15" w:other="15"/>
          <w:cols w:space="720"/>
        </w:sectPr>
      </w:pPr>
    </w:p>
    <w:p w:rsidR="00833FEA" w:rsidRPr="009934E7" w:rsidRDefault="00833FEA" w:rsidP="006E15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1" w:name="c2tope"/>
      <w:bookmarkEnd w:id="1"/>
      <w:r w:rsidRPr="009934E7">
        <w:rPr>
          <w:bCs/>
          <w:sz w:val="24"/>
          <w:szCs w:val="24"/>
          <w:lang w:val="fr-CH"/>
        </w:rPr>
        <w:lastRenderedPageBreak/>
        <w:t>Avant-propos</w:t>
      </w:r>
    </w:p>
    <w:p w:rsidR="00833FEA" w:rsidRPr="009934E7" w:rsidRDefault="00833FEA" w:rsidP="006E15EE">
      <w:pPr>
        <w:spacing w:before="240"/>
        <w:rPr>
          <w:sz w:val="20"/>
          <w:lang w:val="fr-CH"/>
        </w:rPr>
      </w:pPr>
      <w:r w:rsidRPr="009934E7">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833FEA" w:rsidRPr="009934E7" w:rsidRDefault="00833FEA" w:rsidP="006E15EE">
      <w:pPr>
        <w:rPr>
          <w:sz w:val="20"/>
          <w:lang w:val="fr-CH"/>
        </w:rPr>
      </w:pPr>
      <w:r w:rsidRPr="009934E7">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833FEA" w:rsidRPr="009934E7" w:rsidRDefault="00833FEA" w:rsidP="006E15EE">
      <w:pPr>
        <w:pStyle w:val="Heading1"/>
        <w:spacing w:before="360"/>
        <w:jc w:val="center"/>
        <w:rPr>
          <w:szCs w:val="24"/>
          <w:lang w:val="fr-CH"/>
        </w:rPr>
      </w:pPr>
      <w:r w:rsidRPr="009934E7">
        <w:rPr>
          <w:szCs w:val="24"/>
          <w:lang w:val="fr-CH"/>
        </w:rPr>
        <w:t>Politique en matière de droits de propriété intellectuelle (IPR)</w:t>
      </w:r>
    </w:p>
    <w:p w:rsidR="00833FEA" w:rsidRPr="009934E7" w:rsidRDefault="00833FEA" w:rsidP="006E15EE">
      <w:pPr>
        <w:spacing w:before="240"/>
        <w:rPr>
          <w:sz w:val="20"/>
          <w:lang w:val="fr-CH"/>
        </w:rPr>
      </w:pPr>
      <w:r w:rsidRPr="009934E7">
        <w:rPr>
          <w:sz w:val="20"/>
          <w:lang w:val="fr-CH"/>
        </w:rPr>
        <w:t>La politique de l'UIT</w:t>
      </w:r>
      <w:r w:rsidRPr="009934E7">
        <w:rPr>
          <w:sz w:val="20"/>
          <w:lang w:val="fr-CH"/>
        </w:rPr>
        <w:noBreakHyphen/>
        <w:t>R en matière de droits de propriété intellectuelle est décrite dans la «Politique commune de l'UIT</w:t>
      </w:r>
      <w:r w:rsidRPr="009934E7">
        <w:rPr>
          <w:sz w:val="20"/>
          <w:lang w:val="fr-CH"/>
        </w:rPr>
        <w:noBreakHyphen/>
        <w:t>T, l'UIT</w:t>
      </w:r>
      <w:r w:rsidRPr="009934E7">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9" w:history="1">
        <w:r w:rsidRPr="009934E7">
          <w:rPr>
            <w:rStyle w:val="Hyperlink"/>
            <w:sz w:val="20"/>
            <w:lang w:val="fr-CH"/>
          </w:rPr>
          <w:t>http://www.itu.int/ITU-R/go/patents/fr</w:t>
        </w:r>
      </w:hyperlink>
      <w:r w:rsidRPr="009934E7">
        <w:rPr>
          <w:sz w:val="20"/>
          <w:lang w:val="fr-CH"/>
        </w:rPr>
        <w:t>, où l'on trouvera également les Lignes directrices pour la mise en oeuvre de la politique commune en matière de brevets de l'UIT</w:t>
      </w:r>
      <w:r w:rsidRPr="009934E7">
        <w:rPr>
          <w:sz w:val="20"/>
          <w:lang w:val="fr-CH"/>
        </w:rPr>
        <w:noBreakHyphen/>
        <w:t>T, l'UIT</w:t>
      </w:r>
      <w:r w:rsidRPr="009934E7">
        <w:rPr>
          <w:sz w:val="20"/>
          <w:lang w:val="fr-CH"/>
        </w:rPr>
        <w:noBreakHyphen/>
        <w:t>R, l'ISO et la CEI</w:t>
      </w:r>
      <w:r w:rsidRPr="009934E7" w:rsidDel="0061025C">
        <w:rPr>
          <w:sz w:val="20"/>
          <w:lang w:val="fr-CH"/>
        </w:rPr>
        <w:t xml:space="preserve"> </w:t>
      </w:r>
      <w:r w:rsidRPr="009934E7">
        <w:rPr>
          <w:sz w:val="20"/>
          <w:lang w:val="fr-CH"/>
        </w:rPr>
        <w:t>et la base de données en matière de brevets de l'UIT-R.</w:t>
      </w:r>
    </w:p>
    <w:p w:rsidR="00833FEA" w:rsidRPr="009934E7" w:rsidRDefault="00833FEA" w:rsidP="006E15EE">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33FEA" w:rsidRPr="009934E7">
        <w:tc>
          <w:tcPr>
            <w:tcW w:w="9360" w:type="dxa"/>
            <w:gridSpan w:val="2"/>
          </w:tcPr>
          <w:p w:rsidR="00833FEA" w:rsidRPr="009934E7" w:rsidRDefault="00833FEA" w:rsidP="006E15EE">
            <w:pPr>
              <w:pStyle w:val="Chaptitle"/>
              <w:keepLines w:val="0"/>
              <w:tabs>
                <w:tab w:val="clear" w:pos="794"/>
                <w:tab w:val="clear" w:pos="1191"/>
                <w:tab w:val="clear" w:pos="1588"/>
                <w:tab w:val="clear" w:pos="1985"/>
              </w:tabs>
              <w:overflowPunct/>
              <w:spacing w:before="140"/>
              <w:textAlignment w:val="auto"/>
              <w:rPr>
                <w:sz w:val="22"/>
                <w:szCs w:val="22"/>
                <w:lang w:val="fr-CH"/>
              </w:rPr>
            </w:pPr>
            <w:r w:rsidRPr="009934E7">
              <w:rPr>
                <w:sz w:val="22"/>
                <w:szCs w:val="22"/>
                <w:lang w:val="fr-CH"/>
              </w:rPr>
              <w:t xml:space="preserve">Séries des Recommandations UIT-R </w:t>
            </w:r>
          </w:p>
          <w:p w:rsidR="00833FEA" w:rsidRPr="009934E7" w:rsidRDefault="00833FEA" w:rsidP="006E15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9934E7">
              <w:rPr>
                <w:b w:val="0"/>
                <w:sz w:val="18"/>
                <w:szCs w:val="18"/>
                <w:lang w:val="fr-CH"/>
              </w:rPr>
              <w:t xml:space="preserve">(Egalement disponible en ligne: </w:t>
            </w:r>
            <w:hyperlink r:id="rId10" w:history="1">
              <w:r w:rsidRPr="009934E7">
                <w:rPr>
                  <w:rStyle w:val="Hyperlink"/>
                  <w:b w:val="0"/>
                  <w:bCs/>
                  <w:sz w:val="18"/>
                  <w:szCs w:val="18"/>
                  <w:lang w:val="fr-CH"/>
                </w:rPr>
                <w:t>http://www.itu.int/publ/R-REC/fr</w:t>
              </w:r>
            </w:hyperlink>
            <w:r w:rsidRPr="009934E7">
              <w:rPr>
                <w:b w:val="0"/>
                <w:bCs/>
                <w:sz w:val="18"/>
                <w:szCs w:val="18"/>
                <w:lang w:val="fr-CH"/>
              </w:rPr>
              <w:t>)</w:t>
            </w:r>
          </w:p>
        </w:tc>
      </w:tr>
      <w:tr w:rsidR="00833FEA" w:rsidRPr="009934E7" w:rsidTr="006E15EE">
        <w:tc>
          <w:tcPr>
            <w:tcW w:w="1140" w:type="dxa"/>
            <w:tcBorders>
              <w:bottom w:val="nil"/>
            </w:tcBorders>
          </w:tcPr>
          <w:p w:rsidR="00833FEA" w:rsidRPr="009934E7" w:rsidRDefault="00833FEA" w:rsidP="006E15EE">
            <w:pPr>
              <w:spacing w:before="90" w:after="100"/>
              <w:ind w:left="57"/>
              <w:rPr>
                <w:b/>
                <w:bCs/>
                <w:sz w:val="20"/>
                <w:lang w:val="fr-CH"/>
              </w:rPr>
            </w:pPr>
            <w:r w:rsidRPr="009934E7">
              <w:rPr>
                <w:b/>
                <w:bCs/>
                <w:sz w:val="20"/>
                <w:lang w:val="fr-CH"/>
              </w:rPr>
              <w:t>Séries</w:t>
            </w:r>
          </w:p>
        </w:tc>
        <w:tc>
          <w:tcPr>
            <w:tcW w:w="8220" w:type="dxa"/>
            <w:tcBorders>
              <w:bottom w:val="nil"/>
            </w:tcBorders>
          </w:tcPr>
          <w:p w:rsidR="00833FEA" w:rsidRPr="009934E7" w:rsidRDefault="00833FEA" w:rsidP="006E15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9934E7">
              <w:rPr>
                <w:bCs/>
                <w:sz w:val="20"/>
                <w:lang w:val="fr-CH"/>
              </w:rPr>
              <w:t>Titre</w:t>
            </w:r>
          </w:p>
        </w:tc>
      </w:tr>
      <w:tr w:rsidR="00833FEA" w:rsidRPr="009934E7" w:rsidTr="006E15EE">
        <w:tc>
          <w:tcPr>
            <w:tcW w:w="1140" w:type="dxa"/>
            <w:tcBorders>
              <w:top w:val="nil"/>
              <w:bottom w:val="nil"/>
            </w:tcBorders>
            <w:shd w:val="clear" w:color="auto" w:fill="auto"/>
          </w:tcPr>
          <w:p w:rsidR="00833FEA" w:rsidRPr="009934E7" w:rsidRDefault="00833FEA" w:rsidP="006E15EE">
            <w:pPr>
              <w:spacing w:before="30" w:after="30"/>
              <w:ind w:left="57"/>
              <w:jc w:val="left"/>
              <w:rPr>
                <w:b/>
                <w:bCs/>
                <w:sz w:val="20"/>
                <w:lang w:val="fr-CH"/>
              </w:rPr>
            </w:pPr>
            <w:r w:rsidRPr="009934E7">
              <w:rPr>
                <w:b/>
                <w:bCs/>
                <w:sz w:val="20"/>
                <w:lang w:val="fr-CH"/>
              </w:rPr>
              <w:t>BO</w:t>
            </w:r>
          </w:p>
        </w:tc>
        <w:tc>
          <w:tcPr>
            <w:tcW w:w="8220" w:type="dxa"/>
            <w:tcBorders>
              <w:top w:val="nil"/>
              <w:bottom w:val="nil"/>
            </w:tcBorders>
            <w:shd w:val="clear" w:color="auto" w:fill="auto"/>
          </w:tcPr>
          <w:p w:rsidR="00833FEA" w:rsidRPr="009934E7" w:rsidRDefault="00833FEA" w:rsidP="006E15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9934E7">
              <w:rPr>
                <w:b w:val="0"/>
                <w:sz w:val="20"/>
                <w:lang w:val="fr-CH"/>
              </w:rPr>
              <w:t>Diffusion par satellite</w:t>
            </w:r>
          </w:p>
        </w:tc>
      </w:tr>
      <w:tr w:rsidR="00833FEA" w:rsidRPr="009934E7" w:rsidTr="006E15EE">
        <w:tc>
          <w:tcPr>
            <w:tcW w:w="1140" w:type="dxa"/>
            <w:tcBorders>
              <w:top w:val="nil"/>
              <w:bottom w:val="nil"/>
            </w:tcBorders>
          </w:tcPr>
          <w:p w:rsidR="00833FEA" w:rsidRPr="009934E7" w:rsidRDefault="00833FEA" w:rsidP="006E15EE">
            <w:pPr>
              <w:spacing w:before="30" w:after="30"/>
              <w:ind w:left="57"/>
              <w:jc w:val="left"/>
              <w:rPr>
                <w:b/>
                <w:bCs/>
                <w:sz w:val="20"/>
                <w:lang w:val="fr-CH"/>
              </w:rPr>
            </w:pPr>
            <w:r w:rsidRPr="009934E7">
              <w:rPr>
                <w:b/>
                <w:bCs/>
                <w:sz w:val="20"/>
                <w:lang w:val="fr-CH"/>
              </w:rPr>
              <w:t>BR</w:t>
            </w:r>
          </w:p>
        </w:tc>
        <w:tc>
          <w:tcPr>
            <w:tcW w:w="8220" w:type="dxa"/>
            <w:tcBorders>
              <w:top w:val="nil"/>
              <w:bottom w:val="nil"/>
            </w:tcBorders>
          </w:tcPr>
          <w:p w:rsidR="00833FEA" w:rsidRPr="009934E7" w:rsidRDefault="00833FEA" w:rsidP="006E15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9934E7">
              <w:rPr>
                <w:b w:val="0"/>
                <w:bCs/>
                <w:sz w:val="20"/>
                <w:lang w:val="fr-CH"/>
              </w:rPr>
              <w:t>Enregistrement pour la production, l'archivage et la diffusion; films pour la télévision</w:t>
            </w:r>
          </w:p>
        </w:tc>
      </w:tr>
      <w:tr w:rsidR="00833FEA" w:rsidRPr="009934E7" w:rsidTr="006E15EE">
        <w:tc>
          <w:tcPr>
            <w:tcW w:w="1140" w:type="dxa"/>
            <w:tcBorders>
              <w:top w:val="nil"/>
              <w:bottom w:val="nil"/>
            </w:tcBorders>
            <w:shd w:val="clear" w:color="auto" w:fill="auto"/>
          </w:tcPr>
          <w:p w:rsidR="00833FEA" w:rsidRPr="009934E7" w:rsidRDefault="00833FEA" w:rsidP="006E15EE">
            <w:pPr>
              <w:spacing w:before="30" w:after="30"/>
              <w:ind w:left="57"/>
              <w:jc w:val="left"/>
              <w:rPr>
                <w:b/>
                <w:bCs/>
                <w:sz w:val="20"/>
                <w:lang w:val="fr-CH"/>
              </w:rPr>
            </w:pPr>
            <w:r w:rsidRPr="009934E7">
              <w:rPr>
                <w:b/>
                <w:bCs/>
                <w:sz w:val="20"/>
                <w:lang w:val="fr-CH"/>
              </w:rPr>
              <w:t>BS</w:t>
            </w:r>
          </w:p>
        </w:tc>
        <w:tc>
          <w:tcPr>
            <w:tcW w:w="8220" w:type="dxa"/>
            <w:tcBorders>
              <w:top w:val="nil"/>
              <w:bottom w:val="nil"/>
            </w:tcBorders>
            <w:shd w:val="clear" w:color="auto" w:fill="auto"/>
          </w:tcPr>
          <w:p w:rsidR="00833FEA" w:rsidRPr="009934E7" w:rsidRDefault="00833FEA" w:rsidP="006E15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9934E7">
              <w:rPr>
                <w:b w:val="0"/>
                <w:sz w:val="20"/>
                <w:lang w:val="fr-CH"/>
              </w:rPr>
              <w:t>Service de radiodiffusion sonore</w:t>
            </w:r>
          </w:p>
        </w:tc>
      </w:tr>
      <w:tr w:rsidR="00833FEA" w:rsidRPr="009934E7" w:rsidTr="006E15EE">
        <w:tc>
          <w:tcPr>
            <w:tcW w:w="1140" w:type="dxa"/>
            <w:tcBorders>
              <w:top w:val="nil"/>
              <w:bottom w:val="nil"/>
            </w:tcBorders>
            <w:shd w:val="clear" w:color="auto" w:fill="auto"/>
          </w:tcPr>
          <w:p w:rsidR="00833FEA" w:rsidRPr="009934E7" w:rsidRDefault="00833FEA" w:rsidP="006E15EE">
            <w:pPr>
              <w:spacing w:before="30" w:after="30"/>
              <w:ind w:left="57"/>
              <w:jc w:val="left"/>
              <w:rPr>
                <w:b/>
                <w:bCs/>
                <w:sz w:val="20"/>
                <w:lang w:val="fr-CH"/>
              </w:rPr>
            </w:pPr>
            <w:r w:rsidRPr="009934E7">
              <w:rPr>
                <w:b/>
                <w:bCs/>
                <w:sz w:val="20"/>
                <w:lang w:val="fr-CH"/>
              </w:rPr>
              <w:t>BT</w:t>
            </w:r>
          </w:p>
        </w:tc>
        <w:tc>
          <w:tcPr>
            <w:tcW w:w="8220" w:type="dxa"/>
            <w:tcBorders>
              <w:top w:val="nil"/>
              <w:bottom w:val="nil"/>
            </w:tcBorders>
            <w:shd w:val="clear" w:color="auto" w:fill="auto"/>
          </w:tcPr>
          <w:p w:rsidR="00833FEA" w:rsidRPr="009934E7" w:rsidRDefault="00833FEA" w:rsidP="006E15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9934E7">
              <w:rPr>
                <w:b w:val="0"/>
                <w:bCs/>
                <w:sz w:val="20"/>
                <w:lang w:val="fr-CH"/>
              </w:rPr>
              <w:t>Service de radiodiffusion télévisuelle</w:t>
            </w:r>
          </w:p>
        </w:tc>
      </w:tr>
      <w:tr w:rsidR="00833FEA" w:rsidRPr="009934E7" w:rsidTr="006E15EE">
        <w:tc>
          <w:tcPr>
            <w:tcW w:w="1140" w:type="dxa"/>
            <w:tcBorders>
              <w:top w:val="nil"/>
              <w:bottom w:val="nil"/>
            </w:tcBorders>
            <w:shd w:val="clear" w:color="auto" w:fill="F3F3F3"/>
          </w:tcPr>
          <w:p w:rsidR="00833FEA" w:rsidRPr="009934E7" w:rsidRDefault="00833FEA" w:rsidP="006E15EE">
            <w:pPr>
              <w:spacing w:before="30" w:after="30"/>
              <w:ind w:left="57"/>
              <w:jc w:val="left"/>
              <w:rPr>
                <w:b/>
                <w:bCs/>
                <w:color w:val="000080"/>
                <w:sz w:val="20"/>
                <w:lang w:val="fr-CH"/>
              </w:rPr>
            </w:pPr>
            <w:r w:rsidRPr="009934E7">
              <w:rPr>
                <w:b/>
                <w:bCs/>
                <w:color w:val="000080"/>
                <w:sz w:val="20"/>
                <w:lang w:val="fr-CH"/>
              </w:rPr>
              <w:t>F</w:t>
            </w:r>
          </w:p>
        </w:tc>
        <w:tc>
          <w:tcPr>
            <w:tcW w:w="8220" w:type="dxa"/>
            <w:tcBorders>
              <w:top w:val="nil"/>
              <w:bottom w:val="nil"/>
            </w:tcBorders>
            <w:shd w:val="clear" w:color="auto" w:fill="F3F3F3"/>
          </w:tcPr>
          <w:p w:rsidR="00833FEA" w:rsidRPr="009934E7" w:rsidRDefault="00833FEA" w:rsidP="006E15E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9934E7">
              <w:rPr>
                <w:b/>
                <w:bCs/>
                <w:color w:val="000080"/>
                <w:sz w:val="20"/>
                <w:lang w:val="fr-CH"/>
              </w:rPr>
              <w:t>Service fixe</w:t>
            </w:r>
          </w:p>
        </w:tc>
      </w:tr>
      <w:tr w:rsidR="00833FEA" w:rsidRPr="009934E7" w:rsidTr="006E15EE">
        <w:tc>
          <w:tcPr>
            <w:tcW w:w="1140" w:type="dxa"/>
            <w:tcBorders>
              <w:top w:val="nil"/>
              <w:bottom w:val="nil"/>
            </w:tcBorders>
            <w:shd w:val="clear" w:color="auto" w:fill="auto"/>
          </w:tcPr>
          <w:p w:rsidR="00833FEA" w:rsidRPr="009934E7" w:rsidRDefault="00833FEA" w:rsidP="006E15EE">
            <w:pPr>
              <w:spacing w:before="30" w:after="30"/>
              <w:ind w:left="57"/>
              <w:jc w:val="left"/>
              <w:rPr>
                <w:b/>
                <w:bCs/>
                <w:sz w:val="20"/>
                <w:lang w:val="fr-CH"/>
              </w:rPr>
            </w:pPr>
            <w:r w:rsidRPr="009934E7">
              <w:rPr>
                <w:b/>
                <w:bCs/>
                <w:sz w:val="20"/>
                <w:lang w:val="fr-CH"/>
              </w:rPr>
              <w:t>M</w:t>
            </w:r>
          </w:p>
        </w:tc>
        <w:tc>
          <w:tcPr>
            <w:tcW w:w="8220" w:type="dxa"/>
            <w:tcBorders>
              <w:top w:val="nil"/>
              <w:bottom w:val="nil"/>
            </w:tcBorders>
            <w:shd w:val="clear" w:color="auto" w:fill="auto"/>
          </w:tcPr>
          <w:p w:rsidR="00833FEA" w:rsidRPr="009934E7" w:rsidRDefault="00833FEA" w:rsidP="006E15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9934E7">
              <w:rPr>
                <w:b w:val="0"/>
                <w:sz w:val="20"/>
                <w:lang w:val="fr-CH"/>
              </w:rPr>
              <w:t>Services mobile, de radiorepérage et d'amateur y compris les services par satellite associés</w:t>
            </w:r>
          </w:p>
        </w:tc>
      </w:tr>
      <w:tr w:rsidR="00833FEA" w:rsidRPr="009934E7" w:rsidTr="006E15EE">
        <w:tc>
          <w:tcPr>
            <w:tcW w:w="1140" w:type="dxa"/>
            <w:tcBorders>
              <w:top w:val="nil"/>
            </w:tcBorders>
          </w:tcPr>
          <w:p w:rsidR="00833FEA" w:rsidRPr="009934E7" w:rsidRDefault="00833FEA" w:rsidP="006E15EE">
            <w:pPr>
              <w:spacing w:before="30" w:after="30"/>
              <w:ind w:left="57"/>
              <w:jc w:val="left"/>
              <w:rPr>
                <w:b/>
                <w:bCs/>
                <w:sz w:val="20"/>
                <w:lang w:val="fr-CH"/>
              </w:rPr>
            </w:pPr>
            <w:r w:rsidRPr="009934E7">
              <w:rPr>
                <w:b/>
                <w:bCs/>
                <w:sz w:val="20"/>
                <w:lang w:val="fr-CH"/>
              </w:rPr>
              <w:t>P</w:t>
            </w:r>
          </w:p>
        </w:tc>
        <w:tc>
          <w:tcPr>
            <w:tcW w:w="8220" w:type="dxa"/>
            <w:tcBorders>
              <w:top w:val="nil"/>
            </w:tcBorders>
          </w:tcPr>
          <w:p w:rsidR="00833FEA" w:rsidRPr="009934E7" w:rsidRDefault="00833FEA" w:rsidP="006E15EE">
            <w:pPr>
              <w:spacing w:before="30" w:after="30"/>
              <w:jc w:val="left"/>
              <w:rPr>
                <w:sz w:val="20"/>
                <w:lang w:val="fr-CH"/>
              </w:rPr>
            </w:pPr>
            <w:r w:rsidRPr="009934E7">
              <w:rPr>
                <w:sz w:val="20"/>
                <w:lang w:val="fr-CH"/>
              </w:rPr>
              <w:t>Propagation des ondes radioélectriques</w:t>
            </w:r>
          </w:p>
        </w:tc>
      </w:tr>
      <w:tr w:rsidR="00833FEA" w:rsidRPr="009934E7">
        <w:tc>
          <w:tcPr>
            <w:tcW w:w="1140" w:type="dxa"/>
          </w:tcPr>
          <w:p w:rsidR="00833FEA" w:rsidRPr="009934E7" w:rsidRDefault="00833FEA" w:rsidP="006E15EE">
            <w:pPr>
              <w:spacing w:before="30" w:after="30"/>
              <w:ind w:left="57"/>
              <w:jc w:val="left"/>
              <w:rPr>
                <w:b/>
                <w:bCs/>
                <w:sz w:val="20"/>
                <w:lang w:val="fr-CH"/>
              </w:rPr>
            </w:pPr>
            <w:r w:rsidRPr="009934E7">
              <w:rPr>
                <w:b/>
                <w:bCs/>
                <w:sz w:val="20"/>
                <w:lang w:val="fr-CH"/>
              </w:rPr>
              <w:t>RA</w:t>
            </w:r>
          </w:p>
        </w:tc>
        <w:tc>
          <w:tcPr>
            <w:tcW w:w="8220" w:type="dxa"/>
          </w:tcPr>
          <w:p w:rsidR="00833FEA" w:rsidRPr="009934E7" w:rsidRDefault="00833FEA" w:rsidP="006E15E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9934E7">
              <w:rPr>
                <w:sz w:val="20"/>
                <w:lang w:val="fr-CH"/>
              </w:rPr>
              <w:t>Radio astronomie</w:t>
            </w:r>
          </w:p>
        </w:tc>
      </w:tr>
      <w:tr w:rsidR="00833FEA" w:rsidRPr="009934E7">
        <w:tc>
          <w:tcPr>
            <w:tcW w:w="1140" w:type="dxa"/>
          </w:tcPr>
          <w:p w:rsidR="00833FEA" w:rsidRPr="009934E7" w:rsidRDefault="00833FEA" w:rsidP="006E15EE">
            <w:pPr>
              <w:spacing w:before="30" w:after="30"/>
              <w:ind w:left="57"/>
              <w:jc w:val="left"/>
              <w:rPr>
                <w:b/>
                <w:bCs/>
                <w:sz w:val="20"/>
                <w:lang w:val="fr-CH"/>
              </w:rPr>
            </w:pPr>
            <w:r w:rsidRPr="009934E7">
              <w:rPr>
                <w:b/>
                <w:bCs/>
                <w:sz w:val="20"/>
                <w:lang w:val="fr-CH"/>
              </w:rPr>
              <w:t>RS</w:t>
            </w:r>
          </w:p>
        </w:tc>
        <w:tc>
          <w:tcPr>
            <w:tcW w:w="8220" w:type="dxa"/>
          </w:tcPr>
          <w:p w:rsidR="00833FEA" w:rsidRPr="009934E7" w:rsidRDefault="00833FEA" w:rsidP="006E15E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9934E7">
              <w:rPr>
                <w:sz w:val="20"/>
                <w:lang w:val="fr-CH"/>
              </w:rPr>
              <w:t>Systèmes de télédétection</w:t>
            </w:r>
          </w:p>
        </w:tc>
      </w:tr>
      <w:tr w:rsidR="00833FEA" w:rsidRPr="009934E7">
        <w:tc>
          <w:tcPr>
            <w:tcW w:w="1140" w:type="dxa"/>
          </w:tcPr>
          <w:p w:rsidR="00833FEA" w:rsidRPr="009934E7" w:rsidRDefault="00833FEA" w:rsidP="006E15EE">
            <w:pPr>
              <w:spacing w:before="30" w:after="30"/>
              <w:ind w:left="57"/>
              <w:jc w:val="left"/>
              <w:rPr>
                <w:b/>
                <w:bCs/>
                <w:sz w:val="20"/>
                <w:lang w:val="fr-CH"/>
              </w:rPr>
            </w:pPr>
            <w:r w:rsidRPr="009934E7">
              <w:rPr>
                <w:b/>
                <w:bCs/>
                <w:sz w:val="20"/>
                <w:lang w:val="fr-CH"/>
              </w:rPr>
              <w:t>S</w:t>
            </w:r>
          </w:p>
        </w:tc>
        <w:tc>
          <w:tcPr>
            <w:tcW w:w="8220" w:type="dxa"/>
          </w:tcPr>
          <w:p w:rsidR="00833FEA" w:rsidRPr="009934E7" w:rsidRDefault="00833FEA" w:rsidP="006E15EE">
            <w:pPr>
              <w:spacing w:before="30" w:after="30"/>
              <w:jc w:val="left"/>
              <w:rPr>
                <w:sz w:val="20"/>
                <w:lang w:val="fr-CH"/>
              </w:rPr>
            </w:pPr>
            <w:r w:rsidRPr="009934E7">
              <w:rPr>
                <w:sz w:val="20"/>
                <w:lang w:val="fr-CH"/>
              </w:rPr>
              <w:t>Service fixe par satellite</w:t>
            </w:r>
          </w:p>
        </w:tc>
      </w:tr>
      <w:tr w:rsidR="00833FEA" w:rsidRPr="009934E7">
        <w:tc>
          <w:tcPr>
            <w:tcW w:w="1140" w:type="dxa"/>
          </w:tcPr>
          <w:p w:rsidR="00833FEA" w:rsidRPr="009934E7" w:rsidRDefault="00833FEA" w:rsidP="006E15EE">
            <w:pPr>
              <w:spacing w:before="30" w:after="30"/>
              <w:ind w:left="57"/>
              <w:jc w:val="left"/>
              <w:rPr>
                <w:b/>
                <w:bCs/>
                <w:sz w:val="20"/>
                <w:lang w:val="fr-CH"/>
              </w:rPr>
            </w:pPr>
            <w:r w:rsidRPr="009934E7">
              <w:rPr>
                <w:b/>
                <w:bCs/>
                <w:sz w:val="20"/>
                <w:lang w:val="fr-CH"/>
              </w:rPr>
              <w:t>SA</w:t>
            </w:r>
          </w:p>
        </w:tc>
        <w:tc>
          <w:tcPr>
            <w:tcW w:w="8220" w:type="dxa"/>
          </w:tcPr>
          <w:p w:rsidR="00833FEA" w:rsidRPr="009934E7" w:rsidRDefault="00833FEA" w:rsidP="006E15EE">
            <w:pPr>
              <w:spacing w:before="30" w:after="30"/>
              <w:jc w:val="left"/>
              <w:rPr>
                <w:sz w:val="20"/>
                <w:lang w:val="fr-CH"/>
              </w:rPr>
            </w:pPr>
            <w:r w:rsidRPr="009934E7">
              <w:rPr>
                <w:sz w:val="20"/>
                <w:lang w:val="fr-CH"/>
              </w:rPr>
              <w:t>Applications spatiales et météorologie</w:t>
            </w:r>
          </w:p>
        </w:tc>
      </w:tr>
      <w:tr w:rsidR="00833FEA" w:rsidRPr="009934E7">
        <w:tc>
          <w:tcPr>
            <w:tcW w:w="1140" w:type="dxa"/>
          </w:tcPr>
          <w:p w:rsidR="00833FEA" w:rsidRPr="009934E7" w:rsidRDefault="00833FEA" w:rsidP="006E15EE">
            <w:pPr>
              <w:spacing w:before="30" w:after="30"/>
              <w:ind w:left="57"/>
              <w:jc w:val="left"/>
              <w:rPr>
                <w:b/>
                <w:bCs/>
                <w:sz w:val="20"/>
                <w:lang w:val="fr-CH"/>
              </w:rPr>
            </w:pPr>
            <w:r w:rsidRPr="009934E7">
              <w:rPr>
                <w:b/>
                <w:bCs/>
                <w:sz w:val="20"/>
                <w:lang w:val="fr-CH"/>
              </w:rPr>
              <w:t>SF</w:t>
            </w:r>
          </w:p>
        </w:tc>
        <w:tc>
          <w:tcPr>
            <w:tcW w:w="8220" w:type="dxa"/>
          </w:tcPr>
          <w:p w:rsidR="00833FEA" w:rsidRPr="009934E7" w:rsidRDefault="00833FEA" w:rsidP="006E15EE">
            <w:pPr>
              <w:spacing w:before="30" w:after="30"/>
              <w:jc w:val="left"/>
              <w:rPr>
                <w:sz w:val="20"/>
                <w:lang w:val="fr-CH"/>
              </w:rPr>
            </w:pPr>
            <w:r w:rsidRPr="009934E7">
              <w:rPr>
                <w:sz w:val="20"/>
                <w:lang w:val="fr-CH"/>
              </w:rPr>
              <w:t>Partage des fréquences et coordination entre les systèmes du service fixe par satellite et du service fixe</w:t>
            </w:r>
          </w:p>
        </w:tc>
      </w:tr>
      <w:tr w:rsidR="00833FEA" w:rsidRPr="009934E7">
        <w:tc>
          <w:tcPr>
            <w:tcW w:w="1140" w:type="dxa"/>
            <w:shd w:val="clear" w:color="auto" w:fill="auto"/>
          </w:tcPr>
          <w:p w:rsidR="00833FEA" w:rsidRPr="009934E7" w:rsidRDefault="00833FEA" w:rsidP="006E15EE">
            <w:pPr>
              <w:spacing w:before="30" w:after="30"/>
              <w:ind w:left="57"/>
              <w:jc w:val="left"/>
              <w:rPr>
                <w:b/>
                <w:bCs/>
                <w:sz w:val="20"/>
                <w:lang w:val="fr-CH"/>
              </w:rPr>
            </w:pPr>
            <w:r w:rsidRPr="009934E7">
              <w:rPr>
                <w:b/>
                <w:bCs/>
                <w:sz w:val="20"/>
                <w:lang w:val="fr-CH"/>
              </w:rPr>
              <w:t>SM</w:t>
            </w:r>
          </w:p>
        </w:tc>
        <w:tc>
          <w:tcPr>
            <w:tcW w:w="8220" w:type="dxa"/>
            <w:shd w:val="clear" w:color="auto" w:fill="auto"/>
          </w:tcPr>
          <w:p w:rsidR="00833FEA" w:rsidRPr="009934E7" w:rsidRDefault="00833FEA" w:rsidP="006E15EE">
            <w:pPr>
              <w:spacing w:before="30" w:after="30"/>
              <w:jc w:val="left"/>
              <w:rPr>
                <w:sz w:val="20"/>
                <w:lang w:val="fr-CH"/>
              </w:rPr>
            </w:pPr>
            <w:r w:rsidRPr="009934E7">
              <w:rPr>
                <w:sz w:val="20"/>
                <w:lang w:val="fr-CH"/>
              </w:rPr>
              <w:t>Gestion du spectre</w:t>
            </w:r>
          </w:p>
        </w:tc>
      </w:tr>
      <w:tr w:rsidR="00833FEA" w:rsidRPr="009934E7">
        <w:tc>
          <w:tcPr>
            <w:tcW w:w="1140" w:type="dxa"/>
          </w:tcPr>
          <w:p w:rsidR="00833FEA" w:rsidRPr="009934E7" w:rsidRDefault="00833FEA" w:rsidP="006E15EE">
            <w:pPr>
              <w:spacing w:before="30" w:after="30"/>
              <w:ind w:left="57"/>
              <w:jc w:val="left"/>
              <w:rPr>
                <w:b/>
                <w:bCs/>
                <w:sz w:val="20"/>
                <w:lang w:val="fr-CH"/>
              </w:rPr>
            </w:pPr>
            <w:r w:rsidRPr="009934E7">
              <w:rPr>
                <w:b/>
                <w:bCs/>
                <w:sz w:val="20"/>
                <w:lang w:val="fr-CH"/>
              </w:rPr>
              <w:t>SNG</w:t>
            </w:r>
          </w:p>
        </w:tc>
        <w:tc>
          <w:tcPr>
            <w:tcW w:w="8220" w:type="dxa"/>
          </w:tcPr>
          <w:p w:rsidR="00833FEA" w:rsidRPr="009934E7" w:rsidRDefault="00833FEA" w:rsidP="006E15EE">
            <w:pPr>
              <w:spacing w:before="30" w:after="30"/>
              <w:jc w:val="left"/>
              <w:rPr>
                <w:sz w:val="20"/>
                <w:lang w:val="fr-CH"/>
              </w:rPr>
            </w:pPr>
            <w:r w:rsidRPr="009934E7">
              <w:rPr>
                <w:sz w:val="20"/>
                <w:lang w:val="fr-CH"/>
              </w:rPr>
              <w:t>Reportage d'actualités par satellite</w:t>
            </w:r>
          </w:p>
        </w:tc>
      </w:tr>
      <w:tr w:rsidR="00833FEA" w:rsidRPr="009934E7">
        <w:tc>
          <w:tcPr>
            <w:tcW w:w="1140" w:type="dxa"/>
          </w:tcPr>
          <w:p w:rsidR="00833FEA" w:rsidRPr="009934E7" w:rsidRDefault="00833FEA" w:rsidP="006E15EE">
            <w:pPr>
              <w:spacing w:before="30" w:after="30"/>
              <w:ind w:left="57"/>
              <w:jc w:val="left"/>
              <w:rPr>
                <w:b/>
                <w:bCs/>
                <w:sz w:val="20"/>
                <w:lang w:val="fr-CH"/>
              </w:rPr>
            </w:pPr>
            <w:r w:rsidRPr="009934E7">
              <w:rPr>
                <w:b/>
                <w:bCs/>
                <w:sz w:val="20"/>
                <w:lang w:val="fr-CH"/>
              </w:rPr>
              <w:t>TF</w:t>
            </w:r>
          </w:p>
        </w:tc>
        <w:tc>
          <w:tcPr>
            <w:tcW w:w="8220" w:type="dxa"/>
          </w:tcPr>
          <w:p w:rsidR="00833FEA" w:rsidRPr="009934E7" w:rsidRDefault="00833FEA" w:rsidP="006E15EE">
            <w:pPr>
              <w:spacing w:before="30" w:after="30"/>
              <w:jc w:val="left"/>
              <w:rPr>
                <w:sz w:val="20"/>
                <w:lang w:val="fr-CH"/>
              </w:rPr>
            </w:pPr>
            <w:r w:rsidRPr="009934E7">
              <w:rPr>
                <w:sz w:val="20"/>
                <w:lang w:val="fr-CH"/>
              </w:rPr>
              <w:t>Emissions de fréquences étalon et de signaux horaires</w:t>
            </w:r>
          </w:p>
        </w:tc>
      </w:tr>
      <w:tr w:rsidR="00833FEA" w:rsidRPr="009934E7">
        <w:tc>
          <w:tcPr>
            <w:tcW w:w="1140" w:type="dxa"/>
          </w:tcPr>
          <w:p w:rsidR="00833FEA" w:rsidRPr="009934E7" w:rsidRDefault="00833FEA" w:rsidP="006E15EE">
            <w:pPr>
              <w:spacing w:before="30" w:after="30"/>
              <w:ind w:left="57"/>
              <w:jc w:val="left"/>
              <w:rPr>
                <w:b/>
                <w:bCs/>
                <w:sz w:val="20"/>
                <w:lang w:val="fr-CH"/>
              </w:rPr>
            </w:pPr>
            <w:r w:rsidRPr="009934E7">
              <w:rPr>
                <w:b/>
                <w:bCs/>
                <w:sz w:val="20"/>
                <w:lang w:val="fr-CH"/>
              </w:rPr>
              <w:t>V</w:t>
            </w:r>
          </w:p>
        </w:tc>
        <w:tc>
          <w:tcPr>
            <w:tcW w:w="8220" w:type="dxa"/>
          </w:tcPr>
          <w:p w:rsidR="00833FEA" w:rsidRPr="009934E7" w:rsidRDefault="00833FEA" w:rsidP="006E15EE">
            <w:pPr>
              <w:spacing w:before="30" w:after="140"/>
              <w:jc w:val="left"/>
              <w:rPr>
                <w:sz w:val="20"/>
                <w:lang w:val="fr-CH"/>
              </w:rPr>
            </w:pPr>
            <w:r w:rsidRPr="009934E7">
              <w:rPr>
                <w:sz w:val="20"/>
                <w:lang w:val="fr-CH"/>
              </w:rPr>
              <w:t>Vocabulaire et sujets associés</w:t>
            </w:r>
          </w:p>
        </w:tc>
      </w:tr>
    </w:tbl>
    <w:p w:rsidR="00833FEA" w:rsidRPr="009934E7" w:rsidRDefault="00833FEA" w:rsidP="006E15EE">
      <w:pPr>
        <w:spacing w:before="0"/>
        <w:jc w:val="center"/>
        <w:rPr>
          <w:sz w:val="20"/>
          <w:lang w:val="fr-CH"/>
        </w:rPr>
      </w:pPr>
    </w:p>
    <w:p w:rsidR="00833FEA" w:rsidRPr="009934E7" w:rsidRDefault="00833FEA" w:rsidP="006E15EE">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833FEA" w:rsidRPr="009934E7">
        <w:tc>
          <w:tcPr>
            <w:tcW w:w="9360" w:type="dxa"/>
          </w:tcPr>
          <w:p w:rsidR="00833FEA" w:rsidRPr="009934E7" w:rsidRDefault="00833FEA" w:rsidP="006E15EE">
            <w:pPr>
              <w:spacing w:before="80" w:after="80"/>
              <w:jc w:val="left"/>
              <w:rPr>
                <w:i/>
                <w:iCs/>
                <w:sz w:val="20"/>
                <w:lang w:val="fr-CH"/>
              </w:rPr>
            </w:pPr>
            <w:r w:rsidRPr="009934E7">
              <w:rPr>
                <w:b/>
                <w:bCs/>
                <w:i/>
                <w:iCs/>
                <w:sz w:val="20"/>
                <w:lang w:val="fr-CH"/>
              </w:rPr>
              <w:t>Note</w:t>
            </w:r>
            <w:r w:rsidRPr="009934E7">
              <w:rPr>
                <w:i/>
                <w:iCs/>
                <w:sz w:val="20"/>
                <w:lang w:val="fr-CH"/>
              </w:rPr>
              <w:t>: Cette Recommandation UIT-R a été approuvée en anglais aux termes de la procédure détaillée dans la</w:t>
            </w:r>
            <w:r w:rsidRPr="009934E7">
              <w:rPr>
                <w:i/>
                <w:iCs/>
                <w:sz w:val="20"/>
                <w:lang w:val="fr-CH"/>
              </w:rPr>
              <w:br/>
              <w:t xml:space="preserve">Résolution UIT-R 1. </w:t>
            </w:r>
          </w:p>
        </w:tc>
      </w:tr>
    </w:tbl>
    <w:p w:rsidR="00833FEA" w:rsidRPr="009934E7" w:rsidRDefault="00833FEA" w:rsidP="006E15EE">
      <w:pPr>
        <w:spacing w:before="0"/>
        <w:jc w:val="center"/>
        <w:rPr>
          <w:sz w:val="22"/>
          <w:lang w:val="fr-CH"/>
        </w:rPr>
      </w:pPr>
    </w:p>
    <w:p w:rsidR="00833FEA" w:rsidRPr="009934E7" w:rsidRDefault="00833FEA" w:rsidP="006E15EE">
      <w:pPr>
        <w:spacing w:before="100"/>
        <w:jc w:val="right"/>
        <w:rPr>
          <w:i/>
          <w:iCs/>
          <w:sz w:val="20"/>
          <w:lang w:val="fr-CH"/>
        </w:rPr>
      </w:pPr>
      <w:r w:rsidRPr="009934E7">
        <w:rPr>
          <w:i/>
          <w:iCs/>
          <w:sz w:val="20"/>
          <w:lang w:val="fr-CH"/>
        </w:rPr>
        <w:t>Publication électronique</w:t>
      </w:r>
    </w:p>
    <w:p w:rsidR="00833FEA" w:rsidRPr="009934E7" w:rsidRDefault="00833FEA" w:rsidP="00105CE7">
      <w:pPr>
        <w:spacing w:before="0"/>
        <w:jc w:val="right"/>
        <w:rPr>
          <w:sz w:val="20"/>
          <w:lang w:val="fr-CH"/>
        </w:rPr>
      </w:pPr>
      <w:r w:rsidRPr="009934E7">
        <w:rPr>
          <w:sz w:val="20"/>
          <w:lang w:val="fr-CH"/>
        </w:rPr>
        <w:t>Genève, 201</w:t>
      </w:r>
      <w:r w:rsidR="00985452">
        <w:rPr>
          <w:sz w:val="20"/>
          <w:lang w:val="fr-CH"/>
        </w:rPr>
        <w:t>5</w:t>
      </w:r>
    </w:p>
    <w:p w:rsidR="00833FEA" w:rsidRPr="009934E7" w:rsidRDefault="00833FEA" w:rsidP="00105CE7">
      <w:pPr>
        <w:spacing w:before="200"/>
        <w:jc w:val="center"/>
        <w:rPr>
          <w:sz w:val="20"/>
          <w:lang w:val="fr-CH"/>
        </w:rPr>
      </w:pPr>
      <w:r w:rsidRPr="009934E7">
        <w:rPr>
          <w:sz w:val="20"/>
          <w:lang w:val="fr-CH"/>
        </w:rPr>
        <w:sym w:font="Symbol" w:char="F0E3"/>
      </w:r>
      <w:r w:rsidRPr="009934E7">
        <w:rPr>
          <w:sz w:val="20"/>
          <w:lang w:val="fr-CH"/>
        </w:rPr>
        <w:t xml:space="preserve"> UIT </w:t>
      </w:r>
      <w:bookmarkStart w:id="2" w:name="iiannee"/>
      <w:bookmarkEnd w:id="2"/>
      <w:r w:rsidRPr="009934E7">
        <w:rPr>
          <w:sz w:val="20"/>
          <w:lang w:val="fr-CH"/>
        </w:rPr>
        <w:t>201</w:t>
      </w:r>
      <w:r w:rsidR="00985452">
        <w:rPr>
          <w:sz w:val="20"/>
          <w:lang w:val="fr-CH"/>
        </w:rPr>
        <w:t>5</w:t>
      </w:r>
    </w:p>
    <w:p w:rsidR="00833FEA" w:rsidRPr="009934E7" w:rsidRDefault="00833FEA" w:rsidP="006E15EE">
      <w:pPr>
        <w:rPr>
          <w:sz w:val="18"/>
          <w:szCs w:val="18"/>
          <w:lang w:val="fr-CH"/>
        </w:rPr>
      </w:pPr>
      <w:r w:rsidRPr="009934E7">
        <w:rPr>
          <w:sz w:val="18"/>
          <w:szCs w:val="18"/>
          <w:lang w:val="fr-CH"/>
        </w:rPr>
        <w:t>Tous droits réservés. Aucune partie de cette publication ne peut être reproduite, par quelque procédé que ce soit, sans l’accord écrit préalable de l’UIT.</w:t>
      </w:r>
    </w:p>
    <w:p w:rsidR="00833FEA" w:rsidRPr="009934E7" w:rsidRDefault="00833FEA" w:rsidP="006E15EE">
      <w:pPr>
        <w:spacing w:before="160"/>
        <w:rPr>
          <w:i/>
          <w:sz w:val="20"/>
          <w:highlight w:val="yellow"/>
          <w:lang w:val="fr-CH"/>
        </w:rPr>
        <w:sectPr w:rsidR="00833FEA" w:rsidRPr="009934E7" w:rsidSect="006E15EE">
          <w:headerReference w:type="even" r:id="rId11"/>
          <w:headerReference w:type="default" r:id="rId12"/>
          <w:pgSz w:w="11907" w:h="16834" w:code="9"/>
          <w:pgMar w:top="1418" w:right="1134" w:bottom="1134" w:left="1134" w:header="720" w:footer="482" w:gutter="0"/>
          <w:pgNumType w:fmt="lowerRoman" w:start="2"/>
          <w:cols w:space="720"/>
        </w:sectPr>
      </w:pPr>
    </w:p>
    <w:p w:rsidR="00833FEA" w:rsidRPr="009934E7" w:rsidRDefault="00833FEA" w:rsidP="00105CE7">
      <w:pPr>
        <w:pStyle w:val="RecNo"/>
        <w:spacing w:before="0"/>
        <w:rPr>
          <w:lang w:val="fr-CH"/>
        </w:rPr>
      </w:pPr>
      <w:bookmarkStart w:id="3" w:name="irecnoe"/>
      <w:bookmarkEnd w:id="3"/>
      <w:r w:rsidRPr="009934E7">
        <w:rPr>
          <w:lang w:val="fr-CH"/>
        </w:rPr>
        <w:lastRenderedPageBreak/>
        <w:t xml:space="preserve">RECOMMANDATION  </w:t>
      </w:r>
      <w:r w:rsidRPr="009934E7">
        <w:rPr>
          <w:rStyle w:val="href"/>
          <w:lang w:val="fr-CH"/>
        </w:rPr>
        <w:t>UIT-R  F.</w:t>
      </w:r>
      <w:r w:rsidR="0067581D" w:rsidRPr="009934E7">
        <w:rPr>
          <w:rStyle w:val="href"/>
          <w:lang w:val="fr-CH"/>
        </w:rPr>
        <w:t>5</w:t>
      </w:r>
      <w:r w:rsidR="00105CE7" w:rsidRPr="009934E7">
        <w:rPr>
          <w:rStyle w:val="href"/>
          <w:lang w:val="fr-CH"/>
        </w:rPr>
        <w:t>57</w:t>
      </w:r>
      <w:r w:rsidR="0067581D" w:rsidRPr="009934E7">
        <w:rPr>
          <w:rStyle w:val="href"/>
          <w:lang w:val="fr-CH"/>
        </w:rPr>
        <w:t>-</w:t>
      </w:r>
      <w:r w:rsidR="00105CE7" w:rsidRPr="009934E7">
        <w:rPr>
          <w:rStyle w:val="href"/>
          <w:lang w:val="fr-CH"/>
        </w:rPr>
        <w:t>5</w:t>
      </w:r>
    </w:p>
    <w:p w:rsidR="00833FEA" w:rsidRPr="009934E7" w:rsidRDefault="00105CE7" w:rsidP="00833FEA">
      <w:pPr>
        <w:pStyle w:val="Rectitle"/>
        <w:rPr>
          <w:lang w:val="fr-CH"/>
        </w:rPr>
      </w:pPr>
      <w:r w:rsidRPr="009934E7">
        <w:rPr>
          <w:lang w:val="fr-CH"/>
        </w:rPr>
        <w:t xml:space="preserve">Objectif de disponibilité d'un conduit numérique fictif de référence </w:t>
      </w:r>
      <w:r w:rsidR="00985452">
        <w:rPr>
          <w:lang w:val="fr-CH"/>
        </w:rPr>
        <w:br/>
      </w:r>
      <w:r w:rsidRPr="009934E7">
        <w:rPr>
          <w:lang w:val="fr-CH"/>
        </w:rPr>
        <w:t>pour les faisceaux hertziens</w:t>
      </w:r>
    </w:p>
    <w:p w:rsidR="00833FEA" w:rsidRPr="009934E7" w:rsidRDefault="00105CE7" w:rsidP="00833FEA">
      <w:pPr>
        <w:pStyle w:val="Recdate"/>
        <w:rPr>
          <w:lang w:val="fr-CH"/>
        </w:rPr>
      </w:pPr>
      <w:r w:rsidRPr="009934E7">
        <w:rPr>
          <w:lang w:val="fr-CH"/>
        </w:rPr>
        <w:t>(1978-1986-1990-1991-1997-2014)</w:t>
      </w:r>
    </w:p>
    <w:p w:rsidR="00833FEA" w:rsidRPr="009934E7" w:rsidRDefault="00833FEA">
      <w:pPr>
        <w:pStyle w:val="HeadingSum"/>
        <w:rPr>
          <w:lang w:val="fr-CH"/>
        </w:rPr>
        <w:pPrChange w:id="4" w:author="Drouiller, Isabelle" w:date="2012-12-06T18:39:00Z">
          <w:pPr>
            <w:pStyle w:val="AnnexNoTitle"/>
          </w:pPr>
        </w:pPrChange>
      </w:pPr>
      <w:r w:rsidRPr="009934E7">
        <w:rPr>
          <w:lang w:val="fr-CH"/>
        </w:rPr>
        <w:t>Domaine d'application</w:t>
      </w:r>
    </w:p>
    <w:p w:rsidR="00BE3E19" w:rsidRPr="00C22D7C" w:rsidRDefault="00BE3E19" w:rsidP="00985452">
      <w:pPr>
        <w:pStyle w:val="Summary"/>
        <w:spacing w:after="0"/>
        <w:rPr>
          <w:lang w:eastAsia="ja-JP"/>
        </w:rPr>
      </w:pPr>
      <w:r w:rsidRPr="00C22D7C">
        <w:rPr>
          <w:lang w:eastAsia="ja-JP"/>
        </w:rPr>
        <w:t xml:space="preserve">La présente Recommandation </w:t>
      </w:r>
      <w:r w:rsidR="004F6CE3" w:rsidRPr="00C22D7C">
        <w:rPr>
          <w:lang w:eastAsia="ja-JP"/>
        </w:rPr>
        <w:t xml:space="preserve">donne </w:t>
      </w:r>
      <w:r w:rsidRPr="00C22D7C">
        <w:rPr>
          <w:lang w:eastAsia="ja-JP"/>
        </w:rPr>
        <w:t>l'objectif de disponibilité d'un conduit numérique fictif de référence (CNFR) pour les faisceaux hertziens</w:t>
      </w:r>
      <w:r w:rsidR="004060F1" w:rsidRPr="00C22D7C">
        <w:rPr>
          <w:lang w:eastAsia="ja-JP"/>
        </w:rPr>
        <w:t>,</w:t>
      </w:r>
      <w:r w:rsidRPr="00C22D7C">
        <w:rPr>
          <w:lang w:eastAsia="ja-JP"/>
        </w:rPr>
        <w:t xml:space="preserve"> </w:t>
      </w:r>
      <w:r w:rsidR="004060F1" w:rsidRPr="00C22D7C">
        <w:rPr>
          <w:lang w:eastAsia="ja-JP"/>
        </w:rPr>
        <w:t>définit l</w:t>
      </w:r>
      <w:r w:rsidRPr="00C22D7C">
        <w:rPr>
          <w:lang w:eastAsia="ja-JP"/>
        </w:rPr>
        <w:t xml:space="preserve">'indisponibilité d'un CNFR et </w:t>
      </w:r>
      <w:r w:rsidR="004060F1" w:rsidRPr="00C22D7C">
        <w:rPr>
          <w:lang w:eastAsia="ja-JP"/>
        </w:rPr>
        <w:t xml:space="preserve">indique </w:t>
      </w:r>
      <w:r w:rsidRPr="00C22D7C">
        <w:rPr>
          <w:lang w:eastAsia="ja-JP"/>
        </w:rPr>
        <w:t xml:space="preserve">les facteurs à prendre en compte pour l'évaluation de l'indisponibilité. Elle </w:t>
      </w:r>
      <w:r w:rsidR="004F6CE3" w:rsidRPr="00C22D7C">
        <w:rPr>
          <w:lang w:eastAsia="ja-JP"/>
        </w:rPr>
        <w:t xml:space="preserve">donne </w:t>
      </w:r>
      <w:r w:rsidRPr="00C22D7C">
        <w:rPr>
          <w:lang w:eastAsia="ja-JP"/>
        </w:rPr>
        <w:t>aussi des indications sur la disponibilité et la fiabilité des faisceaux hertziens.</w:t>
      </w:r>
    </w:p>
    <w:p w:rsidR="00BE3E19" w:rsidRPr="00C22D7C" w:rsidRDefault="00BE3E19" w:rsidP="00985452">
      <w:pPr>
        <w:pStyle w:val="Summary"/>
        <w:spacing w:after="0"/>
        <w:rPr>
          <w:lang w:eastAsia="ja-JP"/>
        </w:rPr>
      </w:pPr>
      <w:r w:rsidRPr="00C22D7C">
        <w:rPr>
          <w:lang w:eastAsia="ja-JP"/>
        </w:rPr>
        <w:t>Il convient de noter que la présente Recommandation ne peut être utilisée que pour les systèmes conçus avant l'approbation de la Recommandation UIT-R F.1703 en 2005.</w:t>
      </w:r>
    </w:p>
    <w:p w:rsidR="00105CE7" w:rsidRPr="00C22D7C" w:rsidRDefault="00BE3E19" w:rsidP="00985452">
      <w:pPr>
        <w:pStyle w:val="Summary"/>
        <w:rPr>
          <w:lang w:eastAsia="ja-JP"/>
        </w:rPr>
      </w:pPr>
      <w:r w:rsidRPr="00C22D7C">
        <w:rPr>
          <w:lang w:eastAsia="ja-JP"/>
        </w:rPr>
        <w:t xml:space="preserve">La </w:t>
      </w:r>
      <w:r w:rsidR="00105CE7" w:rsidRPr="00C22D7C">
        <w:rPr>
          <w:lang w:eastAsia="ja-JP"/>
        </w:rPr>
        <w:t>r</w:t>
      </w:r>
      <w:r w:rsidRPr="00C22D7C">
        <w:rPr>
          <w:lang w:eastAsia="ja-JP"/>
        </w:rPr>
        <w:t>é</w:t>
      </w:r>
      <w:r w:rsidR="00105CE7" w:rsidRPr="00C22D7C">
        <w:rPr>
          <w:lang w:eastAsia="ja-JP"/>
        </w:rPr>
        <w:t>f</w:t>
      </w:r>
      <w:r w:rsidRPr="00C22D7C">
        <w:rPr>
          <w:lang w:eastAsia="ja-JP"/>
        </w:rPr>
        <w:t>é</w:t>
      </w:r>
      <w:r w:rsidR="00105CE7" w:rsidRPr="00C22D7C">
        <w:rPr>
          <w:lang w:eastAsia="ja-JP"/>
        </w:rPr>
        <w:t xml:space="preserve">rence </w:t>
      </w:r>
      <w:r w:rsidRPr="00C22D7C">
        <w:rPr>
          <w:lang w:eastAsia="ja-JP"/>
        </w:rPr>
        <w:t>au circuit fictif de référence et les informations relatives aux systèmes analogiques sont supprimées dans cette versi</w:t>
      </w:r>
      <w:r w:rsidR="004F6CE3" w:rsidRPr="00C22D7C">
        <w:rPr>
          <w:lang w:eastAsia="ja-JP"/>
        </w:rPr>
        <w:t>o</w:t>
      </w:r>
      <w:r w:rsidRPr="00C22D7C">
        <w:rPr>
          <w:lang w:eastAsia="ja-JP"/>
        </w:rPr>
        <w:t>n révisée</w:t>
      </w:r>
      <w:r w:rsidR="00105CE7" w:rsidRPr="00C22D7C">
        <w:rPr>
          <w:lang w:eastAsia="ja-JP"/>
        </w:rPr>
        <w:t xml:space="preserve">. </w:t>
      </w:r>
      <w:r w:rsidR="009934E7" w:rsidRPr="00C22D7C">
        <w:rPr>
          <w:lang w:eastAsia="ja-JP"/>
        </w:rPr>
        <w:t xml:space="preserve">Pour consulter ces </w:t>
      </w:r>
      <w:r w:rsidR="00105CE7" w:rsidRPr="00C22D7C">
        <w:rPr>
          <w:lang w:eastAsia="ja-JP"/>
        </w:rPr>
        <w:t>information</w:t>
      </w:r>
      <w:r w:rsidR="009934E7" w:rsidRPr="00C22D7C">
        <w:rPr>
          <w:lang w:eastAsia="ja-JP"/>
        </w:rPr>
        <w:t>s</w:t>
      </w:r>
      <w:r w:rsidR="00105CE7" w:rsidRPr="00C22D7C">
        <w:rPr>
          <w:lang w:eastAsia="ja-JP"/>
        </w:rPr>
        <w:t xml:space="preserve">, </w:t>
      </w:r>
      <w:r w:rsidR="009934E7" w:rsidRPr="00C22D7C">
        <w:rPr>
          <w:lang w:eastAsia="ja-JP"/>
        </w:rPr>
        <w:t xml:space="preserve">voir la version précédente de la présente </w:t>
      </w:r>
      <w:r w:rsidR="00105CE7" w:rsidRPr="00C22D7C">
        <w:rPr>
          <w:lang w:eastAsia="ja-JP"/>
        </w:rPr>
        <w:t>Recomm</w:t>
      </w:r>
      <w:r w:rsidR="009934E7" w:rsidRPr="00C22D7C">
        <w:rPr>
          <w:lang w:eastAsia="ja-JP"/>
        </w:rPr>
        <w:t>a</w:t>
      </w:r>
      <w:r w:rsidR="00105CE7" w:rsidRPr="00C22D7C">
        <w:rPr>
          <w:lang w:eastAsia="ja-JP"/>
        </w:rPr>
        <w:t xml:space="preserve">ndation, </w:t>
      </w:r>
      <w:r w:rsidR="009934E7" w:rsidRPr="00C22D7C">
        <w:rPr>
          <w:lang w:eastAsia="ja-JP"/>
        </w:rPr>
        <w:t xml:space="preserve">ainsi que le </w:t>
      </w:r>
      <w:r w:rsidR="00105CE7" w:rsidRPr="00C22D7C">
        <w:rPr>
          <w:lang w:eastAsia="ja-JP"/>
        </w:rPr>
        <w:t xml:space="preserve">guide </w:t>
      </w:r>
      <w:r w:rsidR="009934E7" w:rsidRPr="00C22D7C">
        <w:rPr>
          <w:lang w:eastAsia="ja-JP"/>
        </w:rPr>
        <w:t xml:space="preserve">donnant la liste des </w:t>
      </w:r>
      <w:r w:rsidR="00105CE7" w:rsidRPr="00C22D7C">
        <w:rPr>
          <w:lang w:eastAsia="ja-JP"/>
        </w:rPr>
        <w:t>Recomm</w:t>
      </w:r>
      <w:r w:rsidR="009934E7" w:rsidRPr="00C22D7C">
        <w:rPr>
          <w:lang w:eastAsia="ja-JP"/>
        </w:rPr>
        <w:t>a</w:t>
      </w:r>
      <w:r w:rsidR="00105CE7" w:rsidRPr="00C22D7C">
        <w:rPr>
          <w:lang w:eastAsia="ja-JP"/>
        </w:rPr>
        <w:t xml:space="preserve">ndations </w:t>
      </w:r>
      <w:r w:rsidR="009934E7" w:rsidRPr="00C22D7C">
        <w:rPr>
          <w:lang w:eastAsia="ja-JP"/>
        </w:rPr>
        <w:t>UIT</w:t>
      </w:r>
      <w:r w:rsidR="009934E7" w:rsidRPr="00C22D7C">
        <w:rPr>
          <w:lang w:eastAsia="ja-JP"/>
        </w:rPr>
        <w:noBreakHyphen/>
        <w:t xml:space="preserve">R sur les systèmes analogiques du </w:t>
      </w:r>
      <w:r w:rsidR="00105CE7" w:rsidRPr="00C22D7C">
        <w:rPr>
          <w:lang w:eastAsia="ja-JP"/>
        </w:rPr>
        <w:t xml:space="preserve">service </w:t>
      </w:r>
      <w:r w:rsidR="009934E7" w:rsidRPr="00C22D7C">
        <w:rPr>
          <w:lang w:eastAsia="ja-JP"/>
        </w:rPr>
        <w:t xml:space="preserve">fixe dans les bandes de fréquences au-dessus de </w:t>
      </w:r>
      <w:r w:rsidR="00105CE7" w:rsidRPr="00C22D7C">
        <w:rPr>
          <w:lang w:eastAsia="ja-JP"/>
        </w:rPr>
        <w:t>30 MHz (</w:t>
      </w:r>
      <w:r w:rsidR="009934E7" w:rsidRPr="00C22D7C">
        <w:rPr>
          <w:lang w:eastAsia="ja-JP"/>
        </w:rPr>
        <w:t xml:space="preserve">ce </w:t>
      </w:r>
      <w:r w:rsidR="00105CE7" w:rsidRPr="00C22D7C">
        <w:rPr>
          <w:lang w:eastAsia="ja-JP"/>
        </w:rPr>
        <w:t xml:space="preserve">document </w:t>
      </w:r>
      <w:r w:rsidR="009934E7" w:rsidRPr="00C22D7C">
        <w:rPr>
          <w:lang w:eastAsia="ja-JP"/>
        </w:rPr>
        <w:t xml:space="preserve">est disponible sur la page </w:t>
      </w:r>
      <w:r w:rsidR="00105CE7" w:rsidRPr="00C22D7C">
        <w:rPr>
          <w:lang w:eastAsia="ja-JP"/>
        </w:rPr>
        <w:t xml:space="preserve">web </w:t>
      </w:r>
      <w:r w:rsidR="009934E7" w:rsidRPr="00C22D7C">
        <w:rPr>
          <w:lang w:eastAsia="ja-JP"/>
        </w:rPr>
        <w:t xml:space="preserve">du </w:t>
      </w:r>
      <w:r w:rsidR="004F6CE3" w:rsidRPr="00C22D7C">
        <w:rPr>
          <w:lang w:eastAsia="ja-JP"/>
        </w:rPr>
        <w:t>G</w:t>
      </w:r>
      <w:r w:rsidR="009934E7" w:rsidRPr="00C22D7C">
        <w:rPr>
          <w:lang w:eastAsia="ja-JP"/>
        </w:rPr>
        <w:t>roupe de travail </w:t>
      </w:r>
      <w:r w:rsidR="00105CE7" w:rsidRPr="00C22D7C">
        <w:rPr>
          <w:lang w:eastAsia="ja-JP"/>
        </w:rPr>
        <w:t>5C</w:t>
      </w:r>
      <w:r w:rsidR="009934E7" w:rsidRPr="00C22D7C">
        <w:rPr>
          <w:lang w:eastAsia="ja-JP"/>
        </w:rPr>
        <w:t xml:space="preserve"> de l'UIT</w:t>
      </w:r>
      <w:r w:rsidR="009934E7" w:rsidRPr="00C22D7C">
        <w:rPr>
          <w:lang w:eastAsia="ja-JP"/>
        </w:rPr>
        <w:noBreakHyphen/>
        <w:t>R</w:t>
      </w:r>
      <w:r w:rsidR="00105CE7" w:rsidRPr="00C22D7C">
        <w:rPr>
          <w:lang w:eastAsia="ja-JP"/>
        </w:rPr>
        <w:t>)</w:t>
      </w:r>
      <w:r w:rsidR="004F6CE3" w:rsidRPr="00C22D7C">
        <w:rPr>
          <w:lang w:eastAsia="ja-JP"/>
        </w:rPr>
        <w:t>.</w:t>
      </w:r>
      <w:r w:rsidR="00105CE7" w:rsidRPr="00C22D7C">
        <w:rPr>
          <w:lang w:eastAsia="ja-JP"/>
        </w:rPr>
        <w:t xml:space="preserve"> </w:t>
      </w:r>
      <w:r w:rsidR="004F6CE3" w:rsidRPr="00C22D7C">
        <w:rPr>
          <w:lang w:eastAsia="ja-JP"/>
        </w:rPr>
        <w:t>C</w:t>
      </w:r>
      <w:r w:rsidR="009934E7" w:rsidRPr="00C22D7C">
        <w:rPr>
          <w:lang w:eastAsia="ja-JP"/>
        </w:rPr>
        <w:t>e guide cont</w:t>
      </w:r>
      <w:r w:rsidR="004F6CE3" w:rsidRPr="00C22D7C">
        <w:rPr>
          <w:lang w:eastAsia="ja-JP"/>
        </w:rPr>
        <w:t xml:space="preserve">ient </w:t>
      </w:r>
      <w:r w:rsidR="009934E7" w:rsidRPr="00C22D7C">
        <w:rPr>
          <w:lang w:eastAsia="ja-JP"/>
        </w:rPr>
        <w:t xml:space="preserve">la liste de toutes les </w:t>
      </w:r>
      <w:r w:rsidR="00105CE7" w:rsidRPr="00C22D7C">
        <w:rPr>
          <w:lang w:eastAsia="ja-JP"/>
        </w:rPr>
        <w:t>Recomm</w:t>
      </w:r>
      <w:r w:rsidR="009934E7" w:rsidRPr="00C22D7C">
        <w:rPr>
          <w:lang w:eastAsia="ja-JP"/>
        </w:rPr>
        <w:t>a</w:t>
      </w:r>
      <w:r w:rsidR="00105CE7" w:rsidRPr="00C22D7C">
        <w:rPr>
          <w:lang w:eastAsia="ja-JP"/>
        </w:rPr>
        <w:t xml:space="preserve">ndations </w:t>
      </w:r>
      <w:r w:rsidR="009934E7" w:rsidRPr="00C22D7C">
        <w:rPr>
          <w:lang w:eastAsia="ja-JP"/>
        </w:rPr>
        <w:t>se rapportant aux systèmes analogiques du service fixe</w:t>
      </w:r>
      <w:r w:rsidR="00105CE7" w:rsidRPr="00C22D7C">
        <w:rPr>
          <w:lang w:eastAsia="ja-JP"/>
        </w:rPr>
        <w:t xml:space="preserve">, </w:t>
      </w:r>
      <w:r w:rsidR="009934E7" w:rsidRPr="00C22D7C">
        <w:rPr>
          <w:lang w:eastAsia="ja-JP"/>
        </w:rPr>
        <w:t>y compris celles qui ont été supprimées</w:t>
      </w:r>
      <w:r w:rsidR="00105CE7" w:rsidRPr="00C22D7C">
        <w:rPr>
          <w:lang w:eastAsia="ja-JP"/>
        </w:rPr>
        <w:t>.</w:t>
      </w:r>
    </w:p>
    <w:p w:rsidR="00105CE7" w:rsidRPr="009934E7" w:rsidRDefault="00105CE7" w:rsidP="00105CE7">
      <w:pPr>
        <w:pStyle w:val="Headingb"/>
        <w:rPr>
          <w:rFonts w:ascii="Times" w:hAnsi="Times"/>
          <w:sz w:val="22"/>
          <w:szCs w:val="22"/>
          <w:lang w:val="fr-CH"/>
        </w:rPr>
      </w:pPr>
      <w:r w:rsidRPr="009934E7">
        <w:rPr>
          <w:sz w:val="22"/>
          <w:szCs w:val="22"/>
          <w:lang w:val="fr-CH"/>
        </w:rPr>
        <w:t>Mots clés</w:t>
      </w:r>
    </w:p>
    <w:p w:rsidR="00105CE7" w:rsidRPr="009934E7" w:rsidRDefault="00105CE7" w:rsidP="004F6CE3">
      <w:pPr>
        <w:rPr>
          <w:sz w:val="22"/>
          <w:szCs w:val="22"/>
          <w:lang w:val="fr-CH" w:eastAsia="ja-JP"/>
        </w:rPr>
      </w:pPr>
      <w:r w:rsidRPr="009934E7">
        <w:rPr>
          <w:sz w:val="22"/>
          <w:szCs w:val="22"/>
          <w:lang w:val="fr-CH" w:eastAsia="ja-JP"/>
        </w:rPr>
        <w:t>Service</w:t>
      </w:r>
      <w:r w:rsidR="004F6CE3">
        <w:rPr>
          <w:sz w:val="22"/>
          <w:szCs w:val="22"/>
          <w:lang w:val="fr-CH" w:eastAsia="ja-JP"/>
        </w:rPr>
        <w:t xml:space="preserve"> fixe, conduit numérique fictif</w:t>
      </w:r>
      <w:r w:rsidRPr="009934E7">
        <w:rPr>
          <w:sz w:val="22"/>
          <w:szCs w:val="22"/>
          <w:lang w:val="fr-CH" w:eastAsia="ja-JP"/>
        </w:rPr>
        <w:t xml:space="preserve"> de r</w:t>
      </w:r>
      <w:r w:rsidR="004F6CE3">
        <w:rPr>
          <w:sz w:val="22"/>
          <w:szCs w:val="22"/>
          <w:lang w:val="fr-CH" w:eastAsia="ja-JP"/>
        </w:rPr>
        <w:t>é</w:t>
      </w:r>
      <w:r w:rsidRPr="009934E7">
        <w:rPr>
          <w:sz w:val="22"/>
          <w:szCs w:val="22"/>
          <w:lang w:val="fr-CH" w:eastAsia="ja-JP"/>
        </w:rPr>
        <w:t>f</w:t>
      </w:r>
      <w:r w:rsidR="004F6CE3">
        <w:rPr>
          <w:sz w:val="22"/>
          <w:szCs w:val="22"/>
          <w:lang w:val="fr-CH" w:eastAsia="ja-JP"/>
        </w:rPr>
        <w:t>é</w:t>
      </w:r>
      <w:r w:rsidRPr="009934E7">
        <w:rPr>
          <w:sz w:val="22"/>
          <w:szCs w:val="22"/>
          <w:lang w:val="fr-CH" w:eastAsia="ja-JP"/>
        </w:rPr>
        <w:t>rence (CNFR), disponibilité, indisponibilité, durée moyenne entre deux pannes (MTBF), durée moyenne de panne (MTTR)</w:t>
      </w:r>
    </w:p>
    <w:p w:rsidR="00833FEA" w:rsidRPr="009934E7" w:rsidRDefault="00833FEA" w:rsidP="00833FEA">
      <w:pPr>
        <w:pStyle w:val="Normalaftertitle"/>
        <w:rPr>
          <w:lang w:val="fr-CH"/>
        </w:rPr>
      </w:pPr>
      <w:r w:rsidRPr="009934E7">
        <w:rPr>
          <w:lang w:val="fr-CH"/>
        </w:rPr>
        <w:t>L'Assemblée des radiocommunications de l'UIT,</w:t>
      </w:r>
    </w:p>
    <w:p w:rsidR="00833FEA" w:rsidRPr="009934E7" w:rsidRDefault="00833FEA" w:rsidP="00833FEA">
      <w:pPr>
        <w:pStyle w:val="Call"/>
        <w:rPr>
          <w:lang w:val="fr-CH"/>
        </w:rPr>
      </w:pPr>
      <w:r w:rsidRPr="009934E7">
        <w:rPr>
          <w:lang w:val="fr-CH"/>
        </w:rPr>
        <w:t>considérant</w:t>
      </w:r>
    </w:p>
    <w:p w:rsidR="00105CE7" w:rsidRPr="009934E7" w:rsidRDefault="00105CE7" w:rsidP="004F6CE3">
      <w:pPr>
        <w:rPr>
          <w:lang w:val="fr-CH"/>
        </w:rPr>
      </w:pPr>
      <w:r w:rsidRPr="009E129E">
        <w:rPr>
          <w:i/>
          <w:iCs/>
          <w:lang w:val="fr-CH"/>
        </w:rPr>
        <w:t>a)</w:t>
      </w:r>
      <w:r w:rsidRPr="009934E7">
        <w:rPr>
          <w:lang w:val="fr-CH"/>
        </w:rPr>
        <w:tab/>
        <w:t xml:space="preserve">que le conduit numérique fictif de référence (CNFR) est destiné à servir de guide </w:t>
      </w:r>
      <w:r w:rsidR="004F6CE3">
        <w:rPr>
          <w:lang w:val="fr-CH"/>
        </w:rPr>
        <w:t xml:space="preserve">aux concepteurs et aux planificateurs de </w:t>
      </w:r>
      <w:r w:rsidRPr="009934E7">
        <w:rPr>
          <w:lang w:val="fr-CH"/>
        </w:rPr>
        <w:t>systèmes</w:t>
      </w:r>
      <w:r w:rsidR="00BE3E19" w:rsidRPr="009934E7">
        <w:rPr>
          <w:lang w:val="fr-CH"/>
        </w:rPr>
        <w:t xml:space="preserve"> conçus avant 2005</w:t>
      </w:r>
      <w:r w:rsidRPr="009934E7">
        <w:rPr>
          <w:lang w:val="fr-CH"/>
        </w:rPr>
        <w:t>;</w:t>
      </w:r>
    </w:p>
    <w:p w:rsidR="00105CE7" w:rsidRPr="009934E7" w:rsidRDefault="00105CE7" w:rsidP="00105CE7">
      <w:pPr>
        <w:rPr>
          <w:lang w:val="fr-CH"/>
        </w:rPr>
      </w:pPr>
      <w:r w:rsidRPr="009E129E">
        <w:rPr>
          <w:i/>
          <w:iCs/>
          <w:lang w:val="fr-CH"/>
        </w:rPr>
        <w:t>b)</w:t>
      </w:r>
      <w:r w:rsidRPr="009934E7">
        <w:rPr>
          <w:lang w:val="fr-CH"/>
        </w:rPr>
        <w:tab/>
        <w:t>que la disponibilité d'un faisceau hertzien dépend de nombreux facteurs et en particulier de l'organisation de la maintenance (qui conditionne le temps de rétablissement), de la fiabilité des installations, de la conception du système et des conditions de propagation; l'importance relative de ces différents facteurs peut varier de façon très considérable, parfois sans qu'il y ait possibilité de contrôle, d'une région à une autre;</w:t>
      </w:r>
    </w:p>
    <w:p w:rsidR="00105CE7" w:rsidRPr="009934E7" w:rsidRDefault="00105CE7" w:rsidP="00105CE7">
      <w:pPr>
        <w:rPr>
          <w:lang w:val="fr-CH"/>
        </w:rPr>
      </w:pPr>
      <w:r w:rsidRPr="009E129E">
        <w:rPr>
          <w:i/>
          <w:iCs/>
          <w:lang w:val="fr-CH"/>
        </w:rPr>
        <w:t>c)</w:t>
      </w:r>
      <w:r w:rsidRPr="009934E7">
        <w:rPr>
          <w:lang w:val="fr-CH"/>
        </w:rPr>
        <w:tab/>
        <w:t>qu'il est souhaitable d'appliquer des objectifs de disponibilité communs aux systèmes en câbles et aux systèmes à faisceaux hertziens,</w:t>
      </w:r>
    </w:p>
    <w:p w:rsidR="009B6306" w:rsidRPr="009934E7" w:rsidRDefault="009B6306" w:rsidP="009B6306">
      <w:pPr>
        <w:pStyle w:val="Call"/>
        <w:rPr>
          <w:lang w:val="fr-CH"/>
        </w:rPr>
      </w:pPr>
      <w:r>
        <w:rPr>
          <w:lang w:val="fr-CH"/>
        </w:rPr>
        <w:t>recommande</w:t>
      </w:r>
    </w:p>
    <w:p w:rsidR="00105CE7" w:rsidRPr="009934E7" w:rsidRDefault="00105CE7" w:rsidP="004F6CE3">
      <w:pPr>
        <w:rPr>
          <w:lang w:val="fr-CH"/>
        </w:rPr>
      </w:pPr>
      <w:r w:rsidRPr="009934E7">
        <w:rPr>
          <w:b/>
          <w:lang w:val="fr-CH"/>
        </w:rPr>
        <w:t>1</w:t>
      </w:r>
      <w:r w:rsidRPr="009934E7">
        <w:rPr>
          <w:lang w:val="fr-CH"/>
        </w:rPr>
        <w:tab/>
        <w:t>que l</w:t>
      </w:r>
      <w:r w:rsidR="004F6CE3">
        <w:rPr>
          <w:lang w:val="fr-CH"/>
        </w:rPr>
        <w:t xml:space="preserve">'objectif de </w:t>
      </w:r>
      <w:r w:rsidRPr="009934E7">
        <w:rPr>
          <w:lang w:val="fr-CH"/>
        </w:rPr>
        <w:t>disponibilité d'un CNFR d'une longueur de 2</w:t>
      </w:r>
      <w:r w:rsidRPr="009934E7">
        <w:rPr>
          <w:sz w:val="12"/>
          <w:lang w:val="fr-CH"/>
        </w:rPr>
        <w:t> </w:t>
      </w:r>
      <w:r w:rsidRPr="009934E7">
        <w:rPr>
          <w:lang w:val="fr-CH"/>
        </w:rPr>
        <w:t>500 km pour les faisceaux hertziens numériques (Recommandation UIT-R F.556) soit de 99,7% du temps, ce pourcentage se rapportant à une période de temps suffisamment longue pour être valable du point de vue statistique, période qui est probablement supérieure à une année; la période de temps est en cours d'étude (Notes 2, 3 et 4);</w:t>
      </w:r>
    </w:p>
    <w:p w:rsidR="00105CE7" w:rsidRPr="009934E7" w:rsidRDefault="009A6661" w:rsidP="00105CE7">
      <w:pPr>
        <w:rPr>
          <w:lang w:val="fr-CH"/>
        </w:rPr>
      </w:pPr>
      <w:r>
        <w:rPr>
          <w:b/>
          <w:lang w:val="fr-CH"/>
        </w:rPr>
        <w:t>2</w:t>
      </w:r>
      <w:r w:rsidR="00105CE7" w:rsidRPr="009934E7">
        <w:rPr>
          <w:lang w:val="fr-CH"/>
        </w:rPr>
        <w:tab/>
        <w:t>que l'indisponibilité d'un CNFR soit définie comme suit:</w:t>
      </w:r>
    </w:p>
    <w:p w:rsidR="00105CE7" w:rsidRPr="009934E7" w:rsidRDefault="009A6661" w:rsidP="006A1DE1">
      <w:pPr>
        <w:rPr>
          <w:lang w:val="fr-CH"/>
        </w:rPr>
      </w:pPr>
      <w:r>
        <w:rPr>
          <w:b/>
          <w:lang w:val="fr-CH"/>
        </w:rPr>
        <w:t>2</w:t>
      </w:r>
      <w:r w:rsidR="00105CE7" w:rsidRPr="009934E7">
        <w:rPr>
          <w:b/>
          <w:lang w:val="fr-CH"/>
        </w:rPr>
        <w:t>.1</w:t>
      </w:r>
      <w:r w:rsidR="00105CE7" w:rsidRPr="009934E7">
        <w:rPr>
          <w:b/>
          <w:lang w:val="fr-CH"/>
        </w:rPr>
        <w:tab/>
      </w:r>
      <w:r w:rsidR="00105CE7" w:rsidRPr="009934E7">
        <w:rPr>
          <w:lang w:val="fr-CH"/>
        </w:rPr>
        <w:t>la période de temps d'indisponibilité commence au début de 10 secondes avec beaucoup d'erreurs consécutives, dans un sens de transmission au moins (Notes 1 et 9). Ces 10 s font partie du temps d'indisponibilité. Pour la définition des secondes avec beaucoup d'erreurs, il convient de se reporter aux Recommandations UIT-T G.821 et UIT</w:t>
      </w:r>
      <w:r w:rsidR="00105CE7" w:rsidRPr="009934E7">
        <w:rPr>
          <w:lang w:val="fr-CH"/>
        </w:rPr>
        <w:noBreakHyphen/>
        <w:t>T G.826 sur le sujet;</w:t>
      </w:r>
    </w:p>
    <w:p w:rsidR="00105CE7" w:rsidRPr="009934E7" w:rsidRDefault="009A6661" w:rsidP="00105CE7">
      <w:pPr>
        <w:rPr>
          <w:b/>
          <w:lang w:val="fr-CH"/>
        </w:rPr>
      </w:pPr>
      <w:r>
        <w:rPr>
          <w:b/>
          <w:lang w:val="fr-CH"/>
        </w:rPr>
        <w:lastRenderedPageBreak/>
        <w:t>2</w:t>
      </w:r>
      <w:r w:rsidR="00105CE7" w:rsidRPr="009934E7">
        <w:rPr>
          <w:b/>
          <w:lang w:val="fr-CH"/>
        </w:rPr>
        <w:t>.2</w:t>
      </w:r>
      <w:r w:rsidR="00105CE7" w:rsidRPr="009934E7">
        <w:rPr>
          <w:b/>
          <w:lang w:val="fr-CH"/>
        </w:rPr>
        <w:tab/>
      </w:r>
      <w:r w:rsidR="00105CE7" w:rsidRPr="009934E7">
        <w:rPr>
          <w:lang w:val="fr-CH"/>
        </w:rPr>
        <w:t>une nouvelle période de disponibilité commence au début de 10 s consécutives ne comportant pas de seconde avec beaucoup d'erreurs pour les deux sens de transmission. Ces 10 s font partie du temps de disponibilité. Pour la définition des secondes avec beaucoup d'erreurs, il convient de se reporter aux Recommandations UIT-T G.821 et UIT</w:t>
      </w:r>
      <w:r w:rsidR="00105CE7" w:rsidRPr="009934E7">
        <w:rPr>
          <w:lang w:val="fr-CH"/>
        </w:rPr>
        <w:noBreakHyphen/>
        <w:t>T G.826 sur le sujet;</w:t>
      </w:r>
    </w:p>
    <w:p w:rsidR="00105CE7" w:rsidRPr="009934E7" w:rsidRDefault="009A6661" w:rsidP="004F6CE3">
      <w:pPr>
        <w:rPr>
          <w:lang w:val="fr-CH"/>
        </w:rPr>
      </w:pPr>
      <w:r>
        <w:rPr>
          <w:b/>
          <w:lang w:val="fr-CH"/>
        </w:rPr>
        <w:t>3</w:t>
      </w:r>
      <w:r w:rsidR="00105CE7" w:rsidRPr="009934E7">
        <w:rPr>
          <w:lang w:val="fr-CH"/>
        </w:rPr>
        <w:tab/>
        <w:t xml:space="preserve">que, dans l'évaluation de l'indisponibilité, l'on tienne compte de tous les facteurs qui sont à la fois prévisibles du point de vue statistique et involontaires et qui résultent </w:t>
      </w:r>
      <w:r w:rsidR="00786019">
        <w:rPr>
          <w:lang w:val="fr-CH"/>
        </w:rPr>
        <w:t>de l'équipement radioélectrique</w:t>
      </w:r>
      <w:r w:rsidR="00786019">
        <w:rPr>
          <w:rStyle w:val="FootnoteReference"/>
          <w:lang w:val="fr-CH"/>
        </w:rPr>
        <w:footnoteReference w:customMarkFollows="1" w:id="1"/>
        <w:t>*</w:t>
      </w:r>
      <w:r w:rsidR="00105CE7" w:rsidRPr="009934E7">
        <w:rPr>
          <w:lang w:val="fr-CH"/>
        </w:rPr>
        <w:t xml:space="preserve">, des dispositifs d'alimentation, de la propagation, des brouillages, des équipements auxiliaires et de l'activité humaine; l'évaluation de l'indisponibilité tient compte de la </w:t>
      </w:r>
      <w:r w:rsidR="004F6CE3">
        <w:rPr>
          <w:lang w:val="fr-CH"/>
        </w:rPr>
        <w:t xml:space="preserve">durée </w:t>
      </w:r>
      <w:r w:rsidR="00105CE7" w:rsidRPr="009934E7">
        <w:rPr>
          <w:lang w:val="fr-CH"/>
        </w:rPr>
        <w:t xml:space="preserve">moyenne </w:t>
      </w:r>
      <w:r w:rsidR="004F6CE3">
        <w:rPr>
          <w:lang w:val="fr-CH"/>
        </w:rPr>
        <w:t xml:space="preserve">de panne </w:t>
      </w:r>
      <w:r w:rsidR="00105CE7" w:rsidRPr="009934E7">
        <w:rPr>
          <w:lang w:val="fr-CH"/>
        </w:rPr>
        <w:t>(Notes 6 et 7);</w:t>
      </w:r>
    </w:p>
    <w:p w:rsidR="00105CE7" w:rsidRPr="009934E7" w:rsidRDefault="009A6661" w:rsidP="00105CE7">
      <w:pPr>
        <w:rPr>
          <w:lang w:val="fr-CH"/>
        </w:rPr>
      </w:pPr>
      <w:r>
        <w:rPr>
          <w:b/>
          <w:lang w:val="fr-CH"/>
        </w:rPr>
        <w:t>4</w:t>
      </w:r>
      <w:r w:rsidR="00105CE7" w:rsidRPr="009934E7">
        <w:rPr>
          <w:lang w:val="fr-CH"/>
        </w:rPr>
        <w:tab/>
        <w:t>d'utiliser les indications de l'Annexe 1 en matière de disponibilité et de fiabilité des faisceaux hertziens;</w:t>
      </w:r>
    </w:p>
    <w:p w:rsidR="00105CE7" w:rsidRPr="009934E7" w:rsidRDefault="009A6661" w:rsidP="00105CE7">
      <w:pPr>
        <w:rPr>
          <w:lang w:val="fr-CH"/>
        </w:rPr>
      </w:pPr>
      <w:r>
        <w:rPr>
          <w:b/>
          <w:lang w:val="fr-CH"/>
        </w:rPr>
        <w:t>5</w:t>
      </w:r>
      <w:r w:rsidR="00105CE7" w:rsidRPr="009934E7">
        <w:rPr>
          <w:lang w:val="fr-CH"/>
        </w:rPr>
        <w:tab/>
        <w:t>que les Notes suivantes soient considérées comme faisant partie de la Recommandation.</w:t>
      </w:r>
    </w:p>
    <w:p w:rsidR="00105CE7" w:rsidRPr="009934E7" w:rsidRDefault="00105CE7" w:rsidP="00315C76">
      <w:pPr>
        <w:rPr>
          <w:lang w:val="fr-CH"/>
        </w:rPr>
      </w:pPr>
      <w:r w:rsidRPr="009934E7">
        <w:rPr>
          <w:lang w:val="fr-CH"/>
        </w:rPr>
        <w:t xml:space="preserve">NOTE 1 – On définit la disponibilité globale </w:t>
      </w:r>
      <w:r w:rsidRPr="009934E7">
        <w:rPr>
          <w:i/>
          <w:lang w:val="fr-CH"/>
        </w:rPr>
        <w:t>A</w:t>
      </w:r>
      <w:r w:rsidRPr="009934E7">
        <w:rPr>
          <w:lang w:val="fr-CH"/>
        </w:rPr>
        <w:t xml:space="preserve"> au moyen de la formule suivante:</w:t>
      </w:r>
    </w:p>
    <w:p w:rsidR="00105CE7" w:rsidRPr="009934E7" w:rsidRDefault="00105CE7" w:rsidP="00105CE7">
      <w:pPr>
        <w:pStyle w:val="Equation"/>
        <w:rPr>
          <w:lang w:val="fr-CH"/>
        </w:rPr>
      </w:pPr>
      <w:r w:rsidRPr="009934E7">
        <w:rPr>
          <w:i/>
          <w:lang w:val="fr-CH"/>
        </w:rPr>
        <w:tab/>
      </w:r>
      <w:r w:rsidRPr="009934E7">
        <w:rPr>
          <w:i/>
          <w:lang w:val="fr-CH"/>
        </w:rPr>
        <w:tab/>
        <w:t>A</w:t>
      </w:r>
      <w:r w:rsidRPr="009934E7">
        <w:rPr>
          <w:lang w:val="fr-CH"/>
        </w:rPr>
        <w:t xml:space="preserve">   </w:t>
      </w:r>
      <w:r w:rsidRPr="009934E7">
        <w:rPr>
          <w:rFonts w:ascii="Symbol" w:hAnsi="Symbol"/>
          <w:lang w:val="fr-CH"/>
        </w:rPr>
        <w:t></w:t>
      </w:r>
      <w:r w:rsidRPr="009934E7">
        <w:rPr>
          <w:lang w:val="fr-CH"/>
        </w:rPr>
        <w:t xml:space="preserve">  100 [1  –  </w:t>
      </w:r>
      <w:r w:rsidRPr="009934E7">
        <w:rPr>
          <w:rFonts w:ascii="Symbol" w:hAnsi="Symbol"/>
          <w:lang w:val="fr-CH"/>
        </w:rPr>
        <w:t></w:t>
      </w:r>
      <w:r w:rsidRPr="009934E7">
        <w:rPr>
          <w:rFonts w:ascii="Symbol" w:hAnsi="Symbol"/>
          <w:lang w:val="fr-CH"/>
        </w:rPr>
        <w:t></w:t>
      </w:r>
      <w:r w:rsidRPr="009934E7">
        <w:rPr>
          <w:i/>
          <w:lang w:val="fr-CH"/>
        </w:rPr>
        <w:t>T</w:t>
      </w:r>
      <w:r w:rsidRPr="009934E7">
        <w:rPr>
          <w:position w:val="-4"/>
          <w:sz w:val="18"/>
          <w:lang w:val="fr-CH"/>
        </w:rPr>
        <w:t>1</w:t>
      </w:r>
      <w:r w:rsidRPr="009934E7">
        <w:rPr>
          <w:lang w:val="fr-CH"/>
        </w:rPr>
        <w:t xml:space="preserve">  </w:t>
      </w:r>
      <w:r w:rsidRPr="009934E7">
        <w:rPr>
          <w:rFonts w:ascii="Symbol" w:hAnsi="Symbol"/>
          <w:lang w:val="fr-CH"/>
        </w:rPr>
        <w:t></w:t>
      </w:r>
      <w:r w:rsidRPr="009934E7">
        <w:rPr>
          <w:lang w:val="fr-CH"/>
        </w:rPr>
        <w:t xml:space="preserve">  </w:t>
      </w:r>
      <w:r w:rsidRPr="009934E7">
        <w:rPr>
          <w:i/>
          <w:lang w:val="fr-CH"/>
        </w:rPr>
        <w:t>T</w:t>
      </w:r>
      <w:r w:rsidRPr="009934E7">
        <w:rPr>
          <w:position w:val="-4"/>
          <w:sz w:val="18"/>
          <w:lang w:val="fr-CH"/>
        </w:rPr>
        <w:t>2</w:t>
      </w:r>
      <w:r w:rsidRPr="009934E7">
        <w:rPr>
          <w:lang w:val="fr-CH"/>
        </w:rPr>
        <w:t xml:space="preserve">  –  </w:t>
      </w:r>
      <w:r w:rsidRPr="009934E7">
        <w:rPr>
          <w:i/>
          <w:lang w:val="fr-CH"/>
        </w:rPr>
        <w:t>T</w:t>
      </w:r>
      <w:r w:rsidRPr="009934E7">
        <w:rPr>
          <w:i/>
          <w:position w:val="-4"/>
          <w:sz w:val="16"/>
          <w:lang w:val="fr-CH"/>
        </w:rPr>
        <w:t>b</w:t>
      </w:r>
      <w:r w:rsidRPr="009934E7">
        <w:rPr>
          <w:lang w:val="fr-CH"/>
        </w:rPr>
        <w:t>)</w:t>
      </w:r>
      <w:r w:rsidRPr="009934E7">
        <w:rPr>
          <w:rFonts w:ascii="Tms Rmn" w:hAnsi="Tms Rmn"/>
          <w:sz w:val="12"/>
          <w:lang w:val="fr-CH"/>
        </w:rPr>
        <w:t> </w:t>
      </w:r>
      <w:r w:rsidRPr="009934E7">
        <w:rPr>
          <w:lang w:val="fr-CH"/>
        </w:rPr>
        <w:t>/</w:t>
      </w:r>
      <w:r w:rsidRPr="009934E7">
        <w:rPr>
          <w:rFonts w:ascii="Tms Rmn" w:hAnsi="Tms Rmn"/>
          <w:sz w:val="12"/>
          <w:lang w:val="fr-CH"/>
        </w:rPr>
        <w:t> </w:t>
      </w:r>
      <w:r w:rsidRPr="009934E7">
        <w:rPr>
          <w:i/>
          <w:lang w:val="fr-CH"/>
        </w:rPr>
        <w:t>T</w:t>
      </w:r>
      <w:r w:rsidRPr="009934E7">
        <w:rPr>
          <w:i/>
          <w:position w:val="-4"/>
          <w:sz w:val="18"/>
          <w:lang w:val="fr-CH"/>
        </w:rPr>
        <w:t>e</w:t>
      </w:r>
      <w:r w:rsidRPr="009934E7">
        <w:rPr>
          <w:rFonts w:ascii="Symbol" w:hAnsi="Symbol"/>
          <w:lang w:val="fr-CH"/>
        </w:rPr>
        <w:t></w:t>
      </w:r>
      <w:r w:rsidRPr="009934E7">
        <w:rPr>
          <w:lang w:val="fr-CH"/>
        </w:rPr>
        <w:t>]</w:t>
      </w:r>
    </w:p>
    <w:p w:rsidR="00105CE7" w:rsidRPr="009934E7" w:rsidRDefault="00105CE7" w:rsidP="00105CE7">
      <w:pPr>
        <w:rPr>
          <w:lang w:val="fr-CH"/>
        </w:rPr>
      </w:pPr>
      <w:r w:rsidRPr="009934E7">
        <w:rPr>
          <w:lang w:val="fr-CH"/>
        </w:rPr>
        <w:t>dans laquelle:</w:t>
      </w:r>
    </w:p>
    <w:p w:rsidR="00105CE7" w:rsidRPr="009934E7" w:rsidRDefault="00105CE7" w:rsidP="00105CE7">
      <w:pPr>
        <w:pStyle w:val="enumlev1"/>
        <w:tabs>
          <w:tab w:val="left" w:pos="851"/>
        </w:tabs>
        <w:rPr>
          <w:lang w:val="fr-CH"/>
        </w:rPr>
      </w:pPr>
      <w:r w:rsidRPr="009934E7">
        <w:rPr>
          <w:lang w:val="fr-CH"/>
        </w:rPr>
        <w:tab/>
      </w:r>
      <w:r w:rsidRPr="009934E7">
        <w:rPr>
          <w:i/>
          <w:lang w:val="fr-CH"/>
        </w:rPr>
        <w:t>A</w:t>
      </w:r>
      <w:r w:rsidRPr="009934E7">
        <w:rPr>
          <w:rFonts w:ascii="Tms Rmn" w:hAnsi="Tms Rmn"/>
          <w:sz w:val="12"/>
          <w:lang w:val="fr-CH"/>
        </w:rPr>
        <w:t> </w:t>
      </w:r>
      <w:r w:rsidRPr="009934E7">
        <w:rPr>
          <w:lang w:val="fr-CH"/>
        </w:rPr>
        <w:t>:</w:t>
      </w:r>
      <w:r w:rsidRPr="009934E7">
        <w:rPr>
          <w:lang w:val="fr-CH"/>
        </w:rPr>
        <w:tab/>
        <w:t>disponibilité exprimée en pourcentage</w:t>
      </w:r>
    </w:p>
    <w:p w:rsidR="00105CE7" w:rsidRPr="009934E7" w:rsidRDefault="00105CE7" w:rsidP="00105CE7">
      <w:pPr>
        <w:pStyle w:val="enumlev1"/>
        <w:tabs>
          <w:tab w:val="left" w:pos="851"/>
        </w:tabs>
        <w:rPr>
          <w:lang w:val="fr-CH"/>
        </w:rPr>
      </w:pPr>
      <w:r w:rsidRPr="009934E7">
        <w:rPr>
          <w:lang w:val="fr-CH"/>
        </w:rPr>
        <w:tab/>
      </w:r>
      <w:r w:rsidRPr="009934E7">
        <w:rPr>
          <w:i/>
          <w:lang w:val="fr-CH"/>
        </w:rPr>
        <w:t>T</w:t>
      </w:r>
      <w:r w:rsidRPr="009934E7">
        <w:rPr>
          <w:position w:val="-4"/>
          <w:sz w:val="16"/>
          <w:lang w:val="fr-CH"/>
        </w:rPr>
        <w:t>1</w:t>
      </w:r>
      <w:r w:rsidRPr="009934E7">
        <w:rPr>
          <w:rFonts w:ascii="Tms Rmn" w:hAnsi="Tms Rmn"/>
          <w:sz w:val="12"/>
          <w:lang w:val="fr-CH"/>
        </w:rPr>
        <w:t> </w:t>
      </w:r>
      <w:r w:rsidRPr="009934E7">
        <w:rPr>
          <w:lang w:val="fr-CH"/>
        </w:rPr>
        <w:t>:</w:t>
      </w:r>
      <w:r w:rsidRPr="009934E7">
        <w:rPr>
          <w:lang w:val="fr-CH"/>
        </w:rPr>
        <w:tab/>
        <w:t>durée d'indisponibilité totale dans un sens de transmission</w:t>
      </w:r>
    </w:p>
    <w:p w:rsidR="00105CE7" w:rsidRPr="009934E7" w:rsidRDefault="00105CE7" w:rsidP="00105CE7">
      <w:pPr>
        <w:pStyle w:val="enumlev1"/>
        <w:tabs>
          <w:tab w:val="left" w:pos="851"/>
        </w:tabs>
        <w:rPr>
          <w:lang w:val="fr-CH"/>
        </w:rPr>
      </w:pPr>
      <w:r w:rsidRPr="009934E7">
        <w:rPr>
          <w:lang w:val="fr-CH"/>
        </w:rPr>
        <w:tab/>
      </w:r>
      <w:r w:rsidRPr="009934E7">
        <w:rPr>
          <w:i/>
          <w:lang w:val="fr-CH"/>
        </w:rPr>
        <w:t>T</w:t>
      </w:r>
      <w:r w:rsidRPr="009934E7">
        <w:rPr>
          <w:position w:val="-4"/>
          <w:sz w:val="16"/>
          <w:lang w:val="fr-CH"/>
        </w:rPr>
        <w:t>2</w:t>
      </w:r>
      <w:r w:rsidRPr="009934E7">
        <w:rPr>
          <w:rFonts w:ascii="Tms Rmn" w:hAnsi="Tms Rmn"/>
          <w:sz w:val="12"/>
          <w:lang w:val="fr-CH"/>
        </w:rPr>
        <w:t> </w:t>
      </w:r>
      <w:r w:rsidRPr="009934E7">
        <w:rPr>
          <w:lang w:val="fr-CH"/>
        </w:rPr>
        <w:t>:</w:t>
      </w:r>
      <w:r w:rsidRPr="009934E7">
        <w:rPr>
          <w:lang w:val="fr-CH"/>
        </w:rPr>
        <w:tab/>
        <w:t>durée d'indisponibilité totale dans l'autre sens de transmission</w:t>
      </w:r>
    </w:p>
    <w:p w:rsidR="00105CE7" w:rsidRPr="009934E7" w:rsidRDefault="00105CE7" w:rsidP="00105CE7">
      <w:pPr>
        <w:pStyle w:val="enumlev1"/>
        <w:tabs>
          <w:tab w:val="left" w:pos="851"/>
        </w:tabs>
        <w:rPr>
          <w:lang w:val="fr-CH"/>
        </w:rPr>
      </w:pPr>
      <w:r w:rsidRPr="009934E7">
        <w:rPr>
          <w:lang w:val="fr-CH"/>
        </w:rPr>
        <w:tab/>
      </w:r>
      <w:r w:rsidRPr="009934E7">
        <w:rPr>
          <w:i/>
          <w:lang w:val="fr-CH"/>
        </w:rPr>
        <w:t>T</w:t>
      </w:r>
      <w:r w:rsidRPr="009934E7">
        <w:rPr>
          <w:i/>
          <w:position w:val="-4"/>
          <w:sz w:val="16"/>
          <w:lang w:val="fr-CH"/>
        </w:rPr>
        <w:t>b</w:t>
      </w:r>
      <w:r w:rsidRPr="009934E7">
        <w:rPr>
          <w:rFonts w:ascii="Tms Rmn" w:hAnsi="Tms Rmn"/>
          <w:sz w:val="12"/>
          <w:lang w:val="fr-CH"/>
        </w:rPr>
        <w:t> </w:t>
      </w:r>
      <w:r w:rsidRPr="009934E7">
        <w:rPr>
          <w:lang w:val="fr-CH"/>
        </w:rPr>
        <w:t>:</w:t>
      </w:r>
      <w:r w:rsidRPr="009934E7">
        <w:rPr>
          <w:lang w:val="fr-CH"/>
        </w:rPr>
        <w:tab/>
        <w:t>durée d'indisponibilité bilatérale</w:t>
      </w:r>
    </w:p>
    <w:p w:rsidR="00105CE7" w:rsidRPr="009934E7" w:rsidRDefault="00105CE7" w:rsidP="00105CE7">
      <w:pPr>
        <w:pStyle w:val="enumlev1"/>
        <w:tabs>
          <w:tab w:val="left" w:pos="851"/>
        </w:tabs>
        <w:rPr>
          <w:lang w:val="fr-CH"/>
        </w:rPr>
      </w:pPr>
      <w:r w:rsidRPr="009934E7">
        <w:rPr>
          <w:lang w:val="fr-CH"/>
        </w:rPr>
        <w:tab/>
      </w:r>
      <w:r w:rsidRPr="009934E7">
        <w:rPr>
          <w:i/>
          <w:lang w:val="fr-CH"/>
        </w:rPr>
        <w:t>T</w:t>
      </w:r>
      <w:r w:rsidRPr="009934E7">
        <w:rPr>
          <w:i/>
          <w:position w:val="-4"/>
          <w:sz w:val="16"/>
          <w:lang w:val="fr-CH"/>
        </w:rPr>
        <w:t>e</w:t>
      </w:r>
      <w:r w:rsidRPr="009934E7">
        <w:rPr>
          <w:rFonts w:ascii="Tms Rmn" w:hAnsi="Tms Rmn"/>
          <w:sz w:val="12"/>
          <w:lang w:val="fr-CH"/>
        </w:rPr>
        <w:t> </w:t>
      </w:r>
      <w:r w:rsidRPr="009934E7">
        <w:rPr>
          <w:lang w:val="fr-CH"/>
        </w:rPr>
        <w:t>:</w:t>
      </w:r>
      <w:r w:rsidRPr="009934E7">
        <w:rPr>
          <w:lang w:val="fr-CH"/>
        </w:rPr>
        <w:tab/>
        <w:t>période de temps nécessaire à l'évaluation.</w:t>
      </w:r>
    </w:p>
    <w:p w:rsidR="00105CE7" w:rsidRPr="009934E7" w:rsidRDefault="00105CE7" w:rsidP="00105CE7">
      <w:pPr>
        <w:rPr>
          <w:lang w:val="fr-CH"/>
        </w:rPr>
      </w:pPr>
      <w:r w:rsidRPr="009934E7">
        <w:rPr>
          <w:lang w:val="fr-CH"/>
        </w:rPr>
        <w:t xml:space="preserve">Pour une transmission unilatérale </w:t>
      </w:r>
      <w:r w:rsidRPr="009934E7">
        <w:rPr>
          <w:i/>
          <w:lang w:val="fr-CH"/>
        </w:rPr>
        <w:t>T</w:t>
      </w:r>
      <w:r w:rsidRPr="009934E7">
        <w:rPr>
          <w:position w:val="-4"/>
          <w:sz w:val="16"/>
          <w:lang w:val="fr-CH"/>
        </w:rPr>
        <w:t>2</w:t>
      </w:r>
      <w:r w:rsidRPr="009934E7">
        <w:rPr>
          <w:lang w:val="fr-CH"/>
        </w:rPr>
        <w:t xml:space="preserve">  </w:t>
      </w:r>
      <w:r w:rsidRPr="009934E7">
        <w:rPr>
          <w:rFonts w:ascii="Symbol" w:hAnsi="Symbol"/>
          <w:lang w:val="fr-CH"/>
        </w:rPr>
        <w:t></w:t>
      </w:r>
      <w:r w:rsidRPr="009934E7">
        <w:rPr>
          <w:lang w:val="fr-CH"/>
        </w:rPr>
        <w:t xml:space="preserve">  0; </w:t>
      </w:r>
      <w:r w:rsidRPr="009934E7">
        <w:rPr>
          <w:i/>
          <w:lang w:val="fr-CH"/>
        </w:rPr>
        <w:t>T</w:t>
      </w:r>
      <w:r w:rsidRPr="009934E7">
        <w:rPr>
          <w:i/>
          <w:position w:val="-4"/>
          <w:sz w:val="16"/>
          <w:lang w:val="fr-CH"/>
        </w:rPr>
        <w:t>b</w:t>
      </w:r>
      <w:r w:rsidRPr="009934E7">
        <w:rPr>
          <w:lang w:val="fr-CH"/>
        </w:rPr>
        <w:t xml:space="preserve">  </w:t>
      </w:r>
      <w:r w:rsidRPr="009934E7">
        <w:rPr>
          <w:rFonts w:ascii="Symbol" w:hAnsi="Symbol"/>
          <w:lang w:val="fr-CH"/>
        </w:rPr>
        <w:t></w:t>
      </w:r>
      <w:r w:rsidRPr="009934E7">
        <w:rPr>
          <w:lang w:val="fr-CH"/>
        </w:rPr>
        <w:t xml:space="preserve">  0.</w:t>
      </w:r>
    </w:p>
    <w:p w:rsidR="00105CE7" w:rsidRPr="009934E7" w:rsidRDefault="00105CE7" w:rsidP="00315C76">
      <w:pPr>
        <w:rPr>
          <w:lang w:val="fr-CH"/>
        </w:rPr>
      </w:pPr>
      <w:r w:rsidRPr="009934E7">
        <w:rPr>
          <w:lang w:val="fr-CH"/>
        </w:rPr>
        <w:t>NOTE 2 – La valeur de 99,7% est une valeur provisoire et l'on admet que, dans la pratique, les objectifs choisis peuvent être compris entre 99,5% et 99,9%. Le choix d'une valeur spécifique comprise dans cette gamme dépend du partage optimal de la durée d'interruption entre les diverses causes d'indisponibilité, qui peuvent ne pas avoir les mêmes importances relatives lorsque les conditions locales sont prises en considération (c'est-à-dire la propagation, les facteurs géographiques, la distribution de la population et l'organisation de la maintenance).</w:t>
      </w:r>
    </w:p>
    <w:p w:rsidR="00105CE7" w:rsidRPr="009934E7" w:rsidRDefault="00105CE7" w:rsidP="009A6661">
      <w:pPr>
        <w:rPr>
          <w:lang w:val="fr-CH"/>
        </w:rPr>
      </w:pPr>
      <w:r w:rsidRPr="009934E7">
        <w:rPr>
          <w:lang w:val="fr-CH"/>
        </w:rPr>
        <w:t xml:space="preserve">En outre, la disponibilité des faisceaux hertziens n'est qu'un des nombreux aspects qui assurent une qualité de service acceptable du trafic </w:t>
      </w:r>
      <w:r w:rsidR="009A6661">
        <w:rPr>
          <w:lang w:val="fr-CH"/>
        </w:rPr>
        <w:t>de transmission numérique</w:t>
      </w:r>
      <w:r w:rsidRPr="009934E7">
        <w:rPr>
          <w:lang w:val="fr-CH"/>
        </w:rPr>
        <w:t>; à cet égard, le choix d'une valeur optimale ne peut être réalisé que compte tenu de tous les systèmes de transmission, existants ou projetés, dans le réseau à l'étude.</w:t>
      </w:r>
    </w:p>
    <w:p w:rsidR="00105CE7" w:rsidRPr="009934E7" w:rsidRDefault="00105CE7" w:rsidP="00105CE7">
      <w:pPr>
        <w:rPr>
          <w:lang w:val="fr-CH"/>
        </w:rPr>
      </w:pPr>
      <w:r w:rsidRPr="009934E7">
        <w:rPr>
          <w:lang w:val="fr-CH"/>
        </w:rPr>
        <w:t>Pour toutes ces raisons, les administrations pourront choisir différentes valeurs pour l'objectif de disponibilité qu'elles utiliseront dans la planification, lesdites valeurs étant comprises dans la gamme indiquée ci-dessus.</w:t>
      </w:r>
    </w:p>
    <w:p w:rsidR="00105CE7" w:rsidRPr="009934E7" w:rsidRDefault="00105CE7" w:rsidP="00315C76">
      <w:pPr>
        <w:rPr>
          <w:lang w:val="fr-CH"/>
        </w:rPr>
      </w:pPr>
      <w:r w:rsidRPr="009934E7">
        <w:rPr>
          <w:lang w:val="fr-CH"/>
        </w:rPr>
        <w:t>NOTE 3 – La disponibilité des équipements de multiplexage n'est pas prise en considération dans ce qui précède. On prévoit que l'UIT-T fixera des objectifs de disponibilité pour ces équipements.</w:t>
      </w:r>
    </w:p>
    <w:p w:rsidR="00105CE7" w:rsidRPr="009934E7" w:rsidRDefault="00105CE7" w:rsidP="00315C76">
      <w:pPr>
        <w:rPr>
          <w:lang w:val="fr-CH"/>
        </w:rPr>
      </w:pPr>
      <w:r w:rsidRPr="009934E7">
        <w:rPr>
          <w:lang w:val="fr-CH"/>
        </w:rPr>
        <w:t>NOTE 4 – La présente Recommandation se rapporte au CNFR. Elle a pour but de fixer une valeur de disponibilité qui servira d'objectif de planification pour les nouveaux faisceaux hertziens.</w:t>
      </w:r>
    </w:p>
    <w:p w:rsidR="00105CE7" w:rsidRPr="009934E7" w:rsidRDefault="00105CE7" w:rsidP="00315C76">
      <w:pPr>
        <w:rPr>
          <w:lang w:val="fr-CH"/>
        </w:rPr>
      </w:pPr>
      <w:r w:rsidRPr="009934E7">
        <w:rPr>
          <w:lang w:val="fr-CH"/>
        </w:rPr>
        <w:t xml:space="preserve">Elle n'est pas destinée à être citée dans les spécifications des systèmes réels, ni appliquée dans les essais de recette ou les accords d'exploitation. </w:t>
      </w:r>
    </w:p>
    <w:p w:rsidR="00105CE7" w:rsidRPr="009934E7" w:rsidRDefault="00105CE7" w:rsidP="009A6661">
      <w:pPr>
        <w:rPr>
          <w:lang w:val="fr-CH"/>
        </w:rPr>
      </w:pPr>
      <w:r w:rsidRPr="009934E7">
        <w:rPr>
          <w:lang w:val="fr-CH"/>
        </w:rPr>
        <w:lastRenderedPageBreak/>
        <w:t xml:space="preserve">Les données mesurées des valeurs de disponibilité </w:t>
      </w:r>
      <w:r w:rsidR="009A6661">
        <w:rPr>
          <w:lang w:val="fr-CH"/>
        </w:rPr>
        <w:t xml:space="preserve">pour </w:t>
      </w:r>
      <w:r w:rsidRPr="009934E7">
        <w:rPr>
          <w:lang w:val="fr-CH"/>
        </w:rPr>
        <w:t xml:space="preserve">les </w:t>
      </w:r>
      <w:r w:rsidR="009A6661">
        <w:rPr>
          <w:lang w:val="fr-CH"/>
        </w:rPr>
        <w:t xml:space="preserve">conduits </w:t>
      </w:r>
      <w:r w:rsidRPr="009934E7">
        <w:rPr>
          <w:lang w:val="fr-CH"/>
        </w:rPr>
        <w:t>réels font apparaître une large distribution; une valeur fiable de disponibilité effective ne peut être obtenue qu'à partir de la moyenne d'une grande quantité de données recueillies sur de nombreuses liaisons de faisceaux hertziens pendant une période suffisamment longue.</w:t>
      </w:r>
    </w:p>
    <w:p w:rsidR="00105CE7" w:rsidRPr="009934E7" w:rsidRDefault="00105CE7" w:rsidP="00315C76">
      <w:pPr>
        <w:rPr>
          <w:lang w:val="fr-CH"/>
        </w:rPr>
      </w:pPr>
      <w:r w:rsidRPr="009934E7">
        <w:rPr>
          <w:lang w:val="fr-CH"/>
        </w:rPr>
        <w:t xml:space="preserve">NOTE 5 – La subdivision de l'objectif de disponibilité dans la partie à qualité élevée des </w:t>
      </w:r>
      <w:r w:rsidR="009A6661">
        <w:rPr>
          <w:lang w:val="fr-CH"/>
        </w:rPr>
        <w:t>conduits qui devront être établi</w:t>
      </w:r>
      <w:r w:rsidRPr="009934E7">
        <w:rPr>
          <w:lang w:val="fr-CH"/>
        </w:rPr>
        <w:t xml:space="preserve">s pour des liaisons réelles est indiquée dans la Recommandation UIT-R F.695. </w:t>
      </w:r>
    </w:p>
    <w:p w:rsidR="00105CE7" w:rsidRPr="009934E7" w:rsidRDefault="00105CE7" w:rsidP="00315C76">
      <w:pPr>
        <w:rPr>
          <w:lang w:val="fr-CH"/>
        </w:rPr>
      </w:pPr>
      <w:r w:rsidRPr="009934E7">
        <w:rPr>
          <w:lang w:val="fr-CH"/>
        </w:rPr>
        <w:t xml:space="preserve">NOTE 6 – Les services chargés de </w:t>
      </w:r>
      <w:r w:rsidR="004F6CE3">
        <w:rPr>
          <w:lang w:val="fr-CH"/>
        </w:rPr>
        <w:t xml:space="preserve">la planification </w:t>
      </w:r>
      <w:r w:rsidRPr="009934E7">
        <w:rPr>
          <w:lang w:val="fr-CH"/>
        </w:rPr>
        <w:t xml:space="preserve">doivent indiquer leurs propres hypothèses concernant la </w:t>
      </w:r>
      <w:r w:rsidR="004060F1">
        <w:rPr>
          <w:lang w:val="fr-CH"/>
        </w:rPr>
        <w:t xml:space="preserve">durée </w:t>
      </w:r>
      <w:r w:rsidRPr="009934E7">
        <w:rPr>
          <w:lang w:val="fr-CH"/>
        </w:rPr>
        <w:t xml:space="preserve">moyenne </w:t>
      </w:r>
      <w:r w:rsidR="004060F1">
        <w:rPr>
          <w:lang w:val="fr-CH"/>
        </w:rPr>
        <w:t xml:space="preserve">entre deux pannes </w:t>
      </w:r>
      <w:r w:rsidRPr="009934E7">
        <w:rPr>
          <w:lang w:val="fr-CH"/>
        </w:rPr>
        <w:t xml:space="preserve">(MTBF), la </w:t>
      </w:r>
      <w:r w:rsidR="004060F1">
        <w:rPr>
          <w:lang w:val="fr-CH"/>
        </w:rPr>
        <w:t xml:space="preserve">durée </w:t>
      </w:r>
      <w:r w:rsidRPr="009934E7">
        <w:rPr>
          <w:lang w:val="fr-CH"/>
        </w:rPr>
        <w:t xml:space="preserve">moyenne </w:t>
      </w:r>
      <w:r w:rsidR="004060F1">
        <w:rPr>
          <w:lang w:val="fr-CH"/>
        </w:rPr>
        <w:t xml:space="preserve">de panne </w:t>
      </w:r>
      <w:r w:rsidRPr="009934E7">
        <w:rPr>
          <w:lang w:val="fr-CH"/>
        </w:rPr>
        <w:t>(MTTR), les précautions prises contre les interruptions et les évanouissements (en particulier l'utilisation de canaux de réserve et le nombre de bonds par section de commutation) et la répartition des évanouissements d'une durée supérieure à 10 s.</w:t>
      </w:r>
    </w:p>
    <w:p w:rsidR="00105CE7" w:rsidRPr="009934E7" w:rsidRDefault="00105CE7" w:rsidP="00315C76">
      <w:pPr>
        <w:rPr>
          <w:lang w:val="fr-CH"/>
        </w:rPr>
      </w:pPr>
      <w:r w:rsidRPr="009934E7">
        <w:rPr>
          <w:lang w:val="fr-CH"/>
        </w:rPr>
        <w:t>NOTE 7 – Le temps de rétablissement, qui correspond au temps s'écoulant entre une interruption du trafic et son rétablissement, comprend le temps de reconnaissance, de déplacement et de réparation. On constate que le temps de rétablissement diffère d'une administration à l'autre, en raison de plusieurs facteurs tels que la facilité d'accès, les conditions atmosphériques, les méthodes de maintenance et d'autres considérations d'ordre économique.</w:t>
      </w:r>
    </w:p>
    <w:p w:rsidR="00105CE7" w:rsidRPr="009934E7" w:rsidRDefault="00105CE7" w:rsidP="00315C76">
      <w:pPr>
        <w:rPr>
          <w:lang w:val="fr-CH"/>
        </w:rPr>
      </w:pPr>
      <w:r w:rsidRPr="009934E7">
        <w:rPr>
          <w:lang w:val="fr-CH"/>
        </w:rPr>
        <w:t>NOTE 8 – La présente Recommandation ne tient pas compte des améliorations que l'on pourrait obtenir en réacheminant le trafic sur d'autres systèmes (par exemple, câbles ou autres faisceaux hertziens).</w:t>
      </w:r>
    </w:p>
    <w:p w:rsidR="00105CE7" w:rsidRPr="009934E7" w:rsidRDefault="00105CE7" w:rsidP="00315C76">
      <w:pPr>
        <w:rPr>
          <w:lang w:val="fr-CH"/>
        </w:rPr>
      </w:pPr>
      <w:r w:rsidRPr="009934E7">
        <w:rPr>
          <w:lang w:val="fr-CH"/>
        </w:rPr>
        <w:t>NOTE 9 – Pour des interruptions d'une durée inférieure à 10 s, un complément d'étude est nécessaire, en tenant compte également des interruptions intermittentes.</w:t>
      </w:r>
    </w:p>
    <w:p w:rsidR="00105CE7" w:rsidRDefault="00105CE7" w:rsidP="00315C76">
      <w:pPr>
        <w:rPr>
          <w:lang w:val="fr-CH"/>
        </w:rPr>
      </w:pPr>
      <w:r w:rsidRPr="009934E7">
        <w:rPr>
          <w:lang w:val="fr-CH"/>
        </w:rPr>
        <w:t>NOTE 1</w:t>
      </w:r>
      <w:r w:rsidR="009A6661">
        <w:rPr>
          <w:lang w:val="fr-CH"/>
        </w:rPr>
        <w:t>0</w:t>
      </w:r>
      <w:r w:rsidRPr="009934E7">
        <w:rPr>
          <w:lang w:val="fr-CH"/>
        </w:rPr>
        <w:t> – La Recommandation UIT-R F.594 tient compte des périodes d'une durée inférieure à 10</w:t>
      </w:r>
      <w:r w:rsidR="00315C76">
        <w:rPr>
          <w:lang w:val="fr-CH"/>
        </w:rPr>
        <w:t> </w:t>
      </w:r>
      <w:r w:rsidRPr="009934E7">
        <w:rPr>
          <w:lang w:val="fr-CH"/>
        </w:rPr>
        <w:t>s pendant lesquelles le taux d'erreur est supérieur à 1 </w:t>
      </w:r>
      <w:r w:rsidRPr="009934E7">
        <w:rPr>
          <w:rFonts w:ascii="Symbol" w:hAnsi="Symbol"/>
          <w:lang w:val="fr-CH"/>
        </w:rPr>
        <w:t></w:t>
      </w:r>
      <w:r w:rsidRPr="009934E7">
        <w:rPr>
          <w:lang w:val="fr-CH"/>
        </w:rPr>
        <w:t> 10</w:t>
      </w:r>
      <w:r w:rsidRPr="009934E7">
        <w:rPr>
          <w:position w:val="6"/>
          <w:sz w:val="16"/>
          <w:lang w:val="fr-CH"/>
        </w:rPr>
        <w:t>–3</w:t>
      </w:r>
      <w:r w:rsidRPr="009934E7">
        <w:rPr>
          <w:lang w:val="fr-CH"/>
        </w:rPr>
        <w:t>.</w:t>
      </w:r>
    </w:p>
    <w:p w:rsidR="009E129E" w:rsidRDefault="009E129E" w:rsidP="00315C76">
      <w:pPr>
        <w:rPr>
          <w:lang w:val="fr-CH"/>
        </w:rPr>
      </w:pPr>
    </w:p>
    <w:p w:rsidR="009E129E" w:rsidRPr="009934E7" w:rsidRDefault="009E129E" w:rsidP="00315C76">
      <w:pPr>
        <w:rPr>
          <w:lang w:val="fr-CH"/>
        </w:rPr>
      </w:pPr>
    </w:p>
    <w:p w:rsidR="00105CE7" w:rsidRPr="009934E7" w:rsidRDefault="00105CE7" w:rsidP="00315C76">
      <w:pPr>
        <w:pStyle w:val="AnnexNoTitle"/>
        <w:rPr>
          <w:lang w:val="fr-CH"/>
        </w:rPr>
      </w:pPr>
      <w:r w:rsidRPr="009934E7">
        <w:rPr>
          <w:lang w:val="fr-CH"/>
        </w:rPr>
        <w:t>A</w:t>
      </w:r>
      <w:r w:rsidR="00315C76">
        <w:rPr>
          <w:lang w:val="fr-CH"/>
        </w:rPr>
        <w:t xml:space="preserve">nnexe </w:t>
      </w:r>
      <w:r w:rsidRPr="009934E7">
        <w:rPr>
          <w:lang w:val="fr-CH"/>
        </w:rPr>
        <w:t>1</w:t>
      </w:r>
      <w:r w:rsidR="00315C76">
        <w:rPr>
          <w:lang w:val="fr-CH"/>
        </w:rPr>
        <w:br/>
      </w:r>
      <w:r w:rsidR="00315C76">
        <w:rPr>
          <w:lang w:val="fr-CH"/>
        </w:rPr>
        <w:br/>
      </w:r>
      <w:r w:rsidRPr="009934E7">
        <w:rPr>
          <w:lang w:val="fr-CH"/>
        </w:rPr>
        <w:t>Disponibilité et fiabilité des faisceaux hertziens</w:t>
      </w:r>
    </w:p>
    <w:p w:rsidR="00105CE7" w:rsidRPr="009934E7" w:rsidRDefault="00105CE7" w:rsidP="00105CE7">
      <w:pPr>
        <w:pStyle w:val="Heading1"/>
        <w:rPr>
          <w:lang w:val="fr-CH"/>
        </w:rPr>
      </w:pPr>
      <w:r w:rsidRPr="009934E7">
        <w:rPr>
          <w:lang w:val="fr-CH"/>
        </w:rPr>
        <w:t>1</w:t>
      </w:r>
      <w:r w:rsidRPr="009934E7">
        <w:rPr>
          <w:lang w:val="fr-CH"/>
        </w:rPr>
        <w:tab/>
        <w:t>Introduction</w:t>
      </w:r>
    </w:p>
    <w:p w:rsidR="00105CE7" w:rsidRPr="009934E7" w:rsidRDefault="00105CE7" w:rsidP="00105CE7">
      <w:pPr>
        <w:rPr>
          <w:lang w:val="fr-CH"/>
        </w:rPr>
      </w:pPr>
      <w:r w:rsidRPr="009934E7">
        <w:rPr>
          <w:lang w:val="fr-CH"/>
        </w:rPr>
        <w:t>La présente Annexe donne des indications utiles pour l'interprétation de la présente Recommandation. Toutefois, il convient de noter que les valeurs et les caractéristiques indiquées ne sont données qu'à titre d'exemple.</w:t>
      </w:r>
    </w:p>
    <w:p w:rsidR="00105CE7" w:rsidRPr="009934E7" w:rsidRDefault="00105CE7" w:rsidP="00105CE7">
      <w:pPr>
        <w:rPr>
          <w:lang w:val="fr-CH"/>
        </w:rPr>
      </w:pPr>
      <w:r w:rsidRPr="009934E7">
        <w:rPr>
          <w:lang w:val="fr-CH"/>
        </w:rPr>
        <w:t>Dans la présente Annexe, les termes fiabilité et disponibilité répondent aux définitions adoptées par l'UIT-R et la Commission électrotechnique internationale (CEI).</w:t>
      </w:r>
    </w:p>
    <w:p w:rsidR="00105CE7" w:rsidRPr="009934E7" w:rsidRDefault="00105CE7" w:rsidP="00105CE7">
      <w:pPr>
        <w:pStyle w:val="Heading1"/>
        <w:rPr>
          <w:lang w:val="fr-CH"/>
        </w:rPr>
      </w:pPr>
      <w:r w:rsidRPr="009934E7">
        <w:rPr>
          <w:lang w:val="fr-CH"/>
        </w:rPr>
        <w:t>2</w:t>
      </w:r>
      <w:r w:rsidRPr="009934E7">
        <w:rPr>
          <w:lang w:val="fr-CH"/>
        </w:rPr>
        <w:tab/>
        <w:t>Causes d'indisponibilité</w:t>
      </w:r>
    </w:p>
    <w:p w:rsidR="00105CE7" w:rsidRPr="009934E7" w:rsidRDefault="009A6661" w:rsidP="004060F1">
      <w:pPr>
        <w:rPr>
          <w:lang w:val="fr-CH"/>
        </w:rPr>
      </w:pPr>
      <w:r>
        <w:rPr>
          <w:lang w:val="fr-CH"/>
        </w:rPr>
        <w:t xml:space="preserve">La </w:t>
      </w:r>
      <w:r w:rsidR="00105CE7" w:rsidRPr="009934E7">
        <w:rPr>
          <w:lang w:val="fr-CH"/>
        </w:rPr>
        <w:t>définitio</w:t>
      </w:r>
      <w:r>
        <w:rPr>
          <w:lang w:val="fr-CH"/>
        </w:rPr>
        <w:t>n</w:t>
      </w:r>
      <w:r w:rsidR="00105CE7" w:rsidRPr="009934E7">
        <w:rPr>
          <w:lang w:val="fr-CH"/>
        </w:rPr>
        <w:t xml:space="preserve"> d</w:t>
      </w:r>
      <w:r>
        <w:rPr>
          <w:lang w:val="fr-CH"/>
        </w:rPr>
        <w:t>e l</w:t>
      </w:r>
      <w:r w:rsidR="00105CE7" w:rsidRPr="009934E7">
        <w:rPr>
          <w:lang w:val="fr-CH"/>
        </w:rPr>
        <w:t xml:space="preserve">'indisponibilité des faisceaux hertziens numériques </w:t>
      </w:r>
      <w:r w:rsidR="004060F1">
        <w:rPr>
          <w:lang w:val="fr-CH"/>
        </w:rPr>
        <w:t>est établie</w:t>
      </w:r>
      <w:r w:rsidR="00105CE7" w:rsidRPr="009934E7">
        <w:rPr>
          <w:lang w:val="fr-CH"/>
        </w:rPr>
        <w:t xml:space="preserve"> </w:t>
      </w:r>
      <w:r w:rsidR="004060F1">
        <w:rPr>
          <w:lang w:val="fr-CH"/>
        </w:rPr>
        <w:t>au</w:t>
      </w:r>
      <w:r w:rsidR="00105CE7" w:rsidRPr="009934E7">
        <w:rPr>
          <w:lang w:val="fr-CH"/>
        </w:rPr>
        <w:t xml:space="preserve"> §</w:t>
      </w:r>
      <w:r w:rsidR="004060F1">
        <w:rPr>
          <w:lang w:val="fr-CH"/>
        </w:rPr>
        <w:t> </w:t>
      </w:r>
      <w:r w:rsidR="00105CE7" w:rsidRPr="009934E7">
        <w:rPr>
          <w:lang w:val="fr-CH"/>
        </w:rPr>
        <w:t xml:space="preserve">2 du </w:t>
      </w:r>
      <w:r w:rsidR="00105CE7" w:rsidRPr="009934E7">
        <w:rPr>
          <w:i/>
          <w:lang w:val="fr-CH"/>
        </w:rPr>
        <w:t>recommande</w:t>
      </w:r>
      <w:r w:rsidR="00105CE7" w:rsidRPr="009934E7">
        <w:rPr>
          <w:lang w:val="fr-CH"/>
        </w:rPr>
        <w:t>. Les services chargés de la planification devront tenir compte de toutes les causes d'interruption ou de dégradation de la qualité qui ont une influence sur l'indisponibilité du faisceau hertzien.</w:t>
      </w:r>
    </w:p>
    <w:p w:rsidR="00105CE7" w:rsidRPr="009934E7" w:rsidRDefault="00105CE7" w:rsidP="00B06FF2">
      <w:pPr>
        <w:rPr>
          <w:lang w:val="fr-CH"/>
        </w:rPr>
      </w:pPr>
      <w:r w:rsidRPr="009934E7">
        <w:rPr>
          <w:lang w:val="fr-CH"/>
        </w:rPr>
        <w:lastRenderedPageBreak/>
        <w:t>Les caractéristiques des principales causes d'indisponibilité des faisceaux hertziens sont décrites ci</w:t>
      </w:r>
      <w:r w:rsidR="00B06FF2">
        <w:rPr>
          <w:lang w:val="fr-CH"/>
        </w:rPr>
        <w:noBreakHyphen/>
      </w:r>
      <w:r w:rsidRPr="009934E7">
        <w:rPr>
          <w:lang w:val="fr-CH"/>
        </w:rPr>
        <w:t>dessous.</w:t>
      </w:r>
    </w:p>
    <w:p w:rsidR="00105CE7" w:rsidRPr="009934E7" w:rsidRDefault="00105CE7" w:rsidP="00105CE7">
      <w:pPr>
        <w:pStyle w:val="Heading2"/>
        <w:rPr>
          <w:lang w:val="fr-CH"/>
        </w:rPr>
      </w:pPr>
      <w:r w:rsidRPr="009934E7">
        <w:rPr>
          <w:lang w:val="fr-CH"/>
        </w:rPr>
        <w:t>2.1</w:t>
      </w:r>
      <w:r w:rsidRPr="009934E7">
        <w:rPr>
          <w:lang w:val="fr-CH"/>
        </w:rPr>
        <w:tab/>
        <w:t>Equipement</w:t>
      </w:r>
    </w:p>
    <w:p w:rsidR="00105CE7" w:rsidRPr="009934E7" w:rsidRDefault="00105CE7" w:rsidP="00105CE7">
      <w:pPr>
        <w:pStyle w:val="enumlev1"/>
        <w:rPr>
          <w:lang w:val="fr-CH"/>
        </w:rPr>
      </w:pPr>
      <w:r w:rsidRPr="009934E7">
        <w:rPr>
          <w:lang w:val="fr-CH"/>
        </w:rPr>
        <w:t>–</w:t>
      </w:r>
      <w:r w:rsidRPr="009934E7">
        <w:rPr>
          <w:lang w:val="fr-CH"/>
        </w:rPr>
        <w:tab/>
        <w:t>défaillance ou dégradation de l'équipement radioélectrique, notamment les modulateurs et les démodulateurs,</w:t>
      </w:r>
    </w:p>
    <w:p w:rsidR="00105CE7" w:rsidRPr="009934E7" w:rsidRDefault="00105CE7" w:rsidP="00105CE7">
      <w:pPr>
        <w:pStyle w:val="enumlev1"/>
        <w:rPr>
          <w:lang w:val="fr-CH"/>
        </w:rPr>
      </w:pPr>
      <w:r w:rsidRPr="009934E7">
        <w:rPr>
          <w:lang w:val="fr-CH"/>
        </w:rPr>
        <w:t>–</w:t>
      </w:r>
      <w:r w:rsidRPr="009934E7">
        <w:rPr>
          <w:lang w:val="fr-CH"/>
        </w:rPr>
        <w:tab/>
        <w:t>défaillance des équipements auxiliaires (équipements de commutation par exemple),</w:t>
      </w:r>
    </w:p>
    <w:p w:rsidR="00105CE7" w:rsidRPr="009934E7" w:rsidRDefault="00105CE7" w:rsidP="00105CE7">
      <w:pPr>
        <w:pStyle w:val="enumlev1"/>
        <w:rPr>
          <w:lang w:val="fr-CH"/>
        </w:rPr>
      </w:pPr>
      <w:r w:rsidRPr="009934E7">
        <w:rPr>
          <w:lang w:val="fr-CH"/>
        </w:rPr>
        <w:t>–</w:t>
      </w:r>
      <w:r w:rsidRPr="009934E7">
        <w:rPr>
          <w:lang w:val="fr-CH"/>
        </w:rPr>
        <w:tab/>
        <w:t>défaillance du matériel d'alimentation en énergie électrique du réseau radioélectrique,</w:t>
      </w:r>
    </w:p>
    <w:p w:rsidR="00105CE7" w:rsidRPr="009934E7" w:rsidRDefault="00105CE7" w:rsidP="00105CE7">
      <w:pPr>
        <w:pStyle w:val="enumlev1"/>
        <w:rPr>
          <w:lang w:val="fr-CH"/>
        </w:rPr>
      </w:pPr>
      <w:r w:rsidRPr="009934E7">
        <w:rPr>
          <w:lang w:val="fr-CH"/>
        </w:rPr>
        <w:t>–</w:t>
      </w:r>
      <w:r w:rsidRPr="009934E7">
        <w:rPr>
          <w:lang w:val="fr-CH"/>
        </w:rPr>
        <w:tab/>
        <w:t>défaillance de l'antenne ou de la ligne d'alimentation.</w:t>
      </w:r>
    </w:p>
    <w:p w:rsidR="00105CE7" w:rsidRPr="009934E7" w:rsidRDefault="00105CE7" w:rsidP="00105CE7">
      <w:pPr>
        <w:rPr>
          <w:lang w:val="fr-CH"/>
        </w:rPr>
      </w:pPr>
      <w:r w:rsidRPr="009934E7">
        <w:rPr>
          <w:lang w:val="fr-CH"/>
        </w:rPr>
        <w:t>Avec les faisceaux hertziens les plus récents, conçus pour avoir une haute fiabilité, la MTBF s'est considérablement allongée. L'indisponibilité est également fonction de la MTTR comme cela est indiqué dans la Note 6.</w:t>
      </w:r>
    </w:p>
    <w:p w:rsidR="00105CE7" w:rsidRPr="009934E7" w:rsidRDefault="00105CE7" w:rsidP="004060F1">
      <w:pPr>
        <w:rPr>
          <w:lang w:val="fr-CH"/>
        </w:rPr>
      </w:pPr>
      <w:r w:rsidRPr="009934E7">
        <w:rPr>
          <w:lang w:val="fr-CH"/>
        </w:rPr>
        <w:t>Dans une section de commutation type, l'indisponibilité imputable à des défaillances de l'équipement peut être de l'ordre de 0,01% (voir la Recommandation UIT-R F.695). Ce taux d'indisponibilité est représentatif d'un équipement type présentant une MTBF de l'ordre de quelque 10</w:t>
      </w:r>
      <w:r w:rsidRPr="009934E7">
        <w:rPr>
          <w:position w:val="6"/>
          <w:sz w:val="16"/>
          <w:lang w:val="fr-CH"/>
        </w:rPr>
        <w:t>4</w:t>
      </w:r>
      <w:r w:rsidRPr="009934E7">
        <w:rPr>
          <w:lang w:val="fr-CH"/>
        </w:rPr>
        <w:t xml:space="preserve"> heures et une MTTR de quelques heures. Toutefois, un CNFR comporte un grand nombre de sections de commutation. Bien évidemment la probabilité d'une défaillance simultanée dans chaque section de commutation est faible, à tel point que l'on n'observe parfois qu'un seul cas de défaillance sur une période de plusieurs années. Il est donc raisonnable de retenir une longue période d'intégration – une année, par exemple – pour mesurer l'indisponibilité.</w:t>
      </w:r>
    </w:p>
    <w:p w:rsidR="00105CE7" w:rsidRPr="009934E7" w:rsidRDefault="00105CE7" w:rsidP="00105CE7">
      <w:pPr>
        <w:pStyle w:val="Heading2"/>
        <w:rPr>
          <w:lang w:val="fr-CH"/>
        </w:rPr>
      </w:pPr>
      <w:r w:rsidRPr="009934E7">
        <w:rPr>
          <w:lang w:val="fr-CH"/>
        </w:rPr>
        <w:t>2.2</w:t>
      </w:r>
      <w:r w:rsidRPr="009934E7">
        <w:rPr>
          <w:lang w:val="fr-CH"/>
        </w:rPr>
        <w:tab/>
        <w:t>Propagation</w:t>
      </w:r>
    </w:p>
    <w:p w:rsidR="00105CE7" w:rsidRPr="009934E7" w:rsidRDefault="00105CE7" w:rsidP="00105CE7">
      <w:pPr>
        <w:rPr>
          <w:lang w:val="fr-CH"/>
        </w:rPr>
      </w:pPr>
      <w:r w:rsidRPr="009934E7">
        <w:rPr>
          <w:lang w:val="fr-CH"/>
        </w:rPr>
        <w:t>Les interruptions de faisceau hertzien causées par un évanouissement dû à la propagation par trajets multiples ont souvent une durée inférieure à 10 s, pourtant elles peuvent quelquefois se produire pendant plus de 10 s, ce qui provoque une indisponibilité.</w:t>
      </w:r>
    </w:p>
    <w:p w:rsidR="00105CE7" w:rsidRPr="009934E7" w:rsidRDefault="00105CE7" w:rsidP="00105CE7">
      <w:pPr>
        <w:rPr>
          <w:lang w:val="fr-CH"/>
        </w:rPr>
      </w:pPr>
      <w:r w:rsidRPr="009934E7">
        <w:rPr>
          <w:lang w:val="fr-CH"/>
        </w:rPr>
        <w:t>Un affaiblissement dû à des précipitations anormales (forte chute de pluie ou de neige) dure assez longtemps pour provoquer une indisponibilité dans l'exploitation des faisceaux hertziens fonctionnant dans les bandes de fréquences supérieures à 10 GHz. On peut déduire des statistiques prévisionnelles sur les effets de propagation en appliquant les formules ou les méthodes préconisées dans les Recommandations UIT-R, Série P. En outre, étant donné qu'il y a généralement une faible probabilité de voir se produire de fortes précipitations, la durée d'indisponibilité peut différer d'une année à l'autre. Pour évaluer la durée d'indisponibilité, on pourra appliquer les mêmes dispositions que celles qui figurent au § 2.1.</w:t>
      </w:r>
    </w:p>
    <w:p w:rsidR="00105CE7" w:rsidRPr="009934E7" w:rsidRDefault="00105CE7" w:rsidP="00105CE7">
      <w:pPr>
        <w:pStyle w:val="Heading2"/>
        <w:rPr>
          <w:lang w:val="fr-CH"/>
        </w:rPr>
      </w:pPr>
      <w:r w:rsidRPr="009934E7">
        <w:rPr>
          <w:lang w:val="fr-CH"/>
        </w:rPr>
        <w:t>2.3</w:t>
      </w:r>
      <w:r w:rsidRPr="009934E7">
        <w:rPr>
          <w:lang w:val="fr-CH"/>
        </w:rPr>
        <w:tab/>
        <w:t>Autres causes</w:t>
      </w:r>
    </w:p>
    <w:p w:rsidR="00105CE7" w:rsidRPr="009934E7" w:rsidRDefault="00105CE7" w:rsidP="00105CE7">
      <w:pPr>
        <w:rPr>
          <w:lang w:val="fr-CH"/>
        </w:rPr>
      </w:pPr>
      <w:r w:rsidRPr="009934E7">
        <w:rPr>
          <w:lang w:val="fr-CH"/>
        </w:rPr>
        <w:t>Des salves de bruits impulsifs imprévisibles causées par un brouillage provenant principalement de sources extérieures au système brouillé peuvent provoquer une indisponibilité lorsque la puissance du bruit dépasse un certain seuil. Ce type d'interruption comprend le brouillage provenant des systèmes spatiaux ou des systèmes de radar combiné avec une propagation anormale.</w:t>
      </w:r>
    </w:p>
    <w:p w:rsidR="00105CE7" w:rsidRPr="009934E7" w:rsidRDefault="00105CE7" w:rsidP="00105CE7">
      <w:pPr>
        <w:rPr>
          <w:lang w:val="fr-CH"/>
        </w:rPr>
      </w:pPr>
      <w:r w:rsidRPr="009934E7">
        <w:rPr>
          <w:lang w:val="fr-CH"/>
        </w:rPr>
        <w:t>Les catastrophes comme les tremblements de terre peuvent conduire à l'écroulement des pylônes ou des bâtiments et aboutir à une indisponibilité des faisceaux hertziens.</w:t>
      </w:r>
    </w:p>
    <w:p w:rsidR="00105CE7" w:rsidRPr="009934E7" w:rsidRDefault="00105CE7" w:rsidP="00105CE7">
      <w:pPr>
        <w:rPr>
          <w:lang w:val="fr-CH"/>
        </w:rPr>
      </w:pPr>
      <w:r w:rsidRPr="009934E7">
        <w:rPr>
          <w:lang w:val="fr-CH"/>
        </w:rPr>
        <w:t>Une intervention humaine au cours de la maintenance peut également provoquer une indisponibilité. La contribution de ces facteurs est généralement difficile à prévoir au moyen d'une analyse mathématique. Cependant on devra en tenir compte lors de la conception de faisceaux hertziens.</w:t>
      </w:r>
    </w:p>
    <w:p w:rsidR="00105CE7" w:rsidRPr="009934E7" w:rsidRDefault="00105CE7" w:rsidP="00105CE7">
      <w:pPr>
        <w:pStyle w:val="Heading1"/>
        <w:rPr>
          <w:lang w:val="fr-CH"/>
        </w:rPr>
      </w:pPr>
      <w:r w:rsidRPr="009934E7">
        <w:rPr>
          <w:lang w:val="fr-CH"/>
        </w:rPr>
        <w:lastRenderedPageBreak/>
        <w:t>3</w:t>
      </w:r>
      <w:r w:rsidRPr="009934E7">
        <w:rPr>
          <w:lang w:val="fr-CH"/>
        </w:rPr>
        <w:tab/>
        <w:t>Commutation normal/secours</w:t>
      </w:r>
    </w:p>
    <w:p w:rsidR="00105CE7" w:rsidRPr="009934E7" w:rsidRDefault="00105CE7" w:rsidP="00105CE7">
      <w:pPr>
        <w:rPr>
          <w:lang w:val="fr-CH"/>
        </w:rPr>
      </w:pPr>
      <w:r w:rsidRPr="009934E7">
        <w:rPr>
          <w:lang w:val="fr-CH"/>
        </w:rPr>
        <w:t xml:space="preserve">La commutation normal/secours est souvent efficace pour améliorer la disponibilité des faisceaux hertziens. Dans les faisceaux hertziens, la méthode dite de commutation de canal est généralement employée. Dans cette méthode, on prépare une ou </w:t>
      </w:r>
      <w:r w:rsidRPr="009934E7">
        <w:rPr>
          <w:i/>
          <w:lang w:val="fr-CH"/>
        </w:rPr>
        <w:t>P</w:t>
      </w:r>
      <w:r w:rsidRPr="009934E7">
        <w:rPr>
          <w:lang w:val="fr-CH"/>
        </w:rPr>
        <w:t>(</w:t>
      </w:r>
      <w:r w:rsidRPr="009934E7">
        <w:rPr>
          <w:i/>
          <w:lang w:val="fr-CH"/>
        </w:rPr>
        <w:t>P</w:t>
      </w:r>
      <w:r w:rsidRPr="009934E7">
        <w:rPr>
          <w:lang w:val="fr-CH"/>
        </w:rPr>
        <w:t> </w:t>
      </w:r>
      <w:r w:rsidRPr="009934E7">
        <w:rPr>
          <w:rFonts w:ascii="Symbol" w:hAnsi="Symbol"/>
          <w:lang w:val="fr-CH"/>
        </w:rPr>
        <w:t></w:t>
      </w:r>
      <w:r w:rsidRPr="009934E7">
        <w:rPr>
          <w:lang w:val="fr-CH"/>
        </w:rPr>
        <w:t xml:space="preserve"> 1) voies radioélectriques de secours pour </w:t>
      </w:r>
      <w:r w:rsidRPr="009934E7">
        <w:rPr>
          <w:i/>
          <w:lang w:val="fr-CH"/>
        </w:rPr>
        <w:t>N</w:t>
      </w:r>
      <w:r w:rsidRPr="009934E7">
        <w:rPr>
          <w:lang w:val="fr-CH"/>
        </w:rPr>
        <w:t xml:space="preserve"> voies en fonctionnement. Lorsqu'une des </w:t>
      </w:r>
      <w:r w:rsidRPr="009934E7">
        <w:rPr>
          <w:i/>
          <w:lang w:val="fr-CH"/>
        </w:rPr>
        <w:t>N</w:t>
      </w:r>
      <w:r w:rsidRPr="009934E7">
        <w:rPr>
          <w:lang w:val="fr-CH"/>
        </w:rPr>
        <w:t xml:space="preserve"> voies en fonctionnement est interrompue, le signal sur la voie interrompue sera immédiatement récupéré par une des voies de secours sur </w:t>
      </w:r>
      <w:r w:rsidRPr="009934E7">
        <w:rPr>
          <w:i/>
          <w:lang w:val="fr-CH"/>
        </w:rPr>
        <w:t>m</w:t>
      </w:r>
      <w:r w:rsidRPr="009934E7">
        <w:rPr>
          <w:lang w:val="fr-CH"/>
        </w:rPr>
        <w:t xml:space="preserve"> bonds radioélectriques. Dans ce cas, l'indisponibilité </w:t>
      </w:r>
      <w:r w:rsidRPr="009934E7">
        <w:rPr>
          <w:i/>
          <w:lang w:val="fr-CH"/>
        </w:rPr>
        <w:t>U</w:t>
      </w:r>
      <w:r w:rsidRPr="009934E7">
        <w:rPr>
          <w:lang w:val="fr-CH"/>
        </w:rPr>
        <w:t xml:space="preserve"> de chacune des voies radioélectriques à double sens causée uniquement par une défaillance de l'équipement, en admettant que le taux de défaillance du matériel de secours est suffisamment petit pour être négligé, peut s'exprimer par la formule suivante:</w:t>
      </w:r>
    </w:p>
    <w:p w:rsidR="00105CE7" w:rsidRPr="009934E7" w:rsidRDefault="00105CE7" w:rsidP="00F01E4A">
      <w:pPr>
        <w:pStyle w:val="Equation"/>
        <w:rPr>
          <w:lang w:val="fr-CH"/>
        </w:rPr>
      </w:pPr>
      <w:bookmarkStart w:id="5" w:name="F001"/>
      <w:r w:rsidRPr="009934E7">
        <w:rPr>
          <w:lang w:val="fr-CH"/>
        </w:rPr>
        <w:tab/>
      </w:r>
      <w:r w:rsidRPr="009934E7">
        <w:rPr>
          <w:lang w:val="fr-CH"/>
        </w:rPr>
        <w:tab/>
      </w:r>
      <w:r w:rsidR="00F01E4A" w:rsidRPr="005345CE">
        <w:rPr>
          <w:position w:val="-32"/>
          <w:lang w:val="en-US"/>
        </w:rPr>
        <w:object w:dxaOrig="262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4pt;height:35.8pt" o:ole="">
            <v:imagedata r:id="rId13" o:title=""/>
          </v:shape>
          <o:OLEObject Type="Embed" ProgID="Equation.3" ShapeID="_x0000_i1025" DrawAspect="Content" ObjectID="_1496642880" r:id="rId14"/>
        </w:object>
      </w:r>
      <w:r w:rsidRPr="009934E7">
        <w:rPr>
          <w:lang w:val="fr-CH"/>
        </w:rPr>
        <w:tab/>
        <w:t>(1)</w:t>
      </w:r>
    </w:p>
    <w:bookmarkEnd w:id="5"/>
    <w:p w:rsidR="00105CE7" w:rsidRPr="009934E7" w:rsidRDefault="00105CE7" w:rsidP="00105CE7">
      <w:pPr>
        <w:rPr>
          <w:lang w:val="fr-CH"/>
        </w:rPr>
      </w:pPr>
      <w:r w:rsidRPr="009934E7">
        <w:rPr>
          <w:lang w:val="fr-CH"/>
        </w:rPr>
        <w:t>dans laquelle:</w:t>
      </w:r>
    </w:p>
    <w:p w:rsidR="00105CE7" w:rsidRPr="009934E7" w:rsidRDefault="00105CE7" w:rsidP="00F01E4A">
      <w:pPr>
        <w:pStyle w:val="Equationlegend"/>
      </w:pPr>
      <w:r w:rsidRPr="009934E7">
        <w:rPr>
          <w:i/>
        </w:rPr>
        <w:tab/>
        <w:t xml:space="preserve">m </w:t>
      </w:r>
      <w:r w:rsidRPr="009934E7">
        <w:t>:</w:t>
      </w:r>
      <w:r w:rsidRPr="009934E7">
        <w:tab/>
        <w:t>nombre de bonds radioélectriques contenus dans chaque section de commutation</w:t>
      </w:r>
    </w:p>
    <w:p w:rsidR="00105CE7" w:rsidRPr="009934E7" w:rsidRDefault="00105CE7" w:rsidP="00F01E4A">
      <w:pPr>
        <w:pStyle w:val="Equationlegend"/>
      </w:pPr>
      <w:r w:rsidRPr="009934E7">
        <w:rPr>
          <w:i/>
        </w:rPr>
        <w:tab/>
        <w:t xml:space="preserve">q </w:t>
      </w:r>
      <w:r w:rsidRPr="009934E7">
        <w:t>:</w:t>
      </w:r>
      <w:r w:rsidRPr="009934E7">
        <w:tab/>
        <w:t xml:space="preserve">probabilité d'interruption de chaque bond (pour autant qu'il s'agisse d'une défaillance de l'équipement, </w:t>
      </w:r>
      <w:r w:rsidRPr="009934E7">
        <w:rPr>
          <w:i/>
        </w:rPr>
        <w:t>q</w:t>
      </w:r>
      <w:r w:rsidRPr="009934E7">
        <w:t> </w:t>
      </w:r>
      <w:r w:rsidRPr="009934E7">
        <w:rPr>
          <w:rFonts w:ascii="Symbol" w:hAnsi="Symbol"/>
        </w:rPr>
        <w:t></w:t>
      </w:r>
      <w:r w:rsidRPr="009934E7">
        <w:t> MTTR/MTBF)</w:t>
      </w:r>
    </w:p>
    <w:p w:rsidR="00105CE7" w:rsidRPr="009934E7" w:rsidRDefault="00105CE7" w:rsidP="00F36027">
      <w:pPr>
        <w:pStyle w:val="Equation"/>
        <w:rPr>
          <w:lang w:val="fr-CH"/>
        </w:rPr>
      </w:pPr>
      <w:bookmarkStart w:id="6" w:name="F002"/>
      <w:r w:rsidRPr="009934E7">
        <w:rPr>
          <w:lang w:val="fr-CH"/>
        </w:rPr>
        <w:tab/>
      </w:r>
      <w:r w:rsidRPr="009934E7">
        <w:rPr>
          <w:lang w:val="fr-CH"/>
        </w:rPr>
        <w:tab/>
      </w:r>
      <w:r w:rsidR="00F36027" w:rsidRPr="00CE7CE6">
        <w:rPr>
          <w:position w:val="-30"/>
          <w:lang w:val="en-US"/>
        </w:rPr>
        <w:object w:dxaOrig="2900" w:dyaOrig="720">
          <v:shape id="_x0000_i1026" type="#_x0000_t75" style="width:2in;height:36.2pt" o:ole="">
            <v:imagedata r:id="rId15" o:title=""/>
          </v:shape>
          <o:OLEObject Type="Embed" ProgID="Equation.3" ShapeID="_x0000_i1026" DrawAspect="Content" ObjectID="_1496642881" r:id="rId16"/>
        </w:object>
      </w:r>
    </w:p>
    <w:bookmarkEnd w:id="6"/>
    <w:p w:rsidR="00105CE7" w:rsidRPr="009934E7" w:rsidRDefault="00105CE7" w:rsidP="00105CE7">
      <w:pPr>
        <w:rPr>
          <w:lang w:val="fr-CH"/>
        </w:rPr>
      </w:pPr>
      <w:r w:rsidRPr="009934E7">
        <w:rPr>
          <w:lang w:val="fr-CH"/>
        </w:rPr>
        <w:t>Dans de nombreux cas, la voie de secours est unique (</w:t>
      </w:r>
      <w:r w:rsidRPr="009934E7">
        <w:rPr>
          <w:i/>
          <w:lang w:val="fr-CH"/>
        </w:rPr>
        <w:t>P</w:t>
      </w:r>
      <w:r w:rsidRPr="009934E7">
        <w:rPr>
          <w:lang w:val="fr-CH"/>
        </w:rPr>
        <w:t xml:space="preserve"> </w:t>
      </w:r>
      <w:r w:rsidRPr="009934E7">
        <w:rPr>
          <w:rFonts w:ascii="Symbol" w:hAnsi="Symbol"/>
          <w:lang w:val="fr-CH"/>
        </w:rPr>
        <w:t></w:t>
      </w:r>
      <w:r w:rsidRPr="009934E7">
        <w:rPr>
          <w:lang w:val="fr-CH"/>
        </w:rPr>
        <w:t xml:space="preserve"> 1) et la formule (1) devient:</w:t>
      </w:r>
    </w:p>
    <w:p w:rsidR="00105CE7" w:rsidRPr="009934E7" w:rsidRDefault="00105CE7" w:rsidP="00F36027">
      <w:pPr>
        <w:pStyle w:val="Equation"/>
        <w:rPr>
          <w:lang w:val="fr-CH"/>
        </w:rPr>
      </w:pPr>
      <w:bookmarkStart w:id="7" w:name="F003"/>
      <w:r w:rsidRPr="009934E7">
        <w:rPr>
          <w:lang w:val="fr-CH"/>
        </w:rPr>
        <w:tab/>
      </w:r>
      <w:r w:rsidRPr="009934E7">
        <w:rPr>
          <w:lang w:val="fr-CH"/>
        </w:rPr>
        <w:tab/>
      </w:r>
      <w:r w:rsidR="00F36027" w:rsidRPr="00D22106">
        <w:rPr>
          <w:position w:val="-32"/>
          <w:lang w:val="en-US"/>
        </w:rPr>
        <w:object w:dxaOrig="2400" w:dyaOrig="760">
          <v:shape id="_x0000_i1027" type="#_x0000_t75" style="width:122.35pt;height:35.8pt" o:ole="">
            <v:imagedata r:id="rId17" o:title=""/>
          </v:shape>
          <o:OLEObject Type="Embed" ProgID="Equation.3" ShapeID="_x0000_i1027" DrawAspect="Content" ObjectID="_1496642882" r:id="rId18"/>
        </w:object>
      </w:r>
    </w:p>
    <w:bookmarkEnd w:id="7"/>
    <w:p w:rsidR="00105CE7" w:rsidRDefault="00105CE7" w:rsidP="00105CE7">
      <w:pPr>
        <w:rPr>
          <w:lang w:val="fr-CH"/>
        </w:rPr>
      </w:pPr>
      <w:r w:rsidRPr="009934E7">
        <w:rPr>
          <w:lang w:val="fr-CH"/>
        </w:rPr>
        <w:t>La commutation sur secours est efficace non seulement en cas de défaillance de l'équipement mais également dans le cas d'évanouissement dû à la propagation par trajets multiples lorsqu'on emploie la diversité de fréquence; des renseignements sur la diversité de fréquence sont donnés dans la Recommandation UIT-R F.752.</w:t>
      </w:r>
    </w:p>
    <w:p w:rsidR="009E129E" w:rsidRPr="00985452" w:rsidRDefault="009E129E" w:rsidP="0032202E">
      <w:pPr>
        <w:pStyle w:val="Reasons"/>
        <w:rPr>
          <w:lang w:val="fr-CH"/>
        </w:rPr>
      </w:pPr>
    </w:p>
    <w:p w:rsidR="009E129E" w:rsidRDefault="009E129E">
      <w:pPr>
        <w:jc w:val="center"/>
      </w:pPr>
      <w:r>
        <w:t>______________</w:t>
      </w:r>
    </w:p>
    <w:p w:rsidR="009E129E" w:rsidRPr="009934E7" w:rsidRDefault="009E129E" w:rsidP="00105CE7">
      <w:pPr>
        <w:rPr>
          <w:lang w:val="fr-CH"/>
        </w:rPr>
      </w:pPr>
    </w:p>
    <w:sectPr w:rsidR="009E129E" w:rsidRPr="009934E7" w:rsidSect="00161F59">
      <w:headerReference w:type="even" r:id="rId19"/>
      <w:headerReference w:type="default" r:id="rId2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2739" w:rsidRDefault="004F2739">
      <w:r>
        <w:separator/>
      </w:r>
    </w:p>
  </w:endnote>
  <w:endnote w:type="continuationSeparator" w:id="0">
    <w:p w:rsidR="004F2739" w:rsidRDefault="004F27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2739" w:rsidRDefault="004F2739">
      <w:r>
        <w:separator/>
      </w:r>
    </w:p>
  </w:footnote>
  <w:footnote w:type="continuationSeparator" w:id="0">
    <w:p w:rsidR="004F2739" w:rsidRDefault="004F2739">
      <w:r>
        <w:continuationSeparator/>
      </w:r>
    </w:p>
  </w:footnote>
  <w:footnote w:id="1">
    <w:p w:rsidR="00786019" w:rsidRPr="00786019" w:rsidRDefault="00786019">
      <w:pPr>
        <w:pStyle w:val="FootnoteText"/>
        <w:rPr>
          <w:lang w:val="fr-CH"/>
        </w:rPr>
      </w:pPr>
      <w:r>
        <w:rPr>
          <w:rStyle w:val="FootnoteReference"/>
        </w:rPr>
        <w:t>*</w:t>
      </w:r>
      <w:r>
        <w:t xml:space="preserve"> </w:t>
      </w:r>
      <w:r>
        <w:rPr>
          <w:lang w:val="fr-CH"/>
        </w:rPr>
        <w:tab/>
        <w:t xml:space="preserve">Cela inclut </w:t>
      </w:r>
      <w:r>
        <w:t>tous les équipements compris dans une section radioélectrique numérique.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739" w:rsidRDefault="004F2739">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739" w:rsidRDefault="00064661" w:rsidP="006E15EE">
    <w:pPr>
      <w:pStyle w:val="Header"/>
      <w:ind w:right="360" w:firstLine="360"/>
    </w:pPr>
    <w:r>
      <w:rPr>
        <w:noProof/>
        <w:lang w:val="en-US" w:eastAsia="zh-CN"/>
      </w:rPr>
      <w:drawing>
        <wp:anchor distT="0" distB="0" distL="114300" distR="114300" simplePos="0" relativeHeight="251661312" behindDoc="0" locked="0" layoutInCell="1" allowOverlap="1" wp14:anchorId="69C98B6E" wp14:editId="73F6E7C1">
          <wp:simplePos x="0" y="0"/>
          <wp:positionH relativeFrom="margin">
            <wp:posOffset>-28575</wp:posOffset>
          </wp:positionH>
          <wp:positionV relativeFrom="margin">
            <wp:posOffset>8545830</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sidR="004F2739">
      <w:rPr>
        <w:noProof/>
        <w:lang w:val="en-US" w:eastAsia="zh-CN"/>
      </w:rPr>
      <w:drawing>
        <wp:anchor distT="0" distB="0" distL="114300" distR="114300" simplePos="0" relativeHeight="251659264" behindDoc="1" locked="0" layoutInCell="1" allowOverlap="1" wp14:anchorId="7662BF61" wp14:editId="4554E2C6">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739" w:rsidRPr="00837CB5" w:rsidRDefault="004F2739">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190580">
      <w:rPr>
        <w:rStyle w:val="PageNumber"/>
        <w:b/>
        <w:bCs/>
        <w:noProof/>
      </w:rPr>
      <w:t>ii</w:t>
    </w:r>
    <w:r>
      <w:rPr>
        <w:rStyle w:val="PageNumber"/>
        <w:b/>
        <w:bCs/>
      </w:rPr>
      <w:fldChar w:fldCharType="end"/>
    </w:r>
    <w:r w:rsidRPr="00837CB5">
      <w:tab/>
    </w:r>
    <w:fldSimple w:instr=" DOCPROPERTY &quot;Header&quot; \* MERGEFORMAT ">
      <w:r w:rsidR="00190580" w:rsidRPr="00190580">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190580">
      <w:rPr>
        <w:b/>
        <w:bCs/>
        <w:noProof/>
      </w:rPr>
      <w:t>UIT-R  F.557-5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739" w:rsidRDefault="004F2739">
    <w:pPr>
      <w:pStyle w:val="Header"/>
    </w:pPr>
    <w:r>
      <w:tab/>
    </w:r>
    <w:fldSimple w:instr=" DOCPROPERTY &quot;Header&quot; \* MERGEFORMAT ">
      <w:r w:rsidR="00190580" w:rsidRPr="0019058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90580">
      <w:rPr>
        <w:b/>
        <w:bCs/>
        <w:noProof/>
      </w:rPr>
      <w:t>UIT-R  F.557-5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739" w:rsidRDefault="004F273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90580">
      <w:rPr>
        <w:rStyle w:val="PageNumber"/>
        <w:b/>
        <w:bCs/>
        <w:noProof/>
        <w:lang w:val="en-US"/>
      </w:rPr>
      <w:t>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190580" w:rsidRPr="00190580">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90580">
      <w:rPr>
        <w:b/>
        <w:bCs/>
        <w:noProof/>
      </w:rPr>
      <w:t>UIT-R  F.557-5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739" w:rsidRDefault="004F2739">
    <w:pPr>
      <w:pStyle w:val="Header"/>
    </w:pPr>
    <w:r>
      <w:tab/>
    </w:r>
    <w:fldSimple w:instr=" DOCPROPERTY &quot;Header&quot; \* MERGEFORMAT ">
      <w:r w:rsidR="00190580" w:rsidRPr="0019058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90580">
      <w:rPr>
        <w:b/>
        <w:bCs/>
        <w:noProof/>
      </w:rPr>
      <w:t>UIT-R  F.557-5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90580">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7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n-GB"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FEA"/>
    <w:rsid w:val="00064661"/>
    <w:rsid w:val="00105CE7"/>
    <w:rsid w:val="00161F59"/>
    <w:rsid w:val="00190580"/>
    <w:rsid w:val="00217EBF"/>
    <w:rsid w:val="00242AEE"/>
    <w:rsid w:val="002D76C4"/>
    <w:rsid w:val="002E4018"/>
    <w:rsid w:val="00315C76"/>
    <w:rsid w:val="003954CD"/>
    <w:rsid w:val="003974B4"/>
    <w:rsid w:val="003B2E1C"/>
    <w:rsid w:val="003C53FB"/>
    <w:rsid w:val="004060F1"/>
    <w:rsid w:val="0047103B"/>
    <w:rsid w:val="004F2739"/>
    <w:rsid w:val="004F6CE3"/>
    <w:rsid w:val="0052529D"/>
    <w:rsid w:val="005440A3"/>
    <w:rsid w:val="005D48E4"/>
    <w:rsid w:val="00607D68"/>
    <w:rsid w:val="00653AE4"/>
    <w:rsid w:val="0067581D"/>
    <w:rsid w:val="00687839"/>
    <w:rsid w:val="006A1DE1"/>
    <w:rsid w:val="006E15EE"/>
    <w:rsid w:val="00717492"/>
    <w:rsid w:val="007468DA"/>
    <w:rsid w:val="00786019"/>
    <w:rsid w:val="007908BC"/>
    <w:rsid w:val="008161ED"/>
    <w:rsid w:val="00833FEA"/>
    <w:rsid w:val="00985452"/>
    <w:rsid w:val="009934E7"/>
    <w:rsid w:val="009A6661"/>
    <w:rsid w:val="009B6306"/>
    <w:rsid w:val="009E00A8"/>
    <w:rsid w:val="009E129E"/>
    <w:rsid w:val="00A276A8"/>
    <w:rsid w:val="00A6617B"/>
    <w:rsid w:val="00AB0DC8"/>
    <w:rsid w:val="00B06FF2"/>
    <w:rsid w:val="00B44E24"/>
    <w:rsid w:val="00BE3E19"/>
    <w:rsid w:val="00C22D7C"/>
    <w:rsid w:val="00CB0FD6"/>
    <w:rsid w:val="00DF4176"/>
    <w:rsid w:val="00EE28C0"/>
    <w:rsid w:val="00F01E4A"/>
    <w:rsid w:val="00F36027"/>
    <w:rsid w:val="00F92F7D"/>
    <w:rsid w:val="00F94B0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5:docId w15:val="{81A3B629-BD13-450C-97FC-6DBE5156E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833FEA"/>
    <w:rPr>
      <w:color w:val="0000FF"/>
      <w:u w:val="single"/>
    </w:rPr>
  </w:style>
  <w:style w:type="character" w:customStyle="1" w:styleId="EquationChar">
    <w:name w:val="Equation Char"/>
    <w:link w:val="Equation"/>
    <w:locked/>
    <w:rsid w:val="00833FEA"/>
    <w:rPr>
      <w:sz w:val="24"/>
      <w:lang w:val="fr-FR" w:eastAsia="en-US"/>
    </w:rPr>
  </w:style>
  <w:style w:type="character" w:customStyle="1" w:styleId="TabletextChar">
    <w:name w:val="Table_text Char"/>
    <w:link w:val="Tabletext"/>
    <w:rsid w:val="00833FEA"/>
    <w:rPr>
      <w:sz w:val="22"/>
      <w:lang w:val="fr-FR" w:eastAsia="en-US"/>
    </w:rPr>
  </w:style>
  <w:style w:type="character" w:customStyle="1" w:styleId="TableheadChar">
    <w:name w:val="Table_head Char"/>
    <w:link w:val="Tablehead"/>
    <w:locked/>
    <w:rsid w:val="00833FEA"/>
    <w:rPr>
      <w:b/>
      <w:sz w:val="22"/>
      <w:lang w:val="fr-FR" w:eastAsia="en-US"/>
    </w:rPr>
  </w:style>
  <w:style w:type="character" w:customStyle="1" w:styleId="HeaderChar">
    <w:name w:val="Header Char"/>
    <w:link w:val="Header"/>
    <w:rsid w:val="00833FEA"/>
    <w:rPr>
      <w:sz w:val="24"/>
      <w:lang w:val="fr-FR" w:eastAsia="en-US"/>
    </w:rPr>
  </w:style>
  <w:style w:type="character" w:customStyle="1" w:styleId="HeadingbChar">
    <w:name w:val="Heading_b Char"/>
    <w:link w:val="Headingb"/>
    <w:rsid w:val="00105CE7"/>
    <w:rPr>
      <w:b/>
      <w:sz w:val="24"/>
      <w:lang w:val="fr-FR" w:eastAsia="en-US"/>
    </w:rPr>
  </w:style>
  <w:style w:type="paragraph" w:customStyle="1" w:styleId="Annex">
    <w:name w:val="Annex_#"/>
    <w:basedOn w:val="Normal"/>
    <w:next w:val="Annexref"/>
    <w:rsid w:val="00105CE7"/>
    <w:pPr>
      <w:tabs>
        <w:tab w:val="clear" w:pos="794"/>
        <w:tab w:val="clear" w:pos="1191"/>
        <w:tab w:val="clear" w:pos="1588"/>
        <w:tab w:val="clear" w:pos="1985"/>
        <w:tab w:val="center" w:pos="4849"/>
        <w:tab w:val="right" w:pos="9696"/>
      </w:tabs>
      <w:spacing w:before="720" w:after="68"/>
      <w:jc w:val="center"/>
    </w:pPr>
    <w:rPr>
      <w:sz w:val="20"/>
      <w:lang w:val="en-GB" w:eastAsia="zh-CN"/>
    </w:rPr>
  </w:style>
  <w:style w:type="paragraph" w:customStyle="1" w:styleId="AnnexTitle">
    <w:name w:val="Annex_Title"/>
    <w:basedOn w:val="Normal"/>
    <w:next w:val="Normalaftertitle0"/>
    <w:rsid w:val="00105CE7"/>
    <w:pPr>
      <w:tabs>
        <w:tab w:val="clear" w:pos="794"/>
        <w:tab w:val="clear" w:pos="1191"/>
        <w:tab w:val="clear" w:pos="1588"/>
        <w:tab w:val="clear" w:pos="1985"/>
        <w:tab w:val="left" w:pos="4849"/>
        <w:tab w:val="right" w:pos="9696"/>
      </w:tabs>
      <w:spacing w:before="136" w:after="200"/>
      <w:jc w:val="center"/>
    </w:pPr>
    <w:rPr>
      <w:b/>
      <w:bCs/>
      <w:szCs w:val="24"/>
      <w:lang w:val="en-GB" w:eastAsia="zh-CN"/>
    </w:rPr>
  </w:style>
  <w:style w:type="paragraph" w:customStyle="1" w:styleId="Normalaftertitle0">
    <w:name w:val="Normal after title"/>
    <w:basedOn w:val="Normal"/>
    <w:next w:val="Normal"/>
    <w:rsid w:val="00105CE7"/>
    <w:pPr>
      <w:spacing w:before="480"/>
    </w:pPr>
    <w:rPr>
      <w:sz w:val="20"/>
      <w:lang w:val="en-GB" w:eastAsia="zh-CN"/>
    </w:rPr>
  </w:style>
  <w:style w:type="paragraph" w:customStyle="1" w:styleId="call0">
    <w:name w:val="call"/>
    <w:basedOn w:val="Normal"/>
    <w:next w:val="Normal"/>
    <w:rsid w:val="00105CE7"/>
    <w:pPr>
      <w:keepNext/>
      <w:keepLines/>
      <w:tabs>
        <w:tab w:val="clear" w:pos="1191"/>
        <w:tab w:val="clear" w:pos="1588"/>
        <w:tab w:val="clear" w:pos="1985"/>
      </w:tabs>
      <w:spacing w:before="227"/>
      <w:ind w:left="794"/>
      <w:jc w:val="left"/>
    </w:pPr>
    <w:rPr>
      <w:i/>
      <w:iCs/>
      <w:sz w:val="20"/>
      <w:lang w:val="en-GB" w:eastAsia="zh-CN"/>
    </w:rPr>
  </w:style>
  <w:style w:type="paragraph" w:customStyle="1" w:styleId="Reasons">
    <w:name w:val="Reasons"/>
    <w:basedOn w:val="Normal"/>
    <w:qFormat/>
    <w:rsid w:val="009E129E"/>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wmf"/><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5.w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wmf"/><Relationship Id="rId10" Type="http://schemas.openxmlformats.org/officeDocument/2006/relationships/hyperlink" Target="http://www.itu.int/publ/R-REC/fr" TargetMode="Externa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5D4A1E-B169-42A4-BE1C-62750463D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16</TotalTime>
  <Pages>1</Pages>
  <Words>2389</Words>
  <Characters>14194</Characters>
  <Application>Microsoft Office Word</Application>
  <DocSecurity>0</DocSecurity>
  <Lines>747</Lines>
  <Paragraphs>144</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16439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ITU Radiocommunication Sector</dc:creator>
  <cp:lastModifiedBy>Gachet, Christelle</cp:lastModifiedBy>
  <cp:revision>14</cp:revision>
  <cp:lastPrinted>2015-06-24T07:14:00Z</cp:lastPrinted>
  <dcterms:created xsi:type="dcterms:W3CDTF">2015-06-24T06:54:00Z</dcterms:created>
  <dcterms:modified xsi:type="dcterms:W3CDTF">2015-06-24T07:14:00Z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