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95C" w:rsidRDefault="00BF495C" w:rsidP="00BF495C">
      <w:pPr>
        <w:rPr>
          <w:lang w:val="en-US"/>
        </w:rPr>
      </w:pPr>
      <w:bookmarkStart w:id="0" w:name="dbreak"/>
      <w:bookmarkEnd w:id="0"/>
    </w:p>
    <w:p w:rsidR="00BF495C" w:rsidRDefault="00BF495C" w:rsidP="00BF495C">
      <w:pPr>
        <w:rPr>
          <w:lang w:val="en-US"/>
        </w:rPr>
      </w:pPr>
    </w:p>
    <w:p w:rsidR="00BF495C" w:rsidRDefault="00BF495C" w:rsidP="00BF495C">
      <w:pPr>
        <w:rPr>
          <w:lang w:val="en-US"/>
        </w:rPr>
      </w:pPr>
    </w:p>
    <w:p w:rsidR="00BF495C" w:rsidRDefault="00BF495C" w:rsidP="00BF495C">
      <w:pPr>
        <w:rPr>
          <w:lang w:val="en-US"/>
        </w:rPr>
      </w:pPr>
    </w:p>
    <w:p w:rsidR="00BF495C" w:rsidRDefault="00BF495C" w:rsidP="00BF495C">
      <w:pPr>
        <w:rPr>
          <w:lang w:val="en-US"/>
        </w:rPr>
      </w:pPr>
    </w:p>
    <w:p w:rsidR="00BF495C" w:rsidRPr="00575CB8" w:rsidRDefault="00BF495C" w:rsidP="00BF495C">
      <w:pPr>
        <w:rPr>
          <w:lang w:val="en-US"/>
        </w:rPr>
      </w:pPr>
    </w:p>
    <w:p w:rsidR="00BF495C" w:rsidRDefault="00BF495C" w:rsidP="00BF495C"/>
    <w:p w:rsidR="00BF495C" w:rsidRDefault="00BF495C" w:rsidP="00BF495C"/>
    <w:p w:rsidR="00BF495C" w:rsidRDefault="00BF495C" w:rsidP="00BF495C"/>
    <w:p w:rsidR="00BF495C" w:rsidRDefault="00BF495C" w:rsidP="00BF495C"/>
    <w:p w:rsidR="00BF495C" w:rsidRDefault="00BF495C" w:rsidP="00BF495C"/>
    <w:p w:rsidR="00BF495C" w:rsidRDefault="00BF495C" w:rsidP="00BF495C"/>
    <w:p w:rsidR="00BF495C" w:rsidRDefault="00BF495C" w:rsidP="00BF495C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F495C" w:rsidRPr="007C7328" w:rsidTr="00377B02">
        <w:tc>
          <w:tcPr>
            <w:tcW w:w="10089" w:type="dxa"/>
          </w:tcPr>
          <w:p w:rsidR="00BF495C" w:rsidRPr="0010336F" w:rsidRDefault="00BF495C" w:rsidP="00377B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F495C" w:rsidRPr="0010336F" w:rsidRDefault="00BF495C" w:rsidP="00BF49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637-4</w:t>
            </w:r>
          </w:p>
          <w:p w:rsidR="00BF495C" w:rsidRPr="0010336F" w:rsidRDefault="00BF495C" w:rsidP="00BF495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F495C" w:rsidRPr="008C26B8" w:rsidTr="00377B02">
        <w:tc>
          <w:tcPr>
            <w:tcW w:w="10089" w:type="dxa"/>
          </w:tcPr>
          <w:p w:rsidR="00BF495C" w:rsidRPr="0010336F" w:rsidRDefault="00BF495C" w:rsidP="00377B0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F495C" w:rsidRDefault="00BF495C" w:rsidP="00BF49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326C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Disposición de radiocanales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 xml:space="preserve"> </w:t>
            </w:r>
            <w:r w:rsidRPr="00326C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para sistemas inalámbricos fijos que funcionan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br/>
            </w:r>
            <w:r w:rsidRPr="00326CC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en la banda 21,2-23,6 GHz</w:t>
            </w:r>
          </w:p>
          <w:p w:rsidR="00BF495C" w:rsidRPr="0010336F" w:rsidRDefault="00BF495C" w:rsidP="00377B0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F495C" w:rsidRPr="0026666F" w:rsidTr="00377B02">
        <w:tc>
          <w:tcPr>
            <w:tcW w:w="10089" w:type="dxa"/>
          </w:tcPr>
          <w:p w:rsidR="00BF495C" w:rsidRPr="0010336F" w:rsidRDefault="00BF495C" w:rsidP="00377B0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F495C" w:rsidRDefault="00BF495C" w:rsidP="00377B0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513BD2" w:rsidRPr="0010336F" w:rsidRDefault="00513BD2" w:rsidP="00377B0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  <w:bookmarkStart w:id="1" w:name="_GoBack"/>
            <w:bookmarkEnd w:id="1"/>
          </w:p>
          <w:p w:rsidR="00BF495C" w:rsidRPr="0010336F" w:rsidRDefault="00BF495C" w:rsidP="00377B0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F495C" w:rsidRPr="0010336F" w:rsidRDefault="00BF495C" w:rsidP="00377B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BF495C" w:rsidRPr="0010336F" w:rsidRDefault="00BF495C" w:rsidP="00377B0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BF495C" w:rsidRPr="0026666F" w:rsidRDefault="00BF495C" w:rsidP="00BF495C">
      <w:pPr>
        <w:spacing w:before="80"/>
        <w:rPr>
          <w:i/>
          <w:sz w:val="22"/>
          <w:lang w:val="es-ES_tradnl"/>
        </w:rPr>
      </w:pPr>
    </w:p>
    <w:p w:rsidR="00BF495C" w:rsidRPr="0026666F" w:rsidRDefault="00BF495C" w:rsidP="00BF495C">
      <w:pPr>
        <w:spacing w:before="80"/>
        <w:rPr>
          <w:i/>
          <w:sz w:val="22"/>
          <w:lang w:val="es-ES_tradnl"/>
        </w:rPr>
      </w:pPr>
    </w:p>
    <w:p w:rsidR="00BF495C" w:rsidRPr="0026666F" w:rsidRDefault="00BF495C" w:rsidP="00BF495C">
      <w:pPr>
        <w:spacing w:before="80"/>
        <w:rPr>
          <w:i/>
          <w:sz w:val="22"/>
          <w:lang w:val="es-ES_tradnl"/>
        </w:rPr>
      </w:pPr>
    </w:p>
    <w:p w:rsidR="00BF495C" w:rsidRPr="0026666F" w:rsidRDefault="00BF495C" w:rsidP="00BF495C">
      <w:pPr>
        <w:spacing w:before="80"/>
        <w:rPr>
          <w:i/>
          <w:sz w:val="22"/>
          <w:lang w:val="es-ES_tradnl"/>
        </w:rPr>
      </w:pPr>
    </w:p>
    <w:p w:rsidR="00BF495C" w:rsidRPr="0026666F" w:rsidRDefault="00BF495C" w:rsidP="00BF495C">
      <w:pPr>
        <w:spacing w:before="80"/>
        <w:rPr>
          <w:i/>
          <w:sz w:val="22"/>
          <w:lang w:val="es-ES_tradnl"/>
        </w:rPr>
      </w:pPr>
    </w:p>
    <w:p w:rsidR="00BF495C" w:rsidRPr="0026666F" w:rsidRDefault="00BF495C" w:rsidP="00BF495C">
      <w:pPr>
        <w:spacing w:before="80"/>
        <w:rPr>
          <w:i/>
          <w:sz w:val="22"/>
          <w:lang w:val="es-ES_tradnl"/>
        </w:rPr>
      </w:pPr>
    </w:p>
    <w:p w:rsidR="00BF495C" w:rsidRPr="0026666F" w:rsidRDefault="00BF495C" w:rsidP="00BF495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F495C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F495C" w:rsidRPr="006C718C" w:rsidRDefault="00BF495C" w:rsidP="00BF495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F495C" w:rsidRPr="006C718C" w:rsidRDefault="00BF495C" w:rsidP="00BF495C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F495C" w:rsidRPr="006C718C" w:rsidRDefault="00BF495C" w:rsidP="00BF495C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F495C" w:rsidRPr="00021E8A" w:rsidRDefault="00BF495C" w:rsidP="00BF495C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F495C" w:rsidRPr="00021E8A" w:rsidRDefault="00BF495C" w:rsidP="00BF495C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F495C" w:rsidRPr="007C36CA" w:rsidRDefault="00BF495C" w:rsidP="00BF495C">
      <w:pPr>
        <w:spacing w:before="0"/>
        <w:jc w:val="center"/>
        <w:rPr>
          <w:sz w:val="22"/>
          <w:lang w:val="es-ES_tradnl"/>
        </w:rPr>
      </w:pPr>
    </w:p>
    <w:p w:rsidR="00BF495C" w:rsidRPr="007C36CA" w:rsidRDefault="00BF495C" w:rsidP="00BF495C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F495C" w:rsidRPr="008C26B8" w:rsidTr="00377B02">
        <w:tc>
          <w:tcPr>
            <w:tcW w:w="9360" w:type="dxa"/>
            <w:gridSpan w:val="2"/>
          </w:tcPr>
          <w:p w:rsidR="00BF495C" w:rsidRPr="00021E8A" w:rsidRDefault="00BF495C" w:rsidP="00377B0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F495C" w:rsidRPr="00763D08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F495C" w:rsidRPr="00036EE3" w:rsidTr="00377B02">
        <w:tc>
          <w:tcPr>
            <w:tcW w:w="1140" w:type="dxa"/>
            <w:tcBorders>
              <w:bottom w:val="nil"/>
            </w:tcBorders>
          </w:tcPr>
          <w:p w:rsidR="00BF495C" w:rsidRPr="00036EE3" w:rsidRDefault="00BF495C" w:rsidP="00377B0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F495C" w:rsidRPr="00036EE3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F495C" w:rsidRPr="004532F7" w:rsidTr="00377B0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F495C" w:rsidRPr="004532F7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F495C" w:rsidRPr="004532F7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F495C" w:rsidRPr="008C26B8" w:rsidTr="00377B0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F495C" w:rsidRPr="006B22C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F495C" w:rsidRPr="006B22C3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F495C" w:rsidRPr="00847DD5" w:rsidTr="00377B0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F495C" w:rsidRPr="00847DD5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F495C" w:rsidRPr="00847DD5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BF495C" w:rsidRPr="00ED2695" w:rsidTr="00377B0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F495C" w:rsidRPr="00ED2695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F495C" w:rsidRPr="00021E8A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F495C" w:rsidRPr="00847DD5" w:rsidTr="00377B0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F495C" w:rsidRPr="00847DD5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F495C" w:rsidRPr="00847DD5" w:rsidRDefault="00BF495C" w:rsidP="00377B0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</w:rPr>
              <w:t>Servicio fijo</w:t>
            </w:r>
          </w:p>
        </w:tc>
      </w:tr>
      <w:tr w:rsidR="00BF495C" w:rsidRPr="008C26B8" w:rsidTr="00377B0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F495C" w:rsidRPr="0010336F" w:rsidRDefault="00BF495C" w:rsidP="00377B0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F495C" w:rsidRPr="0010336F" w:rsidRDefault="00BF495C" w:rsidP="00377B0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F495C" w:rsidRPr="008C26B8" w:rsidTr="00377B02">
        <w:tc>
          <w:tcPr>
            <w:tcW w:w="1140" w:type="dxa"/>
            <w:tcBorders>
              <w:top w:val="nil"/>
            </w:tcBorders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F495C" w:rsidRPr="00021E8A" w:rsidRDefault="00BF495C" w:rsidP="00377B0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F495C" w:rsidRPr="00036EE3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F495C" w:rsidRPr="008C26B8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F495C" w:rsidRPr="00036EE3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F495C" w:rsidRPr="00036EE3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F495C" w:rsidRPr="008C26B8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F495C" w:rsidRPr="00036EE3" w:rsidTr="00377B02">
        <w:tc>
          <w:tcPr>
            <w:tcW w:w="1140" w:type="dxa"/>
            <w:shd w:val="clear" w:color="auto" w:fill="auto"/>
          </w:tcPr>
          <w:p w:rsidR="00BF495C" w:rsidRPr="001240BC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F495C" w:rsidRPr="001240BC" w:rsidRDefault="00BF495C" w:rsidP="00377B0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F495C" w:rsidRPr="00036EE3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F495C" w:rsidRPr="008C26B8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F495C" w:rsidRPr="00036EE3" w:rsidTr="00377B02">
        <w:tc>
          <w:tcPr>
            <w:tcW w:w="1140" w:type="dxa"/>
          </w:tcPr>
          <w:p w:rsidR="00BF495C" w:rsidRPr="00036EE3" w:rsidRDefault="00BF495C" w:rsidP="00377B0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F495C" w:rsidRPr="00021E8A" w:rsidRDefault="00BF495C" w:rsidP="00377B02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F495C" w:rsidRPr="00036EE3" w:rsidRDefault="00BF495C" w:rsidP="00BF495C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F495C" w:rsidTr="00377B02">
        <w:tc>
          <w:tcPr>
            <w:tcW w:w="720" w:type="dxa"/>
          </w:tcPr>
          <w:p w:rsidR="00BF495C" w:rsidRDefault="00BF495C" w:rsidP="00377B0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BF495C" w:rsidRPr="008C26B8" w:rsidTr="00377B02">
        <w:tc>
          <w:tcPr>
            <w:tcW w:w="9360" w:type="dxa"/>
          </w:tcPr>
          <w:p w:rsidR="00BF495C" w:rsidRPr="00763D08" w:rsidRDefault="00BF495C" w:rsidP="00377B0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F495C" w:rsidRPr="00763D08" w:rsidRDefault="00BF495C" w:rsidP="00BF495C">
      <w:pPr>
        <w:spacing w:before="0"/>
        <w:jc w:val="center"/>
        <w:rPr>
          <w:sz w:val="22"/>
          <w:lang w:val="es-ES_tradnl"/>
        </w:rPr>
      </w:pPr>
    </w:p>
    <w:p w:rsidR="00BF495C" w:rsidRPr="00763D08" w:rsidRDefault="00BF495C" w:rsidP="00BF495C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F495C" w:rsidRPr="00763D08" w:rsidRDefault="00BF495C" w:rsidP="00BF495C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12</w:t>
      </w:r>
    </w:p>
    <w:p w:rsidR="00BF495C" w:rsidRPr="00763D08" w:rsidRDefault="00BF495C" w:rsidP="00BF495C">
      <w:pPr>
        <w:spacing w:before="0"/>
        <w:jc w:val="center"/>
        <w:rPr>
          <w:sz w:val="22"/>
          <w:lang w:val="es-ES_tradnl"/>
        </w:rPr>
      </w:pPr>
    </w:p>
    <w:p w:rsidR="00BF495C" w:rsidRPr="00763D08" w:rsidRDefault="00BF495C" w:rsidP="00BF495C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12</w:t>
      </w:r>
    </w:p>
    <w:p w:rsidR="00BF495C" w:rsidRPr="006C718C" w:rsidRDefault="00BF495C" w:rsidP="00BF495C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F495C" w:rsidRPr="006C718C" w:rsidRDefault="00BF495C" w:rsidP="00BF495C">
      <w:pPr>
        <w:spacing w:before="160"/>
        <w:rPr>
          <w:i/>
          <w:sz w:val="20"/>
          <w:highlight w:val="yellow"/>
          <w:lang w:val="es-ES_tradnl"/>
        </w:rPr>
        <w:sectPr w:rsidR="00BF495C" w:rsidRPr="006C718C" w:rsidSect="00377B02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F495C" w:rsidRPr="000C4413" w:rsidRDefault="00BF495C" w:rsidP="00BF495C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F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637-</w:t>
      </w:r>
      <w:r w:rsidRPr="0010336F">
        <w:rPr>
          <w:rStyle w:val="href"/>
          <w:lang w:val="es-ES_tradnl"/>
        </w:rPr>
        <w:t>4</w:t>
      </w:r>
    </w:p>
    <w:p w:rsidR="00BF495C" w:rsidRDefault="00BF495C" w:rsidP="00BF495C">
      <w:pPr>
        <w:pStyle w:val="Rectitle"/>
        <w:rPr>
          <w:lang w:val="es-ES_tradnl"/>
        </w:rPr>
      </w:pPr>
      <w:r w:rsidRPr="00326CC8">
        <w:rPr>
          <w:lang w:val="es-ES"/>
        </w:rPr>
        <w:t>Disposición de radiocanales para sistemas inalámbricos fijos</w:t>
      </w:r>
      <w:r w:rsidRPr="00326CC8">
        <w:rPr>
          <w:lang w:val="es-ES"/>
        </w:rPr>
        <w:br/>
        <w:t>que funcionan en la banda 21,2-23,6 GHz</w:t>
      </w:r>
    </w:p>
    <w:p w:rsidR="00BF495C" w:rsidRDefault="00BF495C" w:rsidP="00BF495C">
      <w:pPr>
        <w:pStyle w:val="Recref"/>
        <w:rPr>
          <w:lang w:val="es-ES_tradnl"/>
        </w:rPr>
      </w:pPr>
      <w:r w:rsidRPr="00326CC8">
        <w:rPr>
          <w:lang w:val="es-ES"/>
        </w:rPr>
        <w:t>(Cuestión UIT-R 247/5)</w:t>
      </w:r>
    </w:p>
    <w:p w:rsidR="00BF495C" w:rsidRPr="00326CC8" w:rsidRDefault="00BF495C" w:rsidP="00BF495C">
      <w:pPr>
        <w:pStyle w:val="Blanc"/>
        <w:rPr>
          <w:lang w:val="es-ES"/>
        </w:rPr>
      </w:pPr>
    </w:p>
    <w:p w:rsidR="00BF495C" w:rsidRPr="00326CC8" w:rsidRDefault="00BF495C" w:rsidP="00BF495C">
      <w:pPr>
        <w:pStyle w:val="Recdate"/>
        <w:rPr>
          <w:lang w:val="es-ES"/>
        </w:rPr>
      </w:pPr>
      <w:r w:rsidRPr="00326CC8">
        <w:rPr>
          <w:lang w:val="es-ES"/>
        </w:rPr>
        <w:t>(1986-1992-1994-1999-2012)</w:t>
      </w:r>
    </w:p>
    <w:p w:rsidR="00BF495C" w:rsidRPr="00326CC8" w:rsidRDefault="00BF495C" w:rsidP="00BF495C">
      <w:pPr>
        <w:pStyle w:val="HeadingSum"/>
        <w:rPr>
          <w:lang w:val="es-ES"/>
        </w:rPr>
      </w:pPr>
      <w:r w:rsidRPr="00326CC8">
        <w:rPr>
          <w:lang w:val="es-ES"/>
        </w:rPr>
        <w:t>Cometido</w:t>
      </w:r>
    </w:p>
    <w:p w:rsidR="00BF495C" w:rsidRPr="00326CC8" w:rsidRDefault="00BF495C" w:rsidP="000C4413">
      <w:pPr>
        <w:pStyle w:val="Summary"/>
        <w:rPr>
          <w:lang w:val="es-ES"/>
        </w:rPr>
      </w:pPr>
      <w:r w:rsidRPr="00326CC8">
        <w:rPr>
          <w:lang w:val="es-ES"/>
        </w:rPr>
        <w:t>Esta Recomendación proporciona la disposición de radiocanales para sistemas inalámbricos fijos (FWS) que funcionan en la banda 21,2-23,6</w:t>
      </w:r>
      <w:r w:rsidR="00377B02">
        <w:rPr>
          <w:lang w:val="es-ES"/>
        </w:rPr>
        <w:t> </w:t>
      </w:r>
      <w:r w:rsidRPr="00326CC8">
        <w:rPr>
          <w:lang w:val="es-ES"/>
        </w:rPr>
        <w:t>GHz. El texto principal de la Recomendación presenta disposiciones de radiocanales basadas en modelos homogéneos con separaciones de canal de 2,5 y</w:t>
      </w:r>
      <w:r>
        <w:rPr>
          <w:lang w:val="es-ES"/>
        </w:rPr>
        <w:t xml:space="preserve"> </w:t>
      </w:r>
      <w:r w:rsidRPr="00326CC8">
        <w:rPr>
          <w:lang w:val="es-ES"/>
        </w:rPr>
        <w:t>3,5</w:t>
      </w:r>
      <w:r>
        <w:rPr>
          <w:lang w:val="es-ES"/>
        </w:rPr>
        <w:t> </w:t>
      </w:r>
      <w:r w:rsidRPr="00326CC8">
        <w:rPr>
          <w:lang w:val="es-ES"/>
        </w:rPr>
        <w:t>MHz. En los Anexos</w:t>
      </w:r>
      <w:r>
        <w:rPr>
          <w:lang w:val="es-ES"/>
        </w:rPr>
        <w:t> </w:t>
      </w:r>
      <w:r w:rsidRPr="00326CC8">
        <w:rPr>
          <w:lang w:val="es-ES"/>
        </w:rPr>
        <w:t>1 a</w:t>
      </w:r>
      <w:r w:rsidR="000C4413">
        <w:rPr>
          <w:lang w:val="es-ES"/>
        </w:rPr>
        <w:t> </w:t>
      </w:r>
      <w:r w:rsidRPr="00326CC8">
        <w:rPr>
          <w:lang w:val="es-ES"/>
        </w:rPr>
        <w:t>4 aparecen ejemplos de disposiciones de estos modelos homogéneos utilizados en algunos países.</w:t>
      </w:r>
    </w:p>
    <w:p w:rsidR="00BF495C" w:rsidRPr="00326CC8" w:rsidRDefault="00BF495C" w:rsidP="00BF495C">
      <w:pPr>
        <w:pStyle w:val="Normalaftertitle0"/>
        <w:rPr>
          <w:sz w:val="24"/>
          <w:lang w:val="es-ES"/>
        </w:rPr>
      </w:pPr>
      <w:r w:rsidRPr="00326CC8">
        <w:rPr>
          <w:sz w:val="24"/>
          <w:lang w:val="es-ES"/>
        </w:rPr>
        <w:t>La Asamblea de Radiocomunicaciones de la UIT,</w:t>
      </w:r>
    </w:p>
    <w:p w:rsidR="00BF495C" w:rsidRPr="00326CC8" w:rsidRDefault="00BF495C" w:rsidP="00BF495C">
      <w:pPr>
        <w:pStyle w:val="Call"/>
        <w:rPr>
          <w:lang w:val="es-ES"/>
        </w:rPr>
      </w:pPr>
      <w:r w:rsidRPr="00326CC8">
        <w:rPr>
          <w:lang w:val="es-ES"/>
        </w:rPr>
        <w:t>considerando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a)</w:t>
      </w:r>
      <w:r w:rsidRPr="00326CC8">
        <w:rPr>
          <w:lang w:val="es-ES"/>
        </w:rPr>
        <w:tab/>
        <w:t>que la banda comprendida entre 21,2-23,6 GHz está atribuida al servicio fijo y a otros servicios;</w:t>
      </w:r>
    </w:p>
    <w:p w:rsidR="00BF495C" w:rsidRPr="00326CC8" w:rsidRDefault="00BF495C" w:rsidP="00377B02">
      <w:pPr>
        <w:rPr>
          <w:lang w:val="es-ES"/>
        </w:rPr>
      </w:pPr>
      <w:r w:rsidRPr="00326CC8">
        <w:rPr>
          <w:lang w:val="es-ES"/>
        </w:rPr>
        <w:t>b)</w:t>
      </w:r>
      <w:r w:rsidRPr="00326CC8">
        <w:rPr>
          <w:lang w:val="es-ES"/>
        </w:rPr>
        <w:tab/>
        <w:t>la Resolución</w:t>
      </w:r>
      <w:r w:rsidR="00377B02">
        <w:rPr>
          <w:lang w:val="es-ES"/>
        </w:rPr>
        <w:t> </w:t>
      </w:r>
      <w:r w:rsidRPr="00326CC8">
        <w:rPr>
          <w:lang w:val="es-ES"/>
        </w:rPr>
        <w:t>525</w:t>
      </w:r>
      <w:r w:rsidR="00377B02">
        <w:rPr>
          <w:lang w:val="es-ES"/>
        </w:rPr>
        <w:t> </w:t>
      </w:r>
      <w:r w:rsidRPr="00326CC8">
        <w:rPr>
          <w:lang w:val="es-ES"/>
        </w:rPr>
        <w:t xml:space="preserve">(CAMR-92) de la Conferencia </w:t>
      </w:r>
      <w:r>
        <w:rPr>
          <w:lang w:val="es-ES"/>
        </w:rPr>
        <w:t>Administrativa Mundial de Radio</w:t>
      </w:r>
      <w:r w:rsidRPr="00326CC8">
        <w:rPr>
          <w:lang w:val="es-ES"/>
        </w:rPr>
        <w:t>comunicaciones para examinar la atribución de frecuencias en ciertas partes del espectro (Málaga-Torremolinos, 1992);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c)</w:t>
      </w:r>
      <w:r w:rsidRPr="00326CC8">
        <w:rPr>
          <w:lang w:val="es-ES"/>
        </w:rPr>
        <w:tab/>
        <w:t>que diversas administraciones utilizan la banda para aplicaciones distintas, aplicaciones que pueden requerir diferentes disposiciones de radiocanales;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d)</w:t>
      </w:r>
      <w:r w:rsidRPr="00326CC8">
        <w:rPr>
          <w:lang w:val="es-ES"/>
        </w:rPr>
        <w:tab/>
        <w:t>que en esta banda de frecuencias pueden utilizarse simultáneamente varios tipos de servicios con diferentes capacidades;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e)</w:t>
      </w:r>
      <w:r w:rsidRPr="00326CC8">
        <w:rPr>
          <w:lang w:val="es-ES"/>
        </w:rPr>
        <w:tab/>
        <w:t>que la banda atribuida a cada servicio e incluso a cada administración puede variar de un país a otro;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f)</w:t>
      </w:r>
      <w:r w:rsidRPr="00326CC8">
        <w:rPr>
          <w:lang w:val="es-ES"/>
        </w:rPr>
        <w:tab/>
        <w:t>que las aplicaciones proyectadas en esta banda de frecuencias pueden requerir radiocanales de diferentes anchuras de banda;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g)</w:t>
      </w:r>
      <w:r w:rsidRPr="00326CC8">
        <w:rPr>
          <w:lang w:val="es-ES"/>
        </w:rPr>
        <w:tab/>
        <w:t>que seleccionando todas las frecuencias centrales de los radiocanales a partir de un modelo básico homogéneo puede lograrse un elevado grado de compatibilidad entre los radiocanales de distintas disposiciones,</w:t>
      </w:r>
    </w:p>
    <w:p w:rsidR="00BF495C" w:rsidRPr="00326CC8" w:rsidRDefault="00BF495C" w:rsidP="00BF495C">
      <w:pPr>
        <w:pStyle w:val="Call"/>
        <w:rPr>
          <w:lang w:val="es-ES"/>
        </w:rPr>
      </w:pPr>
      <w:r w:rsidRPr="00326CC8">
        <w:rPr>
          <w:lang w:val="es-ES"/>
        </w:rPr>
        <w:t>recomienda</w:t>
      </w:r>
    </w:p>
    <w:p w:rsidR="00BF495C" w:rsidRPr="00326CC8" w:rsidRDefault="00BF495C" w:rsidP="00377B02">
      <w:pPr>
        <w:rPr>
          <w:lang w:val="es-ES"/>
        </w:rPr>
      </w:pPr>
      <w:r w:rsidRPr="00326CC8">
        <w:rPr>
          <w:b/>
          <w:lang w:val="es-ES"/>
        </w:rPr>
        <w:t>1</w:t>
      </w:r>
      <w:r w:rsidRPr="00326CC8">
        <w:rPr>
          <w:lang w:val="es-ES"/>
        </w:rPr>
        <w:tab/>
        <w:t xml:space="preserve">que las disposiciones de </w:t>
      </w:r>
      <w:r w:rsidR="00377B02">
        <w:rPr>
          <w:lang w:val="es-ES"/>
        </w:rPr>
        <w:t>radiocanales para la banda 21,2-</w:t>
      </w:r>
      <w:r w:rsidRPr="00326CC8">
        <w:rPr>
          <w:lang w:val="es-ES"/>
        </w:rPr>
        <w:t>23,6 GHz se basen en un modelo homogéneo;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b/>
          <w:lang w:val="es-ES"/>
        </w:rPr>
        <w:t>2</w:t>
      </w:r>
      <w:r w:rsidRPr="00326CC8">
        <w:rPr>
          <w:lang w:val="es-ES"/>
        </w:rPr>
        <w:tab/>
        <w:t>que el modelo homogéneo con un intervalo preferido entre radiocanales de 3,5 MHz se defina mediante la relación:</w:t>
      </w:r>
    </w:p>
    <w:p w:rsidR="00BF495C" w:rsidRPr="00326CC8" w:rsidRDefault="00BF495C" w:rsidP="00BF495C">
      <w:pPr>
        <w:pStyle w:val="Equation"/>
        <w:rPr>
          <w:lang w:val="es-ES"/>
        </w:rPr>
      </w:pPr>
      <w:r w:rsidRPr="00326CC8">
        <w:rPr>
          <w:lang w:val="es-ES"/>
        </w:rPr>
        <w:tab/>
      </w:r>
      <w:r w:rsidRPr="00326CC8">
        <w:rPr>
          <w:lang w:val="es-ES"/>
        </w:rPr>
        <w:tab/>
      </w:r>
      <w:r w:rsidRPr="00326CC8">
        <w:rPr>
          <w:i/>
          <w:lang w:val="es-ES"/>
        </w:rPr>
        <w:t>f</w:t>
      </w:r>
      <w:r w:rsidRPr="006A374D">
        <w:rPr>
          <w:i/>
          <w:iCs/>
          <w:vertAlign w:val="subscript"/>
          <w:lang w:val="es-ES"/>
        </w:rPr>
        <w:t>p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 w:rsidRPr="00326CC8">
        <w:rPr>
          <w:lang w:val="es-ES"/>
        </w:rPr>
        <w:t xml:space="preserve">  </w:t>
      </w:r>
      <w:r w:rsidRPr="00326CC8">
        <w:rPr>
          <w:i/>
          <w:lang w:val="es-ES"/>
        </w:rPr>
        <w:t>f</w:t>
      </w:r>
      <w:r w:rsidRPr="006A374D">
        <w:rPr>
          <w:i/>
          <w:iCs/>
          <w:vertAlign w:val="subscript"/>
          <w:lang w:val="es-ES"/>
        </w:rPr>
        <w:t>r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3,5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3,5 </w:t>
      </w:r>
      <w:r w:rsidRPr="00326CC8">
        <w:rPr>
          <w:i/>
          <w:lang w:val="es-ES"/>
        </w:rPr>
        <w:t>p</w:t>
      </w:r>
    </w:p>
    <w:p w:rsidR="00BF495C" w:rsidRPr="00326CC8" w:rsidRDefault="002E0904" w:rsidP="00BF495C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ab/>
        <w:t>1 </w:t>
      </w:r>
      <w:r w:rsidRPr="00326CC8">
        <w:rPr>
          <w:rFonts w:ascii="Symbol" w:hAnsi="Symbol"/>
          <w:lang w:val="es-ES"/>
        </w:rPr>
        <w:t></w:t>
      </w:r>
      <w:r w:rsidRPr="00326CC8">
        <w:rPr>
          <w:lang w:val="es-ES"/>
        </w:rPr>
        <w:t xml:space="preserve"> </w:t>
      </w:r>
      <w:r w:rsidRPr="00326CC8">
        <w:rPr>
          <w:i/>
          <w:lang w:val="es-ES"/>
        </w:rPr>
        <w:t>p</w:t>
      </w:r>
      <w:r w:rsidRPr="00326CC8">
        <w:rPr>
          <w:lang w:val="es-ES"/>
        </w:rPr>
        <w:t> </w:t>
      </w:r>
      <w:r w:rsidRPr="00326CC8">
        <w:rPr>
          <w:rFonts w:ascii="Symbol" w:hAnsi="Symbol"/>
          <w:lang w:val="es-ES"/>
        </w:rPr>
        <w:t></w:t>
      </w:r>
      <w:r w:rsidRPr="00326CC8">
        <w:rPr>
          <w:lang w:val="es-ES"/>
        </w:rPr>
        <w:t xml:space="preserve"> 685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f</w:t>
      </w:r>
      <w:r w:rsidRPr="006A374D">
        <w:rPr>
          <w:i/>
          <w:iCs/>
          <w:vertAlign w:val="subscript"/>
          <w:lang w:val="es-ES_tradnl"/>
        </w:rPr>
        <w:t>r</w:t>
      </w:r>
      <w:r w:rsidRPr="00326CC8">
        <w:rPr>
          <w:rFonts w:ascii="Tms Rmn" w:hAnsi="Tms Rmn"/>
          <w:i/>
          <w:position w:val="-4"/>
          <w:sz w:val="12"/>
          <w:lang w:val="es-ES"/>
        </w:rPr>
        <w:t> </w:t>
      </w:r>
      <w:r w:rsidRPr="00326CC8">
        <w:rPr>
          <w:lang w:val="es-ES"/>
        </w:rPr>
        <w:t>:  frecuencia de referencia del modelo homogéneo;</w:t>
      </w:r>
    </w:p>
    <w:p w:rsidR="00BF495C" w:rsidRPr="00326CC8" w:rsidRDefault="00BF495C" w:rsidP="001A6BC0">
      <w:pPr>
        <w:keepNext/>
        <w:keepLines/>
        <w:rPr>
          <w:lang w:val="es-ES"/>
        </w:rPr>
      </w:pPr>
      <w:r w:rsidRPr="00326CC8">
        <w:rPr>
          <w:b/>
          <w:lang w:val="es-ES"/>
        </w:rPr>
        <w:lastRenderedPageBreak/>
        <w:t>3</w:t>
      </w:r>
      <w:r w:rsidRPr="00326CC8">
        <w:rPr>
          <w:lang w:val="es-ES"/>
        </w:rPr>
        <w:tab/>
        <w:t>que el modelo homogéneo con un intervalo preferido entre radiocanales de 2,5 MHz se defina mediante la relación:</w:t>
      </w:r>
    </w:p>
    <w:p w:rsidR="00BF495C" w:rsidRPr="00326CC8" w:rsidRDefault="00BF495C" w:rsidP="00D36B7C">
      <w:pPr>
        <w:pStyle w:val="Equation"/>
        <w:rPr>
          <w:lang w:val="es-ES"/>
        </w:rPr>
      </w:pPr>
      <w:r w:rsidRPr="00326CC8">
        <w:rPr>
          <w:lang w:val="es-ES"/>
        </w:rPr>
        <w:tab/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6A374D">
        <w:rPr>
          <w:i/>
          <w:iCs/>
          <w:vertAlign w:val="subscript"/>
          <w:lang w:val="es-ES"/>
        </w:rPr>
        <w:t>p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 w:rsidRPr="00326CC8">
        <w:rPr>
          <w:lang w:val="es-ES"/>
        </w:rPr>
        <w:t xml:space="preserve">  </w:t>
      </w:r>
      <w:r w:rsidR="00D36B7C" w:rsidRPr="00326CC8">
        <w:rPr>
          <w:i/>
          <w:lang w:val="es-ES"/>
        </w:rPr>
        <w:t>f</w:t>
      </w:r>
      <w:r w:rsidR="00D36B7C" w:rsidRPr="006A374D">
        <w:rPr>
          <w:i/>
          <w:iCs/>
          <w:vertAlign w:val="subscript"/>
          <w:lang w:val="es-ES"/>
        </w:rPr>
        <w:t>r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4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2,5 </w:t>
      </w:r>
      <w:r w:rsidRPr="00326CC8">
        <w:rPr>
          <w:i/>
          <w:lang w:val="es-ES"/>
        </w:rPr>
        <w:t>p</w:t>
      </w:r>
    </w:p>
    <w:p w:rsidR="00BF495C" w:rsidRPr="00326CC8" w:rsidRDefault="002E0904" w:rsidP="00BF495C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ab/>
        <w:t>1 </w:t>
      </w:r>
      <w:r w:rsidRPr="00326CC8">
        <w:rPr>
          <w:rFonts w:ascii="Symbol" w:hAnsi="Symbol"/>
          <w:lang w:val="es-ES"/>
        </w:rPr>
        <w:t></w:t>
      </w:r>
      <w:r w:rsidRPr="00326CC8">
        <w:rPr>
          <w:lang w:val="es-ES"/>
        </w:rPr>
        <w:t xml:space="preserve"> </w:t>
      </w:r>
      <w:r w:rsidRPr="00326CC8">
        <w:rPr>
          <w:i/>
          <w:lang w:val="es-ES"/>
        </w:rPr>
        <w:t>p</w:t>
      </w:r>
      <w:r w:rsidRPr="00326CC8">
        <w:rPr>
          <w:lang w:val="es-ES"/>
        </w:rPr>
        <w:t> </w:t>
      </w:r>
      <w:r w:rsidRPr="00326CC8">
        <w:rPr>
          <w:rFonts w:ascii="Symbol" w:hAnsi="Symbol"/>
          <w:lang w:val="es-ES"/>
        </w:rPr>
        <w:t></w:t>
      </w:r>
      <w:r w:rsidRPr="00326CC8">
        <w:rPr>
          <w:lang w:val="es-ES"/>
        </w:rPr>
        <w:t xml:space="preserve"> 959</w:t>
      </w:r>
    </w:p>
    <w:p w:rsidR="00BF495C" w:rsidRPr="00326CC8" w:rsidRDefault="00BF495C" w:rsidP="00D36B7C">
      <w:pPr>
        <w:pStyle w:val="enumlev1"/>
        <w:rPr>
          <w:lang w:val="es-ES"/>
        </w:rPr>
      </w:pPr>
      <w:r w:rsidRPr="00326CC8">
        <w:rPr>
          <w:i/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r</w:t>
      </w:r>
      <w:r w:rsidR="00AC4556" w:rsidRPr="00326CC8">
        <w:rPr>
          <w:rFonts w:ascii="Tms Rmn" w:hAnsi="Tms Rmn"/>
          <w:i/>
          <w:position w:val="-4"/>
          <w:sz w:val="12"/>
          <w:lang w:val="es-ES"/>
        </w:rPr>
        <w:t> </w:t>
      </w:r>
      <w:r w:rsidR="00AC4556" w:rsidRPr="00326CC8">
        <w:rPr>
          <w:lang w:val="es-ES"/>
        </w:rPr>
        <w:t>:</w:t>
      </w:r>
      <w:r w:rsidRPr="00326CC8">
        <w:rPr>
          <w:lang w:val="es-ES"/>
        </w:rPr>
        <w:t xml:space="preserve">  frecuencia de referencia del modelo homogéneo;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b/>
          <w:lang w:val="es-ES"/>
        </w:rPr>
        <w:t>4</w:t>
      </w:r>
      <w:r w:rsidRPr="00326CC8">
        <w:rPr>
          <w:lang w:val="es-ES"/>
        </w:rPr>
        <w:tab/>
        <w:t>que la frecuencia de referencia del modelo homogéneo para conexiones internacionales sea:</w:t>
      </w:r>
    </w:p>
    <w:p w:rsidR="00BF495C" w:rsidRPr="00326CC8" w:rsidRDefault="00BF495C" w:rsidP="00D36B7C">
      <w:pPr>
        <w:pStyle w:val="Equation"/>
        <w:rPr>
          <w:lang w:val="es-ES"/>
        </w:rPr>
      </w:pPr>
      <w:r w:rsidRPr="00326CC8">
        <w:rPr>
          <w:lang w:val="es-ES"/>
        </w:rPr>
        <w:tab/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6A374D">
        <w:rPr>
          <w:i/>
          <w:iCs/>
          <w:vertAlign w:val="subscript"/>
          <w:lang w:val="es-ES_tradnl"/>
        </w:rPr>
        <w:t>r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</w:t>
      </w:r>
      <w:r w:rsidRPr="00326CC8">
        <w:rPr>
          <w:rFonts w:ascii="Symbol" w:hAnsi="Symbol"/>
          <w:lang w:val="es-ES"/>
        </w:rPr>
        <w:t></w:t>
      </w:r>
      <w:r w:rsidR="000C4413" w:rsidRPr="001603F0">
        <w:rPr>
          <w:lang w:val="es-ES_tradnl"/>
        </w:rPr>
        <w:t> </w:t>
      </w:r>
      <w:r w:rsidRPr="00326CC8">
        <w:rPr>
          <w:lang w:val="es-ES"/>
        </w:rPr>
        <w:t>196      MHz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las administraciones interesadas pueden convenir otras frecuencias de referencia;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b/>
          <w:lang w:val="es-ES"/>
        </w:rPr>
        <w:t>5</w:t>
      </w:r>
      <w:r w:rsidRPr="00326CC8">
        <w:rPr>
          <w:lang w:val="es-ES"/>
        </w:rPr>
        <w:tab/>
        <w:t>que en cada enlace bidireccional todos los radiocanales de ida se encuentren en una mitad de la banda, y todos los radiocanales de retorno en la otra;</w:t>
      </w:r>
    </w:p>
    <w:p w:rsidR="00BF495C" w:rsidRPr="00326CC8" w:rsidRDefault="00BF495C" w:rsidP="00377B02">
      <w:pPr>
        <w:spacing w:line="280" w:lineRule="exact"/>
        <w:rPr>
          <w:lang w:val="es-ES"/>
        </w:rPr>
      </w:pPr>
      <w:r w:rsidRPr="00326CC8">
        <w:rPr>
          <w:b/>
          <w:lang w:val="es-ES"/>
        </w:rPr>
        <w:t>6</w:t>
      </w:r>
      <w:r w:rsidRPr="00326CC8">
        <w:rPr>
          <w:lang w:val="es-ES"/>
        </w:rPr>
        <w:tab/>
        <w:t xml:space="preserve">que las separaciones entre radiocanales, </w:t>
      </w:r>
      <w:r w:rsidRPr="00326CC8">
        <w:rPr>
          <w:i/>
          <w:lang w:val="es-ES"/>
        </w:rPr>
        <w:t>XS</w:t>
      </w:r>
      <w:r w:rsidRPr="00326CC8">
        <w:rPr>
          <w:lang w:val="es-ES"/>
        </w:rPr>
        <w:t xml:space="preserve">, la separación central, </w:t>
      </w:r>
      <w:r w:rsidRPr="00326CC8">
        <w:rPr>
          <w:i/>
          <w:lang w:val="es-ES"/>
        </w:rPr>
        <w:t>YS</w:t>
      </w:r>
      <w:r w:rsidRPr="00326CC8">
        <w:rPr>
          <w:lang w:val="es-ES"/>
        </w:rPr>
        <w:t xml:space="preserve">, y la distancia a los límites inferior y superior de la banda, </w:t>
      </w:r>
      <w:r w:rsidRPr="00326CC8">
        <w:rPr>
          <w:i/>
          <w:lang w:val="es-ES"/>
        </w:rPr>
        <w:t>Z</w:t>
      </w:r>
      <w:r w:rsidRPr="000C4413">
        <w:rPr>
          <w:vertAlign w:val="subscript"/>
          <w:lang w:val="es-ES_tradnl"/>
        </w:rPr>
        <w:t>1</w:t>
      </w:r>
      <w:r w:rsidRPr="00326CC8">
        <w:rPr>
          <w:i/>
          <w:lang w:val="es-ES"/>
        </w:rPr>
        <w:t xml:space="preserve">S </w:t>
      </w:r>
      <w:r w:rsidRPr="00326CC8">
        <w:rPr>
          <w:lang w:val="es-ES"/>
        </w:rPr>
        <w:t xml:space="preserve">y </w:t>
      </w:r>
      <w:r w:rsidRPr="00326CC8">
        <w:rPr>
          <w:i/>
          <w:lang w:val="es-ES"/>
        </w:rPr>
        <w:t>Z</w:t>
      </w:r>
      <w:r w:rsidRPr="000C4413">
        <w:rPr>
          <w:vertAlign w:val="subscript"/>
          <w:lang w:val="es-ES_tradnl"/>
        </w:rPr>
        <w:t>2</w:t>
      </w:r>
      <w:r w:rsidRPr="00326CC8">
        <w:rPr>
          <w:i/>
          <w:lang w:val="es-ES"/>
        </w:rPr>
        <w:t>S,</w:t>
      </w:r>
      <w:r w:rsidRPr="00326CC8">
        <w:rPr>
          <w:lang w:val="es-ES"/>
        </w:rPr>
        <w:t xml:space="preserve"> se fijen de común acuerdo entre las administraciones interesadas, según la aplicación y la capacidad de radiocanales prevista. (Para las definiciones de</w:t>
      </w:r>
      <w:r w:rsidR="00377B02">
        <w:rPr>
          <w:lang w:val="es-ES"/>
        </w:rPr>
        <w:t xml:space="preserve"> </w:t>
      </w:r>
      <w:r w:rsidRPr="00326CC8">
        <w:rPr>
          <w:i/>
          <w:lang w:val="es-ES"/>
        </w:rPr>
        <w:t>XS</w:t>
      </w:r>
      <w:r w:rsidRPr="00326CC8">
        <w:rPr>
          <w:lang w:val="es-ES"/>
        </w:rPr>
        <w:t xml:space="preserve">, </w:t>
      </w:r>
      <w:r w:rsidRPr="00326CC8">
        <w:rPr>
          <w:i/>
          <w:lang w:val="es-ES"/>
        </w:rPr>
        <w:t>YS</w:t>
      </w:r>
      <w:r w:rsidRPr="00326CC8">
        <w:rPr>
          <w:lang w:val="es-ES"/>
        </w:rPr>
        <w:t xml:space="preserve"> y </w:t>
      </w:r>
      <w:r w:rsidRPr="00326CC8">
        <w:rPr>
          <w:i/>
          <w:lang w:val="es-ES"/>
        </w:rPr>
        <w:t>ZS</w:t>
      </w:r>
      <w:r w:rsidRPr="00326CC8">
        <w:rPr>
          <w:lang w:val="es-ES"/>
        </w:rPr>
        <w:t xml:space="preserve"> véase la Recomendación UIT-R F.746.)</w:t>
      </w:r>
    </w:p>
    <w:p w:rsidR="00BF495C" w:rsidRPr="00326CC8" w:rsidRDefault="00BF495C" w:rsidP="00BF495C">
      <w:pPr>
        <w:pStyle w:val="Note"/>
        <w:rPr>
          <w:lang w:val="es-ES"/>
        </w:rPr>
      </w:pPr>
      <w:r w:rsidRPr="00326CC8">
        <w:rPr>
          <w:lang w:val="es-ES"/>
        </w:rPr>
        <w:t>NOTA 1 – En los Anexos 1, 2, 3 y 4 figuran ejemplos de disposiciones de radiocanales basadas en la presente Recomendación.</w:t>
      </w:r>
    </w:p>
    <w:p w:rsidR="00BF495C" w:rsidRPr="00326CC8" w:rsidRDefault="00BF495C" w:rsidP="00377B02">
      <w:pPr>
        <w:pStyle w:val="Note"/>
        <w:rPr>
          <w:lang w:val="es-ES"/>
        </w:rPr>
      </w:pPr>
      <w:r w:rsidRPr="00326CC8">
        <w:rPr>
          <w:lang w:val="es-ES"/>
        </w:rPr>
        <w:t>NOTA 2 – Hay que tomar en consideración que, en algunos países, junto con el modelo principal se emplea un modelo homogéneo de</w:t>
      </w:r>
      <w:r w:rsidR="00377B02">
        <w:rPr>
          <w:lang w:val="es-ES"/>
        </w:rPr>
        <w:t xml:space="preserve"> </w:t>
      </w:r>
      <w:r w:rsidRPr="00326CC8">
        <w:rPr>
          <w:lang w:val="es-ES"/>
        </w:rPr>
        <w:t>3,5 MHz, intercalado con 1,75 MHz respecto al referido en el § 2.</w:t>
      </w:r>
    </w:p>
    <w:p w:rsidR="00BF495C" w:rsidRPr="00326CC8" w:rsidRDefault="00BF495C" w:rsidP="00BF495C">
      <w:pPr>
        <w:rPr>
          <w:lang w:val="es-ES"/>
        </w:rPr>
      </w:pPr>
    </w:p>
    <w:p w:rsidR="00BF495C" w:rsidRPr="00326CC8" w:rsidRDefault="00BF495C" w:rsidP="00BF495C">
      <w:pPr>
        <w:rPr>
          <w:lang w:val="es-ES"/>
        </w:rPr>
      </w:pPr>
    </w:p>
    <w:p w:rsidR="00BF495C" w:rsidRPr="00326CC8" w:rsidRDefault="00BF495C" w:rsidP="00BF495C">
      <w:pPr>
        <w:rPr>
          <w:lang w:val="es-ES"/>
        </w:rPr>
      </w:pPr>
    </w:p>
    <w:p w:rsidR="00BF495C" w:rsidRPr="00326CC8" w:rsidRDefault="00BF495C" w:rsidP="00E96003">
      <w:pPr>
        <w:pStyle w:val="AnnexNoTitle"/>
        <w:rPr>
          <w:lang w:val="es-ES"/>
        </w:rPr>
      </w:pPr>
      <w:r w:rsidRPr="00326CC8">
        <w:rPr>
          <w:lang w:val="es-ES"/>
        </w:rPr>
        <w:t>Anexo 1</w:t>
      </w:r>
      <w:r>
        <w:rPr>
          <w:lang w:val="es-ES"/>
        </w:rPr>
        <w:br/>
      </w:r>
      <w:r>
        <w:rPr>
          <w:lang w:val="es-ES"/>
        </w:rPr>
        <w:br/>
      </w:r>
      <w:r w:rsidRPr="00326CC8">
        <w:rPr>
          <w:lang w:val="es-ES"/>
        </w:rPr>
        <w:t>Disposición de radiocanales en la banda 21,2-23,6 GHz utilizada</w:t>
      </w:r>
      <w:r w:rsidRPr="00326CC8">
        <w:rPr>
          <w:lang w:val="es-ES"/>
        </w:rPr>
        <w:br/>
        <w:t xml:space="preserve">en algunos países de acuerdo con el </w:t>
      </w:r>
      <w:r w:rsidRPr="00326CC8">
        <w:rPr>
          <w:i/>
          <w:lang w:val="es-ES"/>
        </w:rPr>
        <w:t>recomienda</w:t>
      </w:r>
      <w:r w:rsidRPr="00326CC8">
        <w:rPr>
          <w:lang w:val="es-ES"/>
        </w:rPr>
        <w:t xml:space="preserve"> 2</w:t>
      </w:r>
    </w:p>
    <w:p w:rsidR="00BF495C" w:rsidRPr="00326CC8" w:rsidRDefault="00BF495C" w:rsidP="001A6BC0">
      <w:pPr>
        <w:pStyle w:val="Normalaftertitle0"/>
        <w:rPr>
          <w:sz w:val="24"/>
          <w:lang w:val="es-ES"/>
        </w:rPr>
      </w:pPr>
      <w:r w:rsidRPr="00326CC8">
        <w:rPr>
          <w:sz w:val="24"/>
          <w:lang w:val="es-ES"/>
        </w:rPr>
        <w:t>La utilización de la banda 21,2-23,6 GHz se basa en un modelo de frecuencias homogéneo de</w:t>
      </w:r>
      <w:r w:rsidR="001A6BC0">
        <w:rPr>
          <w:sz w:val="24"/>
          <w:lang w:val="es-ES"/>
        </w:rPr>
        <w:t xml:space="preserve"> </w:t>
      </w:r>
      <w:r w:rsidRPr="00326CC8">
        <w:rPr>
          <w:sz w:val="24"/>
          <w:lang w:val="es-ES"/>
        </w:rPr>
        <w:t>3,5 MHz. Se incluyen varias separaciones de radiocanales, como se indica en la Fig. 1, y también se usan disposiciones intercaladas para diversas separaciones. En algunas aplicaciones pueden añadirse radiocanales adicionales en las bandas de guarda del borde y del centro, utilizando el modelo homogéneo.</w:t>
      </w:r>
    </w:p>
    <w:p w:rsidR="00BF495C" w:rsidRPr="000C4413" w:rsidRDefault="00BF495C" w:rsidP="00BF495C">
      <w:pPr>
        <w:pStyle w:val="FigureNo"/>
        <w:rPr>
          <w:lang w:val="es-ES_tradnl"/>
        </w:rPr>
      </w:pPr>
      <w:r w:rsidRPr="000C4413">
        <w:rPr>
          <w:lang w:val="es-ES_tradnl"/>
        </w:rPr>
        <w:lastRenderedPageBreak/>
        <w:t>Figura 1</w:t>
      </w:r>
    </w:p>
    <w:p w:rsidR="00BF495C" w:rsidRDefault="00BF495C" w:rsidP="00BF495C">
      <w:pPr>
        <w:pStyle w:val="Figuretitle"/>
        <w:rPr>
          <w:rFonts w:ascii="Times New Roman"/>
          <w:b w:val="0"/>
          <w:bCs/>
          <w:lang w:val="es-ES_tradnl"/>
        </w:rPr>
      </w:pPr>
      <w:r w:rsidRPr="000C4413">
        <w:rPr>
          <w:lang w:val="es-ES_tradnl"/>
        </w:rPr>
        <w:t>Disposición de radiocanales para sistemas inalámbricos fijos</w:t>
      </w:r>
      <w:r w:rsidRPr="000C4413">
        <w:rPr>
          <w:lang w:val="es-ES_tradnl"/>
        </w:rPr>
        <w:br/>
        <w:t>en la banda de frecuencias 21,2-23,6 GHz</w:t>
      </w:r>
      <w:r w:rsidRPr="000C4413">
        <w:rPr>
          <w:lang w:val="es-ES_tradnl"/>
        </w:rPr>
        <w:br/>
      </w:r>
      <w:r w:rsidRPr="00AC4556">
        <w:rPr>
          <w:rFonts w:ascii="Times New Roman"/>
          <w:b w:val="0"/>
          <w:bCs/>
          <w:lang w:val="es-ES_tradnl"/>
        </w:rPr>
        <w:t>(Todas las frecuencias en MHz)</w:t>
      </w:r>
    </w:p>
    <w:p w:rsidR="00CF2E22" w:rsidRPr="006A374D" w:rsidRDefault="00CF2E22" w:rsidP="00CF2E22">
      <w:pPr>
        <w:pStyle w:val="Blanc"/>
        <w:rPr>
          <w:lang w:val="es-ES_tradnl"/>
        </w:rPr>
      </w:pPr>
    </w:p>
    <w:p w:rsidR="00BF495C" w:rsidRPr="00326CC8" w:rsidRDefault="006F1973" w:rsidP="00BF495C">
      <w:pPr>
        <w:pStyle w:val="Figure"/>
        <w:rPr>
          <w:lang w:val="es-ES"/>
        </w:rPr>
      </w:pPr>
      <w:r>
        <w:rPr>
          <w:lang w:val="es-ES"/>
        </w:rPr>
        <w:object w:dxaOrig="9751" w:dyaOrig="10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5pt;height:501pt" o:ole="">
            <v:imagedata r:id="rId14" o:title=""/>
          </v:shape>
          <o:OLEObject Type="Embed" ProgID="CorelDRAW.Graphic.14" ShapeID="_x0000_i1025" DrawAspect="Content" ObjectID="_1416978951" r:id="rId15"/>
        </w:object>
      </w:r>
    </w:p>
    <w:p w:rsidR="00BF495C" w:rsidRDefault="00BF495C" w:rsidP="00E96003">
      <w:pPr>
        <w:pStyle w:val="AnnexNoTitle"/>
        <w:rPr>
          <w:lang w:val="es-ES"/>
        </w:rPr>
      </w:pPr>
      <w:r w:rsidRPr="00326CC8">
        <w:rPr>
          <w:lang w:val="es-ES"/>
        </w:rPr>
        <w:lastRenderedPageBreak/>
        <w:t>Anexo 2</w:t>
      </w:r>
      <w:r>
        <w:rPr>
          <w:lang w:val="es-ES"/>
        </w:rPr>
        <w:br/>
      </w:r>
      <w:r>
        <w:rPr>
          <w:lang w:val="es-ES"/>
        </w:rPr>
        <w:br/>
      </w:r>
      <w:r w:rsidRPr="00326CC8">
        <w:rPr>
          <w:lang w:val="es-ES"/>
        </w:rPr>
        <w:t>Disposiciones de radiocanales en algunas administraciones de la Conferencia</w:t>
      </w:r>
      <w:r w:rsidRPr="00326CC8">
        <w:rPr>
          <w:lang w:val="es-ES"/>
        </w:rPr>
        <w:br/>
        <w:t>Europea de Administraciones de Correos y Telecomunicaciones (CEPT)</w:t>
      </w:r>
      <w:r w:rsidRPr="00326CC8">
        <w:rPr>
          <w:lang w:val="es-ES"/>
        </w:rPr>
        <w:br/>
        <w:t xml:space="preserve">en la banda 22,0-23,6 GHz de acuerdo con el </w:t>
      </w:r>
      <w:r w:rsidRPr="00326CC8">
        <w:rPr>
          <w:i/>
          <w:lang w:val="es-ES"/>
        </w:rPr>
        <w:t xml:space="preserve">recomienda </w:t>
      </w:r>
      <w:r w:rsidRPr="00326CC8">
        <w:rPr>
          <w:lang w:val="es-ES"/>
        </w:rPr>
        <w:t>2</w:t>
      </w:r>
    </w:p>
    <w:p w:rsidR="00BF495C" w:rsidRPr="00326CC8" w:rsidRDefault="00BF495C" w:rsidP="00BF495C">
      <w:pPr>
        <w:pStyle w:val="Heading1"/>
        <w:rPr>
          <w:lang w:val="es-ES"/>
        </w:rPr>
      </w:pPr>
      <w:r w:rsidRPr="00326CC8">
        <w:rPr>
          <w:lang w:val="es-ES"/>
        </w:rPr>
        <w:t>1</w:t>
      </w:r>
      <w:r w:rsidRPr="00326CC8">
        <w:rPr>
          <w:lang w:val="es-ES"/>
        </w:rPr>
        <w:tab/>
        <w:t>Banda de frecuencias 22,0-22,6 GHz emparejada con la banda 23,0-23,6 GHz</w:t>
      </w:r>
    </w:p>
    <w:p w:rsidR="00BF495C" w:rsidRPr="00326CC8" w:rsidRDefault="00BF495C" w:rsidP="00E96003">
      <w:pPr>
        <w:rPr>
          <w:lang w:val="es-ES"/>
        </w:rPr>
      </w:pPr>
      <w:r w:rsidRPr="00326CC8">
        <w:rPr>
          <w:lang w:val="es-ES"/>
        </w:rPr>
        <w:t>Un ejemplo de las disposiciones de radiocanales en la banda 22,0-22,6 GHz emparejada con la banda 23,0-23,6</w:t>
      </w:r>
      <w:r w:rsidR="001A6BC0">
        <w:rPr>
          <w:lang w:val="es-ES"/>
        </w:rPr>
        <w:t> </w:t>
      </w:r>
      <w:r w:rsidRPr="00326CC8">
        <w:rPr>
          <w:lang w:val="es-ES"/>
        </w:rPr>
        <w:t>GHz para separaciones de portadora de 112</w:t>
      </w:r>
      <w:r w:rsidR="00E96003">
        <w:rPr>
          <w:lang w:val="es-ES"/>
        </w:rPr>
        <w:t> </w:t>
      </w:r>
      <w:r w:rsidRPr="00326CC8">
        <w:rPr>
          <w:lang w:val="es-ES"/>
        </w:rPr>
        <w:t>MHz, 56</w:t>
      </w:r>
      <w:r w:rsidR="00E96003">
        <w:rPr>
          <w:lang w:val="es-ES"/>
        </w:rPr>
        <w:t> </w:t>
      </w:r>
      <w:r w:rsidRPr="00326CC8">
        <w:rPr>
          <w:lang w:val="es-ES"/>
        </w:rPr>
        <w:t>MHz, 28</w:t>
      </w:r>
      <w:r w:rsidR="00E96003">
        <w:rPr>
          <w:lang w:val="es-ES"/>
        </w:rPr>
        <w:t> </w:t>
      </w:r>
      <w:r w:rsidRPr="00326CC8">
        <w:rPr>
          <w:lang w:val="es-ES"/>
        </w:rPr>
        <w:t>MHz, 14</w:t>
      </w:r>
      <w:r w:rsidR="00E96003">
        <w:rPr>
          <w:lang w:val="es-ES"/>
        </w:rPr>
        <w:t> </w:t>
      </w:r>
      <w:r w:rsidRPr="00326CC8">
        <w:rPr>
          <w:lang w:val="es-ES"/>
        </w:rPr>
        <w:t>MHz, 7 MHz y 3,5 MHz se obtiene de la forma siguiente:</w:t>
      </w:r>
    </w:p>
    <w:p w:rsidR="00BF495C" w:rsidRPr="00326CC8" w:rsidRDefault="00BF495C" w:rsidP="00AC4556">
      <w:pPr>
        <w:spacing w:line="0" w:lineRule="atLeast"/>
        <w:rPr>
          <w:lang w:val="es-ES"/>
        </w:rPr>
      </w:pPr>
      <w:r w:rsidRPr="00326CC8">
        <w:rPr>
          <w:lang w:val="es-ES"/>
        </w:rPr>
        <w:t>Sea</w:t>
      </w:r>
      <w:r w:rsidRPr="00326CC8">
        <w:rPr>
          <w:lang w:val="es-ES"/>
        </w:rPr>
        <w:tab/>
      </w:r>
      <w:r w:rsidRPr="00326CC8">
        <w:rPr>
          <w:i/>
          <w:lang w:val="es-ES"/>
        </w:rPr>
        <w:t>f</w:t>
      </w:r>
      <w:r w:rsidRPr="008B4D65">
        <w:rPr>
          <w:vertAlign w:val="subscript"/>
          <w:lang w:val="es-ES_tradnl"/>
        </w:rPr>
        <w:t>0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la frecuencia central de 21</w:t>
      </w:r>
      <w:r w:rsidR="00AC4556">
        <w:rPr>
          <w:lang w:val="es-ES"/>
        </w:rPr>
        <w:t> </w:t>
      </w:r>
      <w:r w:rsidRPr="00326CC8">
        <w:rPr>
          <w:lang w:val="es-ES"/>
        </w:rPr>
        <w:t>196 MHz;</w:t>
      </w:r>
    </w:p>
    <w:p w:rsidR="00BF495C" w:rsidRPr="00326CC8" w:rsidRDefault="00BF495C" w:rsidP="00BF495C">
      <w:pPr>
        <w:spacing w:before="60" w:line="0" w:lineRule="atLeast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lang w:val="es-ES"/>
        </w:rPr>
        <w:t>f</w:t>
      </w:r>
      <w:r w:rsidRPr="006A374D">
        <w:rPr>
          <w:i/>
          <w:iCs/>
          <w:vertAlign w:val="subscript"/>
          <w:lang w:val="es-ES_tradnl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la frecuencia central de un radiocanal en la mitad inferior de la banda (MHz);</w:t>
      </w:r>
    </w:p>
    <w:p w:rsidR="00BF495C" w:rsidRPr="00326CC8" w:rsidRDefault="00BF495C" w:rsidP="00BF495C">
      <w:pPr>
        <w:spacing w:before="60" w:line="280" w:lineRule="exact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Pr="00E96003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Pr="00326CC8">
        <w:rPr>
          <w:lang w:val="es-ES"/>
        </w:rPr>
        <w:tab/>
        <w:t>la frecuencia central de un radiocanal en la mitad superior de la banda (MHz)</w:t>
      </w:r>
    </w:p>
    <w:p w:rsidR="00BF495C" w:rsidRPr="00326CC8" w:rsidRDefault="00BF495C" w:rsidP="00BF495C">
      <w:pPr>
        <w:spacing w:line="0" w:lineRule="atLeast"/>
        <w:rPr>
          <w:lang w:val="es-ES"/>
        </w:rPr>
      </w:pPr>
      <w:r w:rsidRPr="00326CC8">
        <w:rPr>
          <w:lang w:val="es-ES"/>
        </w:rPr>
        <w:t>entonces, las frecuencias de cada canal se expresan mediante las relaciones siguientes: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a)</w:t>
      </w:r>
      <w:r w:rsidRPr="00326CC8">
        <w:rPr>
          <w:lang w:val="es-ES"/>
        </w:rPr>
        <w:tab/>
        <w:t xml:space="preserve">para sistemas con separación de portadoras de 112 MHz: 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770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112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</w:t>
      </w:r>
      <w:r w:rsidRPr="000C4413">
        <w:rPr>
          <w:lang w:val="es-ES_tradnl"/>
        </w:rPr>
        <w:t>1</w:t>
      </w:r>
      <w:r w:rsidR="00E96003" w:rsidRPr="000C4413">
        <w:rPr>
          <w:lang w:val="es-ES_tradnl"/>
        </w:rPr>
        <w:t> </w:t>
      </w:r>
      <w:r w:rsidRPr="000C4413">
        <w:rPr>
          <w:lang w:val="es-ES_tradnl"/>
        </w:rPr>
        <w:t>778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112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2E0904">
      <w:pPr>
        <w:rPr>
          <w:lang w:val="es-ES"/>
        </w:rPr>
      </w:pPr>
      <w:r w:rsidRPr="00326CC8">
        <w:rPr>
          <w:lang w:val="es-ES"/>
        </w:rPr>
        <w:t>siendo:</w:t>
      </w:r>
    </w:p>
    <w:p w:rsidR="00BF495C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>
        <w:rPr>
          <w:lang w:val="es-ES"/>
        </w:rPr>
        <w:t xml:space="preserve">  1,</w:t>
      </w:r>
      <w:r w:rsidR="006A374D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>
        <w:rPr>
          <w:lang w:val="es-ES"/>
        </w:rPr>
        <w:t>5</w:t>
      </w:r>
    </w:p>
    <w:p w:rsidR="00BF495C" w:rsidRPr="00326CC8" w:rsidRDefault="00BF495C" w:rsidP="00BF495C">
      <w:pPr>
        <w:pStyle w:val="enumlev1"/>
        <w:spacing w:line="0" w:lineRule="atLeast"/>
        <w:rPr>
          <w:lang w:val="es-ES"/>
        </w:rPr>
      </w:pPr>
      <w:r w:rsidRPr="00326CC8">
        <w:rPr>
          <w:lang w:val="es-ES"/>
        </w:rPr>
        <w:t>b1)</w:t>
      </w:r>
      <w:r w:rsidRPr="00326CC8">
        <w:rPr>
          <w:lang w:val="es-ES"/>
        </w:rPr>
        <w:tab/>
        <w:t>para sistemas con separación de portadoras de 56 MHz proporcionando 9 canales: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826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56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1</w:t>
      </w:r>
      <w:r w:rsidR="00E96003" w:rsidRPr="000C4413">
        <w:rPr>
          <w:lang w:val="es-ES_tradnl"/>
        </w:rPr>
        <w:t> </w:t>
      </w:r>
      <w:r w:rsidRPr="00326CC8">
        <w:rPr>
          <w:lang w:val="es-ES"/>
        </w:rPr>
        <w:t xml:space="preserve">834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56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2E0904">
      <w:pPr>
        <w:rPr>
          <w:lang w:val="es-ES"/>
        </w:rPr>
      </w:pPr>
      <w:r w:rsidRPr="00326CC8"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>
        <w:rPr>
          <w:lang w:val="es-ES"/>
        </w:rPr>
        <w:t xml:space="preserve">  1,</w:t>
      </w:r>
      <w:r w:rsidR="00BF6F76" w:rsidRPr="00326CC8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>
        <w:rPr>
          <w:lang w:val="es-ES"/>
        </w:rPr>
        <w:t>9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b2)</w:t>
      </w:r>
      <w:r w:rsidRPr="00326CC8">
        <w:rPr>
          <w:lang w:val="es-ES"/>
        </w:rPr>
        <w:tab/>
        <w:t>para sistemas con separación de portadoras de 56 MHz proporcionando 10 canales: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Theme="majorBidi" w:hAnsiTheme="majorBidi" w:cstheme="majorBidi"/>
          <w:lang w:val="es-ES"/>
        </w:rPr>
        <w:t>+</w:t>
      </w:r>
      <w:r w:rsidRPr="00326CC8">
        <w:rPr>
          <w:lang w:val="es-ES"/>
        </w:rPr>
        <w:t xml:space="preserve">  784  </w:t>
      </w:r>
      <w:r w:rsidRPr="00326CC8">
        <w:rPr>
          <w:rFonts w:asciiTheme="majorBidi" w:hAnsiTheme="majorBidi" w:cstheme="majorBidi"/>
          <w:lang w:val="es-ES"/>
        </w:rPr>
        <w:t>+</w:t>
      </w:r>
      <w:r w:rsidRPr="00326CC8">
        <w:rPr>
          <w:lang w:val="es-ES"/>
        </w:rPr>
        <w:t xml:space="preserve">  56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Theme="majorBidi" w:hAnsiTheme="majorBidi" w:cstheme="majorBidi"/>
          <w:lang w:val="es-ES"/>
        </w:rPr>
        <w:t>+</w:t>
      </w:r>
      <w:r w:rsidRPr="00326CC8">
        <w:rPr>
          <w:lang w:val="es-ES"/>
        </w:rPr>
        <w:t xml:space="preserve">  1</w:t>
      </w:r>
      <w:r w:rsidRPr="00326CC8">
        <w:rPr>
          <w:rFonts w:ascii="Tms Rmn" w:hAnsi="Tms Rmn"/>
          <w:sz w:val="12"/>
          <w:lang w:val="es-ES"/>
        </w:rPr>
        <w:t> </w:t>
      </w:r>
      <w:r w:rsidRPr="00326CC8">
        <w:rPr>
          <w:lang w:val="es-ES"/>
        </w:rPr>
        <w:t xml:space="preserve">792  </w:t>
      </w:r>
      <w:r w:rsidRPr="00326CC8">
        <w:rPr>
          <w:rFonts w:asciiTheme="majorBidi" w:hAnsiTheme="majorBidi" w:cstheme="majorBidi"/>
          <w:lang w:val="es-ES"/>
        </w:rPr>
        <w:t>+</w:t>
      </w:r>
      <w:r w:rsidRPr="00326CC8">
        <w:rPr>
          <w:lang w:val="es-ES"/>
        </w:rPr>
        <w:t xml:space="preserve">  56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2E0904" w:rsidP="002E0904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Theme="majorBidi" w:hAnsiTheme="majorBidi" w:cstheme="majorBidi"/>
          <w:lang w:val="es-ES"/>
        </w:rPr>
        <w:t xml:space="preserve">= </w:t>
      </w:r>
      <w:r w:rsidRPr="00326CC8">
        <w:rPr>
          <w:lang w:val="es-ES"/>
        </w:rPr>
        <w:t>1,</w:t>
      </w:r>
      <w:r w:rsidR="00BF6F76" w:rsidRPr="00326CC8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 w:rsidRPr="00326CC8">
        <w:rPr>
          <w:lang w:val="es-ES"/>
        </w:rPr>
        <w:t>10</w:t>
      </w:r>
    </w:p>
    <w:p w:rsidR="00BF495C" w:rsidRPr="00326CC8" w:rsidRDefault="00BF495C" w:rsidP="00BF495C">
      <w:pPr>
        <w:pStyle w:val="enumlev1"/>
        <w:spacing w:line="0" w:lineRule="atLeast"/>
        <w:rPr>
          <w:lang w:val="es-ES"/>
        </w:rPr>
      </w:pPr>
      <w:r w:rsidRPr="00326CC8">
        <w:rPr>
          <w:lang w:val="es-ES"/>
        </w:rPr>
        <w:t>c)</w:t>
      </w:r>
      <w:r w:rsidRPr="00326CC8">
        <w:rPr>
          <w:lang w:val="es-ES"/>
        </w:rPr>
        <w:tab/>
        <w:t>para sistemas con separación de portadoras de 28 MHz: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798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28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</w:t>
      </w:r>
      <w:r w:rsidRPr="000C4413">
        <w:rPr>
          <w:lang w:val="es-ES_tradnl"/>
        </w:rPr>
        <w:t>1</w:t>
      </w:r>
      <w:r w:rsidR="00E96003" w:rsidRPr="000C4413">
        <w:rPr>
          <w:lang w:val="es-ES_tradnl"/>
        </w:rPr>
        <w:t> </w:t>
      </w:r>
      <w:r w:rsidRPr="000C4413">
        <w:rPr>
          <w:lang w:val="es-ES_tradnl"/>
        </w:rPr>
        <w:t>806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28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2E0904">
      <w:pPr>
        <w:rPr>
          <w:lang w:val="es-ES"/>
        </w:rPr>
      </w:pPr>
      <w:r w:rsidRPr="00326CC8"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>
        <w:rPr>
          <w:lang w:val="es-ES"/>
        </w:rPr>
        <w:t xml:space="preserve">  1,</w:t>
      </w:r>
      <w:r w:rsidR="00BF6F76" w:rsidRPr="00326CC8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>
        <w:rPr>
          <w:lang w:val="es-ES"/>
        </w:rPr>
        <w:t>20</w:t>
      </w:r>
    </w:p>
    <w:p w:rsidR="00BF495C" w:rsidRPr="00326CC8" w:rsidRDefault="00BF495C" w:rsidP="00BF495C">
      <w:pPr>
        <w:pStyle w:val="enumlev1"/>
        <w:spacing w:line="0" w:lineRule="atLeast"/>
        <w:rPr>
          <w:lang w:val="es-ES"/>
        </w:rPr>
      </w:pPr>
      <w:r w:rsidRPr="00326CC8">
        <w:rPr>
          <w:lang w:val="es-ES"/>
        </w:rPr>
        <w:t>d)</w:t>
      </w:r>
      <w:r w:rsidRPr="00326CC8">
        <w:rPr>
          <w:lang w:val="es-ES"/>
        </w:rPr>
        <w:tab/>
        <w:t>para sistemas con una separación de portadoras de 14 MHz: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805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14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1</w:t>
      </w:r>
      <w:r w:rsidRPr="00326CC8">
        <w:rPr>
          <w:rFonts w:ascii="Tms Rmn" w:hAnsi="Tms Rmn"/>
          <w:sz w:val="12"/>
          <w:lang w:val="es-ES"/>
        </w:rPr>
        <w:t> </w:t>
      </w:r>
      <w:r w:rsidRPr="00326CC8">
        <w:rPr>
          <w:lang w:val="es-ES"/>
        </w:rPr>
        <w:t xml:space="preserve">813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14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2E0904">
      <w:pPr>
        <w:rPr>
          <w:lang w:val="es-ES"/>
        </w:rPr>
      </w:pPr>
      <w:r w:rsidRPr="00326CC8"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>
        <w:rPr>
          <w:lang w:val="es-ES"/>
        </w:rPr>
        <w:t xml:space="preserve">  1,</w:t>
      </w:r>
      <w:r w:rsidR="00BF6F76" w:rsidRPr="00326CC8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>
        <w:rPr>
          <w:lang w:val="es-ES"/>
        </w:rPr>
        <w:t>41</w:t>
      </w:r>
    </w:p>
    <w:p w:rsidR="00BF495C" w:rsidRPr="00326CC8" w:rsidRDefault="00BF495C" w:rsidP="008D0743">
      <w:pPr>
        <w:pStyle w:val="enumlev1"/>
        <w:keepNext/>
        <w:keepLines/>
        <w:spacing w:line="0" w:lineRule="atLeast"/>
        <w:rPr>
          <w:lang w:val="es-ES"/>
        </w:rPr>
      </w:pPr>
      <w:r w:rsidRPr="00326CC8">
        <w:rPr>
          <w:lang w:val="es-ES"/>
        </w:rPr>
        <w:lastRenderedPageBreak/>
        <w:t>e)</w:t>
      </w:r>
      <w:r w:rsidRPr="00326CC8">
        <w:rPr>
          <w:lang w:val="es-ES"/>
        </w:rPr>
        <w:tab/>
        <w:t>para sistemas con separación de portadoras de 7 MHz: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808,5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7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</w:t>
      </w:r>
      <w:r w:rsidRPr="000C4413">
        <w:rPr>
          <w:lang w:val="es-ES_tradnl"/>
        </w:rPr>
        <w:t>1</w:t>
      </w:r>
      <w:r w:rsidR="00E96003" w:rsidRPr="000C4413">
        <w:rPr>
          <w:lang w:val="es-ES_tradnl"/>
        </w:rPr>
        <w:t> </w:t>
      </w:r>
      <w:r w:rsidRPr="000C4413">
        <w:rPr>
          <w:lang w:val="es-ES_tradnl"/>
        </w:rPr>
        <w:t>816</w:t>
      </w:r>
      <w:r w:rsidRPr="00326CC8">
        <w:rPr>
          <w:lang w:val="es-ES"/>
        </w:rPr>
        <w:t xml:space="preserve">,5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7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2E0904">
      <w:pPr>
        <w:rPr>
          <w:lang w:val="es-ES"/>
        </w:rPr>
      </w:pPr>
      <w:r w:rsidRPr="00326CC8"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>
        <w:rPr>
          <w:lang w:val="es-ES"/>
        </w:rPr>
        <w:t xml:space="preserve">  1,</w:t>
      </w:r>
      <w:r w:rsidR="00BF6F76" w:rsidRPr="00326CC8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>
        <w:rPr>
          <w:lang w:val="es-ES"/>
        </w:rPr>
        <w:t>83</w:t>
      </w:r>
    </w:p>
    <w:p w:rsidR="00BF495C" w:rsidRPr="00326CC8" w:rsidRDefault="00BF495C" w:rsidP="00BF495C">
      <w:pPr>
        <w:pStyle w:val="enumlev1"/>
        <w:spacing w:line="0" w:lineRule="atLeast"/>
        <w:rPr>
          <w:lang w:val="es-ES"/>
        </w:rPr>
      </w:pPr>
      <w:r w:rsidRPr="00326CC8">
        <w:rPr>
          <w:lang w:val="es-ES"/>
        </w:rPr>
        <w:t>f)</w:t>
      </w:r>
      <w:r w:rsidRPr="00326CC8">
        <w:rPr>
          <w:lang w:val="es-ES"/>
        </w:rPr>
        <w:tab/>
        <w:t>para sistemas con una separación de portadoras de 3,5 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805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3,5 </w:t>
      </w:r>
      <w:r w:rsidRPr="00326CC8">
        <w:rPr>
          <w:i/>
          <w:lang w:val="es-ES"/>
        </w:rPr>
        <w:t>n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tabs>
          <w:tab w:val="left" w:pos="3544"/>
          <w:tab w:val="left" w:pos="3969"/>
          <w:tab w:val="left" w:pos="4253"/>
          <w:tab w:val="left" w:pos="6521"/>
        </w:tabs>
        <w:spacing w:before="80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</w:t>
      </w:r>
      <w:r w:rsidRPr="000C4413">
        <w:rPr>
          <w:lang w:val="es-ES_tradnl"/>
        </w:rPr>
        <w:t>1</w:t>
      </w:r>
      <w:r w:rsidR="00E96003" w:rsidRPr="000C4413">
        <w:rPr>
          <w:lang w:val="es-ES_tradnl"/>
        </w:rPr>
        <w:t> </w:t>
      </w:r>
      <w:r w:rsidRPr="000C4413">
        <w:rPr>
          <w:lang w:val="es-ES_tradnl"/>
        </w:rPr>
        <w:t>813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3,5 </w:t>
      </w:r>
      <w:r w:rsidRPr="00326CC8">
        <w:rPr>
          <w:i/>
          <w:lang w:val="es-ES"/>
        </w:rPr>
        <w:t>n</w:t>
      </w:r>
      <w:r w:rsidRPr="00326CC8">
        <w:rPr>
          <w:i/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2E0904">
      <w:pPr>
        <w:rPr>
          <w:lang w:val="es-ES"/>
        </w:rPr>
      </w:pPr>
      <w:r w:rsidRPr="00326CC8"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>
        <w:rPr>
          <w:lang w:val="es-ES"/>
        </w:rPr>
        <w:t xml:space="preserve">  1,</w:t>
      </w:r>
      <w:r w:rsidR="00BF6F76" w:rsidRPr="00326CC8">
        <w:rPr>
          <w:lang w:val="es-ES"/>
        </w:rPr>
        <w:t xml:space="preserve"> </w:t>
      </w:r>
      <w:r w:rsidR="006A374D" w:rsidRPr="006A374D">
        <w:rPr>
          <w:bCs/>
          <w:szCs w:val="24"/>
          <w:lang w:val="es-ES"/>
        </w:rPr>
        <w:t>…</w:t>
      </w:r>
      <w:r w:rsidR="00BF6F76" w:rsidRPr="00326CC8">
        <w:rPr>
          <w:lang w:val="es-ES"/>
        </w:rPr>
        <w:t xml:space="preserve"> </w:t>
      </w:r>
      <w:r>
        <w:rPr>
          <w:lang w:val="es-ES"/>
        </w:rPr>
        <w:t>168</w:t>
      </w:r>
      <w:r w:rsidR="00BF6F76">
        <w:rPr>
          <w:lang w:val="es-ES"/>
        </w:rPr>
        <w:t>.</w:t>
      </w:r>
    </w:p>
    <w:p w:rsidR="00BF495C" w:rsidRPr="00326CC8" w:rsidRDefault="00BF495C" w:rsidP="000D2FA7">
      <w:pPr>
        <w:pStyle w:val="Note"/>
        <w:spacing w:line="280" w:lineRule="exact"/>
        <w:rPr>
          <w:lang w:val="es-ES"/>
        </w:rPr>
      </w:pPr>
      <w:r w:rsidRPr="00326CC8">
        <w:rPr>
          <w:lang w:val="es-ES"/>
        </w:rPr>
        <w:t xml:space="preserve">NOTA 1 – Las disposiciones de radiocanales de a) a f) anteriores utilizan frecuencias centrales de canal </w:t>
      </w:r>
      <w:r w:rsidR="008B4D65" w:rsidRPr="00326CC8">
        <w:rPr>
          <w:i/>
          <w:lang w:val="es-ES"/>
        </w:rPr>
        <w:t>f</w:t>
      </w:r>
      <w:r w:rsidR="008B4D65" w:rsidRPr="008B4D65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 xml:space="preserve"> y</w:t>
      </w:r>
      <w:r w:rsidR="000D2FA7">
        <w:rPr>
          <w:lang w:val="es-ES"/>
        </w:rPr>
        <w:t> </w:t>
      </w:r>
      <w:r w:rsidRPr="00326CC8">
        <w:rPr>
          <w:i/>
          <w:iCs/>
          <w:lang w:val="es-ES"/>
        </w:rPr>
        <w:t>f</w:t>
      </w:r>
      <w:r w:rsidRPr="00AC4556">
        <w:rPr>
          <w:sz w:val="12"/>
          <w:szCs w:val="16"/>
          <w:lang w:val="es-ES"/>
        </w:rPr>
        <w:t> </w:t>
      </w:r>
      <w:r w:rsidRPr="00326CC8">
        <w:rPr>
          <w:lang w:val="es-ES"/>
        </w:rPr>
        <w:t>′</w:t>
      </w:r>
      <w:r w:rsidRPr="006A374D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 xml:space="preserve"> seleccionadas con arreglo al modelo homogéneo del </w:t>
      </w:r>
      <w:r w:rsidRPr="00326CC8">
        <w:rPr>
          <w:i/>
          <w:iCs/>
          <w:lang w:val="es-ES"/>
        </w:rPr>
        <w:t>recomienda</w:t>
      </w:r>
      <w:r w:rsidRPr="00326CC8">
        <w:rPr>
          <w:lang w:val="es-ES"/>
        </w:rPr>
        <w:t xml:space="preserve"> 2.</w:t>
      </w:r>
    </w:p>
    <w:p w:rsidR="00BF495C" w:rsidRPr="00326CC8" w:rsidRDefault="00BF495C" w:rsidP="00BF495C">
      <w:pPr>
        <w:pStyle w:val="Note"/>
        <w:rPr>
          <w:lang w:val="es-ES"/>
        </w:rPr>
      </w:pPr>
      <w:r w:rsidRPr="00326CC8">
        <w:rPr>
          <w:lang w:val="es-ES"/>
        </w:rPr>
        <w:t>NOTA 2 – En la Fig. 2 se representa el espectro ocupado en la banda 22,0-23,6 GHz.</w:t>
      </w:r>
    </w:p>
    <w:p w:rsidR="00BF495C" w:rsidRPr="00326CC8" w:rsidRDefault="00BF495C" w:rsidP="00BF495C">
      <w:pPr>
        <w:rPr>
          <w:lang w:val="es-ES"/>
        </w:rPr>
      </w:pPr>
    </w:p>
    <w:p w:rsidR="00BF495C" w:rsidRPr="00326CC8" w:rsidRDefault="00BF495C" w:rsidP="00BF495C">
      <w:pPr>
        <w:pStyle w:val="FigureNo"/>
        <w:rPr>
          <w:lang w:val="es-ES"/>
        </w:rPr>
      </w:pPr>
      <w:r w:rsidRPr="00326CC8">
        <w:rPr>
          <w:lang w:val="es-ES"/>
        </w:rPr>
        <w:lastRenderedPageBreak/>
        <w:t>Figura 2</w:t>
      </w:r>
    </w:p>
    <w:p w:rsidR="00BF495C" w:rsidRDefault="00BF495C" w:rsidP="00BF495C">
      <w:pPr>
        <w:pStyle w:val="Figuretitle"/>
        <w:rPr>
          <w:lang w:val="es-ES"/>
        </w:rPr>
      </w:pPr>
      <w:r w:rsidRPr="00326CC8">
        <w:rPr>
          <w:lang w:val="es-ES"/>
        </w:rPr>
        <w:t>Disposiciones de radiocanales en la banda 22,0-22,6 GHz</w:t>
      </w:r>
      <w:r w:rsidRPr="00326CC8">
        <w:rPr>
          <w:lang w:val="es-ES"/>
        </w:rPr>
        <w:br/>
        <w:t>emparejada con la banda 23,0-23,6 GHz</w:t>
      </w:r>
    </w:p>
    <w:p w:rsidR="00CF2E22" w:rsidRPr="006A374D" w:rsidRDefault="00CF2E22" w:rsidP="00CF2E22">
      <w:pPr>
        <w:pStyle w:val="Blanc"/>
        <w:rPr>
          <w:lang w:val="es-ES_tradnl"/>
        </w:rPr>
      </w:pPr>
    </w:p>
    <w:p w:rsidR="00BF495C" w:rsidRPr="00326CC8" w:rsidRDefault="001603F0" w:rsidP="00BF495C">
      <w:pPr>
        <w:pStyle w:val="Figure"/>
        <w:rPr>
          <w:lang w:val="es-ES"/>
        </w:rPr>
      </w:pPr>
      <w:r>
        <w:rPr>
          <w:lang w:val="es-ES"/>
        </w:rPr>
        <w:object w:dxaOrig="10244" w:dyaOrig="12363">
          <v:shape id="_x0000_i1026" type="#_x0000_t75" style="width:479pt;height:578pt" o:ole="">
            <v:imagedata r:id="rId16" o:title=""/>
          </v:shape>
          <o:OLEObject Type="Embed" ProgID="CorelDRAW.Graphic.14" ShapeID="_x0000_i1026" DrawAspect="Content" ObjectID="_1416978952" r:id="rId17"/>
        </w:object>
      </w:r>
    </w:p>
    <w:p w:rsidR="00BF495C" w:rsidRPr="00326CC8" w:rsidRDefault="00BF495C" w:rsidP="00E96003">
      <w:pPr>
        <w:pStyle w:val="Heading1"/>
        <w:rPr>
          <w:lang w:val="es-ES"/>
        </w:rPr>
      </w:pPr>
      <w:r w:rsidRPr="00326CC8">
        <w:rPr>
          <w:lang w:val="es-ES"/>
        </w:rPr>
        <w:lastRenderedPageBreak/>
        <w:t>2</w:t>
      </w:r>
      <w:r w:rsidRPr="00326CC8">
        <w:rPr>
          <w:lang w:val="es-ES"/>
        </w:rPr>
        <w:tab/>
        <w:t>Banda de frecuencias 22,59075-22,75875 GHz emparejada con la banda 22,84275</w:t>
      </w:r>
      <w:r w:rsidR="00E96003">
        <w:rPr>
          <w:lang w:val="es-ES"/>
        </w:rPr>
        <w:t>-</w:t>
      </w:r>
      <w:r w:rsidRPr="00326CC8">
        <w:rPr>
          <w:lang w:val="es-ES"/>
        </w:rPr>
        <w:t>23,01075 GHz</w:t>
      </w:r>
    </w:p>
    <w:p w:rsidR="00BF495C" w:rsidRPr="00326CC8" w:rsidRDefault="00BF495C" w:rsidP="00BF495C">
      <w:pPr>
        <w:keepNext/>
        <w:keepLines/>
        <w:rPr>
          <w:lang w:val="es-ES"/>
        </w:rPr>
      </w:pPr>
      <w:r w:rsidRPr="00326CC8">
        <w:rPr>
          <w:lang w:val="es-ES"/>
        </w:rPr>
        <w:t>Estas bandas son partes del intervalo central de la disposición de radiocanales indicada en el § 1, combinada con las bandas de guarda interiores de la disposición de 3,5 MHz (véase la Fig. 3).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La disposición de radiocanales preferida para los FWS digitales punto a punto con separaciones de portadoras de 28 MHz, 14 MHz, 7 MHz y 3,5 MHz deben obtenerse como sigue:</w:t>
      </w:r>
    </w:p>
    <w:p w:rsidR="00BF495C" w:rsidRPr="00326CC8" w:rsidRDefault="00BF495C" w:rsidP="00D36B7C">
      <w:pPr>
        <w:pStyle w:val="enumlev1"/>
        <w:rPr>
          <w:lang w:val="es-ES"/>
        </w:rPr>
      </w:pPr>
      <w:r w:rsidRPr="00326CC8">
        <w:rPr>
          <w:lang w:val="es-ES"/>
        </w:rPr>
        <w:t xml:space="preserve">Sea 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vertAlign w:val="subscript"/>
          <w:lang w:val="es-ES_tradnl"/>
        </w:rPr>
        <w:t>0</w:t>
      </w:r>
      <w:r w:rsidRPr="00326CC8">
        <w:rPr>
          <w:lang w:val="es-ES"/>
        </w:rPr>
        <w:tab/>
      </w:r>
      <w:r w:rsidRPr="00326CC8">
        <w:rPr>
          <w:lang w:val="es-ES"/>
        </w:rPr>
        <w:tab/>
        <w:t>la frecuencia de referencia 21 196 MHz;</w:t>
      </w:r>
    </w:p>
    <w:p w:rsidR="00BF495C" w:rsidRPr="00326CC8" w:rsidRDefault="00BF495C" w:rsidP="00D36B7C">
      <w:pPr>
        <w:pStyle w:val="enumlev1"/>
        <w:ind w:left="1588" w:hanging="1588"/>
        <w:rPr>
          <w:lang w:val="es-ES"/>
        </w:rPr>
      </w:pP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ab/>
      </w:r>
      <w:r w:rsidRPr="00326CC8">
        <w:rPr>
          <w:lang w:val="es-ES"/>
        </w:rPr>
        <w:tab/>
        <w:t>la frecuencia central del radiocanal en la mitad inferior de la banda (MHz);</w:t>
      </w:r>
    </w:p>
    <w:p w:rsidR="00BF495C" w:rsidRPr="00326CC8" w:rsidRDefault="00BF495C" w:rsidP="00BF495C">
      <w:pPr>
        <w:pStyle w:val="enumlev1"/>
        <w:ind w:left="1588" w:hanging="1588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Pr="000C4413">
        <w:rPr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Pr="00326CC8">
        <w:rPr>
          <w:lang w:val="es-ES"/>
        </w:rPr>
        <w:tab/>
      </w:r>
      <w:r w:rsidRPr="00326CC8">
        <w:rPr>
          <w:lang w:val="es-ES"/>
        </w:rPr>
        <w:tab/>
        <w:t>la frecuencia central del radiocanal en la mitad superior de la banda (MHz);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separación dúplex TX/RX = 252 MHz;</w:t>
      </w:r>
    </w:p>
    <w:p w:rsidR="00BF495C" w:rsidRPr="00326CC8" w:rsidRDefault="00BF495C" w:rsidP="00BF495C">
      <w:pPr>
        <w:rPr>
          <w:lang w:val="es-ES"/>
        </w:rPr>
      </w:pPr>
      <w:r>
        <w:rPr>
          <w:lang w:val="es-ES"/>
        </w:rPr>
        <w:t>intervalo central = 84 MHz;</w:t>
      </w:r>
    </w:p>
    <w:p w:rsidR="00BF495C" w:rsidRPr="00326CC8" w:rsidRDefault="00BF495C" w:rsidP="00EA662D">
      <w:pPr>
        <w:rPr>
          <w:lang w:val="es-ES"/>
        </w:rPr>
      </w:pPr>
      <w:r w:rsidRPr="00326CC8">
        <w:rPr>
          <w:lang w:val="es-ES"/>
        </w:rPr>
        <w:t>en ese caso, las frecuencias de los distintos canales (Nota</w:t>
      </w:r>
      <w:r w:rsidR="00EA662D">
        <w:rPr>
          <w:lang w:val="es-ES"/>
        </w:rPr>
        <w:t> </w:t>
      </w:r>
      <w:r w:rsidRPr="00326CC8">
        <w:rPr>
          <w:lang w:val="es-ES"/>
        </w:rPr>
        <w:t>1) se expresan mediante las siguientes relaciones: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a)</w:t>
      </w:r>
      <w:r w:rsidRPr="00326CC8">
        <w:rPr>
          <w:lang w:val="es-ES"/>
        </w:rPr>
        <w:tab/>
        <w:t>para sistemas con separación de portadoras de 28 MHz: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+ 1 380,75 + 28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+ 1 632,75 + 28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  <w:t>MHz</w:t>
      </w:r>
    </w:p>
    <w:p w:rsidR="00BF495C" w:rsidRPr="00326CC8" w:rsidRDefault="002E0904" w:rsidP="00BF495C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1, </w:t>
      </w:r>
      <w:r w:rsidR="006A374D" w:rsidRPr="006A374D">
        <w:rPr>
          <w:bCs/>
          <w:szCs w:val="24"/>
          <w:lang w:val="es-ES"/>
        </w:rPr>
        <w:t>…</w:t>
      </w:r>
      <w:r w:rsidRPr="00326CC8">
        <w:rPr>
          <w:lang w:val="es-ES"/>
        </w:rPr>
        <w:t xml:space="preserve"> 6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b)</w:t>
      </w:r>
      <w:r w:rsidRPr="00326CC8">
        <w:rPr>
          <w:lang w:val="es-ES"/>
        </w:rPr>
        <w:tab/>
        <w:t>para sistemas con separación de portadoras de 14 MHz: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+ 1 387,75 + 14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  <w:t>MHz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+ 1 639,75 + 14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  <w:t>MHz</w:t>
      </w:r>
    </w:p>
    <w:p w:rsidR="00BF495C" w:rsidRPr="00326CC8" w:rsidRDefault="002E0904" w:rsidP="002E0904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="008B4D65"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="008B4D65"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1, </w:t>
      </w:r>
      <w:r w:rsidR="006A374D" w:rsidRPr="006A374D">
        <w:rPr>
          <w:bCs/>
          <w:szCs w:val="24"/>
          <w:lang w:val="es-ES"/>
        </w:rPr>
        <w:t>…</w:t>
      </w:r>
      <w:r w:rsidRPr="00326CC8">
        <w:rPr>
          <w:lang w:val="es-ES"/>
        </w:rPr>
        <w:t xml:space="preserve"> 12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c)</w:t>
      </w:r>
      <w:r w:rsidRPr="00326CC8">
        <w:rPr>
          <w:lang w:val="es-ES"/>
        </w:rPr>
        <w:tab/>
        <w:t>para sistemas con separación de portadoras de 7 MHz: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 + 1 391,25 + 7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</w:r>
      <w:r w:rsidR="00EA662D">
        <w:rPr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="00EA662D"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+ 1 643,25 + 7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</w:r>
      <w:r w:rsidR="00EA662D">
        <w:rPr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2E0904" w:rsidP="00BF495C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1, </w:t>
      </w:r>
      <w:r w:rsidR="006A374D" w:rsidRPr="006A374D">
        <w:rPr>
          <w:bCs/>
          <w:szCs w:val="24"/>
          <w:lang w:val="es-ES"/>
        </w:rPr>
        <w:t>…</w:t>
      </w:r>
      <w:r w:rsidRPr="00326CC8">
        <w:rPr>
          <w:lang w:val="es-ES"/>
        </w:rPr>
        <w:t xml:space="preserve"> 24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d)</w:t>
      </w:r>
      <w:r w:rsidRPr="00326CC8">
        <w:rPr>
          <w:lang w:val="es-ES"/>
        </w:rPr>
        <w:tab/>
        <w:t>para sistemas con separación de portadoras de 3,5 MHz: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inferior de la banda:</w:t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+ 1 393 + 3,5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Pr="00326CC8">
        <w:rPr>
          <w:lang w:val="es-ES"/>
        </w:rPr>
        <w:tab/>
      </w:r>
      <w:r w:rsidR="00EA662D">
        <w:rPr>
          <w:lang w:val="es-ES"/>
        </w:rPr>
        <w:tab/>
      </w:r>
      <w:r w:rsidRPr="00326CC8">
        <w:rPr>
          <w:lang w:val="es-ES"/>
        </w:rPr>
        <w:t>MHz</w:t>
      </w:r>
    </w:p>
    <w:p w:rsidR="00BF495C" w:rsidRPr="00326CC8" w:rsidRDefault="00BF495C" w:rsidP="00BF6F76">
      <w:pPr>
        <w:pStyle w:val="enumlev1"/>
        <w:rPr>
          <w:lang w:val="es-ES"/>
        </w:rPr>
      </w:pPr>
      <w:r w:rsidRPr="00326CC8">
        <w:rPr>
          <w:lang w:val="es-ES"/>
        </w:rPr>
        <w:tab/>
        <w:t>mitad superior de la banda: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Pr="00EA662D">
        <w:rPr>
          <w:sz w:val="12"/>
          <w:lang w:val="es-ES"/>
        </w:rPr>
        <w:t xml:space="preserve"> </w:t>
      </w:r>
      <w:r w:rsidRPr="00326CC8">
        <w:rPr>
          <w:lang w:val="es-ES"/>
        </w:rPr>
        <w:t>′</w:t>
      </w:r>
      <w:r w:rsidRPr="00326CC8">
        <w:rPr>
          <w:i/>
          <w:iCs/>
          <w:vertAlign w:val="subscript"/>
          <w:lang w:val="es-ES"/>
        </w:rPr>
        <w:t>n</w:t>
      </w:r>
      <w:r w:rsidR="00BF6F76">
        <w:rPr>
          <w:lang w:val="es-ES"/>
        </w:rPr>
        <w:t>  </w:t>
      </w:r>
      <w:r w:rsidR="00BF6F76" w:rsidRPr="00326CC8">
        <w:rPr>
          <w:rFonts w:ascii="Symbol" w:hAnsi="Symbol"/>
          <w:lang w:val="es-ES"/>
        </w:rPr>
        <w:t></w:t>
      </w:r>
      <w:r w:rsidR="00BF6F76">
        <w:rPr>
          <w:lang w:val="es-ES"/>
        </w:rPr>
        <w:t>  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 xml:space="preserve"> + 1 645 + 3,5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) </w:t>
      </w:r>
      <w:r w:rsidR="00EA662D">
        <w:rPr>
          <w:lang w:val="es-ES"/>
        </w:rPr>
        <w:tab/>
      </w:r>
      <w:r w:rsidRPr="00326CC8">
        <w:rPr>
          <w:lang w:val="es-ES"/>
        </w:rPr>
        <w:tab/>
        <w:t>MHz</w:t>
      </w:r>
    </w:p>
    <w:p w:rsidR="00BF495C" w:rsidRPr="00326CC8" w:rsidRDefault="002E0904" w:rsidP="002E0904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6A374D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=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 1, </w:t>
      </w:r>
      <w:r w:rsidR="006A374D" w:rsidRPr="006A374D">
        <w:rPr>
          <w:bCs/>
          <w:szCs w:val="24"/>
          <w:lang w:val="es-ES"/>
        </w:rPr>
        <w:t>…</w:t>
      </w:r>
      <w:r w:rsidRPr="00326CC8">
        <w:rPr>
          <w:lang w:val="es-ES"/>
        </w:rPr>
        <w:t xml:space="preserve"> 48</w:t>
      </w:r>
      <w:r w:rsidR="00BF6F76">
        <w:rPr>
          <w:lang w:val="es-ES"/>
        </w:rPr>
        <w:t>.</w:t>
      </w:r>
    </w:p>
    <w:p w:rsidR="00BF495C" w:rsidRPr="00326CC8" w:rsidRDefault="00BF495C" w:rsidP="008D0743">
      <w:pPr>
        <w:pStyle w:val="Note"/>
        <w:rPr>
          <w:lang w:val="es-ES"/>
        </w:rPr>
      </w:pPr>
      <w:r w:rsidRPr="00326CC8">
        <w:rPr>
          <w:lang w:val="es-ES"/>
        </w:rPr>
        <w:t>NOTA</w:t>
      </w:r>
      <w:r w:rsidR="008D0743">
        <w:rPr>
          <w:lang w:val="es-ES"/>
        </w:rPr>
        <w:t> </w:t>
      </w:r>
      <w:r w:rsidRPr="00326CC8">
        <w:rPr>
          <w:lang w:val="es-ES"/>
        </w:rPr>
        <w:t>1</w:t>
      </w:r>
      <w:r w:rsidR="008D0743">
        <w:rPr>
          <w:lang w:val="es-ES"/>
        </w:rPr>
        <w:t> </w:t>
      </w:r>
      <w:r w:rsidRPr="00326CC8">
        <w:rPr>
          <w:lang w:val="es-ES"/>
        </w:rPr>
        <w:t>–</w:t>
      </w:r>
      <w:r w:rsidR="008D0743">
        <w:rPr>
          <w:lang w:val="es-ES"/>
        </w:rPr>
        <w:t> </w:t>
      </w:r>
      <w:r w:rsidRPr="00326CC8">
        <w:rPr>
          <w:lang w:val="es-ES"/>
        </w:rPr>
        <w:t>Los canales se muestran emparejados; sin embargo, las administraciones pueden prever la utilización no emparejada de estos canales de acuerdo con sus necesidades nacionales (por ejemplo, para aplicaciones ENG/OB-SAP/SAB). Es posible que algunas administraciones deseen emparejar ciertos canales de la mitad inferior de la banda 22,6-23,0 GHz con los de la banda 21,2-21,4 GHz señalados en el Anexo 4.</w:t>
      </w:r>
    </w:p>
    <w:p w:rsidR="00BF495C" w:rsidRPr="00326CC8" w:rsidRDefault="00BF495C" w:rsidP="004B0C7F">
      <w:pPr>
        <w:pStyle w:val="Note"/>
        <w:rPr>
          <w:lang w:val="es-ES"/>
        </w:rPr>
      </w:pPr>
      <w:r w:rsidRPr="00326CC8">
        <w:rPr>
          <w:lang w:val="es-ES"/>
        </w:rPr>
        <w:t>NOTA 2</w:t>
      </w:r>
      <w:r w:rsidR="003B60A8">
        <w:rPr>
          <w:lang w:val="es-ES"/>
        </w:rPr>
        <w:t> </w:t>
      </w:r>
      <w:r w:rsidR="003B60A8" w:rsidRPr="00326CC8">
        <w:rPr>
          <w:lang w:val="es-ES"/>
        </w:rPr>
        <w:t>–</w:t>
      </w:r>
      <w:r w:rsidR="003B60A8">
        <w:rPr>
          <w:lang w:val="es-ES"/>
        </w:rPr>
        <w:t> </w:t>
      </w:r>
      <w:r w:rsidRPr="00326CC8">
        <w:rPr>
          <w:lang w:val="es-ES"/>
        </w:rPr>
        <w:t>La Fig.</w:t>
      </w:r>
      <w:r w:rsidR="004B0C7F">
        <w:rPr>
          <w:lang w:val="es-ES"/>
        </w:rPr>
        <w:t> </w:t>
      </w:r>
      <w:r w:rsidRPr="00326CC8">
        <w:rPr>
          <w:lang w:val="es-ES"/>
        </w:rPr>
        <w:t>3a representa el espectro ocupado en la banda 22,59075-22,75875 GHz emparejada con la banda 22,84275-23,01075 GHz.</w:t>
      </w:r>
    </w:p>
    <w:p w:rsidR="00BF495C" w:rsidRPr="00326CC8" w:rsidRDefault="00BF495C" w:rsidP="00BF495C">
      <w:pPr>
        <w:pStyle w:val="FigureNo"/>
        <w:rPr>
          <w:lang w:val="es-ES"/>
        </w:rPr>
      </w:pPr>
      <w:r w:rsidRPr="000C4413">
        <w:rPr>
          <w:lang w:val="es-ES_tradnl"/>
        </w:rPr>
        <w:lastRenderedPageBreak/>
        <w:t>Figura</w:t>
      </w:r>
      <w:r w:rsidRPr="00326CC8">
        <w:rPr>
          <w:lang w:val="es-ES"/>
        </w:rPr>
        <w:t xml:space="preserve"> 3</w:t>
      </w:r>
      <w:r w:rsidRPr="00326CC8">
        <w:rPr>
          <w:caps w:val="0"/>
          <w:lang w:val="es-ES"/>
        </w:rPr>
        <w:t>a</w:t>
      </w:r>
    </w:p>
    <w:p w:rsidR="00BF495C" w:rsidRDefault="00BF495C" w:rsidP="00BF495C">
      <w:pPr>
        <w:pStyle w:val="Figuretitle"/>
        <w:rPr>
          <w:lang w:val="es-ES"/>
        </w:rPr>
      </w:pPr>
      <w:r w:rsidRPr="00326CC8">
        <w:rPr>
          <w:lang w:val="es-ES"/>
        </w:rPr>
        <w:t xml:space="preserve">Disposición de </w:t>
      </w:r>
      <w:r w:rsidRPr="000C4413">
        <w:rPr>
          <w:lang w:val="es-ES_tradnl"/>
        </w:rPr>
        <w:t>radiocanales</w:t>
      </w:r>
      <w:r w:rsidRPr="00326CC8">
        <w:rPr>
          <w:lang w:val="es-ES"/>
        </w:rPr>
        <w:t xml:space="preserve"> en la banda 22,59075-22,75875 GHz</w:t>
      </w:r>
      <w:r w:rsidRPr="00326CC8">
        <w:rPr>
          <w:lang w:val="es-ES"/>
        </w:rPr>
        <w:br/>
        <w:t>emparejada con la banda 22,84275-23,01075 GHz</w:t>
      </w:r>
    </w:p>
    <w:p w:rsidR="001603F0" w:rsidRPr="006A374D" w:rsidRDefault="001603F0" w:rsidP="001603F0">
      <w:pPr>
        <w:pStyle w:val="Blanc"/>
        <w:rPr>
          <w:lang w:val="es-ES_tradnl"/>
        </w:rPr>
      </w:pPr>
    </w:p>
    <w:p w:rsidR="00BF495C" w:rsidRPr="00326CC8" w:rsidRDefault="001603F0" w:rsidP="00BF495C">
      <w:pPr>
        <w:pStyle w:val="Figure"/>
        <w:rPr>
          <w:lang w:val="es-ES"/>
        </w:rPr>
      </w:pPr>
      <w:r>
        <w:rPr>
          <w:lang w:val="es-ES"/>
        </w:rPr>
        <w:object w:dxaOrig="10213" w:dyaOrig="9444">
          <v:shape id="_x0000_i1027" type="#_x0000_t75" style="width:479pt;height:442.5pt" o:ole="">
            <v:imagedata r:id="rId18" o:title=""/>
          </v:shape>
          <o:OLEObject Type="Embed" ProgID="CorelDRAW.Graphic.14" ShapeID="_x0000_i1027" DrawAspect="Content" ObjectID="_1416978953" r:id="rId19"/>
        </w:object>
      </w:r>
    </w:p>
    <w:p w:rsidR="00BF495C" w:rsidRPr="00326CC8" w:rsidRDefault="00BF495C" w:rsidP="00BF495C">
      <w:pPr>
        <w:pStyle w:val="Heading1"/>
        <w:rPr>
          <w:lang w:val="es-ES"/>
        </w:rPr>
      </w:pPr>
      <w:r w:rsidRPr="00326CC8">
        <w:rPr>
          <w:lang w:val="es-ES"/>
        </w:rPr>
        <w:t>3</w:t>
      </w:r>
      <w:r w:rsidRPr="00326CC8">
        <w:rPr>
          <w:lang w:val="es-ES"/>
        </w:rPr>
        <w:tab/>
        <w:t>Bandas de frecuencias 22,75875-22,84275 GHz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Esta banda es el intervalo central de la disposición de canales del § 2 (véase la Fig. 3a), que puede emplearse para canales no emparejados.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La disposición de radiocanales para los FWS analógicos y digitales punto a punto con separaciones de portadoras de 28 MHz, 14 MHz, 7 MHz y 3,5 MHz debe obtenerse como sigue: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Sea</w:t>
      </w: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ab/>
        <w:t>la frecuencia de referencia de 22 757 MHz;</w:t>
      </w:r>
    </w:p>
    <w:p w:rsidR="00BF495C" w:rsidRPr="00326CC8" w:rsidRDefault="00BF495C" w:rsidP="00D36B7C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ab/>
        <w:t>la frecuencia central (MHz) de un radiocanal;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en ese caso, las frecuencias de los distintos canales se expresan mediante las siguientes relaciones:</w:t>
      </w:r>
    </w:p>
    <w:p w:rsidR="00BF495C" w:rsidRPr="00326CC8" w:rsidRDefault="00BF495C" w:rsidP="00BF495C">
      <w:pPr>
        <w:pStyle w:val="enumlev1"/>
        <w:keepNext/>
        <w:rPr>
          <w:lang w:val="es-ES"/>
        </w:rPr>
      </w:pPr>
      <w:r w:rsidRPr="00326CC8">
        <w:rPr>
          <w:lang w:val="es-ES"/>
        </w:rPr>
        <w:t>a)</w:t>
      </w:r>
      <w:r w:rsidRPr="00326CC8">
        <w:rPr>
          <w:lang w:val="es-ES"/>
        </w:rPr>
        <w:tab/>
        <w:t>para sistemas con separación de portadoras de 28 MHz:</w:t>
      </w:r>
    </w:p>
    <w:p w:rsidR="00BF495C" w:rsidRPr="00326CC8" w:rsidRDefault="00BF495C" w:rsidP="00D36B7C">
      <w:pPr>
        <w:pStyle w:val="enumlev1"/>
        <w:rPr>
          <w:lang w:val="es-ES"/>
        </w:rPr>
      </w:pPr>
      <w:r w:rsidRPr="00326CC8">
        <w:rPr>
          <w:i/>
          <w:iCs/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6A374D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=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 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>
        <w:rPr>
          <w:lang w:val="es-ES"/>
        </w:rPr>
        <w:t xml:space="preserve"> – 12,</w:t>
      </w:r>
      <w:r w:rsidRPr="00326CC8">
        <w:rPr>
          <w:lang w:val="es-ES"/>
        </w:rPr>
        <w:t xml:space="preserve">25 + 28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>) MHz</w:t>
      </w:r>
    </w:p>
    <w:p w:rsidR="00BF495C" w:rsidRPr="00326CC8" w:rsidRDefault="002E0904" w:rsidP="00F3298E">
      <w:pPr>
        <w:keepNext/>
        <w:keepLines/>
        <w:rPr>
          <w:lang w:val="es-ES"/>
        </w:rPr>
      </w:pPr>
      <w:r>
        <w:rPr>
          <w:lang w:val="es-ES"/>
        </w:rPr>
        <w:lastRenderedPageBreak/>
        <w:t>siendo:</w:t>
      </w:r>
    </w:p>
    <w:p w:rsidR="00BF495C" w:rsidRPr="00326CC8" w:rsidRDefault="00BF495C" w:rsidP="001603F0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1, 2, 3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b)</w:t>
      </w:r>
      <w:r w:rsidRPr="00326CC8">
        <w:rPr>
          <w:lang w:val="es-ES"/>
        </w:rPr>
        <w:tab/>
        <w:t>para sistemas con separación de portadoras de 14 MHz:</w:t>
      </w:r>
    </w:p>
    <w:p w:rsidR="00BF495C" w:rsidRPr="00326CC8" w:rsidRDefault="00BF495C" w:rsidP="00D36B7C">
      <w:pPr>
        <w:pStyle w:val="enumlev1"/>
        <w:rPr>
          <w:lang w:val="es-ES"/>
        </w:rPr>
      </w:pPr>
      <w:r w:rsidRPr="00326CC8">
        <w:rPr>
          <w:i/>
          <w:iCs/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6A374D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 w:rsidRPr="00326CC8">
        <w:rPr>
          <w:lang w:val="es-ES"/>
        </w:rPr>
        <w:t> – 5</w:t>
      </w:r>
      <w:r>
        <w:rPr>
          <w:lang w:val="es-ES"/>
        </w:rPr>
        <w:t>,</w:t>
      </w:r>
      <w:r w:rsidRPr="00326CC8">
        <w:rPr>
          <w:lang w:val="es-ES"/>
        </w:rPr>
        <w:t xml:space="preserve">25 + 14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>) MHz</w:t>
      </w:r>
    </w:p>
    <w:p w:rsidR="00BF495C" w:rsidRPr="00326CC8" w:rsidRDefault="002E0904" w:rsidP="00BF495C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=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 1, 2, …. 6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c)</w:t>
      </w:r>
      <w:r w:rsidRPr="00326CC8">
        <w:rPr>
          <w:lang w:val="es-ES"/>
        </w:rPr>
        <w:tab/>
        <w:t>para sistemas con separación de portadoras de 7 MHz: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i/>
          <w:iCs/>
          <w:lang w:val="es-ES"/>
        </w:rPr>
        <w:tab/>
        <w:t>f</w:t>
      </w:r>
      <w:r w:rsidRPr="00326CC8">
        <w:rPr>
          <w:i/>
          <w:iCs/>
          <w:vertAlign w:val="subscript"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>
        <w:rPr>
          <w:lang w:val="es-ES"/>
        </w:rPr>
        <w:t xml:space="preserve"> – 1,</w:t>
      </w:r>
      <w:r w:rsidRPr="00326CC8">
        <w:rPr>
          <w:lang w:val="es-ES"/>
        </w:rPr>
        <w:t xml:space="preserve">75 + 7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>) MHz</w:t>
      </w:r>
    </w:p>
    <w:p w:rsidR="00BF495C" w:rsidRPr="00326CC8" w:rsidRDefault="002E0904" w:rsidP="00BF495C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1, 2, …. 12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d)</w:t>
      </w:r>
      <w:r w:rsidRPr="00326CC8">
        <w:rPr>
          <w:lang w:val="es-ES"/>
        </w:rPr>
        <w:tab/>
        <w:t>para sistemas con separación de portadoras de 3,5 MHz: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i/>
          <w:iCs/>
          <w:lang w:val="es-ES"/>
        </w:rPr>
        <w:tab/>
        <w:t>f</w:t>
      </w:r>
      <w:r w:rsidRPr="00326CC8">
        <w:rPr>
          <w:i/>
          <w:iCs/>
          <w:vertAlign w:val="subscript"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(</w:t>
      </w:r>
      <w:r w:rsidRPr="00326CC8">
        <w:rPr>
          <w:i/>
          <w:iCs/>
          <w:lang w:val="es-ES"/>
        </w:rPr>
        <w:t>f</w:t>
      </w:r>
      <w:r w:rsidRPr="00326CC8">
        <w:rPr>
          <w:vertAlign w:val="subscript"/>
          <w:lang w:val="es-ES"/>
        </w:rPr>
        <w:t>0</w:t>
      </w:r>
      <w:r>
        <w:rPr>
          <w:lang w:val="es-ES"/>
        </w:rPr>
        <w:t xml:space="preserve"> + 3,</w:t>
      </w:r>
      <w:r w:rsidRPr="00326CC8">
        <w:rPr>
          <w:lang w:val="es-ES"/>
        </w:rPr>
        <w:t xml:space="preserve">5 </w:t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>) MHz</w:t>
      </w:r>
    </w:p>
    <w:p w:rsidR="00BF495C" w:rsidRPr="00326CC8" w:rsidRDefault="002E0904" w:rsidP="002E0904">
      <w:pPr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ab/>
      </w:r>
      <w:r w:rsidRPr="00326CC8">
        <w:rPr>
          <w:i/>
          <w:iCs/>
          <w:lang w:val="es-ES"/>
        </w:rPr>
        <w:t>n</w:t>
      </w:r>
      <w:r w:rsidRPr="00326CC8">
        <w:rPr>
          <w:lang w:val="es-ES"/>
        </w:rPr>
        <w:t xml:space="preserve">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 xml:space="preserve">= </w:t>
      </w:r>
      <w:r w:rsidR="008B4D65">
        <w:rPr>
          <w:lang w:val="es-ES"/>
        </w:rPr>
        <w:t xml:space="preserve"> </w:t>
      </w:r>
      <w:r w:rsidRPr="00326CC8">
        <w:rPr>
          <w:lang w:val="es-ES"/>
        </w:rPr>
        <w:t>1, 2, …. 24</w:t>
      </w:r>
      <w:r w:rsidR="00BF6F76">
        <w:rPr>
          <w:lang w:val="es-ES"/>
        </w:rPr>
        <w:t>.</w:t>
      </w:r>
    </w:p>
    <w:p w:rsidR="00BF495C" w:rsidRPr="00326CC8" w:rsidRDefault="00BF495C" w:rsidP="00BF495C">
      <w:pPr>
        <w:pStyle w:val="Note"/>
        <w:rPr>
          <w:lang w:val="es-ES"/>
        </w:rPr>
      </w:pPr>
      <w:r w:rsidRPr="00326CC8">
        <w:rPr>
          <w:lang w:val="es-ES"/>
        </w:rPr>
        <w:t>NOTA</w:t>
      </w:r>
      <w:r w:rsidRPr="008C26B8">
        <w:rPr>
          <w:lang w:val="es-ES_tradnl"/>
        </w:rPr>
        <w:t xml:space="preserve"> </w:t>
      </w:r>
      <w:r w:rsidRPr="00326CC8">
        <w:rPr>
          <w:lang w:val="es-ES"/>
        </w:rPr>
        <w:sym w:font="Symbol" w:char="F02D"/>
      </w:r>
      <w:r w:rsidRPr="00326CC8">
        <w:rPr>
          <w:lang w:val="es-ES"/>
        </w:rPr>
        <w:t xml:space="preserve"> La Fig. 3b muestra el espectro ocupado en la banda 22,75875-22,84275 GHz.</w:t>
      </w:r>
    </w:p>
    <w:p w:rsidR="00BF495C" w:rsidRPr="00326CC8" w:rsidRDefault="00BF495C" w:rsidP="00BF495C">
      <w:pPr>
        <w:pStyle w:val="FigureNo"/>
        <w:rPr>
          <w:lang w:val="es-ES"/>
        </w:rPr>
      </w:pPr>
      <w:r w:rsidRPr="00326CC8">
        <w:rPr>
          <w:lang w:val="es-ES"/>
        </w:rPr>
        <w:t>Figura 3</w:t>
      </w:r>
      <w:r w:rsidRPr="00326CC8">
        <w:rPr>
          <w:caps w:val="0"/>
          <w:lang w:val="es-ES"/>
        </w:rPr>
        <w:t>b</w:t>
      </w:r>
    </w:p>
    <w:p w:rsidR="00BF495C" w:rsidRPr="00326CC8" w:rsidRDefault="00BF495C" w:rsidP="00BF495C">
      <w:pPr>
        <w:pStyle w:val="Figuretitle"/>
        <w:rPr>
          <w:lang w:val="es-ES"/>
        </w:rPr>
      </w:pPr>
      <w:r w:rsidRPr="00326CC8">
        <w:rPr>
          <w:lang w:val="es-ES"/>
        </w:rPr>
        <w:t>Disposición de radiocanales en la banda 22,75875-22,84275 GHz</w:t>
      </w:r>
    </w:p>
    <w:p w:rsidR="00BF495C" w:rsidRPr="00326CC8" w:rsidRDefault="00F3298E" w:rsidP="00BF495C">
      <w:pPr>
        <w:pStyle w:val="Figure"/>
        <w:rPr>
          <w:lang w:val="es-ES"/>
        </w:rPr>
      </w:pPr>
      <w:r>
        <w:rPr>
          <w:lang w:val="es-ES"/>
        </w:rPr>
        <w:object w:dxaOrig="6252" w:dyaOrig="8324">
          <v:shape id="_x0000_i1028" type="#_x0000_t75" style="width:291.5pt;height:389.5pt" o:ole="">
            <v:imagedata r:id="rId20" o:title=""/>
          </v:shape>
          <o:OLEObject Type="Embed" ProgID="CorelDRAW.Graphic.14" ShapeID="_x0000_i1028" DrawAspect="Content" ObjectID="_1416978954" r:id="rId21"/>
        </w:object>
      </w:r>
    </w:p>
    <w:p w:rsidR="00BF495C" w:rsidRPr="00326CC8" w:rsidRDefault="00BF495C" w:rsidP="00E57CAA">
      <w:pPr>
        <w:pStyle w:val="AnnexNoTitle"/>
        <w:rPr>
          <w:lang w:val="es-ES"/>
        </w:rPr>
      </w:pPr>
      <w:r w:rsidRPr="00326CC8">
        <w:rPr>
          <w:lang w:val="es-ES"/>
        </w:rPr>
        <w:lastRenderedPageBreak/>
        <w:t>Anexo 3</w:t>
      </w:r>
      <w:r>
        <w:rPr>
          <w:lang w:val="es-ES"/>
        </w:rPr>
        <w:br/>
      </w:r>
      <w:r>
        <w:rPr>
          <w:lang w:val="es-ES"/>
        </w:rPr>
        <w:br/>
      </w:r>
      <w:r w:rsidRPr="00326CC8">
        <w:rPr>
          <w:lang w:val="es-ES"/>
        </w:rPr>
        <w:t xml:space="preserve">Descripción de la disposición de radiocanales en la banda 21,2-23,6 GHz </w:t>
      </w:r>
      <w:r w:rsidRPr="00326CC8">
        <w:rPr>
          <w:lang w:val="es-ES"/>
        </w:rPr>
        <w:br/>
        <w:t xml:space="preserve">citada en el </w:t>
      </w:r>
      <w:r w:rsidRPr="00326CC8">
        <w:rPr>
          <w:i/>
          <w:lang w:val="es-ES"/>
        </w:rPr>
        <w:t>recomienda</w:t>
      </w:r>
      <w:r w:rsidRPr="00326CC8">
        <w:rPr>
          <w:lang w:val="es-ES"/>
        </w:rPr>
        <w:t> 3 (América del Norte)</w:t>
      </w:r>
    </w:p>
    <w:p w:rsidR="00BF495C" w:rsidRPr="00326CC8" w:rsidRDefault="00BF495C" w:rsidP="00BF495C">
      <w:pPr>
        <w:pStyle w:val="Normalaftertitle0"/>
        <w:rPr>
          <w:sz w:val="24"/>
          <w:lang w:val="es-ES"/>
        </w:rPr>
      </w:pPr>
      <w:r w:rsidRPr="00326CC8">
        <w:rPr>
          <w:sz w:val="24"/>
          <w:lang w:val="es-ES"/>
        </w:rPr>
        <w:t xml:space="preserve">En los Estados Unidos de América el uso más extenso de la banda de 21,2-23,6 GHz se hace en las porciones de 21,8-22,4 GHz y de 23,0-23,6 GHz, para las cuales se ha adoptado un modelo de frecuencias con canales de 50 MHz. El mismo modelo se está utilizando en el resto de la banda de 21,2-23,6 GHz a medida que se va extendiendo su uso. Por consiguiente, se está empleando un modelo homogéneo de frecuencias basado en el </w:t>
      </w:r>
      <w:r w:rsidRPr="00326CC8">
        <w:rPr>
          <w:i/>
          <w:sz w:val="24"/>
          <w:lang w:val="es-ES"/>
        </w:rPr>
        <w:t>recomienda</w:t>
      </w:r>
      <w:r w:rsidRPr="00326CC8">
        <w:rPr>
          <w:sz w:val="24"/>
          <w:lang w:val="es-ES"/>
        </w:rPr>
        <w:t xml:space="preserve"> 3, y definido por:</w:t>
      </w:r>
    </w:p>
    <w:p w:rsidR="00BF495C" w:rsidRPr="00326CC8" w:rsidRDefault="00BF495C" w:rsidP="00D36B7C">
      <w:pPr>
        <w:pStyle w:val="Equation"/>
        <w:rPr>
          <w:lang w:val="es-ES"/>
        </w:rPr>
      </w:pPr>
      <w:r w:rsidRPr="00326CC8">
        <w:rPr>
          <w:lang w:val="es-ES"/>
        </w:rPr>
        <w:tab/>
      </w:r>
      <w:r w:rsidRPr="00326CC8">
        <w:rPr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6A374D">
        <w:rPr>
          <w:i/>
          <w:iCs/>
          <w:vertAlign w:val="subscript"/>
          <w:lang w:val="es-ES_tradnl"/>
        </w:rPr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 w:rsidRPr="00326CC8">
        <w:rPr>
          <w:lang w:val="es-ES"/>
        </w:rPr>
        <w:t xml:space="preserve">  </w:t>
      </w:r>
      <w:r w:rsidRPr="00326CC8">
        <w:rPr>
          <w:i/>
          <w:lang w:val="es-ES"/>
        </w:rPr>
        <w:t>f</w:t>
      </w:r>
      <w:r w:rsidRPr="006A374D">
        <w:rPr>
          <w:i/>
          <w:iCs/>
          <w:vertAlign w:val="subscript"/>
          <w:lang w:val="es-ES_tradnl"/>
        </w:rPr>
        <w:t>r</w:t>
      </w:r>
      <w:r w:rsidRPr="00326CC8">
        <w:rPr>
          <w:lang w:val="es-ES"/>
        </w:rPr>
        <w:t xml:space="preserve">  –  21  </w:t>
      </w:r>
      <w:r w:rsidRPr="00326CC8">
        <w:rPr>
          <w:rFonts w:ascii="Symbol" w:hAnsi="Symbol"/>
          <w:lang w:val="es-ES"/>
        </w:rPr>
        <w:t></w:t>
      </w:r>
      <w:r w:rsidRPr="00326CC8">
        <w:rPr>
          <w:lang w:val="es-ES"/>
        </w:rPr>
        <w:t xml:space="preserve">  50 </w:t>
      </w:r>
      <w:r w:rsidRPr="00326CC8">
        <w:rPr>
          <w:i/>
          <w:lang w:val="es-ES"/>
        </w:rPr>
        <w:t>n</w:t>
      </w:r>
    </w:p>
    <w:p w:rsidR="00BF495C" w:rsidRPr="00326CC8" w:rsidRDefault="002E0904" w:rsidP="00BF495C">
      <w:pPr>
        <w:spacing w:before="0"/>
        <w:rPr>
          <w:lang w:val="es-ES"/>
        </w:rPr>
      </w:pPr>
      <w:r>
        <w:rPr>
          <w:lang w:val="es-ES"/>
        </w:rPr>
        <w:t>siendo:</w:t>
      </w:r>
    </w:p>
    <w:p w:rsidR="00BF495C" w:rsidRPr="00326CC8" w:rsidRDefault="00BF495C" w:rsidP="00BF6F76">
      <w:pPr>
        <w:pStyle w:val="enumlev1"/>
        <w:spacing w:before="0"/>
        <w:rPr>
          <w:lang w:val="es-ES"/>
        </w:rPr>
      </w:pPr>
      <w:r w:rsidRPr="00326CC8">
        <w:rPr>
          <w:i/>
          <w:lang w:val="es-ES"/>
        </w:rPr>
        <w:tab/>
        <w:t>n</w:t>
      </w:r>
      <w:r w:rsidRPr="00326CC8">
        <w:rPr>
          <w:lang w:val="es-ES"/>
        </w:rPr>
        <w:t xml:space="preserve">  </w:t>
      </w:r>
      <w:r w:rsidRPr="00326CC8">
        <w:rPr>
          <w:rFonts w:ascii="Symbol" w:hAnsi="Symbol"/>
          <w:lang w:val="es-ES"/>
        </w:rPr>
        <w:t></w:t>
      </w:r>
      <w:r w:rsidRPr="00326CC8">
        <w:rPr>
          <w:lang w:val="es-ES"/>
        </w:rPr>
        <w:t xml:space="preserve">  1, 2, 3,</w:t>
      </w:r>
      <w:r w:rsidR="00BF6F76" w:rsidRPr="00326CC8">
        <w:rPr>
          <w:lang w:val="es-ES"/>
        </w:rPr>
        <w:t xml:space="preserve"> …. </w:t>
      </w:r>
      <w:r w:rsidRPr="00326CC8">
        <w:rPr>
          <w:lang w:val="es-ES"/>
        </w:rPr>
        <w:t>48</w:t>
      </w:r>
    </w:p>
    <w:p w:rsidR="00BF495C" w:rsidRPr="00326CC8" w:rsidRDefault="00BF495C" w:rsidP="00D36B7C">
      <w:pPr>
        <w:pStyle w:val="enumlev1"/>
        <w:rPr>
          <w:lang w:val="es-ES"/>
        </w:rPr>
      </w:pPr>
      <w:r w:rsidRPr="00326CC8">
        <w:rPr>
          <w:i/>
          <w:lang w:val="es-ES"/>
        </w:rPr>
        <w:tab/>
      </w:r>
      <w:r w:rsidR="00D36B7C" w:rsidRPr="00326CC8">
        <w:rPr>
          <w:i/>
          <w:lang w:val="es-ES"/>
        </w:rPr>
        <w:t>f</w:t>
      </w:r>
      <w:r w:rsidR="00D36B7C" w:rsidRPr="00D36B7C">
        <w:rPr>
          <w:i/>
          <w:iCs/>
          <w:vertAlign w:val="subscript"/>
          <w:lang w:val="es-ES_tradnl"/>
        </w:rPr>
        <w:t>r</w:t>
      </w:r>
      <w:r w:rsidR="00CF2E22" w:rsidRPr="00326CC8">
        <w:rPr>
          <w:rFonts w:ascii="Tms Rmn" w:hAnsi="Tms Rmn"/>
          <w:i/>
          <w:position w:val="-4"/>
          <w:sz w:val="12"/>
          <w:lang w:val="es-ES"/>
        </w:rPr>
        <w:t> </w:t>
      </w:r>
      <w:r w:rsidRPr="006A374D">
        <w:rPr>
          <w:lang w:val="es-ES_tradnl"/>
        </w:rPr>
        <w:t xml:space="preserve"> </w:t>
      </w:r>
      <w:r w:rsidRPr="00326CC8">
        <w:rPr>
          <w:lang w:val="es-ES"/>
        </w:rPr>
        <w:t xml:space="preserve">(frecuencia de referencia)  </w:t>
      </w:r>
      <w:r w:rsidRPr="00326CC8">
        <w:rPr>
          <w:rFonts w:ascii="Symbol" w:hAnsi="Symbol"/>
          <w:lang w:val="es-ES"/>
        </w:rPr>
        <w:t></w:t>
      </w:r>
      <w:r w:rsidRPr="00326CC8">
        <w:rPr>
          <w:lang w:val="es-ES"/>
        </w:rPr>
        <w:t xml:space="preserve">  </w:t>
      </w:r>
      <w:r w:rsidRPr="000C4413">
        <w:rPr>
          <w:lang w:val="es-ES_tradnl"/>
        </w:rPr>
        <w:t>21</w:t>
      </w:r>
      <w:r w:rsidR="00E57CAA" w:rsidRPr="000C4413">
        <w:rPr>
          <w:lang w:val="es-ES_tradnl"/>
        </w:rPr>
        <w:t> </w:t>
      </w:r>
      <w:r w:rsidRPr="000C4413">
        <w:rPr>
          <w:lang w:val="es-ES_tradnl"/>
        </w:rPr>
        <w:t>196</w:t>
      </w:r>
      <w:r w:rsidRPr="00326CC8">
        <w:rPr>
          <w:lang w:val="es-ES"/>
        </w:rPr>
        <w:t xml:space="preserve"> MHz.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 xml:space="preserve">En caso de explotación en ambos sentidos, la separación ida-retorno es de </w:t>
      </w:r>
      <w:r w:rsidRPr="000C4413">
        <w:rPr>
          <w:lang w:val="es-ES_tradnl"/>
        </w:rPr>
        <w:t>1</w:t>
      </w:r>
      <w:r w:rsidR="00E57CAA" w:rsidRPr="000C4413">
        <w:rPr>
          <w:lang w:val="es-ES_tradnl"/>
        </w:rPr>
        <w:t> </w:t>
      </w:r>
      <w:r w:rsidRPr="000C4413">
        <w:rPr>
          <w:lang w:val="es-ES_tradnl"/>
        </w:rPr>
        <w:t>200</w:t>
      </w:r>
      <w:r w:rsidRPr="00326CC8">
        <w:rPr>
          <w:lang w:val="es-ES"/>
        </w:rPr>
        <w:t> MHz. Los sistemas típicos en uso incluyen la transmisión digital a una velocidad de transmisión de datos que varía entre 1,5 y 8 Mbit/s, y una diversidad de sistemas analógicos de vídeo.</w:t>
      </w:r>
    </w:p>
    <w:p w:rsidR="00BF495C" w:rsidRPr="00326CC8" w:rsidRDefault="00BF495C" w:rsidP="00BF6F76">
      <w:pPr>
        <w:rPr>
          <w:lang w:val="es-ES"/>
        </w:rPr>
      </w:pPr>
      <w:r w:rsidRPr="00326CC8">
        <w:rPr>
          <w:lang w:val="es-ES"/>
        </w:rPr>
        <w:t>La Fig.</w:t>
      </w:r>
      <w:r w:rsidR="00BF6F76">
        <w:rPr>
          <w:lang w:val="es-ES"/>
        </w:rPr>
        <w:t> </w:t>
      </w:r>
      <w:r w:rsidRPr="00326CC8">
        <w:rPr>
          <w:lang w:val="es-ES"/>
        </w:rPr>
        <w:t>4 muestra las disposiciones de radiocanales para los FWS en la banda 21,2-23,6 GHz en Canadá.</w:t>
      </w:r>
    </w:p>
    <w:p w:rsidR="00BF495C" w:rsidRPr="00326CC8" w:rsidRDefault="00BF495C" w:rsidP="00BF495C">
      <w:pPr>
        <w:pStyle w:val="FigureNo"/>
        <w:rPr>
          <w:lang w:val="es-ES"/>
        </w:rPr>
      </w:pPr>
      <w:r w:rsidRPr="00326CC8">
        <w:rPr>
          <w:lang w:val="es-ES"/>
        </w:rPr>
        <w:t>Figura 4</w:t>
      </w:r>
    </w:p>
    <w:p w:rsidR="00BF495C" w:rsidRDefault="00BF495C" w:rsidP="00BF495C">
      <w:pPr>
        <w:pStyle w:val="Figuretitle"/>
        <w:rPr>
          <w:lang w:val="es-ES"/>
        </w:rPr>
      </w:pPr>
      <w:r w:rsidRPr="000C4413">
        <w:rPr>
          <w:lang w:val="es-ES_tradnl"/>
        </w:rPr>
        <w:t>Plan</w:t>
      </w:r>
      <w:r w:rsidRPr="00326CC8">
        <w:rPr>
          <w:lang w:val="es-ES"/>
        </w:rPr>
        <w:t xml:space="preserve"> para la banda 21,2-23,6 GHz (Canadá)</w:t>
      </w:r>
    </w:p>
    <w:p w:rsidR="00CF2E22" w:rsidRPr="006A374D" w:rsidRDefault="00CF2E22" w:rsidP="00CF2E22">
      <w:pPr>
        <w:pStyle w:val="Blanc"/>
        <w:rPr>
          <w:lang w:val="es-ES_tradnl"/>
        </w:rPr>
      </w:pPr>
    </w:p>
    <w:p w:rsidR="00BF495C" w:rsidRPr="00326CC8" w:rsidRDefault="00BF66E2" w:rsidP="00BF495C">
      <w:pPr>
        <w:pStyle w:val="Figure"/>
        <w:rPr>
          <w:lang w:val="es-ES"/>
        </w:rPr>
      </w:pPr>
      <w:r w:rsidRPr="00326CC8">
        <w:rPr>
          <w:lang w:val="es-ES"/>
        </w:rPr>
        <w:object w:dxaOrig="9807" w:dyaOrig="1971">
          <v:shape id="_x0000_i1029" type="#_x0000_t75" style="width:459pt;height:91.5pt" o:ole="">
            <v:imagedata r:id="rId22" o:title=""/>
          </v:shape>
          <o:OLEObject Type="Embed" ProgID="CorelDRAW.Graphic.14" ShapeID="_x0000_i1029" DrawAspect="Content" ObjectID="_1416978955" r:id="rId23"/>
        </w:object>
      </w:r>
    </w:p>
    <w:p w:rsidR="00BF495C" w:rsidRPr="00326CC8" w:rsidRDefault="00BF495C" w:rsidP="004F4FF5">
      <w:pPr>
        <w:rPr>
          <w:lang w:val="es-ES"/>
        </w:rPr>
      </w:pPr>
      <w:r w:rsidRPr="00326CC8">
        <w:rPr>
          <w:lang w:val="es-ES"/>
        </w:rPr>
        <w:t>La anterior disposición de radiocanales contiene tres bloques emparejados: Bloques</w:t>
      </w:r>
      <w:r w:rsidR="004F4FF5">
        <w:rPr>
          <w:lang w:val="es-ES"/>
        </w:rPr>
        <w:t> </w:t>
      </w:r>
      <w:r w:rsidRPr="00326CC8">
        <w:rPr>
          <w:lang w:val="es-ES"/>
        </w:rPr>
        <w:t>A/A′, Bloques B/B′, y Bloques</w:t>
      </w:r>
      <w:r w:rsidR="004F4FF5">
        <w:rPr>
          <w:lang w:val="es-ES"/>
        </w:rPr>
        <w:t> </w:t>
      </w:r>
      <w:r w:rsidRPr="00326CC8">
        <w:rPr>
          <w:lang w:val="es-ES"/>
        </w:rPr>
        <w:t>C/C′. En los tres bloques cada canal emparejado tiene una separación de frecuencias de 1 200 MHz. Las anchuras de canal en cada uno de los bloques son las siguientes: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A/A′: Canale</w:t>
      </w:r>
      <w:r w:rsidR="00585210">
        <w:rPr>
          <w:lang w:val="es-ES"/>
        </w:rPr>
        <w:t>s de 50 MHz (8 en cada bloque).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 xml:space="preserve">B/B′: Cinco anchuras de canal disponibles: 10 MHz, 15 MHz, 20 MHz, 40 MHz y 50 MHz. 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C/C′: Tres anchuras de canal disponibles: 2,5 MHz, 5 MHz y 7,5 MHz.</w:t>
      </w:r>
    </w:p>
    <w:p w:rsidR="00BF495C" w:rsidRPr="00326CC8" w:rsidRDefault="00BF495C" w:rsidP="00BF495C">
      <w:pPr>
        <w:rPr>
          <w:lang w:val="es-ES"/>
        </w:rPr>
      </w:pPr>
    </w:p>
    <w:p w:rsidR="00BF495C" w:rsidRPr="00326CC8" w:rsidRDefault="00BF495C" w:rsidP="00BF495C">
      <w:pPr>
        <w:pStyle w:val="AnnexNoTitle"/>
        <w:rPr>
          <w:lang w:val="es-ES"/>
        </w:rPr>
      </w:pPr>
      <w:r w:rsidRPr="00326CC8">
        <w:rPr>
          <w:lang w:val="es-ES"/>
        </w:rPr>
        <w:lastRenderedPageBreak/>
        <w:t>Anexo  4</w:t>
      </w:r>
      <w:r>
        <w:rPr>
          <w:lang w:val="es-ES"/>
        </w:rPr>
        <w:br/>
      </w:r>
      <w:r>
        <w:rPr>
          <w:lang w:val="es-ES"/>
        </w:rPr>
        <w:br/>
      </w:r>
      <w:r w:rsidRPr="00326CC8">
        <w:rPr>
          <w:lang w:val="es-ES"/>
        </w:rPr>
        <w:t>Disposiciones de radiocanales en la banda 21,2-23,6 GHz</w:t>
      </w:r>
      <w:r w:rsidRPr="00326CC8">
        <w:rPr>
          <w:lang w:val="es-ES"/>
        </w:rPr>
        <w:br/>
        <w:t xml:space="preserve">de acuerdo con el </w:t>
      </w:r>
      <w:r w:rsidRPr="00326CC8">
        <w:rPr>
          <w:i/>
          <w:lang w:val="es-ES"/>
        </w:rPr>
        <w:t>recomienda</w:t>
      </w:r>
      <w:r w:rsidRPr="00326CC8">
        <w:rPr>
          <w:lang w:val="es-ES"/>
        </w:rPr>
        <w:t xml:space="preserve"> 2 (Alemania)</w:t>
      </w:r>
    </w:p>
    <w:p w:rsidR="00BF495C" w:rsidRPr="00326CC8" w:rsidRDefault="00BF495C" w:rsidP="00BF495C">
      <w:pPr>
        <w:pStyle w:val="Normalaftertitle0"/>
        <w:rPr>
          <w:sz w:val="24"/>
          <w:lang w:val="es-ES"/>
        </w:rPr>
      </w:pPr>
      <w:r w:rsidRPr="00326CC8">
        <w:rPr>
          <w:sz w:val="24"/>
          <w:lang w:val="es-ES"/>
        </w:rPr>
        <w:t>Teniendo en cuenta el hecho de que:</w:t>
      </w:r>
    </w:p>
    <w:p w:rsidR="00BF495C" w:rsidRPr="00326CC8" w:rsidRDefault="00BF495C" w:rsidP="004F4FF5">
      <w:pPr>
        <w:pStyle w:val="enumlev1"/>
        <w:rPr>
          <w:lang w:val="es-ES"/>
        </w:rPr>
      </w:pPr>
      <w:r w:rsidRPr="00326CC8">
        <w:rPr>
          <w:lang w:val="es-ES"/>
        </w:rPr>
        <w:t>–</w:t>
      </w:r>
      <w:r w:rsidRPr="00326CC8">
        <w:rPr>
          <w:lang w:val="es-ES"/>
        </w:rPr>
        <w:tab/>
        <w:t>la CAMR-92 ha atribuido la banda 21,4-22,0</w:t>
      </w:r>
      <w:r w:rsidR="004F4FF5">
        <w:rPr>
          <w:lang w:val="es-ES"/>
        </w:rPr>
        <w:t> </w:t>
      </w:r>
      <w:r w:rsidRPr="00326CC8">
        <w:rPr>
          <w:lang w:val="es-ES"/>
        </w:rPr>
        <w:t>GHz al servicio de radiodifusión por satélite (SRS) a título primario en las Regiones 1 y 3;</w:t>
      </w:r>
    </w:p>
    <w:p w:rsidR="00BF495C" w:rsidRPr="00326CC8" w:rsidRDefault="00BF495C" w:rsidP="00BF495C">
      <w:pPr>
        <w:pStyle w:val="enumlev1"/>
        <w:rPr>
          <w:lang w:val="es-ES"/>
        </w:rPr>
      </w:pPr>
      <w:r w:rsidRPr="00326CC8">
        <w:rPr>
          <w:lang w:val="es-ES"/>
        </w:rPr>
        <w:t>–</w:t>
      </w:r>
      <w:r w:rsidRPr="00326CC8">
        <w:rPr>
          <w:lang w:val="es-ES"/>
        </w:rPr>
        <w:tab/>
        <w:t>se espera una utilización masiva de unidades de recepción individual para el SRS y debe reducirse al mínimo la interferencia procedente del servicio fijo;</w:t>
      </w:r>
    </w:p>
    <w:p w:rsidR="00BF495C" w:rsidRPr="00326CC8" w:rsidRDefault="00BF495C" w:rsidP="000C4413">
      <w:pPr>
        <w:rPr>
          <w:lang w:val="es-ES"/>
        </w:rPr>
      </w:pPr>
      <w:r w:rsidRPr="00326CC8">
        <w:rPr>
          <w:lang w:val="es-ES"/>
        </w:rPr>
        <w:t>debe evitarse la explotación de los sistemas inalámbricos fijos (FWS) en la sub-banda 21,4</w:t>
      </w:r>
      <w:r w:rsidR="000C4413">
        <w:rPr>
          <w:lang w:val="es-ES"/>
        </w:rPr>
        <w:t>-</w:t>
      </w:r>
      <w:r w:rsidRPr="00326CC8">
        <w:rPr>
          <w:lang w:val="es-ES"/>
        </w:rPr>
        <w:t>22,0 GHz.</w: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En la Fig. 5a se muestra el plan</w:t>
      </w:r>
      <w:r w:rsidR="009903DF">
        <w:rPr>
          <w:lang w:val="es-ES"/>
        </w:rPr>
        <w:t xml:space="preserve"> basado en las decisiones de la </w:t>
      </w:r>
      <w:r w:rsidRPr="00326CC8">
        <w:rPr>
          <w:lang w:val="es-ES"/>
        </w:rPr>
        <w:t>CAMR</w:t>
      </w:r>
      <w:r w:rsidRPr="00326CC8">
        <w:rPr>
          <w:lang w:val="es-ES"/>
        </w:rPr>
        <w:noBreakHyphen/>
        <w:t>92.</w:t>
      </w:r>
    </w:p>
    <w:p w:rsidR="00BF495C" w:rsidRPr="00326CC8" w:rsidRDefault="00BF495C" w:rsidP="00BF495C">
      <w:pPr>
        <w:pStyle w:val="FigureNo"/>
        <w:rPr>
          <w:lang w:val="es-ES"/>
        </w:rPr>
      </w:pPr>
      <w:r w:rsidRPr="00326CC8">
        <w:rPr>
          <w:lang w:val="es-ES"/>
        </w:rPr>
        <w:t>Figura 5</w:t>
      </w:r>
      <w:r w:rsidRPr="00326CC8">
        <w:rPr>
          <w:caps w:val="0"/>
          <w:lang w:val="es-ES"/>
        </w:rPr>
        <w:t>a</w:t>
      </w:r>
    </w:p>
    <w:p w:rsidR="00BF495C" w:rsidRDefault="00BF495C" w:rsidP="00BF495C">
      <w:pPr>
        <w:pStyle w:val="Figuretitle"/>
        <w:rPr>
          <w:lang w:val="es-ES"/>
        </w:rPr>
      </w:pPr>
      <w:r w:rsidRPr="00326CC8">
        <w:rPr>
          <w:lang w:val="es-ES"/>
        </w:rPr>
        <w:t>Plan para la banda 21,2-23,6 GHz basado en las decisiones de la CAMR-92</w:t>
      </w:r>
    </w:p>
    <w:p w:rsidR="00CF2E22" w:rsidRPr="006A374D" w:rsidRDefault="00CF2E22" w:rsidP="00CF2E22">
      <w:pPr>
        <w:pStyle w:val="Blanc"/>
        <w:rPr>
          <w:lang w:val="es-ES_tradnl"/>
        </w:rPr>
      </w:pPr>
    </w:p>
    <w:p w:rsidR="00BF495C" w:rsidRPr="00326CC8" w:rsidRDefault="00BF66E2" w:rsidP="00BF495C">
      <w:pPr>
        <w:pStyle w:val="Figure"/>
        <w:rPr>
          <w:lang w:val="es-ES"/>
        </w:rPr>
      </w:pPr>
      <w:r w:rsidRPr="00326CC8">
        <w:rPr>
          <w:lang w:val="es-ES"/>
        </w:rPr>
        <w:object w:dxaOrig="7588" w:dyaOrig="1862">
          <v:shape id="_x0000_i1030" type="#_x0000_t75" style="width:354.5pt;height:87.5pt" o:ole="">
            <v:imagedata r:id="rId24" o:title=""/>
          </v:shape>
          <o:OLEObject Type="Embed" ProgID="CorelDRAW.Graphic.14" ShapeID="_x0000_i1030" DrawAspect="Content" ObjectID="_1416978956" r:id="rId25"/>
        </w:object>
      </w:r>
    </w:p>
    <w:p w:rsidR="00BF495C" w:rsidRPr="00326CC8" w:rsidRDefault="00BF495C" w:rsidP="00BF495C">
      <w:pPr>
        <w:rPr>
          <w:lang w:val="es-ES"/>
        </w:rPr>
      </w:pPr>
      <w:r w:rsidRPr="00326CC8">
        <w:rPr>
          <w:lang w:val="es-ES"/>
        </w:rPr>
        <w:t>En la Fig. 5b se representa una aplicación del plan en la banda (Fig. 5a) para sistemas inalámbricos fijos (FWS) analógicos y digitales (2 Mbit/s a 155 Mbit/s).</w:t>
      </w:r>
    </w:p>
    <w:p w:rsidR="00BF495C" w:rsidRPr="00326CC8" w:rsidRDefault="00BF495C" w:rsidP="00BF6F76">
      <w:pPr>
        <w:pStyle w:val="Note"/>
        <w:rPr>
          <w:lang w:val="es-ES"/>
        </w:rPr>
      </w:pPr>
      <w:r w:rsidRPr="00D751EB">
        <w:rPr>
          <w:lang w:val="es-ES"/>
        </w:rPr>
        <w:t>NOTA</w:t>
      </w:r>
      <w:r w:rsidR="00BF66E2">
        <w:rPr>
          <w:lang w:val="es-ES"/>
        </w:rPr>
        <w:t> </w:t>
      </w:r>
      <w:r w:rsidR="00BF6F76">
        <w:rPr>
          <w:lang w:val="es-ES"/>
        </w:rPr>
        <w:t>1 </w:t>
      </w:r>
      <w:r w:rsidRPr="00D751EB">
        <w:rPr>
          <w:lang w:val="es-ES"/>
        </w:rPr>
        <w:t>–</w:t>
      </w:r>
      <w:r w:rsidR="00BF66E2">
        <w:rPr>
          <w:lang w:val="es-ES"/>
        </w:rPr>
        <w:t> </w:t>
      </w:r>
      <w:r w:rsidRPr="00D751EB">
        <w:rPr>
          <w:lang w:val="es-ES"/>
        </w:rPr>
        <w:t>En la Fig.</w:t>
      </w:r>
      <w:r w:rsidR="00E96003">
        <w:rPr>
          <w:lang w:val="es-ES"/>
        </w:rPr>
        <w:t> </w:t>
      </w:r>
      <w:r w:rsidRPr="00D751EB">
        <w:rPr>
          <w:lang w:val="es-ES"/>
        </w:rPr>
        <w:t>5b las disposiciones de los canales de radiofrecuencia en la banda 22,0-22,6</w:t>
      </w:r>
      <w:r w:rsidR="00BF6F76">
        <w:rPr>
          <w:lang w:val="es-ES"/>
        </w:rPr>
        <w:t> </w:t>
      </w:r>
      <w:r w:rsidRPr="00D751EB">
        <w:rPr>
          <w:lang w:val="es-ES"/>
        </w:rPr>
        <w:t xml:space="preserve">GHz emparejada con la banda 23,0-23,6 GHz son iguales a las correspondientes del </w:t>
      </w:r>
      <w:r>
        <w:rPr>
          <w:lang w:val="es-ES"/>
        </w:rPr>
        <w:t>§ </w:t>
      </w:r>
      <w:r w:rsidRPr="00D751EB">
        <w:rPr>
          <w:lang w:val="es-ES"/>
        </w:rPr>
        <w:t>1 del Anexo 2.</w:t>
      </w:r>
    </w:p>
    <w:p w:rsidR="00BF495C" w:rsidRPr="00326CC8" w:rsidRDefault="00BF495C" w:rsidP="00BF495C">
      <w:pPr>
        <w:pStyle w:val="FigureNo"/>
        <w:rPr>
          <w:lang w:val="es-ES"/>
        </w:rPr>
      </w:pPr>
      <w:r w:rsidRPr="000C4413">
        <w:rPr>
          <w:lang w:val="es-ES_tradnl"/>
        </w:rPr>
        <w:lastRenderedPageBreak/>
        <w:t>Figura</w:t>
      </w:r>
      <w:r w:rsidRPr="00326CC8">
        <w:rPr>
          <w:lang w:val="es-ES"/>
        </w:rPr>
        <w:t xml:space="preserve"> 5</w:t>
      </w:r>
      <w:r w:rsidRPr="00326CC8">
        <w:rPr>
          <w:caps w:val="0"/>
          <w:lang w:val="es-ES"/>
        </w:rPr>
        <w:t>b</w:t>
      </w:r>
    </w:p>
    <w:p w:rsidR="00BF495C" w:rsidRPr="000C4413" w:rsidRDefault="00BF495C" w:rsidP="002E0904">
      <w:pPr>
        <w:pStyle w:val="Figuretitle"/>
        <w:rPr>
          <w:b w:val="0"/>
          <w:bCs/>
          <w:lang w:val="es-ES_tradnl"/>
        </w:rPr>
      </w:pPr>
      <w:r w:rsidRPr="00326CC8">
        <w:rPr>
          <w:lang w:val="es-ES"/>
        </w:rPr>
        <w:t>Disposiciones de radiocanales para sistemas inalámbricos fijos (FWS) digitales</w:t>
      </w:r>
      <w:r w:rsidR="000C4413">
        <w:rPr>
          <w:lang w:val="es-ES"/>
        </w:rPr>
        <w:t xml:space="preserve"> </w:t>
      </w:r>
      <w:r w:rsidRPr="00326CC8">
        <w:rPr>
          <w:lang w:val="es-ES"/>
        </w:rPr>
        <w:t>y analógicos</w:t>
      </w:r>
      <w:r w:rsidR="002E0904">
        <w:rPr>
          <w:lang w:val="es-ES"/>
        </w:rPr>
        <w:br/>
      </w:r>
      <w:r w:rsidRPr="00326CC8">
        <w:rPr>
          <w:lang w:val="es-ES"/>
        </w:rPr>
        <w:t>que funcionan</w:t>
      </w:r>
      <w:r w:rsidR="002E0904">
        <w:rPr>
          <w:lang w:val="es-ES"/>
        </w:rPr>
        <w:t xml:space="preserve"> </w:t>
      </w:r>
      <w:r w:rsidRPr="00326CC8">
        <w:rPr>
          <w:lang w:val="es-ES"/>
        </w:rPr>
        <w:t>en la banda 21,2-23,6 GHz, basada</w:t>
      </w:r>
      <w:r w:rsidR="000C4413">
        <w:rPr>
          <w:lang w:val="es-ES"/>
        </w:rPr>
        <w:t xml:space="preserve"> </w:t>
      </w:r>
      <w:r w:rsidRPr="00326CC8">
        <w:rPr>
          <w:lang w:val="es-ES"/>
        </w:rPr>
        <w:t xml:space="preserve">en </w:t>
      </w:r>
      <w:r w:rsidR="00AC4556" w:rsidRPr="00326CC8">
        <w:rPr>
          <w:lang w:val="es-ES"/>
        </w:rPr>
        <w:t xml:space="preserve">las decisiones </w:t>
      </w:r>
      <w:r w:rsidRPr="00326CC8">
        <w:rPr>
          <w:lang w:val="es-ES"/>
        </w:rPr>
        <w:t>de la CAMR-92</w:t>
      </w:r>
      <w:r w:rsidR="000C4413">
        <w:rPr>
          <w:lang w:val="es-ES"/>
        </w:rPr>
        <w:br/>
      </w:r>
      <w:r w:rsidRPr="00AC4556">
        <w:rPr>
          <w:rFonts w:ascii="Times New Roman"/>
          <w:b w:val="0"/>
          <w:lang w:val="es-ES_tradnl"/>
        </w:rPr>
        <w:t>(Todas las frecuencias en MHz)</w:t>
      </w:r>
    </w:p>
    <w:p w:rsidR="00BF495C" w:rsidRPr="00326CC8" w:rsidRDefault="00BF66E2" w:rsidP="00BF495C">
      <w:pPr>
        <w:pStyle w:val="Figure"/>
        <w:rPr>
          <w:lang w:val="es-ES"/>
        </w:rPr>
      </w:pPr>
      <w:r w:rsidRPr="00326CC8">
        <w:rPr>
          <w:lang w:val="es-ES"/>
        </w:rPr>
        <w:object w:dxaOrig="8506" w:dyaOrig="14146">
          <v:shape id="_x0000_i1031" type="#_x0000_t75" style="width:380pt;height:633pt" o:ole="">
            <v:imagedata r:id="rId26" o:title=""/>
          </v:shape>
          <o:OLEObject Type="Embed" ProgID="CorelDRAW.Graphic.14" ShapeID="_x0000_i1031" DrawAspect="Content" ObjectID="_1416978957" r:id="rId27"/>
        </w:object>
      </w:r>
    </w:p>
    <w:p w:rsidR="00BF495C" w:rsidRDefault="00BF495C" w:rsidP="00BF66E2">
      <w:pPr>
        <w:spacing w:before="0"/>
        <w:jc w:val="center"/>
        <w:rPr>
          <w:lang w:val="es-ES"/>
        </w:rPr>
      </w:pPr>
      <w:r w:rsidRPr="00326CC8">
        <w:rPr>
          <w:lang w:val="es-ES"/>
        </w:rPr>
        <w:t>______________</w:t>
      </w:r>
    </w:p>
    <w:sectPr w:rsidR="00BF495C" w:rsidSect="00377B02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904" w:rsidRDefault="002E0904">
      <w:r>
        <w:separator/>
      </w:r>
    </w:p>
  </w:endnote>
  <w:endnote w:type="continuationSeparator" w:id="0">
    <w:p w:rsidR="002E0904" w:rsidRDefault="002E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904" w:rsidRDefault="002E0904">
      <w:r>
        <w:separator/>
      </w:r>
    </w:p>
  </w:footnote>
  <w:footnote w:type="continuationSeparator" w:id="0">
    <w:p w:rsidR="002E0904" w:rsidRDefault="002E0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904" w:rsidRDefault="002E090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904" w:rsidRDefault="002E0904" w:rsidP="00377B02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78B4E9D" wp14:editId="7653A1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904" w:rsidRDefault="002E0904" w:rsidP="00377B02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3BD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513BD2" w:rsidRPr="00513BD2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3BD2">
      <w:rPr>
        <w:b/>
        <w:bCs/>
        <w:noProof/>
      </w:rPr>
      <w:t>UIT-R  F.637-4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904" w:rsidRDefault="002E0904">
    <w:pPr>
      <w:pStyle w:val="Header"/>
    </w:pPr>
    <w:r>
      <w:tab/>
    </w:r>
    <w:fldSimple w:instr=" DOCPROPERTY &quot;Header&quot; \* MERGEFORMAT ">
      <w:r w:rsidR="00513BD2" w:rsidRPr="00513BD2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3BD2">
      <w:rPr>
        <w:b/>
        <w:bCs/>
        <w:noProof/>
      </w:rPr>
      <w:t>UIT-R  F.637-4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904" w:rsidRDefault="002E0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13BD2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513BD2" w:rsidRPr="00513BD2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13BD2">
      <w:rPr>
        <w:b/>
        <w:bCs/>
        <w:noProof/>
      </w:rPr>
      <w:t>UIT-R  F.637-4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904" w:rsidRDefault="002E0904">
    <w:pPr>
      <w:pStyle w:val="Header"/>
    </w:pPr>
    <w:r>
      <w:tab/>
    </w:r>
    <w:fldSimple w:instr=" DOCPROPERTY &quot;Header&quot; \* MERGEFORMAT ">
      <w:r w:rsidR="00513BD2" w:rsidRPr="00513BD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13BD2">
      <w:rPr>
        <w:b/>
        <w:bCs/>
        <w:noProof/>
      </w:rPr>
      <w:t>UIT-R  F.637-4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3BD2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95C"/>
    <w:rsid w:val="0004557F"/>
    <w:rsid w:val="00094F6E"/>
    <w:rsid w:val="000C4413"/>
    <w:rsid w:val="000D2FA7"/>
    <w:rsid w:val="001603F0"/>
    <w:rsid w:val="001A6BC0"/>
    <w:rsid w:val="002144CE"/>
    <w:rsid w:val="00217EBF"/>
    <w:rsid w:val="00242AEE"/>
    <w:rsid w:val="002D76C4"/>
    <w:rsid w:val="002E0904"/>
    <w:rsid w:val="003545E4"/>
    <w:rsid w:val="00377B02"/>
    <w:rsid w:val="003B60A8"/>
    <w:rsid w:val="004B0C7F"/>
    <w:rsid w:val="004F4FF5"/>
    <w:rsid w:val="00513BD2"/>
    <w:rsid w:val="0052529D"/>
    <w:rsid w:val="00531CBB"/>
    <w:rsid w:val="00585210"/>
    <w:rsid w:val="00607D68"/>
    <w:rsid w:val="006A374D"/>
    <w:rsid w:val="006F1973"/>
    <w:rsid w:val="007468DA"/>
    <w:rsid w:val="007F189D"/>
    <w:rsid w:val="008B4D65"/>
    <w:rsid w:val="008C26B8"/>
    <w:rsid w:val="008D0743"/>
    <w:rsid w:val="009903DF"/>
    <w:rsid w:val="009A7FDA"/>
    <w:rsid w:val="009E00A8"/>
    <w:rsid w:val="00A6617B"/>
    <w:rsid w:val="00AB0DC8"/>
    <w:rsid w:val="00AC4556"/>
    <w:rsid w:val="00B44E24"/>
    <w:rsid w:val="00B461E7"/>
    <w:rsid w:val="00BF495C"/>
    <w:rsid w:val="00BF66E2"/>
    <w:rsid w:val="00BF6F76"/>
    <w:rsid w:val="00C849ED"/>
    <w:rsid w:val="00CD7046"/>
    <w:rsid w:val="00CF2E22"/>
    <w:rsid w:val="00D36B7C"/>
    <w:rsid w:val="00D872A1"/>
    <w:rsid w:val="00DF4176"/>
    <w:rsid w:val="00E57CAA"/>
    <w:rsid w:val="00E96003"/>
    <w:rsid w:val="00EA662D"/>
    <w:rsid w:val="00EE6B33"/>
    <w:rsid w:val="00F021F5"/>
    <w:rsid w:val="00F3298E"/>
    <w:rsid w:val="00F3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9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BF495C"/>
    <w:rPr>
      <w:color w:val="0000FF"/>
      <w:u w:val="single"/>
    </w:rPr>
  </w:style>
  <w:style w:type="table" w:styleId="TableGrid">
    <w:name w:val="Table Grid"/>
    <w:basedOn w:val="TableNormal"/>
    <w:rsid w:val="00BF49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NoChar">
    <w:name w:val="Figure_No Char"/>
    <w:basedOn w:val="DefaultParagraphFont"/>
    <w:link w:val="FigureNo"/>
    <w:rsid w:val="00BF495C"/>
    <w:rPr>
      <w:caps/>
      <w:sz w:val="18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BF495C"/>
    <w:pPr>
      <w:spacing w:before="480"/>
    </w:pPr>
    <w:rPr>
      <w:sz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9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BF495C"/>
    <w:rPr>
      <w:color w:val="0000FF"/>
      <w:u w:val="single"/>
    </w:rPr>
  </w:style>
  <w:style w:type="table" w:styleId="TableGrid">
    <w:name w:val="Table Grid"/>
    <w:basedOn w:val="TableNormal"/>
    <w:rsid w:val="00BF49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NoChar">
    <w:name w:val="Figure_No Char"/>
    <w:basedOn w:val="DefaultParagraphFont"/>
    <w:link w:val="FigureNo"/>
    <w:rsid w:val="00BF495C"/>
    <w:rPr>
      <w:caps/>
      <w:sz w:val="18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BF495C"/>
    <w:pPr>
      <w:spacing w:before="480"/>
    </w:pPr>
    <w:rPr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5.xm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F6397-4F72-4E20-AEA6-3D817AF0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218</TotalTime>
  <Pages>14</Pages>
  <Words>2638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33</cp:revision>
  <cp:lastPrinted>2012-12-07T13:57:00Z</cp:lastPrinted>
  <dcterms:created xsi:type="dcterms:W3CDTF">2012-12-07T09:29:00Z</dcterms:created>
  <dcterms:modified xsi:type="dcterms:W3CDTF">2012-12-14T07:28:00Z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