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DF" w:rsidRPr="0020240C" w:rsidRDefault="00CF07DF">
      <w:pPr>
        <w:pStyle w:val="Rec"/>
        <w:spacing w:before="0"/>
        <w:rPr>
          <w:lang w:val="es-ES_tradnl"/>
        </w:rPr>
      </w:pPr>
      <w:r w:rsidRPr="0020240C">
        <w:rPr>
          <w:lang w:val="es-ES_tradnl"/>
        </w:rPr>
        <w:t>RECOMENDACIÓN  UIT-R  F.695</w:t>
      </w:r>
      <w:r w:rsidRPr="0020240C">
        <w:rPr>
          <w:rStyle w:val="FootnoteReference"/>
          <w:lang w:val="es-ES_tradnl"/>
        </w:rPr>
        <w:footnoteReference w:customMarkFollows="1" w:id="1"/>
        <w:t>*</w:t>
      </w:r>
      <w:r w:rsidR="00631477" w:rsidRPr="0020240C">
        <w:rPr>
          <w:vertAlign w:val="superscript"/>
          <w:lang w:val="es-ES_tradnl"/>
        </w:rPr>
        <w:t xml:space="preserve">, </w:t>
      </w:r>
      <w:r w:rsidR="00631477" w:rsidRPr="0020240C">
        <w:rPr>
          <w:rStyle w:val="FootnoteReference"/>
          <w:lang w:val="es-ES_tradnl"/>
        </w:rPr>
        <w:footnoteReference w:customMarkFollows="1" w:id="2"/>
        <w:t>**</w:t>
      </w:r>
    </w:p>
    <w:p w:rsidR="00CF07DF" w:rsidRPr="0020240C" w:rsidRDefault="00CF07DF">
      <w:pPr>
        <w:pStyle w:val="RecTitle"/>
        <w:rPr>
          <w:lang w:val="es-ES_tradnl"/>
        </w:rPr>
      </w:pPr>
      <w:r w:rsidRPr="0020240C">
        <w:rPr>
          <w:lang w:val="es-ES_tradnl"/>
        </w:rPr>
        <w:t>OBJ</w:t>
      </w:r>
      <w:bookmarkStart w:id="0" w:name="_GoBack"/>
      <w:bookmarkEnd w:id="0"/>
      <w:r w:rsidRPr="0020240C">
        <w:rPr>
          <w:lang w:val="es-ES_tradnl"/>
        </w:rPr>
        <w:t>ETIVOS  DE  DISPONIBILIDAD  PARA  ENLACES  DE  RELEVADORES  RADIOELÉCTRICOS</w:t>
      </w:r>
      <w:r w:rsidRPr="0020240C">
        <w:rPr>
          <w:lang w:val="es-ES_tradnl"/>
        </w:rPr>
        <w:br/>
        <w:t>DIGITALES  REALES  QUE  FORMAN  PARTE  DE  UN  CIRCUITO  DE  «GRADO  ALTO»</w:t>
      </w:r>
      <w:r w:rsidRPr="0020240C">
        <w:rPr>
          <w:lang w:val="es-ES_tradnl"/>
        </w:rPr>
        <w:br/>
        <w:t>DE  CALIDAD  DENTRO  DE  UNA  RED  DIGITAL  DE  SERVICIOS  INTEGRADOS</w:t>
      </w:r>
    </w:p>
    <w:p w:rsidR="00CF07DF" w:rsidRPr="0020240C" w:rsidRDefault="00CF07DF">
      <w:pPr>
        <w:pStyle w:val="RecTitleDate"/>
        <w:spacing w:before="0"/>
        <w:rPr>
          <w:lang w:val="es-ES_tradnl"/>
        </w:rPr>
      </w:pPr>
    </w:p>
    <w:p w:rsidR="00CF07DF" w:rsidRPr="0020240C" w:rsidRDefault="00CF07DF">
      <w:pPr>
        <w:pStyle w:val="RecTitleDate"/>
        <w:rPr>
          <w:lang w:val="es-ES_tradnl"/>
        </w:rPr>
      </w:pPr>
      <w:r w:rsidRPr="0020240C">
        <w:rPr>
          <w:lang w:val="es-ES_tradnl"/>
        </w:rPr>
        <w:t>(1990)</w:t>
      </w:r>
    </w:p>
    <w:p w:rsidR="00CF07DF" w:rsidRPr="0020240C" w:rsidRDefault="00CF07DF">
      <w:pPr>
        <w:pStyle w:val="headfoot"/>
        <w:rPr>
          <w:lang w:val="es-ES_tradnl"/>
        </w:rPr>
      </w:pPr>
      <w:r w:rsidRPr="0020240C">
        <w:rPr>
          <w:lang w:val="es-ES_tradnl"/>
        </w:rPr>
        <w:t>Rec. UIT-R F.695</w:t>
      </w:r>
    </w:p>
    <w:p w:rsidR="00631477" w:rsidRPr="00631477" w:rsidRDefault="00631477" w:rsidP="00631477">
      <w:pPr>
        <w:pStyle w:val="heading"/>
        <w:rPr>
          <w:sz w:val="20"/>
          <w:lang w:val="es-ES" w:eastAsia="ja-JP"/>
        </w:rPr>
      </w:pPr>
      <w:r w:rsidRPr="00631477">
        <w:rPr>
          <w:sz w:val="20"/>
          <w:lang w:val="es-ES" w:eastAsia="ja-JP"/>
        </w:rPr>
        <w:t>Alcance</w:t>
      </w:r>
    </w:p>
    <w:p w:rsidR="00631477" w:rsidRPr="0089479E" w:rsidRDefault="00631477" w:rsidP="00631477">
      <w:pPr>
        <w:rPr>
          <w:lang w:val="es-ES" w:eastAsia="ja-JP"/>
        </w:rPr>
      </w:pPr>
      <w:r w:rsidRPr="0089479E">
        <w:rPr>
          <w:lang w:val="es-ES" w:eastAsia="ja-JP"/>
        </w:rPr>
        <w:t>En esta Recomendación se facilitan objetivos</w:t>
      </w:r>
      <w:r>
        <w:rPr>
          <w:lang w:val="es-ES" w:eastAsia="ja-JP"/>
        </w:rPr>
        <w:t xml:space="preserve"> </w:t>
      </w:r>
      <w:r w:rsidRPr="0089479E">
        <w:rPr>
          <w:lang w:val="es-ES" w:eastAsia="ja-JP"/>
        </w:rPr>
        <w:t>de</w:t>
      </w:r>
      <w:r>
        <w:rPr>
          <w:lang w:val="es-ES" w:eastAsia="ja-JP"/>
        </w:rPr>
        <w:t xml:space="preserve"> </w:t>
      </w:r>
      <w:r w:rsidRPr="0089479E">
        <w:rPr>
          <w:lang w:val="es-ES" w:eastAsia="ja-JP"/>
        </w:rPr>
        <w:t>disponibilidad</w:t>
      </w:r>
      <w:r>
        <w:rPr>
          <w:lang w:val="es-ES" w:eastAsia="ja-JP"/>
        </w:rPr>
        <w:t xml:space="preserve"> </w:t>
      </w:r>
      <w:r w:rsidRPr="0089479E">
        <w:rPr>
          <w:lang w:val="es-ES" w:eastAsia="ja-JP"/>
        </w:rPr>
        <w:t>para</w:t>
      </w:r>
      <w:r>
        <w:rPr>
          <w:lang w:val="es-ES" w:eastAsia="ja-JP"/>
        </w:rPr>
        <w:t xml:space="preserve"> </w:t>
      </w:r>
      <w:r w:rsidRPr="0089479E">
        <w:rPr>
          <w:lang w:val="es-ES" w:eastAsia="ja-JP"/>
        </w:rPr>
        <w:t>enlaces</w:t>
      </w:r>
      <w:r>
        <w:rPr>
          <w:lang w:val="es-ES" w:eastAsia="ja-JP"/>
        </w:rPr>
        <w:t xml:space="preserve"> </w:t>
      </w:r>
      <w:r w:rsidRPr="0089479E">
        <w:rPr>
          <w:lang w:val="es-ES" w:eastAsia="ja-JP"/>
        </w:rPr>
        <w:t>de</w:t>
      </w:r>
      <w:r>
        <w:rPr>
          <w:lang w:val="es-ES" w:eastAsia="ja-JP"/>
        </w:rPr>
        <w:t xml:space="preserve"> </w:t>
      </w:r>
      <w:r w:rsidRPr="0089479E">
        <w:rPr>
          <w:lang w:val="es-ES" w:eastAsia="ja-JP"/>
        </w:rPr>
        <w:t>relevadores</w:t>
      </w:r>
      <w:r>
        <w:rPr>
          <w:lang w:val="es-ES" w:eastAsia="ja-JP"/>
        </w:rPr>
        <w:t xml:space="preserve"> </w:t>
      </w:r>
      <w:r w:rsidRPr="0089479E">
        <w:rPr>
          <w:lang w:val="es-ES" w:eastAsia="ja-JP"/>
        </w:rPr>
        <w:t>radioeléctricos digitales</w:t>
      </w:r>
      <w:r>
        <w:rPr>
          <w:lang w:val="es-ES" w:eastAsia="ja-JP"/>
        </w:rPr>
        <w:t xml:space="preserve"> </w:t>
      </w:r>
      <w:r w:rsidRPr="0089479E">
        <w:rPr>
          <w:lang w:val="es-ES" w:eastAsia="ja-JP"/>
        </w:rPr>
        <w:t>reales</w:t>
      </w:r>
      <w:r>
        <w:rPr>
          <w:lang w:val="es-ES" w:eastAsia="ja-JP"/>
        </w:rPr>
        <w:t xml:space="preserve"> </w:t>
      </w:r>
      <w:r w:rsidRPr="0089479E">
        <w:rPr>
          <w:lang w:val="es-ES" w:eastAsia="ja-JP"/>
        </w:rPr>
        <w:t>que</w:t>
      </w:r>
      <w:r>
        <w:rPr>
          <w:lang w:val="es-ES" w:eastAsia="ja-JP"/>
        </w:rPr>
        <w:t xml:space="preserve"> </w:t>
      </w:r>
      <w:r w:rsidRPr="0089479E">
        <w:rPr>
          <w:lang w:val="es-ES" w:eastAsia="ja-JP"/>
        </w:rPr>
        <w:t>forman</w:t>
      </w:r>
      <w:r>
        <w:rPr>
          <w:lang w:val="es-ES" w:eastAsia="ja-JP"/>
        </w:rPr>
        <w:t xml:space="preserve"> </w:t>
      </w:r>
      <w:r w:rsidRPr="0089479E">
        <w:rPr>
          <w:lang w:val="es-ES" w:eastAsia="ja-JP"/>
        </w:rPr>
        <w:t>parte</w:t>
      </w:r>
      <w:r>
        <w:rPr>
          <w:lang w:val="es-ES" w:eastAsia="ja-JP"/>
        </w:rPr>
        <w:t xml:space="preserve"> </w:t>
      </w:r>
      <w:r w:rsidRPr="0089479E">
        <w:rPr>
          <w:lang w:val="es-ES" w:eastAsia="ja-JP"/>
        </w:rPr>
        <w:t>de</w:t>
      </w:r>
      <w:r>
        <w:rPr>
          <w:lang w:val="es-ES" w:eastAsia="ja-JP"/>
        </w:rPr>
        <w:t xml:space="preserve"> </w:t>
      </w:r>
      <w:r w:rsidRPr="0089479E">
        <w:rPr>
          <w:lang w:val="es-ES" w:eastAsia="ja-JP"/>
        </w:rPr>
        <w:t>un</w:t>
      </w:r>
      <w:r>
        <w:rPr>
          <w:lang w:val="es-ES" w:eastAsia="ja-JP"/>
        </w:rPr>
        <w:t xml:space="preserve"> </w:t>
      </w:r>
      <w:r w:rsidRPr="0089479E">
        <w:rPr>
          <w:lang w:val="es-ES" w:eastAsia="ja-JP"/>
        </w:rPr>
        <w:t>circuito</w:t>
      </w:r>
      <w:r>
        <w:rPr>
          <w:lang w:val="es-ES" w:eastAsia="ja-JP"/>
        </w:rPr>
        <w:t xml:space="preserve"> </w:t>
      </w:r>
      <w:r w:rsidRPr="0089479E">
        <w:rPr>
          <w:lang w:val="es-ES" w:eastAsia="ja-JP"/>
        </w:rPr>
        <w:t>de</w:t>
      </w:r>
      <w:r>
        <w:rPr>
          <w:lang w:val="es-ES" w:eastAsia="ja-JP"/>
        </w:rPr>
        <w:t xml:space="preserve"> </w:t>
      </w:r>
      <w:r w:rsidRPr="0089479E">
        <w:rPr>
          <w:lang w:val="es-ES" w:eastAsia="ja-JP"/>
        </w:rPr>
        <w:t>grado</w:t>
      </w:r>
      <w:r>
        <w:rPr>
          <w:lang w:val="es-ES" w:eastAsia="ja-JP"/>
        </w:rPr>
        <w:t xml:space="preserve"> </w:t>
      </w:r>
      <w:r w:rsidRPr="0089479E">
        <w:rPr>
          <w:lang w:val="es-ES" w:eastAsia="ja-JP"/>
        </w:rPr>
        <w:t>alto de</w:t>
      </w:r>
      <w:r>
        <w:rPr>
          <w:lang w:val="es-ES" w:eastAsia="ja-JP"/>
        </w:rPr>
        <w:t xml:space="preserve"> </w:t>
      </w:r>
      <w:r w:rsidRPr="0089479E">
        <w:rPr>
          <w:lang w:val="es-ES" w:eastAsia="ja-JP"/>
        </w:rPr>
        <w:t>calidad</w:t>
      </w:r>
      <w:r>
        <w:rPr>
          <w:lang w:val="es-ES" w:eastAsia="ja-JP"/>
        </w:rPr>
        <w:t xml:space="preserve"> </w:t>
      </w:r>
      <w:r w:rsidRPr="0089479E">
        <w:rPr>
          <w:lang w:val="es-ES" w:eastAsia="ja-JP"/>
        </w:rPr>
        <w:t>dentro</w:t>
      </w:r>
      <w:r>
        <w:rPr>
          <w:lang w:val="es-ES" w:eastAsia="ja-JP"/>
        </w:rPr>
        <w:t xml:space="preserve"> </w:t>
      </w:r>
      <w:r w:rsidRPr="0089479E">
        <w:rPr>
          <w:lang w:val="es-ES" w:eastAsia="ja-JP"/>
        </w:rPr>
        <w:t>de</w:t>
      </w:r>
      <w:r>
        <w:rPr>
          <w:lang w:val="es-ES" w:eastAsia="ja-JP"/>
        </w:rPr>
        <w:t xml:space="preserve"> </w:t>
      </w:r>
      <w:r w:rsidRPr="0089479E">
        <w:rPr>
          <w:lang w:val="es-ES" w:eastAsia="ja-JP"/>
        </w:rPr>
        <w:t>una</w:t>
      </w:r>
      <w:r>
        <w:rPr>
          <w:lang w:val="es-ES" w:eastAsia="ja-JP"/>
        </w:rPr>
        <w:t xml:space="preserve"> </w:t>
      </w:r>
      <w:r w:rsidRPr="0089479E">
        <w:rPr>
          <w:lang w:val="es-ES" w:eastAsia="ja-JP"/>
        </w:rPr>
        <w:t>red</w:t>
      </w:r>
      <w:r>
        <w:rPr>
          <w:lang w:val="es-ES" w:eastAsia="ja-JP"/>
        </w:rPr>
        <w:t xml:space="preserve"> </w:t>
      </w:r>
      <w:r w:rsidRPr="0089479E">
        <w:rPr>
          <w:lang w:val="es-ES" w:eastAsia="ja-JP"/>
        </w:rPr>
        <w:t>digital</w:t>
      </w:r>
      <w:r>
        <w:rPr>
          <w:lang w:val="es-ES" w:eastAsia="ja-JP"/>
        </w:rPr>
        <w:t xml:space="preserve"> </w:t>
      </w:r>
      <w:r w:rsidRPr="0089479E">
        <w:rPr>
          <w:lang w:val="es-ES" w:eastAsia="ja-JP"/>
        </w:rPr>
        <w:t>de</w:t>
      </w:r>
      <w:r>
        <w:rPr>
          <w:lang w:val="es-ES" w:eastAsia="ja-JP"/>
        </w:rPr>
        <w:t xml:space="preserve"> </w:t>
      </w:r>
      <w:r w:rsidRPr="0089479E">
        <w:rPr>
          <w:lang w:val="es-ES" w:eastAsia="ja-JP"/>
        </w:rPr>
        <w:t>servicios</w:t>
      </w:r>
      <w:r>
        <w:rPr>
          <w:lang w:val="es-ES" w:eastAsia="ja-JP"/>
        </w:rPr>
        <w:t xml:space="preserve"> </w:t>
      </w:r>
      <w:r w:rsidRPr="0089479E">
        <w:rPr>
          <w:lang w:val="es-ES" w:eastAsia="ja-JP"/>
        </w:rPr>
        <w:t>integrados, incluidos los factores que afectan a la no disponibilidad de sistemas de relevadores radioeléctricos digitales.</w:t>
      </w:r>
      <w:r>
        <w:rPr>
          <w:lang w:val="es-ES" w:eastAsia="ja-JP"/>
        </w:rPr>
        <w:t xml:space="preserve"> </w:t>
      </w:r>
    </w:p>
    <w:p w:rsidR="00631477" w:rsidRDefault="00631477" w:rsidP="00631477">
      <w:pPr>
        <w:rPr>
          <w:lang w:val="es-ES_tradnl"/>
        </w:rPr>
      </w:pPr>
      <w:r w:rsidRPr="0089479E">
        <w:rPr>
          <w:lang w:val="es-ES" w:eastAsia="ja-JP"/>
        </w:rPr>
        <w:t>También debe señalarse que esta Recomendación sólo podía utilizarse para sistemas concebidos antes de la aprobación de la Recomendación UIT-R F.1</w:t>
      </w:r>
      <w:r>
        <w:rPr>
          <w:lang w:val="es-ES" w:eastAsia="ja-JP"/>
        </w:rPr>
        <w:t>703</w:t>
      </w:r>
      <w:r w:rsidRPr="0089479E">
        <w:rPr>
          <w:lang w:val="es-ES" w:eastAsia="ja-JP"/>
        </w:rPr>
        <w:t xml:space="preserve"> en 200</w:t>
      </w:r>
      <w:r>
        <w:rPr>
          <w:lang w:val="es-ES" w:eastAsia="ja-JP"/>
        </w:rPr>
        <w:t>5</w:t>
      </w:r>
      <w:r w:rsidRPr="0089479E">
        <w:rPr>
          <w:lang w:val="es-ES" w:eastAsia="ja-JP"/>
        </w:rPr>
        <w:t>.</w:t>
      </w:r>
    </w:p>
    <w:p w:rsidR="00CF07DF" w:rsidRPr="00631477" w:rsidRDefault="00CF07DF">
      <w:pPr>
        <w:pStyle w:val="Normalaftertitle"/>
        <w:rPr>
          <w:lang w:val="es-ES_tradnl"/>
        </w:rPr>
      </w:pPr>
      <w:r w:rsidRPr="00631477">
        <w:rPr>
          <w:lang w:val="es-ES_tradnl"/>
        </w:rPr>
        <w:t>La Asamblea de Radiocomunicaciones de la UIT,</w:t>
      </w:r>
    </w:p>
    <w:p w:rsidR="00CF07DF" w:rsidRPr="00631477" w:rsidRDefault="00CF07DF">
      <w:pPr>
        <w:pStyle w:val="call"/>
        <w:rPr>
          <w:lang w:val="es-ES_tradnl"/>
        </w:rPr>
      </w:pPr>
      <w:r w:rsidRPr="00631477">
        <w:rPr>
          <w:lang w:val="es-ES_tradnl"/>
        </w:rPr>
        <w:t>considerando</w:t>
      </w:r>
    </w:p>
    <w:p w:rsidR="00CF07DF" w:rsidRPr="0020240C" w:rsidRDefault="00CF07DF">
      <w:pPr>
        <w:rPr>
          <w:lang w:val="es-ES_tradnl"/>
        </w:rPr>
      </w:pPr>
      <w:r w:rsidRPr="0020240C">
        <w:rPr>
          <w:i/>
          <w:lang w:val="es-ES_tradnl"/>
        </w:rPr>
        <w:t>a)</w:t>
      </w:r>
      <w:r w:rsidRPr="0020240C">
        <w:rPr>
          <w:lang w:val="es-ES_tradnl"/>
        </w:rPr>
        <w:tab/>
        <w:t>que los objetivos de disponibilidad de un trayecto digital ficticio de referencia de 2500 km de grado alto de calidad para sistemas de relevadores radioeléctricos digitales operando a velocidades superiores a las del nivel jerárquico de segundo orden se incluyen en la Recomendación UIT-R F.557;</w:t>
      </w:r>
    </w:p>
    <w:p w:rsidR="00CF07DF" w:rsidRPr="0020240C" w:rsidRDefault="00CF07DF">
      <w:pPr>
        <w:rPr>
          <w:lang w:val="es-ES_tradnl"/>
        </w:rPr>
      </w:pPr>
      <w:r w:rsidRPr="0020240C">
        <w:rPr>
          <w:i/>
          <w:lang w:val="es-ES_tradnl"/>
        </w:rPr>
        <w:t>b)</w:t>
      </w:r>
      <w:r w:rsidRPr="0020240C">
        <w:rPr>
          <w:lang w:val="es-ES_tradnl"/>
        </w:rPr>
        <w:tab/>
        <w:t>que los trayectos reales forman parte del tramo de grado alto de calidad de una red digital de servicios integrados a veces tienen una composición diferente de la del trayecto digital ficticio de referencia (véase la fig. 1 de la Recomendación UIT-R F.556) y comparten radioenlaces de longitud inferior a 2500 km con otro tipo de enlaces digitales;</w:t>
      </w:r>
    </w:p>
    <w:p w:rsidR="00CF07DF" w:rsidRPr="0020240C" w:rsidRDefault="00CF07DF">
      <w:pPr>
        <w:rPr>
          <w:lang w:val="es-ES_tradnl"/>
        </w:rPr>
      </w:pPr>
      <w:r w:rsidRPr="0020240C">
        <w:rPr>
          <w:i/>
          <w:lang w:val="es-ES_tradnl"/>
        </w:rPr>
        <w:t>c)</w:t>
      </w:r>
      <w:r w:rsidRPr="0020240C">
        <w:rPr>
          <w:lang w:val="es-ES_tradnl"/>
        </w:rPr>
        <w:tab/>
        <w:t>que la disponibilidad de un sistema de relevadores radioeléctricos es función de numerosos factores, en particular, la organización del mantenimiento (que condiciona el tiempo de restablecimiento del servicio), la fiabilidad del equipo, la concepción del sistema y las condiciones de propagación; la importancia relativa de estos diversos factores puede variar considerablemente, a veces sin posibilidad de control, de una zona a otra;</w:t>
      </w:r>
    </w:p>
    <w:p w:rsidR="00CF07DF" w:rsidRPr="0020240C" w:rsidRDefault="00CF07DF">
      <w:pPr>
        <w:rPr>
          <w:lang w:val="es-ES_tradnl"/>
        </w:rPr>
      </w:pPr>
      <w:r w:rsidRPr="0020240C">
        <w:rPr>
          <w:i/>
          <w:lang w:val="es-ES_tradnl"/>
        </w:rPr>
        <w:t>d)</w:t>
      </w:r>
      <w:r w:rsidRPr="0020240C">
        <w:rPr>
          <w:lang w:val="es-ES_tradnl"/>
        </w:rPr>
        <w:tab/>
        <w:t>que conviene indicar objetivos de disponibilidad como guía para la planificación de radioenlaces reales de sistemas de relevadores radioeléctricos incluidos en la parte de grado alto de una red digital de servicios integrados,</w:t>
      </w:r>
    </w:p>
    <w:p w:rsidR="00CF07DF" w:rsidRPr="0020240C" w:rsidRDefault="00CF07DF">
      <w:pPr>
        <w:pStyle w:val="call"/>
        <w:rPr>
          <w:lang w:val="es-ES_tradnl"/>
        </w:rPr>
      </w:pPr>
      <w:r w:rsidRPr="0020240C">
        <w:rPr>
          <w:lang w:val="es-ES_tradnl"/>
        </w:rPr>
        <w:t>recomienda</w:t>
      </w:r>
    </w:p>
    <w:p w:rsidR="00CF07DF" w:rsidRPr="0020240C" w:rsidRDefault="00CF07DF">
      <w:pPr>
        <w:rPr>
          <w:lang w:val="es-ES_tradnl"/>
        </w:rPr>
      </w:pPr>
      <w:r w:rsidRPr="0020240C">
        <w:rPr>
          <w:b/>
          <w:lang w:val="es-ES_tradnl"/>
        </w:rPr>
        <w:t>1.</w:t>
      </w:r>
      <w:r w:rsidRPr="0020240C">
        <w:rPr>
          <w:lang w:val="es-ES_tradnl"/>
        </w:rPr>
        <w:tab/>
        <w:t>Que el objetivo de disponibilidad para un radioenlace digital real destinado a formar parte de un circuito de grado alto dentro de una RDSI, de una longitud,</w:t>
      </w:r>
      <w:r w:rsidRPr="0020240C">
        <w:rPr>
          <w:i/>
          <w:lang w:val="es-ES_tradnl"/>
        </w:rPr>
        <w:t xml:space="preserve"> L</w:t>
      </w:r>
      <w:r w:rsidRPr="0020240C">
        <w:rPr>
          <w:lang w:val="es-ES_tradnl"/>
        </w:rPr>
        <w:t>, comprendida entre 280 y 2500 km sea el siguiente:</w:t>
      </w:r>
    </w:p>
    <w:p w:rsidR="00CF07DF" w:rsidRPr="0020240C" w:rsidRDefault="00CF07DF">
      <w:pPr>
        <w:tabs>
          <w:tab w:val="clear" w:pos="1191"/>
          <w:tab w:val="clear" w:pos="1588"/>
          <w:tab w:val="clear" w:pos="1985"/>
          <w:tab w:val="center" w:pos="4849"/>
          <w:tab w:val="right" w:pos="9696"/>
        </w:tabs>
        <w:spacing w:before="140" w:after="40"/>
        <w:jc w:val="left"/>
        <w:rPr>
          <w:lang w:val="es-ES_tradnl"/>
        </w:rPr>
      </w:pPr>
      <w:r w:rsidRPr="0020240C">
        <w:rPr>
          <w:i/>
          <w:lang w:val="es-ES_tradnl"/>
        </w:rPr>
        <w:tab/>
      </w:r>
      <w:r w:rsidRPr="0020240C">
        <w:rPr>
          <w:i/>
          <w:lang w:val="es-ES_tradnl"/>
        </w:rPr>
        <w:tab/>
        <w:t>A</w:t>
      </w:r>
      <w:r w:rsidRPr="0020240C">
        <w:rPr>
          <w:lang w:val="es-ES_tradnl"/>
        </w:rPr>
        <w:t xml:space="preserve">  </w:t>
      </w:r>
      <w:r>
        <w:rPr>
          <w:rFonts w:ascii="Symbol" w:hAnsi="Symbol"/>
        </w:rPr>
        <w:t></w:t>
      </w:r>
      <w:r w:rsidRPr="0020240C">
        <w:rPr>
          <w:lang w:val="es-ES_tradnl"/>
        </w:rPr>
        <w:t xml:space="preserve">  100 – (0,3  ×  </w:t>
      </w:r>
      <w:r w:rsidRPr="0020240C">
        <w:rPr>
          <w:i/>
          <w:lang w:val="es-ES_tradnl"/>
        </w:rPr>
        <w:t>L</w:t>
      </w:r>
      <w:r w:rsidRPr="0020240C">
        <w:rPr>
          <w:lang w:val="es-ES_tradnl"/>
        </w:rPr>
        <w:t xml:space="preserve"> /2500)               %</w:t>
      </w:r>
    </w:p>
    <w:p w:rsidR="00CF07DF" w:rsidRPr="0020240C" w:rsidRDefault="00CF07DF">
      <w:pPr>
        <w:rPr>
          <w:lang w:val="es-ES_tradnl"/>
        </w:rPr>
      </w:pPr>
      <w:r w:rsidRPr="0020240C">
        <w:rPr>
          <w:lang w:val="es-ES_tradnl"/>
        </w:rPr>
        <w:t>como el porcentaje se considera durante un periodo de tiempo suficientemente largo para ser estadísticamente válido, este periodo es probablemente superior a un año; el periodo de tiempo está en estudio (véanse las notas 1, 2 y 3).</w:t>
      </w:r>
    </w:p>
    <w:p w:rsidR="00CF07DF" w:rsidRPr="0020240C" w:rsidRDefault="00CF07DF">
      <w:pPr>
        <w:rPr>
          <w:lang w:val="es-ES_tradnl"/>
        </w:rPr>
      </w:pPr>
      <w:r w:rsidRPr="0020240C">
        <w:rPr>
          <w:b/>
          <w:lang w:val="es-ES_tradnl"/>
        </w:rPr>
        <w:t>2.</w:t>
      </w:r>
      <w:r w:rsidRPr="0020240C">
        <w:rPr>
          <w:lang w:val="es-ES_tradnl"/>
        </w:rPr>
        <w:tab/>
        <w:t>Que al estimar la indisponibilidad, deben incluirse todas las causas estadísticamente predecibles e inintencionadas, que tengan su origen en el equipo radioeléctrico (incluye todo el equipo comprendido en una sección radioeléctrica digital), fuentes de alimentación, propagación (véase la observación), interferencia, equipo auxiliar y actividades humanas. La estimación de la indisponibilidad incluye la consideración del tiempo medio de restablecimiento del servicio (véanse las notas 4 y 5).</w:t>
      </w:r>
    </w:p>
    <w:p w:rsidR="00CF07DF" w:rsidRPr="00631477" w:rsidRDefault="00CF07DF">
      <w:pPr>
        <w:rPr>
          <w:lang w:val="es-ES_tradnl"/>
        </w:rPr>
      </w:pPr>
      <w:r w:rsidRPr="00631477">
        <w:rPr>
          <w:i/>
          <w:lang w:val="es-ES_tradnl"/>
        </w:rPr>
        <w:t>Observación</w:t>
      </w:r>
      <w:r w:rsidRPr="00631477">
        <w:rPr>
          <w:lang w:val="es-ES_tradnl"/>
        </w:rPr>
        <w:t xml:space="preserve"> – La influencia de la parte dependiente de la propagación sobre el objetivo de diseño de disponibilidad se considera en las Recomendaciones UIT-R F.1093 y UIT-R P.530.</w:t>
      </w:r>
    </w:p>
    <w:p w:rsidR="00CF07DF" w:rsidRPr="0020240C" w:rsidRDefault="00CF07DF">
      <w:pPr>
        <w:rPr>
          <w:lang w:val="es-ES_tradnl"/>
        </w:rPr>
      </w:pPr>
      <w:r w:rsidRPr="0020240C">
        <w:rPr>
          <w:b/>
          <w:lang w:val="es-ES_tradnl"/>
        </w:rPr>
        <w:t>3.</w:t>
      </w:r>
      <w:r w:rsidRPr="0020240C">
        <w:rPr>
          <w:lang w:val="es-ES_tradnl"/>
        </w:rPr>
        <w:tab/>
        <w:t>Que se consideren parte de la Recomendación las siguientes notas:</w:t>
      </w:r>
    </w:p>
    <w:p w:rsidR="00CF07DF" w:rsidRPr="0020240C" w:rsidRDefault="00CF07DF">
      <w:pPr>
        <w:pStyle w:val="Note"/>
        <w:rPr>
          <w:lang w:val="es-ES_tradnl"/>
        </w:rPr>
      </w:pPr>
      <w:r w:rsidRPr="0020240C">
        <w:rPr>
          <w:i/>
          <w:lang w:val="es-ES_tradnl"/>
        </w:rPr>
        <w:lastRenderedPageBreak/>
        <w:t>Nota 1</w:t>
      </w:r>
      <w:r w:rsidRPr="0020240C">
        <w:rPr>
          <w:lang w:val="es-ES_tradnl"/>
        </w:rPr>
        <w:t xml:space="preserve"> – Este valor del 0,3 es provisional, y se reconoce, en la práctica, que el valor elegido puede caer dentro de la gama 0,1 a 0,5. La selección de un valor específico de esta gama depende de la asignación óptima del tiempo de interrupción entre las distintas causas, que puede no ser la misma al tenerse en cuenta las condiciones locales (a saber, propagación, factores geográficos, distribución de la población, organización del mantenimiento).</w:t>
      </w:r>
    </w:p>
    <w:p w:rsidR="00CF07DF" w:rsidRPr="0020240C" w:rsidRDefault="00CF07DF">
      <w:pPr>
        <w:rPr>
          <w:lang w:val="es-ES_tradnl"/>
        </w:rPr>
      </w:pPr>
      <w:r w:rsidRPr="0020240C">
        <w:rPr>
          <w:lang w:val="es-ES_tradnl"/>
        </w:rPr>
        <w:tab/>
        <w:t>Además, la disponibilidad de los sistemas de relevadores radioeléctricos es sólo uno de los muchos factores que aseguran una calidad de servicio aceptable al tráfico telefónico; la selección de un valor óptimo para este factor particular sólo puede realizarse considerando todos los sistemas de transmisión, ya existentes o previstos en la red sometida a estudio. Por todas estas razones las administraciones, a efectos de planificación, pueden escoger, dentro del margen indicado, otros valores como objetivos de disponibilidad.</w:t>
      </w:r>
    </w:p>
    <w:p w:rsidR="00CF07DF" w:rsidRPr="0020240C" w:rsidRDefault="00CF07DF">
      <w:pPr>
        <w:pStyle w:val="Note"/>
        <w:rPr>
          <w:lang w:val="es-ES_tradnl"/>
        </w:rPr>
      </w:pPr>
      <w:r w:rsidRPr="0020240C">
        <w:rPr>
          <w:i/>
          <w:lang w:val="es-ES_tradnl"/>
        </w:rPr>
        <w:t>Nota 2</w:t>
      </w:r>
      <w:r w:rsidRPr="0020240C">
        <w:rPr>
          <w:lang w:val="es-ES_tradnl"/>
        </w:rPr>
        <w:t xml:space="preserve"> – En lo anterior, se ha excluido la disponibilidad de los equipos múltiplex. Se espera que el UIT-T establezca objetivos de disponibilidad para estos equipos.</w:t>
      </w:r>
    </w:p>
    <w:p w:rsidR="00CF07DF" w:rsidRPr="0020240C" w:rsidRDefault="00CF07DF">
      <w:pPr>
        <w:pStyle w:val="Note"/>
        <w:rPr>
          <w:lang w:val="es-ES_tradnl"/>
        </w:rPr>
      </w:pPr>
      <w:r w:rsidRPr="0020240C">
        <w:rPr>
          <w:i/>
          <w:lang w:val="es-ES_tradnl"/>
        </w:rPr>
        <w:t>Nota 3</w:t>
      </w:r>
      <w:r w:rsidRPr="0020240C">
        <w:rPr>
          <w:lang w:val="es-ES_tradnl"/>
        </w:rPr>
        <w:t xml:space="preserve"> – Se están estudiando objetivos de disponibilidad para circuitos menores de 280 km.</w:t>
      </w:r>
    </w:p>
    <w:p w:rsidR="00CF07DF" w:rsidRPr="0020240C" w:rsidRDefault="00CF07DF">
      <w:pPr>
        <w:pStyle w:val="Note"/>
        <w:rPr>
          <w:lang w:val="es-ES_tradnl"/>
        </w:rPr>
      </w:pPr>
      <w:r w:rsidRPr="0020240C">
        <w:rPr>
          <w:i/>
          <w:lang w:val="es-ES_tradnl"/>
        </w:rPr>
        <w:t>Nota 4</w:t>
      </w:r>
      <w:r w:rsidRPr="0020240C">
        <w:rPr>
          <w:lang w:val="es-ES_tradnl"/>
        </w:rPr>
        <w:t xml:space="preserve"> – Los planificadores deberán indicar sus supuestos en cuanto al tiempo medio entre averías, el tiempo medio de restablecimiento del servicio, las precauciones adoptadas contra las interrupciones y desvanecimientos (en particular, el empleo de canales de protección y el número de tramos por sección de conmutación) y la distribución de los desvanecimientos de duración superior a 10 s.</w:t>
      </w:r>
    </w:p>
    <w:p w:rsidR="00CF07DF" w:rsidRPr="0020240C" w:rsidRDefault="00CF07DF">
      <w:pPr>
        <w:pStyle w:val="Note"/>
        <w:rPr>
          <w:lang w:val="es-ES_tradnl"/>
        </w:rPr>
      </w:pPr>
      <w:r w:rsidRPr="0020240C">
        <w:rPr>
          <w:i/>
          <w:lang w:val="es-ES_tradnl"/>
        </w:rPr>
        <w:t>Nota 5</w:t>
      </w:r>
      <w:r w:rsidRPr="0020240C">
        <w:rPr>
          <w:lang w:val="es-ES_tradnl"/>
        </w:rPr>
        <w:t xml:space="preserve"> – El tiempo de restablecimiento del servicio, es decir, el tiempo que transcurre entre una interrupción del tráfico y su reanudación por el trayecto original, incluye los tiempos de identificación, desplazamiento y reparación. Se producirán diferencias en el tiempo de restablecimiento entre distintas administraciones a causa de varios factores, como la facilidad de acceso al emplazamiento, condiciones meteorológicas, política de aplicación de las normas de mantenimiento y otros factores de carácter económico.</w:t>
      </w:r>
    </w:p>
    <w:p w:rsidR="00CF07DF" w:rsidRPr="0020240C" w:rsidRDefault="00CF07DF">
      <w:pPr>
        <w:pStyle w:val="Note"/>
        <w:rPr>
          <w:lang w:val="es-ES_tradnl"/>
        </w:rPr>
      </w:pPr>
      <w:r w:rsidRPr="0020240C">
        <w:rPr>
          <w:i/>
          <w:lang w:val="es-ES_tradnl"/>
        </w:rPr>
        <w:t>Nota 6</w:t>
      </w:r>
      <w:r w:rsidRPr="0020240C">
        <w:rPr>
          <w:lang w:val="es-ES_tradnl"/>
        </w:rPr>
        <w:t xml:space="preserve"> – En esta Recomendación no se tienen en cuenta las mejoras que pueden obtenerse mediante el reencami</w:t>
      </w:r>
      <w:r w:rsidRPr="0020240C">
        <w:rPr>
          <w:lang w:val="es-ES_tradnl"/>
        </w:rPr>
        <w:softHyphen/>
        <w:t>namiento del tráfico por otros sistemas, por ejemplo, cables y otros sistemas de relevadores radioeléctricos.</w:t>
      </w:r>
    </w:p>
    <w:p w:rsidR="00CF07DF" w:rsidRPr="0020240C" w:rsidRDefault="00CF07DF">
      <w:pPr>
        <w:rPr>
          <w:lang w:val="es-ES_tradnl"/>
        </w:rPr>
      </w:pPr>
    </w:p>
    <w:p w:rsidR="00CF07DF" w:rsidRPr="0020240C" w:rsidRDefault="00CF07DF">
      <w:pPr>
        <w:pStyle w:val="Line"/>
        <w:rPr>
          <w:lang w:val="es-ES_tradnl"/>
        </w:rPr>
      </w:pPr>
    </w:p>
    <w:sectPr w:rsidR="00CF07DF" w:rsidRPr="0020240C" w:rsidSect="00C76F96">
      <w:footnotePr>
        <w:pos w:val="beneathText"/>
        <w:numFmt w:val="chicago"/>
      </w:footnotePr>
      <w:pgSz w:w="11913" w:h="16834"/>
      <w:pgMar w:top="1089" w:right="1089" w:bottom="1089" w:left="1089" w:header="482" w:footer="4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7DF" w:rsidRDefault="00CF07DF">
      <w:pPr>
        <w:spacing w:before="0"/>
      </w:pPr>
      <w:r>
        <w:separator/>
      </w:r>
    </w:p>
  </w:endnote>
  <w:endnote w:type="continuationSeparator" w:id="0">
    <w:p w:rsidR="00CF07DF" w:rsidRDefault="00CF07D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7DF" w:rsidRDefault="00CF07DF">
      <w:r>
        <w:rPr>
          <w:b/>
        </w:rPr>
        <w:t>_______________</w:t>
      </w:r>
    </w:p>
  </w:footnote>
  <w:footnote w:type="continuationSeparator" w:id="0">
    <w:p w:rsidR="00CF07DF" w:rsidRDefault="00CF07DF">
      <w:pPr>
        <w:spacing w:before="0"/>
      </w:pPr>
      <w:r>
        <w:continuationSeparator/>
      </w:r>
    </w:p>
  </w:footnote>
  <w:footnote w:id="1">
    <w:p w:rsidR="00CF07DF" w:rsidRPr="0020240C" w:rsidRDefault="00CF07DF">
      <w:pPr>
        <w:pStyle w:val="FootnoteText"/>
        <w:ind w:left="313" w:hanging="313"/>
        <w:rPr>
          <w:lang w:val="es-ES_tradnl"/>
        </w:rPr>
      </w:pPr>
      <w:r w:rsidRPr="0020240C">
        <w:rPr>
          <w:rStyle w:val="FootnoteReference"/>
          <w:lang w:val="es-ES_tradnl"/>
        </w:rPr>
        <w:t>*</w:t>
      </w:r>
      <w:r w:rsidRPr="0020240C">
        <w:rPr>
          <w:lang w:val="es-ES_tradnl"/>
        </w:rPr>
        <w:tab/>
        <w:t>La Comisión de Estudio 9 de Radiocomunicaciones efectuó modificaciones de redacción en esta Recomendación en 2000 de conformidad con la Resolución UIT-R 44.</w:t>
      </w:r>
    </w:p>
  </w:footnote>
  <w:footnote w:id="2">
    <w:p w:rsidR="00631477" w:rsidRPr="00631477" w:rsidRDefault="00631477" w:rsidP="00631477">
      <w:pPr>
        <w:pStyle w:val="FootnoteText"/>
        <w:ind w:left="313" w:hanging="313"/>
        <w:rPr>
          <w:lang w:val="es-ES_tradnl"/>
        </w:rPr>
      </w:pPr>
      <w:r w:rsidRPr="00631477">
        <w:rPr>
          <w:rStyle w:val="FootnoteReference"/>
          <w:lang w:val="es-ES_tradnl"/>
        </w:rPr>
        <w:t>**</w:t>
      </w:r>
      <w:r w:rsidRPr="00631477">
        <w:rPr>
          <w:lang w:val="es-ES_tradnl"/>
        </w:rPr>
        <w:t xml:space="preserve"> </w:t>
      </w:r>
      <w:r>
        <w:rPr>
          <w:lang w:val="es-ES_tradnl"/>
        </w:rPr>
        <w:tab/>
      </w:r>
      <w:r w:rsidRPr="00631477">
        <w:rPr>
          <w:iCs/>
          <w:szCs w:val="24"/>
          <w:lang w:val="es-ES" w:eastAsia="ja-JP" w:bidi="he-IL"/>
        </w:rPr>
        <w:t>La Comisión de Estudio 5 de Radiocomunicaciones introdujo cambios de edición en la presente Recomendación en 2012, con arreglo a lo dispuesto en la Resolución UIT-R 1</w:t>
      </w:r>
      <w:r w:rsidRPr="00E30855">
        <w:rPr>
          <w:rFonts w:eastAsia="Arial Unicode MS"/>
          <w:iCs/>
          <w:color w:val="7030A0"/>
          <w:szCs w:val="24"/>
          <w:lang w:val="es-E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attachedTemplate r:id="rId1"/>
  <w:doNotTrackMoves/>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pos w:val="beneathText"/>
    <w:numFmt w:val="chicago"/>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4FE0"/>
    <w:rsid w:val="0020240C"/>
    <w:rsid w:val="00631477"/>
    <w:rsid w:val="00B34FE0"/>
    <w:rsid w:val="00BD10DB"/>
    <w:rsid w:val="00C76F96"/>
    <w:rsid w:val="00CF07DF"/>
    <w:rsid w:val="00EA11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36"/>
      <w:jc w:val="both"/>
      <w:textAlignment w:val="baseline"/>
    </w:pPr>
    <w:rPr>
      <w:rFonts w:ascii="Times New Roman" w:hAnsi="Times New Roman"/>
      <w:lang w:val="en-GB" w:eastAsia="en-US"/>
    </w:rPr>
  </w:style>
  <w:style w:type="paragraph" w:styleId="Heading1">
    <w:name w:val="heading 1"/>
    <w:basedOn w:val="Normal"/>
    <w:next w:val="Normal"/>
    <w:qFormat/>
    <w:pPr>
      <w:keepNext/>
      <w:keepLines/>
      <w:tabs>
        <w:tab w:val="clear" w:pos="1191"/>
        <w:tab w:val="clear" w:pos="1588"/>
        <w:tab w:val="clear" w:pos="1985"/>
      </w:tabs>
      <w:spacing w:before="480"/>
      <w:ind w:left="794" w:hanging="794"/>
      <w:outlineLvl w:val="0"/>
    </w:pPr>
    <w:rPr>
      <w:b/>
      <w:sz w:val="24"/>
    </w:rPr>
  </w:style>
  <w:style w:type="paragraph" w:styleId="Heading2">
    <w:name w:val="heading 2"/>
    <w:basedOn w:val="Normal"/>
    <w:next w:val="Normal"/>
    <w:qFormat/>
    <w:pPr>
      <w:keepNext/>
      <w:keepLines/>
      <w:tabs>
        <w:tab w:val="clear" w:pos="1191"/>
        <w:tab w:val="clear" w:pos="1588"/>
        <w:tab w:val="clear" w:pos="1985"/>
      </w:tabs>
      <w:spacing w:before="313"/>
      <w:ind w:left="794" w:hanging="794"/>
      <w:outlineLvl w:val="1"/>
    </w:pPr>
    <w:rPr>
      <w:b/>
      <w:sz w:val="22"/>
    </w:rPr>
  </w:style>
  <w:style w:type="paragraph" w:styleId="Heading3">
    <w:name w:val="heading 3"/>
    <w:basedOn w:val="Normal"/>
    <w:next w:val="Normal"/>
    <w:qFormat/>
    <w:pPr>
      <w:keepNext/>
      <w:keepLines/>
      <w:tabs>
        <w:tab w:val="clear" w:pos="1191"/>
        <w:tab w:val="clear" w:pos="1588"/>
        <w:tab w:val="clear" w:pos="1985"/>
      </w:tabs>
      <w:spacing w:before="181"/>
      <w:ind w:left="794" w:hanging="794"/>
      <w:outlineLvl w:val="2"/>
    </w:pPr>
    <w:rPr>
      <w:b/>
    </w:rPr>
  </w:style>
  <w:style w:type="paragraph" w:styleId="Heading4">
    <w:name w:val="heading 4"/>
    <w:basedOn w:val="Heading3"/>
    <w:next w:val="Normal"/>
    <w:qFormat/>
    <w:pPr>
      <w:tabs>
        <w:tab w:val="clear" w:pos="794"/>
        <w:tab w:val="left" w:pos="851"/>
      </w:tabs>
      <w:ind w:left="851" w:hanging="851"/>
      <w:outlineLvl w:val="3"/>
    </w:pPr>
  </w:style>
  <w:style w:type="paragraph" w:styleId="Heading5">
    <w:name w:val="heading 5"/>
    <w:basedOn w:val="Heading3"/>
    <w:next w:val="Normal"/>
    <w:qFormat/>
    <w:pPr>
      <w:tabs>
        <w:tab w:val="clear" w:pos="794"/>
        <w:tab w:val="left" w:pos="1021"/>
      </w:tabs>
      <w:ind w:left="1021" w:hanging="1021"/>
      <w:outlineLvl w:val="4"/>
    </w:pPr>
  </w:style>
  <w:style w:type="paragraph" w:styleId="Heading6">
    <w:name w:val="heading 6"/>
    <w:basedOn w:val="Heading3"/>
    <w:next w:val="Normal"/>
    <w:qFormat/>
    <w:pPr>
      <w:tabs>
        <w:tab w:val="clear" w:pos="794"/>
        <w:tab w:val="left" w:pos="1191"/>
      </w:tabs>
      <w:ind w:left="1191" w:hanging="1191"/>
      <w:outlineLvl w:val="5"/>
    </w:pPr>
  </w:style>
  <w:style w:type="paragraph" w:styleId="Heading7">
    <w:name w:val="heading 7"/>
    <w:basedOn w:val="Heading3"/>
    <w:next w:val="Normal"/>
    <w:qFormat/>
    <w:pPr>
      <w:tabs>
        <w:tab w:val="clear" w:pos="794"/>
        <w:tab w:val="left" w:pos="1361"/>
      </w:tabs>
      <w:spacing w:before="200"/>
      <w:ind w:left="0" w:firstLine="0"/>
      <w:outlineLvl w:val="6"/>
    </w:pPr>
  </w:style>
  <w:style w:type="paragraph" w:styleId="Heading8">
    <w:name w:val="heading 8"/>
    <w:basedOn w:val="Heading3"/>
    <w:next w:val="Normal"/>
    <w:qFormat/>
    <w:pPr>
      <w:tabs>
        <w:tab w:val="clear" w:pos="794"/>
        <w:tab w:val="left" w:pos="1418"/>
      </w:tabs>
      <w:ind w:left="1418" w:hanging="1418"/>
      <w:outlineLvl w:val="7"/>
    </w:pPr>
  </w:style>
  <w:style w:type="paragraph" w:styleId="Heading9">
    <w:name w:val="heading 9"/>
    <w:basedOn w:val="Heading3"/>
    <w:next w:val="Normal"/>
    <w:qFormat/>
    <w:pPr>
      <w:tabs>
        <w:tab w:val="clear" w:pos="794"/>
        <w:tab w:val="left" w:pos="1531"/>
      </w:tabs>
      <w:ind w:left="1531" w:hanging="153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7711"/>
        <w:tab w:val="right" w:leader="dot" w:pos="9725"/>
      </w:tabs>
      <w:ind w:left="6350"/>
    </w:pPr>
  </w:style>
  <w:style w:type="paragraph" w:styleId="TOC7">
    <w:name w:val="toc 7"/>
    <w:basedOn w:val="TOC2"/>
    <w:next w:val="Normal"/>
    <w:semiHidden/>
    <w:pPr>
      <w:spacing w:before="20"/>
      <w:ind w:right="652"/>
    </w:pPr>
  </w:style>
  <w:style w:type="paragraph" w:styleId="TOC6">
    <w:name w:val="toc 6"/>
    <w:basedOn w:val="Normal"/>
    <w:next w:val="Normal"/>
    <w:semiHidden/>
    <w:pPr>
      <w:tabs>
        <w:tab w:val="left" w:pos="5104"/>
        <w:tab w:val="right" w:leader="dot" w:pos="9725"/>
      </w:tabs>
      <w:ind w:left="3969"/>
    </w:pPr>
  </w:style>
  <w:style w:type="paragraph" w:styleId="TOC5">
    <w:name w:val="toc 5"/>
    <w:basedOn w:val="Normal"/>
    <w:next w:val="Normal"/>
    <w:semiHidden/>
    <w:pPr>
      <w:tabs>
        <w:tab w:val="left" w:pos="3969"/>
        <w:tab w:val="right" w:leader="dot" w:pos="9725"/>
      </w:tabs>
      <w:ind w:left="2948"/>
    </w:pPr>
  </w:style>
  <w:style w:type="paragraph" w:styleId="TOC4">
    <w:name w:val="toc 4"/>
    <w:basedOn w:val="TOC3"/>
    <w:next w:val="TOC5"/>
    <w:semiHidden/>
    <w:pPr>
      <w:tabs>
        <w:tab w:val="left" w:pos="2948"/>
      </w:tabs>
      <w:ind w:left="2948" w:hanging="907"/>
    </w:pPr>
  </w:style>
  <w:style w:type="paragraph" w:styleId="TOC3">
    <w:name w:val="toc 3"/>
    <w:basedOn w:val="TOC2"/>
    <w:next w:val="TOC4"/>
    <w:semiHidden/>
    <w:pPr>
      <w:tabs>
        <w:tab w:val="clear" w:pos="1247"/>
        <w:tab w:val="left" w:pos="2041"/>
      </w:tabs>
      <w:spacing w:before="20"/>
      <w:ind w:left="2041" w:hanging="794"/>
    </w:pPr>
  </w:style>
  <w:style w:type="paragraph" w:styleId="TOC2">
    <w:name w:val="toc 2"/>
    <w:basedOn w:val="TOC1"/>
    <w:next w:val="TOC3"/>
    <w:semiHidden/>
    <w:pPr>
      <w:tabs>
        <w:tab w:val="clear" w:pos="567"/>
        <w:tab w:val="left" w:pos="1247"/>
      </w:tabs>
      <w:spacing w:before="40"/>
      <w:ind w:left="1247" w:hanging="680"/>
    </w:pPr>
  </w:style>
  <w:style w:type="paragraph" w:styleId="TOC1">
    <w:name w:val="toc 1"/>
    <w:basedOn w:val="Normal"/>
    <w:next w:val="TOC2"/>
    <w:semiHidden/>
    <w:pPr>
      <w:keepNext/>
      <w:tabs>
        <w:tab w:val="clear" w:pos="794"/>
        <w:tab w:val="clear" w:pos="1191"/>
        <w:tab w:val="clear" w:pos="1588"/>
        <w:tab w:val="clear" w:pos="1985"/>
        <w:tab w:val="left" w:pos="567"/>
        <w:tab w:val="right" w:leader="dot" w:pos="9072"/>
        <w:tab w:val="right" w:pos="9725"/>
      </w:tabs>
      <w:spacing w:before="120"/>
      <w:ind w:left="567" w:right="653" w:hanging="567"/>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emiHidden/>
  </w:style>
  <w:style w:type="paragraph" w:styleId="IndexHeading">
    <w:name w:val="index heading"/>
    <w:basedOn w:val="Normal"/>
    <w:next w:val="Index1"/>
    <w:semiHidden/>
  </w:style>
  <w:style w:type="paragraph" w:styleId="Footer">
    <w:name w:val="footer"/>
    <w:basedOn w:val="Normal"/>
    <w:semiHidden/>
    <w:pPr>
      <w:tabs>
        <w:tab w:val="clear" w:pos="794"/>
        <w:tab w:val="clear" w:pos="1191"/>
        <w:tab w:val="clear" w:pos="1588"/>
        <w:tab w:val="clear" w:pos="1985"/>
        <w:tab w:val="center" w:pos="4849"/>
        <w:tab w:val="right" w:pos="9696"/>
      </w:tabs>
      <w:jc w:val="left"/>
    </w:pPr>
    <w:rPr>
      <w:b/>
    </w:rPr>
  </w:style>
  <w:style w:type="paragraph" w:styleId="Header">
    <w:name w:val="header"/>
    <w:basedOn w:val="Normal"/>
    <w:semiHidden/>
    <w:pPr>
      <w:tabs>
        <w:tab w:val="clear" w:pos="794"/>
        <w:tab w:val="clear" w:pos="1191"/>
        <w:tab w:val="clear" w:pos="1588"/>
        <w:tab w:val="clear" w:pos="1985"/>
        <w:tab w:val="center" w:pos="4849"/>
        <w:tab w:val="right" w:pos="9696"/>
      </w:tabs>
    </w:pPr>
    <w:rPr>
      <w:b/>
    </w:rPr>
  </w:style>
  <w:style w:type="character" w:styleId="FootnoteReference">
    <w:name w:val="footnote reference"/>
    <w:semiHidden/>
    <w:rPr>
      <w:position w:val="4"/>
      <w:sz w:val="16"/>
    </w:rPr>
  </w:style>
  <w:style w:type="paragraph" w:styleId="FootnoteText">
    <w:name w:val="footnote text"/>
    <w:basedOn w:val="Normal"/>
    <w:semiHidden/>
    <w:pPr>
      <w:tabs>
        <w:tab w:val="clear" w:pos="794"/>
        <w:tab w:val="clear" w:pos="1191"/>
        <w:tab w:val="clear" w:pos="1588"/>
        <w:tab w:val="clear" w:pos="1985"/>
        <w:tab w:val="left" w:pos="313"/>
      </w:tabs>
    </w:pPr>
    <w:rPr>
      <w:sz w:val="18"/>
    </w:rPr>
  </w:style>
  <w:style w:type="paragraph" w:styleId="NormalIndent">
    <w:name w:val="Normal Indent"/>
    <w:basedOn w:val="Normal"/>
    <w:semiHidden/>
    <w:pPr>
      <w:ind w:left="600"/>
    </w:pPr>
  </w:style>
  <w:style w:type="paragraph" w:customStyle="1" w:styleId="TableLegend">
    <w:name w:val="Table_Legend"/>
    <w:basedOn w:val="Normal"/>
    <w:next w:val="Normal"/>
    <w:pPr>
      <w:keepNext/>
      <w:spacing w:before="86" w:line="199" w:lineRule="exact"/>
      <w:ind w:left="-85" w:right="-85"/>
    </w:pPr>
    <w:rPr>
      <w:sz w:val="18"/>
    </w:rPr>
  </w:style>
  <w:style w:type="paragraph" w:customStyle="1" w:styleId="TableTitle">
    <w:name w:val="Table_Title"/>
    <w:basedOn w:val="Table"/>
    <w:next w:val="Blanc"/>
    <w:pPr>
      <w:spacing w:before="0"/>
    </w:pPr>
    <w:rPr>
      <w:b/>
    </w:rPr>
  </w:style>
  <w:style w:type="paragraph" w:customStyle="1" w:styleId="Table">
    <w:name w:val="Table_#"/>
    <w:basedOn w:val="Normal"/>
    <w:next w:val="TableTitle"/>
    <w:pPr>
      <w:keepNext/>
      <w:tabs>
        <w:tab w:val="clear" w:pos="794"/>
        <w:tab w:val="clear" w:pos="1191"/>
        <w:tab w:val="clear" w:pos="1588"/>
        <w:tab w:val="clear" w:pos="1985"/>
      </w:tabs>
      <w:spacing w:before="567" w:after="113"/>
      <w:jc w:val="center"/>
    </w:pPr>
    <w:rPr>
      <w:sz w:val="1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rPr>
  </w:style>
  <w:style w:type="paragraph" w:customStyle="1" w:styleId="TableText">
    <w:name w:val="Table_Text"/>
    <w:basedOn w:val="TableLegend"/>
    <w:pPr>
      <w:spacing w:before="100" w:after="100" w:line="190" w:lineRule="exact"/>
      <w:ind w:left="0" w:right="0"/>
    </w:pPr>
  </w:style>
  <w:style w:type="paragraph" w:customStyle="1" w:styleId="enumlev1">
    <w:name w:val="enumlev1"/>
    <w:basedOn w:val="Normal"/>
    <w:next w:val="Normal"/>
    <w:pPr>
      <w:tabs>
        <w:tab w:val="clear" w:pos="794"/>
        <w:tab w:val="clear" w:pos="1191"/>
        <w:tab w:val="clear" w:pos="1588"/>
        <w:tab w:val="clear" w:pos="1985"/>
        <w:tab w:val="left" w:pos="397"/>
      </w:tabs>
      <w:spacing w:before="86"/>
      <w:ind w:left="397" w:hanging="397"/>
    </w:pPr>
  </w:style>
  <w:style w:type="paragraph" w:customStyle="1" w:styleId="enumlev2">
    <w:name w:val="enumlev2"/>
    <w:basedOn w:val="enumlev1"/>
    <w:pPr>
      <w:tabs>
        <w:tab w:val="clear" w:pos="397"/>
        <w:tab w:val="left" w:pos="794"/>
      </w:tabs>
      <w:ind w:left="794"/>
    </w:pPr>
  </w:style>
  <w:style w:type="paragraph" w:customStyle="1" w:styleId="enumlev3">
    <w:name w:val="enumlev3"/>
    <w:basedOn w:val="enumlev2"/>
    <w:pPr>
      <w:tabs>
        <w:tab w:val="clear" w:pos="794"/>
        <w:tab w:val="left" w:pos="1191"/>
      </w:tabs>
      <w:ind w:left="1191"/>
    </w:pPr>
  </w:style>
  <w:style w:type="paragraph" w:customStyle="1" w:styleId="Figure">
    <w:name w:val="Figure"/>
    <w:basedOn w:val="Normal"/>
    <w:next w:val="Normal"/>
    <w:pPr>
      <w:keepNext/>
      <w:keepLines/>
      <w:spacing w:before="240"/>
      <w:jc w:val="center"/>
    </w:pPr>
  </w:style>
  <w:style w:type="paragraph" w:customStyle="1" w:styleId="FigureLegend">
    <w:name w:val="Figure_Legend"/>
    <w:basedOn w:val="TableLegend"/>
    <w:next w:val="FigureRemark"/>
    <w:pPr>
      <w:jc w:val="left"/>
    </w:pPr>
  </w:style>
  <w:style w:type="paragraph" w:customStyle="1" w:styleId="FigureRemark">
    <w:name w:val="Figure_Remark"/>
    <w:basedOn w:val="TableLegend"/>
    <w:pPr>
      <w:tabs>
        <w:tab w:val="clear" w:pos="794"/>
        <w:tab w:val="clear" w:pos="1191"/>
        <w:tab w:val="clear" w:pos="1588"/>
        <w:tab w:val="clear" w:pos="1985"/>
        <w:tab w:val="center" w:pos="284"/>
      </w:tabs>
      <w:spacing w:before="142"/>
    </w:pPr>
  </w:style>
  <w:style w:type="paragraph" w:customStyle="1" w:styleId="Figure0">
    <w:name w:val="Figure_#"/>
    <w:basedOn w:val="Table"/>
    <w:next w:val="FigureTitle"/>
  </w:style>
  <w:style w:type="paragraph" w:customStyle="1" w:styleId="FigureTitle">
    <w:name w:val="Figure_Title"/>
    <w:basedOn w:val="TableTitle"/>
    <w:next w:val="FigureLegend"/>
    <w:pPr>
      <w:spacing w:after="240"/>
    </w:pPr>
  </w:style>
  <w:style w:type="paragraph" w:customStyle="1" w:styleId="Annex">
    <w:name w:val="Annex_#"/>
    <w:basedOn w:val="Normal"/>
    <w:next w:val="AnnexRef"/>
    <w:pPr>
      <w:tabs>
        <w:tab w:val="clear" w:pos="794"/>
        <w:tab w:val="clear" w:pos="1191"/>
        <w:tab w:val="clear" w:pos="1588"/>
        <w:tab w:val="clear" w:pos="1985"/>
        <w:tab w:val="center" w:pos="4849"/>
        <w:tab w:val="right" w:pos="9696"/>
      </w:tabs>
      <w:spacing w:before="720" w:after="68"/>
      <w:jc w:val="center"/>
    </w:pPr>
  </w:style>
  <w:style w:type="paragraph" w:customStyle="1" w:styleId="AnnexRef">
    <w:name w:val="Annex_Ref"/>
    <w:basedOn w:val="Normal"/>
    <w:next w:val="AnnexTitle"/>
    <w:pPr>
      <w:tabs>
        <w:tab w:val="clear" w:pos="794"/>
        <w:tab w:val="clear" w:pos="1191"/>
        <w:tab w:val="clear" w:pos="1588"/>
        <w:tab w:val="clear" w:pos="1985"/>
        <w:tab w:val="center" w:pos="4849"/>
        <w:tab w:val="right" w:pos="9696"/>
      </w:tabs>
      <w:spacing w:before="0"/>
      <w:jc w:val="center"/>
    </w:pPr>
  </w:style>
  <w:style w:type="paragraph" w:customStyle="1" w:styleId="AnnexTitle">
    <w:name w:val="Annex_Title"/>
    <w:basedOn w:val="Normal"/>
    <w:next w:val="Normalaftertitle"/>
    <w:pPr>
      <w:tabs>
        <w:tab w:val="clear" w:pos="794"/>
        <w:tab w:val="clear" w:pos="1191"/>
        <w:tab w:val="clear" w:pos="1588"/>
        <w:tab w:val="clear" w:pos="1985"/>
        <w:tab w:val="left" w:pos="4849"/>
        <w:tab w:val="right" w:pos="9696"/>
      </w:tabs>
      <w:spacing w:after="200"/>
      <w:jc w:val="center"/>
    </w:pPr>
    <w:rPr>
      <w:b/>
      <w:sz w:val="24"/>
    </w:rPr>
  </w:style>
  <w:style w:type="paragraph" w:customStyle="1" w:styleId="Normalaftertitle">
    <w:name w:val="Normal after title"/>
    <w:basedOn w:val="Normal"/>
    <w:next w:val="Normal"/>
    <w:link w:val="NormalaftertitleChar"/>
    <w:pPr>
      <w:spacing w:before="480"/>
    </w:p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keepNext/>
      <w:keepLines/>
      <w:tabs>
        <w:tab w:val="clear" w:pos="794"/>
        <w:tab w:val="clear" w:pos="1191"/>
        <w:tab w:val="clear" w:pos="1588"/>
        <w:tab w:val="clear" w:pos="1985"/>
      </w:tabs>
      <w:spacing w:before="600"/>
      <w:jc w:val="center"/>
    </w:pPr>
    <w:rPr>
      <w:sz w:val="18"/>
    </w:rPr>
  </w:style>
  <w:style w:type="paragraph" w:customStyle="1" w:styleId="RefText">
    <w:name w:val="Ref_Text"/>
    <w:basedOn w:val="Normal"/>
    <w:pPr>
      <w:ind w:left="567" w:hanging="567"/>
    </w:pPr>
    <w:rPr>
      <w:sz w:val="18"/>
    </w:rPr>
  </w:style>
  <w:style w:type="paragraph" w:customStyle="1" w:styleId="listitem">
    <w:name w:val="listitem"/>
    <w:basedOn w:val="Normal"/>
    <w:pPr>
      <w:keepLines/>
      <w:spacing w:before="0"/>
      <w:jc w:val="left"/>
    </w:pPr>
  </w:style>
  <w:style w:type="paragraph" w:customStyle="1" w:styleId="Rec">
    <w:name w:val="Rec_#"/>
    <w:basedOn w:val="Normal"/>
    <w:next w:val="RecTitle"/>
    <w:pPr>
      <w:keepNext/>
      <w:keepLines/>
      <w:tabs>
        <w:tab w:val="clear" w:pos="794"/>
        <w:tab w:val="clear" w:pos="1191"/>
        <w:tab w:val="clear" w:pos="1588"/>
        <w:tab w:val="clear" w:pos="1985"/>
        <w:tab w:val="center" w:pos="4849"/>
        <w:tab w:val="right" w:pos="9696"/>
      </w:tabs>
      <w:spacing w:before="720"/>
      <w:jc w:val="center"/>
    </w:pPr>
  </w:style>
  <w:style w:type="paragraph" w:customStyle="1" w:styleId="RecTitle">
    <w:name w:val="Rec_Title"/>
    <w:basedOn w:val="Rec"/>
    <w:next w:val="RecTitleRef"/>
    <w:pPr>
      <w:spacing w:before="180"/>
    </w:pPr>
    <w:rPr>
      <w:b/>
    </w:rPr>
  </w:style>
  <w:style w:type="paragraph" w:customStyle="1" w:styleId="RecTitleRef">
    <w:name w:val="Rec_Title/Ref"/>
    <w:basedOn w:val="RecTitle"/>
    <w:next w:val="RecTitleDate"/>
    <w:pPr>
      <w:spacing w:before="136"/>
    </w:pPr>
    <w:rPr>
      <w:b w:val="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
    <w:pPr>
      <w:tabs>
        <w:tab w:val="clear" w:pos="794"/>
        <w:tab w:val="clear" w:pos="1191"/>
        <w:tab w:val="clear" w:pos="1588"/>
        <w:tab w:val="clear" w:pos="1985"/>
      </w:tabs>
      <w:spacing w:before="0"/>
    </w:pPr>
    <w:rPr>
      <w:b/>
      <w:color w:val="FFFFFF"/>
      <w:sz w:val="8"/>
    </w:rPr>
  </w:style>
  <w:style w:type="paragraph" w:customStyle="1" w:styleId="call">
    <w:name w:val="call"/>
    <w:basedOn w:val="Normal"/>
    <w:next w:val="Normal"/>
    <w:pPr>
      <w:keepNext/>
      <w:keepLines/>
      <w:tabs>
        <w:tab w:val="clear" w:pos="1191"/>
        <w:tab w:val="clear" w:pos="1588"/>
        <w:tab w:val="clear" w:pos="1985"/>
      </w:tabs>
      <w:spacing w:before="227"/>
      <w:ind w:left="794"/>
      <w:jc w:val="left"/>
    </w:pPr>
    <w:rPr>
      <w:i/>
    </w:rPr>
  </w:style>
  <w:style w:type="paragraph" w:customStyle="1" w:styleId="deftitle">
    <w:name w:val="def title"/>
    <w:basedOn w:val="Heading2"/>
    <w:next w:val="deftexte"/>
    <w:pPr>
      <w:outlineLvl w:val="9"/>
    </w:pPr>
  </w:style>
  <w:style w:type="paragraph" w:customStyle="1" w:styleId="deftexte">
    <w:name w:val="def texte"/>
    <w:basedOn w:val="Normal"/>
  </w:style>
  <w:style w:type="paragraph" w:customStyle="1" w:styleId="Equation">
    <w:name w:val="Equation"/>
    <w:basedOn w:val="Normal"/>
    <w:pPr>
      <w:tabs>
        <w:tab w:val="clear" w:pos="1191"/>
        <w:tab w:val="clear" w:pos="1588"/>
        <w:tab w:val="clear" w:pos="1985"/>
        <w:tab w:val="center" w:pos="4849"/>
        <w:tab w:val="right" w:pos="9696"/>
      </w:tabs>
      <w:spacing w:before="140" w:after="40"/>
      <w:jc w:val="left"/>
    </w:pPr>
    <w:rPr>
      <w:sz w:val="22"/>
    </w:rPr>
  </w:style>
  <w:style w:type="paragraph" w:customStyle="1" w:styleId="Section">
    <w:name w:val="Section #"/>
    <w:basedOn w:val="Normal"/>
    <w:next w:val="Sectiontitle"/>
    <w:pPr>
      <w:keepNext/>
      <w:keepLines/>
      <w:pageBreakBefore/>
      <w:tabs>
        <w:tab w:val="clear" w:pos="794"/>
        <w:tab w:val="clear" w:pos="1191"/>
        <w:tab w:val="clear" w:pos="1588"/>
        <w:tab w:val="clear" w:pos="1985"/>
        <w:tab w:val="left" w:pos="1474"/>
      </w:tabs>
      <w:spacing w:before="0"/>
      <w:ind w:left="1474" w:hanging="1474"/>
      <w:jc w:val="left"/>
    </w:pPr>
  </w:style>
  <w:style w:type="paragraph" w:customStyle="1" w:styleId="Sectiontitle">
    <w:name w:val="Section title"/>
    <w:basedOn w:val="Section"/>
    <w:next w:val="Rec"/>
    <w:pPr>
      <w:pageBreakBefore w:val="0"/>
      <w:spacing w:before="240"/>
    </w:pPr>
    <w:rPr>
      <w:i/>
    </w:rPr>
  </w:style>
  <w:style w:type="paragraph" w:customStyle="1" w:styleId="heading">
    <w:name w:val="heading"/>
    <w:basedOn w:val="Heading2"/>
    <w:pPr>
      <w:tabs>
        <w:tab w:val="left" w:pos="1191"/>
        <w:tab w:val="left" w:pos="1588"/>
      </w:tabs>
      <w:outlineLvl w:val="9"/>
    </w:pPr>
  </w:style>
  <w:style w:type="paragraph" w:customStyle="1" w:styleId="Line1">
    <w:name w:val="Line_1"/>
    <w:basedOn w:val="Normal"/>
    <w:next w:val="Normal"/>
    <w:pPr>
      <w:pBdr>
        <w:top w:val="dashed" w:sz="6" w:space="1" w:color="auto"/>
      </w:pBdr>
      <w:tabs>
        <w:tab w:val="clear" w:pos="794"/>
        <w:tab w:val="clear" w:pos="1191"/>
        <w:tab w:val="clear" w:pos="1588"/>
        <w:tab w:val="clear" w:pos="1985"/>
      </w:tabs>
      <w:spacing w:before="240"/>
      <w:ind w:left="3997" w:right="3997"/>
      <w:jc w:val="center"/>
    </w:pPr>
  </w:style>
  <w:style w:type="paragraph" w:customStyle="1" w:styleId="Part">
    <w:name w:val="Part_#"/>
    <w:basedOn w:val="Annex"/>
    <w:next w:val="PartRef"/>
  </w:style>
  <w:style w:type="paragraph" w:customStyle="1" w:styleId="PartRef">
    <w:name w:val="Part_Ref"/>
    <w:basedOn w:val="AnnexRef"/>
  </w:style>
  <w:style w:type="paragraph" w:customStyle="1" w:styleId="PartTitle">
    <w:name w:val="Part_Title"/>
    <w:basedOn w:val="AnnexTitle"/>
    <w:next w:val="Normalaftertitle"/>
  </w:style>
  <w:style w:type="paragraph" w:customStyle="1" w:styleId="Rep">
    <w:name w:val="Rep_#"/>
    <w:basedOn w:val="Rec"/>
    <w:next w:val="RepTitle"/>
  </w:style>
  <w:style w:type="paragraph" w:customStyle="1" w:styleId="RepTitle">
    <w:name w:val="Rep_Title"/>
    <w:basedOn w:val="RecTitle"/>
    <w:next w:val="RepTitleRef"/>
  </w:style>
  <w:style w:type="paragraph" w:customStyle="1" w:styleId="RepTitleRef">
    <w:name w:val="Rep_Title/Ref"/>
    <w:basedOn w:val="RecTitleRef"/>
    <w:next w:val="RepTitleDate"/>
  </w:style>
  <w:style w:type="paragraph" w:customStyle="1" w:styleId="RepTitleDate">
    <w:name w:val="Rep_Title/Date"/>
    <w:basedOn w:val="RecTitleDate"/>
    <w:next w:val="headfoot"/>
  </w:style>
  <w:style w:type="paragraph" w:customStyle="1" w:styleId="RefDoc">
    <w:name w:val="Ref_Doc"/>
    <w:basedOn w:val="RefText"/>
    <w:next w:val="RefText"/>
    <w:pPr>
      <w:spacing w:before="227"/>
    </w:pPr>
    <w:rPr>
      <w:i/>
    </w:rPr>
  </w:style>
  <w:style w:type="paragraph" w:customStyle="1" w:styleId="Question">
    <w:name w:val="Question_#"/>
    <w:basedOn w:val="Rec"/>
    <w:next w:val="QuestionTitle"/>
    <w:pPr>
      <w:spacing w:before="0"/>
    </w:pPr>
  </w:style>
  <w:style w:type="paragraph" w:customStyle="1" w:styleId="QuestionTitle">
    <w:name w:val="Question_Title"/>
    <w:basedOn w:val="RecTitle"/>
    <w:next w:val="QuestionTitleRef"/>
  </w:style>
  <w:style w:type="paragraph" w:customStyle="1" w:styleId="QuestionTitleRef">
    <w:name w:val="Question_Title/Ref"/>
    <w:basedOn w:val="RecTitleRef"/>
    <w:next w:val="QuestionTitleDate"/>
  </w:style>
  <w:style w:type="paragraph" w:customStyle="1" w:styleId="QuestionTitleDate">
    <w:name w:val="Question_Title/Date"/>
    <w:basedOn w:val="RecTitleDate"/>
    <w:next w:val="headfoot"/>
  </w:style>
  <w:style w:type="paragraph" w:customStyle="1" w:styleId="Res">
    <w:name w:val="Res_#"/>
    <w:basedOn w:val="Rec"/>
    <w:next w:val="ResTitle"/>
  </w:style>
  <w:style w:type="paragraph" w:customStyle="1" w:styleId="ResTitle">
    <w:name w:val="Res_Title"/>
    <w:basedOn w:val="RecTitle"/>
    <w:next w:val="ResTitleRef"/>
  </w:style>
  <w:style w:type="paragraph" w:customStyle="1" w:styleId="ResTitleRef">
    <w:name w:val="Res_Title/Ref"/>
    <w:basedOn w:val="RecTitleRef"/>
    <w:next w:val="ResTitleDate"/>
  </w:style>
  <w:style w:type="paragraph" w:customStyle="1" w:styleId="ResTitleDate">
    <w:name w:val="Res_Title/Date"/>
    <w:basedOn w:val="RecTitleDate"/>
    <w:next w:val="headfoot"/>
  </w:style>
  <w:style w:type="paragraph" w:customStyle="1" w:styleId="Tablefin">
    <w:name w:val="Table_fin"/>
    <w:basedOn w:val="Normal"/>
    <w:next w:val="Normal"/>
    <w:pPr>
      <w:spacing w:before="284"/>
    </w:pPr>
  </w:style>
  <w:style w:type="paragraph" w:customStyle="1" w:styleId="Note">
    <w:name w:val="Note"/>
    <w:basedOn w:val="Normal"/>
    <w:next w:val="Normal"/>
    <w:pPr>
      <w:tabs>
        <w:tab w:val="clear" w:pos="794"/>
        <w:tab w:val="clear" w:pos="1191"/>
        <w:tab w:val="clear" w:pos="1588"/>
        <w:tab w:val="clear" w:pos="1985"/>
      </w:tabs>
      <w:spacing w:before="80"/>
    </w:pPr>
  </w:style>
  <w:style w:type="paragraph" w:customStyle="1" w:styleId="Style">
    <w:name w:val="Style"/>
    <w:basedOn w:val="Normal"/>
    <w:pPr>
      <w:tabs>
        <w:tab w:val="center" w:pos="4196"/>
        <w:tab w:val="left" w:pos="9242"/>
        <w:tab w:val="center" w:pos="12587"/>
      </w:tabs>
      <w:spacing w:before="340" w:line="318" w:lineRule="atLeast"/>
      <w:ind w:right="618"/>
    </w:pPr>
    <w:rPr>
      <w:i/>
      <w:sz w:val="28"/>
    </w:rPr>
  </w:style>
  <w:style w:type="paragraph" w:customStyle="1" w:styleId="Sectionsous">
    <w:name w:val="Section_sous"/>
    <w:basedOn w:val="Section"/>
    <w:next w:val="Rec"/>
    <w:pPr>
      <w:pageBreakBefore w:val="0"/>
      <w:spacing w:before="240"/>
    </w:pPr>
  </w:style>
  <w:style w:type="paragraph" w:customStyle="1" w:styleId="CCI">
    <w:name w:val="CCI"/>
    <w:basedOn w:val="Normal"/>
    <w:next w:val="call"/>
    <w:pPr>
      <w:keepNext/>
      <w:keepLines/>
      <w:tabs>
        <w:tab w:val="clear" w:pos="794"/>
        <w:tab w:val="clear" w:pos="1191"/>
        <w:tab w:val="clear" w:pos="1588"/>
        <w:tab w:val="clear" w:pos="1985"/>
      </w:tabs>
      <w:spacing w:before="199"/>
    </w:pPr>
  </w:style>
  <w:style w:type="paragraph" w:customStyle="1" w:styleId="Fig">
    <w:name w:val="Fig"/>
    <w:basedOn w:val="Figure"/>
    <w:next w:val="Fig0"/>
    <w:pPr>
      <w:keepNext w:val="0"/>
      <w:keepLines w:val="0"/>
      <w:spacing w:before="136"/>
    </w:pPr>
    <w:rPr>
      <w:lang w:val="en-US"/>
    </w:rPr>
  </w:style>
  <w:style w:type="paragraph" w:customStyle="1" w:styleId="Fig0">
    <w:name w:val="Fig_#"/>
    <w:basedOn w:val="Fig"/>
    <w:next w:val="Normal"/>
    <w:pPr>
      <w:jc w:val="left"/>
    </w:pPr>
    <w:rPr>
      <w:color w:val="FF0000"/>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0"/>
      <w:jc w:val="left"/>
    </w:pPr>
    <w:rPr>
      <w:noProof/>
    </w:rPr>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style>
  <w:style w:type="paragraph" w:customStyle="1" w:styleId="tocpart">
    <w:name w:val="tocpart"/>
    <w:basedOn w:val="Normal"/>
    <w:pPr>
      <w:tabs>
        <w:tab w:val="clear" w:pos="794"/>
        <w:tab w:val="clear" w:pos="1191"/>
        <w:tab w:val="clear" w:pos="1588"/>
        <w:tab w:val="clear" w:pos="1985"/>
        <w:tab w:val="left" w:pos="2127"/>
        <w:tab w:val="left" w:pos="8789"/>
        <w:tab w:val="right" w:pos="9639"/>
      </w:tabs>
      <w:ind w:left="2127" w:hanging="2127"/>
    </w:pPr>
  </w:style>
  <w:style w:type="paragraph" w:customStyle="1" w:styleId="toctemp">
    <w:name w:val="toctemp"/>
    <w:basedOn w:val="Normal"/>
    <w:next w:val="FootnoteText"/>
    <w:pPr>
      <w:tabs>
        <w:tab w:val="clear" w:pos="794"/>
        <w:tab w:val="clear" w:pos="1191"/>
        <w:tab w:val="clear" w:pos="1588"/>
        <w:tab w:val="clear" w:pos="1985"/>
        <w:tab w:val="left" w:pos="2269"/>
        <w:tab w:val="left" w:leader="dot" w:pos="8789"/>
        <w:tab w:val="right" w:pos="9639"/>
      </w:tabs>
      <w:ind w:left="1418" w:right="964" w:hanging="1418"/>
    </w:pPr>
  </w:style>
  <w:style w:type="paragraph" w:customStyle="1" w:styleId="heading13">
    <w:name w:val="heading 13"/>
    <w:basedOn w:val="Heading3"/>
    <w:pPr>
      <w:tabs>
        <w:tab w:val="clear" w:pos="794"/>
        <w:tab w:val="left" w:pos="1077"/>
        <w:tab w:val="right" w:pos="9696"/>
      </w:tabs>
      <w:spacing w:before="240"/>
      <w:ind w:left="1077" w:hanging="1077"/>
      <w:outlineLvl w:val="9"/>
    </w:pPr>
    <w:rPr>
      <w:b w:val="0"/>
      <w:i/>
    </w:rPr>
  </w:style>
  <w:style w:type="paragraph" w:customStyle="1" w:styleId="head">
    <w:name w:val="head"/>
    <w:basedOn w:val="headfoot"/>
    <w:rPr>
      <w:lang w:val="fr-FR"/>
    </w:rPr>
  </w:style>
  <w:style w:type="paragraph" w:customStyle="1" w:styleId="foot">
    <w:name w:val="foot"/>
    <w:basedOn w:val="headfoot"/>
    <w:rPr>
      <w:lang w:val="fr-FR"/>
    </w:rPr>
  </w:style>
  <w:style w:type="character" w:customStyle="1" w:styleId="NormalaftertitleChar">
    <w:name w:val="Normal after title Char"/>
    <w:link w:val="Normalaftertitle"/>
    <w:locked/>
    <w:rsid w:val="00631477"/>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R_R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8E10D-DFF4-496D-B680-E1EDAB3F7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BR_REC.DOT</Template>
  <TotalTime>4</TotalTime>
  <Pages>2</Pages>
  <Words>874</Words>
  <Characters>4924</Characters>
  <Application>Microsoft Office Word</Application>
  <DocSecurity>0</DocSecurity>
  <Lines>67</Lines>
  <Paragraphs>32</Paragraphs>
  <ScaleCrop>false</ScaleCrop>
  <HeadingPairs>
    <vt:vector size="2" baseType="variant">
      <vt:variant>
        <vt:lpstr>Title</vt:lpstr>
      </vt:variant>
      <vt:variant>
        <vt:i4>1</vt:i4>
      </vt:variant>
    </vt:vector>
  </HeadingPairs>
  <TitlesOfParts>
    <vt:vector size="1" baseType="lpstr">
      <vt:lpstr>OBJETIVOS  DE  DISPONIBILIDAD  PARA  ENLACES  DE  RELEVADORES  RADIOELÉCTRICOS DIGITALES  REALES  QUE  FORMAN  PARTE  DE  UN  CIRCUITO  DE  «GRADO  ALTO» DE  CALIDAD  DENTRO  DE  UNA  RED  DIGITAL  DE  SERVICIOS  INTEGRADOS</vt:lpstr>
    </vt:vector>
  </TitlesOfParts>
  <Manager>CP 1781</Manager>
  <Company>ITU</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OBJETIVOS  DE  DISPONIBILIDAD  PARA  ENLACES  DE  RELEVADORES  RADIOELÉCTRICOS DIGITALES  REALES  QUE  FORMAN  PARTE  DE  UN  CIRCUITO  DE  «GRADO  ALTO» DE  CALIDAD  DENTRO  DE  UNA  RED  DIGITAL  DE  SERVICIOS  INTEGRADOS</dc:title>
  <dc:subject/>
  <dc:creator>Oficina de Radiocomunicaciones del UIT (BR)</dc:creator>
  <cp:keywords>,</cp:keywords>
  <dc:description>Gachetc, 20.02.2014, ITU51007784</dc:description>
  <cp:lastModifiedBy>Gachet, Christelle</cp:lastModifiedBy>
  <cp:revision>6</cp:revision>
  <cp:lastPrinted>2001-02-08T13:51:00Z</cp:lastPrinted>
  <dcterms:created xsi:type="dcterms:W3CDTF">2014-02-20T08:06:00Z</dcterms:created>
  <dcterms:modified xsi:type="dcterms:W3CDTF">2014-02-20T08:14:00Z</dcterms:modified>
  <cp:category>WW7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Spanish</vt:lpwstr>
  </property>
  <property fmtid="{D5CDD505-2E9C-101B-9397-08002B2CF9AE}" pid="3" name="Typist">
    <vt:lpwstr>Gachetc</vt:lpwstr>
  </property>
  <property fmtid="{D5CDD505-2E9C-101B-9397-08002B2CF9AE}" pid="4" name="Date completed">
    <vt:lpwstr>jeudi, 20. février 2014</vt:lpwstr>
  </property>
</Properties>
</file>