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19" w:rsidRPr="00575CB8" w:rsidRDefault="00CD7419" w:rsidP="00CD7419">
      <w:pPr>
        <w:rPr>
          <w:lang w:val="en-US"/>
        </w:rPr>
      </w:pPr>
    </w:p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p w:rsidR="00CD7419" w:rsidRDefault="00CD7419" w:rsidP="00CD7419"/>
    <w:tbl>
      <w:tblPr>
        <w:tblW w:w="10089" w:type="dxa"/>
        <w:tblLook w:val="01E0"/>
      </w:tblPr>
      <w:tblGrid>
        <w:gridCol w:w="10089"/>
      </w:tblGrid>
      <w:tr w:rsidR="00CD7419" w:rsidRPr="00A07AEB" w:rsidTr="00AD1722">
        <w:tc>
          <w:tcPr>
            <w:tcW w:w="10089" w:type="dxa"/>
          </w:tcPr>
          <w:p w:rsidR="00CD7419" w:rsidRPr="00A07AEB" w:rsidRDefault="00CD7419" w:rsidP="00AD17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D7419" w:rsidRPr="00A07AEB" w:rsidRDefault="00CD7419" w:rsidP="00AD17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Recomendación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1043-2</w:t>
            </w:r>
          </w:p>
          <w:p w:rsidR="00CD7419" w:rsidRPr="00A07AEB" w:rsidRDefault="00CD7419" w:rsidP="00AD172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2003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D7419" w:rsidRPr="00A07AEB" w:rsidTr="00AD1722">
        <w:tc>
          <w:tcPr>
            <w:tcW w:w="10089" w:type="dxa"/>
          </w:tcPr>
          <w:p w:rsidR="00CD7419" w:rsidRPr="00A07AEB" w:rsidRDefault="00CD7419" w:rsidP="00AD17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CD7419" w:rsidRPr="00A07AEB" w:rsidRDefault="00CD7419" w:rsidP="00AD17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Utilización de los servicios de aficionados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y de aficionados por satélite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en los países en desarrollo</w:t>
            </w:r>
          </w:p>
          <w:p w:rsidR="00CD7419" w:rsidRPr="00A07AEB" w:rsidRDefault="00CD7419" w:rsidP="00AD17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CD7419" w:rsidRPr="00A07AEB" w:rsidTr="00AD1722">
        <w:tc>
          <w:tcPr>
            <w:tcW w:w="10089" w:type="dxa"/>
          </w:tcPr>
          <w:p w:rsidR="00CD7419" w:rsidRPr="00A07AEB" w:rsidRDefault="00CD7419" w:rsidP="00AD17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CD7419" w:rsidRPr="00A07AEB" w:rsidRDefault="00CD7419" w:rsidP="00AD17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CD7419" w:rsidRPr="00A07AEB" w:rsidRDefault="00CD7419" w:rsidP="00AD172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CD7419" w:rsidRPr="00A07AEB" w:rsidRDefault="00CD7419" w:rsidP="00AD172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Serie M</w:t>
            </w:r>
          </w:p>
          <w:p w:rsidR="00CD7419" w:rsidRPr="00A07AEB" w:rsidRDefault="00CD7419" w:rsidP="00AD172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Servicios móviles, de radiodeterminación,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por satélite conexos</w:t>
            </w:r>
          </w:p>
        </w:tc>
      </w:tr>
    </w:tbl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spacing w:before="80"/>
        <w:rPr>
          <w:i/>
          <w:sz w:val="22"/>
        </w:rPr>
      </w:pPr>
    </w:p>
    <w:p w:rsidR="00CD7419" w:rsidRPr="0026666F" w:rsidRDefault="00CD7419" w:rsidP="00CD741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7419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D7419" w:rsidRPr="006C718C" w:rsidRDefault="00CD7419" w:rsidP="00CD741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</w:rPr>
      </w:pPr>
      <w:bookmarkStart w:id="0" w:name="c2tope"/>
      <w:bookmarkEnd w:id="0"/>
      <w:r w:rsidRPr="006C718C">
        <w:rPr>
          <w:bCs/>
          <w:sz w:val="24"/>
          <w:szCs w:val="24"/>
        </w:rPr>
        <w:lastRenderedPageBreak/>
        <w:t>Prólogo</w:t>
      </w:r>
    </w:p>
    <w:p w:rsidR="00CD7419" w:rsidRPr="006C718C" w:rsidRDefault="00CD7419" w:rsidP="00CD7419">
      <w:pPr>
        <w:spacing w:before="180"/>
        <w:rPr>
          <w:sz w:val="20"/>
        </w:rPr>
      </w:pPr>
      <w:r w:rsidRPr="006C718C">
        <w:rPr>
          <w:sz w:val="20"/>
        </w:rPr>
        <w:t>El Sector de Radiocomunicaciones tiene como cometido garantizar la utilizaci</w:t>
      </w:r>
      <w:r>
        <w:rPr>
          <w:sz w:val="20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CD7419" w:rsidRPr="006C718C" w:rsidRDefault="00CD7419" w:rsidP="00CD7419">
      <w:pPr>
        <w:rPr>
          <w:sz w:val="20"/>
        </w:rPr>
      </w:pPr>
      <w:r w:rsidRPr="006C718C">
        <w:rPr>
          <w:sz w:val="20"/>
        </w:rPr>
        <w:t>Las Conferencias Mundiales y Regionales de Radiocomunicaciones y las Asambleas de Radiocomunicaciones, c</w:t>
      </w:r>
      <w:r>
        <w:rPr>
          <w:sz w:val="20"/>
        </w:rPr>
        <w:t>on la colaboración de las Comisiones de Estudio, cumplen las funciones reglamentarias y políticas del Sector de Radiocomunicaciones.</w:t>
      </w:r>
    </w:p>
    <w:p w:rsidR="00CD7419" w:rsidRPr="00021E8A" w:rsidRDefault="00CD7419" w:rsidP="00CD7419">
      <w:pPr>
        <w:pStyle w:val="Heading1"/>
        <w:spacing w:before="340"/>
        <w:jc w:val="center"/>
        <w:rPr>
          <w:szCs w:val="24"/>
        </w:rPr>
      </w:pPr>
      <w:r w:rsidRPr="007C36CA">
        <w:t>Política sobre Derechos de Propiedad Intelectual</w:t>
      </w:r>
      <w:r w:rsidRPr="00021E8A">
        <w:rPr>
          <w:szCs w:val="24"/>
        </w:rPr>
        <w:t xml:space="preserve"> (IPR)</w:t>
      </w:r>
    </w:p>
    <w:p w:rsidR="00CD7419" w:rsidRPr="00021E8A" w:rsidRDefault="00CD7419" w:rsidP="00CD7419">
      <w:pPr>
        <w:spacing w:before="180"/>
        <w:rPr>
          <w:sz w:val="20"/>
        </w:rPr>
      </w:pPr>
      <w:r w:rsidRPr="00021E8A">
        <w:rPr>
          <w:sz w:val="20"/>
        </w:rPr>
        <w:t>La política del UIT</w:t>
      </w:r>
      <w:r w:rsidRPr="00021E8A">
        <w:rPr>
          <w:sz w:val="20"/>
        </w:rPr>
        <w:noBreakHyphen/>
        <w:t>R sobre Derechos de Propiedad Intelectual se describe en la Política Común de Patentes UIT</w:t>
      </w:r>
      <w:r w:rsidRPr="00021E8A">
        <w:rPr>
          <w:sz w:val="20"/>
        </w:rPr>
        <w:noBreakHyphen/>
        <w:t>T/UIT</w:t>
      </w:r>
      <w:r w:rsidRPr="00021E8A">
        <w:rPr>
          <w:sz w:val="20"/>
        </w:rPr>
        <w:noBreakHyphen/>
        <w:t>R/ISO/CEI a la que se hace referencia en el Anexo 1 a la Resolución UIT</w:t>
      </w:r>
      <w:r w:rsidRPr="00021E8A">
        <w:rPr>
          <w:sz w:val="20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</w:rPr>
          <w:t>http://www.itu.int/ITU-R/go/patents/es</w:t>
        </w:r>
      </w:hyperlink>
      <w:r w:rsidRPr="00021E8A">
        <w:rPr>
          <w:sz w:val="20"/>
        </w:rPr>
        <w:t>, donde también aparecen las Directrices para la implementación de la Política Común de Patentes UIT</w:t>
      </w:r>
      <w:r w:rsidRPr="00021E8A">
        <w:rPr>
          <w:sz w:val="20"/>
        </w:rPr>
        <w:noBreakHyphen/>
        <w:t>T/UIT</w:t>
      </w:r>
      <w:r w:rsidRPr="00021E8A">
        <w:rPr>
          <w:sz w:val="20"/>
        </w:rPr>
        <w:noBreakHyphen/>
        <w:t>R/ISO/CEI y la base de datos sobre información de patentes del UIT</w:t>
      </w:r>
      <w:r w:rsidRPr="00021E8A">
        <w:rPr>
          <w:sz w:val="20"/>
        </w:rPr>
        <w:noBreakHyphen/>
        <w:t>R sobre este asunto.</w:t>
      </w:r>
    </w:p>
    <w:p w:rsidR="00CD7419" w:rsidRPr="007C36CA" w:rsidRDefault="00CD7419" w:rsidP="00CD7419">
      <w:pPr>
        <w:spacing w:before="0"/>
        <w:jc w:val="center"/>
        <w:rPr>
          <w:sz w:val="22"/>
        </w:rPr>
      </w:pPr>
    </w:p>
    <w:p w:rsidR="00CD7419" w:rsidRPr="007C36CA" w:rsidRDefault="00CD7419" w:rsidP="00CD7419">
      <w:pPr>
        <w:spacing w:before="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CD7419" w:rsidRPr="00763D08" w:rsidTr="00AD1722">
        <w:tc>
          <w:tcPr>
            <w:tcW w:w="9360" w:type="dxa"/>
            <w:gridSpan w:val="2"/>
          </w:tcPr>
          <w:p w:rsidR="00CD7419" w:rsidRPr="00021E8A" w:rsidRDefault="00CD7419" w:rsidP="00AD172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021E8A">
              <w:rPr>
                <w:sz w:val="22"/>
                <w:szCs w:val="22"/>
              </w:rPr>
              <w:t xml:space="preserve">Series de las Recomendaciones UIT-R </w:t>
            </w:r>
          </w:p>
          <w:p w:rsidR="00CD7419" w:rsidRPr="00763D08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763D08">
              <w:rPr>
                <w:b w:val="0"/>
                <w:sz w:val="18"/>
                <w:szCs w:val="18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CD7419" w:rsidRPr="00036EE3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CD7419" w:rsidRPr="006C718C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21E8A">
              <w:rPr>
                <w:b w:val="0"/>
                <w:bCs/>
                <w:sz w:val="20"/>
              </w:rPr>
              <w:t>Registro para producción, archivo y reproducción; películas en televisión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CD7419" w:rsidRPr="00ED2695" w:rsidTr="00AD1722">
        <w:tc>
          <w:tcPr>
            <w:tcW w:w="1140" w:type="dxa"/>
            <w:shd w:val="clear" w:color="auto" w:fill="auto"/>
          </w:tcPr>
          <w:p w:rsidR="00CD7419" w:rsidRPr="00ED2695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CD7419" w:rsidRPr="00021E8A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CD7419" w:rsidRPr="00036EE3" w:rsidTr="00AD1722">
        <w:tc>
          <w:tcPr>
            <w:tcW w:w="1140" w:type="dxa"/>
            <w:shd w:val="clear" w:color="auto" w:fill="auto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CD7419" w:rsidRPr="00021E8A" w:rsidRDefault="00CD7419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CD7419" w:rsidRPr="00447DAB" w:rsidTr="00AD1722">
        <w:tc>
          <w:tcPr>
            <w:tcW w:w="1140" w:type="dxa"/>
            <w:shd w:val="clear" w:color="auto" w:fill="F3F3F3"/>
          </w:tcPr>
          <w:p w:rsidR="00CD7419" w:rsidRPr="001240BC" w:rsidRDefault="00CD7419" w:rsidP="00AD1722">
            <w:pPr>
              <w:spacing w:before="30" w:after="30"/>
              <w:ind w:left="57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CD7419" w:rsidRPr="001240BC" w:rsidRDefault="00CD7419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1240BC">
              <w:rPr>
                <w:bCs/>
                <w:color w:val="000080"/>
                <w:sz w:val="20"/>
              </w:rPr>
              <w:t>Servicios móviles, de radiodeterminación, de aficionados y otros servicios por satélite conexos</w:t>
            </w:r>
          </w:p>
        </w:tc>
      </w:tr>
      <w:tr w:rsidR="00CD7419" w:rsidRPr="006C718C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</w:rPr>
            </w:pPr>
            <w:r w:rsidRPr="00021E8A">
              <w:rPr>
                <w:bCs/>
                <w:sz w:val="20"/>
              </w:rPr>
              <w:t>Propagación de las ondas radioeléctricas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CD7419" w:rsidRPr="00021E8A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</w:rPr>
            </w:pPr>
            <w:r w:rsidRPr="00021E8A">
              <w:rPr>
                <w:bCs/>
                <w:sz w:val="20"/>
              </w:rPr>
              <w:t>Sistemas de detección a distancia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CD7419" w:rsidRPr="00021E8A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</w:rPr>
            </w:pPr>
            <w:r w:rsidRPr="00021E8A">
              <w:rPr>
                <w:bCs/>
                <w:sz w:val="20"/>
              </w:rPr>
              <w:t>Compartición de frecuencias y coordinación entre los sistemas del servicio fijo por satélite y del servicio fijo</w:t>
            </w:r>
          </w:p>
        </w:tc>
      </w:tr>
      <w:tr w:rsidR="00CD7419" w:rsidRPr="00036EE3" w:rsidTr="00AD1722">
        <w:tc>
          <w:tcPr>
            <w:tcW w:w="1140" w:type="dxa"/>
            <w:shd w:val="clear" w:color="auto" w:fill="auto"/>
          </w:tcPr>
          <w:p w:rsidR="00CD7419" w:rsidRPr="001240BC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CD7419" w:rsidRPr="001240BC" w:rsidRDefault="00CD7419" w:rsidP="00AD1722">
            <w:pPr>
              <w:spacing w:before="30" w:after="30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CD7419" w:rsidRPr="00021E8A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30"/>
              <w:rPr>
                <w:bCs/>
                <w:sz w:val="20"/>
              </w:rPr>
            </w:pPr>
            <w:r w:rsidRPr="00021E8A">
              <w:rPr>
                <w:bCs/>
                <w:sz w:val="20"/>
              </w:rPr>
              <w:t>Emisiones de frecuencias patrón y señales horarias</w:t>
            </w:r>
          </w:p>
        </w:tc>
      </w:tr>
      <w:tr w:rsidR="00CD7419" w:rsidRPr="00036EE3" w:rsidTr="00AD1722">
        <w:tc>
          <w:tcPr>
            <w:tcW w:w="1140" w:type="dxa"/>
          </w:tcPr>
          <w:p w:rsidR="00CD7419" w:rsidRPr="00036EE3" w:rsidRDefault="00CD7419" w:rsidP="00AD1722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D7419" w:rsidRPr="00021E8A" w:rsidRDefault="00CD7419" w:rsidP="00AD1722">
            <w:pPr>
              <w:spacing w:before="30" w:after="14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CD7419" w:rsidRPr="00036EE3" w:rsidRDefault="00CD7419" w:rsidP="00CD7419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CD7419" w:rsidTr="00AD1722">
        <w:tc>
          <w:tcPr>
            <w:tcW w:w="720" w:type="dxa"/>
          </w:tcPr>
          <w:p w:rsidR="00CD7419" w:rsidRDefault="00CD7419" w:rsidP="00AD172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CD7419" w:rsidRPr="00A07AEB" w:rsidTr="00AD1722">
        <w:tc>
          <w:tcPr>
            <w:tcW w:w="9360" w:type="dxa"/>
          </w:tcPr>
          <w:p w:rsidR="00CD7419" w:rsidRPr="00A07AEB" w:rsidRDefault="00CD7419" w:rsidP="00AD1722">
            <w:pPr>
              <w:spacing w:before="92" w:after="92"/>
              <w:rPr>
                <w:i/>
                <w:iCs/>
                <w:sz w:val="20"/>
              </w:rPr>
            </w:pPr>
            <w:r w:rsidRPr="00A07AEB">
              <w:rPr>
                <w:b/>
                <w:bCs/>
                <w:i/>
                <w:iCs/>
                <w:sz w:val="20"/>
              </w:rPr>
              <w:t xml:space="preserve">         Nota</w:t>
            </w:r>
            <w:r w:rsidRPr="00A07AEB">
              <w:rPr>
                <w:i/>
                <w:iCs/>
                <w:sz w:val="20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</w:rPr>
              <w:br/>
              <w:t xml:space="preserve">        Resolución UIT-R 1.</w:t>
            </w:r>
          </w:p>
        </w:tc>
      </w:tr>
    </w:tbl>
    <w:p w:rsidR="00CD7419" w:rsidRPr="00763D08" w:rsidRDefault="00CD7419" w:rsidP="00CD7419">
      <w:pPr>
        <w:spacing w:before="0"/>
        <w:jc w:val="center"/>
        <w:rPr>
          <w:sz w:val="22"/>
        </w:rPr>
      </w:pPr>
    </w:p>
    <w:p w:rsidR="00CD7419" w:rsidRPr="00763D08" w:rsidRDefault="00CD7419" w:rsidP="00CD7419">
      <w:pPr>
        <w:spacing w:before="60"/>
        <w:jc w:val="right"/>
        <w:rPr>
          <w:i/>
          <w:iCs/>
          <w:sz w:val="20"/>
        </w:rPr>
      </w:pPr>
      <w:r w:rsidRPr="00763D08">
        <w:rPr>
          <w:i/>
          <w:iCs/>
          <w:sz w:val="20"/>
        </w:rPr>
        <w:t>Publicación electrónica</w:t>
      </w:r>
    </w:p>
    <w:p w:rsidR="00CD7419" w:rsidRPr="00763D08" w:rsidRDefault="00CD7419" w:rsidP="00CD7419">
      <w:pPr>
        <w:spacing w:before="0" w:after="40"/>
        <w:jc w:val="right"/>
        <w:rPr>
          <w:sz w:val="20"/>
        </w:rPr>
      </w:pPr>
      <w:r w:rsidRPr="00763D08">
        <w:rPr>
          <w:sz w:val="20"/>
        </w:rPr>
        <w:t>Ginebra, 20</w:t>
      </w:r>
      <w:r>
        <w:rPr>
          <w:sz w:val="20"/>
        </w:rPr>
        <w:t>10</w:t>
      </w:r>
    </w:p>
    <w:p w:rsidR="00CD7419" w:rsidRPr="00763D08" w:rsidRDefault="00CD7419" w:rsidP="00CD7419">
      <w:pPr>
        <w:spacing w:before="0"/>
        <w:jc w:val="center"/>
        <w:rPr>
          <w:sz w:val="22"/>
        </w:rPr>
      </w:pPr>
    </w:p>
    <w:p w:rsidR="00CD7419" w:rsidRPr="00763D08" w:rsidRDefault="00CD7419" w:rsidP="00CD7419">
      <w:pPr>
        <w:spacing w:before="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</w:rPr>
        <w:t xml:space="preserve"> UIT </w:t>
      </w:r>
      <w:bookmarkStart w:id="1" w:name="iiannee"/>
      <w:bookmarkEnd w:id="1"/>
      <w:r w:rsidRPr="00763D08">
        <w:rPr>
          <w:sz w:val="20"/>
        </w:rPr>
        <w:t>20</w:t>
      </w:r>
      <w:r>
        <w:rPr>
          <w:sz w:val="20"/>
        </w:rPr>
        <w:t>10</w:t>
      </w:r>
    </w:p>
    <w:p w:rsidR="00CD7419" w:rsidRPr="006C718C" w:rsidRDefault="00CD7419" w:rsidP="00CD7419">
      <w:pPr>
        <w:spacing w:before="80"/>
        <w:rPr>
          <w:sz w:val="18"/>
          <w:szCs w:val="18"/>
        </w:rPr>
      </w:pPr>
      <w:r w:rsidRPr="00763D08">
        <w:rPr>
          <w:sz w:val="18"/>
          <w:szCs w:val="18"/>
        </w:rPr>
        <w:t xml:space="preserve">Reservados todos los derechos. </w:t>
      </w:r>
      <w:r w:rsidRPr="006C718C">
        <w:rPr>
          <w:sz w:val="18"/>
          <w:szCs w:val="18"/>
        </w:rPr>
        <w:t>Ninguna parte de esta publicación puede reproducirse por ningún procedimiento sin previa autorizaci</w:t>
      </w:r>
      <w:r>
        <w:rPr>
          <w:sz w:val="18"/>
          <w:szCs w:val="18"/>
        </w:rPr>
        <w:t>ón escrita por parte de la UIT</w:t>
      </w:r>
      <w:r w:rsidRPr="006C718C">
        <w:rPr>
          <w:sz w:val="18"/>
          <w:szCs w:val="18"/>
        </w:rPr>
        <w:t>.</w:t>
      </w:r>
    </w:p>
    <w:p w:rsidR="00CD7419" w:rsidRPr="006C718C" w:rsidRDefault="00CD7419" w:rsidP="00CD7419">
      <w:pPr>
        <w:spacing w:before="160"/>
        <w:rPr>
          <w:i/>
          <w:sz w:val="20"/>
          <w:highlight w:val="yellow"/>
        </w:rPr>
        <w:sectPr w:rsidR="00CD7419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80B3B" w:rsidRPr="00B80B3B" w:rsidRDefault="00B80B3B" w:rsidP="00B80B3B">
      <w:pPr>
        <w:pStyle w:val="RecNo"/>
        <w:spacing w:before="0"/>
      </w:pPr>
      <w:r w:rsidRPr="00B80B3B">
        <w:lastRenderedPageBreak/>
        <w:t xml:space="preserve">RECOMENDACIÓN  </w:t>
      </w:r>
      <w:r w:rsidRPr="00B80B3B">
        <w:rPr>
          <w:rStyle w:val="href"/>
        </w:rPr>
        <w:t>UIT-R  M.1043-2</w:t>
      </w:r>
      <w:r w:rsidRPr="00795A30">
        <w:rPr>
          <w:rStyle w:val="FootnoteReference"/>
        </w:rPr>
        <w:footnoteReference w:customMarkFollows="1" w:id="1"/>
        <w:sym w:font="Symbol" w:char="F02A"/>
      </w:r>
    </w:p>
    <w:p w:rsidR="00B80B3B" w:rsidRPr="00B80B3B" w:rsidRDefault="00B80B3B" w:rsidP="00B80B3B">
      <w:pPr>
        <w:pStyle w:val="Rectitle"/>
      </w:pPr>
      <w:r w:rsidRPr="00B80B3B">
        <w:t>Utilización de los servicios de aficionados y de aficionados</w:t>
      </w:r>
      <w:r w:rsidRPr="00B80B3B">
        <w:br/>
        <w:t>por satélite en los países en desarrollo</w:t>
      </w:r>
    </w:p>
    <w:p w:rsidR="00B80B3B" w:rsidRPr="00CC7A70" w:rsidRDefault="00B80B3B" w:rsidP="00B80B3B">
      <w:pPr>
        <w:pStyle w:val="Recref"/>
      </w:pPr>
      <w:r w:rsidRPr="00CC7A70">
        <w:t>(Cuestión UIT-R 48/8)</w:t>
      </w:r>
    </w:p>
    <w:p w:rsidR="00B80B3B" w:rsidRPr="00CC7A70" w:rsidRDefault="00B80B3B" w:rsidP="00B80B3B">
      <w:pPr>
        <w:pStyle w:val="Recdate"/>
      </w:pPr>
      <w:r w:rsidRPr="00CC7A70">
        <w:t>(1994-1998-2003)</w:t>
      </w:r>
    </w:p>
    <w:p w:rsidR="00881356" w:rsidRDefault="00881356" w:rsidP="00881356"/>
    <w:p w:rsidR="00B80B3B" w:rsidRPr="00B80B3B" w:rsidRDefault="00CC7A70" w:rsidP="00CC7A70">
      <w:pPr>
        <w:pStyle w:val="HeadingSum"/>
      </w:pPr>
      <w:r>
        <w:t>Cometido</w:t>
      </w:r>
    </w:p>
    <w:p w:rsidR="00B80B3B" w:rsidRDefault="00B80B3B" w:rsidP="006A06E9">
      <w:pPr>
        <w:pStyle w:val="Summary"/>
        <w:jc w:val="both"/>
      </w:pPr>
      <w:r>
        <w:t xml:space="preserve">En la presente Recomendación se alienta a las administraciones a propiciar </w:t>
      </w:r>
      <w:r w:rsidRPr="00795A30">
        <w:t xml:space="preserve">los servicios de aficionados y de aficionados por satélite para </w:t>
      </w:r>
      <w:r>
        <w:t>incluir el desarrollo de las calificaciones de los operadores, la capacitación de los técnicos y la instalación de estaciones de aficionado en áreas rurales y en situaciones de emergencia. Se fomenta el recurso a los voluntarios y la adaptación a las necesidades específicas de los países en desarrollo.</w:t>
      </w:r>
      <w:r>
        <w:rPr>
          <w:rStyle w:val="FootnoteReference"/>
        </w:rPr>
        <w:footnoteReference w:id="2"/>
      </w:r>
      <w:r>
        <w:t xml:space="preserve"> </w:t>
      </w:r>
    </w:p>
    <w:p w:rsidR="00B80B3B" w:rsidRDefault="00B80B3B" w:rsidP="00CC7A70">
      <w:pPr>
        <w:jc w:val="both"/>
      </w:pPr>
      <w:r>
        <w:t>La Asamblea de Radiocomunicaciones de la UIT,</w:t>
      </w:r>
    </w:p>
    <w:p w:rsidR="00B80B3B" w:rsidRPr="00B80B3B" w:rsidRDefault="00B80B3B" w:rsidP="00CC7A70">
      <w:pPr>
        <w:pStyle w:val="Call"/>
      </w:pPr>
      <w:r w:rsidRPr="00B80B3B">
        <w:t>considerando</w:t>
      </w:r>
    </w:p>
    <w:p w:rsidR="00B80B3B" w:rsidRDefault="00B80B3B" w:rsidP="00CC7A70">
      <w:pPr>
        <w:jc w:val="both"/>
      </w:pPr>
      <w:r>
        <w:t>a)</w:t>
      </w:r>
      <w:r>
        <w:tab/>
        <w:t>que los países en desarrollo tienen urgente necesidad de técnicos y operadores de radiocomunicaciones experimentados;</w:t>
      </w:r>
    </w:p>
    <w:p w:rsidR="00B80B3B" w:rsidRDefault="00B80B3B" w:rsidP="00CC7A70">
      <w:pPr>
        <w:jc w:val="both"/>
      </w:pPr>
      <w:r>
        <w:t>b)</w:t>
      </w:r>
      <w:r>
        <w:tab/>
        <w:t>que las zonas rurales y distantes necesitan estaciones de radiocomunicación para utilizarlas en caso de catástrofes naturales;</w:t>
      </w:r>
    </w:p>
    <w:p w:rsidR="00B80B3B" w:rsidRDefault="00B80B3B" w:rsidP="00CC7A70">
      <w:pPr>
        <w:jc w:val="both"/>
      </w:pPr>
      <w:r>
        <w:t>c)</w:t>
      </w:r>
      <w:r>
        <w:tab/>
        <w:t>que los servicios de aficionados y de aficionados por satélite pueden contribuir a satisfacer estas necesidades;</w:t>
      </w:r>
    </w:p>
    <w:p w:rsidR="00B80B3B" w:rsidRDefault="00B80B3B" w:rsidP="00CC7A70">
      <w:pPr>
        <w:jc w:val="both"/>
      </w:pPr>
      <w:r>
        <w:t>d)</w:t>
      </w:r>
      <w:r>
        <w:tab/>
        <w:t>que, en particular, estos servicios ofrecen la oportunidad de obtener una capacitación y experiencia útiles;</w:t>
      </w:r>
    </w:p>
    <w:p w:rsidR="00B80B3B" w:rsidRDefault="00B80B3B" w:rsidP="00CC7A70">
      <w:pPr>
        <w:jc w:val="both"/>
      </w:pPr>
      <w:r>
        <w:t>e)</w:t>
      </w:r>
      <w:r>
        <w:tab/>
        <w:t>la Resolución 15 de la CAMR-79,</w:t>
      </w:r>
    </w:p>
    <w:p w:rsidR="00B80B3B" w:rsidRPr="00B80B3B" w:rsidRDefault="00B80B3B" w:rsidP="00CC7A70">
      <w:pPr>
        <w:pStyle w:val="Call"/>
      </w:pPr>
      <w:r w:rsidRPr="00B80B3B">
        <w:t>recomienda</w:t>
      </w:r>
    </w:p>
    <w:p w:rsidR="00B80B3B" w:rsidRDefault="00B80B3B" w:rsidP="00CC7A70">
      <w:pPr>
        <w:jc w:val="both"/>
      </w:pPr>
      <w:r>
        <w:rPr>
          <w:b/>
          <w:bCs/>
        </w:rPr>
        <w:t>1</w:t>
      </w:r>
      <w:r>
        <w:tab/>
        <w:t>que las administraciones fomenten y faciliten los servicios de aficionados y de aficionados por satélite para:</w:t>
      </w:r>
    </w:p>
    <w:p w:rsidR="00B80B3B" w:rsidRDefault="00B80B3B" w:rsidP="00CC7A70">
      <w:pPr>
        <w:jc w:val="both"/>
      </w:pPr>
      <w:r>
        <w:rPr>
          <w:b/>
          <w:bCs/>
        </w:rPr>
        <w:t>1.1</w:t>
      </w:r>
      <w:r>
        <w:tab/>
        <w:t>desarrollar los conocimientos de los operadores radioeléctricos;</w:t>
      </w:r>
    </w:p>
    <w:p w:rsidR="00B80B3B" w:rsidRDefault="00B80B3B" w:rsidP="00CC7A70">
      <w:pPr>
        <w:jc w:val="both"/>
      </w:pPr>
      <w:r>
        <w:rPr>
          <w:b/>
          <w:bCs/>
        </w:rPr>
        <w:t>1.2</w:t>
      </w:r>
      <w:r>
        <w:tab/>
        <w:t>formar ingenieros y técnicos en el diseño, construcción y mantenimiento de sistemas y equipos de radiocomunicaciones;</w:t>
      </w:r>
    </w:p>
    <w:p w:rsidR="00B80B3B" w:rsidRDefault="00B80B3B" w:rsidP="00CC7A70">
      <w:pPr>
        <w:jc w:val="both"/>
      </w:pPr>
      <w:r>
        <w:rPr>
          <w:b/>
          <w:bCs/>
        </w:rPr>
        <w:t>1.3</w:t>
      </w:r>
      <w:r>
        <w:tab/>
        <w:t>ayudar a la creación de grupos capaces de proporcionar apoyo local;</w:t>
      </w:r>
    </w:p>
    <w:p w:rsidR="00B80B3B" w:rsidRDefault="00B80B3B" w:rsidP="00CC7A70">
      <w:pPr>
        <w:jc w:val="both"/>
      </w:pPr>
      <w:r>
        <w:rPr>
          <w:b/>
          <w:bCs/>
        </w:rPr>
        <w:t>1.4</w:t>
      </w:r>
      <w:r>
        <w:tab/>
        <w:t>intercambiar información técnica y de explotación;</w:t>
      </w:r>
    </w:p>
    <w:p w:rsidR="00B80B3B" w:rsidRDefault="00B80B3B" w:rsidP="00CC7A70">
      <w:pPr>
        <w:jc w:val="both"/>
      </w:pPr>
      <w:r>
        <w:rPr>
          <w:b/>
          <w:bCs/>
        </w:rPr>
        <w:t>1.5</w:t>
      </w:r>
      <w:r>
        <w:tab/>
        <w:t>experimentar con nuevas tecnologías;</w:t>
      </w:r>
    </w:p>
    <w:p w:rsidR="00B80B3B" w:rsidRDefault="00B80B3B" w:rsidP="00CC7A70">
      <w:pPr>
        <w:jc w:val="both"/>
      </w:pPr>
      <w:r>
        <w:rPr>
          <w:b/>
          <w:bCs/>
        </w:rPr>
        <w:t>1.6</w:t>
      </w:r>
      <w:r>
        <w:tab/>
        <w:t>establecer estaciones en zonas rurales y distantes;</w:t>
      </w:r>
    </w:p>
    <w:p w:rsidR="00B80B3B" w:rsidRDefault="00B80B3B" w:rsidP="00CC7A70">
      <w:pPr>
        <w:jc w:val="both"/>
      </w:pPr>
      <w:r>
        <w:rPr>
          <w:b/>
          <w:bCs/>
        </w:rPr>
        <w:t>1.7</w:t>
      </w:r>
      <w:r>
        <w:tab/>
        <w:t>prestar especial atención a los programas para jóvenes;</w:t>
      </w:r>
    </w:p>
    <w:p w:rsidR="00B80B3B" w:rsidRDefault="00B80B3B" w:rsidP="00CC7A70">
      <w:pPr>
        <w:jc w:val="both"/>
      </w:pPr>
      <w:r>
        <w:rPr>
          <w:b/>
          <w:bCs/>
        </w:rPr>
        <w:lastRenderedPageBreak/>
        <w:t>2</w:t>
      </w:r>
      <w:r>
        <w:tab/>
        <w:t>que las administraciones faciliten la rápida instalación y el uso eficaz de los recursos de telecomunicaciones para mitigación de catástrofes y operaciones de socorro en caso de catástrofe aliviando y, cuando sea posible, suprimiendo los obstáculos y reforzando la cooperación transfronteriza entre Estados;</w:t>
      </w:r>
    </w:p>
    <w:p w:rsidR="00B80B3B" w:rsidRDefault="00B80B3B" w:rsidP="00CC7A70">
      <w:pPr>
        <w:jc w:val="both"/>
      </w:pPr>
      <w:r>
        <w:rPr>
          <w:b/>
          <w:bCs/>
        </w:rPr>
        <w:t>3</w:t>
      </w:r>
      <w:r>
        <w:tab/>
        <w:t>que las administraciones empleen voluntarios, en la medida de lo posible, para facilitar el desarrollo de los servicios de aficionados;</w:t>
      </w:r>
    </w:p>
    <w:p w:rsidR="00B80B3B" w:rsidRDefault="00B80B3B" w:rsidP="00CC7A70">
      <w:pPr>
        <w:jc w:val="both"/>
      </w:pPr>
      <w:r>
        <w:rPr>
          <w:b/>
          <w:bCs/>
        </w:rPr>
        <w:t>4</w:t>
      </w:r>
      <w:r>
        <w:tab/>
        <w:t>que, para atender a las necesidades particulares de los países en desarrollo, se establezcan sistemas de radiocomunicaciones con las siguientes características:</w:t>
      </w:r>
    </w:p>
    <w:p w:rsidR="00B80B3B" w:rsidRDefault="00B80B3B" w:rsidP="00CC7A70">
      <w:pPr>
        <w:jc w:val="both"/>
      </w:pPr>
      <w:r>
        <w:rPr>
          <w:b/>
          <w:bCs/>
        </w:rPr>
        <w:t>4.1</w:t>
      </w:r>
      <w:r>
        <w:tab/>
        <w:t>mínima inversión;</w:t>
      </w:r>
    </w:p>
    <w:p w:rsidR="00B80B3B" w:rsidRDefault="00B80B3B" w:rsidP="00CC7A70">
      <w:pPr>
        <w:jc w:val="both"/>
      </w:pPr>
      <w:r>
        <w:rPr>
          <w:b/>
          <w:bCs/>
        </w:rPr>
        <w:t>4.2</w:t>
      </w:r>
      <w:r>
        <w:tab/>
        <w:t>capacidad de adaptarse a una cierta variedad de entornos de transporte y explotación; por ejemplo, deben ser resistentes a las vibraciones y a los choques, a la temperatura y humedad extremas y al polvo y deben poder funcionar con una amplia gama de fuentes de energía;</w:t>
      </w:r>
    </w:p>
    <w:p w:rsidR="00B80B3B" w:rsidRDefault="00B80B3B" w:rsidP="00CC7A70">
      <w:pPr>
        <w:jc w:val="both"/>
      </w:pPr>
      <w:r>
        <w:rPr>
          <w:b/>
          <w:bCs/>
        </w:rPr>
        <w:t>4.3</w:t>
      </w:r>
      <w:r>
        <w:tab/>
        <w:t>flexibilidad suficiente para adaptarse a las diversas distancias de las comunicaciones, a las distintas condiciones de propagación y a los diferentes entornos electromagnéticos;</w:t>
      </w:r>
    </w:p>
    <w:p w:rsidR="00B80B3B" w:rsidRDefault="00B80B3B" w:rsidP="00CC7A70">
      <w:pPr>
        <w:jc w:val="both"/>
      </w:pPr>
      <w:r>
        <w:rPr>
          <w:b/>
          <w:bCs/>
        </w:rPr>
        <w:t>4.4</w:t>
      </w:r>
      <w:r>
        <w:tab/>
        <w:t>facilidad de mantenimiento.</w:t>
      </w:r>
    </w:p>
    <w:p w:rsidR="00B80B3B" w:rsidRDefault="00B80B3B" w:rsidP="00CC7A70">
      <w:pPr>
        <w:jc w:val="both"/>
      </w:pPr>
    </w:p>
    <w:p w:rsidR="00B80B3B" w:rsidRDefault="00B80B3B" w:rsidP="00CC7A70">
      <w:pPr>
        <w:pStyle w:val="Line"/>
        <w:jc w:val="both"/>
      </w:pPr>
    </w:p>
    <w:sectPr w:rsidR="00B80B3B" w:rsidSect="00CD7419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94E" w:rsidRDefault="009F194E">
      <w:r>
        <w:separator/>
      </w:r>
    </w:p>
  </w:endnote>
  <w:endnote w:type="continuationSeparator" w:id="0">
    <w:p w:rsidR="009F194E" w:rsidRDefault="009F1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94E" w:rsidRDefault="009F194E">
      <w:r>
        <w:separator/>
      </w:r>
    </w:p>
  </w:footnote>
  <w:footnote w:type="continuationSeparator" w:id="0">
    <w:p w:rsidR="009F194E" w:rsidRDefault="009F194E">
      <w:r>
        <w:continuationSeparator/>
      </w:r>
    </w:p>
  </w:footnote>
  <w:footnote w:id="1">
    <w:p w:rsidR="009F194E" w:rsidRPr="00B80B3B" w:rsidRDefault="009F194E" w:rsidP="006A06E9">
      <w:pPr>
        <w:pStyle w:val="FootnoteText"/>
        <w:jc w:val="both"/>
      </w:pPr>
      <w:r w:rsidRPr="00795A30">
        <w:rPr>
          <w:rStyle w:val="FootnoteReference"/>
        </w:rPr>
        <w:sym w:font="Symbol" w:char="F02A"/>
      </w:r>
      <w:r w:rsidRPr="00B80B3B">
        <w:t xml:space="preserve"> </w:t>
      </w:r>
      <w:r w:rsidRPr="00B80B3B">
        <w:tab/>
        <w:t>La Comisión de Estudio 5 de Radiocomunicaciones efectuó modificaciones de redacción en esta Recomendación en 2008, de conformidad con la Resolución UIT-R 44.</w:t>
      </w:r>
    </w:p>
  </w:footnote>
  <w:footnote w:id="2">
    <w:p w:rsidR="009F194E" w:rsidRPr="00B80B3B" w:rsidRDefault="009F194E" w:rsidP="006A06E9">
      <w:pPr>
        <w:pStyle w:val="FootnoteText"/>
        <w:jc w:val="both"/>
      </w:pPr>
      <w:r>
        <w:rPr>
          <w:rStyle w:val="FootnoteReference"/>
        </w:rPr>
        <w:footnoteRef/>
      </w:r>
      <w:r w:rsidRPr="00B80B3B">
        <w:t xml:space="preserve"> </w:t>
      </w:r>
      <w:r w:rsidRPr="00B80B3B">
        <w:tab/>
        <w:t>Véase también la Recomendación UIT-D 13.1 – Utilización eficaz de los servicios de aficionados en la mitigación de catástrofes y las operaciones de socorro en caso de catástrofe.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419" w:rsidRDefault="00CD7419">
    <w:pPr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419" w:rsidRDefault="00CD7419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8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419" w:rsidRDefault="00CD7419" w:rsidP="001B395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Pr="001F4E30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>
      <w:rPr>
        <w:b/>
        <w:bCs/>
        <w:noProof/>
      </w:rPr>
      <w:t>UIT-R  M.1043-2</w:t>
    </w:r>
    <w:r w:rsidRPr="001B395D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419" w:rsidRDefault="00CD7419">
    <w:r>
      <w:tab/>
    </w:r>
    <w:fldSimple w:instr=" DOCPROPERTY &quot;Header&quot; \* MERGEFORMAT ">
      <w:r w:rsidRPr="001F4E3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M.1825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4E" w:rsidRDefault="009F194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D741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6A06E9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D7419">
      <w:rPr>
        <w:b/>
        <w:bCs/>
        <w:noProof/>
      </w:rPr>
      <w:t>UIT-R  M.1043-2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4E" w:rsidRDefault="009F194E">
    <w:pPr>
      <w:pStyle w:val="Header"/>
    </w:pPr>
    <w:r>
      <w:tab/>
    </w:r>
    <w:fldSimple w:instr=" DOCPROPERTY &quot;Header&quot; \* MERGEFORMAT ">
      <w:r w:rsidR="006A06E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D7419">
      <w:rPr>
        <w:b/>
        <w:bCs/>
        <w:noProof/>
      </w:rPr>
      <w:t>UIT-R  M.1043-2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D741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grammar="clean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B3B"/>
    <w:rsid w:val="002D76C4"/>
    <w:rsid w:val="00607D68"/>
    <w:rsid w:val="006A06E9"/>
    <w:rsid w:val="007468DA"/>
    <w:rsid w:val="00881356"/>
    <w:rsid w:val="008A1858"/>
    <w:rsid w:val="009B5B0E"/>
    <w:rsid w:val="009F194E"/>
    <w:rsid w:val="00A6617B"/>
    <w:rsid w:val="00AB0DC8"/>
    <w:rsid w:val="00B44E24"/>
    <w:rsid w:val="00B80B3B"/>
    <w:rsid w:val="00CC7A70"/>
    <w:rsid w:val="00CD7419"/>
    <w:rsid w:val="00DF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0B3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s-ES_tradnl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lang w:val="fr-FR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  <w:jc w:val="both"/>
    </w:pPr>
    <w:rPr>
      <w:lang w:val="fr-FR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  <w:tab w:val="left" w:pos="1985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D74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0</TotalTime>
  <Pages>4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santosbo</cp:lastModifiedBy>
  <cp:revision>2</cp:revision>
  <cp:lastPrinted>2005-02-10T14:54:00Z</cp:lastPrinted>
  <dcterms:created xsi:type="dcterms:W3CDTF">2010-07-13T10:00:00Z</dcterms:created>
  <dcterms:modified xsi:type="dcterms:W3CDTF">2010-07-13T10:00:00Z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