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0D52E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-R  M.</w:t>
            </w:r>
            <w:r w:rsidR="000D52EA">
              <w:rPr>
                <w:rFonts w:ascii="Tahoma" w:hAnsi="Tahoma" w:cs="Tahoma"/>
                <w:b/>
                <w:bCs/>
                <w:iCs/>
                <w:color w:val="243285"/>
                <w:sz w:val="36"/>
                <w:szCs w:val="36"/>
              </w:rPr>
              <w:t>1073-3</w:t>
            </w:r>
          </w:p>
          <w:p w:rsidR="00FE79FE" w:rsidRPr="00A443C2" w:rsidRDefault="00FE79FE" w:rsidP="000D52E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0D52EA">
              <w:rPr>
                <w:rFonts w:ascii="Tahoma" w:hAnsi="Tahoma" w:cs="Tahoma"/>
                <w:b/>
                <w:bCs/>
                <w:iCs/>
                <w:color w:val="243285"/>
                <w:szCs w:val="24"/>
              </w:rPr>
              <w:t>3</w:t>
            </w:r>
            <w:r w:rsidRPr="00A443C2">
              <w:rPr>
                <w:rFonts w:ascii="Tahoma" w:hAnsi="Tahoma" w:cs="Tahoma"/>
                <w:b/>
                <w:bCs/>
                <w:iCs/>
                <w:color w:val="243285"/>
                <w:szCs w:val="24"/>
              </w:rPr>
              <w:t>/</w:t>
            </w:r>
            <w:r w:rsidR="000D52EA">
              <w:rPr>
                <w:rFonts w:ascii="Tahoma" w:hAnsi="Tahoma" w:cs="Tahoma"/>
                <w:b/>
                <w:bCs/>
                <w:iCs/>
                <w:color w:val="243285"/>
                <w:szCs w:val="24"/>
              </w:rPr>
              <w:t>2012</w:t>
            </w:r>
            <w:r w:rsidRPr="00A443C2">
              <w:rPr>
                <w:rFonts w:ascii="Tahoma" w:hAnsi="Tahoma" w:cs="Tahoma"/>
                <w:b/>
                <w:bCs/>
                <w:iCs/>
                <w:color w:val="243285"/>
                <w:szCs w:val="24"/>
              </w:rPr>
              <w:t>)</w:t>
            </w:r>
          </w:p>
        </w:tc>
      </w:tr>
      <w:tr w:rsidR="00FE79FE" w:rsidRPr="00F54FBD">
        <w:tc>
          <w:tcPr>
            <w:tcW w:w="10089" w:type="dxa"/>
          </w:tcPr>
          <w:p w:rsidR="00FE79FE" w:rsidRDefault="000D52EA" w:rsidP="000D52EA">
            <w:pPr>
              <w:spacing w:before="80" w:line="500" w:lineRule="exact"/>
              <w:jc w:val="right"/>
              <w:rPr>
                <w:rFonts w:ascii="Tahoma" w:hAnsi="Tahoma" w:cs="Tahoma"/>
                <w:b/>
                <w:bCs/>
                <w:iCs/>
                <w:color w:val="243285"/>
                <w:sz w:val="44"/>
                <w:szCs w:val="44"/>
              </w:rPr>
            </w:pPr>
            <w:r w:rsidRPr="000D52EA">
              <w:rPr>
                <w:rFonts w:ascii="Tahoma" w:hAnsi="Tahoma" w:cs="Tahoma"/>
                <w:b/>
                <w:bCs/>
                <w:iCs/>
                <w:color w:val="243285"/>
                <w:sz w:val="44"/>
                <w:szCs w:val="44"/>
              </w:rPr>
              <w:t>Systèmes mobiles terrestres cellulaires numériques de télécommunication</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M</w:t>
            </w:r>
          </w:p>
          <w:p w:rsidR="00FE79FE" w:rsidRPr="00F54FBD" w:rsidRDefault="004A4D6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C95B6F"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tc>
          <w:tcPr>
            <w:tcW w:w="1140" w:type="dxa"/>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tc>
          <w:tcPr>
            <w:tcW w:w="1140" w:type="dxa"/>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tc>
          <w:tcPr>
            <w:tcW w:w="1140" w:type="dxa"/>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592F9F">
        <w:tc>
          <w:tcPr>
            <w:tcW w:w="1140" w:type="dxa"/>
            <w:shd w:val="clear" w:color="auto" w:fill="F3F3F3"/>
          </w:tcPr>
          <w:p w:rsidR="00F54FBD" w:rsidRPr="00592F9F" w:rsidRDefault="00F54FBD"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54FBD" w:rsidRPr="00592F9F"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54FBD" w:rsidRPr="00036EE3">
        <w:tc>
          <w:tcPr>
            <w:tcW w:w="1140" w:type="dxa"/>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422AE4">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1671C8">
      <w:pPr>
        <w:spacing w:before="0"/>
        <w:jc w:val="right"/>
        <w:rPr>
          <w:sz w:val="20"/>
        </w:rPr>
      </w:pPr>
      <w:r w:rsidRPr="00614CC6">
        <w:rPr>
          <w:sz w:val="20"/>
        </w:rPr>
        <w:t>G</w:t>
      </w:r>
      <w:r w:rsidR="00614CC6" w:rsidRPr="00614CC6">
        <w:rPr>
          <w:sz w:val="20"/>
        </w:rPr>
        <w:t>enève</w:t>
      </w:r>
      <w:r w:rsidRPr="00614CC6">
        <w:rPr>
          <w:sz w:val="20"/>
        </w:rPr>
        <w:t>, 20</w:t>
      </w:r>
      <w:r w:rsidR="003E0582">
        <w:rPr>
          <w:sz w:val="20"/>
        </w:rPr>
        <w:t>1</w:t>
      </w:r>
      <w:r w:rsidR="001671C8">
        <w:rPr>
          <w:sz w:val="20"/>
        </w:rPr>
        <w:t>4</w:t>
      </w:r>
    </w:p>
    <w:p w:rsidR="00F54FBD" w:rsidRPr="00614CC6" w:rsidRDefault="00F54FBD" w:rsidP="001671C8">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3E0582">
        <w:rPr>
          <w:sz w:val="20"/>
        </w:rPr>
        <w:t>1</w:t>
      </w:r>
      <w:r w:rsidR="001671C8">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934ED7" w:rsidRPr="002E3346" w:rsidRDefault="00756B4D" w:rsidP="007E3690">
      <w:pPr>
        <w:pStyle w:val="RecNo"/>
        <w:spacing w:before="0"/>
      </w:pPr>
      <w:bookmarkStart w:id="2" w:name="irecnoe"/>
      <w:bookmarkEnd w:id="2"/>
      <w:r w:rsidRPr="00756B4D">
        <w:lastRenderedPageBreak/>
        <w:t>RECOMMA</w:t>
      </w:r>
      <w:r w:rsidR="00934ED7" w:rsidRPr="00756B4D">
        <w:t xml:space="preserve">NDATION  </w:t>
      </w:r>
      <w:r w:rsidR="00530208">
        <w:rPr>
          <w:rStyle w:val="href"/>
        </w:rPr>
        <w:t>UIT</w:t>
      </w:r>
      <w:r w:rsidR="00934ED7" w:rsidRPr="00756B4D">
        <w:rPr>
          <w:rStyle w:val="href"/>
        </w:rPr>
        <w:t>-R  M.</w:t>
      </w:r>
      <w:r w:rsidR="007E3690">
        <w:rPr>
          <w:rStyle w:val="href"/>
        </w:rPr>
        <w:t>1073-3</w:t>
      </w:r>
    </w:p>
    <w:p w:rsidR="002E3346" w:rsidRDefault="005277E3" w:rsidP="002E3346">
      <w:pPr>
        <w:pStyle w:val="Rectitle"/>
      </w:pPr>
      <w:r>
        <w:t>Systèmes mobiles terrestres cellulaires numériques</w:t>
      </w:r>
      <w:r>
        <w:br/>
        <w:t>de télécommunication</w:t>
      </w:r>
    </w:p>
    <w:p w:rsidR="005277E3" w:rsidRDefault="005277E3" w:rsidP="005277E3">
      <w:pPr>
        <w:pStyle w:val="Recdate"/>
      </w:pPr>
      <w:r>
        <w:t>(1994-1997-2005-2012)</w:t>
      </w:r>
    </w:p>
    <w:p w:rsidR="005277E3" w:rsidRPr="009B6E48" w:rsidRDefault="005277E3" w:rsidP="005277E3">
      <w:pPr>
        <w:pStyle w:val="HeadingSum"/>
        <w:rPr>
          <w:lang w:val="fr-FR"/>
        </w:rPr>
      </w:pPr>
      <w:r>
        <w:rPr>
          <w:lang w:val="fr-FR"/>
        </w:rPr>
        <w:t>Champ d'application</w:t>
      </w:r>
    </w:p>
    <w:p w:rsidR="005277E3" w:rsidRPr="007064E5" w:rsidRDefault="005277E3" w:rsidP="005277E3">
      <w:pPr>
        <w:pStyle w:val="Summary"/>
        <w:rPr>
          <w:lang w:val="fr-FR"/>
        </w:rPr>
      </w:pPr>
      <w:r w:rsidRPr="009B6E48">
        <w:rPr>
          <w:lang w:val="fr-FR"/>
        </w:rPr>
        <w:t>La présente Recommandation indique les caractéristiques techniques et d</w:t>
      </w:r>
      <w:r>
        <w:rPr>
          <w:lang w:val="fr-FR"/>
        </w:rPr>
        <w:t>'</w:t>
      </w:r>
      <w:r w:rsidRPr="009B6E48">
        <w:rPr>
          <w:lang w:val="fr-FR"/>
        </w:rPr>
        <w:t xml:space="preserve">exploitation des systèmes mobiles terrestres cellulaires numériques de télécommunication destinés à des utilisations internationales ou régionales. </w:t>
      </w:r>
      <w:r w:rsidRPr="007064E5">
        <w:rPr>
          <w:lang w:val="fr-FR"/>
        </w:rPr>
        <w:t>En proposant des références appropriées aux spécifications correspondant à chaque technologie, elle fournit un fil directeur aux administrations évaluant divers systèmes cellulaires numériques en vue de leur mise en service projetée.</w:t>
      </w:r>
    </w:p>
    <w:p w:rsidR="005277E3" w:rsidRDefault="005277E3" w:rsidP="005277E3">
      <w:pPr>
        <w:pStyle w:val="Normalaftertitle"/>
      </w:pPr>
      <w:r>
        <w:t>L'Assemblée des radiocommunications de l'UIT,</w:t>
      </w:r>
    </w:p>
    <w:p w:rsidR="005277E3" w:rsidRDefault="005277E3" w:rsidP="005277E3">
      <w:pPr>
        <w:pStyle w:val="Call"/>
      </w:pPr>
      <w:r>
        <w:t>considérant</w:t>
      </w:r>
    </w:p>
    <w:p w:rsidR="005277E3" w:rsidRDefault="005277E3" w:rsidP="005277E3">
      <w:r w:rsidRPr="006B5521">
        <w:rPr>
          <w:i/>
          <w:iCs/>
        </w:rPr>
        <w:t>a)</w:t>
      </w:r>
      <w:r>
        <w:tab/>
        <w:t>que l'on utilise actuellement des signaux numériques de formats divers pour améliorer l'efficacité des communications du service mobile terrestre;</w:t>
      </w:r>
    </w:p>
    <w:p w:rsidR="005277E3" w:rsidRDefault="005277E3" w:rsidP="005277E3">
      <w:r w:rsidRPr="006B5521">
        <w:rPr>
          <w:i/>
          <w:iCs/>
        </w:rPr>
        <w:t>b)</w:t>
      </w:r>
      <w:r>
        <w:tab/>
        <w:t>que les systèmes de transmission numériques qui ne sont pas compatibles avec les systèmes mobiles terrestres existants devraient être aussi pris en considération, y compris la transmission de signaux vocaux à codage numérique;</w:t>
      </w:r>
    </w:p>
    <w:p w:rsidR="005277E3" w:rsidRDefault="005277E3" w:rsidP="005277E3">
      <w:r w:rsidRPr="006B5521">
        <w:rPr>
          <w:i/>
          <w:iCs/>
        </w:rPr>
        <w:t>c)</w:t>
      </w:r>
      <w:r>
        <w:tab/>
        <w:t>que plusieurs pays disposent de services de téléphone mobile, c'est</w:t>
      </w:r>
      <w:r>
        <w:noBreakHyphen/>
        <w:t>à</w:t>
      </w:r>
      <w:r>
        <w:noBreakHyphen/>
        <w:t>dire des services ouverts à la correspondance publique échangée par l'intermédiaire de stations de radiocommunication connectées au réseau téléphonique public avec commutation (RTPC), et que leur utilisation est de plus en plus répandue;</w:t>
      </w:r>
    </w:p>
    <w:p w:rsidR="005277E3" w:rsidRDefault="005277E3" w:rsidP="005277E3">
      <w:r w:rsidRPr="006B5521">
        <w:rPr>
          <w:i/>
          <w:iCs/>
        </w:rPr>
        <w:t>d)</w:t>
      </w:r>
      <w:r>
        <w:tab/>
        <w:t>que les divers systèmes techniques utilisés ou que l'on envisage d'utiliser pour ces services ne sont pas nécessairement compatibles;</w:t>
      </w:r>
    </w:p>
    <w:p w:rsidR="005277E3" w:rsidRDefault="005277E3" w:rsidP="005277E3">
      <w:r w:rsidRPr="006B5521">
        <w:rPr>
          <w:i/>
          <w:iCs/>
        </w:rPr>
        <w:t>e)</w:t>
      </w:r>
      <w:r>
        <w:tab/>
        <w:t>que la compatibilité des systèmes est nécessaire dans le cas de l'exploitation internationale;</w:t>
      </w:r>
    </w:p>
    <w:p w:rsidR="005277E3" w:rsidRDefault="005277E3" w:rsidP="005277E3">
      <w:r w:rsidRPr="006B5521">
        <w:rPr>
          <w:i/>
          <w:iCs/>
        </w:rPr>
        <w:t>f)</w:t>
      </w:r>
      <w:r>
        <w:tab/>
        <w:t>que, pour l'exploitation internationale, il est souhaitable de parvenir à un accord sur les caractéristiques à retenir;</w:t>
      </w:r>
    </w:p>
    <w:p w:rsidR="005277E3" w:rsidRDefault="005277E3" w:rsidP="005277E3">
      <w:r w:rsidRPr="006B5521">
        <w:rPr>
          <w:i/>
          <w:iCs/>
        </w:rPr>
        <w:t>g)</w:t>
      </w:r>
      <w:r>
        <w:tab/>
        <w:t>qu'il est nécessaire d'améliorer l'efficacité de l'utilisation du spectre et, par conséquent, la capacité des systèmes par MHz et par unité de surface;</w:t>
      </w:r>
    </w:p>
    <w:p w:rsidR="005277E3" w:rsidRDefault="005277E3" w:rsidP="005277E3">
      <w:r w:rsidRPr="006B5521">
        <w:rPr>
          <w:i/>
          <w:iCs/>
        </w:rPr>
        <w:t>h)</w:t>
      </w:r>
      <w:r>
        <w:tab/>
        <w:t>que le système doit avoir une structure souple permettant de moduler les investissements en matière de réseau en fonction de l'augmentation des recettes, de s'adapter rapidement aux facteurs d'environnement et d'exploiter le progrès technique au lieu de le freiner;</w:t>
      </w:r>
    </w:p>
    <w:p w:rsidR="005277E3" w:rsidRDefault="006B5521" w:rsidP="005277E3">
      <w:r w:rsidRPr="006B5521">
        <w:rPr>
          <w:i/>
          <w:iCs/>
        </w:rPr>
        <w:t>i</w:t>
      </w:r>
      <w:r w:rsidR="005277E3" w:rsidRPr="006B5521">
        <w:rPr>
          <w:i/>
          <w:iCs/>
        </w:rPr>
        <w:t>)</w:t>
      </w:r>
      <w:r w:rsidR="005277E3">
        <w:tab/>
        <w:t>l'importance croissante des divers types de services de données et de services télématiques,</w:t>
      </w:r>
    </w:p>
    <w:p w:rsidR="005277E3" w:rsidRDefault="005277E3" w:rsidP="005277E3">
      <w:pPr>
        <w:pStyle w:val="Call"/>
      </w:pPr>
      <w:r>
        <w:t>notant</w:t>
      </w:r>
    </w:p>
    <w:p w:rsidR="005277E3" w:rsidRDefault="005277E3" w:rsidP="005277E3">
      <w:r>
        <w:t xml:space="preserve">que la </w:t>
      </w:r>
      <w:r>
        <w:rPr>
          <w:szCs w:val="24"/>
        </w:rPr>
        <w:t>Recommandation UIT-R M.1457 couvre les interfaces radio IMT-2000,</w:t>
      </w:r>
    </w:p>
    <w:p w:rsidR="005277E3" w:rsidRDefault="005277E3" w:rsidP="005277E3">
      <w:pPr>
        <w:pStyle w:val="Call"/>
      </w:pPr>
      <w:r>
        <w:t>recommande</w:t>
      </w:r>
    </w:p>
    <w:p w:rsidR="005277E3" w:rsidRDefault="005277E3" w:rsidP="005277E3">
      <w:r>
        <w:t>d'utiliser les caractéristiques techniques et d'exploitation suivantes pour les systèmes mobiles terrestres cellulaires numériques de télécommunication (SMTCNT):</w:t>
      </w:r>
    </w:p>
    <w:p w:rsidR="005277E3" w:rsidRDefault="005277E3" w:rsidP="005277E3">
      <w:pPr>
        <w:pStyle w:val="Heading1"/>
      </w:pPr>
      <w:bookmarkStart w:id="3" w:name="a"/>
      <w:bookmarkStart w:id="4" w:name="_Toc391188564"/>
      <w:bookmarkStart w:id="5" w:name="_Toc119211349"/>
      <w:bookmarkEnd w:id="3"/>
      <w:r>
        <w:lastRenderedPageBreak/>
        <w:t>1</w:t>
      </w:r>
      <w:r>
        <w:tab/>
        <w:t>Objectifs généraux</w:t>
      </w:r>
      <w:bookmarkEnd w:id="4"/>
      <w:bookmarkEnd w:id="5"/>
    </w:p>
    <w:p w:rsidR="005277E3" w:rsidRDefault="005277E3" w:rsidP="005277E3">
      <w:r>
        <w:t>Les SMTCNT sont conçus en fonction d'un certain nombre d'objectifs généraux:</w:t>
      </w:r>
    </w:p>
    <w:p w:rsidR="005277E3" w:rsidRDefault="005277E3" w:rsidP="005277E3">
      <w:pPr>
        <w:pStyle w:val="enumlev1"/>
      </w:pPr>
      <w:r>
        <w:t>–</w:t>
      </w:r>
      <w:r>
        <w:tab/>
        <w:t>fournir des systèmes caractérisés par une excellente efficacité d'utilisation du spectre, permettant donc, compte tenu des ressources en spectre limitées dont on dispose, de desservir un plus grand nombre d'usagers que les systèmes mobiles terrestres publics de télécommunication (SMTPT) cellulaires analogiques existants;</w:t>
      </w:r>
    </w:p>
    <w:p w:rsidR="005277E3" w:rsidRDefault="005277E3" w:rsidP="005277E3">
      <w:pPr>
        <w:pStyle w:val="enumlev1"/>
      </w:pPr>
      <w:r>
        <w:t>–</w:t>
      </w:r>
      <w:r>
        <w:tab/>
        <w:t>proposer aux utilisateurs une large gamme de services et de systèmes, téléphoniques ou non, compatibles avec ceux qu'offrent les réseaux publics fixes (RTPC, RNIS, RPD, etc.), ainsi que l'accès à ces réseaux;</w:t>
      </w:r>
    </w:p>
    <w:p w:rsidR="005277E3" w:rsidRDefault="005277E3" w:rsidP="005277E3">
      <w:pPr>
        <w:pStyle w:val="enumlev1"/>
      </w:pPr>
      <w:r>
        <w:t>–</w:t>
      </w:r>
      <w:r>
        <w:tab/>
        <w:t>offrir des services et équipements caractérisant spécifiquement les systèmes mobiles et notamment des possibilités de localisation automatique des usagers mobiles et de mise à jour de l'état de leur système;</w:t>
      </w:r>
    </w:p>
    <w:p w:rsidR="005277E3" w:rsidRDefault="005277E3" w:rsidP="005277E3">
      <w:pPr>
        <w:pStyle w:val="enumlev1"/>
      </w:pPr>
      <w:r>
        <w:t>–</w:t>
      </w:r>
      <w:r>
        <w:tab/>
        <w:t>proposer aux usagers diverses stations mobiles correspondant à leurs besoins, des stations montées à bord de véhicules aux stations portatives, dotées d'interfaces téléphoniques et non téléphoniques;</w:t>
      </w:r>
    </w:p>
    <w:p w:rsidR="005277E3" w:rsidRDefault="005277E3" w:rsidP="005277E3">
      <w:pPr>
        <w:pStyle w:val="enumlev1"/>
      </w:pPr>
      <w:r>
        <w:t>–</w:t>
      </w:r>
      <w:r>
        <w:tab/>
        <w:t>fournir des services de qualité et d'intégrité élevées, pour un coût raisonnable;</w:t>
      </w:r>
    </w:p>
    <w:p w:rsidR="005277E3" w:rsidRDefault="005277E3" w:rsidP="005277E3">
      <w:pPr>
        <w:pStyle w:val="enumlev1"/>
      </w:pPr>
      <w:r>
        <w:t>–</w:t>
      </w:r>
      <w:r>
        <w:tab/>
        <w:t>permettre de réduire le coût, le poids, les dimensions et la consommation électrique des équipements mobiles et de leur infrastructure, réduction rendue possible par l'adoption du traitement numérique et des techniques d'intégration à très grande échelle.</w:t>
      </w:r>
    </w:p>
    <w:p w:rsidR="005277E3" w:rsidRDefault="005277E3" w:rsidP="005277E3">
      <w:pPr>
        <w:pStyle w:val="Heading1"/>
      </w:pPr>
      <w:bookmarkStart w:id="6" w:name="_Toc391188565"/>
      <w:bookmarkStart w:id="7" w:name="_Toc119211350"/>
      <w:r>
        <w:t>2</w:t>
      </w:r>
      <w:r>
        <w:tab/>
        <w:t>Techniques numériques</w:t>
      </w:r>
      <w:bookmarkEnd w:id="6"/>
      <w:bookmarkEnd w:id="7"/>
    </w:p>
    <w:p w:rsidR="005277E3" w:rsidRDefault="005277E3" w:rsidP="005277E3">
      <w:r>
        <w:t>Dans les SMTPT, les techniques numériques interviennent à cinq niveaux principaux:</w:t>
      </w:r>
    </w:p>
    <w:p w:rsidR="005277E3" w:rsidRDefault="005277E3" w:rsidP="005277E3">
      <w:pPr>
        <w:pStyle w:val="enumlev1"/>
      </w:pPr>
      <w:r>
        <w:t>–</w:t>
      </w:r>
      <w:r>
        <w:tab/>
        <w:t>modulation et démodulation numériques du signal radioélectrique;</w:t>
      </w:r>
    </w:p>
    <w:p w:rsidR="005277E3" w:rsidRDefault="005277E3" w:rsidP="005277E3">
      <w:pPr>
        <w:pStyle w:val="enumlev1"/>
      </w:pPr>
      <w:r>
        <w:t>–</w:t>
      </w:r>
      <w:r>
        <w:tab/>
        <w:t>codage numérique de la parole;</w:t>
      </w:r>
    </w:p>
    <w:p w:rsidR="005277E3" w:rsidRDefault="005277E3" w:rsidP="005277E3">
      <w:pPr>
        <w:pStyle w:val="enumlev1"/>
      </w:pPr>
      <w:r>
        <w:t>–</w:t>
      </w:r>
      <w:r>
        <w:tab/>
        <w:t>codage des canaux et traitement numérique du signal;</w:t>
      </w:r>
    </w:p>
    <w:p w:rsidR="005277E3" w:rsidRDefault="005277E3" w:rsidP="005277E3">
      <w:pPr>
        <w:pStyle w:val="enumlev1"/>
      </w:pPr>
      <w:r>
        <w:t>–</w:t>
      </w:r>
      <w:r>
        <w:tab/>
        <w:t>canaux numériques de commande et de données;</w:t>
      </w:r>
    </w:p>
    <w:p w:rsidR="005277E3" w:rsidRDefault="005277E3" w:rsidP="005277E3">
      <w:pPr>
        <w:pStyle w:val="enumlev1"/>
      </w:pPr>
      <w:r>
        <w:t>–</w:t>
      </w:r>
      <w:r>
        <w:tab/>
        <w:t>secret des communications et authentification.</w:t>
      </w:r>
    </w:p>
    <w:p w:rsidR="005277E3" w:rsidRDefault="005277E3" w:rsidP="005277E3">
      <w:pPr>
        <w:pStyle w:val="Heading1"/>
      </w:pPr>
      <w:bookmarkStart w:id="8" w:name="_Toc391188566"/>
      <w:bookmarkStart w:id="9" w:name="_Toc119211351"/>
      <w:r>
        <w:t>3</w:t>
      </w:r>
      <w:r>
        <w:tab/>
        <w:t>Types de service</w:t>
      </w:r>
      <w:bookmarkEnd w:id="8"/>
      <w:bookmarkEnd w:id="9"/>
    </w:p>
    <w:p w:rsidR="005277E3" w:rsidRDefault="005277E3" w:rsidP="005277E3">
      <w:r>
        <w:t>Les services de télécommunication fondamentaux offerts par les SMTCNT, décrits en détail dans la documentation de référence, peuvent être classés en deux catégories:</w:t>
      </w:r>
    </w:p>
    <w:p w:rsidR="005277E3" w:rsidRDefault="005277E3" w:rsidP="005277E3">
      <w:pPr>
        <w:pStyle w:val="enumlev1"/>
      </w:pPr>
      <w:r>
        <w:t>–</w:t>
      </w:r>
      <w:r>
        <w:tab/>
        <w:t>les services supports, conférant à l'usager la capacité nécessaire pour transmettre des signaux appropriés entre certains points d'accès;</w:t>
      </w:r>
    </w:p>
    <w:p w:rsidR="005277E3" w:rsidRDefault="005277E3" w:rsidP="005277E3">
      <w:pPr>
        <w:pStyle w:val="enumlev1"/>
      </w:pPr>
      <w:r>
        <w:t>–</w:t>
      </w:r>
      <w:r>
        <w:tab/>
        <w:t>les téléservices, qui permettent à l'usager de disposer d'une capacité de communication totale avec les autres usagers, notamment par l'intermédiaire des fonctions d'équipement terminal.</w:t>
      </w:r>
    </w:p>
    <w:p w:rsidR="005277E3" w:rsidRDefault="005277E3" w:rsidP="005277E3">
      <w:r>
        <w:t>Par ailleurs, des services supplémentaires peuvent être associés aux services de base.</w:t>
      </w:r>
    </w:p>
    <w:p w:rsidR="005277E3" w:rsidRDefault="005277E3" w:rsidP="005277E3">
      <w:r>
        <w:t>Tous les SMTCNT assurent certains services de l'une et l'autre catégories, mais la gamme varie d'un système à l'autre.</w:t>
      </w:r>
    </w:p>
    <w:p w:rsidR="005277E3" w:rsidRDefault="005277E3" w:rsidP="005277E3">
      <w:pPr>
        <w:pStyle w:val="Heading2"/>
      </w:pPr>
      <w:bookmarkStart w:id="10" w:name="_Toc391188567"/>
      <w:bookmarkStart w:id="11" w:name="_Toc119211352"/>
      <w:r>
        <w:t>3.1</w:t>
      </w:r>
      <w:r>
        <w:tab/>
        <w:t>Services supports</w:t>
      </w:r>
      <w:bookmarkEnd w:id="10"/>
      <w:bookmarkEnd w:id="11"/>
    </w:p>
    <w:p w:rsidR="005277E3" w:rsidRDefault="005277E3" w:rsidP="005277E3">
      <w:r>
        <w:t>Les services supports types proposés sont les suivants:</w:t>
      </w:r>
    </w:p>
    <w:p w:rsidR="005277E3" w:rsidRDefault="005277E3" w:rsidP="005277E3">
      <w:pPr>
        <w:pStyle w:val="enumlev1"/>
      </w:pPr>
      <w:r>
        <w:t>–</w:t>
      </w:r>
      <w:r>
        <w:tab/>
        <w:t>synchrones, asynchrones et transmission de données par paquets;</w:t>
      </w:r>
    </w:p>
    <w:p w:rsidR="005277E3" w:rsidRDefault="005277E3" w:rsidP="005277E3">
      <w:pPr>
        <w:pStyle w:val="enumlev1"/>
      </w:pPr>
      <w:r>
        <w:t>–</w:t>
      </w:r>
      <w:r>
        <w:tab/>
        <w:t>capacité numérique sans restriction, débit binaire spécifique.</w:t>
      </w:r>
    </w:p>
    <w:p w:rsidR="005277E3" w:rsidRDefault="005277E3" w:rsidP="005277E3">
      <w:r>
        <w:lastRenderedPageBreak/>
        <w:t>En général, le raccordement de modems à bande vocale au trajet téléphonique des stations mobiles n'est pas possible. Un service équivalent à celui qu'offrent les modems à bande vocale du RTPC ou du RNIS peut être assuré par les services supports énumérés plus haut.</w:t>
      </w:r>
    </w:p>
    <w:p w:rsidR="005277E3" w:rsidRDefault="005277E3" w:rsidP="005277E3">
      <w:pPr>
        <w:pStyle w:val="Heading2"/>
      </w:pPr>
      <w:bookmarkStart w:id="12" w:name="_Toc391188568"/>
      <w:bookmarkStart w:id="13" w:name="_Toc119211353"/>
      <w:r>
        <w:t>3.2</w:t>
      </w:r>
      <w:r>
        <w:tab/>
        <w:t>Téléservices</w:t>
      </w:r>
      <w:bookmarkEnd w:id="12"/>
      <w:bookmarkEnd w:id="13"/>
    </w:p>
    <w:p w:rsidR="005277E3" w:rsidRDefault="005277E3" w:rsidP="005277E3">
      <w:r>
        <w:t>Tous les SMTCNT assurent les téléservices de téléphonie et de télécopie. Certains offrent le vidéotex, le télétex, etc.</w:t>
      </w:r>
    </w:p>
    <w:p w:rsidR="005277E3" w:rsidRDefault="005277E3" w:rsidP="005277E3">
      <w:pPr>
        <w:pStyle w:val="Heading2"/>
      </w:pPr>
      <w:bookmarkStart w:id="14" w:name="_Toc391188569"/>
      <w:bookmarkStart w:id="15" w:name="_Toc119211354"/>
      <w:r>
        <w:t>3.3</w:t>
      </w:r>
      <w:r>
        <w:tab/>
        <w:t>Services supplémentaires</w:t>
      </w:r>
      <w:bookmarkEnd w:id="14"/>
      <w:bookmarkEnd w:id="15"/>
    </w:p>
    <w:p w:rsidR="005277E3" w:rsidRDefault="005277E3" w:rsidP="005277E3">
      <w:r>
        <w:t>La gamme des services supplémentaires disponibles dans un SMTCNT varie selon le système et la configuration spécifique.</w:t>
      </w:r>
    </w:p>
    <w:p w:rsidR="005277E3" w:rsidRDefault="005277E3" w:rsidP="005277E3">
      <w:pPr>
        <w:pStyle w:val="Heading1"/>
      </w:pPr>
      <w:bookmarkStart w:id="16" w:name="_Toc391188570"/>
      <w:bookmarkStart w:id="17" w:name="_Toc119211355"/>
      <w:r>
        <w:t>4</w:t>
      </w:r>
      <w:r>
        <w:tab/>
        <w:t>Architecture commune à tous les systèmes numériques</w:t>
      </w:r>
      <w:bookmarkEnd w:id="16"/>
      <w:bookmarkEnd w:id="17"/>
    </w:p>
    <w:p w:rsidR="005277E3" w:rsidRDefault="005277E3" w:rsidP="005277E3">
      <w:pPr>
        <w:pStyle w:val="Heading2"/>
      </w:pPr>
      <w:bookmarkStart w:id="18" w:name="_Toc391188571"/>
      <w:bookmarkStart w:id="19" w:name="_Toc119211356"/>
      <w:r>
        <w:t>4.1</w:t>
      </w:r>
      <w:r>
        <w:tab/>
        <w:t>Configuration des stations de base</w:t>
      </w:r>
      <w:bookmarkEnd w:id="18"/>
      <w:bookmarkEnd w:id="19"/>
    </w:p>
    <w:p w:rsidR="005277E3" w:rsidRDefault="005277E3" w:rsidP="005277E3">
      <w:r>
        <w:t>La répartition géographique des stations de base est organisée selon deux types de structures:</w:t>
      </w:r>
    </w:p>
    <w:p w:rsidR="005277E3" w:rsidRDefault="005277E3" w:rsidP="005277E3">
      <w:pPr>
        <w:pStyle w:val="enumlev1"/>
      </w:pPr>
      <w:r>
        <w:t>–</w:t>
      </w:r>
      <w:r>
        <w:tab/>
        <w:t>structures cellulaires régulières, avec antennes équidirectives;</w:t>
      </w:r>
    </w:p>
    <w:p w:rsidR="005277E3" w:rsidRDefault="005277E3" w:rsidP="005277E3">
      <w:pPr>
        <w:pStyle w:val="enumlev1"/>
      </w:pPr>
      <w:r>
        <w:t>–</w:t>
      </w:r>
      <w:r>
        <w:tab/>
        <w:t>structures cellulaires sectorielles, avec antennes directives.</w:t>
      </w:r>
    </w:p>
    <w:p w:rsidR="005277E3" w:rsidRDefault="005277E3" w:rsidP="005277E3">
      <w:pPr>
        <w:pStyle w:val="Heading2"/>
      </w:pPr>
      <w:bookmarkStart w:id="20" w:name="_Toc391188572"/>
      <w:bookmarkStart w:id="21" w:name="_Toc119211357"/>
      <w:r>
        <w:t>4.2</w:t>
      </w:r>
      <w:r>
        <w:tab/>
        <w:t>Définition des canaux</w:t>
      </w:r>
      <w:bookmarkEnd w:id="20"/>
      <w:bookmarkEnd w:id="21"/>
    </w:p>
    <w:p w:rsidR="005277E3" w:rsidRDefault="005277E3" w:rsidP="005277E3">
      <w:r>
        <w:t>Deux catégories fondamentales de canaux sont définies dans les SMTCNT:</w:t>
      </w:r>
    </w:p>
    <w:p w:rsidR="005277E3" w:rsidRDefault="005277E3" w:rsidP="005277E3">
      <w:pPr>
        <w:pStyle w:val="enumlev1"/>
      </w:pPr>
      <w:r>
        <w:t>–</w:t>
      </w:r>
      <w:r>
        <w:tab/>
        <w:t>canaux de trafic, utilisées pour la transmission téléphonique et la communication des données (par exemple, services supports et téléservices);</w:t>
      </w:r>
    </w:p>
    <w:p w:rsidR="005277E3" w:rsidRDefault="005277E3" w:rsidP="005277E3">
      <w:pPr>
        <w:pStyle w:val="enumlev1"/>
      </w:pPr>
      <w:r>
        <w:t>–</w:t>
      </w:r>
      <w:r>
        <w:tab/>
        <w:t>canaux de gestion, affectés à la signalisation et aux commandes, notamment aux transferts.</w:t>
      </w:r>
    </w:p>
    <w:p w:rsidR="005277E3" w:rsidRDefault="005277E3" w:rsidP="005277E3">
      <w:r>
        <w:t>Les canaux de gestion sont subdivisés en trois sous-groupes principaux:</w:t>
      </w:r>
    </w:p>
    <w:p w:rsidR="005277E3" w:rsidRDefault="005277E3" w:rsidP="005277E3">
      <w:pPr>
        <w:pStyle w:val="enumlev1"/>
      </w:pPr>
      <w:r>
        <w:t>–</w:t>
      </w:r>
      <w:r>
        <w:tab/>
        <w:t>canaux de gestion communs, utilisés pour la radiomessagerie, l'accès aléatoire, etc.;</w:t>
      </w:r>
    </w:p>
    <w:p w:rsidR="005277E3" w:rsidRDefault="005277E3" w:rsidP="005277E3">
      <w:pPr>
        <w:pStyle w:val="enumlev1"/>
      </w:pPr>
      <w:r>
        <w:t>–</w:t>
      </w:r>
      <w:r>
        <w:tab/>
        <w:t>canaux de gestion de diffusion, assurant la communication des messages radiodiffusés et/ou la synchronisation et la correction des fréquences;</w:t>
      </w:r>
    </w:p>
    <w:p w:rsidR="005277E3" w:rsidRDefault="005277E3" w:rsidP="005277E3">
      <w:pPr>
        <w:pStyle w:val="enumlev1"/>
      </w:pPr>
      <w:r>
        <w:t>–</w:t>
      </w:r>
      <w:r>
        <w:tab/>
        <w:t>canaux de gestion associés, subdivisés de nouveau en canaux lents et canaux rapides, assurant les fonctions de commande et de signalisation pour les particuliers.</w:t>
      </w:r>
    </w:p>
    <w:p w:rsidR="005277E3" w:rsidRDefault="005277E3" w:rsidP="005277E3">
      <w:r>
        <w:t>Dans certains systèmes, on peut également définir d'autres types de canaux de gestion pour des applications particulières (par exemple, canaux de commande spécialisés autonomes).</w:t>
      </w:r>
    </w:p>
    <w:p w:rsidR="005277E3" w:rsidRDefault="005277E3" w:rsidP="005277E3">
      <w:pPr>
        <w:pStyle w:val="Heading2"/>
      </w:pPr>
      <w:bookmarkStart w:id="22" w:name="_Toc391188573"/>
      <w:bookmarkStart w:id="23" w:name="_Toc119211358"/>
      <w:r>
        <w:t>4.3</w:t>
      </w:r>
      <w:r>
        <w:tab/>
        <w:t>Architecture des réseaux et affectation des fonctions</w:t>
      </w:r>
      <w:bookmarkEnd w:id="22"/>
      <w:bookmarkEnd w:id="23"/>
    </w:p>
    <w:p w:rsidR="005277E3" w:rsidRDefault="005277E3" w:rsidP="004444AF">
      <w:r>
        <w:t>La Fig</w:t>
      </w:r>
      <w:r w:rsidR="004444AF">
        <w:t>ure</w:t>
      </w:r>
      <w:r>
        <w:t> 1 représente l'architecture systémique de base d'un SMTCNT ainsi que ses principales composantes fonctionnelles. Les protocoles de communication sont spécifiés conformément au modèle OSI à 7 couches alors que les interfaces entre centres de commutation pour les services mobiles (MSC) et les interfaces du RNIS, du RTPC et du RPD sont toutes spécifiées conformément aux Recommandations UIT-T. Le plan de numérotage suit également les Recommandations UIT-T.</w:t>
      </w:r>
    </w:p>
    <w:p w:rsidR="004444AF" w:rsidRDefault="004444AF" w:rsidP="004444AF">
      <w:pPr>
        <w:pStyle w:val="FigureNo"/>
      </w:pPr>
      <w:r>
        <w:lastRenderedPageBreak/>
        <w:t>figure 1</w:t>
      </w:r>
    </w:p>
    <w:p w:rsidR="004444AF" w:rsidRPr="004444AF" w:rsidRDefault="004444AF" w:rsidP="004444AF">
      <w:pPr>
        <w:pStyle w:val="Figuretitle"/>
      </w:pPr>
      <w:r>
        <w:t>Architecture du réseau</w:t>
      </w:r>
    </w:p>
    <w:p w:rsidR="005277E3" w:rsidRDefault="004444AF" w:rsidP="0010775A">
      <w:pPr>
        <w:pStyle w:val="Figure"/>
      </w:pPr>
      <w:r>
        <w:object w:dxaOrig="5443" w:dyaOrig="5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52pt;height:361.6pt;mso-position-horizontal:absolute" o:ole="">
            <v:imagedata r:id="rId13" o:title=""/>
          </v:shape>
          <o:OLEObject Type="Embed" ProgID="CorelDRAW.Graphic.14" ShapeID="_x0000_i1027" DrawAspect="Content" ObjectID="_1473051780" r:id="rId14"/>
        </w:object>
      </w:r>
    </w:p>
    <w:p w:rsidR="005277E3" w:rsidRDefault="005277E3" w:rsidP="005277E3">
      <w:pPr>
        <w:pStyle w:val="Heading1"/>
      </w:pPr>
      <w:bookmarkStart w:id="24" w:name="_Toc119211359"/>
      <w:r>
        <w:t>5</w:t>
      </w:r>
      <w:r>
        <w:tab/>
        <w:t>Incorporation de spécifications établies à l'extérieur</w:t>
      </w:r>
      <w:bookmarkEnd w:id="24"/>
    </w:p>
    <w:p w:rsidR="005277E3" w:rsidRDefault="005277E3" w:rsidP="005277E3">
      <w:r>
        <w:t>La normalisation détaillée des technologies figurant dans la présente Recommandation a été effectuée dans des organismes de normalisation. Cette Recommandation a donc recours à des références renvoyant à des normes élaborées à l'extérieur.</w:t>
      </w:r>
    </w:p>
    <w:p w:rsidR="005277E3" w:rsidRDefault="005277E3" w:rsidP="005277E3">
      <w:pPr>
        <w:pStyle w:val="Heading1"/>
      </w:pPr>
      <w:bookmarkStart w:id="25" w:name="_Toc119211360"/>
      <w:r>
        <w:t>6</w:t>
      </w:r>
      <w:r>
        <w:tab/>
        <w:t>Les systèmes cellulaires numériques et leurs améliorations</w:t>
      </w:r>
      <w:bookmarkEnd w:id="25"/>
    </w:p>
    <w:p w:rsidR="005277E3" w:rsidRDefault="005277E3" w:rsidP="005277E3">
      <w:r>
        <w:t>Des systèmes hertziens numériques à grande capacité ont été élaborés dans les trois Régions. Chacun des systèmes décrits ci-dessous apparaît grâce à un simple lien. Les références à ces systèmes sont indiquées dans les tableaux suivants.</w:t>
      </w:r>
    </w:p>
    <w:p w:rsidR="005277E3" w:rsidRDefault="005277E3" w:rsidP="005277E3">
      <w:pPr>
        <w:pStyle w:val="Heading2"/>
      </w:pPr>
      <w:bookmarkStart w:id="26" w:name="_Toc119211361"/>
      <w:r>
        <w:t>6.1</w:t>
      </w:r>
      <w:r>
        <w:tab/>
        <w:t>GSM</w:t>
      </w:r>
      <w:bookmarkEnd w:id="26"/>
    </w:p>
    <w:p w:rsidR="005277E3" w:rsidRDefault="005277E3" w:rsidP="005277E3">
      <w:r>
        <w:t>Ces liens renvoient à des références qui décrivent les caractéristiques du GSM.</w:t>
      </w:r>
    </w:p>
    <w:p w:rsidR="005277E3" w:rsidRPr="009B6E48" w:rsidRDefault="005277E3" w:rsidP="005277E3">
      <w:pPr>
        <w:pStyle w:val="Blanc"/>
        <w:rPr>
          <w:lang w:val="fr-F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
        <w:gridCol w:w="709"/>
        <w:gridCol w:w="1275"/>
        <w:gridCol w:w="851"/>
        <w:gridCol w:w="850"/>
        <w:gridCol w:w="1134"/>
        <w:gridCol w:w="4541"/>
      </w:tblGrid>
      <w:tr w:rsidR="005277E3" w:rsidTr="0010775A">
        <w:trPr>
          <w:cantSplit/>
          <w:jc w:val="center"/>
        </w:trPr>
        <w:tc>
          <w:tcPr>
            <w:tcW w:w="988" w:type="dxa"/>
            <w:gridSpan w:val="2"/>
            <w:tcBorders>
              <w:top w:val="single" w:sz="4" w:space="0" w:color="auto"/>
              <w:left w:val="single" w:sz="4" w:space="0" w:color="auto"/>
              <w:bottom w:val="single" w:sz="4" w:space="0" w:color="auto"/>
              <w:right w:val="single" w:sz="4" w:space="0" w:color="auto"/>
            </w:tcBorders>
          </w:tcPr>
          <w:p w:rsidR="005277E3" w:rsidRDefault="005277E3" w:rsidP="00BA5F0D">
            <w:pPr>
              <w:pStyle w:val="Tablehead"/>
              <w:rPr>
                <w:bCs/>
                <w:sz w:val="18"/>
                <w:lang w:val="fr-CH"/>
              </w:rPr>
            </w:pPr>
          </w:p>
        </w:tc>
        <w:tc>
          <w:tcPr>
            <w:tcW w:w="1275"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lang w:val="fr-CH"/>
              </w:rPr>
            </w:pPr>
            <w:r>
              <w:rPr>
                <w:bCs/>
                <w:sz w:val="18"/>
                <w:lang w:val="fr-CH"/>
              </w:rPr>
              <w:t>Document N°</w:t>
            </w:r>
          </w:p>
        </w:tc>
        <w:tc>
          <w:tcPr>
            <w:tcW w:w="851"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lang w:val="fr-CH"/>
              </w:rPr>
            </w:pPr>
            <w:r>
              <w:rPr>
                <w:bCs/>
                <w:sz w:val="18"/>
                <w:lang w:val="fr-CH"/>
              </w:rPr>
              <w:t>Version</w:t>
            </w:r>
          </w:p>
        </w:tc>
        <w:tc>
          <w:tcPr>
            <w:tcW w:w="850"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lang w:val="fr-CH"/>
              </w:rPr>
            </w:pPr>
            <w:r>
              <w:rPr>
                <w:bCs/>
                <w:sz w:val="18"/>
                <w:lang w:val="fr-CH"/>
              </w:rPr>
              <w:t>Statut</w:t>
            </w:r>
          </w:p>
        </w:tc>
        <w:tc>
          <w:tcPr>
            <w:tcW w:w="1134"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lang w:val="fr-CH"/>
              </w:rPr>
            </w:pPr>
            <w:r>
              <w:rPr>
                <w:bCs/>
                <w:sz w:val="18"/>
                <w:lang w:val="fr-CH"/>
              </w:rPr>
              <w:t>Date de publication</w:t>
            </w:r>
          </w:p>
        </w:tc>
        <w:tc>
          <w:tcPr>
            <w:tcW w:w="4541"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lang w:val="fr-CH"/>
              </w:rPr>
            </w:pPr>
            <w:r>
              <w:rPr>
                <w:bCs/>
                <w:sz w:val="18"/>
                <w:lang w:val="fr-CH"/>
              </w:rPr>
              <w:t>Emplacement</w:t>
            </w:r>
          </w:p>
        </w:tc>
      </w:tr>
      <w:tr w:rsidR="005277E3" w:rsidTr="0010775A">
        <w:trPr>
          <w:cantSplit/>
          <w:jc w:val="center"/>
        </w:trPr>
        <w:tc>
          <w:tcPr>
            <w:tcW w:w="279" w:type="dxa"/>
            <w:tcBorders>
              <w:top w:val="single" w:sz="4" w:space="0" w:color="auto"/>
              <w:left w:val="single" w:sz="4" w:space="0" w:color="auto"/>
              <w:bottom w:val="single" w:sz="4" w:space="0" w:color="auto"/>
              <w:right w:val="single" w:sz="4" w:space="0" w:color="auto"/>
            </w:tcBorders>
          </w:tcPr>
          <w:p w:rsidR="005277E3" w:rsidRDefault="005277E3" w:rsidP="00BA5F0D">
            <w:pPr>
              <w:rPr>
                <w:lang w:val="fr-CH"/>
              </w:rPr>
            </w:pPr>
          </w:p>
        </w:tc>
        <w:tc>
          <w:tcPr>
            <w:tcW w:w="709"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lang w:val="fr-CH"/>
              </w:rPr>
            </w:pPr>
            <w:r>
              <w:rPr>
                <w:sz w:val="18"/>
                <w:lang w:val="fr-CH"/>
              </w:rPr>
              <w:t>ETSI</w:t>
            </w:r>
          </w:p>
        </w:tc>
        <w:tc>
          <w:tcPr>
            <w:tcW w:w="1275"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lang w:val="fr-CH"/>
              </w:rPr>
            </w:pPr>
            <w:r>
              <w:rPr>
                <w:sz w:val="18"/>
                <w:lang w:val="fr-CH"/>
              </w:rPr>
              <w:t>TS 102 338</w:t>
            </w:r>
          </w:p>
        </w:tc>
        <w:tc>
          <w:tcPr>
            <w:tcW w:w="851"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rPr>
            </w:pPr>
            <w:r>
              <w:rPr>
                <w:sz w:val="18"/>
              </w:rPr>
              <w:t>1.0.0</w:t>
            </w:r>
          </w:p>
        </w:tc>
        <w:tc>
          <w:tcPr>
            <w:tcW w:w="850"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rPr>
            </w:pPr>
            <w:r>
              <w:rPr>
                <w:sz w:val="18"/>
              </w:rPr>
              <w:t>Publié</w:t>
            </w:r>
          </w:p>
        </w:tc>
        <w:tc>
          <w:tcPr>
            <w:tcW w:w="1134"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rPr>
            </w:pPr>
            <w:r>
              <w:rPr>
                <w:sz w:val="18"/>
              </w:rPr>
              <w:t>Juin 2004</w:t>
            </w:r>
          </w:p>
        </w:tc>
        <w:tc>
          <w:tcPr>
            <w:tcW w:w="4541" w:type="dxa"/>
            <w:tcBorders>
              <w:top w:val="single" w:sz="4" w:space="0" w:color="auto"/>
              <w:left w:val="single" w:sz="4" w:space="0" w:color="auto"/>
              <w:bottom w:val="single" w:sz="4" w:space="0" w:color="auto"/>
              <w:right w:val="single" w:sz="4" w:space="0" w:color="auto"/>
            </w:tcBorders>
          </w:tcPr>
          <w:p w:rsidR="005277E3" w:rsidRDefault="004444AF" w:rsidP="00BA5F0D">
            <w:pPr>
              <w:pStyle w:val="Tabletext"/>
              <w:rPr>
                <w:sz w:val="18"/>
                <w:szCs w:val="18"/>
              </w:rPr>
            </w:pPr>
            <w:hyperlink r:id="rId15" w:history="1">
              <w:r w:rsidR="005277E3" w:rsidRPr="00266F8E">
                <w:rPr>
                  <w:rStyle w:val="Hyperlink"/>
                  <w:sz w:val="18"/>
                  <w:szCs w:val="18"/>
                </w:rPr>
                <w:t>http://pda.etsi.org/exchangefolder/ts_102338v010000p.pdf</w:t>
              </w:r>
            </w:hyperlink>
          </w:p>
        </w:tc>
      </w:tr>
    </w:tbl>
    <w:p w:rsidR="005277E3" w:rsidRPr="009B6E48" w:rsidRDefault="005277E3" w:rsidP="005277E3">
      <w:pPr>
        <w:pStyle w:val="Tablefin"/>
        <w:rPr>
          <w:lang w:val="fr-FR"/>
        </w:rPr>
      </w:pPr>
    </w:p>
    <w:p w:rsidR="005277E3" w:rsidRDefault="005277E3" w:rsidP="005277E3">
      <w:pPr>
        <w:pStyle w:val="Heading2"/>
      </w:pPr>
      <w:bookmarkStart w:id="27" w:name="_Toc119211362"/>
      <w:r>
        <w:lastRenderedPageBreak/>
        <w:t>6.2</w:t>
      </w:r>
      <w:r>
        <w:tab/>
        <w:t>TIA/EIA-136 TDM</w:t>
      </w:r>
      <w:bookmarkStart w:id="28" w:name="_GoBack"/>
      <w:bookmarkEnd w:id="28"/>
      <w:r>
        <w:t>A</w:t>
      </w:r>
      <w:bookmarkEnd w:id="27"/>
    </w:p>
    <w:p w:rsidR="005277E3" w:rsidRDefault="005277E3" w:rsidP="005277E3">
      <w:r>
        <w:t>Ces liens renvoient à des références qui décrivent les caractéristiques du TIA/EIA-136 TDMA.</w:t>
      </w:r>
    </w:p>
    <w:p w:rsidR="005277E3" w:rsidRPr="009B6E48" w:rsidRDefault="005277E3" w:rsidP="005277E3">
      <w:pPr>
        <w:pStyle w:val="Blanc"/>
        <w:rPr>
          <w:lang w:val="fr-F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
        <w:gridCol w:w="733"/>
        <w:gridCol w:w="2085"/>
        <w:gridCol w:w="847"/>
        <w:gridCol w:w="1311"/>
        <w:gridCol w:w="1395"/>
        <w:gridCol w:w="2873"/>
      </w:tblGrid>
      <w:tr w:rsidR="005277E3" w:rsidTr="00BA5F0D">
        <w:trPr>
          <w:cantSplit/>
          <w:jc w:val="center"/>
        </w:trPr>
        <w:tc>
          <w:tcPr>
            <w:tcW w:w="1128" w:type="dxa"/>
            <w:gridSpan w:val="2"/>
            <w:tcBorders>
              <w:top w:val="single" w:sz="4" w:space="0" w:color="auto"/>
              <w:left w:val="single" w:sz="4" w:space="0" w:color="auto"/>
              <w:bottom w:val="single" w:sz="4" w:space="0" w:color="auto"/>
              <w:right w:val="single" w:sz="4" w:space="0" w:color="auto"/>
            </w:tcBorders>
          </w:tcPr>
          <w:p w:rsidR="005277E3" w:rsidRPr="0009369D" w:rsidRDefault="005277E3" w:rsidP="00BA5F0D">
            <w:pPr>
              <w:pStyle w:val="Tablehead"/>
              <w:rPr>
                <w:bCs/>
                <w:sz w:val="18"/>
              </w:rPr>
            </w:pPr>
          </w:p>
        </w:tc>
        <w:tc>
          <w:tcPr>
            <w:tcW w:w="2085"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rPr>
            </w:pPr>
            <w:r>
              <w:rPr>
                <w:bCs/>
                <w:sz w:val="18"/>
              </w:rPr>
              <w:t>Document N°</w:t>
            </w:r>
          </w:p>
        </w:tc>
        <w:tc>
          <w:tcPr>
            <w:tcW w:w="847"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rPr>
            </w:pPr>
            <w:r>
              <w:rPr>
                <w:bCs/>
                <w:sz w:val="18"/>
              </w:rPr>
              <w:t>Version</w:t>
            </w:r>
          </w:p>
        </w:tc>
        <w:tc>
          <w:tcPr>
            <w:tcW w:w="1311"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rPr>
            </w:pPr>
            <w:r>
              <w:rPr>
                <w:bCs/>
                <w:sz w:val="18"/>
              </w:rPr>
              <w:t>Statut</w:t>
            </w:r>
          </w:p>
        </w:tc>
        <w:tc>
          <w:tcPr>
            <w:tcW w:w="1395"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rPr>
            </w:pPr>
            <w:r>
              <w:rPr>
                <w:bCs/>
                <w:sz w:val="18"/>
              </w:rPr>
              <w:t>Date de publication</w:t>
            </w:r>
          </w:p>
        </w:tc>
        <w:tc>
          <w:tcPr>
            <w:tcW w:w="2873"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lang w:val="en-US"/>
              </w:rPr>
            </w:pPr>
            <w:r>
              <w:rPr>
                <w:bCs/>
                <w:sz w:val="18"/>
                <w:lang w:val="en-US"/>
              </w:rPr>
              <w:t>Emplacement</w:t>
            </w:r>
          </w:p>
        </w:tc>
      </w:tr>
      <w:tr w:rsidR="005277E3" w:rsidRPr="006B5521" w:rsidTr="00BA5F0D">
        <w:trPr>
          <w:cantSplit/>
          <w:jc w:val="center"/>
        </w:trPr>
        <w:tc>
          <w:tcPr>
            <w:tcW w:w="395" w:type="dxa"/>
            <w:tcBorders>
              <w:top w:val="single" w:sz="4" w:space="0" w:color="auto"/>
              <w:left w:val="single" w:sz="4" w:space="0" w:color="auto"/>
              <w:bottom w:val="single" w:sz="4" w:space="0" w:color="auto"/>
              <w:right w:val="single" w:sz="4" w:space="0" w:color="auto"/>
            </w:tcBorders>
          </w:tcPr>
          <w:p w:rsidR="005277E3" w:rsidRDefault="005277E3" w:rsidP="00BA5F0D">
            <w:pPr>
              <w:rPr>
                <w:lang w:val="en-US"/>
              </w:rPr>
            </w:pPr>
          </w:p>
        </w:tc>
        <w:tc>
          <w:tcPr>
            <w:tcW w:w="733"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lang w:val="en-US"/>
              </w:rPr>
            </w:pPr>
            <w:r>
              <w:rPr>
                <w:sz w:val="18"/>
                <w:lang w:val="en-US"/>
              </w:rPr>
              <w:t>TIA</w:t>
            </w:r>
          </w:p>
        </w:tc>
        <w:tc>
          <w:tcPr>
            <w:tcW w:w="2085"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lang w:val="en-US"/>
              </w:rPr>
            </w:pPr>
            <w:r>
              <w:rPr>
                <w:sz w:val="18"/>
                <w:lang w:val="en-US"/>
              </w:rPr>
              <w:t>TIA-136-000</w:t>
            </w:r>
          </w:p>
        </w:tc>
        <w:tc>
          <w:tcPr>
            <w:tcW w:w="847"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lang w:val="en-US"/>
              </w:rPr>
            </w:pPr>
            <w:r>
              <w:rPr>
                <w:sz w:val="18"/>
                <w:lang w:val="en-US"/>
              </w:rPr>
              <w:t>E</w:t>
            </w:r>
          </w:p>
        </w:tc>
        <w:tc>
          <w:tcPr>
            <w:tcW w:w="1311"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lang w:val="en-US"/>
              </w:rPr>
            </w:pPr>
            <w:r>
              <w:rPr>
                <w:sz w:val="18"/>
              </w:rPr>
              <w:t xml:space="preserve">Publié </w:t>
            </w:r>
            <w:r>
              <w:rPr>
                <w:sz w:val="18"/>
                <w:lang w:val="en-US"/>
              </w:rPr>
              <w:t>ANS</w:t>
            </w:r>
          </w:p>
        </w:tc>
        <w:tc>
          <w:tcPr>
            <w:tcW w:w="1395"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lang w:val="en-US"/>
              </w:rPr>
            </w:pPr>
            <w:r>
              <w:rPr>
                <w:sz w:val="18"/>
                <w:lang w:val="en-US"/>
              </w:rPr>
              <w:t>14-01-2004</w:t>
            </w:r>
          </w:p>
        </w:tc>
        <w:tc>
          <w:tcPr>
            <w:tcW w:w="2873" w:type="dxa"/>
            <w:tcBorders>
              <w:top w:val="single" w:sz="4" w:space="0" w:color="auto"/>
              <w:left w:val="single" w:sz="4" w:space="0" w:color="auto"/>
              <w:bottom w:val="single" w:sz="4" w:space="0" w:color="auto"/>
              <w:right w:val="single" w:sz="4" w:space="0" w:color="auto"/>
            </w:tcBorders>
          </w:tcPr>
          <w:p w:rsidR="005277E3" w:rsidRDefault="004444AF" w:rsidP="00BA5F0D">
            <w:pPr>
              <w:pStyle w:val="Tabletext"/>
              <w:rPr>
                <w:sz w:val="18"/>
                <w:lang w:val="en-US"/>
              </w:rPr>
            </w:pPr>
            <w:hyperlink r:id="rId16" w:history="1">
              <w:r w:rsidR="005277E3" w:rsidRPr="00885334">
                <w:rPr>
                  <w:rStyle w:val="Hyperlink"/>
                  <w:sz w:val="18"/>
                  <w:lang w:val="en-US"/>
                </w:rPr>
                <w:t>http://ftp.tiaonline.org/uwc136/136-000-E.pdf</w:t>
              </w:r>
            </w:hyperlink>
          </w:p>
        </w:tc>
      </w:tr>
    </w:tbl>
    <w:p w:rsidR="005277E3" w:rsidRDefault="005277E3" w:rsidP="005277E3">
      <w:pPr>
        <w:pStyle w:val="Tablefin"/>
      </w:pPr>
      <w:bookmarkStart w:id="29" w:name="_Toc77150856"/>
    </w:p>
    <w:p w:rsidR="005277E3" w:rsidRDefault="005277E3" w:rsidP="005277E3">
      <w:pPr>
        <w:pStyle w:val="Heading2"/>
      </w:pPr>
      <w:bookmarkStart w:id="30" w:name="_Toc119211363"/>
      <w:r>
        <w:t>6.3</w:t>
      </w:r>
      <w:r>
        <w:tab/>
      </w:r>
      <w:bookmarkEnd w:id="29"/>
      <w:r>
        <w:t>TIA/EIA-95 CDMA</w:t>
      </w:r>
      <w:bookmarkEnd w:id="30"/>
    </w:p>
    <w:p w:rsidR="005277E3" w:rsidRDefault="005277E3" w:rsidP="005277E3">
      <w:r>
        <w:t>Ces liens renvoient à des références qui décrivent les caractéristiques du TIA/EIA-95 CDMA.</w:t>
      </w:r>
    </w:p>
    <w:p w:rsidR="005277E3" w:rsidRPr="009B6E48" w:rsidRDefault="005277E3" w:rsidP="005277E3">
      <w:pPr>
        <w:pStyle w:val="Blanc"/>
        <w:rPr>
          <w:lang w:val="fr-F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
        <w:gridCol w:w="733"/>
        <w:gridCol w:w="2085"/>
        <w:gridCol w:w="847"/>
        <w:gridCol w:w="1325"/>
        <w:gridCol w:w="1381"/>
        <w:gridCol w:w="2873"/>
      </w:tblGrid>
      <w:tr w:rsidR="005277E3" w:rsidTr="00BA5F0D">
        <w:trPr>
          <w:cantSplit/>
          <w:jc w:val="center"/>
        </w:trPr>
        <w:tc>
          <w:tcPr>
            <w:tcW w:w="1128" w:type="dxa"/>
            <w:gridSpan w:val="2"/>
            <w:tcBorders>
              <w:top w:val="single" w:sz="4" w:space="0" w:color="auto"/>
              <w:left w:val="single" w:sz="4" w:space="0" w:color="auto"/>
              <w:bottom w:val="single" w:sz="4" w:space="0" w:color="auto"/>
              <w:right w:val="single" w:sz="4" w:space="0" w:color="auto"/>
            </w:tcBorders>
          </w:tcPr>
          <w:p w:rsidR="005277E3" w:rsidRPr="0009369D" w:rsidRDefault="005277E3" w:rsidP="00BA5F0D">
            <w:pPr>
              <w:pStyle w:val="Tablehead"/>
              <w:rPr>
                <w:bCs/>
                <w:sz w:val="18"/>
              </w:rPr>
            </w:pPr>
          </w:p>
        </w:tc>
        <w:tc>
          <w:tcPr>
            <w:tcW w:w="2085"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rPr>
            </w:pPr>
            <w:r>
              <w:rPr>
                <w:bCs/>
                <w:sz w:val="18"/>
              </w:rPr>
              <w:t>Document N°</w:t>
            </w:r>
          </w:p>
        </w:tc>
        <w:tc>
          <w:tcPr>
            <w:tcW w:w="847"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rPr>
            </w:pPr>
            <w:r>
              <w:rPr>
                <w:bCs/>
                <w:sz w:val="18"/>
              </w:rPr>
              <w:t>Version</w:t>
            </w:r>
          </w:p>
        </w:tc>
        <w:tc>
          <w:tcPr>
            <w:tcW w:w="1325"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rPr>
            </w:pPr>
            <w:r>
              <w:rPr>
                <w:bCs/>
                <w:sz w:val="18"/>
              </w:rPr>
              <w:t>Statut</w:t>
            </w:r>
          </w:p>
        </w:tc>
        <w:tc>
          <w:tcPr>
            <w:tcW w:w="1381"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rPr>
            </w:pPr>
            <w:r>
              <w:rPr>
                <w:bCs/>
                <w:sz w:val="18"/>
              </w:rPr>
              <w:t>Date de publication</w:t>
            </w:r>
          </w:p>
        </w:tc>
        <w:tc>
          <w:tcPr>
            <w:tcW w:w="2873"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lang w:val="en-US"/>
              </w:rPr>
            </w:pPr>
            <w:r>
              <w:rPr>
                <w:bCs/>
                <w:sz w:val="18"/>
                <w:lang w:val="en-US"/>
              </w:rPr>
              <w:t>Emplacement</w:t>
            </w:r>
          </w:p>
        </w:tc>
      </w:tr>
      <w:tr w:rsidR="005277E3" w:rsidRPr="006B5521" w:rsidTr="00BA5F0D">
        <w:trPr>
          <w:cantSplit/>
          <w:jc w:val="center"/>
        </w:trPr>
        <w:tc>
          <w:tcPr>
            <w:tcW w:w="395"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jc w:val="center"/>
              <w:rPr>
                <w:position w:val="6"/>
                <w:sz w:val="14"/>
                <w:lang w:val="en-US"/>
              </w:rPr>
            </w:pPr>
          </w:p>
        </w:tc>
        <w:tc>
          <w:tcPr>
            <w:tcW w:w="733"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lang w:val="en-US"/>
              </w:rPr>
            </w:pPr>
            <w:r>
              <w:rPr>
                <w:sz w:val="18"/>
                <w:lang w:val="en-US"/>
              </w:rPr>
              <w:t>TIA</w:t>
            </w:r>
          </w:p>
        </w:tc>
        <w:tc>
          <w:tcPr>
            <w:tcW w:w="2085"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lang w:val="en-US"/>
              </w:rPr>
            </w:pPr>
            <w:r>
              <w:rPr>
                <w:sz w:val="18"/>
                <w:lang w:val="en-US"/>
              </w:rPr>
              <w:t>TIA-2000.000</w:t>
            </w:r>
          </w:p>
        </w:tc>
        <w:tc>
          <w:tcPr>
            <w:tcW w:w="847"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lang w:val="en-US"/>
              </w:rPr>
            </w:pPr>
            <w:r>
              <w:rPr>
                <w:sz w:val="18"/>
                <w:lang w:val="en-US"/>
              </w:rPr>
              <w:t>1.0</w:t>
            </w:r>
          </w:p>
        </w:tc>
        <w:tc>
          <w:tcPr>
            <w:tcW w:w="1325"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lang w:val="en-US"/>
              </w:rPr>
            </w:pPr>
            <w:r>
              <w:rPr>
                <w:sz w:val="18"/>
              </w:rPr>
              <w:t>Publié</w:t>
            </w:r>
          </w:p>
        </w:tc>
        <w:tc>
          <w:tcPr>
            <w:tcW w:w="1381"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lang w:val="en-US"/>
              </w:rPr>
            </w:pPr>
            <w:r>
              <w:rPr>
                <w:sz w:val="18"/>
                <w:lang w:val="en-US"/>
              </w:rPr>
              <w:t>Juin 2004</w:t>
            </w:r>
          </w:p>
        </w:tc>
        <w:tc>
          <w:tcPr>
            <w:tcW w:w="2873" w:type="dxa"/>
            <w:tcBorders>
              <w:top w:val="single" w:sz="4" w:space="0" w:color="auto"/>
              <w:left w:val="single" w:sz="4" w:space="0" w:color="auto"/>
              <w:bottom w:val="single" w:sz="4" w:space="0" w:color="auto"/>
              <w:right w:val="single" w:sz="4" w:space="0" w:color="auto"/>
            </w:tcBorders>
          </w:tcPr>
          <w:p w:rsidR="005277E3" w:rsidRDefault="004444AF" w:rsidP="00BA5F0D">
            <w:pPr>
              <w:pStyle w:val="Tabletext"/>
              <w:rPr>
                <w:color w:val="000000"/>
                <w:sz w:val="18"/>
                <w:szCs w:val="18"/>
                <w:lang w:val="en-US"/>
              </w:rPr>
            </w:pPr>
            <w:hyperlink r:id="rId17" w:history="1">
              <w:r w:rsidR="005277E3" w:rsidRPr="00885334">
                <w:rPr>
                  <w:rStyle w:val="Hyperlink"/>
                  <w:sz w:val="18"/>
                  <w:szCs w:val="18"/>
                  <w:lang w:val="en-US"/>
                </w:rPr>
                <w:t>http://ftp.tiaonline.org/TR-45/TR-45.5/Public/ITUM1073/TIA-2000.00_CDMA_List%20of%20Stds.doc</w:t>
              </w:r>
            </w:hyperlink>
          </w:p>
        </w:tc>
      </w:tr>
    </w:tbl>
    <w:p w:rsidR="005277E3" w:rsidRDefault="005277E3" w:rsidP="005277E3">
      <w:pPr>
        <w:pStyle w:val="Tablefin"/>
      </w:pPr>
    </w:p>
    <w:p w:rsidR="005277E3" w:rsidRDefault="005277E3" w:rsidP="005277E3">
      <w:pPr>
        <w:pStyle w:val="Heading2"/>
      </w:pPr>
      <w:bookmarkStart w:id="31" w:name="_Toc119211364"/>
      <w:r>
        <w:t>6.4</w:t>
      </w:r>
      <w:r>
        <w:tab/>
        <w:t>PDC</w:t>
      </w:r>
      <w:bookmarkEnd w:id="31"/>
    </w:p>
    <w:p w:rsidR="005277E3" w:rsidRDefault="005277E3" w:rsidP="005277E3">
      <w:r>
        <w:t>Ces liens renvoient à des références qui décrivent les caractéristiques du PDC.</w:t>
      </w:r>
    </w:p>
    <w:p w:rsidR="005277E3" w:rsidRPr="009B6E48" w:rsidRDefault="005277E3" w:rsidP="005277E3">
      <w:pPr>
        <w:pStyle w:val="Blanc"/>
        <w:rPr>
          <w:lang w:val="fr-F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
        <w:gridCol w:w="733"/>
        <w:gridCol w:w="2085"/>
        <w:gridCol w:w="847"/>
        <w:gridCol w:w="1322"/>
        <w:gridCol w:w="1384"/>
        <w:gridCol w:w="2873"/>
      </w:tblGrid>
      <w:tr w:rsidR="005277E3" w:rsidTr="00BA5F0D">
        <w:trPr>
          <w:cantSplit/>
          <w:jc w:val="center"/>
        </w:trPr>
        <w:tc>
          <w:tcPr>
            <w:tcW w:w="1128" w:type="dxa"/>
            <w:gridSpan w:val="2"/>
            <w:tcBorders>
              <w:top w:val="single" w:sz="4" w:space="0" w:color="auto"/>
              <w:left w:val="single" w:sz="4" w:space="0" w:color="auto"/>
              <w:bottom w:val="single" w:sz="4" w:space="0" w:color="auto"/>
              <w:right w:val="single" w:sz="4" w:space="0" w:color="auto"/>
            </w:tcBorders>
          </w:tcPr>
          <w:p w:rsidR="005277E3" w:rsidRPr="0009369D" w:rsidRDefault="005277E3" w:rsidP="00BA5F0D">
            <w:pPr>
              <w:pStyle w:val="Tablehead"/>
              <w:rPr>
                <w:bCs/>
                <w:sz w:val="18"/>
              </w:rPr>
            </w:pPr>
          </w:p>
        </w:tc>
        <w:tc>
          <w:tcPr>
            <w:tcW w:w="2085"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rPr>
            </w:pPr>
            <w:r>
              <w:rPr>
                <w:bCs/>
                <w:sz w:val="18"/>
              </w:rPr>
              <w:t>Document N°</w:t>
            </w:r>
          </w:p>
        </w:tc>
        <w:tc>
          <w:tcPr>
            <w:tcW w:w="847"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rPr>
            </w:pPr>
            <w:r>
              <w:rPr>
                <w:bCs/>
                <w:sz w:val="18"/>
              </w:rPr>
              <w:t>Version</w:t>
            </w:r>
          </w:p>
        </w:tc>
        <w:tc>
          <w:tcPr>
            <w:tcW w:w="1322"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rPr>
            </w:pPr>
            <w:r>
              <w:rPr>
                <w:bCs/>
                <w:sz w:val="18"/>
              </w:rPr>
              <w:t>Statut</w:t>
            </w:r>
          </w:p>
        </w:tc>
        <w:tc>
          <w:tcPr>
            <w:tcW w:w="1384"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rPr>
            </w:pPr>
            <w:r>
              <w:rPr>
                <w:bCs/>
                <w:sz w:val="18"/>
              </w:rPr>
              <w:t>Date de publication</w:t>
            </w:r>
          </w:p>
        </w:tc>
        <w:tc>
          <w:tcPr>
            <w:tcW w:w="2873" w:type="dxa"/>
            <w:tcBorders>
              <w:top w:val="single" w:sz="4" w:space="0" w:color="auto"/>
              <w:left w:val="single" w:sz="4" w:space="0" w:color="auto"/>
              <w:bottom w:val="single" w:sz="4" w:space="0" w:color="auto"/>
              <w:right w:val="single" w:sz="4" w:space="0" w:color="auto"/>
            </w:tcBorders>
            <w:vAlign w:val="center"/>
          </w:tcPr>
          <w:p w:rsidR="005277E3" w:rsidRDefault="005277E3" w:rsidP="00BA5F0D">
            <w:pPr>
              <w:pStyle w:val="Tablehead"/>
              <w:rPr>
                <w:bCs/>
                <w:sz w:val="18"/>
                <w:lang w:val="en-US"/>
              </w:rPr>
            </w:pPr>
            <w:r>
              <w:rPr>
                <w:bCs/>
                <w:sz w:val="18"/>
                <w:lang w:val="en-US"/>
              </w:rPr>
              <w:t>Emplacement</w:t>
            </w:r>
          </w:p>
        </w:tc>
      </w:tr>
      <w:tr w:rsidR="005277E3" w:rsidRPr="006B5521" w:rsidTr="00BA5F0D">
        <w:trPr>
          <w:cantSplit/>
          <w:jc w:val="center"/>
        </w:trPr>
        <w:tc>
          <w:tcPr>
            <w:tcW w:w="395"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jc w:val="center"/>
              <w:rPr>
                <w:position w:val="6"/>
                <w:sz w:val="14"/>
                <w:lang w:val="en-US"/>
              </w:rPr>
            </w:pPr>
          </w:p>
        </w:tc>
        <w:tc>
          <w:tcPr>
            <w:tcW w:w="733"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lang w:val="en-US"/>
              </w:rPr>
            </w:pPr>
            <w:r>
              <w:rPr>
                <w:sz w:val="18"/>
                <w:lang w:val="en-US"/>
              </w:rPr>
              <w:t>ARIB</w:t>
            </w:r>
          </w:p>
        </w:tc>
        <w:tc>
          <w:tcPr>
            <w:tcW w:w="2085"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lang w:val="en-US" w:eastAsia="ja-JP"/>
              </w:rPr>
            </w:pPr>
            <w:r>
              <w:rPr>
                <w:rFonts w:hint="eastAsia"/>
                <w:sz w:val="18"/>
                <w:lang w:val="en-US" w:eastAsia="ja-JP"/>
              </w:rPr>
              <w:t>RCR STD-27</w:t>
            </w:r>
          </w:p>
        </w:tc>
        <w:tc>
          <w:tcPr>
            <w:tcW w:w="847"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lang w:val="en-US" w:eastAsia="ja-JP"/>
              </w:rPr>
            </w:pPr>
            <w:r>
              <w:rPr>
                <w:sz w:val="18"/>
                <w:lang w:val="en-US" w:eastAsia="ja-JP"/>
              </w:rPr>
              <w:t>L</w:t>
            </w:r>
          </w:p>
        </w:tc>
        <w:tc>
          <w:tcPr>
            <w:tcW w:w="1322"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lang w:val="en-US" w:eastAsia="ja-JP"/>
              </w:rPr>
            </w:pPr>
            <w:r>
              <w:rPr>
                <w:sz w:val="18"/>
              </w:rPr>
              <w:t>Publié</w:t>
            </w:r>
          </w:p>
        </w:tc>
        <w:tc>
          <w:tcPr>
            <w:tcW w:w="1384" w:type="dxa"/>
            <w:tcBorders>
              <w:top w:val="single" w:sz="4" w:space="0" w:color="auto"/>
              <w:left w:val="single" w:sz="4" w:space="0" w:color="auto"/>
              <w:bottom w:val="single" w:sz="4" w:space="0" w:color="auto"/>
              <w:right w:val="single" w:sz="4" w:space="0" w:color="auto"/>
            </w:tcBorders>
          </w:tcPr>
          <w:p w:rsidR="005277E3" w:rsidRDefault="005277E3" w:rsidP="00BA5F0D">
            <w:pPr>
              <w:pStyle w:val="Tabletext"/>
              <w:rPr>
                <w:sz w:val="18"/>
                <w:lang w:val="en-US" w:eastAsia="ja-JP"/>
              </w:rPr>
            </w:pPr>
            <w:r>
              <w:rPr>
                <w:sz w:val="18"/>
                <w:lang w:val="en-US" w:eastAsia="ja-JP"/>
              </w:rPr>
              <w:t>Novembre 2005</w:t>
            </w:r>
          </w:p>
        </w:tc>
        <w:tc>
          <w:tcPr>
            <w:tcW w:w="2873" w:type="dxa"/>
            <w:tcBorders>
              <w:top w:val="single" w:sz="4" w:space="0" w:color="auto"/>
              <w:left w:val="single" w:sz="4" w:space="0" w:color="auto"/>
              <w:bottom w:val="single" w:sz="4" w:space="0" w:color="auto"/>
              <w:right w:val="single" w:sz="4" w:space="0" w:color="auto"/>
            </w:tcBorders>
          </w:tcPr>
          <w:p w:rsidR="005277E3" w:rsidRDefault="004444AF" w:rsidP="00BA5F0D">
            <w:pPr>
              <w:pStyle w:val="Tabletext"/>
              <w:rPr>
                <w:sz w:val="18"/>
                <w:szCs w:val="18"/>
                <w:u w:val="single"/>
                <w:lang w:val="en-US" w:eastAsia="ja-JP"/>
              </w:rPr>
            </w:pPr>
            <w:hyperlink r:id="rId18" w:history="1">
              <w:r w:rsidR="005277E3" w:rsidRPr="00885334">
                <w:rPr>
                  <w:rStyle w:val="Hyperlink"/>
                  <w:sz w:val="18"/>
                  <w:szCs w:val="18"/>
                  <w:lang w:val="en-US" w:eastAsia="ja-JP"/>
                </w:rPr>
                <w:t>http://www.arib.or.jp/english/html/overview/doc/5-STD-27_L-1p3-E.pdf</w:t>
              </w:r>
            </w:hyperlink>
            <w:r w:rsidR="005277E3" w:rsidRPr="00885334">
              <w:rPr>
                <w:color w:val="FF0000"/>
                <w:sz w:val="18"/>
                <w:szCs w:val="18"/>
                <w:u w:val="single"/>
                <w:lang w:val="en-US" w:eastAsia="ja-JP"/>
              </w:rPr>
              <w:t xml:space="preserve"> </w:t>
            </w:r>
            <w:r w:rsidR="005277E3" w:rsidRPr="00885334">
              <w:rPr>
                <w:color w:val="FF0000"/>
                <w:lang w:val="en-US"/>
              </w:rPr>
              <w:t xml:space="preserve"> </w:t>
            </w:r>
            <w:hyperlink r:id="rId19" w:history="1">
              <w:r w:rsidR="005277E3" w:rsidRPr="00885334">
                <w:rPr>
                  <w:rStyle w:val="Hyperlink"/>
                  <w:sz w:val="18"/>
                  <w:szCs w:val="18"/>
                  <w:lang w:val="en-US" w:eastAsia="ja-JP"/>
                </w:rPr>
                <w:t>http://www.arib.or.jp/english/html/overview/doc/5-STD-27_L-2p3-E.pdf</w:t>
              </w:r>
            </w:hyperlink>
            <w:r w:rsidR="005277E3" w:rsidRPr="00885334" w:rsidDel="00DC20E4">
              <w:rPr>
                <w:color w:val="FF0000"/>
                <w:sz w:val="18"/>
                <w:szCs w:val="18"/>
                <w:u w:val="single"/>
                <w:lang w:val="en-US" w:eastAsia="ja-JP"/>
              </w:rPr>
              <w:t xml:space="preserve"> </w:t>
            </w:r>
            <w:r w:rsidR="005277E3" w:rsidRPr="00885334">
              <w:rPr>
                <w:color w:val="FF0000"/>
                <w:lang w:val="en-US"/>
              </w:rPr>
              <w:t xml:space="preserve"> </w:t>
            </w:r>
            <w:hyperlink r:id="rId20" w:history="1">
              <w:r w:rsidR="005277E3" w:rsidRPr="00885334">
                <w:rPr>
                  <w:rStyle w:val="Hyperlink"/>
                  <w:sz w:val="18"/>
                  <w:szCs w:val="18"/>
                  <w:lang w:val="en-US" w:eastAsia="ja-JP"/>
                </w:rPr>
                <w:t>http://www.arib.or.jp/english/html/overview/doc/5-STD-27_L-3p3-E.pdf</w:t>
              </w:r>
            </w:hyperlink>
          </w:p>
        </w:tc>
      </w:tr>
    </w:tbl>
    <w:p w:rsidR="005277E3" w:rsidRPr="0009369D" w:rsidRDefault="005277E3" w:rsidP="005277E3">
      <w:pPr>
        <w:pStyle w:val="Tablefin"/>
      </w:pPr>
    </w:p>
    <w:p w:rsidR="005277E3" w:rsidRDefault="005277E3" w:rsidP="005277E3">
      <w:pPr>
        <w:rPr>
          <w:lang w:val="en-US"/>
        </w:rPr>
      </w:pPr>
    </w:p>
    <w:p w:rsidR="005277E3" w:rsidRDefault="005277E3" w:rsidP="005277E3">
      <w:pPr>
        <w:jc w:val="center"/>
      </w:pPr>
      <w:r>
        <w:t>______________</w:t>
      </w:r>
    </w:p>
    <w:p w:rsidR="005277E3" w:rsidRPr="005277E3" w:rsidRDefault="005277E3" w:rsidP="005277E3"/>
    <w:sectPr w:rsidR="005277E3" w:rsidRPr="005277E3"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A9E" w:rsidRDefault="00155A9E">
      <w:r>
        <w:separator/>
      </w:r>
    </w:p>
  </w:endnote>
  <w:endnote w:type="continuationSeparator" w:id="0">
    <w:p w:rsidR="00155A9E" w:rsidRDefault="0015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A9E" w:rsidRDefault="00155A9E">
      <w:r>
        <w:separator/>
      </w:r>
    </w:p>
  </w:footnote>
  <w:footnote w:type="continuationSeparator" w:id="0">
    <w:p w:rsidR="00155A9E" w:rsidRDefault="00155A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B2DA1"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444AF">
      <w:rPr>
        <w:rStyle w:val="PageNumber"/>
        <w:b/>
        <w:bCs/>
        <w:noProof/>
      </w:rPr>
      <w:t>4</w:t>
    </w:r>
    <w:r>
      <w:rPr>
        <w:rStyle w:val="PageNumber"/>
        <w:b/>
        <w:bCs/>
      </w:rPr>
      <w:fldChar w:fldCharType="end"/>
    </w:r>
    <w:r w:rsidRPr="00837CB5">
      <w:tab/>
    </w:r>
    <w:fldSimple w:instr=" DOCPROPERTY &quot;Header&quot; \* MERGEFORMAT ">
      <w:r w:rsidR="004444AF" w:rsidRPr="004444A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444AF">
      <w:rPr>
        <w:b/>
        <w:bCs/>
        <w:noProof/>
      </w:rPr>
      <w:t>UIT-R  M.1073-3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pPr>
    <w:r>
      <w:tab/>
    </w:r>
    <w:fldSimple w:instr=" DOCPROPERTY &quot;Header&quot; \* MERGEFORMAT ">
      <w:r w:rsidR="004444AF" w:rsidRPr="004444A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444AF">
      <w:rPr>
        <w:b/>
        <w:bCs/>
        <w:noProof/>
      </w:rPr>
      <w:t>UIT-R  M.1073-3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444AF">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72484"/>
    <w:rsid w:val="00076BD8"/>
    <w:rsid w:val="00096612"/>
    <w:rsid w:val="000A0A78"/>
    <w:rsid w:val="000B7683"/>
    <w:rsid w:val="000C1FCB"/>
    <w:rsid w:val="000D52EA"/>
    <w:rsid w:val="00102934"/>
    <w:rsid w:val="0010775A"/>
    <w:rsid w:val="00123FD5"/>
    <w:rsid w:val="00125B6D"/>
    <w:rsid w:val="00126AF2"/>
    <w:rsid w:val="00147110"/>
    <w:rsid w:val="00155A9E"/>
    <w:rsid w:val="001671C8"/>
    <w:rsid w:val="00202D10"/>
    <w:rsid w:val="002058CE"/>
    <w:rsid w:val="002165F1"/>
    <w:rsid w:val="00227626"/>
    <w:rsid w:val="002421C0"/>
    <w:rsid w:val="00276D21"/>
    <w:rsid w:val="00296D7F"/>
    <w:rsid w:val="002B3CF6"/>
    <w:rsid w:val="002C768A"/>
    <w:rsid w:val="002D76C4"/>
    <w:rsid w:val="002E3346"/>
    <w:rsid w:val="00363367"/>
    <w:rsid w:val="003E0582"/>
    <w:rsid w:val="00420DFD"/>
    <w:rsid w:val="00422AE4"/>
    <w:rsid w:val="004444AF"/>
    <w:rsid w:val="00470E28"/>
    <w:rsid w:val="004934C5"/>
    <w:rsid w:val="004A2BE2"/>
    <w:rsid w:val="004A4D65"/>
    <w:rsid w:val="004C21BD"/>
    <w:rsid w:val="005258F8"/>
    <w:rsid w:val="005277E3"/>
    <w:rsid w:val="00530208"/>
    <w:rsid w:val="00556548"/>
    <w:rsid w:val="00567DC0"/>
    <w:rsid w:val="00586EF8"/>
    <w:rsid w:val="00592F9F"/>
    <w:rsid w:val="00593B96"/>
    <w:rsid w:val="005A36A8"/>
    <w:rsid w:val="005B49AB"/>
    <w:rsid w:val="005B50E7"/>
    <w:rsid w:val="005B65B9"/>
    <w:rsid w:val="005E6DCC"/>
    <w:rsid w:val="005E7B4F"/>
    <w:rsid w:val="0060611D"/>
    <w:rsid w:val="00607D68"/>
    <w:rsid w:val="006149B1"/>
    <w:rsid w:val="00614CC6"/>
    <w:rsid w:val="00647E80"/>
    <w:rsid w:val="00680D2B"/>
    <w:rsid w:val="00681B32"/>
    <w:rsid w:val="006B5521"/>
    <w:rsid w:val="006C7827"/>
    <w:rsid w:val="006E2037"/>
    <w:rsid w:val="006F154D"/>
    <w:rsid w:val="00712870"/>
    <w:rsid w:val="00731BD8"/>
    <w:rsid w:val="00743D85"/>
    <w:rsid w:val="00753CF4"/>
    <w:rsid w:val="007565CC"/>
    <w:rsid w:val="00756B4D"/>
    <w:rsid w:val="00763B9A"/>
    <w:rsid w:val="00776E56"/>
    <w:rsid w:val="007A308E"/>
    <w:rsid w:val="007A6AA8"/>
    <w:rsid w:val="007E3690"/>
    <w:rsid w:val="008310C9"/>
    <w:rsid w:val="00837CB5"/>
    <w:rsid w:val="00872472"/>
    <w:rsid w:val="008C7848"/>
    <w:rsid w:val="008F5522"/>
    <w:rsid w:val="00917AF2"/>
    <w:rsid w:val="0092418A"/>
    <w:rsid w:val="00934ED7"/>
    <w:rsid w:val="009454F8"/>
    <w:rsid w:val="009543C3"/>
    <w:rsid w:val="00966E1B"/>
    <w:rsid w:val="00987C75"/>
    <w:rsid w:val="009962E5"/>
    <w:rsid w:val="009B5551"/>
    <w:rsid w:val="009F2D2C"/>
    <w:rsid w:val="00A443C2"/>
    <w:rsid w:val="00A52DB0"/>
    <w:rsid w:val="00A6617B"/>
    <w:rsid w:val="00A71FE5"/>
    <w:rsid w:val="00AA3AD8"/>
    <w:rsid w:val="00AB0DC8"/>
    <w:rsid w:val="00AB2DA1"/>
    <w:rsid w:val="00AB52D1"/>
    <w:rsid w:val="00AD267B"/>
    <w:rsid w:val="00B033C8"/>
    <w:rsid w:val="00B33425"/>
    <w:rsid w:val="00B44E24"/>
    <w:rsid w:val="00B54ECC"/>
    <w:rsid w:val="00B714F3"/>
    <w:rsid w:val="00BC0651"/>
    <w:rsid w:val="00BC5D77"/>
    <w:rsid w:val="00BF487A"/>
    <w:rsid w:val="00C362C3"/>
    <w:rsid w:val="00C46BD9"/>
    <w:rsid w:val="00C55258"/>
    <w:rsid w:val="00C668C8"/>
    <w:rsid w:val="00C73560"/>
    <w:rsid w:val="00C854EA"/>
    <w:rsid w:val="00C95B6F"/>
    <w:rsid w:val="00CB0F14"/>
    <w:rsid w:val="00CD659B"/>
    <w:rsid w:val="00CD7DC8"/>
    <w:rsid w:val="00D017C0"/>
    <w:rsid w:val="00D31EB8"/>
    <w:rsid w:val="00D70C4E"/>
    <w:rsid w:val="00DF4176"/>
    <w:rsid w:val="00E02402"/>
    <w:rsid w:val="00E17240"/>
    <w:rsid w:val="00E44C45"/>
    <w:rsid w:val="00E44CBB"/>
    <w:rsid w:val="00EA6E8E"/>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d62a47"/>
      <o:colormenu v:ext="edit" strokecolor="#d62a47"/>
    </o:shapedefaults>
    <o:shapelayout v:ext="edit">
      <o:idmap v:ext="edit" data="1"/>
    </o:shapelayout>
  </w:shapeDefaults>
  <w:decimalSymbol w:val="."/>
  <w:listSeparator w:val=";"/>
  <w15:docId w15:val="{CEADF845-4597-4912-AA4C-0B824B429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AB2DA1"/>
    <w:pPr>
      <w:keepNext/>
      <w:keepLines/>
      <w:spacing w:before="480" w:after="80"/>
      <w:jc w:val="center"/>
    </w:pPr>
    <w:rPr>
      <w:b/>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B2DA1"/>
    <w:pPr>
      <w:keepNext/>
      <w:spacing w:before="360" w:after="120"/>
      <w:jc w:val="center"/>
    </w:pPr>
  </w:style>
  <w:style w:type="paragraph" w:customStyle="1" w:styleId="Tabletext">
    <w:name w:val="Table_text"/>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semiHidden/>
    <w:rsid w:val="00AB2DA1"/>
    <w:rPr>
      <w:position w:val="6"/>
      <w:sz w:val="18"/>
    </w:rPr>
  </w:style>
  <w:style w:type="paragraph" w:styleId="FootnoteText">
    <w:name w:val="footnote text"/>
    <w:basedOn w:val="Normal"/>
    <w:semiHidden/>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semiHidden/>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B2DA1"/>
    <w:pPr>
      <w:tabs>
        <w:tab w:val="clear" w:pos="567"/>
        <w:tab w:val="left" w:pos="1276"/>
      </w:tabs>
      <w:spacing w:before="160"/>
      <w:ind w:left="1276" w:hanging="709"/>
    </w:pPr>
  </w:style>
  <w:style w:type="paragraph" w:styleId="TOC3">
    <w:name w:val="toc 3"/>
    <w:basedOn w:val="TOC2"/>
    <w:semiHidden/>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character" w:customStyle="1" w:styleId="Heading1Char">
    <w:name w:val="Heading 1 Char"/>
    <w:basedOn w:val="DefaultParagraphFont"/>
    <w:link w:val="Heading1"/>
    <w:rsid w:val="005277E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hyperlink" Target="http://www.arib.or.jp/english/html/overview/doc/5-STD-27_L-1p3-E.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ftp.tiaonline.org/TR-45/TR-45.5/Public/ITUM1073/TIA-2000.00_CDMA_List%20of%20Stds.doc" TargetMode="External"/><Relationship Id="rId2" Type="http://schemas.openxmlformats.org/officeDocument/2006/relationships/styles" Target="styles.xml"/><Relationship Id="rId16" Type="http://schemas.openxmlformats.org/officeDocument/2006/relationships/hyperlink" Target="http://ftp.tiaonline.org/uwc136/136-000-E.pdf" TargetMode="External"/><Relationship Id="rId20" Type="http://schemas.openxmlformats.org/officeDocument/2006/relationships/hyperlink" Target="http://www.arib.or.jp/english/html/overview/doc/5-STD-27_L-3p3-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pda.etsi.org/exchangefolder/ts_102338v010000p.pdf" TargetMode="External"/><Relationship Id="rId10" Type="http://schemas.openxmlformats.org/officeDocument/2006/relationships/hyperlink" Target="http://www.itu.int/publ/R-REC/fr" TargetMode="External"/><Relationship Id="rId19" Type="http://schemas.openxmlformats.org/officeDocument/2006/relationships/hyperlink" Target="http://www.arib.or.jp/english/html/overview/doc/5-STD-27_L-2p3-E.pdf"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162</TotalTime>
  <Pages>7</Pages>
  <Words>1630</Words>
  <Characters>11184</Characters>
  <Application>Microsoft Office Word</Application>
  <DocSecurity>0</DocSecurity>
  <Lines>310</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12764</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Gachet, Christelle</cp:lastModifiedBy>
  <cp:revision>14</cp:revision>
  <cp:lastPrinted>2014-09-22T09:22:00Z</cp:lastPrinted>
  <dcterms:created xsi:type="dcterms:W3CDTF">2014-09-19T13:49:00Z</dcterms:created>
  <dcterms:modified xsi:type="dcterms:W3CDTF">2014-09-24T06:05:00Z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