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292" w:rsidRPr="00575CB8" w:rsidRDefault="00042292" w:rsidP="00042292">
      <w:pPr>
        <w:rPr>
          <w:lang w:val="en-US"/>
        </w:rPr>
      </w:pPr>
      <w:bookmarkStart w:id="0" w:name="_GoBack"/>
      <w:bookmarkEnd w:id="0"/>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firstRow="1" w:lastRow="1" w:firstColumn="1" w:lastColumn="1" w:noHBand="0" w:noVBand="0"/>
      </w:tblPr>
      <w:tblGrid>
        <w:gridCol w:w="10089"/>
      </w:tblGrid>
      <w:tr w:rsidR="00042292" w:rsidRPr="00312423"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312423">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sidR="00312423">
              <w:rPr>
                <w:rFonts w:ascii="Tahoma" w:hAnsi="Tahoma" w:cs="Tahoma"/>
                <w:b/>
                <w:bCs/>
                <w:iCs/>
                <w:color w:val="243285"/>
                <w:sz w:val="36"/>
                <w:szCs w:val="36"/>
                <w:lang w:val="es-ES_tradnl"/>
              </w:rPr>
              <w:t>1084-4</w:t>
            </w:r>
          </w:p>
          <w:p w:rsidR="00042292" w:rsidRPr="00A07AEB" w:rsidRDefault="00042292" w:rsidP="00312423">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312423">
              <w:rPr>
                <w:rFonts w:ascii="Tahoma" w:hAnsi="Tahoma" w:cs="Tahoma"/>
                <w:b/>
                <w:bCs/>
                <w:iCs/>
                <w:color w:val="243285"/>
                <w:szCs w:val="24"/>
                <w:lang w:val="es-ES_tradnl"/>
              </w:rPr>
              <w:t>08</w:t>
            </w:r>
            <w:r w:rsidRPr="00A07AEB">
              <w:rPr>
                <w:rFonts w:ascii="Tahoma" w:hAnsi="Tahoma" w:cs="Tahoma"/>
                <w:b/>
                <w:bCs/>
                <w:iCs/>
                <w:color w:val="243285"/>
                <w:szCs w:val="24"/>
                <w:lang w:val="es-ES_tradnl"/>
              </w:rPr>
              <w:t>/</w:t>
            </w:r>
            <w:r w:rsidR="00312423">
              <w:rPr>
                <w:rFonts w:ascii="Tahoma" w:hAnsi="Tahoma" w:cs="Tahoma"/>
                <w:b/>
                <w:bCs/>
                <w:iCs/>
                <w:color w:val="243285"/>
                <w:szCs w:val="24"/>
                <w:lang w:val="es-ES_tradnl"/>
              </w:rPr>
              <w:t>2001</w:t>
            </w:r>
            <w:r w:rsidRPr="00A07AEB">
              <w:rPr>
                <w:rFonts w:ascii="Tahoma" w:hAnsi="Tahoma" w:cs="Tahoma"/>
                <w:b/>
                <w:bCs/>
                <w:iCs/>
                <w:color w:val="243285"/>
                <w:szCs w:val="24"/>
                <w:lang w:val="es-ES_tradnl"/>
              </w:rPr>
              <w:t>)</w:t>
            </w:r>
          </w:p>
        </w:tc>
      </w:tr>
      <w:tr w:rsidR="00042292" w:rsidRPr="00557637" w:rsidTr="00A07AEB">
        <w:tc>
          <w:tcPr>
            <w:tcW w:w="10089" w:type="dxa"/>
          </w:tcPr>
          <w:p w:rsidR="00042292" w:rsidRPr="00A07AEB" w:rsidRDefault="00042292" w:rsidP="00A07AEB">
            <w:pPr>
              <w:spacing w:before="80" w:line="500" w:lineRule="exact"/>
              <w:jc w:val="right"/>
              <w:rPr>
                <w:rFonts w:ascii="Tahoma" w:hAnsi="Tahoma" w:cs="Tahoma"/>
                <w:b/>
                <w:bCs/>
                <w:iCs/>
                <w:color w:val="243285"/>
                <w:sz w:val="44"/>
                <w:szCs w:val="44"/>
                <w:lang w:val="es-ES_tradnl"/>
              </w:rPr>
            </w:pPr>
          </w:p>
          <w:p w:rsidR="00042292" w:rsidRPr="00312423" w:rsidRDefault="00312423" w:rsidP="00A07AEB">
            <w:pPr>
              <w:spacing w:before="80" w:line="500" w:lineRule="exact"/>
              <w:jc w:val="right"/>
              <w:rPr>
                <w:rFonts w:ascii="Tahoma" w:hAnsi="Tahoma" w:cs="Tahoma"/>
                <w:b/>
                <w:bCs/>
                <w:iCs/>
                <w:color w:val="243285"/>
                <w:sz w:val="44"/>
                <w:szCs w:val="44"/>
                <w:lang w:val="es-ES_tradnl"/>
              </w:rPr>
            </w:pPr>
            <w:r>
              <w:rPr>
                <w:rFonts w:ascii="Tahoma" w:hAnsi="Tahoma" w:cs="Tahoma"/>
                <w:b/>
                <w:bCs/>
                <w:iCs/>
                <w:color w:val="243285"/>
                <w:sz w:val="44"/>
                <w:szCs w:val="44"/>
                <w:lang w:val="es-ES_tradnl"/>
              </w:rPr>
              <w:t>Soluciones provisionales para la utilizaci</w:t>
            </w:r>
            <w:r w:rsidRPr="00312423">
              <w:rPr>
                <w:rFonts w:ascii="Tahoma" w:hAnsi="Tahoma" w:cs="Tahoma"/>
                <w:b/>
                <w:bCs/>
                <w:iCs/>
                <w:color w:val="243285"/>
                <w:sz w:val="44"/>
                <w:szCs w:val="44"/>
                <w:lang w:val="es-ES_tradnl"/>
              </w:rPr>
              <w:t>ón m</w:t>
            </w:r>
            <w:r>
              <w:rPr>
                <w:rFonts w:ascii="Tahoma" w:hAnsi="Tahoma" w:cs="Tahoma"/>
                <w:b/>
                <w:bCs/>
                <w:iCs/>
                <w:color w:val="243285"/>
                <w:sz w:val="44"/>
                <w:szCs w:val="44"/>
                <w:lang w:val="es-ES_tradnl"/>
              </w:rPr>
              <w:t>ás eficaz de la banda 156-174 MHz por las estaciones del servicio móvil marítimo</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557637"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8"/>
          <w:headerReference w:type="default" r:id="rId9"/>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42292" w:rsidRPr="00557637"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675622" w:rsidRDefault="00042292" w:rsidP="00CB1354">
            <w:pPr>
              <w:spacing w:before="180" w:after="100"/>
              <w:ind w:left="57"/>
              <w:rPr>
                <w:b/>
                <w:bCs/>
                <w:sz w:val="20"/>
                <w:lang w:val="es-E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sidRPr="00675622">
              <w:rPr>
                <w:bCs/>
                <w:sz w:val="20"/>
                <w:lang w:val="es-ES"/>
              </w:rPr>
              <w:t>Título</w:t>
            </w:r>
          </w:p>
        </w:tc>
      </w:tr>
      <w:tr w:rsidR="00042292" w:rsidRPr="00036EE3" w:rsidTr="00CB1354">
        <w:tc>
          <w:tcPr>
            <w:tcW w:w="1140" w:type="dxa"/>
          </w:tcPr>
          <w:p w:rsidR="00042292" w:rsidRPr="00675622" w:rsidRDefault="00042292" w:rsidP="00CB1354">
            <w:pPr>
              <w:spacing w:before="30" w:after="30"/>
              <w:ind w:left="57"/>
              <w:jc w:val="left"/>
              <w:rPr>
                <w:b/>
                <w:bCs/>
                <w:sz w:val="20"/>
                <w:lang w:val="es-E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75622">
              <w:rPr>
                <w:b w:val="0"/>
                <w:bCs/>
                <w:sz w:val="20"/>
                <w:lang w:val="es-ES"/>
              </w:rPr>
              <w:t>Distribución</w:t>
            </w:r>
            <w:r w:rsidRPr="00021E8A">
              <w:rPr>
                <w:b w:val="0"/>
                <w:bCs/>
                <w:sz w:val="20"/>
              </w:rPr>
              <w:t xml:space="preserve"> por satélite</w:t>
            </w:r>
          </w:p>
        </w:tc>
      </w:tr>
      <w:tr w:rsidR="00042292" w:rsidRPr="00557637"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557637"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557637"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042292" w:rsidRPr="00557637"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557637"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557637"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42292" w:rsidRPr="00557637" w:rsidTr="00A07AEB">
        <w:tc>
          <w:tcPr>
            <w:tcW w:w="9360" w:type="dxa"/>
          </w:tcPr>
          <w:p w:rsidR="00042292" w:rsidRPr="00A07AEB" w:rsidRDefault="00042292" w:rsidP="00A07AEB">
            <w:pPr>
              <w:spacing w:before="92" w:after="92"/>
              <w:jc w:val="left"/>
              <w:rPr>
                <w:i/>
                <w:iCs/>
                <w:sz w:val="20"/>
                <w:lang w:val="es-ES_tradnl"/>
              </w:rPr>
            </w:pPr>
            <w:r w:rsidRPr="00A07AEB">
              <w:rPr>
                <w:b/>
                <w:bCs/>
                <w:i/>
                <w:iCs/>
                <w:sz w:val="20"/>
                <w:lang w:val="es-ES_tradnl"/>
              </w:rPr>
              <w:t xml:space="preserve">         Nota</w:t>
            </w:r>
            <w:r w:rsidRPr="00A07AEB">
              <w:rPr>
                <w:i/>
                <w:iCs/>
                <w:sz w:val="20"/>
                <w:lang w:val="es-ES_tradnl"/>
              </w:rPr>
              <w:t xml:space="preserve">: Esta Recomendación UIT-R fue aprobada en inglés conforme al procedimiento detallado en la </w:t>
            </w:r>
            <w:r w:rsidRPr="00A07AEB">
              <w:rPr>
                <w:i/>
                <w:iCs/>
                <w:sz w:val="20"/>
                <w:lang w:val="es-ES_tradnl"/>
              </w:rPr>
              <w:br/>
              <w:t xml:space="preserve">        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E704B6">
      <w:pPr>
        <w:spacing w:before="0" w:after="40"/>
        <w:jc w:val="right"/>
        <w:rPr>
          <w:sz w:val="20"/>
          <w:lang w:val="es-ES_tradnl"/>
        </w:rPr>
      </w:pPr>
      <w:r w:rsidRPr="00763D08">
        <w:rPr>
          <w:sz w:val="20"/>
          <w:lang w:val="es-ES_tradnl"/>
        </w:rPr>
        <w:t>Ginebra, 20</w:t>
      </w:r>
      <w:r w:rsidR="001B26B3">
        <w:rPr>
          <w:sz w:val="20"/>
          <w:lang w:val="es-ES_tradnl"/>
        </w:rPr>
        <w:t>1</w:t>
      </w:r>
      <w:r w:rsidR="00E704B6">
        <w:rPr>
          <w:sz w:val="20"/>
          <w:lang w:val="es-ES_tradnl"/>
        </w:rPr>
        <w:t>1</w:t>
      </w:r>
    </w:p>
    <w:p w:rsidR="00042292" w:rsidRPr="00763D08" w:rsidRDefault="00042292" w:rsidP="00042292">
      <w:pPr>
        <w:spacing w:before="0"/>
        <w:jc w:val="center"/>
        <w:rPr>
          <w:sz w:val="22"/>
          <w:lang w:val="es-ES_tradnl"/>
        </w:rPr>
      </w:pPr>
    </w:p>
    <w:p w:rsidR="00042292" w:rsidRPr="00763D08" w:rsidRDefault="00042292" w:rsidP="00E704B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B26B3">
        <w:rPr>
          <w:sz w:val="20"/>
          <w:lang w:val="es-ES_tradnl"/>
        </w:rPr>
        <w:t>1</w:t>
      </w:r>
      <w:r w:rsidR="00E704B6">
        <w:rPr>
          <w:sz w:val="20"/>
          <w:lang w:val="es-ES_tradnl"/>
        </w:rPr>
        <w:t>1</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2"/>
          <w:headerReference w:type="default" r:id="rId13"/>
          <w:pgSz w:w="11907" w:h="16834" w:code="9"/>
          <w:pgMar w:top="1418" w:right="1134" w:bottom="1134" w:left="1134" w:header="720" w:footer="482" w:gutter="0"/>
          <w:pgNumType w:fmt="lowerRoman" w:start="2"/>
          <w:cols w:space="720"/>
        </w:sectPr>
      </w:pPr>
    </w:p>
    <w:p w:rsidR="00042292" w:rsidRDefault="00312423" w:rsidP="00312423">
      <w:pPr>
        <w:pStyle w:val="RecNo"/>
        <w:spacing w:before="0"/>
        <w:rPr>
          <w:lang w:val="es-ES_tradnl"/>
        </w:rPr>
      </w:pPr>
      <w:bookmarkStart w:id="3" w:name="irecnoe"/>
      <w:bookmarkEnd w:id="3"/>
      <w:r w:rsidRPr="00763D08">
        <w:rPr>
          <w:lang w:val="es-ES_tradnl"/>
        </w:rPr>
        <w:lastRenderedPageBreak/>
        <w:t xml:space="preserve">RECOMENDACIÓN  </w:t>
      </w:r>
      <w:r w:rsidRPr="00763D08">
        <w:rPr>
          <w:rStyle w:val="href"/>
          <w:lang w:val="es-ES_tradnl"/>
        </w:rPr>
        <w:t>UIT-R  M.1</w:t>
      </w:r>
      <w:r>
        <w:rPr>
          <w:rStyle w:val="href"/>
          <w:lang w:val="es-ES_tradnl"/>
        </w:rPr>
        <w:t>084-4</w:t>
      </w:r>
      <w:r>
        <w:rPr>
          <w:rStyle w:val="FootnoteReference"/>
          <w:lang w:val="es-ES_tradnl"/>
        </w:rPr>
        <w:footnoteReference w:customMarkFollows="1" w:id="1"/>
        <w:t>*</w:t>
      </w:r>
      <w:r w:rsidRPr="00312423">
        <w:rPr>
          <w:position w:val="8"/>
          <w:sz w:val="18"/>
          <w:lang w:val="es-ES_tradnl"/>
        </w:rPr>
        <w:t>,</w:t>
      </w:r>
      <w:r w:rsidRPr="00312423">
        <w:rPr>
          <w:sz w:val="18"/>
          <w:szCs w:val="18"/>
          <w:lang w:val="es-ES_tradnl"/>
        </w:rPr>
        <w:t xml:space="preserve"> </w:t>
      </w:r>
      <w:r>
        <w:rPr>
          <w:rStyle w:val="FootnoteReference"/>
          <w:lang w:val="es-ES_tradnl"/>
        </w:rPr>
        <w:footnoteReference w:customMarkFollows="1" w:id="2"/>
        <w:t>**</w:t>
      </w:r>
    </w:p>
    <w:p w:rsidR="00312423" w:rsidRPr="005560AF" w:rsidRDefault="00312423" w:rsidP="003144B5">
      <w:pPr>
        <w:pStyle w:val="Rectitle"/>
        <w:rPr>
          <w:lang w:val="es-ES"/>
        </w:rPr>
      </w:pPr>
      <w:bookmarkStart w:id="4" w:name="Pre_title"/>
      <w:r w:rsidRPr="005560AF">
        <w:rPr>
          <w:lang w:val="es-ES"/>
        </w:rPr>
        <w:t>Soluciones provisionales para la utilización más eficaz de la banda 156-174 MHz</w:t>
      </w:r>
      <w:r w:rsidR="003144B5">
        <w:rPr>
          <w:lang w:val="es-ES"/>
        </w:rPr>
        <w:br/>
      </w:r>
      <w:r w:rsidRPr="005560AF">
        <w:rPr>
          <w:lang w:val="es-ES"/>
        </w:rPr>
        <w:t>por las estaciones del servicio móvil marítimo</w:t>
      </w:r>
      <w:bookmarkEnd w:id="4"/>
    </w:p>
    <w:p w:rsidR="00312423" w:rsidRPr="005560AF" w:rsidRDefault="00312423" w:rsidP="00312423">
      <w:pPr>
        <w:pStyle w:val="Recref"/>
        <w:rPr>
          <w:lang w:val="es-ES"/>
        </w:rPr>
      </w:pPr>
      <w:bookmarkStart w:id="5" w:name="Related_Questions"/>
      <w:r w:rsidRPr="005560AF">
        <w:rPr>
          <w:lang w:val="es-ES"/>
        </w:rPr>
        <w:t>(Cuestión UIT-R 96/8)</w:t>
      </w:r>
      <w:bookmarkEnd w:id="5"/>
    </w:p>
    <w:p w:rsidR="00312423" w:rsidRPr="005560AF" w:rsidRDefault="00312423" w:rsidP="00312423">
      <w:pPr>
        <w:pStyle w:val="Recdate"/>
        <w:rPr>
          <w:lang w:val="es-ES"/>
        </w:rPr>
      </w:pPr>
      <w:bookmarkStart w:id="6" w:name="Revision_history"/>
      <w:r w:rsidRPr="005560AF">
        <w:rPr>
          <w:lang w:val="es-ES"/>
        </w:rPr>
        <w:t>(1994-1995-1997-1998-2001)</w:t>
      </w:r>
      <w:bookmarkEnd w:id="6"/>
    </w:p>
    <w:p w:rsidR="00312423" w:rsidRPr="003144B5" w:rsidRDefault="003144B5" w:rsidP="003144B5">
      <w:pPr>
        <w:pStyle w:val="HeadingSum"/>
        <w:rPr>
          <w:sz w:val="24"/>
        </w:rPr>
      </w:pPr>
      <w:r w:rsidRPr="003144B5">
        <w:rPr>
          <w:sz w:val="24"/>
        </w:rPr>
        <w:t>Cometido</w:t>
      </w:r>
    </w:p>
    <w:p w:rsidR="00312423" w:rsidRPr="003144B5" w:rsidRDefault="00312423" w:rsidP="003144B5">
      <w:pPr>
        <w:pStyle w:val="Summary"/>
        <w:rPr>
          <w:sz w:val="24"/>
        </w:rPr>
      </w:pPr>
      <w:r w:rsidRPr="003144B5">
        <w:rPr>
          <w:sz w:val="24"/>
        </w:rPr>
        <w:t>En esta Recomendación se facilitan orientaciones a las administraciones acerca de la posible utilización de canales de banda más estrechos que 25 kHz como medio para aliviar la congestión en los canales del Apéndice 18. En el Anexo 1 se facilitan los parámetros técnicos. El Anexo 2 es una guía para pasar de canales de 25 kHz a bandas más estrechas. En el Anexo 3 se documenta un posible método de aplicación para canales de 12,5 kHz.</w:t>
      </w:r>
    </w:p>
    <w:p w:rsidR="00312423" w:rsidRPr="005560AF" w:rsidRDefault="00312423" w:rsidP="00312423">
      <w:pPr>
        <w:pStyle w:val="Normalaftertitle"/>
        <w:rPr>
          <w:lang w:val="es-ES"/>
        </w:rPr>
      </w:pPr>
      <w:r w:rsidRPr="005560AF">
        <w:rPr>
          <w:lang w:val="es-ES"/>
        </w:rPr>
        <w:t>La Asamblea de Radiocomunicaciones de la UIT,</w:t>
      </w:r>
    </w:p>
    <w:p w:rsidR="00312423" w:rsidRPr="005560AF" w:rsidRDefault="00312423" w:rsidP="00312423">
      <w:pPr>
        <w:pStyle w:val="Call"/>
        <w:rPr>
          <w:lang w:val="es-ES"/>
        </w:rPr>
      </w:pPr>
      <w:r w:rsidRPr="005560AF">
        <w:rPr>
          <w:lang w:val="es-ES"/>
        </w:rPr>
        <w:t>considerando</w:t>
      </w:r>
    </w:p>
    <w:p w:rsidR="00312423" w:rsidRPr="005560AF" w:rsidRDefault="00312423" w:rsidP="00312423">
      <w:pPr>
        <w:rPr>
          <w:lang w:val="es-ES"/>
        </w:rPr>
      </w:pPr>
      <w:r w:rsidRPr="005560AF">
        <w:rPr>
          <w:lang w:val="es-ES"/>
        </w:rPr>
        <w:t>a)</w:t>
      </w:r>
      <w:r w:rsidRPr="005560AF">
        <w:rPr>
          <w:lang w:val="es-ES"/>
        </w:rPr>
        <w:tab/>
        <w:t>que el propósito de la Recomendación N.</w:t>
      </w:r>
      <w:r w:rsidRPr="005560AF">
        <w:rPr>
          <w:rFonts w:ascii="Symbol" w:hAnsi="Symbol"/>
          <w:lang w:val="es-ES"/>
        </w:rPr>
        <w:t></w:t>
      </w:r>
      <w:r w:rsidRPr="005560AF">
        <w:rPr>
          <w:lang w:val="es-ES"/>
        </w:rPr>
        <w:t xml:space="preserve"> 318 (Mob-87) de la Conferencia Administrativa Mundial de Radiocomunicaciones para los servicios móviles (Ginebra, 1987) (CAMR Mob-87) es determinar los medios más apropiados para mejorar la eficacia en la utilización del espectro de frecuencias en la banda de ondas métricas indicado en el Apéndice 18 al Reglamento de Radiocomunicaciones (RR) para las comunicaciones móviles marítimas;</w:t>
      </w:r>
    </w:p>
    <w:p w:rsidR="00312423" w:rsidRPr="005560AF" w:rsidRDefault="00312423" w:rsidP="00312423">
      <w:pPr>
        <w:rPr>
          <w:lang w:val="es-ES"/>
        </w:rPr>
      </w:pPr>
      <w:r w:rsidRPr="005560AF">
        <w:rPr>
          <w:lang w:val="es-ES"/>
        </w:rPr>
        <w:t>b)</w:t>
      </w:r>
      <w:r w:rsidRPr="005560AF">
        <w:rPr>
          <w:lang w:val="es-ES"/>
        </w:rPr>
        <w:tab/>
        <w:t>que es esencial un sistema internacional común para que las comunicaciones marítimas garanticen la seguridad de la vida en el mar;</w:t>
      </w:r>
    </w:p>
    <w:p w:rsidR="00312423" w:rsidRPr="005560AF" w:rsidRDefault="00312423" w:rsidP="00312423">
      <w:pPr>
        <w:rPr>
          <w:lang w:val="es-ES"/>
        </w:rPr>
      </w:pPr>
      <w:r w:rsidRPr="005560AF">
        <w:rPr>
          <w:lang w:val="es-ES"/>
        </w:rPr>
        <w:t>c)</w:t>
      </w:r>
      <w:r w:rsidRPr="005560AF">
        <w:rPr>
          <w:lang w:val="es-ES"/>
        </w:rPr>
        <w:tab/>
        <w:t>que utilizando las técnicas más modernas de equipos de banda estrecha o digitales se obtendrán los mayores beneficios a largo plazo en cuanto a eficacia en el empleo del espectro;</w:t>
      </w:r>
    </w:p>
    <w:p w:rsidR="00312423" w:rsidRPr="005560AF" w:rsidRDefault="00312423" w:rsidP="00312423">
      <w:pPr>
        <w:rPr>
          <w:lang w:val="es-ES"/>
        </w:rPr>
      </w:pPr>
      <w:r w:rsidRPr="005560AF">
        <w:rPr>
          <w:lang w:val="es-ES"/>
        </w:rPr>
        <w:t>d)</w:t>
      </w:r>
      <w:r w:rsidRPr="005560AF">
        <w:rPr>
          <w:lang w:val="es-ES"/>
        </w:rPr>
        <w:tab/>
        <w:t>que la introducción de nueva tecnología o la nueva planificación de las bandas de frecuencia será una práctica importante que requeriría un largo periodo de transición;</w:t>
      </w:r>
    </w:p>
    <w:p w:rsidR="00312423" w:rsidRPr="005560AF" w:rsidRDefault="00312423" w:rsidP="00312423">
      <w:pPr>
        <w:rPr>
          <w:lang w:val="es-ES"/>
        </w:rPr>
      </w:pPr>
      <w:r w:rsidRPr="005560AF">
        <w:rPr>
          <w:lang w:val="es-ES"/>
        </w:rPr>
        <w:t>e)</w:t>
      </w:r>
      <w:r w:rsidRPr="005560AF">
        <w:rPr>
          <w:lang w:val="es-ES"/>
        </w:rPr>
        <w:tab/>
        <w:t>que es preciso que todo equipo nuevo sea compatible o pueda coexistir con los equipos actuales conformes a la Recomendación UIT-R M.489 que ya se utilizan ampliamente;</w:t>
      </w:r>
    </w:p>
    <w:p w:rsidR="00312423" w:rsidRPr="005560AF" w:rsidRDefault="00312423" w:rsidP="00312423">
      <w:pPr>
        <w:rPr>
          <w:lang w:val="es-ES"/>
        </w:rPr>
      </w:pPr>
      <w:r w:rsidRPr="005560AF">
        <w:rPr>
          <w:lang w:val="es-ES"/>
        </w:rPr>
        <w:t>f)</w:t>
      </w:r>
      <w:r w:rsidRPr="005560AF">
        <w:rPr>
          <w:lang w:val="es-ES"/>
        </w:rPr>
        <w:tab/>
        <w:t>que la introducción de nueva tecnología no debe interrumpir la disponibilidad, para todos los usuarios, de las comunicaciones de socorro y seguridad en las bandas de ondas métricas del servicio móvil marítimo indicadas en el Apéndice 18 al RR;</w:t>
      </w:r>
    </w:p>
    <w:p w:rsidR="00312423" w:rsidRPr="005560AF" w:rsidRDefault="00312423" w:rsidP="00312423">
      <w:pPr>
        <w:rPr>
          <w:lang w:val="es-ES"/>
        </w:rPr>
      </w:pPr>
      <w:r w:rsidRPr="005560AF">
        <w:rPr>
          <w:lang w:val="es-ES"/>
        </w:rPr>
        <w:t>g)</w:t>
      </w:r>
      <w:r w:rsidRPr="005560AF">
        <w:rPr>
          <w:lang w:val="es-ES"/>
        </w:rPr>
        <w:tab/>
        <w:t>que la congestión en la banda de ondas métricas del servicio móvil marítimo es ya un problema grave en algunas partes del mundo y sigue aumentando;</w:t>
      </w:r>
    </w:p>
    <w:p w:rsidR="00312423" w:rsidRPr="005560AF" w:rsidRDefault="00312423" w:rsidP="00312423">
      <w:pPr>
        <w:rPr>
          <w:lang w:val="es-ES"/>
        </w:rPr>
      </w:pPr>
      <w:r w:rsidRPr="005560AF">
        <w:rPr>
          <w:lang w:val="es-ES"/>
        </w:rPr>
        <w:t>h)</w:t>
      </w:r>
      <w:r w:rsidRPr="005560AF">
        <w:rPr>
          <w:lang w:val="es-ES"/>
        </w:rPr>
        <w:tab/>
        <w:t>que debido a esta necesidad, las administraciones pueden recurrir a medidas para solucionar sus problemas de congestión local;</w:t>
      </w:r>
    </w:p>
    <w:p w:rsidR="00312423" w:rsidRPr="005560AF" w:rsidRDefault="00312423" w:rsidP="00312423">
      <w:pPr>
        <w:rPr>
          <w:lang w:val="es-ES"/>
        </w:rPr>
      </w:pPr>
      <w:r w:rsidRPr="005560AF">
        <w:rPr>
          <w:lang w:val="es-ES"/>
        </w:rPr>
        <w:t>j)</w:t>
      </w:r>
      <w:r w:rsidRPr="005560AF">
        <w:rPr>
          <w:lang w:val="es-ES"/>
        </w:rPr>
        <w:tab/>
        <w:t>que en el Apéndice 18 al RR se prevé que las administraciones que tengan la urgente necesidad de reducir la congestión local apliquen entrelazado de canales de 12,5 kHz sobre una base de no interferencia con canales de 25 kHz;</w:t>
      </w:r>
    </w:p>
    <w:p w:rsidR="00312423" w:rsidRPr="005560AF" w:rsidRDefault="00312423" w:rsidP="00312423">
      <w:pPr>
        <w:rPr>
          <w:lang w:val="es-ES"/>
        </w:rPr>
      </w:pPr>
      <w:r w:rsidRPr="005560AF">
        <w:rPr>
          <w:lang w:val="es-ES"/>
        </w:rPr>
        <w:lastRenderedPageBreak/>
        <w:t>k)</w:t>
      </w:r>
      <w:r w:rsidRPr="005560AF">
        <w:rPr>
          <w:lang w:val="es-ES"/>
        </w:rPr>
        <w:tab/>
        <w:t>que la realización de canales de 12,5 kHz requeriría un plan de numeración de canales normalizado;</w:t>
      </w:r>
    </w:p>
    <w:p w:rsidR="00312423" w:rsidRPr="005560AF" w:rsidRDefault="00312423" w:rsidP="00312423">
      <w:pPr>
        <w:rPr>
          <w:lang w:val="es-ES"/>
        </w:rPr>
      </w:pPr>
      <w:r w:rsidRPr="005560AF">
        <w:rPr>
          <w:lang w:val="es-ES"/>
        </w:rPr>
        <w:t>l)</w:t>
      </w:r>
      <w:r w:rsidRPr="005560AF">
        <w:rPr>
          <w:lang w:val="es-ES"/>
        </w:rPr>
        <w:tab/>
        <w:t>que las administraciones están planificando establecer el funcionamiento en una sola frecuencia de canales de dos frecuencias como medio de aliviar la congestión actual;</w:t>
      </w:r>
    </w:p>
    <w:p w:rsidR="00312423" w:rsidRPr="005560AF" w:rsidRDefault="00312423" w:rsidP="00312423">
      <w:pPr>
        <w:rPr>
          <w:lang w:val="es-ES"/>
        </w:rPr>
      </w:pPr>
      <w:r w:rsidRPr="005560AF">
        <w:rPr>
          <w:lang w:val="es-ES"/>
        </w:rPr>
        <w:t>m)</w:t>
      </w:r>
      <w:r w:rsidRPr="005560AF">
        <w:rPr>
          <w:lang w:val="es-ES"/>
        </w:rPr>
        <w:tab/>
        <w:t>que estas soluciones provisionales se utilizan en el sistema de identificación automático universal a bordo de barcos normalizado desarrollado con arreglo a la Recomendación UIT</w:t>
      </w:r>
      <w:r w:rsidRPr="005560AF">
        <w:rPr>
          <w:lang w:val="es-ES"/>
        </w:rPr>
        <w:noBreakHyphen/>
        <w:t>R M.1371 para atender a los requisitos de transporte para barcos estipulados por la OMI,</w:t>
      </w:r>
    </w:p>
    <w:p w:rsidR="00312423" w:rsidRPr="005560AF" w:rsidRDefault="00312423" w:rsidP="00312423">
      <w:pPr>
        <w:pStyle w:val="Call"/>
        <w:rPr>
          <w:lang w:val="es-ES"/>
        </w:rPr>
      </w:pPr>
      <w:r w:rsidRPr="005560AF">
        <w:rPr>
          <w:lang w:val="es-ES"/>
        </w:rPr>
        <w:t>recomienda</w:t>
      </w:r>
    </w:p>
    <w:p w:rsidR="00312423" w:rsidRPr="005560AF" w:rsidRDefault="00312423" w:rsidP="00312423">
      <w:pPr>
        <w:rPr>
          <w:lang w:val="es-ES"/>
        </w:rPr>
      </w:pPr>
      <w:r w:rsidRPr="005560AF">
        <w:rPr>
          <w:b/>
          <w:lang w:val="es-ES"/>
        </w:rPr>
        <w:t>1</w:t>
      </w:r>
      <w:r w:rsidRPr="005560AF">
        <w:rPr>
          <w:lang w:val="es-ES"/>
        </w:rPr>
        <w:tab/>
        <w:t>que las administraciones que tienen necesidad urgente de resolver el problema de la congestión, utilicen el funcionamiento en una sola frecuencia de canales de dos frecuencias como medida provisional;</w:t>
      </w:r>
    </w:p>
    <w:p w:rsidR="00312423" w:rsidRPr="005560AF" w:rsidRDefault="00312423" w:rsidP="00312423">
      <w:pPr>
        <w:rPr>
          <w:lang w:val="es-ES"/>
        </w:rPr>
      </w:pPr>
      <w:r w:rsidRPr="005560AF">
        <w:rPr>
          <w:b/>
          <w:lang w:val="es-ES"/>
        </w:rPr>
        <w:t>2</w:t>
      </w:r>
      <w:r w:rsidRPr="005560AF">
        <w:rPr>
          <w:lang w:val="es-ES"/>
        </w:rPr>
        <w:tab/>
        <w:t>que, para las administraciones que tienen necesidad urgente de resolver el problema de la congestión, el cambio a modulación de frecuencia (MF) analógica a 12,5 kHz como solución provisional sería una manera sencilla de mejorar la utilización del espectro, aunque ello podría tener repercusiones en la explotación actual, especialmente para la navegación marítima internacional con separación entre canales de 25 kHz;</w:t>
      </w:r>
    </w:p>
    <w:p w:rsidR="00312423" w:rsidRPr="005560AF" w:rsidRDefault="00312423" w:rsidP="00312423">
      <w:pPr>
        <w:rPr>
          <w:lang w:val="es-ES"/>
        </w:rPr>
      </w:pPr>
      <w:r w:rsidRPr="005560AF">
        <w:rPr>
          <w:b/>
          <w:lang w:val="es-ES"/>
        </w:rPr>
        <w:t>3</w:t>
      </w:r>
      <w:r w:rsidRPr="005560AF">
        <w:rPr>
          <w:lang w:val="es-ES"/>
        </w:rPr>
        <w:tab/>
        <w:t>que las administraciones, cuando empleen MF analógica a 12,5 kHz como medida provisional, deben evitar canales de socorro y seguridad y canales que afecten la seguridad de la navegación marítima internacional;</w:t>
      </w:r>
    </w:p>
    <w:p w:rsidR="00312423" w:rsidRPr="005560AF" w:rsidRDefault="00312423" w:rsidP="00312423">
      <w:pPr>
        <w:rPr>
          <w:lang w:val="es-ES"/>
        </w:rPr>
      </w:pPr>
      <w:r w:rsidRPr="005560AF">
        <w:rPr>
          <w:b/>
          <w:lang w:val="es-ES"/>
        </w:rPr>
        <w:t>4</w:t>
      </w:r>
      <w:r w:rsidRPr="005560AF">
        <w:rPr>
          <w:lang w:val="es-ES"/>
        </w:rPr>
        <w:tab/>
        <w:t xml:space="preserve">que las disposiciones provisionales mencionadas en los </w:t>
      </w:r>
      <w:r w:rsidRPr="005560AF">
        <w:rPr>
          <w:i/>
          <w:lang w:val="es-ES"/>
        </w:rPr>
        <w:t>recomienda</w:t>
      </w:r>
      <w:r w:rsidRPr="005560AF">
        <w:rPr>
          <w:lang w:val="es-ES"/>
        </w:rPr>
        <w:t xml:space="preserve"> 2 y 3 no impidan la aplicación de la solución a largo plazo aconsejada por los estudios en curso, que podría consistir en el empleo de tecnologías avanzadas y de una disposición de canales de anchura de banda distinta de 12,5 kHz;</w:t>
      </w:r>
    </w:p>
    <w:p w:rsidR="00312423" w:rsidRPr="005560AF" w:rsidRDefault="00312423" w:rsidP="00312423">
      <w:pPr>
        <w:rPr>
          <w:lang w:val="es-ES"/>
        </w:rPr>
      </w:pPr>
      <w:r w:rsidRPr="005560AF">
        <w:rPr>
          <w:b/>
          <w:lang w:val="es-ES"/>
        </w:rPr>
        <w:t>5</w:t>
      </w:r>
      <w:r w:rsidRPr="005560AF">
        <w:rPr>
          <w:b/>
          <w:lang w:val="es-ES"/>
        </w:rPr>
        <w:tab/>
      </w:r>
      <w:r w:rsidRPr="005560AF">
        <w:rPr>
          <w:lang w:val="es-ES"/>
        </w:rPr>
        <w:t xml:space="preserve">que las disposiciones provisionales mencionadas en los </w:t>
      </w:r>
      <w:r w:rsidRPr="005560AF">
        <w:rPr>
          <w:i/>
          <w:lang w:val="es-ES"/>
        </w:rPr>
        <w:t>recomienda</w:t>
      </w:r>
      <w:r w:rsidRPr="005560AF">
        <w:rPr>
          <w:lang w:val="es-ES"/>
        </w:rPr>
        <w:t xml:space="preserve"> 2 y 3 no impidan la aplicación por la comunidad internacional de un único sistema internacional para comunicaciones de socorro y seguridad a largo plazo;</w:t>
      </w:r>
    </w:p>
    <w:p w:rsidR="00312423" w:rsidRPr="005560AF" w:rsidRDefault="00312423" w:rsidP="00312423">
      <w:pPr>
        <w:rPr>
          <w:lang w:val="es-ES"/>
        </w:rPr>
      </w:pPr>
      <w:r w:rsidRPr="005560AF">
        <w:rPr>
          <w:b/>
          <w:lang w:val="es-ES"/>
        </w:rPr>
        <w:t>6</w:t>
      </w:r>
      <w:r w:rsidRPr="005560AF">
        <w:rPr>
          <w:b/>
          <w:lang w:val="es-ES"/>
        </w:rPr>
        <w:tab/>
      </w:r>
      <w:r w:rsidRPr="005560AF">
        <w:rPr>
          <w:lang w:val="es-ES"/>
        </w:rPr>
        <w:t>que las administraciones que intentan resolver los problemas actuales de congestión mediante la utilización de canales de banda estrecha consideren el Anexo 2 como una guía para la transición de los canales de 25 kHz a bandas más estrechas;</w:t>
      </w:r>
    </w:p>
    <w:p w:rsidR="00312423" w:rsidRPr="005560AF" w:rsidRDefault="00312423" w:rsidP="00312423">
      <w:pPr>
        <w:rPr>
          <w:b/>
          <w:lang w:val="es-ES"/>
        </w:rPr>
      </w:pPr>
      <w:r w:rsidRPr="005560AF">
        <w:rPr>
          <w:b/>
          <w:lang w:val="es-ES"/>
        </w:rPr>
        <w:t>7</w:t>
      </w:r>
      <w:r w:rsidRPr="005560AF">
        <w:rPr>
          <w:lang w:val="es-ES"/>
        </w:rPr>
        <w:tab/>
        <w:t>que las administraciones que intentan resolver los problemas actuales de congestión mediante la utilización de canales de banda estrecha empleen equipos conformes a los parámetros técnicos que figuran en el Anexo 1, teniendo en cuenta a la vez las disposiciones del Apéndice 18 al RR;</w:t>
      </w:r>
    </w:p>
    <w:p w:rsidR="00312423" w:rsidRPr="005560AF" w:rsidRDefault="00312423" w:rsidP="00312423">
      <w:pPr>
        <w:rPr>
          <w:lang w:val="es-ES"/>
        </w:rPr>
      </w:pPr>
      <w:r w:rsidRPr="005560AF">
        <w:rPr>
          <w:b/>
          <w:lang w:val="es-ES"/>
        </w:rPr>
        <w:t>8</w:t>
      </w:r>
      <w:r w:rsidRPr="005560AF">
        <w:rPr>
          <w:b/>
          <w:lang w:val="es-ES"/>
        </w:rPr>
        <w:tab/>
      </w:r>
      <w:r w:rsidRPr="005560AF">
        <w:rPr>
          <w:lang w:val="es-ES"/>
        </w:rPr>
        <w:t>que las administraciones que pongan en servicio canales de banda estrecha entrelazados con separación entre canales desplazados en 12,5 kHz como medida provisional consideren el Anexo 3 como un ejemplo de posible método de aplicación (existen otros ejemplos de posibles métodos de aplicación de los descritos en el Anexo 3);</w:t>
      </w:r>
    </w:p>
    <w:p w:rsidR="00312423" w:rsidRPr="005560AF" w:rsidRDefault="00312423" w:rsidP="00312423">
      <w:pPr>
        <w:rPr>
          <w:lang w:val="es-ES"/>
        </w:rPr>
      </w:pPr>
      <w:r w:rsidRPr="005560AF">
        <w:rPr>
          <w:b/>
          <w:lang w:val="es-ES"/>
        </w:rPr>
        <w:t>9</w:t>
      </w:r>
      <w:r w:rsidRPr="005560AF">
        <w:rPr>
          <w:b/>
          <w:lang w:val="es-ES"/>
        </w:rPr>
        <w:tab/>
      </w:r>
      <w:r w:rsidRPr="005560AF">
        <w:rPr>
          <w:lang w:val="es-ES"/>
        </w:rPr>
        <w:t>que las administraciones que pongan en servicio canales de banda estrecha de 12,5 kHz consideren el Anexo 4 para la numeración de los nuevos canales;</w:t>
      </w:r>
    </w:p>
    <w:p w:rsidR="00312423" w:rsidRPr="005560AF" w:rsidRDefault="00312423" w:rsidP="00312423">
      <w:pPr>
        <w:rPr>
          <w:lang w:val="es-ES"/>
        </w:rPr>
      </w:pPr>
      <w:r w:rsidRPr="005560AF">
        <w:rPr>
          <w:b/>
          <w:lang w:val="es-ES"/>
        </w:rPr>
        <w:t>10</w:t>
      </w:r>
      <w:r w:rsidRPr="005560AF">
        <w:rPr>
          <w:b/>
          <w:lang w:val="es-ES"/>
        </w:rPr>
        <w:tab/>
      </w:r>
      <w:r w:rsidRPr="005560AF">
        <w:rPr>
          <w:lang w:val="es-ES"/>
        </w:rPr>
        <w:t>que las administraciones que establezcan el funcionamiento en una sola frecuencia de canales de dos frecuencias tengan en cuenta el § 3 del Anexo 4 para la numeración de los canales;</w:t>
      </w:r>
    </w:p>
    <w:p w:rsidR="00312423" w:rsidRPr="005560AF" w:rsidRDefault="00312423" w:rsidP="00312423">
      <w:pPr>
        <w:rPr>
          <w:lang w:val="es-ES"/>
        </w:rPr>
      </w:pPr>
      <w:r w:rsidRPr="005560AF">
        <w:rPr>
          <w:b/>
          <w:lang w:val="es-ES"/>
        </w:rPr>
        <w:t>11</w:t>
      </w:r>
      <w:r w:rsidRPr="005560AF">
        <w:rPr>
          <w:b/>
          <w:lang w:val="es-ES"/>
        </w:rPr>
        <w:tab/>
      </w:r>
      <w:r w:rsidRPr="005560AF">
        <w:rPr>
          <w:lang w:val="es-ES"/>
        </w:rPr>
        <w:t>que las administraciones velen, en la medida de lo posible, por la aplicación de las últimas técnicas digitales o de banda estrecha para satisfacer futuros requisitos de funcionamiento y lograr la utilización eficaz de la banda 156</w:t>
      </w:r>
      <w:r w:rsidRPr="005560AF">
        <w:rPr>
          <w:lang w:val="es-ES"/>
        </w:rPr>
        <w:noBreakHyphen/>
        <w:t>174 MHz.</w:t>
      </w:r>
    </w:p>
    <w:p w:rsidR="00312423" w:rsidRPr="005560AF" w:rsidRDefault="00312423" w:rsidP="00312423">
      <w:pPr>
        <w:pStyle w:val="AnnexNo"/>
        <w:rPr>
          <w:lang w:val="es-ES"/>
        </w:rPr>
      </w:pPr>
      <w:r w:rsidRPr="005560AF">
        <w:rPr>
          <w:lang w:val="es-ES"/>
        </w:rPr>
        <w:lastRenderedPageBreak/>
        <w:t>ANEXO  1</w:t>
      </w:r>
    </w:p>
    <w:p w:rsidR="00312423" w:rsidRPr="005560AF" w:rsidRDefault="00312423" w:rsidP="00312423">
      <w:pPr>
        <w:pStyle w:val="Annextitle"/>
        <w:rPr>
          <w:lang w:val="es-ES"/>
        </w:rPr>
      </w:pPr>
      <w:r w:rsidRPr="005560AF">
        <w:rPr>
          <w:lang w:val="es-ES"/>
        </w:rPr>
        <w:t>Características técnicas de los equipos diseñados para funcionar</w:t>
      </w:r>
      <w:r w:rsidRPr="005560AF">
        <w:rPr>
          <w:lang w:val="es-ES"/>
        </w:rPr>
        <w:br/>
        <w:t>en canales separados en 12,5 kHz</w:t>
      </w:r>
    </w:p>
    <w:p w:rsidR="00312423" w:rsidRPr="005560AF" w:rsidRDefault="00312423" w:rsidP="00312423">
      <w:pPr>
        <w:pStyle w:val="Normalaftertitle"/>
        <w:rPr>
          <w:lang w:val="es-ES"/>
        </w:rPr>
      </w:pPr>
      <w:r w:rsidRPr="005560AF">
        <w:rPr>
          <w:lang w:val="es-ES"/>
        </w:rPr>
        <w:t>La utilización de equipos que aplican esos parámetros (véase la Nota 1) sólo estará de acuerdo con las disposiciones del Apéndice 18 al RR:</w:t>
      </w:r>
    </w:p>
    <w:p w:rsidR="00312423" w:rsidRPr="005560AF" w:rsidRDefault="00312423" w:rsidP="00312423">
      <w:pPr>
        <w:pStyle w:val="enumlev1"/>
        <w:rPr>
          <w:lang w:val="es-ES"/>
        </w:rPr>
      </w:pPr>
      <w:r w:rsidRPr="005560AF">
        <w:rPr>
          <w:lang w:val="es-ES"/>
        </w:rPr>
        <w:t>–</w:t>
      </w:r>
      <w:r w:rsidRPr="005560AF">
        <w:rPr>
          <w:lang w:val="es-ES"/>
        </w:rPr>
        <w:tab/>
        <w:t>la tolerancia de frecuencia para transmisores de estaciones costera y de barco no debe ser superior a 5 </w:t>
      </w:r>
      <w:r w:rsidRPr="005560AF">
        <w:rPr>
          <w:rFonts w:ascii="Symbol" w:hAnsi="Symbol"/>
          <w:lang w:val="es-ES"/>
        </w:rPr>
        <w:t></w:t>
      </w:r>
      <w:r w:rsidRPr="005560AF">
        <w:rPr>
          <w:lang w:val="es-ES"/>
        </w:rPr>
        <w:t> 10</w:t>
      </w:r>
      <w:r w:rsidRPr="005560AF">
        <w:rPr>
          <w:position w:val="6"/>
          <w:sz w:val="20"/>
          <w:lang w:val="es-ES"/>
        </w:rPr>
        <w:t>–6</w:t>
      </w:r>
      <w:r w:rsidRPr="005560AF">
        <w:rPr>
          <w:lang w:val="es-ES"/>
        </w:rPr>
        <w:t>;</w:t>
      </w:r>
    </w:p>
    <w:p w:rsidR="00312423" w:rsidRPr="005560AF" w:rsidRDefault="00312423" w:rsidP="00312423">
      <w:pPr>
        <w:pStyle w:val="enumlev1"/>
        <w:rPr>
          <w:lang w:val="es-ES"/>
        </w:rPr>
      </w:pPr>
      <w:r w:rsidRPr="005560AF">
        <w:rPr>
          <w:lang w:val="es-ES"/>
        </w:rPr>
        <w:t>–</w:t>
      </w:r>
      <w:r w:rsidRPr="005560AF">
        <w:rPr>
          <w:lang w:val="es-ES"/>
        </w:rPr>
        <w:tab/>
        <w:t xml:space="preserve">la desviación de frecuencia no debe ser superior a </w:t>
      </w:r>
      <w:r w:rsidRPr="005560AF">
        <w:rPr>
          <w:rFonts w:ascii="Symbol" w:hAnsi="Symbol"/>
          <w:lang w:val="es-ES"/>
        </w:rPr>
        <w:t></w:t>
      </w:r>
      <w:r w:rsidRPr="005560AF">
        <w:rPr>
          <w:rFonts w:ascii="Tms Rmn" w:hAnsi="Tms Rmn"/>
          <w:sz w:val="4"/>
          <w:lang w:val="es-ES"/>
        </w:rPr>
        <w:t> </w:t>
      </w:r>
      <w:r w:rsidRPr="005560AF">
        <w:rPr>
          <w:lang w:val="es-ES"/>
        </w:rPr>
        <w:t>2,5 kHz.</w:t>
      </w:r>
    </w:p>
    <w:p w:rsidR="00312423" w:rsidRPr="005560AF" w:rsidRDefault="00312423" w:rsidP="00312423">
      <w:pPr>
        <w:pStyle w:val="Note"/>
        <w:rPr>
          <w:lang w:val="es-ES"/>
        </w:rPr>
      </w:pPr>
      <w:r w:rsidRPr="005560AF">
        <w:rPr>
          <w:lang w:val="es-ES"/>
        </w:rPr>
        <w:t>NOTA 1 – Para información: otras características están basadas en la Norma Europea de Telecomuni</w:t>
      </w:r>
      <w:r w:rsidRPr="005560AF">
        <w:rPr>
          <w:lang w:val="es-ES"/>
        </w:rPr>
        <w:softHyphen/>
        <w:t>caciones (ETS) 300 086 publicada por el Instituto Europeo de Normas de Telecomunicaciones (ETSI).</w:t>
      </w:r>
    </w:p>
    <w:p w:rsidR="00312423" w:rsidRDefault="00312423" w:rsidP="00312423">
      <w:pPr>
        <w:rPr>
          <w:lang w:val="es-ES"/>
        </w:rPr>
      </w:pPr>
    </w:p>
    <w:p w:rsidR="003144B5" w:rsidRDefault="003144B5" w:rsidP="00312423">
      <w:pPr>
        <w:rPr>
          <w:lang w:val="es-ES"/>
        </w:rPr>
      </w:pPr>
    </w:p>
    <w:p w:rsidR="00312423" w:rsidRPr="005560AF" w:rsidRDefault="00312423" w:rsidP="00312423">
      <w:pPr>
        <w:pStyle w:val="AnnexNo"/>
        <w:rPr>
          <w:lang w:val="es-ES"/>
        </w:rPr>
      </w:pPr>
      <w:r w:rsidRPr="005560AF">
        <w:rPr>
          <w:lang w:val="es-ES"/>
        </w:rPr>
        <w:t>ANEXO  2</w:t>
      </w:r>
    </w:p>
    <w:p w:rsidR="00312423" w:rsidRPr="005560AF" w:rsidRDefault="00312423" w:rsidP="00312423">
      <w:pPr>
        <w:pStyle w:val="Annextitle"/>
        <w:rPr>
          <w:lang w:val="es-ES"/>
        </w:rPr>
      </w:pPr>
      <w:r w:rsidRPr="005560AF">
        <w:rPr>
          <w:lang w:val="es-ES"/>
        </w:rPr>
        <w:t>Evolución hacia canales de banda estrecha en el servicio móvil marítimo</w:t>
      </w:r>
    </w:p>
    <w:p w:rsidR="00312423" w:rsidRPr="005560AF" w:rsidRDefault="00312423" w:rsidP="00312423">
      <w:pPr>
        <w:pStyle w:val="Heading1"/>
        <w:rPr>
          <w:lang w:val="es-ES"/>
        </w:rPr>
      </w:pPr>
      <w:r w:rsidRPr="005560AF">
        <w:rPr>
          <w:lang w:val="es-ES"/>
        </w:rPr>
        <w:t>1</w:t>
      </w:r>
      <w:r w:rsidRPr="005560AF">
        <w:rPr>
          <w:lang w:val="es-ES"/>
        </w:rPr>
        <w:tab/>
        <w:t>Introducción</w:t>
      </w:r>
    </w:p>
    <w:p w:rsidR="00312423" w:rsidRPr="005560AF" w:rsidRDefault="00312423" w:rsidP="00312423">
      <w:pPr>
        <w:rPr>
          <w:lang w:val="es-ES"/>
        </w:rPr>
      </w:pPr>
      <w:r w:rsidRPr="005560AF">
        <w:rPr>
          <w:lang w:val="es-ES"/>
        </w:rPr>
        <w:t>El presente Anexo considera la forma en que en el futuro el servicio móvil marítimo puede pasar a una separación de canales de banda estrecha de 5 kHz o 6,25 kHz, utilizando modulación lineal o digital. Se considera la migración a partir de una separación entre canales de 25 kHz, como la utilizada actualmente, y a partir de una separación de 12,5 kHz para tener en cuenta el hecho de que algunas administraciones han utilizado esta separación entre canales como medida provisional.</w:t>
      </w:r>
    </w:p>
    <w:p w:rsidR="00312423" w:rsidRPr="005560AF" w:rsidRDefault="00312423" w:rsidP="00312423">
      <w:pPr>
        <w:pStyle w:val="Heading1"/>
        <w:rPr>
          <w:lang w:val="es-ES"/>
        </w:rPr>
      </w:pPr>
      <w:r w:rsidRPr="005560AF">
        <w:rPr>
          <w:lang w:val="es-ES"/>
        </w:rPr>
        <w:t>2</w:t>
      </w:r>
      <w:r w:rsidRPr="005560AF">
        <w:rPr>
          <w:lang w:val="es-ES"/>
        </w:rPr>
        <w:tab/>
        <w:t>Consecuencias de la evolución hacia canales de banda estrecha</w:t>
      </w:r>
    </w:p>
    <w:p w:rsidR="00312423" w:rsidRPr="005560AF" w:rsidRDefault="00312423" w:rsidP="00312423">
      <w:pPr>
        <w:pStyle w:val="Heading2"/>
        <w:rPr>
          <w:lang w:val="es-ES"/>
        </w:rPr>
      </w:pPr>
      <w:r w:rsidRPr="005560AF">
        <w:rPr>
          <w:lang w:val="es-ES"/>
        </w:rPr>
        <w:t>2.1</w:t>
      </w:r>
      <w:r w:rsidRPr="005560AF">
        <w:rPr>
          <w:lang w:val="es-ES"/>
        </w:rPr>
        <w:tab/>
        <w:t>Transición</w:t>
      </w:r>
    </w:p>
    <w:p w:rsidR="00312423" w:rsidRPr="005560AF" w:rsidRDefault="00312423" w:rsidP="00312423">
      <w:pPr>
        <w:rPr>
          <w:lang w:val="es-ES"/>
        </w:rPr>
      </w:pPr>
      <w:r w:rsidRPr="005560AF">
        <w:rPr>
          <w:lang w:val="es-ES"/>
        </w:rPr>
        <w:t>El método más práctico y menos traumático para pasar de una separación de 25 kHz o 12,5 kHz a otra separación de 5 kHz o 6,25 kHz sería entrelazando los canales de banda estrecha con los de banda más ancha y en todo los casos puede utilizarse una técnica similar. Sin embargo, debido a que las técnicas de modulación lineal y digital que utilizan separaciones de 5 kHz y/o 6,25 kHz son incompatibles con los actuales equipos de MF, durante el periodo de transición sería necesario utilizar modo doble o equipos adicionales.</w:t>
      </w:r>
    </w:p>
    <w:p w:rsidR="00312423" w:rsidRPr="005560AF" w:rsidRDefault="00312423" w:rsidP="00312423">
      <w:pPr>
        <w:pStyle w:val="Heading2"/>
        <w:rPr>
          <w:lang w:val="es-ES"/>
        </w:rPr>
      </w:pPr>
      <w:r w:rsidRPr="005560AF">
        <w:rPr>
          <w:lang w:val="es-ES"/>
        </w:rPr>
        <w:t>2.2</w:t>
      </w:r>
      <w:r w:rsidRPr="005560AF">
        <w:rPr>
          <w:lang w:val="es-ES"/>
        </w:rPr>
        <w:tab/>
        <w:t>Entrelazado</w:t>
      </w:r>
    </w:p>
    <w:p w:rsidR="00312423" w:rsidRPr="005560AF" w:rsidRDefault="00312423" w:rsidP="00312423">
      <w:pPr>
        <w:pStyle w:val="Heading3"/>
        <w:rPr>
          <w:lang w:val="es-ES"/>
        </w:rPr>
      </w:pPr>
      <w:r w:rsidRPr="005560AF">
        <w:rPr>
          <w:lang w:val="es-ES"/>
        </w:rPr>
        <w:t>2.2.1</w:t>
      </w:r>
      <w:r w:rsidRPr="005560AF">
        <w:rPr>
          <w:lang w:val="es-ES"/>
        </w:rPr>
        <w:tab/>
        <w:t>Entrelazado con canales de 25 kHz</w:t>
      </w:r>
    </w:p>
    <w:p w:rsidR="00312423" w:rsidRPr="005560AF" w:rsidRDefault="00312423" w:rsidP="00312423">
      <w:pPr>
        <w:rPr>
          <w:lang w:val="es-ES"/>
        </w:rPr>
      </w:pPr>
      <w:r w:rsidRPr="005560AF">
        <w:rPr>
          <w:lang w:val="es-ES"/>
        </w:rPr>
        <w:t>En las Figs. 1 y 2 se representa la forma en que pueden entrelazarse los canales de 5 kHz y 6,25 kHz con los canales existentes de 25 kHz. Durante el periodo de cambio, será necesario que los barcos y las estaciones costeras incorporen equipos de banda estrecha y vayan utilizando los nuevos canales de banda estrecha a medida que estén disponibles. El número de nuevos canales de banda estrecha aumentará gradualmente durante el periodo de transición, disminuyendo de la forma correspondiente el número disponible de canales de 25 kHz.</w:t>
      </w:r>
    </w:p>
    <w:p w:rsidR="00312423" w:rsidRPr="005560AF" w:rsidRDefault="00312423" w:rsidP="00312423">
      <w:pPr>
        <w:rPr>
          <w:lang w:val="es-ES"/>
        </w:rPr>
      </w:pPr>
      <w:r w:rsidRPr="005560AF">
        <w:rPr>
          <w:lang w:val="es-ES"/>
        </w:rPr>
        <w:br w:type="page"/>
      </w:r>
      <w:r w:rsidRPr="005560AF">
        <w:rPr>
          <w:lang w:val="es-ES"/>
        </w:rPr>
        <w:lastRenderedPageBreak/>
        <w:t>En una fecha especificada todos los canales restantes de 25 kHz deben suprimirse para ser sustituidos por los nuevos.</w:t>
      </w:r>
    </w:p>
    <w:p w:rsidR="00312423" w:rsidRPr="005560AF" w:rsidRDefault="00312423" w:rsidP="00312423">
      <w:pPr>
        <w:rPr>
          <w:lang w:val="es-ES"/>
        </w:rPr>
      </w:pPr>
      <w:r w:rsidRPr="005560AF">
        <w:rPr>
          <w:lang w:val="es-ES"/>
        </w:rPr>
        <w:t>La transición a partir de canales de 25 kHz es bastante directa pero es probable que sea necesario efectuar algún reajuste de los canales o de los bordes de la banda.</w:t>
      </w:r>
    </w:p>
    <w:p w:rsidR="00312423" w:rsidRPr="005560AF" w:rsidRDefault="00312423" w:rsidP="00312423">
      <w:pPr>
        <w:pStyle w:val="FigureNo"/>
        <w:rPr>
          <w:lang w:val="es-ES"/>
        </w:rPr>
      </w:pPr>
      <w:r>
        <w:rPr>
          <w:noProof/>
          <w:lang w:val="en-US" w:eastAsia="zh-CN"/>
        </w:rPr>
        <w:drawing>
          <wp:inline distT="0" distB="0" distL="0" distR="0">
            <wp:extent cx="5783580" cy="5036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3580" cy="5036820"/>
                    </a:xfrm>
                    <a:prstGeom prst="rect">
                      <a:avLst/>
                    </a:prstGeom>
                    <a:noFill/>
                    <a:ln>
                      <a:noFill/>
                    </a:ln>
                  </pic:spPr>
                </pic:pic>
              </a:graphicData>
            </a:graphic>
          </wp:inline>
        </w:drawing>
      </w:r>
    </w:p>
    <w:p w:rsidR="00312423" w:rsidRPr="005560AF" w:rsidRDefault="00312423" w:rsidP="00312423">
      <w:pPr>
        <w:pStyle w:val="Heading3"/>
        <w:rPr>
          <w:lang w:val="es-ES"/>
        </w:rPr>
      </w:pPr>
      <w:r w:rsidRPr="005560AF">
        <w:rPr>
          <w:lang w:val="es-ES"/>
        </w:rPr>
        <w:t>2.2.2</w:t>
      </w:r>
      <w:r w:rsidRPr="005560AF">
        <w:rPr>
          <w:lang w:val="es-ES"/>
        </w:rPr>
        <w:tab/>
        <w:t>Entrelazado con canales de 12,5 kHz</w:t>
      </w:r>
    </w:p>
    <w:p w:rsidR="00312423" w:rsidRPr="005560AF" w:rsidRDefault="00312423" w:rsidP="00312423">
      <w:pPr>
        <w:rPr>
          <w:lang w:val="es-ES"/>
        </w:rPr>
      </w:pPr>
      <w:r w:rsidRPr="005560AF">
        <w:rPr>
          <w:lang w:val="es-ES"/>
        </w:rPr>
        <w:t>Las Figs. 3 y 4 demuestran que el principio para el entrelazado de canales de 5 kHz o de 6,25 kHz con los canales provisionales de 12,5 kHz es exactamente el mismo que en el caso de canales de 25 kHz. No obstante, la transición final es más complicada en el caso de 5 kHz puesto que el canal entrelazado inicialmente en el centro de la banda de 25 kHz debería desplazarse en 2,5 kHz.</w:t>
      </w:r>
    </w:p>
    <w:p w:rsidR="00312423" w:rsidRPr="005560AF" w:rsidRDefault="00312423" w:rsidP="00312423">
      <w:pPr>
        <w:pStyle w:val="Heading3"/>
        <w:rPr>
          <w:lang w:val="es-ES"/>
        </w:rPr>
      </w:pPr>
      <w:r w:rsidRPr="005560AF">
        <w:rPr>
          <w:lang w:val="es-ES"/>
        </w:rPr>
        <w:t>2.2.3</w:t>
      </w:r>
      <w:r w:rsidRPr="005560AF">
        <w:rPr>
          <w:lang w:val="es-ES"/>
        </w:rPr>
        <w:tab/>
        <w:t>Entrelazado con canales de 25 kHz y 12,5 kHz</w:t>
      </w:r>
    </w:p>
    <w:p w:rsidR="00312423" w:rsidRPr="005560AF" w:rsidRDefault="00312423" w:rsidP="00312423">
      <w:pPr>
        <w:rPr>
          <w:lang w:val="es-ES"/>
        </w:rPr>
      </w:pPr>
      <w:r w:rsidRPr="005560AF">
        <w:rPr>
          <w:lang w:val="es-ES"/>
        </w:rPr>
        <w:t>En las administraciones que han introducido como separación entre canales el valor de 12,5 kHz como medida provisional y estos canales de 12,5 kHz se entrelazaron con los de 25 kHz, la futura transición a canales de 5 kHz o de 6,25 kHz será bastante más complicada. Como se representa en la Fig. 5, los nuevos canales de 5 kHz o de 6,25 kHz se superpondrán a uno o a otro de los canales de mayor anchura de banda.</w:t>
      </w:r>
    </w:p>
    <w:p w:rsidR="00312423" w:rsidRPr="005560AF" w:rsidRDefault="00312423" w:rsidP="00312423">
      <w:pPr>
        <w:pStyle w:val="FigureNo"/>
        <w:rPr>
          <w:lang w:val="es-ES"/>
        </w:rPr>
      </w:pPr>
      <w:r w:rsidRPr="005560AF">
        <w:rPr>
          <w:lang w:val="es-ES"/>
        </w:rPr>
        <w:br w:type="page"/>
      </w:r>
      <w:r>
        <w:rPr>
          <w:noProof/>
          <w:lang w:val="en-US" w:eastAsia="zh-CN"/>
        </w:rPr>
        <w:lastRenderedPageBreak/>
        <w:drawing>
          <wp:inline distT="0" distB="0" distL="0" distR="0">
            <wp:extent cx="5783580" cy="5021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3580" cy="5021580"/>
                    </a:xfrm>
                    <a:prstGeom prst="rect">
                      <a:avLst/>
                    </a:prstGeom>
                    <a:noFill/>
                    <a:ln>
                      <a:noFill/>
                    </a:ln>
                  </pic:spPr>
                </pic:pic>
              </a:graphicData>
            </a:graphic>
          </wp:inline>
        </w:drawing>
      </w:r>
    </w:p>
    <w:p w:rsidR="00312423" w:rsidRPr="005560AF" w:rsidRDefault="00312423" w:rsidP="00312423">
      <w:pPr>
        <w:rPr>
          <w:lang w:val="es-ES"/>
        </w:rPr>
      </w:pPr>
    </w:p>
    <w:p w:rsidR="00312423" w:rsidRPr="005560AF" w:rsidRDefault="00312423" w:rsidP="00312423">
      <w:pPr>
        <w:pStyle w:val="FigureNo"/>
        <w:rPr>
          <w:lang w:val="es-ES"/>
        </w:rPr>
      </w:pPr>
      <w:r>
        <w:rPr>
          <w:noProof/>
          <w:lang w:val="en-US" w:eastAsia="zh-CN"/>
        </w:rPr>
        <w:drawing>
          <wp:inline distT="0" distB="0" distL="0" distR="0">
            <wp:extent cx="3970020" cy="3154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0020" cy="3154680"/>
                    </a:xfrm>
                    <a:prstGeom prst="rect">
                      <a:avLst/>
                    </a:prstGeom>
                    <a:noFill/>
                    <a:ln>
                      <a:noFill/>
                    </a:ln>
                  </pic:spPr>
                </pic:pic>
              </a:graphicData>
            </a:graphic>
          </wp:inline>
        </w:drawing>
      </w:r>
    </w:p>
    <w:p w:rsidR="00312423" w:rsidRPr="005560AF" w:rsidRDefault="00312423" w:rsidP="00312423">
      <w:pPr>
        <w:pStyle w:val="Heading1"/>
        <w:spacing w:before="0"/>
        <w:rPr>
          <w:lang w:val="es-ES"/>
        </w:rPr>
      </w:pPr>
      <w:r w:rsidRPr="005560AF">
        <w:rPr>
          <w:lang w:val="es-ES"/>
        </w:rPr>
        <w:br w:type="page"/>
      </w:r>
      <w:r w:rsidRPr="005560AF">
        <w:rPr>
          <w:lang w:val="es-ES"/>
        </w:rPr>
        <w:lastRenderedPageBreak/>
        <w:t>3</w:t>
      </w:r>
      <w:r w:rsidRPr="005560AF">
        <w:rPr>
          <w:lang w:val="es-ES"/>
        </w:rPr>
        <w:tab/>
        <w:t>Interferencia</w:t>
      </w:r>
    </w:p>
    <w:p w:rsidR="00312423" w:rsidRPr="005560AF" w:rsidRDefault="00312423" w:rsidP="00312423">
      <w:pPr>
        <w:rPr>
          <w:lang w:val="es-ES"/>
        </w:rPr>
      </w:pPr>
      <w:r w:rsidRPr="005560AF">
        <w:rPr>
          <w:lang w:val="es-ES"/>
        </w:rPr>
        <w:t>El proceso de entrelazado debe realizarse de forma que se reduzca al mínimo la interferencia mutua. Se han realizado algunas mediciones sobre las características de la interferencia y la calidad de funcionamiento cocanal entre la modulación lineal entrelazada y un sistema MF de 12,5 kHz. No existe ninguna publicación similar para las señales vocales digitales en banda estrecha. Sin embargo, es razonable suponer que el entrelazado de canales de 5 kHz o 6,25 kHz entre los canales de 25 kHz dará lugar a una menor interferencia y a una mejor calidad de funcionamiento cocanal que si dicho entrelazado es entre canales de 12,5 kHz.</w:t>
      </w:r>
    </w:p>
    <w:p w:rsidR="00312423" w:rsidRPr="005560AF" w:rsidRDefault="00312423" w:rsidP="00312423">
      <w:pPr>
        <w:pStyle w:val="Heading1"/>
        <w:rPr>
          <w:lang w:val="es-ES"/>
        </w:rPr>
      </w:pPr>
      <w:r w:rsidRPr="005560AF">
        <w:rPr>
          <w:lang w:val="es-ES"/>
        </w:rPr>
        <w:t>4</w:t>
      </w:r>
      <w:r w:rsidRPr="005560AF">
        <w:rPr>
          <w:lang w:val="es-ES"/>
        </w:rPr>
        <w:tab/>
        <w:t>Conclusiones</w:t>
      </w:r>
    </w:p>
    <w:p w:rsidR="00312423" w:rsidRPr="005560AF" w:rsidRDefault="00312423" w:rsidP="00312423">
      <w:pPr>
        <w:rPr>
          <w:lang w:val="es-ES"/>
        </w:rPr>
      </w:pPr>
      <w:r w:rsidRPr="005560AF">
        <w:rPr>
          <w:lang w:val="es-ES"/>
        </w:rPr>
        <w:t>La transición a canales de 5 kHz o a canales de 6,25 kHz es similar. No obstante, una transición directa a partir de canales de 25 kHz en vez de a través del paso intermedio de los canales de 12,5 kHz es más sencillo puesto que:</w:t>
      </w:r>
    </w:p>
    <w:p w:rsidR="00312423" w:rsidRPr="005560AF" w:rsidRDefault="00312423" w:rsidP="00312423">
      <w:pPr>
        <w:pStyle w:val="enumlev1"/>
        <w:rPr>
          <w:lang w:val="es-ES"/>
        </w:rPr>
      </w:pPr>
      <w:r w:rsidRPr="005560AF">
        <w:rPr>
          <w:lang w:val="es-ES"/>
        </w:rPr>
        <w:t>–</w:t>
      </w:r>
      <w:r w:rsidRPr="005560AF">
        <w:rPr>
          <w:lang w:val="es-ES"/>
        </w:rPr>
        <w:tab/>
        <w:t>exige una menor planificación de canales y un menor reajuste de las frecuencias centrales;</w:t>
      </w:r>
    </w:p>
    <w:p w:rsidR="00312423" w:rsidRPr="005560AF" w:rsidRDefault="00312423" w:rsidP="00312423">
      <w:pPr>
        <w:pStyle w:val="enumlev1"/>
        <w:rPr>
          <w:lang w:val="es-ES"/>
        </w:rPr>
      </w:pPr>
      <w:r w:rsidRPr="005560AF">
        <w:rPr>
          <w:lang w:val="es-ES"/>
        </w:rPr>
        <w:t>–</w:t>
      </w:r>
      <w:r w:rsidRPr="005560AF">
        <w:rPr>
          <w:lang w:val="es-ES"/>
        </w:rPr>
        <w:tab/>
        <w:t>impide la superposición de canales si, como medida provisional, se hubiesen entrelazado los canales de 12,5 kHz con los de 25 kHz;</w:t>
      </w:r>
    </w:p>
    <w:p w:rsidR="00312423" w:rsidRPr="005560AF" w:rsidRDefault="00312423" w:rsidP="00312423">
      <w:pPr>
        <w:pStyle w:val="enumlev1"/>
        <w:rPr>
          <w:lang w:val="es-ES"/>
        </w:rPr>
      </w:pPr>
      <w:r w:rsidRPr="005560AF">
        <w:rPr>
          <w:lang w:val="es-ES"/>
        </w:rPr>
        <w:t>–</w:t>
      </w:r>
      <w:r w:rsidRPr="005560AF">
        <w:rPr>
          <w:lang w:val="es-ES"/>
        </w:rPr>
        <w:tab/>
        <w:t>probablemente sería menor la posible interferencia.</w:t>
      </w:r>
    </w:p>
    <w:p w:rsidR="00312423" w:rsidRPr="005560AF" w:rsidRDefault="00312423" w:rsidP="00312423">
      <w:pPr>
        <w:rPr>
          <w:lang w:val="es-ES"/>
        </w:rPr>
      </w:pPr>
      <w:r w:rsidRPr="005560AF">
        <w:rPr>
          <w:lang w:val="es-ES"/>
        </w:rPr>
        <w:t>Evidentemente, el entrelazado de canales deberá planificarse cuidadosamente y será muy importante la utilización de instrumentos de planificación de frecuencias. Serán necesarios más estudios y medidas prácticas para obtener la información necesaria.</w:t>
      </w:r>
    </w:p>
    <w:p w:rsidR="00312423" w:rsidRDefault="00312423" w:rsidP="00312423">
      <w:pPr>
        <w:rPr>
          <w:lang w:val="es-ES"/>
        </w:rPr>
      </w:pPr>
    </w:p>
    <w:p w:rsidR="003144B5" w:rsidRDefault="003144B5" w:rsidP="00312423">
      <w:pPr>
        <w:rPr>
          <w:lang w:val="es-ES"/>
        </w:rPr>
      </w:pPr>
    </w:p>
    <w:p w:rsidR="003144B5" w:rsidRPr="005560AF" w:rsidRDefault="003144B5" w:rsidP="00312423">
      <w:pPr>
        <w:rPr>
          <w:lang w:val="es-ES"/>
        </w:rPr>
      </w:pPr>
    </w:p>
    <w:p w:rsidR="00312423" w:rsidRPr="005560AF" w:rsidRDefault="00312423" w:rsidP="00312423">
      <w:pPr>
        <w:pStyle w:val="AnnexNo"/>
        <w:rPr>
          <w:lang w:val="es-ES"/>
        </w:rPr>
      </w:pPr>
      <w:r w:rsidRPr="005560AF">
        <w:rPr>
          <w:lang w:val="es-ES"/>
        </w:rPr>
        <w:t>ANEXO  3</w:t>
      </w:r>
    </w:p>
    <w:p w:rsidR="00312423" w:rsidRPr="005560AF" w:rsidRDefault="00312423" w:rsidP="00312423">
      <w:pPr>
        <w:pStyle w:val="Annextitle"/>
        <w:rPr>
          <w:lang w:val="es-ES"/>
        </w:rPr>
      </w:pPr>
      <w:r w:rsidRPr="005560AF">
        <w:rPr>
          <w:lang w:val="es-ES"/>
        </w:rPr>
        <w:t>Ejemplo de método para efectuar el intercalado de canales de banda estrecha</w:t>
      </w:r>
      <w:r w:rsidRPr="005560AF">
        <w:rPr>
          <w:lang w:val="es-ES"/>
        </w:rPr>
        <w:br/>
        <w:t>con separación entre canales desplazados en 12,5 kHz</w:t>
      </w:r>
    </w:p>
    <w:p w:rsidR="00312423" w:rsidRPr="005560AF" w:rsidRDefault="00312423" w:rsidP="00312423">
      <w:pPr>
        <w:pStyle w:val="Normalaftertitle"/>
        <w:rPr>
          <w:lang w:val="es-ES"/>
        </w:rPr>
      </w:pPr>
      <w:r w:rsidRPr="005560AF">
        <w:rPr>
          <w:lang w:val="es-ES"/>
        </w:rPr>
        <w:t>Este método puede utilizarse cuando se incluye el funcionamiento en 12,5 kHz junto con la llamada selectiva digital (LLSD) (véase la Nota 1) y el funcionamiento en 25 kHz en un solo equipo.</w:t>
      </w:r>
    </w:p>
    <w:p w:rsidR="00312423" w:rsidRPr="005560AF" w:rsidRDefault="00312423" w:rsidP="00312423">
      <w:pPr>
        <w:pStyle w:val="Note"/>
        <w:rPr>
          <w:lang w:val="es-ES"/>
        </w:rPr>
      </w:pPr>
      <w:r w:rsidRPr="005560AF">
        <w:rPr>
          <w:lang w:val="es-ES"/>
        </w:rPr>
        <w:t>NOTA 1 – La LLSD se ajusta plenamente en esta realización a las Recomendaciones UIT</w:t>
      </w:r>
      <w:r w:rsidRPr="005560AF">
        <w:rPr>
          <w:lang w:val="es-ES"/>
        </w:rPr>
        <w:noBreakHyphen/>
        <w:t>R M.493, UIT</w:t>
      </w:r>
      <w:r w:rsidRPr="005560AF">
        <w:rPr>
          <w:lang w:val="es-ES"/>
        </w:rPr>
        <w:noBreakHyphen/>
        <w:t>R M.541, UIT</w:t>
      </w:r>
      <w:r w:rsidRPr="005560AF">
        <w:rPr>
          <w:lang w:val="es-ES"/>
        </w:rPr>
        <w:noBreakHyphen/>
        <w:t>R M.821 y UIT</w:t>
      </w:r>
      <w:r w:rsidRPr="005560AF">
        <w:rPr>
          <w:lang w:val="es-ES"/>
        </w:rPr>
        <w:noBreakHyphen/>
        <w:t>R M.825.</w:t>
      </w:r>
    </w:p>
    <w:p w:rsidR="00312423" w:rsidRPr="005560AF" w:rsidRDefault="00312423" w:rsidP="00312423">
      <w:pPr>
        <w:pStyle w:val="Heading1"/>
        <w:rPr>
          <w:lang w:val="es-ES"/>
        </w:rPr>
      </w:pPr>
      <w:r w:rsidRPr="005560AF">
        <w:rPr>
          <w:lang w:val="es-ES"/>
        </w:rPr>
        <w:t>1</w:t>
      </w:r>
      <w:r w:rsidRPr="005560AF">
        <w:rPr>
          <w:lang w:val="es-ES"/>
        </w:rPr>
        <w:tab/>
        <w:t>Calidad de funcionamiento del receptor</w:t>
      </w:r>
    </w:p>
    <w:p w:rsidR="00312423" w:rsidRPr="005560AF" w:rsidRDefault="00312423" w:rsidP="00312423">
      <w:pPr>
        <w:rPr>
          <w:lang w:val="es-ES"/>
        </w:rPr>
      </w:pPr>
      <w:r w:rsidRPr="005560AF">
        <w:rPr>
          <w:b/>
          <w:lang w:val="es-ES"/>
        </w:rPr>
        <w:t>1.1</w:t>
      </w:r>
      <w:r w:rsidRPr="005560AF">
        <w:rPr>
          <w:lang w:val="es-ES"/>
        </w:rPr>
        <w:tab/>
        <w:t xml:space="preserve">La sensibilidad debe ser igual o inferior a 0,3 </w:t>
      </w:r>
      <w:r w:rsidRPr="005560AF">
        <w:rPr>
          <w:rFonts w:ascii="Symbol" w:hAnsi="Symbol"/>
          <w:lang w:val="es-ES"/>
        </w:rPr>
        <w:t></w:t>
      </w:r>
      <w:r w:rsidRPr="005560AF">
        <w:rPr>
          <w:lang w:val="es-ES"/>
        </w:rPr>
        <w:t xml:space="preserve">V para una relación señal </w:t>
      </w:r>
      <w:r w:rsidRPr="005560AF">
        <w:rPr>
          <w:rFonts w:ascii="Symbol" w:hAnsi="Symbol"/>
          <w:lang w:val="es-ES"/>
        </w:rPr>
        <w:t></w:t>
      </w:r>
      <w:r w:rsidRPr="005560AF">
        <w:rPr>
          <w:lang w:val="es-ES"/>
        </w:rPr>
        <w:t xml:space="preserve"> ruido </w:t>
      </w:r>
      <w:r w:rsidRPr="005560AF">
        <w:rPr>
          <w:rFonts w:ascii="Symbol" w:hAnsi="Symbol"/>
          <w:lang w:val="es-ES"/>
        </w:rPr>
        <w:t></w:t>
      </w:r>
      <w:r w:rsidRPr="005560AF">
        <w:rPr>
          <w:lang w:val="es-ES"/>
        </w:rPr>
        <w:t xml:space="preserve"> distorsión/ruido </w:t>
      </w:r>
      <w:r w:rsidRPr="005560AF">
        <w:rPr>
          <w:rFonts w:ascii="Symbol" w:hAnsi="Symbol"/>
          <w:lang w:val="es-ES"/>
        </w:rPr>
        <w:t></w:t>
      </w:r>
      <w:r w:rsidRPr="005560AF">
        <w:rPr>
          <w:lang w:val="es-ES"/>
        </w:rPr>
        <w:t xml:space="preserve"> distorsión (SINAD) de 12 dB en la salida del receptor con un tono de modulación de frecuencia de banda estrecha (MFBE) de 1 kHz y una desviación de cresta de 2 kHz.</w:t>
      </w:r>
    </w:p>
    <w:p w:rsidR="00312423" w:rsidRPr="005560AF" w:rsidRDefault="00312423" w:rsidP="00312423">
      <w:pPr>
        <w:rPr>
          <w:lang w:val="es-ES"/>
        </w:rPr>
      </w:pPr>
      <w:r w:rsidRPr="005560AF">
        <w:rPr>
          <w:b/>
          <w:lang w:val="es-ES"/>
        </w:rPr>
        <w:t>1.2</w:t>
      </w:r>
      <w:r w:rsidRPr="005560AF">
        <w:rPr>
          <w:lang w:val="es-ES"/>
        </w:rPr>
        <w:tab/>
        <w:t>El rechazo del canal adyacente debe ser por lo menos de 70 dB para un canal adyacente separado en 12,5 kHz.</w:t>
      </w:r>
    </w:p>
    <w:p w:rsidR="00312423" w:rsidRPr="005560AF" w:rsidRDefault="00312423" w:rsidP="00312423">
      <w:pPr>
        <w:rPr>
          <w:lang w:val="es-ES"/>
        </w:rPr>
      </w:pPr>
      <w:r w:rsidRPr="005560AF">
        <w:rPr>
          <w:b/>
          <w:lang w:val="es-ES"/>
        </w:rPr>
        <w:t>1.3</w:t>
      </w:r>
      <w:r w:rsidRPr="005560AF">
        <w:rPr>
          <w:lang w:val="es-ES"/>
        </w:rPr>
        <w:tab/>
        <w:t>La respuesta no esencial y la relación de rechazo fuera de banda debe ser de por lo menos 75 dB.</w:t>
      </w:r>
    </w:p>
    <w:p w:rsidR="00312423" w:rsidRPr="005560AF" w:rsidRDefault="00312423" w:rsidP="00312423">
      <w:pPr>
        <w:rPr>
          <w:lang w:val="es-ES"/>
        </w:rPr>
      </w:pPr>
      <w:r w:rsidRPr="005560AF">
        <w:rPr>
          <w:b/>
          <w:lang w:val="es-ES"/>
        </w:rPr>
        <w:br w:type="page"/>
      </w:r>
      <w:r w:rsidRPr="005560AF">
        <w:rPr>
          <w:b/>
          <w:lang w:val="es-ES"/>
        </w:rPr>
        <w:lastRenderedPageBreak/>
        <w:t>1.4</w:t>
      </w:r>
      <w:r w:rsidRPr="005560AF">
        <w:rPr>
          <w:b/>
          <w:lang w:val="es-ES"/>
        </w:rPr>
        <w:tab/>
      </w:r>
      <w:r w:rsidRPr="005560AF">
        <w:rPr>
          <w:lang w:val="es-ES"/>
        </w:rPr>
        <w:t>La relación de rechazo de intermodulación de la frecuencia radioeléctrica debe ser de por lo menos 75 dB.</w:t>
      </w:r>
    </w:p>
    <w:p w:rsidR="00312423" w:rsidRPr="005560AF" w:rsidRDefault="00312423" w:rsidP="00312423">
      <w:pPr>
        <w:rPr>
          <w:lang w:val="es-ES"/>
        </w:rPr>
      </w:pPr>
      <w:r w:rsidRPr="005560AF">
        <w:rPr>
          <w:b/>
          <w:lang w:val="es-ES"/>
        </w:rPr>
        <w:t>1.5</w:t>
      </w:r>
      <w:r w:rsidRPr="005560AF">
        <w:rPr>
          <w:lang w:val="es-ES"/>
        </w:rPr>
        <w:tab/>
        <w:t>La potencia de cualquier emisión no esencial por conducción, medida en los terminales de antena, no debe exceder de 2,0 nW en ninguna frecuencia discreta.</w:t>
      </w:r>
    </w:p>
    <w:p w:rsidR="00312423" w:rsidRPr="005560AF" w:rsidRDefault="00312423" w:rsidP="00312423">
      <w:pPr>
        <w:rPr>
          <w:lang w:val="es-ES"/>
        </w:rPr>
      </w:pPr>
      <w:r w:rsidRPr="005560AF">
        <w:rPr>
          <w:b/>
          <w:lang w:val="es-ES"/>
        </w:rPr>
        <w:t>1.6</w:t>
      </w:r>
      <w:r w:rsidRPr="005560AF">
        <w:rPr>
          <w:b/>
          <w:lang w:val="es-ES"/>
        </w:rPr>
        <w:tab/>
      </w:r>
      <w:r w:rsidRPr="005560AF">
        <w:rPr>
          <w:lang w:val="es-ES"/>
        </w:rPr>
        <w:t xml:space="preserve">La potencia radiada aparente (p.r.a.) de cualquier emisión no esencial radiada en el bastidor del equipo para cualquier frecuencia de hasta </w:t>
      </w:r>
      <w:r w:rsidRPr="005560AF">
        <w:rPr>
          <w:rFonts w:ascii="Symbol" w:hAnsi="Symbol"/>
          <w:lang w:val="es-ES"/>
        </w:rPr>
        <w:t></w:t>
      </w:r>
      <w:r w:rsidRPr="005560AF">
        <w:rPr>
          <w:rFonts w:ascii="Tms Rmn" w:hAnsi="Tms Rmn"/>
          <w:sz w:val="8"/>
          <w:lang w:val="es-ES"/>
        </w:rPr>
        <w:t> </w:t>
      </w:r>
      <w:r w:rsidRPr="005560AF">
        <w:rPr>
          <w:lang w:val="es-ES"/>
        </w:rPr>
        <w:t>70 MHz con respecto a la portadora no debe exceder de 10 nW. Si la frecuencia dista más de 70 MHz de la portadora, las emisiones no esenciales no deben exceder 10 nW más un valor adicional de –6 dB/octava para frecuencias de hasta 1</w:t>
      </w:r>
      <w:r w:rsidRPr="005560AF">
        <w:rPr>
          <w:rFonts w:ascii="Tms Rmn" w:hAnsi="Tms Rmn"/>
          <w:sz w:val="12"/>
          <w:lang w:val="es-ES"/>
        </w:rPr>
        <w:t> </w:t>
      </w:r>
      <w:r w:rsidRPr="005560AF">
        <w:rPr>
          <w:lang w:val="es-ES"/>
        </w:rPr>
        <w:t>000 MHz.</w:t>
      </w:r>
    </w:p>
    <w:p w:rsidR="00312423" w:rsidRPr="005560AF" w:rsidRDefault="00312423" w:rsidP="00312423">
      <w:pPr>
        <w:rPr>
          <w:lang w:val="es-ES"/>
        </w:rPr>
      </w:pPr>
      <w:r w:rsidRPr="005560AF">
        <w:rPr>
          <w:b/>
          <w:lang w:val="es-ES"/>
        </w:rPr>
        <w:t>1.7</w:t>
      </w:r>
      <w:r w:rsidRPr="005560AF">
        <w:rPr>
          <w:lang w:val="es-ES"/>
        </w:rPr>
        <w:tab/>
        <w:t xml:space="preserve">Para receptores con LLSD y capacidad de modulación de frecuencia de envolvente constante de cuatro niveles (C4FM). (La modulación digital C4FM es compatible en esta realización con la modulación de manipulación por desplazamiento de fase cuaternaria coherente (CQPSK, </w:t>
      </w:r>
      <w:r w:rsidRPr="005560AF">
        <w:rPr>
          <w:i/>
          <w:iCs/>
          <w:lang w:val="es-ES"/>
        </w:rPr>
        <w:t>compatible quadrature phase-shift key</w:t>
      </w:r>
      <w:r w:rsidRPr="005560AF">
        <w:rPr>
          <w:lang w:val="es-ES"/>
        </w:rPr>
        <w:t>) tanto para la transmisión como para la recepción.)</w:t>
      </w:r>
    </w:p>
    <w:p w:rsidR="00312423" w:rsidRPr="005560AF" w:rsidRDefault="00312423" w:rsidP="00312423">
      <w:pPr>
        <w:rPr>
          <w:lang w:val="es-ES"/>
        </w:rPr>
      </w:pPr>
      <w:r w:rsidRPr="005560AF">
        <w:rPr>
          <w:b/>
          <w:lang w:val="es-ES"/>
        </w:rPr>
        <w:t>1.7.1</w:t>
      </w:r>
      <w:r w:rsidRPr="005560AF">
        <w:rPr>
          <w:lang w:val="es-ES"/>
        </w:rPr>
        <w:tab/>
        <w:t>Para la LLSD en canales de 25 kHz, el receptor debe alcanzar una recepción sin error de cualquier paquete de datos de LLSD en 0,3 </w:t>
      </w:r>
      <w:r w:rsidRPr="005560AF">
        <w:rPr>
          <w:rFonts w:ascii="Symbol" w:hAnsi="Symbol"/>
          <w:lang w:val="es-ES"/>
        </w:rPr>
        <w:t></w:t>
      </w:r>
      <w:r w:rsidRPr="005560AF">
        <w:rPr>
          <w:lang w:val="es-ES"/>
        </w:rPr>
        <w:t>V.</w:t>
      </w:r>
    </w:p>
    <w:p w:rsidR="00312423" w:rsidRPr="005560AF" w:rsidRDefault="00312423" w:rsidP="00312423">
      <w:pPr>
        <w:rPr>
          <w:lang w:val="es-ES"/>
        </w:rPr>
      </w:pPr>
      <w:r w:rsidRPr="005560AF">
        <w:rPr>
          <w:b/>
          <w:lang w:val="es-ES"/>
        </w:rPr>
        <w:t>1.7.2</w:t>
      </w:r>
      <w:r w:rsidRPr="005560AF">
        <w:rPr>
          <w:lang w:val="es-ES"/>
        </w:rPr>
        <w:tab/>
        <w:t xml:space="preserve">Para la LLSD en canales entrelazados (desplazamiento de 12,5 kHz), el receptor debe alcanzar una recepción sin error de un paquete de datos de LLSD en 0,3 </w:t>
      </w:r>
      <w:r w:rsidRPr="005560AF">
        <w:rPr>
          <w:rFonts w:ascii="Symbol" w:hAnsi="Symbol"/>
          <w:lang w:val="es-ES"/>
        </w:rPr>
        <w:t></w:t>
      </w:r>
      <w:r w:rsidRPr="005560AF">
        <w:rPr>
          <w:lang w:val="es-ES"/>
        </w:rPr>
        <w:t xml:space="preserve">V con una desviación máxima reducida de </w:t>
      </w:r>
      <w:r w:rsidRPr="005560AF">
        <w:rPr>
          <w:rFonts w:ascii="Symbol" w:hAnsi="Symbol"/>
          <w:lang w:val="es-ES"/>
        </w:rPr>
        <w:t></w:t>
      </w:r>
      <w:r w:rsidRPr="005560AF">
        <w:rPr>
          <w:rFonts w:ascii="Tms Rmn" w:hAnsi="Tms Rmn"/>
          <w:sz w:val="4"/>
          <w:lang w:val="es-ES"/>
        </w:rPr>
        <w:t> </w:t>
      </w:r>
      <w:r w:rsidRPr="005560AF">
        <w:rPr>
          <w:lang w:val="es-ES"/>
        </w:rPr>
        <w:t>2,5 kHz.</w:t>
      </w:r>
    </w:p>
    <w:p w:rsidR="00312423" w:rsidRPr="005560AF" w:rsidRDefault="00312423" w:rsidP="00312423">
      <w:pPr>
        <w:rPr>
          <w:lang w:val="es-ES"/>
        </w:rPr>
      </w:pPr>
      <w:r w:rsidRPr="005560AF">
        <w:rPr>
          <w:b/>
          <w:lang w:val="es-ES"/>
        </w:rPr>
        <w:t>1.7.3</w:t>
      </w:r>
      <w:r w:rsidRPr="005560AF">
        <w:rPr>
          <w:lang w:val="es-ES"/>
        </w:rPr>
        <w:tab/>
        <w:t>Para la C4FM en 9</w:t>
      </w:r>
      <w:r w:rsidRPr="005560AF">
        <w:rPr>
          <w:rFonts w:ascii="Tms Rmn" w:hAnsi="Tms Rmn"/>
          <w:sz w:val="12"/>
          <w:lang w:val="es-ES"/>
        </w:rPr>
        <w:t> </w:t>
      </w:r>
      <w:r w:rsidRPr="005560AF">
        <w:rPr>
          <w:lang w:val="es-ES"/>
        </w:rPr>
        <w:t xml:space="preserve">600 bit/s, el receptor debe alcanzar una recepción sin error de un paquete de datos de 512 caracteres en 0,5 </w:t>
      </w:r>
      <w:r w:rsidRPr="005560AF">
        <w:rPr>
          <w:rFonts w:ascii="Symbol" w:hAnsi="Symbol"/>
          <w:lang w:val="es-ES"/>
        </w:rPr>
        <w:t></w:t>
      </w:r>
      <w:r w:rsidRPr="005560AF">
        <w:rPr>
          <w:lang w:val="es-ES"/>
        </w:rPr>
        <w:t>V. Para lograr la recepción sin error puede aplicarse la corrección de errores en recepción sin canal de retorno (FEC).</w:t>
      </w:r>
    </w:p>
    <w:p w:rsidR="00312423" w:rsidRPr="005560AF" w:rsidRDefault="00312423" w:rsidP="00312423">
      <w:pPr>
        <w:pStyle w:val="Heading1"/>
        <w:rPr>
          <w:lang w:val="es-ES"/>
        </w:rPr>
      </w:pPr>
      <w:r w:rsidRPr="005560AF">
        <w:rPr>
          <w:lang w:val="es-ES"/>
        </w:rPr>
        <w:t>2</w:t>
      </w:r>
      <w:r w:rsidRPr="005560AF">
        <w:rPr>
          <w:lang w:val="es-ES"/>
        </w:rPr>
        <w:tab/>
        <w:t>Calidad de funcionamiento del transmisor</w:t>
      </w:r>
    </w:p>
    <w:p w:rsidR="00312423" w:rsidRPr="005560AF" w:rsidRDefault="00312423" w:rsidP="00312423">
      <w:pPr>
        <w:rPr>
          <w:lang w:val="es-ES"/>
        </w:rPr>
      </w:pPr>
      <w:r w:rsidRPr="005560AF">
        <w:rPr>
          <w:b/>
          <w:lang w:val="es-ES"/>
        </w:rPr>
        <w:t>2.1</w:t>
      </w:r>
      <w:r w:rsidRPr="005560AF">
        <w:rPr>
          <w:lang w:val="es-ES"/>
        </w:rPr>
        <w:tab/>
        <w:t>La tolerancia de frecuencia de los transmisores de estaciones costeras no debe exceder de 1 × 10</w:t>
      </w:r>
      <w:r w:rsidRPr="005560AF">
        <w:rPr>
          <w:position w:val="6"/>
          <w:sz w:val="20"/>
          <w:lang w:val="es-ES"/>
        </w:rPr>
        <w:t>–6</w:t>
      </w:r>
      <w:r w:rsidRPr="005560AF">
        <w:rPr>
          <w:lang w:val="es-ES"/>
        </w:rPr>
        <w:t xml:space="preserve"> y la de las transmisiones en estaciones de barco no debe exceder de 5 × 10</w:t>
      </w:r>
      <w:r w:rsidRPr="005560AF">
        <w:rPr>
          <w:position w:val="6"/>
          <w:sz w:val="20"/>
          <w:lang w:val="es-ES"/>
        </w:rPr>
        <w:t>–6</w:t>
      </w:r>
      <w:r w:rsidRPr="005560AF">
        <w:rPr>
          <w:lang w:val="es-ES"/>
        </w:rPr>
        <w:t>.</w:t>
      </w:r>
    </w:p>
    <w:p w:rsidR="00312423" w:rsidRPr="005560AF" w:rsidRDefault="00312423" w:rsidP="00312423">
      <w:pPr>
        <w:rPr>
          <w:lang w:val="es-ES"/>
        </w:rPr>
      </w:pPr>
      <w:r w:rsidRPr="005560AF">
        <w:rPr>
          <w:b/>
          <w:lang w:val="es-ES"/>
        </w:rPr>
        <w:t>2.2</w:t>
      </w:r>
      <w:r w:rsidRPr="005560AF">
        <w:rPr>
          <w:lang w:val="es-ES"/>
        </w:rPr>
        <w:tab/>
        <w:t>Las emisiones no esenciales en frecuencias discretas, cuando están medidas en una carga no reactiva igual a la impedancia de salida nominal del transmisor, deben ajustarse a las disposiciones del Apéndice 3 al RR.</w:t>
      </w:r>
    </w:p>
    <w:p w:rsidR="00312423" w:rsidRPr="005560AF" w:rsidRDefault="00312423" w:rsidP="00312423">
      <w:pPr>
        <w:rPr>
          <w:lang w:val="es-ES"/>
        </w:rPr>
      </w:pPr>
      <w:r w:rsidRPr="005560AF">
        <w:rPr>
          <w:b/>
          <w:lang w:val="es-ES"/>
        </w:rPr>
        <w:t>2.3</w:t>
      </w:r>
      <w:r w:rsidRPr="005560AF">
        <w:rPr>
          <w:lang w:val="es-ES"/>
        </w:rPr>
        <w:tab/>
        <w:t>La potencia de la portadora de los transmisores de estaciones costeras no debe exceder normalmente de 50 W (p.r.a.).</w:t>
      </w:r>
    </w:p>
    <w:p w:rsidR="00312423" w:rsidRPr="005560AF" w:rsidRDefault="00312423" w:rsidP="00312423">
      <w:pPr>
        <w:rPr>
          <w:lang w:val="es-ES"/>
        </w:rPr>
      </w:pPr>
      <w:r w:rsidRPr="005560AF">
        <w:rPr>
          <w:b/>
          <w:lang w:val="es-ES"/>
        </w:rPr>
        <w:t>2.4</w:t>
      </w:r>
      <w:r w:rsidRPr="005560AF">
        <w:rPr>
          <w:lang w:val="es-ES"/>
        </w:rPr>
        <w:tab/>
        <w:t>La potencia de la portadora de los transmisores de estaciones de barco no debe exceder de 25 W y se deben proporcionar los medios necesarios para reducir fácilmente esta potencia a 1 W o menos para distancias cortas.</w:t>
      </w:r>
    </w:p>
    <w:p w:rsidR="00312423" w:rsidRPr="005560AF" w:rsidRDefault="00312423" w:rsidP="00312423">
      <w:pPr>
        <w:rPr>
          <w:lang w:val="es-ES"/>
        </w:rPr>
      </w:pPr>
      <w:r w:rsidRPr="005560AF">
        <w:rPr>
          <w:b/>
          <w:lang w:val="es-ES"/>
        </w:rPr>
        <w:t>2.5</w:t>
      </w:r>
      <w:r w:rsidRPr="005560AF">
        <w:rPr>
          <w:lang w:val="es-ES"/>
        </w:rPr>
        <w:tab/>
        <w:t xml:space="preserve">La desviación de frecuencia no debe exceder de </w:t>
      </w:r>
      <w:r w:rsidRPr="005560AF">
        <w:rPr>
          <w:rFonts w:ascii="Symbol" w:hAnsi="Symbol"/>
          <w:lang w:val="es-ES"/>
        </w:rPr>
        <w:t></w:t>
      </w:r>
      <w:r w:rsidRPr="005560AF">
        <w:rPr>
          <w:rFonts w:ascii="Tms Rmn" w:hAnsi="Tms Rmn"/>
          <w:sz w:val="4"/>
          <w:lang w:val="es-ES"/>
        </w:rPr>
        <w:t> </w:t>
      </w:r>
      <w:r w:rsidRPr="005560AF">
        <w:rPr>
          <w:lang w:val="es-ES"/>
        </w:rPr>
        <w:t>2,5 kHz cuando se transmite por canales de 12,5 kHz de MFBE. La anchura de banda ocupada en estos canales no debe exceder de 11 kHz. Se deben utilizar circuitos limitadores de la desviación de modo que la desviación de frecuencia máxima alcanzable sea independiente de la frecuencia de la señal audio de entrada. Si se emplea un conmutador de modulación, se debe permitir una desviación de </w:t>
      </w:r>
      <w:r w:rsidRPr="005560AF">
        <w:rPr>
          <w:rFonts w:ascii="Symbol" w:hAnsi="Symbol"/>
          <w:lang w:val="es-ES"/>
        </w:rPr>
        <w:t></w:t>
      </w:r>
      <w:r w:rsidRPr="005560AF">
        <w:rPr>
          <w:rFonts w:ascii="Tms Rmn" w:hAnsi="Tms Rmn"/>
          <w:sz w:val="4"/>
          <w:lang w:val="es-ES"/>
        </w:rPr>
        <w:t> </w:t>
      </w:r>
      <w:r w:rsidRPr="005560AF">
        <w:rPr>
          <w:lang w:val="es-ES"/>
        </w:rPr>
        <w:t>5 kHz en los canales de 25 kHz de modulación de frecuencia de banda ancha (MFBA).</w:t>
      </w:r>
    </w:p>
    <w:p w:rsidR="00312423" w:rsidRPr="005560AF" w:rsidRDefault="00312423" w:rsidP="00312423">
      <w:pPr>
        <w:rPr>
          <w:lang w:val="es-ES"/>
        </w:rPr>
      </w:pPr>
      <w:r w:rsidRPr="005560AF">
        <w:rPr>
          <w:b/>
          <w:lang w:val="es-ES"/>
        </w:rPr>
        <w:t>2.6</w:t>
      </w:r>
      <w:r w:rsidRPr="005560AF">
        <w:rPr>
          <w:lang w:val="es-ES"/>
        </w:rPr>
        <w:tab/>
        <w:t>El límite superior de la banda de frecuencia de audio no debe exceder de 3 kHz.</w:t>
      </w:r>
    </w:p>
    <w:p w:rsidR="00312423" w:rsidRPr="005560AF" w:rsidRDefault="00312423" w:rsidP="00312423">
      <w:pPr>
        <w:rPr>
          <w:lang w:val="es-ES"/>
        </w:rPr>
      </w:pPr>
      <w:r w:rsidRPr="005560AF">
        <w:rPr>
          <w:b/>
          <w:lang w:val="es-ES"/>
        </w:rPr>
        <w:t>2.7</w:t>
      </w:r>
      <w:r w:rsidRPr="005560AF">
        <w:rPr>
          <w:lang w:val="es-ES"/>
        </w:rPr>
        <w:tab/>
        <w:t>La potencia radiada del bastidor del equipo no debe exceder de 25 </w:t>
      </w:r>
      <w:r w:rsidRPr="005560AF">
        <w:rPr>
          <w:rFonts w:ascii="Symbol" w:hAnsi="Symbol"/>
          <w:lang w:val="es-ES"/>
        </w:rPr>
        <w:t></w:t>
      </w:r>
      <w:r w:rsidRPr="005560AF">
        <w:rPr>
          <w:lang w:val="es-ES"/>
        </w:rPr>
        <w:t>W.</w:t>
      </w:r>
    </w:p>
    <w:p w:rsidR="00312423" w:rsidRPr="005560AF" w:rsidRDefault="00312423" w:rsidP="00312423">
      <w:pPr>
        <w:rPr>
          <w:lang w:val="es-ES"/>
        </w:rPr>
      </w:pPr>
      <w:r w:rsidRPr="005560AF">
        <w:rPr>
          <w:b/>
          <w:lang w:val="es-ES"/>
        </w:rPr>
        <w:t>2.8</w:t>
      </w:r>
      <w:r w:rsidRPr="005560AF">
        <w:rPr>
          <w:lang w:val="es-ES"/>
        </w:rPr>
        <w:tab/>
        <w:t>Las transmisiones vocales deben efectuarse por medio de la banda marítima MF de ondas métricas corriente con una preacentuación de 6 dB/octava. Esto es necesario para garantizar comunicaciones fiables, seguras y de interfun</w:t>
      </w:r>
      <w:r w:rsidRPr="005560AF">
        <w:rPr>
          <w:lang w:val="es-ES"/>
        </w:rPr>
        <w:softHyphen/>
        <w:t>cionamiento en alta mar y en rutas acuáticas.</w:t>
      </w:r>
    </w:p>
    <w:p w:rsidR="00312423" w:rsidRPr="005560AF" w:rsidRDefault="00312423" w:rsidP="00312423">
      <w:pPr>
        <w:pStyle w:val="Heading2"/>
        <w:rPr>
          <w:lang w:val="es-ES"/>
        </w:rPr>
      </w:pPr>
      <w:r w:rsidRPr="005560AF">
        <w:rPr>
          <w:lang w:val="es-ES"/>
        </w:rPr>
        <w:br w:type="page"/>
      </w:r>
      <w:r w:rsidRPr="005560AF">
        <w:rPr>
          <w:lang w:val="es-ES"/>
        </w:rPr>
        <w:lastRenderedPageBreak/>
        <w:t>2.9</w:t>
      </w:r>
      <w:r w:rsidRPr="005560AF">
        <w:rPr>
          <w:lang w:val="es-ES"/>
        </w:rPr>
        <w:tab/>
        <w:t>Para transmisores con LLSD y capacidad de C4FM</w:t>
      </w:r>
    </w:p>
    <w:p w:rsidR="00312423" w:rsidRPr="005560AF" w:rsidRDefault="00312423" w:rsidP="00312423">
      <w:pPr>
        <w:rPr>
          <w:lang w:val="es-ES"/>
        </w:rPr>
      </w:pPr>
      <w:r w:rsidRPr="005560AF">
        <w:rPr>
          <w:b/>
          <w:lang w:val="es-ES"/>
        </w:rPr>
        <w:t>2.9.1</w:t>
      </w:r>
      <w:r w:rsidRPr="005560AF">
        <w:rPr>
          <w:b/>
          <w:lang w:val="es-ES"/>
        </w:rPr>
        <w:tab/>
      </w:r>
      <w:r w:rsidRPr="005560AF">
        <w:rPr>
          <w:lang w:val="es-ES"/>
        </w:rPr>
        <w:t>Los transmisores con capacidad de LLSD deben cumplir los requisitos de las Recomendaciones UIT</w:t>
      </w:r>
      <w:r w:rsidRPr="005560AF">
        <w:rPr>
          <w:lang w:val="es-ES"/>
        </w:rPr>
        <w:noBreakHyphen/>
        <w:t>R M.493, UIT</w:t>
      </w:r>
      <w:r w:rsidRPr="005560AF">
        <w:rPr>
          <w:lang w:val="es-ES"/>
        </w:rPr>
        <w:noBreakHyphen/>
        <w:t>R M.541 e IMO A.803 (19) como mínimo. Las estaciones deben disponer de los medios necesarios para supervisar el canal de ondas métricas utilizado para LLSD a fin de determinar la presencia de una señal y, con excepción de las llamadas de socorro y seguridad, suministrar los medios necesarios para evitar automáticamente la transmisión de una LLSD hasta que el canal esté libre.</w:t>
      </w:r>
    </w:p>
    <w:p w:rsidR="00312423" w:rsidRPr="005560AF" w:rsidRDefault="00312423" w:rsidP="00312423">
      <w:pPr>
        <w:rPr>
          <w:lang w:val="es-ES"/>
        </w:rPr>
      </w:pPr>
      <w:r w:rsidRPr="005560AF">
        <w:rPr>
          <w:b/>
          <w:lang w:val="es-ES"/>
        </w:rPr>
        <w:t>2.9.2</w:t>
      </w:r>
      <w:r w:rsidRPr="005560AF">
        <w:rPr>
          <w:lang w:val="es-ES"/>
        </w:rPr>
        <w:tab/>
        <w:t>Debe utilizarse la LLSD (1</w:t>
      </w:r>
      <w:r w:rsidRPr="005560AF">
        <w:rPr>
          <w:rFonts w:ascii="Tms Rmn" w:hAnsi="Tms Rmn"/>
          <w:sz w:val="12"/>
          <w:lang w:val="es-ES"/>
        </w:rPr>
        <w:t> </w:t>
      </w:r>
      <w:r w:rsidRPr="005560AF">
        <w:rPr>
          <w:lang w:val="es-ES"/>
        </w:rPr>
        <w:t>200 bit/s) siempre que se opere en el canal 70. No se debe utilizar el canal 70 como un canal de servicio para cualquier finalidad. Debe reservarse como canal de socorro y de llamadas internacionales. La transmisión de datos para todas las demás finalidades, tales como mensajería de datos, vigilancia de la seguridad, seguimiento de barcos y vigilancia dependiente automática debe efectuarse por otro canal de servicio.</w:t>
      </w:r>
    </w:p>
    <w:p w:rsidR="00312423" w:rsidRPr="005560AF" w:rsidRDefault="00312423" w:rsidP="00312423">
      <w:pPr>
        <w:rPr>
          <w:lang w:val="es-ES"/>
        </w:rPr>
      </w:pPr>
      <w:r w:rsidRPr="005560AF">
        <w:rPr>
          <w:b/>
          <w:lang w:val="es-ES"/>
        </w:rPr>
        <w:t>2.9.3</w:t>
      </w:r>
      <w:r w:rsidRPr="005560AF">
        <w:rPr>
          <w:lang w:val="es-ES"/>
        </w:rPr>
        <w:tab/>
        <w:t>La transmisión de datos con una finalidad general ha de hacerse por canales de 25 kHz de banda ancha y por canales entrelazados de banda estrecha (desplazamiento de 12,5 kHz) y ha de utilizarse el protocolo de LLSD tanto como sea posible. Cuando así haga falta, se elaborarán mejoras al protocolo de LLSD y se coordinarán para mantener el control reglamentario y, de esta manera, garantizar el interfuncionamiento entre equipos de diversos fabricantes.</w:t>
      </w:r>
    </w:p>
    <w:p w:rsidR="00312423" w:rsidRPr="005560AF" w:rsidRDefault="00312423" w:rsidP="00312423">
      <w:pPr>
        <w:rPr>
          <w:lang w:val="es-ES"/>
        </w:rPr>
      </w:pPr>
      <w:r w:rsidRPr="005560AF">
        <w:rPr>
          <w:b/>
          <w:lang w:val="es-ES"/>
        </w:rPr>
        <w:t>2.9.4</w:t>
      </w:r>
      <w:r w:rsidRPr="005560AF">
        <w:rPr>
          <w:lang w:val="es-ES"/>
        </w:rPr>
        <w:tab/>
        <w:t>La LLSD (1</w:t>
      </w:r>
      <w:r w:rsidRPr="005560AF">
        <w:rPr>
          <w:rFonts w:ascii="Tms Rmn" w:hAnsi="Tms Rmn"/>
          <w:sz w:val="12"/>
          <w:lang w:val="es-ES"/>
        </w:rPr>
        <w:t> </w:t>
      </w:r>
      <w:r w:rsidRPr="005560AF">
        <w:rPr>
          <w:lang w:val="es-ES"/>
        </w:rPr>
        <w:t xml:space="preserve">200 bit/s) en canales intercalados de banda estrecha (12,5 kHz de desplazamiento) debe tener una desviación máxima reducida de </w:t>
      </w:r>
      <w:r w:rsidRPr="005560AF">
        <w:rPr>
          <w:rFonts w:ascii="Symbol" w:hAnsi="Symbol"/>
          <w:lang w:val="es-ES"/>
        </w:rPr>
        <w:t></w:t>
      </w:r>
      <w:r w:rsidRPr="005560AF">
        <w:rPr>
          <w:rFonts w:ascii="Tms Rmn" w:hAnsi="Tms Rmn"/>
          <w:sz w:val="4"/>
          <w:lang w:val="es-ES"/>
        </w:rPr>
        <w:t> </w:t>
      </w:r>
      <w:r w:rsidRPr="005560AF">
        <w:rPr>
          <w:lang w:val="es-ES"/>
        </w:rPr>
        <w:t>2,5 kHz.</w:t>
      </w:r>
    </w:p>
    <w:p w:rsidR="00312423" w:rsidRPr="005560AF" w:rsidRDefault="00312423" w:rsidP="00312423">
      <w:pPr>
        <w:rPr>
          <w:lang w:val="es-ES"/>
        </w:rPr>
      </w:pPr>
      <w:r w:rsidRPr="005560AF">
        <w:rPr>
          <w:b/>
          <w:lang w:val="es-ES"/>
        </w:rPr>
        <w:t>2.9.5</w:t>
      </w:r>
      <w:r w:rsidRPr="005560AF">
        <w:rPr>
          <w:b/>
          <w:lang w:val="es-ES"/>
        </w:rPr>
        <w:tab/>
      </w:r>
      <w:r w:rsidRPr="005560AF">
        <w:rPr>
          <w:lang w:val="es-ES"/>
        </w:rPr>
        <w:t>Las transmisiones de datos de alta velocidad (9</w:t>
      </w:r>
      <w:r w:rsidRPr="005560AF">
        <w:rPr>
          <w:rFonts w:ascii="Tms Rmn" w:hAnsi="Tms Rmn"/>
          <w:sz w:val="12"/>
          <w:lang w:val="es-ES"/>
        </w:rPr>
        <w:t> </w:t>
      </w:r>
      <w:r w:rsidRPr="005560AF">
        <w:rPr>
          <w:lang w:val="es-ES"/>
        </w:rPr>
        <w:t>600 bit/s) deben efectuarse con C4FM con conformación de filtro de banda de base.</w:t>
      </w:r>
    </w:p>
    <w:p w:rsidR="00312423" w:rsidRPr="005560AF" w:rsidRDefault="00312423" w:rsidP="00312423">
      <w:pPr>
        <w:pStyle w:val="Heading4"/>
        <w:rPr>
          <w:lang w:val="es-ES"/>
        </w:rPr>
      </w:pPr>
      <w:r w:rsidRPr="005560AF">
        <w:rPr>
          <w:lang w:val="es-ES"/>
        </w:rPr>
        <w:t>2.9.5.1</w:t>
      </w:r>
      <w:r w:rsidRPr="005560AF">
        <w:rPr>
          <w:lang w:val="es-ES"/>
        </w:rPr>
        <w:tab/>
        <w:t>C4FM en canales con desplazamiento de 12,5 kHz</w:t>
      </w:r>
    </w:p>
    <w:p w:rsidR="00312423" w:rsidRPr="005560AF" w:rsidRDefault="00312423" w:rsidP="00312423">
      <w:pPr>
        <w:rPr>
          <w:lang w:val="es-ES"/>
        </w:rPr>
      </w:pPr>
      <w:r w:rsidRPr="005560AF">
        <w:rPr>
          <w:lang w:val="es-ES"/>
        </w:rPr>
        <w:t>El modulador C4FM consiste en un filtro en coseno elevado de Nyquist, conectado en cascada con un filtro de conformación y con un modulador de frecuencia.</w:t>
      </w:r>
    </w:p>
    <w:p w:rsidR="00312423" w:rsidRPr="005560AF" w:rsidRDefault="00312423" w:rsidP="00312423">
      <w:pPr>
        <w:pStyle w:val="Heading4"/>
        <w:rPr>
          <w:lang w:val="es-ES"/>
        </w:rPr>
      </w:pPr>
      <w:r w:rsidRPr="005560AF">
        <w:rPr>
          <w:lang w:val="es-ES"/>
        </w:rPr>
        <w:t>2.9.5.2</w:t>
      </w:r>
      <w:r w:rsidRPr="005560AF">
        <w:rPr>
          <w:lang w:val="es-ES"/>
        </w:rPr>
        <w:tab/>
        <w:t>Filtro de Nyquist C4FM</w:t>
      </w:r>
    </w:p>
    <w:p w:rsidR="00312423" w:rsidRPr="005560AF" w:rsidRDefault="00312423" w:rsidP="00312423">
      <w:pPr>
        <w:rPr>
          <w:lang w:val="es-ES"/>
        </w:rPr>
      </w:pPr>
      <w:r w:rsidRPr="005560AF">
        <w:rPr>
          <w:lang w:val="es-ES"/>
        </w:rPr>
        <w:t>Los dibits de información (es decir, 4</w:t>
      </w:r>
      <w:r w:rsidRPr="005560AF">
        <w:rPr>
          <w:rFonts w:ascii="Tms Rmn" w:hAnsi="Tms Rmn"/>
          <w:sz w:val="12"/>
          <w:lang w:val="es-ES"/>
        </w:rPr>
        <w:t> </w:t>
      </w:r>
      <w:r w:rsidRPr="005560AF">
        <w:rPr>
          <w:lang w:val="es-ES"/>
        </w:rPr>
        <w:t>800 símbolos/s) se filtran con un filtro en coseno elevado que satisface los criterios Nyquist reduciendo al mínimo la interferencia entre símbolos. El retardo de grupo del filtro es uniforme en la banda de paso para |</w:t>
      </w:r>
      <w:r w:rsidRPr="005560AF">
        <w:rPr>
          <w:sz w:val="16"/>
          <w:lang w:val="es-ES"/>
        </w:rPr>
        <w:t> </w:t>
      </w:r>
      <w:r w:rsidRPr="005560AF">
        <w:rPr>
          <w:i/>
          <w:lang w:val="es-ES"/>
        </w:rPr>
        <w:t>f</w:t>
      </w:r>
      <w:r w:rsidRPr="005560AF">
        <w:rPr>
          <w:sz w:val="16"/>
          <w:lang w:val="es-ES"/>
        </w:rPr>
        <w:t> </w:t>
      </w:r>
      <w:r w:rsidRPr="005560AF">
        <w:rPr>
          <w:lang w:val="es-ES"/>
        </w:rPr>
        <w:t xml:space="preserve">| </w:t>
      </w:r>
      <w:r w:rsidRPr="005560AF">
        <w:rPr>
          <w:rFonts w:ascii="Symbol" w:hAnsi="Symbol"/>
          <w:lang w:val="es-ES"/>
        </w:rPr>
        <w:t></w:t>
      </w:r>
      <w:r w:rsidRPr="005560AF">
        <w:rPr>
          <w:lang w:val="es-ES"/>
        </w:rPr>
        <w:t xml:space="preserve"> 2</w:t>
      </w:r>
      <w:r w:rsidRPr="005560AF">
        <w:rPr>
          <w:sz w:val="12"/>
          <w:lang w:val="es-ES"/>
        </w:rPr>
        <w:t> </w:t>
      </w:r>
      <w:r w:rsidRPr="005560AF">
        <w:rPr>
          <w:lang w:val="es-ES"/>
        </w:rPr>
        <w:t>880 Hz. La respuesta de magnitud del filtro es:</w:t>
      </w:r>
    </w:p>
    <w:p w:rsidR="00312423" w:rsidRPr="005560AF" w:rsidRDefault="00312423" w:rsidP="00312423">
      <w:pPr>
        <w:rPr>
          <w:lang w:val="es-ES"/>
        </w:rPr>
      </w:pPr>
    </w:p>
    <w:tbl>
      <w:tblPr>
        <w:tblW w:w="0" w:type="auto"/>
        <w:tblInd w:w="802" w:type="dxa"/>
        <w:tblLayout w:type="fixed"/>
        <w:tblCellMar>
          <w:left w:w="0" w:type="dxa"/>
          <w:right w:w="0" w:type="dxa"/>
        </w:tblCellMar>
        <w:tblLook w:val="0000" w:firstRow="0" w:lastRow="0" w:firstColumn="0" w:lastColumn="0" w:noHBand="0" w:noVBand="0"/>
      </w:tblPr>
      <w:tblGrid>
        <w:gridCol w:w="2608"/>
        <w:gridCol w:w="364"/>
        <w:gridCol w:w="1428"/>
        <w:gridCol w:w="2603"/>
      </w:tblGrid>
      <w:tr w:rsidR="00312423" w:rsidRPr="005560AF" w:rsidTr="00675622">
        <w:tc>
          <w:tcPr>
            <w:tcW w:w="2608" w:type="dxa"/>
            <w:vAlign w:val="bottom"/>
          </w:tcPr>
          <w:p w:rsidR="00312423" w:rsidRPr="005560AF" w:rsidRDefault="00312423" w:rsidP="00675622">
            <w:pPr>
              <w:jc w:val="left"/>
              <w:rPr>
                <w:lang w:val="es-ES"/>
              </w:rPr>
            </w:pPr>
            <w:r w:rsidRPr="005560AF">
              <w:rPr>
                <w:lang w:val="es-ES"/>
              </w:rPr>
              <w:t>Aproximadamente 1</w:t>
            </w:r>
          </w:p>
        </w:tc>
        <w:tc>
          <w:tcPr>
            <w:tcW w:w="364" w:type="dxa"/>
            <w:vAlign w:val="bottom"/>
          </w:tcPr>
          <w:p w:rsidR="00312423" w:rsidRPr="005560AF" w:rsidRDefault="00312423" w:rsidP="00675622">
            <w:pPr>
              <w:jc w:val="left"/>
              <w:rPr>
                <w:lang w:val="es-ES"/>
              </w:rPr>
            </w:pPr>
          </w:p>
        </w:tc>
        <w:tc>
          <w:tcPr>
            <w:tcW w:w="1428" w:type="dxa"/>
            <w:vAlign w:val="bottom"/>
          </w:tcPr>
          <w:p w:rsidR="00312423" w:rsidRPr="005560AF" w:rsidRDefault="00312423" w:rsidP="00675622">
            <w:pPr>
              <w:jc w:val="left"/>
              <w:rPr>
                <w:lang w:val="es-ES"/>
              </w:rPr>
            </w:pPr>
            <w:r w:rsidRPr="005560AF">
              <w:rPr>
                <w:lang w:val="es-ES"/>
              </w:rPr>
              <w:t>para</w:t>
            </w:r>
          </w:p>
        </w:tc>
        <w:tc>
          <w:tcPr>
            <w:tcW w:w="2603" w:type="dxa"/>
          </w:tcPr>
          <w:p w:rsidR="00312423" w:rsidRPr="005560AF" w:rsidRDefault="00312423" w:rsidP="00675622">
            <w:pPr>
              <w:jc w:val="left"/>
              <w:rPr>
                <w:lang w:val="es-ES"/>
              </w:rPr>
            </w:pPr>
            <w:r w:rsidRPr="005560AF">
              <w:rPr>
                <w:lang w:val="es-ES"/>
              </w:rPr>
              <w:t> </w:t>
            </w:r>
            <w:r w:rsidRPr="005560AF">
              <w:rPr>
                <w:lang w:val="es-ES"/>
              </w:rPr>
              <w:t>  |</w:t>
            </w:r>
            <w:r w:rsidRPr="005560AF">
              <w:rPr>
                <w:sz w:val="16"/>
                <w:lang w:val="es-ES"/>
              </w:rPr>
              <w:t> </w:t>
            </w:r>
            <w:r w:rsidRPr="005560AF">
              <w:rPr>
                <w:i/>
                <w:lang w:val="es-ES"/>
              </w:rPr>
              <w:t>f</w:t>
            </w:r>
            <w:r w:rsidRPr="005560AF">
              <w:rPr>
                <w:sz w:val="16"/>
                <w:lang w:val="es-ES"/>
              </w:rPr>
              <w:t> </w:t>
            </w:r>
            <w:r w:rsidRPr="005560AF">
              <w:rPr>
                <w:lang w:val="es-ES"/>
              </w:rPr>
              <w:t>| </w:t>
            </w:r>
            <w:r w:rsidRPr="005560AF">
              <w:rPr>
                <w:rFonts w:ascii="Symbol" w:hAnsi="Symbol"/>
                <w:lang w:val="es-ES"/>
              </w:rPr>
              <w:t></w:t>
            </w:r>
            <w:r w:rsidRPr="005560AF">
              <w:rPr>
                <w:lang w:val="es-ES"/>
              </w:rPr>
              <w:t> 1</w:t>
            </w:r>
            <w:r w:rsidRPr="005560AF">
              <w:rPr>
                <w:sz w:val="12"/>
                <w:lang w:val="es-ES"/>
              </w:rPr>
              <w:t> </w:t>
            </w:r>
            <w:r w:rsidRPr="005560AF">
              <w:rPr>
                <w:lang w:val="es-ES"/>
              </w:rPr>
              <w:t>920 Hz</w:t>
            </w:r>
          </w:p>
        </w:tc>
      </w:tr>
      <w:tr w:rsidR="00312423" w:rsidRPr="005560AF" w:rsidTr="00675622">
        <w:tc>
          <w:tcPr>
            <w:tcW w:w="2608" w:type="dxa"/>
            <w:vAlign w:val="bottom"/>
          </w:tcPr>
          <w:p w:rsidR="00312423" w:rsidRPr="005560AF" w:rsidRDefault="00312423" w:rsidP="00675622">
            <w:pPr>
              <w:jc w:val="left"/>
              <w:rPr>
                <w:lang w:val="es-ES"/>
              </w:rPr>
            </w:pPr>
            <w:r w:rsidRPr="005560AF">
              <w:rPr>
                <w:lang w:val="es-ES"/>
              </w:rPr>
              <w:t>0,5 </w:t>
            </w:r>
            <w:r w:rsidRPr="005560AF">
              <w:rPr>
                <w:rFonts w:ascii="Symbol" w:hAnsi="Symbol"/>
                <w:lang w:val="es-ES"/>
              </w:rPr>
              <w:t></w:t>
            </w:r>
            <w:r w:rsidRPr="005560AF">
              <w:rPr>
                <w:lang w:val="es-ES"/>
              </w:rPr>
              <w:t> 0,5 cos (2</w:t>
            </w:r>
            <w:r w:rsidRPr="005560AF">
              <w:rPr>
                <w:lang w:val="es-ES"/>
              </w:rPr>
              <w:sym w:font="Symbol" w:char="F070"/>
            </w:r>
            <w:r w:rsidRPr="005560AF">
              <w:rPr>
                <w:lang w:val="es-ES"/>
              </w:rPr>
              <w:t xml:space="preserve"> </w:t>
            </w:r>
            <w:r w:rsidRPr="005560AF">
              <w:rPr>
                <w:i/>
                <w:lang w:val="es-ES"/>
              </w:rPr>
              <w:t>f</w:t>
            </w:r>
            <w:r w:rsidRPr="005560AF">
              <w:rPr>
                <w:sz w:val="16"/>
                <w:lang w:val="es-ES"/>
              </w:rPr>
              <w:t> </w:t>
            </w:r>
            <w:r w:rsidRPr="005560AF">
              <w:rPr>
                <w:lang w:val="es-ES"/>
              </w:rPr>
              <w:t>/</w:t>
            </w:r>
            <w:r w:rsidRPr="005560AF">
              <w:rPr>
                <w:sz w:val="16"/>
                <w:lang w:val="es-ES"/>
              </w:rPr>
              <w:t> </w:t>
            </w:r>
            <w:r w:rsidRPr="005560AF">
              <w:rPr>
                <w:lang w:val="es-ES"/>
              </w:rPr>
              <w:t>1</w:t>
            </w:r>
            <w:r w:rsidRPr="005560AF">
              <w:rPr>
                <w:sz w:val="12"/>
                <w:lang w:val="es-ES"/>
              </w:rPr>
              <w:t> </w:t>
            </w:r>
            <w:r w:rsidRPr="005560AF">
              <w:rPr>
                <w:lang w:val="es-ES"/>
              </w:rPr>
              <w:t>920)</w:t>
            </w:r>
          </w:p>
        </w:tc>
        <w:tc>
          <w:tcPr>
            <w:tcW w:w="364" w:type="dxa"/>
            <w:vAlign w:val="bottom"/>
          </w:tcPr>
          <w:p w:rsidR="00312423" w:rsidRPr="005560AF" w:rsidRDefault="00312423" w:rsidP="00675622">
            <w:pPr>
              <w:jc w:val="left"/>
              <w:rPr>
                <w:lang w:val="es-ES"/>
              </w:rPr>
            </w:pPr>
          </w:p>
        </w:tc>
        <w:tc>
          <w:tcPr>
            <w:tcW w:w="1428" w:type="dxa"/>
            <w:vAlign w:val="bottom"/>
          </w:tcPr>
          <w:p w:rsidR="00312423" w:rsidRPr="005560AF" w:rsidRDefault="00312423" w:rsidP="00675622">
            <w:pPr>
              <w:jc w:val="left"/>
              <w:rPr>
                <w:lang w:val="es-ES"/>
              </w:rPr>
            </w:pPr>
            <w:r w:rsidRPr="005560AF">
              <w:rPr>
                <w:lang w:val="es-ES"/>
              </w:rPr>
              <w:t>para 1</w:t>
            </w:r>
            <w:r w:rsidRPr="005560AF">
              <w:rPr>
                <w:sz w:val="12"/>
                <w:lang w:val="es-ES"/>
              </w:rPr>
              <w:t> </w:t>
            </w:r>
            <w:r w:rsidRPr="005560AF">
              <w:rPr>
                <w:lang w:val="es-ES"/>
              </w:rPr>
              <w:t>920 Hz</w:t>
            </w:r>
          </w:p>
        </w:tc>
        <w:tc>
          <w:tcPr>
            <w:tcW w:w="2603" w:type="dxa"/>
          </w:tcPr>
          <w:p w:rsidR="00312423" w:rsidRPr="005560AF" w:rsidRDefault="00312423" w:rsidP="00675622">
            <w:pPr>
              <w:jc w:val="left"/>
              <w:rPr>
                <w:lang w:val="es-ES"/>
              </w:rPr>
            </w:pPr>
            <w:r w:rsidRPr="005560AF">
              <w:rPr>
                <w:rFonts w:ascii="Symbol" w:hAnsi="Symbol"/>
                <w:lang w:val="es-ES"/>
              </w:rPr>
              <w:t></w:t>
            </w:r>
            <w:r w:rsidRPr="005560AF">
              <w:rPr>
                <w:lang w:val="es-ES"/>
              </w:rPr>
              <w:t>  |</w:t>
            </w:r>
            <w:r w:rsidRPr="005560AF">
              <w:rPr>
                <w:sz w:val="16"/>
                <w:lang w:val="es-ES"/>
              </w:rPr>
              <w:t> </w:t>
            </w:r>
            <w:r w:rsidRPr="005560AF">
              <w:rPr>
                <w:i/>
                <w:lang w:val="es-ES"/>
              </w:rPr>
              <w:t>f</w:t>
            </w:r>
            <w:r w:rsidRPr="005560AF">
              <w:rPr>
                <w:sz w:val="16"/>
                <w:lang w:val="es-ES"/>
              </w:rPr>
              <w:t> </w:t>
            </w:r>
            <w:r w:rsidRPr="005560AF">
              <w:rPr>
                <w:lang w:val="es-ES"/>
              </w:rPr>
              <w:t>| </w:t>
            </w:r>
            <w:r w:rsidRPr="005560AF">
              <w:rPr>
                <w:rFonts w:ascii="Symbol" w:hAnsi="Symbol"/>
                <w:lang w:val="es-ES"/>
              </w:rPr>
              <w:t></w:t>
            </w:r>
            <w:r w:rsidRPr="005560AF">
              <w:rPr>
                <w:lang w:val="es-ES"/>
              </w:rPr>
              <w:t> 2</w:t>
            </w:r>
            <w:r w:rsidRPr="005560AF">
              <w:rPr>
                <w:sz w:val="12"/>
                <w:lang w:val="es-ES"/>
              </w:rPr>
              <w:t> </w:t>
            </w:r>
            <w:r w:rsidRPr="005560AF">
              <w:rPr>
                <w:lang w:val="es-ES"/>
              </w:rPr>
              <w:t>880 Hz</w:t>
            </w:r>
          </w:p>
        </w:tc>
      </w:tr>
      <w:tr w:rsidR="00312423" w:rsidRPr="005560AF" w:rsidTr="00675622">
        <w:tc>
          <w:tcPr>
            <w:tcW w:w="2608" w:type="dxa"/>
            <w:vAlign w:val="bottom"/>
          </w:tcPr>
          <w:p w:rsidR="00312423" w:rsidRPr="005560AF" w:rsidRDefault="00312423" w:rsidP="00675622">
            <w:pPr>
              <w:jc w:val="left"/>
              <w:rPr>
                <w:lang w:val="es-ES"/>
              </w:rPr>
            </w:pPr>
            <w:r w:rsidRPr="005560AF">
              <w:rPr>
                <w:lang w:val="es-ES"/>
              </w:rPr>
              <w:t>0</w:t>
            </w:r>
          </w:p>
        </w:tc>
        <w:tc>
          <w:tcPr>
            <w:tcW w:w="364" w:type="dxa"/>
            <w:vAlign w:val="bottom"/>
          </w:tcPr>
          <w:p w:rsidR="00312423" w:rsidRPr="005560AF" w:rsidRDefault="00312423" w:rsidP="00675622">
            <w:pPr>
              <w:jc w:val="left"/>
              <w:rPr>
                <w:lang w:val="es-ES"/>
              </w:rPr>
            </w:pPr>
          </w:p>
        </w:tc>
        <w:tc>
          <w:tcPr>
            <w:tcW w:w="1428" w:type="dxa"/>
            <w:vAlign w:val="bottom"/>
          </w:tcPr>
          <w:p w:rsidR="00312423" w:rsidRPr="005560AF" w:rsidRDefault="00312423" w:rsidP="00675622">
            <w:pPr>
              <w:jc w:val="left"/>
              <w:rPr>
                <w:lang w:val="es-ES"/>
              </w:rPr>
            </w:pPr>
            <w:r w:rsidRPr="005560AF">
              <w:rPr>
                <w:lang w:val="es-ES"/>
              </w:rPr>
              <w:t>para</w:t>
            </w:r>
          </w:p>
        </w:tc>
        <w:tc>
          <w:tcPr>
            <w:tcW w:w="2603" w:type="dxa"/>
          </w:tcPr>
          <w:p w:rsidR="00312423" w:rsidRPr="005560AF" w:rsidRDefault="00312423" w:rsidP="00675622">
            <w:pPr>
              <w:jc w:val="left"/>
              <w:rPr>
                <w:lang w:val="es-ES"/>
              </w:rPr>
            </w:pPr>
            <w:r w:rsidRPr="005560AF">
              <w:rPr>
                <w:lang w:val="es-ES"/>
              </w:rPr>
              <w:t> </w:t>
            </w:r>
            <w:r w:rsidRPr="005560AF">
              <w:rPr>
                <w:lang w:val="es-ES"/>
              </w:rPr>
              <w:t>  |</w:t>
            </w:r>
            <w:r w:rsidRPr="005560AF">
              <w:rPr>
                <w:sz w:val="16"/>
                <w:lang w:val="es-ES"/>
              </w:rPr>
              <w:t> </w:t>
            </w:r>
            <w:r w:rsidRPr="005560AF">
              <w:rPr>
                <w:i/>
                <w:lang w:val="es-ES"/>
              </w:rPr>
              <w:t>f</w:t>
            </w:r>
            <w:r w:rsidRPr="005560AF">
              <w:rPr>
                <w:sz w:val="16"/>
                <w:lang w:val="es-ES"/>
              </w:rPr>
              <w:t> </w:t>
            </w:r>
            <w:r w:rsidRPr="005560AF">
              <w:rPr>
                <w:lang w:val="es-ES"/>
              </w:rPr>
              <w:t>| </w:t>
            </w:r>
            <w:r w:rsidRPr="005560AF">
              <w:rPr>
                <w:rFonts w:ascii="Symbol" w:hAnsi="Symbol"/>
                <w:lang w:val="es-ES"/>
              </w:rPr>
              <w:t></w:t>
            </w:r>
            <w:r w:rsidRPr="005560AF">
              <w:rPr>
                <w:lang w:val="es-ES"/>
              </w:rPr>
              <w:t> 2</w:t>
            </w:r>
            <w:r w:rsidRPr="005560AF">
              <w:rPr>
                <w:sz w:val="12"/>
                <w:lang w:val="es-ES"/>
              </w:rPr>
              <w:t> </w:t>
            </w:r>
            <w:r w:rsidRPr="005560AF">
              <w:rPr>
                <w:lang w:val="es-ES"/>
              </w:rPr>
              <w:t>880 Hz.</w:t>
            </w:r>
          </w:p>
        </w:tc>
      </w:tr>
    </w:tbl>
    <w:p w:rsidR="00312423" w:rsidRPr="005560AF" w:rsidRDefault="00312423" w:rsidP="00312423">
      <w:pPr>
        <w:pStyle w:val="Tablefin"/>
        <w:rPr>
          <w:lang w:val="es-ES"/>
        </w:rPr>
      </w:pPr>
    </w:p>
    <w:p w:rsidR="00312423" w:rsidRPr="005560AF" w:rsidRDefault="00312423" w:rsidP="00312423">
      <w:pPr>
        <w:pStyle w:val="Heading4"/>
        <w:rPr>
          <w:lang w:val="es-ES"/>
        </w:rPr>
      </w:pPr>
      <w:r w:rsidRPr="005560AF">
        <w:rPr>
          <w:lang w:val="es-ES"/>
        </w:rPr>
        <w:t>2.9.5.3</w:t>
      </w:r>
      <w:r w:rsidRPr="005560AF">
        <w:rPr>
          <w:lang w:val="es-ES"/>
        </w:rPr>
        <w:tab/>
        <w:t>Filtro de conformación C4FM</w:t>
      </w:r>
    </w:p>
    <w:p w:rsidR="00312423" w:rsidRPr="005560AF" w:rsidRDefault="00312423" w:rsidP="00312423">
      <w:pPr>
        <w:rPr>
          <w:lang w:val="es-ES"/>
        </w:rPr>
      </w:pPr>
      <w:r w:rsidRPr="005560AF">
        <w:rPr>
          <w:lang w:val="es-ES"/>
        </w:rPr>
        <w:t>El filtro de conformación tiene un retardo de grupo uniforme en todo el paso de banda para |</w:t>
      </w:r>
      <w:r w:rsidRPr="005560AF">
        <w:rPr>
          <w:sz w:val="16"/>
          <w:lang w:val="es-ES"/>
        </w:rPr>
        <w:t> </w:t>
      </w:r>
      <w:r w:rsidRPr="005560AF">
        <w:rPr>
          <w:i/>
          <w:lang w:val="es-ES"/>
        </w:rPr>
        <w:t>f</w:t>
      </w:r>
      <w:r w:rsidRPr="005560AF">
        <w:rPr>
          <w:sz w:val="16"/>
          <w:lang w:val="es-ES"/>
        </w:rPr>
        <w:t> </w:t>
      </w:r>
      <w:r w:rsidRPr="005560AF">
        <w:rPr>
          <w:lang w:val="es-ES"/>
        </w:rPr>
        <w:t>| </w:t>
      </w:r>
      <w:r w:rsidRPr="005560AF">
        <w:rPr>
          <w:rFonts w:ascii="Symbol" w:hAnsi="Symbol"/>
          <w:lang w:val="es-ES"/>
        </w:rPr>
        <w:t></w:t>
      </w:r>
      <w:r w:rsidRPr="005560AF">
        <w:rPr>
          <w:lang w:val="es-ES"/>
        </w:rPr>
        <w:t> 2</w:t>
      </w:r>
      <w:r w:rsidRPr="005560AF">
        <w:rPr>
          <w:sz w:val="12"/>
          <w:lang w:val="es-ES"/>
        </w:rPr>
        <w:t> </w:t>
      </w:r>
      <w:r w:rsidRPr="005560AF">
        <w:rPr>
          <w:lang w:val="es-ES"/>
        </w:rPr>
        <w:t>880 Hz. La respuesta de magnitud del filtro para |</w:t>
      </w:r>
      <w:r w:rsidRPr="005560AF">
        <w:rPr>
          <w:sz w:val="16"/>
          <w:lang w:val="es-ES"/>
        </w:rPr>
        <w:t> </w:t>
      </w:r>
      <w:r w:rsidRPr="005560AF">
        <w:rPr>
          <w:i/>
          <w:lang w:val="es-ES"/>
        </w:rPr>
        <w:t>f</w:t>
      </w:r>
      <w:r w:rsidRPr="005560AF">
        <w:rPr>
          <w:sz w:val="16"/>
          <w:lang w:val="es-ES"/>
        </w:rPr>
        <w:t> </w:t>
      </w:r>
      <w:r w:rsidRPr="005560AF">
        <w:rPr>
          <w:lang w:val="es-ES"/>
        </w:rPr>
        <w:t xml:space="preserve">| </w:t>
      </w:r>
      <w:r w:rsidRPr="005560AF">
        <w:rPr>
          <w:rFonts w:ascii="Symbol" w:hAnsi="Symbol"/>
          <w:lang w:val="es-ES"/>
        </w:rPr>
        <w:t></w:t>
      </w:r>
      <w:r w:rsidRPr="005560AF">
        <w:rPr>
          <w:lang w:val="es-ES"/>
        </w:rPr>
        <w:t> 2</w:t>
      </w:r>
      <w:r w:rsidRPr="005560AF">
        <w:rPr>
          <w:sz w:val="12"/>
          <w:lang w:val="es-ES"/>
        </w:rPr>
        <w:t> </w:t>
      </w:r>
      <w:r w:rsidRPr="005560AF">
        <w:rPr>
          <w:lang w:val="es-ES"/>
        </w:rPr>
        <w:t>880 Hz es (</w:t>
      </w:r>
      <w:r w:rsidRPr="005560AF">
        <w:rPr>
          <w:lang w:val="es-ES"/>
        </w:rPr>
        <w:sym w:font="Symbol" w:char="F070"/>
      </w:r>
      <w:r w:rsidRPr="005560AF">
        <w:rPr>
          <w:lang w:val="es-ES"/>
        </w:rPr>
        <w:t xml:space="preserve"> </w:t>
      </w:r>
      <w:r w:rsidRPr="005560AF">
        <w:rPr>
          <w:i/>
          <w:lang w:val="es-ES"/>
        </w:rPr>
        <w:t>f</w:t>
      </w:r>
      <w:r w:rsidRPr="005560AF">
        <w:rPr>
          <w:sz w:val="16"/>
          <w:lang w:val="es-ES"/>
        </w:rPr>
        <w:t> </w:t>
      </w:r>
      <w:r w:rsidRPr="005560AF">
        <w:rPr>
          <w:lang w:val="es-ES"/>
        </w:rPr>
        <w:t>/</w:t>
      </w:r>
      <w:r w:rsidRPr="005560AF">
        <w:rPr>
          <w:sz w:val="16"/>
          <w:lang w:val="es-ES"/>
        </w:rPr>
        <w:t> </w:t>
      </w:r>
      <w:r w:rsidRPr="005560AF">
        <w:rPr>
          <w:lang w:val="es-ES"/>
        </w:rPr>
        <w:t>4</w:t>
      </w:r>
      <w:r w:rsidRPr="005560AF">
        <w:rPr>
          <w:sz w:val="12"/>
          <w:lang w:val="es-ES"/>
        </w:rPr>
        <w:t> </w:t>
      </w:r>
      <w:r w:rsidRPr="005560AF">
        <w:rPr>
          <w:lang w:val="es-ES"/>
        </w:rPr>
        <w:t>800)/sen(</w:t>
      </w:r>
      <w:r w:rsidRPr="005560AF">
        <w:rPr>
          <w:lang w:val="es-ES"/>
        </w:rPr>
        <w:sym w:font="Symbol" w:char="F070"/>
      </w:r>
      <w:r w:rsidRPr="005560AF">
        <w:rPr>
          <w:lang w:val="es-ES"/>
        </w:rPr>
        <w:t xml:space="preserve"> </w:t>
      </w:r>
      <w:r w:rsidRPr="005560AF">
        <w:rPr>
          <w:i/>
          <w:lang w:val="es-ES"/>
        </w:rPr>
        <w:t>f</w:t>
      </w:r>
      <w:r w:rsidRPr="005560AF">
        <w:rPr>
          <w:sz w:val="16"/>
          <w:lang w:val="es-ES"/>
        </w:rPr>
        <w:t> </w:t>
      </w:r>
      <w:r w:rsidRPr="005560AF">
        <w:rPr>
          <w:lang w:val="es-ES"/>
        </w:rPr>
        <w:t>/</w:t>
      </w:r>
      <w:r w:rsidRPr="005560AF">
        <w:rPr>
          <w:sz w:val="16"/>
          <w:lang w:val="es-ES"/>
        </w:rPr>
        <w:t> </w:t>
      </w:r>
      <w:r w:rsidRPr="005560AF">
        <w:rPr>
          <w:lang w:val="es-ES"/>
        </w:rPr>
        <w:t>4</w:t>
      </w:r>
      <w:r w:rsidRPr="005560AF">
        <w:rPr>
          <w:sz w:val="12"/>
          <w:lang w:val="es-ES"/>
        </w:rPr>
        <w:t> </w:t>
      </w:r>
      <w:r w:rsidRPr="005560AF">
        <w:rPr>
          <w:lang w:val="es-ES"/>
        </w:rPr>
        <w:t>800).</w:t>
      </w:r>
    </w:p>
    <w:p w:rsidR="00312423" w:rsidRPr="005560AF" w:rsidRDefault="00312423" w:rsidP="00312423">
      <w:pPr>
        <w:pStyle w:val="Heading4"/>
        <w:rPr>
          <w:lang w:val="es-ES"/>
        </w:rPr>
      </w:pPr>
      <w:r w:rsidRPr="005560AF">
        <w:rPr>
          <w:lang w:val="es-ES"/>
        </w:rPr>
        <w:t>2.9.5.4</w:t>
      </w:r>
      <w:r w:rsidRPr="005560AF">
        <w:rPr>
          <w:lang w:val="es-ES"/>
        </w:rPr>
        <w:tab/>
        <w:t>Modulador de C4FM</w:t>
      </w:r>
    </w:p>
    <w:p w:rsidR="00312423" w:rsidRPr="005560AF" w:rsidRDefault="00312423" w:rsidP="00280964">
      <w:pPr>
        <w:rPr>
          <w:lang w:val="es-ES"/>
        </w:rPr>
      </w:pPr>
      <w:r w:rsidRPr="005560AF">
        <w:rPr>
          <w:lang w:val="es-ES"/>
        </w:rPr>
        <w:t xml:space="preserve">La desviación es de </w:t>
      </w:r>
      <w:r w:rsidRPr="005560AF">
        <w:rPr>
          <w:rFonts w:ascii="Symbol" w:hAnsi="Symbol"/>
          <w:lang w:val="es-ES"/>
        </w:rPr>
        <w:t></w:t>
      </w:r>
      <w:r w:rsidRPr="005560AF">
        <w:rPr>
          <w:lang w:val="es-ES"/>
        </w:rPr>
        <w:t xml:space="preserve">1,8 kHz para dibit 01, </w:t>
      </w:r>
      <w:r w:rsidRPr="005560AF">
        <w:rPr>
          <w:rFonts w:ascii="Symbol" w:hAnsi="Symbol"/>
          <w:lang w:val="es-ES"/>
        </w:rPr>
        <w:t></w:t>
      </w:r>
      <w:r w:rsidRPr="005560AF">
        <w:rPr>
          <w:lang w:val="es-ES"/>
        </w:rPr>
        <w:t>0,6 kHz para dibit 00, –</w:t>
      </w:r>
      <w:r w:rsidRPr="005560AF">
        <w:rPr>
          <w:rFonts w:ascii="Tms Rmn" w:hAnsi="Tms Rmn"/>
          <w:sz w:val="4"/>
          <w:lang w:val="es-ES"/>
        </w:rPr>
        <w:t> </w:t>
      </w:r>
      <w:r w:rsidRPr="005560AF">
        <w:rPr>
          <w:lang w:val="es-ES"/>
        </w:rPr>
        <w:t>0,6 kHz para dibit 10, y</w:t>
      </w:r>
      <w:r w:rsidR="00280964">
        <w:rPr>
          <w:lang w:val="es-ES"/>
        </w:rPr>
        <w:t> </w:t>
      </w:r>
      <w:r w:rsidR="00280964">
        <w:rPr>
          <w:lang w:val="es-ES"/>
        </w:rPr>
        <w:fldChar w:fldCharType="begin"/>
      </w:r>
      <w:r w:rsidR="00280964">
        <w:rPr>
          <w:lang w:val="es-ES"/>
        </w:rPr>
        <w:instrText xml:space="preserve"> EQ  </w:instrText>
      </w:r>
      <w:r w:rsidR="00280964" w:rsidRPr="005560AF">
        <w:rPr>
          <w:lang w:val="es-ES"/>
        </w:rPr>
        <w:instrText>–</w:instrText>
      </w:r>
      <w:r w:rsidR="00280964" w:rsidRPr="005560AF">
        <w:rPr>
          <w:rFonts w:ascii="Tms Rmn" w:hAnsi="Tms Rmn"/>
          <w:sz w:val="4"/>
          <w:lang w:val="es-ES"/>
        </w:rPr>
        <w:instrText> </w:instrText>
      </w:r>
      <w:r w:rsidR="00280964" w:rsidRPr="005560AF">
        <w:rPr>
          <w:lang w:val="es-ES"/>
        </w:rPr>
        <w:instrText>1,8 kHz</w:instrText>
      </w:r>
      <w:r w:rsidR="00280964">
        <w:rPr>
          <w:lang w:val="es-ES"/>
        </w:rPr>
        <w:instrText xml:space="preserve"> </w:instrText>
      </w:r>
      <w:r w:rsidR="00280964">
        <w:rPr>
          <w:lang w:val="es-ES"/>
        </w:rPr>
        <w:fldChar w:fldCharType="end"/>
      </w:r>
      <w:r w:rsidRPr="005560AF">
        <w:rPr>
          <w:lang w:val="es-ES"/>
        </w:rPr>
        <w:t>para dibit 11.</w:t>
      </w:r>
    </w:p>
    <w:p w:rsidR="00312423" w:rsidRPr="005560AF" w:rsidRDefault="00312423" w:rsidP="00312423">
      <w:pPr>
        <w:pStyle w:val="AnnexNo"/>
        <w:rPr>
          <w:lang w:val="es-ES"/>
        </w:rPr>
      </w:pPr>
      <w:r w:rsidRPr="005560AF">
        <w:rPr>
          <w:lang w:val="es-ES"/>
        </w:rPr>
        <w:lastRenderedPageBreak/>
        <w:t>ANEXO  4</w:t>
      </w:r>
    </w:p>
    <w:p w:rsidR="00312423" w:rsidRPr="005560AF" w:rsidRDefault="00312423" w:rsidP="00312423">
      <w:pPr>
        <w:pStyle w:val="Annextitle"/>
        <w:rPr>
          <w:lang w:val="es-ES"/>
        </w:rPr>
      </w:pPr>
      <w:r w:rsidRPr="005560AF">
        <w:rPr>
          <w:lang w:val="es-ES"/>
        </w:rPr>
        <w:t>Asignación de números de canal a canales entrelazados y funcionamiento símplex de canales dúplex en la banda marítima de ondas métricas</w:t>
      </w:r>
    </w:p>
    <w:p w:rsidR="00312423" w:rsidRPr="005560AF" w:rsidRDefault="00312423" w:rsidP="00312423">
      <w:pPr>
        <w:pStyle w:val="Normalaftertitle"/>
        <w:rPr>
          <w:lang w:val="es-ES"/>
        </w:rPr>
      </w:pPr>
      <w:r w:rsidRPr="005560AF">
        <w:rPr>
          <w:b/>
          <w:lang w:val="es-ES"/>
        </w:rPr>
        <w:t>1</w:t>
      </w:r>
      <w:r w:rsidRPr="005560AF">
        <w:rPr>
          <w:b/>
          <w:lang w:val="es-ES"/>
        </w:rPr>
        <w:tab/>
      </w:r>
      <w:r w:rsidRPr="005560AF">
        <w:rPr>
          <w:lang w:val="es-ES"/>
        </w:rPr>
        <w:t>Para asignaciones de número de canal a canales de banda estrecha entrelazados con desplazamiento de 12,5 kHz:</w:t>
      </w:r>
    </w:p>
    <w:p w:rsidR="00312423" w:rsidRPr="00557637" w:rsidRDefault="00312423" w:rsidP="003144B5">
      <w:pPr>
        <w:pStyle w:val="Blanc"/>
        <w:rPr>
          <w:lang w:val="es-ES_tradnl"/>
        </w:rPr>
      </w:pPr>
    </w:p>
    <w:tbl>
      <w:tblPr>
        <w:tblW w:w="9752" w:type="dxa"/>
        <w:jc w:val="center"/>
        <w:tblLayout w:type="fixed"/>
        <w:tblCellMar>
          <w:left w:w="0" w:type="dxa"/>
          <w:right w:w="0" w:type="dxa"/>
        </w:tblCellMar>
        <w:tblLook w:val="0000" w:firstRow="0" w:lastRow="0" w:firstColumn="0" w:lastColumn="0" w:noHBand="0" w:noVBand="0"/>
      </w:tblPr>
      <w:tblGrid>
        <w:gridCol w:w="1190"/>
        <w:gridCol w:w="1701"/>
        <w:gridCol w:w="1361"/>
        <w:gridCol w:w="1701"/>
        <w:gridCol w:w="1474"/>
        <w:gridCol w:w="2302"/>
        <w:gridCol w:w="23"/>
      </w:tblGrid>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NÚMERO DEL CANAL</w:t>
            </w:r>
          </w:p>
        </w:tc>
        <w:tc>
          <w:tcPr>
            <w:tcW w:w="1361" w:type="dxa"/>
          </w:tcPr>
          <w:p w:rsidR="00312423" w:rsidRPr="005560AF" w:rsidRDefault="00312423" w:rsidP="00675622">
            <w:pPr>
              <w:pStyle w:val="Tabletext"/>
              <w:framePr w:hSpace="181" w:wrap="notBeside" w:vAnchor="text" w:hAnchor="text" w:xAlign="center" w:y="1"/>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ESTACIÓN</w:t>
            </w:r>
            <w:r w:rsidRPr="005560AF">
              <w:rPr>
                <w:sz w:val="18"/>
                <w:lang w:val="es-ES"/>
              </w:rPr>
              <w:br/>
              <w:t>DE BARCO</w:t>
            </w:r>
          </w:p>
        </w:tc>
        <w:tc>
          <w:tcPr>
            <w:tcW w:w="1474"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ESTACIÓN DE BARCO Y ESTACIÓN COSTERA</w:t>
            </w:r>
          </w:p>
        </w:tc>
        <w:tc>
          <w:tcPr>
            <w:tcW w:w="2325" w:type="dxa"/>
            <w:gridSpan w:val="2"/>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 xml:space="preserve">ESTACIÓN </w:t>
            </w:r>
            <w:r w:rsidRPr="005560AF">
              <w:rPr>
                <w:sz w:val="18"/>
                <w:lang w:val="es-ES"/>
              </w:rPr>
              <w:br/>
              <w:t>COSTERA</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 xml:space="preserve">Primer canal </w:t>
            </w:r>
            <w:r w:rsidRPr="005560AF">
              <w:rPr>
                <w:sz w:val="18"/>
                <w:lang w:val="es-ES"/>
              </w:rPr>
              <w:br/>
              <w:t>de 25 kHz</w:t>
            </w:r>
          </w:p>
        </w:tc>
        <w:tc>
          <w:tcPr>
            <w:tcW w:w="1701"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Canal de 12,5 kHz entrelazado</w:t>
            </w:r>
          </w:p>
        </w:tc>
        <w:tc>
          <w:tcPr>
            <w:tcW w:w="1361"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 xml:space="preserve">Segundo canal </w:t>
            </w:r>
            <w:r w:rsidRPr="005560AF">
              <w:rPr>
                <w:sz w:val="18"/>
                <w:lang w:val="es-ES"/>
              </w:rPr>
              <w:br/>
              <w:t>de 25 kHz</w:t>
            </w:r>
          </w:p>
        </w:tc>
        <w:tc>
          <w:tcPr>
            <w:tcW w:w="1701" w:type="dxa"/>
          </w:tcPr>
          <w:p w:rsidR="00312423" w:rsidRPr="005560AF" w:rsidRDefault="00312423" w:rsidP="00675622">
            <w:pPr>
              <w:pStyle w:val="Tabletext"/>
              <w:framePr w:hSpace="181" w:wrap="notBeside" w:vAnchor="text" w:hAnchor="text" w:xAlign="center" w:y="1"/>
              <w:jc w:val="center"/>
              <w:rPr>
                <w:sz w:val="18"/>
                <w:lang w:val="es-ES"/>
              </w:rPr>
            </w:pPr>
          </w:p>
        </w:tc>
        <w:tc>
          <w:tcPr>
            <w:tcW w:w="1474" w:type="dxa"/>
          </w:tcPr>
          <w:p w:rsidR="00312423" w:rsidRPr="005560AF" w:rsidRDefault="00312423" w:rsidP="00675622">
            <w:pPr>
              <w:pStyle w:val="Tabletext"/>
              <w:framePr w:hSpace="181" w:wrap="notBeside" w:vAnchor="text" w:hAnchor="text" w:xAlign="center" w:y="1"/>
              <w:jc w:val="center"/>
              <w:rPr>
                <w:sz w:val="18"/>
                <w:lang w:val="es-ES"/>
              </w:rPr>
            </w:pPr>
          </w:p>
        </w:tc>
        <w:tc>
          <w:tcPr>
            <w:tcW w:w="2325" w:type="dxa"/>
            <w:gridSpan w:val="2"/>
          </w:tcPr>
          <w:p w:rsidR="00312423" w:rsidRPr="005560AF" w:rsidRDefault="00312423" w:rsidP="00675622">
            <w:pPr>
              <w:pStyle w:val="Tabletext"/>
              <w:framePr w:hSpace="181" w:wrap="notBeside" w:vAnchor="text" w:hAnchor="text" w:xAlign="center" w:y="1"/>
              <w:jc w:val="center"/>
              <w:rPr>
                <w:sz w:val="18"/>
                <w:lang w:val="es-ES"/>
              </w:rPr>
            </w:pPr>
          </w:p>
        </w:tc>
      </w:tr>
      <w:tr w:rsidR="00312423" w:rsidRPr="005560AF" w:rsidTr="00675622">
        <w:trPr>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60</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156,025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gridSpan w:val="2"/>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160,625</w:t>
            </w:r>
          </w:p>
        </w:tc>
      </w:tr>
      <w:tr w:rsidR="00312423" w:rsidRPr="005560AF" w:rsidTr="00675622">
        <w:trPr>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260</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156,0375</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25" w:type="dxa"/>
            <w:gridSpan w:val="2"/>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160,6375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01</w:t>
            </w: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156,050</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25" w:type="dxa"/>
            <w:gridSpan w:val="2"/>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160,650</w:t>
            </w:r>
          </w:p>
        </w:tc>
      </w:tr>
      <w:tr w:rsidR="00312423" w:rsidRPr="005560AF" w:rsidTr="00675622">
        <w:trPr>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201</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156,0625</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25" w:type="dxa"/>
            <w:gridSpan w:val="2"/>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160,6625</w:t>
            </w:r>
          </w:p>
        </w:tc>
      </w:tr>
      <w:tr w:rsidR="00312423" w:rsidRPr="005560AF" w:rsidTr="00675622">
        <w:trPr>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61</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156,075</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25" w:type="dxa"/>
            <w:gridSpan w:val="2"/>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160,675</w:t>
            </w:r>
          </w:p>
        </w:tc>
      </w:tr>
      <w:tr w:rsidR="00312423" w:rsidRPr="005560AF" w:rsidTr="00675622">
        <w:trPr>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261</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156,0875</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25" w:type="dxa"/>
            <w:gridSpan w:val="2"/>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160,6875</w:t>
            </w:r>
          </w:p>
        </w:tc>
      </w:tr>
      <w:tr w:rsidR="00312423" w:rsidRPr="005560AF" w:rsidTr="00675622">
        <w:trPr>
          <w:gridAfter w:val="1"/>
          <w:wAfter w:w="23" w:type="dxa"/>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02</w:t>
            </w: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156,100</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160,700</w:t>
            </w:r>
          </w:p>
        </w:tc>
      </w:tr>
      <w:tr w:rsidR="00312423" w:rsidRPr="005560AF" w:rsidTr="00675622">
        <w:trPr>
          <w:gridAfter w:val="1"/>
          <w:wAfter w:w="23" w:type="dxa"/>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202</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156,1125</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160,7125</w:t>
            </w:r>
          </w:p>
        </w:tc>
      </w:tr>
      <w:tr w:rsidR="00312423" w:rsidRPr="005560AF" w:rsidTr="00675622">
        <w:trPr>
          <w:gridAfter w:val="1"/>
          <w:wAfter w:w="23" w:type="dxa"/>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62</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156,125</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160,725</w:t>
            </w:r>
          </w:p>
        </w:tc>
      </w:tr>
      <w:tr w:rsidR="00312423" w:rsidRPr="005560AF" w:rsidTr="00675622">
        <w:trPr>
          <w:gridAfter w:val="1"/>
          <w:wAfter w:w="23" w:type="dxa"/>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262</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156,1375</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160,7375</w:t>
            </w:r>
          </w:p>
        </w:tc>
      </w:tr>
      <w:tr w:rsidR="00312423" w:rsidRPr="005560AF" w:rsidTr="00675622">
        <w:trPr>
          <w:gridAfter w:val="1"/>
          <w:wAfter w:w="23" w:type="dxa"/>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03</w:t>
            </w: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156,150</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160,750</w:t>
            </w:r>
          </w:p>
        </w:tc>
      </w:tr>
      <w:tr w:rsidR="00312423" w:rsidRPr="005560AF" w:rsidTr="00675622">
        <w:trPr>
          <w:gridAfter w:val="1"/>
          <w:wAfter w:w="23" w:type="dxa"/>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203</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156,1625</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160,7625</w:t>
            </w:r>
          </w:p>
        </w:tc>
      </w:tr>
      <w:tr w:rsidR="00312423" w:rsidRPr="005560AF" w:rsidTr="00675622">
        <w:trPr>
          <w:gridAfter w:val="1"/>
          <w:wAfter w:w="23" w:type="dxa"/>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63</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156,175</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160,775</w:t>
            </w:r>
          </w:p>
        </w:tc>
      </w:tr>
      <w:tr w:rsidR="00312423" w:rsidRPr="005560AF" w:rsidTr="00675622">
        <w:trPr>
          <w:gridAfter w:val="1"/>
          <w:wAfter w:w="23" w:type="dxa"/>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263</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156,1875</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160,7875</w:t>
            </w:r>
          </w:p>
        </w:tc>
      </w:tr>
      <w:tr w:rsidR="00312423" w:rsidRPr="005560AF" w:rsidTr="00675622">
        <w:trPr>
          <w:gridAfter w:val="1"/>
          <w:wAfter w:w="23" w:type="dxa"/>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04</w:t>
            </w: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156,200</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160,800</w:t>
            </w:r>
          </w:p>
        </w:tc>
      </w:tr>
      <w:tr w:rsidR="00312423" w:rsidRPr="005560AF" w:rsidTr="00675622">
        <w:trPr>
          <w:gridAfter w:val="1"/>
          <w:wAfter w:w="23" w:type="dxa"/>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204</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156,2125</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160,8125</w:t>
            </w:r>
          </w:p>
        </w:tc>
      </w:tr>
      <w:tr w:rsidR="00312423" w:rsidRPr="005560AF" w:rsidTr="00675622">
        <w:trPr>
          <w:gridAfter w:val="1"/>
          <w:wAfter w:w="23" w:type="dxa"/>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64</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156,225</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160,825</w:t>
            </w:r>
          </w:p>
        </w:tc>
      </w:tr>
      <w:tr w:rsidR="00312423" w:rsidRPr="005560AF" w:rsidTr="00675622">
        <w:trPr>
          <w:gridAfter w:val="1"/>
          <w:wAfter w:w="23" w:type="dxa"/>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264</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156,2375</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160,8375</w:t>
            </w:r>
          </w:p>
        </w:tc>
      </w:tr>
      <w:tr w:rsidR="00312423" w:rsidRPr="005560AF" w:rsidTr="00675622">
        <w:trPr>
          <w:gridAfter w:val="1"/>
          <w:wAfter w:w="23" w:type="dxa"/>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05</w:t>
            </w: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156,250</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160,850</w:t>
            </w:r>
          </w:p>
        </w:tc>
      </w:tr>
      <w:tr w:rsidR="00312423" w:rsidRPr="005560AF" w:rsidTr="00675622">
        <w:trPr>
          <w:gridAfter w:val="1"/>
          <w:wAfter w:w="23" w:type="dxa"/>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205</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156,2625</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160,8625</w:t>
            </w:r>
          </w:p>
        </w:tc>
      </w:tr>
      <w:tr w:rsidR="00312423" w:rsidRPr="005560AF" w:rsidTr="00675622">
        <w:trPr>
          <w:gridAfter w:val="1"/>
          <w:wAfter w:w="23" w:type="dxa"/>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65</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156,275</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160,875</w:t>
            </w:r>
          </w:p>
        </w:tc>
      </w:tr>
      <w:tr w:rsidR="00312423" w:rsidRPr="005560AF" w:rsidTr="00675622">
        <w:trPr>
          <w:gridAfter w:val="1"/>
          <w:wAfter w:w="23" w:type="dxa"/>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265</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156,2875</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160,8875</w:t>
            </w:r>
          </w:p>
        </w:tc>
      </w:tr>
      <w:tr w:rsidR="00312423" w:rsidRPr="005560AF" w:rsidTr="00675622">
        <w:trPr>
          <w:gridAfter w:val="1"/>
          <w:wAfter w:w="23" w:type="dxa"/>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06</w:t>
            </w: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ind w:left="397"/>
              <w:rPr>
                <w:sz w:val="18"/>
                <w:lang w:val="es-ES"/>
              </w:rPr>
            </w:pP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156,300</w:t>
            </w: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gridAfter w:val="1"/>
          <w:wAfter w:w="23" w:type="dxa"/>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206</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156,3125</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160,9125</w:t>
            </w:r>
          </w:p>
        </w:tc>
      </w:tr>
      <w:tr w:rsidR="00312423" w:rsidRPr="005560AF" w:rsidTr="00675622">
        <w:trPr>
          <w:gridAfter w:val="1"/>
          <w:wAfter w:w="23" w:type="dxa"/>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66</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156,325</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160,925</w:t>
            </w:r>
          </w:p>
        </w:tc>
      </w:tr>
      <w:tr w:rsidR="00312423" w:rsidRPr="005560AF" w:rsidTr="00675622">
        <w:trPr>
          <w:gridAfter w:val="1"/>
          <w:wAfter w:w="23" w:type="dxa"/>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266</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156,3375</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160,9375</w:t>
            </w:r>
          </w:p>
        </w:tc>
      </w:tr>
      <w:tr w:rsidR="00312423" w:rsidRPr="005560AF" w:rsidTr="00675622">
        <w:trPr>
          <w:gridAfter w:val="1"/>
          <w:wAfter w:w="23" w:type="dxa"/>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07</w:t>
            </w: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156,350</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160,950</w:t>
            </w:r>
          </w:p>
        </w:tc>
      </w:tr>
      <w:tr w:rsidR="00312423" w:rsidRPr="005560AF" w:rsidTr="00675622">
        <w:trPr>
          <w:gridAfter w:val="1"/>
          <w:wAfter w:w="23" w:type="dxa"/>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207</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156,3625</w:t>
            </w: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160,9625</w:t>
            </w:r>
          </w:p>
        </w:tc>
      </w:tr>
      <w:tr w:rsidR="00312423" w:rsidRPr="005560AF" w:rsidTr="00675622">
        <w:trPr>
          <w:gridAfter w:val="1"/>
          <w:wAfter w:w="23" w:type="dxa"/>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67</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r w:rsidRPr="005560AF">
              <w:rPr>
                <w:sz w:val="18"/>
                <w:lang w:val="es-ES"/>
              </w:rPr>
              <w:t>156,375</w:t>
            </w: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gridAfter w:val="1"/>
          <w:wAfter w:w="23" w:type="dxa"/>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267</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r w:rsidRPr="005560AF">
              <w:rPr>
                <w:sz w:val="18"/>
                <w:lang w:val="es-ES"/>
              </w:rPr>
              <w:t>156,3875</w:t>
            </w: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gridAfter w:val="1"/>
          <w:wAfter w:w="23" w:type="dxa"/>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08</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r w:rsidRPr="005560AF">
              <w:rPr>
                <w:sz w:val="18"/>
                <w:lang w:val="es-ES"/>
              </w:rPr>
              <w:t>156,400</w:t>
            </w: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gridAfter w:val="1"/>
          <w:wAfter w:w="23" w:type="dxa"/>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208</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r w:rsidRPr="005560AF">
              <w:rPr>
                <w:sz w:val="18"/>
                <w:lang w:val="es-ES"/>
              </w:rPr>
              <w:t>156,4125</w:t>
            </w: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gridAfter w:val="1"/>
          <w:wAfter w:w="23" w:type="dxa"/>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68</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r w:rsidRPr="005560AF">
              <w:rPr>
                <w:sz w:val="18"/>
                <w:lang w:val="es-ES"/>
              </w:rPr>
              <w:t>156,425</w:t>
            </w: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gridAfter w:val="1"/>
          <w:wAfter w:w="23" w:type="dxa"/>
          <w:jc w:val="center"/>
        </w:trPr>
        <w:tc>
          <w:tcPr>
            <w:tcW w:w="1190"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268</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74"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lang w:val="es-ES"/>
              </w:rPr>
            </w:pPr>
            <w:r w:rsidRPr="005560AF">
              <w:rPr>
                <w:sz w:val="18"/>
                <w:lang w:val="es-ES"/>
              </w:rPr>
              <w:t>156,4375</w:t>
            </w:r>
          </w:p>
        </w:tc>
        <w:tc>
          <w:tcPr>
            <w:tcW w:w="2302"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bl>
    <w:p w:rsidR="00312423" w:rsidRPr="005560AF" w:rsidRDefault="00312423" w:rsidP="00312423">
      <w:pPr>
        <w:pStyle w:val="Tablefin"/>
        <w:rPr>
          <w:lang w:val="es-ES"/>
        </w:rPr>
      </w:pPr>
    </w:p>
    <w:p w:rsidR="00312423" w:rsidRPr="005560AF" w:rsidRDefault="00312423" w:rsidP="00312423">
      <w:pPr>
        <w:pStyle w:val="Index1"/>
        <w:rPr>
          <w:lang w:val="es-ES"/>
        </w:rPr>
      </w:pPr>
    </w:p>
    <w:tbl>
      <w:tblPr>
        <w:tblW w:w="9695" w:type="dxa"/>
        <w:jc w:val="center"/>
        <w:tblLayout w:type="fixed"/>
        <w:tblCellMar>
          <w:left w:w="0" w:type="dxa"/>
          <w:right w:w="0" w:type="dxa"/>
        </w:tblCellMar>
        <w:tblLook w:val="0000" w:firstRow="0" w:lastRow="0" w:firstColumn="0" w:lastColumn="0" w:noHBand="0" w:noVBand="0"/>
      </w:tblPr>
      <w:tblGrid>
        <w:gridCol w:w="1184"/>
        <w:gridCol w:w="1691"/>
        <w:gridCol w:w="1353"/>
        <w:gridCol w:w="1691"/>
        <w:gridCol w:w="1465"/>
        <w:gridCol w:w="2311"/>
      </w:tblGrid>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NÚMERO DEL CANAL</w:t>
            </w:r>
          </w:p>
        </w:tc>
        <w:tc>
          <w:tcPr>
            <w:tcW w:w="1353" w:type="dxa"/>
          </w:tcPr>
          <w:p w:rsidR="00312423" w:rsidRPr="005560AF" w:rsidRDefault="00312423" w:rsidP="00675622">
            <w:pPr>
              <w:pStyle w:val="Tabletext"/>
              <w:framePr w:hSpace="181" w:wrap="notBeside" w:vAnchor="text" w:hAnchor="text" w:xAlign="center" w:y="1"/>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ESTACIÓN</w:t>
            </w:r>
            <w:r w:rsidRPr="005560AF">
              <w:rPr>
                <w:sz w:val="18"/>
                <w:lang w:val="es-ES"/>
              </w:rPr>
              <w:br/>
              <w:t>DE BARCO</w:t>
            </w:r>
          </w:p>
        </w:tc>
        <w:tc>
          <w:tcPr>
            <w:tcW w:w="1465"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ESTACIÓN DE BARCO Y ESTACIÓN COSTERA</w:t>
            </w:r>
          </w:p>
        </w:tc>
        <w:tc>
          <w:tcPr>
            <w:tcW w:w="2311"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 xml:space="preserve">ESTACIÓN </w:t>
            </w:r>
            <w:r w:rsidRPr="005560AF">
              <w:rPr>
                <w:sz w:val="18"/>
                <w:lang w:val="es-ES"/>
              </w:rPr>
              <w:br/>
              <w:t>COSTERA</w:t>
            </w: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 xml:space="preserve">Primer canal </w:t>
            </w:r>
            <w:r w:rsidRPr="005560AF">
              <w:rPr>
                <w:sz w:val="18"/>
                <w:lang w:val="es-ES"/>
              </w:rPr>
              <w:br/>
              <w:t>de 25 kHz</w:t>
            </w:r>
          </w:p>
        </w:tc>
        <w:tc>
          <w:tcPr>
            <w:tcW w:w="1691"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Canal de 12,5 kHz entrelazado</w:t>
            </w:r>
          </w:p>
        </w:tc>
        <w:tc>
          <w:tcPr>
            <w:tcW w:w="1353"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 xml:space="preserve">Segundo canal </w:t>
            </w:r>
            <w:r w:rsidRPr="005560AF">
              <w:rPr>
                <w:sz w:val="18"/>
                <w:lang w:val="es-ES"/>
              </w:rPr>
              <w:br/>
              <w:t>de 25 kHz</w:t>
            </w:r>
          </w:p>
        </w:tc>
        <w:tc>
          <w:tcPr>
            <w:tcW w:w="1691" w:type="dxa"/>
          </w:tcPr>
          <w:p w:rsidR="00312423" w:rsidRPr="005560AF" w:rsidRDefault="00312423" w:rsidP="00675622">
            <w:pPr>
              <w:pStyle w:val="Tabletext"/>
              <w:framePr w:hSpace="181" w:wrap="notBeside" w:vAnchor="text" w:hAnchor="text" w:xAlign="center" w:y="1"/>
              <w:jc w:val="center"/>
              <w:rPr>
                <w:sz w:val="18"/>
                <w:lang w:val="es-ES"/>
              </w:rPr>
            </w:pPr>
          </w:p>
        </w:tc>
        <w:tc>
          <w:tcPr>
            <w:tcW w:w="1465" w:type="dxa"/>
          </w:tcPr>
          <w:p w:rsidR="00312423" w:rsidRPr="005560AF" w:rsidRDefault="00312423" w:rsidP="00675622">
            <w:pPr>
              <w:pStyle w:val="Tabletext"/>
              <w:framePr w:hSpace="181" w:wrap="notBeside" w:vAnchor="text" w:hAnchor="text" w:xAlign="center" w:y="1"/>
              <w:jc w:val="center"/>
              <w:rPr>
                <w:sz w:val="18"/>
                <w:lang w:val="es-ES"/>
              </w:rPr>
            </w:pPr>
          </w:p>
        </w:tc>
        <w:tc>
          <w:tcPr>
            <w:tcW w:w="2311" w:type="dxa"/>
          </w:tcPr>
          <w:p w:rsidR="00312423" w:rsidRPr="005560AF" w:rsidRDefault="00312423" w:rsidP="00675622">
            <w:pPr>
              <w:pStyle w:val="Tabletext"/>
              <w:framePr w:hSpace="181" w:wrap="notBeside" w:vAnchor="text" w:hAnchor="text" w:xAlign="center" w:y="1"/>
              <w:jc w:val="center"/>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09</w:t>
            </w: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156,450</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209</w:t>
            </w: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156,4625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69</w:t>
            </w: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156,475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269</w:t>
            </w: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156,4875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10</w:t>
            </w: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156,500</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7637"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210</w:t>
            </w: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156,5125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ind w:left="279" w:hanging="279"/>
              <w:jc w:val="left"/>
              <w:rPr>
                <w:sz w:val="18"/>
                <w:lang w:val="es-ES"/>
              </w:rPr>
            </w:pPr>
            <w:r w:rsidRPr="005560AF">
              <w:rPr>
                <w:sz w:val="18"/>
                <w:lang w:val="es-ES"/>
              </w:rPr>
              <w:tab/>
              <w:t>Banda de guarda de LLSD</w:t>
            </w:r>
          </w:p>
        </w:tc>
      </w:tr>
      <w:tr w:rsidR="00312423" w:rsidRPr="00557637"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70</w:t>
            </w: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156,525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s>
              <w:ind w:left="279" w:hanging="279"/>
              <w:jc w:val="left"/>
              <w:rPr>
                <w:sz w:val="18"/>
                <w:lang w:val="es-ES"/>
              </w:rPr>
            </w:pPr>
            <w:r w:rsidRPr="005560AF">
              <w:rPr>
                <w:b/>
                <w:sz w:val="18"/>
                <w:lang w:val="es-ES"/>
              </w:rPr>
              <w:tab/>
              <w:t>Llamada, socorro y seguridad de LLSD</w:t>
            </w:r>
          </w:p>
        </w:tc>
      </w:tr>
      <w:tr w:rsidR="00312423" w:rsidRPr="00557637"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270</w:t>
            </w: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156,5375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ind w:left="279" w:hanging="279"/>
              <w:jc w:val="left"/>
              <w:rPr>
                <w:sz w:val="18"/>
                <w:lang w:val="es-ES"/>
              </w:rPr>
            </w:pPr>
            <w:r w:rsidRPr="005560AF">
              <w:rPr>
                <w:sz w:val="18"/>
                <w:lang w:val="es-ES"/>
              </w:rPr>
              <w:tab/>
              <w:t>Banda de guarda de LLSD</w:t>
            </w: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11</w:t>
            </w: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156,550</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211</w:t>
            </w: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156,5625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71</w:t>
            </w: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156,575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271</w:t>
            </w: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156,5875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12</w:t>
            </w:r>
          </w:p>
        </w:tc>
        <w:tc>
          <w:tcPr>
            <w:tcW w:w="1691" w:type="dxa"/>
          </w:tcPr>
          <w:p w:rsidR="00312423" w:rsidRPr="005560AF" w:rsidRDefault="00312423" w:rsidP="00675622">
            <w:pPr>
              <w:pStyle w:val="TableText0"/>
              <w:framePr w:hSpace="181" w:wrap="notBeside" w:vAnchor="text" w:hAnchor="text" w:xAlign="center" w:y="1"/>
              <w:jc w:val="center"/>
              <w:rPr>
                <w:sz w:val="18"/>
                <w:lang w:val="es-ES"/>
              </w:rPr>
            </w:pP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156,600</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212</w:t>
            </w: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156,6125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72</w:t>
            </w: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156,625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272</w:t>
            </w: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156,6375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13</w:t>
            </w: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156,650</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213</w:t>
            </w: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156,6625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73</w:t>
            </w: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156,675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273</w:t>
            </w: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156,6875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14</w:t>
            </w: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156,700</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214</w:t>
            </w: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156,7125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74</w:t>
            </w: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156,725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274</w:t>
            </w: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156,7375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15</w:t>
            </w: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156,750</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215</w:t>
            </w: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156,7625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75</w:t>
            </w: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156,775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ind w:left="279" w:hanging="279"/>
              <w:jc w:val="left"/>
              <w:rPr>
                <w:sz w:val="18"/>
                <w:lang w:val="es-ES"/>
              </w:rPr>
            </w:pPr>
            <w:r w:rsidRPr="005560AF">
              <w:rPr>
                <w:sz w:val="18"/>
                <w:lang w:val="es-ES"/>
              </w:rPr>
              <w:tab/>
              <w:t>Banda de guarda</w:t>
            </w: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275</w:t>
            </w: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156,7875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ind w:left="279" w:hanging="279"/>
              <w:jc w:val="left"/>
              <w:rPr>
                <w:sz w:val="18"/>
                <w:lang w:val="es-ES"/>
              </w:rPr>
            </w:pPr>
            <w:r w:rsidRPr="005560AF">
              <w:rPr>
                <w:sz w:val="18"/>
                <w:lang w:val="es-ES"/>
              </w:rPr>
              <w:tab/>
              <w:t>Banda de guarda</w:t>
            </w: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16</w:t>
            </w: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b/>
                <w:sz w:val="18"/>
                <w:lang w:val="es-ES"/>
              </w:rPr>
              <w:t>156,800</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ind w:left="279" w:hanging="279"/>
              <w:jc w:val="left"/>
              <w:rPr>
                <w:sz w:val="18"/>
                <w:lang w:val="es-ES"/>
              </w:rPr>
            </w:pPr>
            <w:r w:rsidRPr="005560AF">
              <w:rPr>
                <w:sz w:val="18"/>
                <w:lang w:val="es-ES"/>
              </w:rPr>
              <w:tab/>
            </w:r>
            <w:r w:rsidRPr="005560AF">
              <w:rPr>
                <w:b/>
                <w:bCs/>
                <w:sz w:val="18"/>
                <w:lang w:val="es-ES"/>
              </w:rPr>
              <w:t>Llamada, socorro y seguridad</w:t>
            </w: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216</w:t>
            </w: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156,8125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ind w:left="279" w:hanging="279"/>
              <w:jc w:val="left"/>
              <w:rPr>
                <w:sz w:val="18"/>
                <w:lang w:val="es-ES"/>
              </w:rPr>
            </w:pPr>
            <w:r w:rsidRPr="005560AF">
              <w:rPr>
                <w:sz w:val="18"/>
                <w:lang w:val="es-ES"/>
              </w:rPr>
              <w:tab/>
              <w:t>Banda de guarda</w:t>
            </w: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76</w:t>
            </w: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156,825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ind w:left="279" w:hanging="279"/>
              <w:jc w:val="left"/>
              <w:rPr>
                <w:sz w:val="18"/>
                <w:lang w:val="es-ES"/>
              </w:rPr>
            </w:pPr>
            <w:r w:rsidRPr="005560AF">
              <w:rPr>
                <w:sz w:val="18"/>
                <w:lang w:val="es-ES"/>
              </w:rPr>
              <w:tab/>
              <w:t>Banda de guarda</w:t>
            </w: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276</w:t>
            </w: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156,8375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17</w:t>
            </w: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156,850</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217</w:t>
            </w: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156,8625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77</w:t>
            </w: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156,875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277</w:t>
            </w: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r w:rsidRPr="005560AF">
              <w:rPr>
                <w:sz w:val="18"/>
                <w:lang w:val="es-ES"/>
              </w:rPr>
              <w:t>156,8875</w:t>
            </w: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18</w:t>
            </w: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156,900</w:t>
            </w: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161,500</w:t>
            </w: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218</w:t>
            </w: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156,9125</w:t>
            </w: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161,5125</w:t>
            </w: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78</w:t>
            </w: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156,925</w:t>
            </w: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161,525</w:t>
            </w: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278</w:t>
            </w: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156,9375</w:t>
            </w: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161,5375</w:t>
            </w: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19</w:t>
            </w: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156,950</w:t>
            </w: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161,550</w:t>
            </w:r>
          </w:p>
        </w:tc>
      </w:tr>
      <w:tr w:rsidR="00312423" w:rsidRPr="005560AF" w:rsidTr="00675622">
        <w:trPr>
          <w:cantSplit/>
          <w:jc w:val="center"/>
        </w:trPr>
        <w:tc>
          <w:tcPr>
            <w:tcW w:w="118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219</w:t>
            </w:r>
          </w:p>
        </w:tc>
        <w:tc>
          <w:tcPr>
            <w:tcW w:w="1353"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69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156,9625</w:t>
            </w:r>
          </w:p>
        </w:tc>
        <w:tc>
          <w:tcPr>
            <w:tcW w:w="146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1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161,5625</w:t>
            </w:r>
          </w:p>
        </w:tc>
      </w:tr>
    </w:tbl>
    <w:p w:rsidR="00312423" w:rsidRPr="005560AF" w:rsidRDefault="00312423" w:rsidP="00312423">
      <w:pPr>
        <w:pStyle w:val="Tablefin"/>
        <w:rPr>
          <w:sz w:val="2"/>
          <w:lang w:val="es-ES"/>
        </w:rPr>
      </w:pPr>
    </w:p>
    <w:p w:rsidR="00312423" w:rsidRPr="005560AF" w:rsidRDefault="00312423" w:rsidP="00312423">
      <w:pPr>
        <w:pStyle w:val="Index1"/>
        <w:spacing w:before="0"/>
        <w:rPr>
          <w:sz w:val="20"/>
          <w:lang w:val="es-ES"/>
        </w:rPr>
      </w:pPr>
      <w:r w:rsidRPr="005560AF">
        <w:rPr>
          <w:lang w:val="es-ES"/>
        </w:rPr>
        <w:br w:type="page"/>
      </w:r>
    </w:p>
    <w:tbl>
      <w:tblPr>
        <w:tblW w:w="9752" w:type="dxa"/>
        <w:jc w:val="center"/>
        <w:tblLayout w:type="fixed"/>
        <w:tblCellMar>
          <w:left w:w="0" w:type="dxa"/>
          <w:right w:w="0" w:type="dxa"/>
        </w:tblCellMar>
        <w:tblLook w:val="0000" w:firstRow="0" w:lastRow="0" w:firstColumn="0" w:lastColumn="0" w:noHBand="0" w:noVBand="0"/>
      </w:tblPr>
      <w:tblGrid>
        <w:gridCol w:w="1190"/>
        <w:gridCol w:w="1701"/>
        <w:gridCol w:w="1361"/>
        <w:gridCol w:w="1701"/>
        <w:gridCol w:w="1474"/>
        <w:gridCol w:w="2325"/>
      </w:tblGrid>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NÚMERO DEL CANAL</w:t>
            </w:r>
          </w:p>
        </w:tc>
        <w:tc>
          <w:tcPr>
            <w:tcW w:w="1361" w:type="dxa"/>
          </w:tcPr>
          <w:p w:rsidR="00312423" w:rsidRPr="005560AF" w:rsidRDefault="00312423" w:rsidP="00675622">
            <w:pPr>
              <w:pStyle w:val="Tabletext"/>
              <w:framePr w:hSpace="181" w:wrap="notBeside" w:vAnchor="text" w:hAnchor="text" w:xAlign="center" w:y="1"/>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ESTACIÓN</w:t>
            </w:r>
            <w:r w:rsidRPr="005560AF">
              <w:rPr>
                <w:sz w:val="18"/>
                <w:lang w:val="es-ES"/>
              </w:rPr>
              <w:br/>
              <w:t>DE BARCO</w:t>
            </w:r>
          </w:p>
        </w:tc>
        <w:tc>
          <w:tcPr>
            <w:tcW w:w="1474"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ESTACIÓN DE BARCO Y ESTACIÓN COSTERA</w:t>
            </w:r>
          </w:p>
        </w:tc>
        <w:tc>
          <w:tcPr>
            <w:tcW w:w="2325"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 xml:space="preserve">ESTACIÓN </w:t>
            </w:r>
            <w:r w:rsidRPr="005560AF">
              <w:rPr>
                <w:sz w:val="18"/>
                <w:lang w:val="es-ES"/>
              </w:rPr>
              <w:br/>
              <w:t>COSTERA</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 xml:space="preserve">Primer canal </w:t>
            </w:r>
            <w:r w:rsidRPr="005560AF">
              <w:rPr>
                <w:sz w:val="18"/>
                <w:lang w:val="es-ES"/>
              </w:rPr>
              <w:br/>
              <w:t>de 25 kHz</w:t>
            </w:r>
          </w:p>
        </w:tc>
        <w:tc>
          <w:tcPr>
            <w:tcW w:w="1701"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Canal de 12,5 kHz entrelazado</w:t>
            </w:r>
          </w:p>
        </w:tc>
        <w:tc>
          <w:tcPr>
            <w:tcW w:w="1361"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 xml:space="preserve">Segundo canal </w:t>
            </w:r>
            <w:r w:rsidRPr="005560AF">
              <w:rPr>
                <w:sz w:val="18"/>
                <w:lang w:val="es-ES"/>
              </w:rPr>
              <w:br/>
              <w:t>de 25 kHz</w:t>
            </w:r>
          </w:p>
        </w:tc>
        <w:tc>
          <w:tcPr>
            <w:tcW w:w="1701" w:type="dxa"/>
          </w:tcPr>
          <w:p w:rsidR="00312423" w:rsidRPr="005560AF" w:rsidRDefault="00312423" w:rsidP="00675622">
            <w:pPr>
              <w:pStyle w:val="Tabletext"/>
              <w:framePr w:hSpace="181" w:wrap="notBeside" w:vAnchor="text" w:hAnchor="text" w:xAlign="center" w:y="1"/>
              <w:jc w:val="center"/>
              <w:rPr>
                <w:sz w:val="18"/>
                <w:lang w:val="es-ES"/>
              </w:rPr>
            </w:pPr>
          </w:p>
        </w:tc>
        <w:tc>
          <w:tcPr>
            <w:tcW w:w="1474" w:type="dxa"/>
          </w:tcPr>
          <w:p w:rsidR="00312423" w:rsidRPr="005560AF" w:rsidRDefault="00312423" w:rsidP="00675622">
            <w:pPr>
              <w:pStyle w:val="Tabletext"/>
              <w:framePr w:hSpace="181" w:wrap="notBeside" w:vAnchor="text" w:hAnchor="text" w:xAlign="center" w:y="1"/>
              <w:jc w:val="center"/>
              <w:rPr>
                <w:sz w:val="18"/>
                <w:lang w:val="es-ES"/>
              </w:rPr>
            </w:pPr>
          </w:p>
        </w:tc>
        <w:tc>
          <w:tcPr>
            <w:tcW w:w="2325" w:type="dxa"/>
          </w:tcPr>
          <w:p w:rsidR="00312423" w:rsidRPr="005560AF" w:rsidRDefault="00312423" w:rsidP="00675622">
            <w:pPr>
              <w:pStyle w:val="Tabletext"/>
              <w:framePr w:hSpace="181" w:wrap="notBeside" w:vAnchor="text" w:hAnchor="text" w:xAlign="center" w:y="1"/>
              <w:jc w:val="center"/>
              <w:rPr>
                <w:sz w:val="18"/>
                <w:lang w:val="es-ES"/>
              </w:rPr>
            </w:pP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79</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156,975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161,575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279</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156,9875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161,5875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20</w:t>
            </w: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157,000</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161,600</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220</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157,0125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161,6125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80</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157,025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161,625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280</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157,0375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161,6375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21</w:t>
            </w: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157,050</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161,650</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221</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157,0625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161,6625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81</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157,075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161,675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281</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157,0875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161,6875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22</w:t>
            </w: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157,100</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161,700</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222</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157,1125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161,7125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82</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157,125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161,725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282</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157,1375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161,7375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23</w:t>
            </w: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157,150</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161,750</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223</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157,1625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161,7625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83</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157,175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161,775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283</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157,1875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161,7875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24</w:t>
            </w: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157,200</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161,800</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224</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157,2125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161,8125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84</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157,225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161,825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284</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157,2375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161,8375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25</w:t>
            </w: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157,250</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161,850</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225</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157,2625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161,8625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85</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157,275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161,875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285</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157,2875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161,8875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26</w:t>
            </w: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157,300</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161,900</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226</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157,3125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161,9125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86</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157,325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161,925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286</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157,3375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161,9375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27</w:t>
            </w: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157,350</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161,950</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227</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157,3625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161,9625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87</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157,375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161,975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287</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158,3875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161,9875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28</w:t>
            </w: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157,400</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162,000</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228</w:t>
            </w: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157,4125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162,0125</w:t>
            </w:r>
          </w:p>
        </w:tc>
      </w:tr>
      <w:tr w:rsidR="00312423" w:rsidRPr="005560AF" w:rsidTr="00675622">
        <w:trPr>
          <w:jc w:val="center"/>
        </w:trPr>
        <w:tc>
          <w:tcPr>
            <w:tcW w:w="1190"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70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p>
        </w:tc>
        <w:tc>
          <w:tcPr>
            <w:tcW w:w="1361" w:type="dxa"/>
          </w:tcPr>
          <w:p w:rsidR="00312423" w:rsidRPr="005560AF" w:rsidRDefault="00312423" w:rsidP="00675622">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88</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s-ES"/>
              </w:rPr>
            </w:pPr>
            <w:r w:rsidRPr="005560AF">
              <w:rPr>
                <w:sz w:val="18"/>
                <w:lang w:val="es-ES"/>
              </w:rPr>
              <w:t>157,425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s-ES"/>
              </w:rPr>
            </w:pPr>
            <w:r w:rsidRPr="005560AF">
              <w:rPr>
                <w:sz w:val="18"/>
                <w:lang w:val="es-ES"/>
              </w:rPr>
              <w:t>162,025</w:t>
            </w:r>
          </w:p>
        </w:tc>
      </w:tr>
    </w:tbl>
    <w:p w:rsidR="00312423" w:rsidRPr="005560AF" w:rsidRDefault="00312423" w:rsidP="00312423">
      <w:pPr>
        <w:pStyle w:val="Tablefin"/>
        <w:rPr>
          <w:sz w:val="2"/>
          <w:lang w:val="es-ES"/>
        </w:rPr>
      </w:pPr>
    </w:p>
    <w:p w:rsidR="00312423" w:rsidRPr="005560AF" w:rsidRDefault="00312423" w:rsidP="00312423">
      <w:pPr>
        <w:pStyle w:val="Tablefin"/>
        <w:rPr>
          <w:lang w:val="es-ES"/>
        </w:rPr>
      </w:pPr>
    </w:p>
    <w:p w:rsidR="00312423" w:rsidRPr="005560AF" w:rsidRDefault="00312423" w:rsidP="00312423">
      <w:pPr>
        <w:rPr>
          <w:lang w:val="es-ES"/>
        </w:rPr>
      </w:pPr>
      <w:r w:rsidRPr="005560AF">
        <w:rPr>
          <w:b/>
          <w:lang w:val="es-ES"/>
        </w:rPr>
        <w:t>2</w:t>
      </w:r>
      <w:r w:rsidRPr="005560AF">
        <w:rPr>
          <w:b/>
          <w:lang w:val="es-ES"/>
        </w:rPr>
        <w:tab/>
      </w:r>
      <w:r w:rsidRPr="005560AF">
        <w:rPr>
          <w:lang w:val="es-ES"/>
        </w:rPr>
        <w:t>Ampliación de las asignaciones de número de canal para pasar a una separación entre canales de 6,25 kHz a partir de la separación entre canales de 25 kHz existente con canales con desplazamiento de 12,5 kHz entrelazados. (Esta secuencia de numeración de canal es un ejemplo.)</w:t>
      </w:r>
    </w:p>
    <w:p w:rsidR="00312423" w:rsidRPr="005560AF" w:rsidRDefault="00312423" w:rsidP="00312423">
      <w:pPr>
        <w:rPr>
          <w:lang w:val="es-ES"/>
        </w:rPr>
      </w:pPr>
      <w:r w:rsidRPr="005560AF">
        <w:rPr>
          <w:lang w:val="es-ES"/>
        </w:rPr>
        <w:br w:type="page"/>
      </w:r>
    </w:p>
    <w:tbl>
      <w:tblPr>
        <w:tblW w:w="9752" w:type="dxa"/>
        <w:jc w:val="center"/>
        <w:tblLayout w:type="fixed"/>
        <w:tblCellMar>
          <w:left w:w="107" w:type="dxa"/>
          <w:right w:w="107" w:type="dxa"/>
        </w:tblCellMar>
        <w:tblLook w:val="0000" w:firstRow="0" w:lastRow="0" w:firstColumn="0" w:lastColumn="0" w:noHBand="0" w:noVBand="0"/>
      </w:tblPr>
      <w:tblGrid>
        <w:gridCol w:w="850"/>
        <w:gridCol w:w="851"/>
        <w:gridCol w:w="851"/>
        <w:gridCol w:w="851"/>
        <w:gridCol w:w="851"/>
        <w:gridCol w:w="1700"/>
        <w:gridCol w:w="1474"/>
        <w:gridCol w:w="2324"/>
      </w:tblGrid>
      <w:tr w:rsidR="00312423" w:rsidRPr="005560AF" w:rsidTr="00675622">
        <w:trPr>
          <w:cantSplit/>
          <w:jc w:val="center"/>
        </w:trPr>
        <w:tc>
          <w:tcPr>
            <w:tcW w:w="4253" w:type="dxa"/>
            <w:gridSpan w:val="5"/>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lastRenderedPageBreak/>
              <w:t>NÚMERO DEL CANAL</w:t>
            </w:r>
            <w:r w:rsidRPr="005560AF">
              <w:rPr>
                <w:sz w:val="18"/>
                <w:lang w:val="es-ES"/>
              </w:rPr>
              <w:br/>
              <w:t>(separación de 6,25 kHz)</w:t>
            </w:r>
          </w:p>
        </w:tc>
        <w:tc>
          <w:tcPr>
            <w:tcW w:w="1701"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 xml:space="preserve">ESTACIÓN </w:t>
            </w:r>
            <w:r w:rsidRPr="005560AF">
              <w:rPr>
                <w:sz w:val="18"/>
                <w:lang w:val="es-ES"/>
              </w:rPr>
              <w:br/>
              <w:t>DE BARCO</w:t>
            </w:r>
          </w:p>
        </w:tc>
        <w:tc>
          <w:tcPr>
            <w:tcW w:w="1474"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ESTACIÓN DE BARCO Y ESTACIÓN COSTERA</w:t>
            </w:r>
          </w:p>
        </w:tc>
        <w:tc>
          <w:tcPr>
            <w:tcW w:w="2325"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 xml:space="preserve">ESTACIÓN </w:t>
            </w:r>
            <w:r w:rsidRPr="005560AF">
              <w:rPr>
                <w:sz w:val="18"/>
                <w:lang w:val="es-ES"/>
              </w:rPr>
              <w:br/>
              <w:t>COSTERA</w:t>
            </w:r>
          </w:p>
        </w:tc>
      </w:tr>
      <w:tr w:rsidR="00312423" w:rsidRPr="005560AF" w:rsidTr="00675622">
        <w:trPr>
          <w:cantSplit/>
          <w:jc w:val="center"/>
        </w:trPr>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60</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s-ES"/>
              </w:rPr>
            </w:pPr>
            <w:r w:rsidRPr="005560AF">
              <w:rPr>
                <w:sz w:val="18"/>
                <w:lang w:val="es-ES"/>
              </w:rPr>
              <w:t>156,025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s-ES"/>
              </w:rPr>
            </w:pPr>
            <w:r w:rsidRPr="005560AF">
              <w:rPr>
                <w:sz w:val="18"/>
                <w:lang w:val="es-ES"/>
              </w:rPr>
              <w:t>160,625</w:t>
            </w:r>
          </w:p>
        </w:tc>
      </w:tr>
      <w:tr w:rsidR="00312423" w:rsidRPr="005560AF" w:rsidTr="00675622">
        <w:trPr>
          <w:cantSplit/>
          <w:jc w:val="center"/>
        </w:trPr>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160</w:t>
            </w: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s-ES"/>
              </w:rPr>
            </w:pPr>
            <w:r w:rsidRPr="005560AF">
              <w:rPr>
                <w:sz w:val="18"/>
                <w:lang w:val="es-ES"/>
              </w:rPr>
              <w:t>156,03125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s-ES"/>
              </w:rPr>
            </w:pPr>
            <w:r w:rsidRPr="005560AF">
              <w:rPr>
                <w:sz w:val="18"/>
                <w:lang w:val="es-ES"/>
              </w:rPr>
              <w:t>160,63125</w:t>
            </w:r>
          </w:p>
        </w:tc>
      </w:tr>
      <w:tr w:rsidR="00312423" w:rsidRPr="005560AF" w:rsidTr="00675622">
        <w:trPr>
          <w:cantSplit/>
          <w:jc w:val="center"/>
        </w:trPr>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260</w:t>
            </w: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s-ES"/>
              </w:rPr>
            </w:pPr>
            <w:r w:rsidRPr="005560AF">
              <w:rPr>
                <w:sz w:val="18"/>
                <w:lang w:val="es-ES"/>
              </w:rPr>
              <w:t>156,0375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s-ES"/>
              </w:rPr>
            </w:pPr>
            <w:r w:rsidRPr="005560AF">
              <w:rPr>
                <w:sz w:val="18"/>
                <w:lang w:val="es-ES"/>
              </w:rPr>
              <w:t>160,6375</w:t>
            </w:r>
          </w:p>
        </w:tc>
      </w:tr>
      <w:tr w:rsidR="00312423" w:rsidRPr="005560AF" w:rsidTr="00675622">
        <w:trPr>
          <w:cantSplit/>
          <w:jc w:val="center"/>
        </w:trPr>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360</w:t>
            </w: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s-ES"/>
              </w:rPr>
            </w:pPr>
            <w:r w:rsidRPr="005560AF">
              <w:rPr>
                <w:sz w:val="18"/>
                <w:lang w:val="es-ES"/>
              </w:rPr>
              <w:t>156,04375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s-ES"/>
              </w:rPr>
            </w:pPr>
            <w:r w:rsidRPr="005560AF">
              <w:rPr>
                <w:sz w:val="18"/>
                <w:lang w:val="es-ES"/>
              </w:rPr>
              <w:t>160,64375</w:t>
            </w:r>
          </w:p>
        </w:tc>
      </w:tr>
      <w:tr w:rsidR="00312423" w:rsidRPr="005560AF" w:rsidTr="00675622">
        <w:trPr>
          <w:cantSplit/>
          <w:jc w:val="center"/>
        </w:trPr>
        <w:tc>
          <w:tcPr>
            <w:tcW w:w="851"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01</w:t>
            </w: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s-ES"/>
              </w:rPr>
            </w:pPr>
            <w:r w:rsidRPr="005560AF">
              <w:rPr>
                <w:sz w:val="18"/>
                <w:lang w:val="es-ES"/>
              </w:rPr>
              <w:t>156,050</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s-ES"/>
              </w:rPr>
            </w:pPr>
            <w:r w:rsidRPr="005560AF">
              <w:rPr>
                <w:sz w:val="18"/>
                <w:lang w:val="es-ES"/>
              </w:rPr>
              <w:t>160,650</w:t>
            </w:r>
          </w:p>
        </w:tc>
      </w:tr>
      <w:tr w:rsidR="00312423" w:rsidRPr="005560AF" w:rsidTr="00675622">
        <w:trPr>
          <w:cantSplit/>
          <w:jc w:val="center"/>
        </w:trPr>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101</w:t>
            </w: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s-ES"/>
              </w:rPr>
            </w:pPr>
            <w:r w:rsidRPr="005560AF">
              <w:rPr>
                <w:sz w:val="18"/>
                <w:lang w:val="es-ES"/>
              </w:rPr>
              <w:t>156,05625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s-ES"/>
              </w:rPr>
            </w:pPr>
            <w:r w:rsidRPr="005560AF">
              <w:rPr>
                <w:sz w:val="18"/>
                <w:lang w:val="es-ES"/>
              </w:rPr>
              <w:t>160,65625</w:t>
            </w:r>
          </w:p>
        </w:tc>
      </w:tr>
      <w:tr w:rsidR="00312423" w:rsidRPr="005560AF" w:rsidTr="00675622">
        <w:trPr>
          <w:cantSplit/>
          <w:jc w:val="center"/>
        </w:trPr>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201</w:t>
            </w: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s-ES"/>
              </w:rPr>
            </w:pPr>
            <w:r w:rsidRPr="005560AF">
              <w:rPr>
                <w:sz w:val="18"/>
                <w:lang w:val="es-ES"/>
              </w:rPr>
              <w:t>156,0625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s-ES"/>
              </w:rPr>
            </w:pPr>
            <w:r w:rsidRPr="005560AF">
              <w:rPr>
                <w:sz w:val="18"/>
                <w:lang w:val="es-ES"/>
              </w:rPr>
              <w:t>160,6625</w:t>
            </w:r>
          </w:p>
        </w:tc>
      </w:tr>
      <w:tr w:rsidR="00312423" w:rsidRPr="005560AF" w:rsidTr="00675622">
        <w:trPr>
          <w:cantSplit/>
          <w:jc w:val="center"/>
        </w:trPr>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301</w:t>
            </w: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s-ES"/>
              </w:rPr>
            </w:pPr>
            <w:r w:rsidRPr="005560AF">
              <w:rPr>
                <w:sz w:val="18"/>
                <w:lang w:val="es-ES"/>
              </w:rPr>
              <w:t>156,06875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s-ES"/>
              </w:rPr>
            </w:pPr>
            <w:r w:rsidRPr="005560AF">
              <w:rPr>
                <w:sz w:val="18"/>
                <w:lang w:val="es-ES"/>
              </w:rPr>
              <w:t>160,66875</w:t>
            </w:r>
          </w:p>
        </w:tc>
      </w:tr>
      <w:tr w:rsidR="00312423" w:rsidRPr="005560AF" w:rsidTr="00675622">
        <w:trPr>
          <w:cantSplit/>
          <w:jc w:val="center"/>
        </w:trPr>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0"/>
              <w:framePr w:hSpace="181" w:wrap="notBeside" w:vAnchor="text" w:hAnchor="text" w:xAlign="center" w:y="1"/>
              <w:jc w:val="center"/>
              <w:rPr>
                <w:sz w:val="18"/>
                <w:lang w:val="es-ES"/>
              </w:rPr>
            </w:pPr>
          </w:p>
        </w:tc>
        <w:tc>
          <w:tcPr>
            <w:tcW w:w="851"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61</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s-ES"/>
              </w:rPr>
            </w:pPr>
            <w:r w:rsidRPr="005560AF">
              <w:rPr>
                <w:sz w:val="18"/>
                <w:lang w:val="es-ES"/>
              </w:rPr>
              <w:t>156,075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s-ES"/>
              </w:rPr>
            </w:pPr>
            <w:r w:rsidRPr="005560AF">
              <w:rPr>
                <w:sz w:val="18"/>
                <w:lang w:val="es-ES"/>
              </w:rPr>
              <w:t>160,675</w:t>
            </w:r>
          </w:p>
        </w:tc>
      </w:tr>
    </w:tbl>
    <w:p w:rsidR="00312423" w:rsidRPr="005560AF" w:rsidRDefault="00312423" w:rsidP="00312423">
      <w:pPr>
        <w:pStyle w:val="Tablefin"/>
        <w:rPr>
          <w:lang w:val="es-ES"/>
        </w:rPr>
      </w:pPr>
    </w:p>
    <w:p w:rsidR="00312423" w:rsidRPr="005560AF" w:rsidRDefault="00312423" w:rsidP="00312423">
      <w:pPr>
        <w:rPr>
          <w:lang w:val="es-ES"/>
        </w:rPr>
      </w:pPr>
      <w:r w:rsidRPr="005560AF">
        <w:rPr>
          <w:b/>
          <w:lang w:val="es-ES"/>
        </w:rPr>
        <w:t>3</w:t>
      </w:r>
      <w:r w:rsidRPr="005560AF">
        <w:rPr>
          <w:lang w:val="es-ES"/>
        </w:rPr>
        <w:tab/>
        <w:t>Para asignaciones de número de canal para funcionamiento símplex de canales dúplex. (Esta secuencia de numeración de canal se indica a título de ejemplo.)</w:t>
      </w:r>
    </w:p>
    <w:p w:rsidR="00312423" w:rsidRPr="005560AF" w:rsidRDefault="00312423" w:rsidP="00312423">
      <w:pPr>
        <w:rPr>
          <w:lang w:val="es-ES"/>
        </w:rPr>
      </w:pPr>
    </w:p>
    <w:tbl>
      <w:tblPr>
        <w:tblW w:w="9752" w:type="dxa"/>
        <w:jc w:val="center"/>
        <w:tblLayout w:type="fixed"/>
        <w:tblCellMar>
          <w:left w:w="107" w:type="dxa"/>
          <w:right w:w="107" w:type="dxa"/>
        </w:tblCellMar>
        <w:tblLook w:val="0000" w:firstRow="0" w:lastRow="0" w:firstColumn="0" w:lastColumn="0" w:noHBand="0" w:noVBand="0"/>
      </w:tblPr>
      <w:tblGrid>
        <w:gridCol w:w="4253"/>
        <w:gridCol w:w="1701"/>
        <w:gridCol w:w="1474"/>
        <w:gridCol w:w="2324"/>
      </w:tblGrid>
      <w:tr w:rsidR="00312423" w:rsidRPr="005560AF" w:rsidTr="00675622">
        <w:trPr>
          <w:cantSplit/>
          <w:jc w:val="center"/>
        </w:trPr>
        <w:tc>
          <w:tcPr>
            <w:tcW w:w="4255"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NÚMERO DEL CANAL</w:t>
            </w:r>
          </w:p>
        </w:tc>
        <w:tc>
          <w:tcPr>
            <w:tcW w:w="1701"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 xml:space="preserve">ESTACIÓN </w:t>
            </w:r>
            <w:r w:rsidRPr="005560AF">
              <w:rPr>
                <w:sz w:val="18"/>
                <w:lang w:val="es-ES"/>
              </w:rPr>
              <w:br/>
              <w:t>DE BARCO</w:t>
            </w:r>
          </w:p>
        </w:tc>
        <w:tc>
          <w:tcPr>
            <w:tcW w:w="1474"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ESTACIÓN DE BARCO Y ESTACIÓN COSTERA</w:t>
            </w:r>
          </w:p>
        </w:tc>
        <w:tc>
          <w:tcPr>
            <w:tcW w:w="2325"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 xml:space="preserve">ESTACIÓN </w:t>
            </w:r>
            <w:r w:rsidRPr="005560AF">
              <w:rPr>
                <w:sz w:val="18"/>
                <w:lang w:val="es-ES"/>
              </w:rPr>
              <w:br/>
              <w:t>COSTERA</w:t>
            </w:r>
          </w:p>
        </w:tc>
      </w:tr>
      <w:tr w:rsidR="00312423" w:rsidRPr="00557637" w:rsidTr="00675622">
        <w:trPr>
          <w:cantSplit/>
          <w:jc w:val="center"/>
        </w:trPr>
        <w:tc>
          <w:tcPr>
            <w:tcW w:w="425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s-ES"/>
              </w:rPr>
            </w:pPr>
            <w:r w:rsidRPr="005560AF">
              <w:rPr>
                <w:b/>
                <w:sz w:val="18"/>
                <w:lang w:val="es-ES"/>
              </w:rPr>
              <w:t>Para el funcionamiento dúplex normal:</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s-ES"/>
              </w:rPr>
            </w:pP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es-ES"/>
              </w:rPr>
            </w:pPr>
          </w:p>
        </w:tc>
      </w:tr>
      <w:tr w:rsidR="00312423" w:rsidRPr="005560AF" w:rsidTr="00675622">
        <w:trPr>
          <w:cantSplit/>
          <w:jc w:val="center"/>
        </w:trPr>
        <w:tc>
          <w:tcPr>
            <w:tcW w:w="425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60</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s-ES"/>
              </w:rPr>
            </w:pPr>
            <w:r w:rsidRPr="005560AF">
              <w:rPr>
                <w:sz w:val="18"/>
                <w:lang w:val="es-ES"/>
              </w:rPr>
              <w:t>156,025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s-ES"/>
              </w:rPr>
            </w:pPr>
            <w:r w:rsidRPr="005560AF">
              <w:rPr>
                <w:sz w:val="18"/>
                <w:lang w:val="es-ES"/>
              </w:rPr>
              <w:t>–</w:t>
            </w: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es-ES"/>
              </w:rPr>
            </w:pPr>
            <w:r w:rsidRPr="005560AF">
              <w:rPr>
                <w:sz w:val="18"/>
                <w:lang w:val="es-ES"/>
              </w:rPr>
              <w:t>160,625</w:t>
            </w:r>
          </w:p>
        </w:tc>
      </w:tr>
      <w:tr w:rsidR="00312423" w:rsidRPr="00557637" w:rsidTr="00675622">
        <w:trPr>
          <w:cantSplit/>
          <w:jc w:val="center"/>
        </w:trPr>
        <w:tc>
          <w:tcPr>
            <w:tcW w:w="425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s-ES"/>
              </w:rPr>
            </w:pPr>
            <w:r w:rsidRPr="005560AF">
              <w:rPr>
                <w:b/>
                <w:sz w:val="18"/>
                <w:lang w:val="es-ES"/>
              </w:rPr>
              <w:t>Para el funcionamiento símplex de frecuencias de estaciones de barco:</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s-ES"/>
              </w:rPr>
            </w:pP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es-ES"/>
              </w:rPr>
            </w:pPr>
          </w:p>
        </w:tc>
      </w:tr>
      <w:tr w:rsidR="00312423" w:rsidRPr="005560AF" w:rsidTr="00675622">
        <w:trPr>
          <w:cantSplit/>
          <w:jc w:val="center"/>
        </w:trPr>
        <w:tc>
          <w:tcPr>
            <w:tcW w:w="425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sz w:val="18"/>
                <w:lang w:val="es-ES"/>
              </w:rPr>
              <w:t>1</w:t>
            </w:r>
            <w:r w:rsidRPr="005560AF">
              <w:rPr>
                <w:rFonts w:ascii="Tms Rmn" w:hAnsi="Tms Rmn"/>
                <w:sz w:val="18"/>
                <w:lang w:val="es-ES"/>
              </w:rPr>
              <w:t> </w:t>
            </w:r>
            <w:r w:rsidRPr="005560AF">
              <w:rPr>
                <w:sz w:val="18"/>
                <w:lang w:val="es-ES"/>
              </w:rPr>
              <w:t>060 (véase la Nota 1)</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s-ES"/>
              </w:rPr>
            </w:pPr>
            <w:r w:rsidRPr="005560AF">
              <w:rPr>
                <w:sz w:val="18"/>
                <w:lang w:val="es-ES"/>
              </w:rPr>
              <w:t>–</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s-ES"/>
              </w:rPr>
            </w:pPr>
            <w:r w:rsidRPr="005560AF">
              <w:rPr>
                <w:sz w:val="18"/>
                <w:lang w:val="es-ES"/>
              </w:rPr>
              <w:t>156,025</w:t>
            </w: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es-ES"/>
              </w:rPr>
            </w:pPr>
            <w:r w:rsidRPr="005560AF">
              <w:rPr>
                <w:sz w:val="18"/>
                <w:lang w:val="es-ES"/>
              </w:rPr>
              <w:t>–</w:t>
            </w:r>
          </w:p>
        </w:tc>
      </w:tr>
      <w:tr w:rsidR="00312423" w:rsidRPr="00557637" w:rsidTr="00675622">
        <w:trPr>
          <w:cantSplit/>
          <w:jc w:val="center"/>
        </w:trPr>
        <w:tc>
          <w:tcPr>
            <w:tcW w:w="425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s-ES"/>
              </w:rPr>
            </w:pPr>
            <w:r w:rsidRPr="005560AF">
              <w:rPr>
                <w:b/>
                <w:sz w:val="18"/>
                <w:lang w:val="es-ES"/>
              </w:rPr>
              <w:t>Para el funcionamiento símplex de frecuencias de estaciones costeras:</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s-ES"/>
              </w:rPr>
            </w:pP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es-ES"/>
              </w:rPr>
            </w:pPr>
          </w:p>
        </w:tc>
      </w:tr>
      <w:tr w:rsidR="00312423" w:rsidRPr="005560AF" w:rsidTr="00675622">
        <w:trPr>
          <w:cantSplit/>
          <w:jc w:val="center"/>
        </w:trPr>
        <w:tc>
          <w:tcPr>
            <w:tcW w:w="4253"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2</w:t>
            </w:r>
            <w:r w:rsidRPr="005560AF">
              <w:rPr>
                <w:rFonts w:ascii="Tms Rmn" w:hAnsi="Tms Rmn"/>
                <w:sz w:val="18"/>
                <w:lang w:val="es-ES"/>
              </w:rPr>
              <w:t> </w:t>
            </w:r>
            <w:r w:rsidRPr="005560AF">
              <w:rPr>
                <w:sz w:val="18"/>
                <w:lang w:val="es-ES"/>
              </w:rPr>
              <w:t>060 (véase la Nota 1)</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s-ES"/>
              </w:rPr>
            </w:pPr>
            <w:r w:rsidRPr="005560AF">
              <w:rPr>
                <w:sz w:val="18"/>
                <w:lang w:val="es-ES"/>
              </w:rPr>
              <w:t>–</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s-ES"/>
              </w:rPr>
            </w:pPr>
            <w:r w:rsidRPr="005560AF">
              <w:rPr>
                <w:sz w:val="18"/>
                <w:lang w:val="es-ES"/>
              </w:rPr>
              <w:t>160,625</w:t>
            </w:r>
          </w:p>
        </w:tc>
        <w:tc>
          <w:tcPr>
            <w:tcW w:w="232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es-ES"/>
              </w:rPr>
            </w:pPr>
            <w:r w:rsidRPr="005560AF">
              <w:rPr>
                <w:sz w:val="18"/>
                <w:lang w:val="es-ES"/>
              </w:rPr>
              <w:t>–</w:t>
            </w:r>
          </w:p>
        </w:tc>
      </w:tr>
    </w:tbl>
    <w:p w:rsidR="00312423" w:rsidRPr="005560AF" w:rsidRDefault="00312423" w:rsidP="00312423">
      <w:pPr>
        <w:pStyle w:val="Tablefin"/>
        <w:rPr>
          <w:lang w:val="es-ES"/>
        </w:rPr>
      </w:pPr>
    </w:p>
    <w:p w:rsidR="00312423" w:rsidRPr="005560AF" w:rsidRDefault="00312423" w:rsidP="00312423">
      <w:pPr>
        <w:pStyle w:val="Note"/>
        <w:rPr>
          <w:lang w:val="es-ES"/>
        </w:rPr>
      </w:pPr>
      <w:r w:rsidRPr="005560AF">
        <w:rPr>
          <w:lang w:val="es-ES"/>
        </w:rPr>
        <w:t>NOTA 1 – Este método de numeración de un canal dúplex utilizado para el funcionamiento símplex está en conformidad con el Cuadro 13 del Anexo 1 a la Recomendación UIT</w:t>
      </w:r>
      <w:r w:rsidRPr="005560AF">
        <w:rPr>
          <w:lang w:val="es-ES"/>
        </w:rPr>
        <w:noBreakHyphen/>
        <w:t>R M.493.</w:t>
      </w:r>
    </w:p>
    <w:p w:rsidR="00312423" w:rsidRPr="005560AF" w:rsidRDefault="00312423" w:rsidP="00312423">
      <w:pPr>
        <w:rPr>
          <w:lang w:val="es-ES"/>
        </w:rPr>
      </w:pPr>
      <w:r w:rsidRPr="005560AF">
        <w:rPr>
          <w:b/>
          <w:bCs/>
          <w:lang w:val="es-ES"/>
        </w:rPr>
        <w:t>4</w:t>
      </w:r>
      <w:r w:rsidRPr="005560AF">
        <w:rPr>
          <w:lang w:val="es-ES"/>
        </w:rPr>
        <w:tab/>
        <w:t>Para asignaciones por número de canal y funcionamientos en banda estrecha (12,5 kHz) en canales de 25 kHz. A modo de ejemplo se proporciona la siguiente referencia de números:</w:t>
      </w:r>
    </w:p>
    <w:p w:rsidR="00312423" w:rsidRPr="005560AF" w:rsidRDefault="00312423" w:rsidP="00312423">
      <w:pPr>
        <w:rPr>
          <w:lang w:val="es-ES"/>
        </w:rPr>
      </w:pPr>
    </w:p>
    <w:tbl>
      <w:tblPr>
        <w:tblW w:w="9752" w:type="dxa"/>
        <w:jc w:val="center"/>
        <w:tblLayout w:type="fixed"/>
        <w:tblCellMar>
          <w:left w:w="107" w:type="dxa"/>
          <w:right w:w="107" w:type="dxa"/>
        </w:tblCellMar>
        <w:tblLook w:val="0000" w:firstRow="0" w:lastRow="0" w:firstColumn="0" w:lastColumn="0" w:noHBand="0" w:noVBand="0"/>
      </w:tblPr>
      <w:tblGrid>
        <w:gridCol w:w="4253"/>
        <w:gridCol w:w="1701"/>
        <w:gridCol w:w="1474"/>
        <w:gridCol w:w="2324"/>
      </w:tblGrid>
      <w:tr w:rsidR="00312423" w:rsidRPr="005560AF" w:rsidTr="00675622">
        <w:trPr>
          <w:cantSplit/>
          <w:jc w:val="center"/>
        </w:trPr>
        <w:tc>
          <w:tcPr>
            <w:tcW w:w="4255"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NÚMERO DEL CANAL</w:t>
            </w:r>
          </w:p>
        </w:tc>
        <w:tc>
          <w:tcPr>
            <w:tcW w:w="1701"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 xml:space="preserve">ESTACIÓN </w:t>
            </w:r>
            <w:r w:rsidRPr="005560AF">
              <w:rPr>
                <w:sz w:val="18"/>
                <w:lang w:val="es-ES"/>
              </w:rPr>
              <w:br/>
              <w:t>DE BARCO</w:t>
            </w:r>
          </w:p>
        </w:tc>
        <w:tc>
          <w:tcPr>
            <w:tcW w:w="1474"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ESTACIÓN DE BARCO Y ESTACIÓN COSTERA</w:t>
            </w:r>
          </w:p>
        </w:tc>
        <w:tc>
          <w:tcPr>
            <w:tcW w:w="2325" w:type="dxa"/>
          </w:tcPr>
          <w:p w:rsidR="00312423" w:rsidRPr="005560AF" w:rsidRDefault="00312423" w:rsidP="00675622">
            <w:pPr>
              <w:pStyle w:val="Tabletext"/>
              <w:framePr w:hSpace="181" w:wrap="notBeside" w:vAnchor="text" w:hAnchor="text" w:xAlign="center" w:y="1"/>
              <w:jc w:val="center"/>
              <w:rPr>
                <w:sz w:val="18"/>
                <w:lang w:val="es-ES"/>
              </w:rPr>
            </w:pPr>
            <w:r w:rsidRPr="005560AF">
              <w:rPr>
                <w:sz w:val="18"/>
                <w:lang w:val="es-ES"/>
              </w:rPr>
              <w:t xml:space="preserve">ESTACIÓN </w:t>
            </w:r>
            <w:r w:rsidRPr="005560AF">
              <w:rPr>
                <w:sz w:val="18"/>
                <w:lang w:val="es-ES"/>
              </w:rPr>
              <w:br/>
              <w:t>COSTERA</w:t>
            </w:r>
          </w:p>
        </w:tc>
      </w:tr>
      <w:tr w:rsidR="00312423" w:rsidRPr="00557637" w:rsidTr="00675622">
        <w:trPr>
          <w:cantSplit/>
          <w:jc w:val="center"/>
        </w:trPr>
        <w:tc>
          <w:tcPr>
            <w:tcW w:w="425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s-ES"/>
              </w:rPr>
            </w:pPr>
            <w:r w:rsidRPr="005560AF">
              <w:rPr>
                <w:b/>
                <w:bCs/>
                <w:sz w:val="18"/>
                <w:lang w:val="es-ES"/>
              </w:rPr>
              <w:t>Para funcionamiento de canal normal:</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s-ES"/>
              </w:rPr>
            </w:pP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es-ES"/>
              </w:rPr>
            </w:pPr>
          </w:p>
        </w:tc>
      </w:tr>
      <w:tr w:rsidR="00312423" w:rsidRPr="005560AF" w:rsidTr="00675622">
        <w:trPr>
          <w:cantSplit/>
          <w:jc w:val="center"/>
        </w:trPr>
        <w:tc>
          <w:tcPr>
            <w:tcW w:w="425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bCs/>
                <w:sz w:val="18"/>
                <w:lang w:val="es-ES"/>
              </w:rPr>
              <w:t>60</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s-ES"/>
              </w:rPr>
            </w:pPr>
            <w:r w:rsidRPr="005560AF">
              <w:rPr>
                <w:sz w:val="18"/>
                <w:lang w:val="es-ES"/>
              </w:rPr>
              <w:t>156,025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s-ES"/>
              </w:rPr>
            </w:pPr>
            <w:r w:rsidRPr="005560AF">
              <w:rPr>
                <w:sz w:val="18"/>
                <w:lang w:val="es-ES"/>
              </w:rPr>
              <w:t>–</w:t>
            </w: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es-ES"/>
              </w:rPr>
            </w:pPr>
            <w:r w:rsidRPr="005560AF">
              <w:rPr>
                <w:sz w:val="18"/>
                <w:lang w:val="es-ES"/>
              </w:rPr>
              <w:t>160,625</w:t>
            </w:r>
          </w:p>
        </w:tc>
      </w:tr>
      <w:tr w:rsidR="00312423" w:rsidRPr="00557637" w:rsidTr="00675622">
        <w:trPr>
          <w:cantSplit/>
          <w:jc w:val="center"/>
        </w:trPr>
        <w:tc>
          <w:tcPr>
            <w:tcW w:w="425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s-ES"/>
              </w:rPr>
            </w:pPr>
            <w:r w:rsidRPr="005560AF">
              <w:rPr>
                <w:b/>
                <w:bCs/>
                <w:sz w:val="18"/>
                <w:lang w:val="es-ES"/>
              </w:rPr>
              <w:t>Para funcionamiento a 12,5 kHz en canal de 25 kHz:</w:t>
            </w:r>
          </w:p>
        </w:tc>
        <w:tc>
          <w:tcPr>
            <w:tcW w:w="1701" w:type="dxa"/>
          </w:tcPr>
          <w:p w:rsidR="00312423" w:rsidRPr="005560AF" w:rsidRDefault="00312423" w:rsidP="00675622">
            <w:pPr>
              <w:pStyle w:val="TableText0"/>
              <w:framePr w:hSpace="181" w:wrap="notBeside" w:vAnchor="text" w:hAnchor="text" w:xAlign="center" w:y="1"/>
              <w:spacing w:before="120" w:after="0"/>
              <w:ind w:left="284"/>
              <w:rPr>
                <w:sz w:val="18"/>
                <w:lang w:val="es-ES"/>
              </w:rPr>
            </w:pP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s-ES"/>
              </w:rPr>
            </w:pP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es-ES"/>
              </w:rPr>
            </w:pPr>
          </w:p>
        </w:tc>
      </w:tr>
      <w:tr w:rsidR="00312423" w:rsidRPr="005560AF" w:rsidTr="00675622">
        <w:trPr>
          <w:cantSplit/>
          <w:jc w:val="center"/>
        </w:trPr>
        <w:tc>
          <w:tcPr>
            <w:tcW w:w="425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s-ES"/>
              </w:rPr>
            </w:pPr>
            <w:r w:rsidRPr="005560AF">
              <w:rPr>
                <w:bCs/>
                <w:sz w:val="18"/>
                <w:lang w:val="es-ES"/>
              </w:rPr>
              <w:t>460</w:t>
            </w:r>
          </w:p>
        </w:tc>
        <w:tc>
          <w:tcPr>
            <w:tcW w:w="1701"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s-ES"/>
              </w:rPr>
            </w:pPr>
            <w:r w:rsidRPr="005560AF">
              <w:rPr>
                <w:sz w:val="18"/>
                <w:lang w:val="es-ES"/>
              </w:rPr>
              <w:t>156,025</w:t>
            </w:r>
          </w:p>
        </w:tc>
        <w:tc>
          <w:tcPr>
            <w:tcW w:w="1474"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s-ES"/>
              </w:rPr>
            </w:pPr>
            <w:r w:rsidRPr="005560AF">
              <w:rPr>
                <w:sz w:val="18"/>
                <w:lang w:val="es-ES"/>
              </w:rPr>
              <w:t>–</w:t>
            </w:r>
          </w:p>
        </w:tc>
        <w:tc>
          <w:tcPr>
            <w:tcW w:w="2325" w:type="dxa"/>
          </w:tcPr>
          <w:p w:rsidR="00312423" w:rsidRPr="005560AF" w:rsidRDefault="00312423" w:rsidP="0067562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es-ES"/>
              </w:rPr>
            </w:pPr>
            <w:r w:rsidRPr="005560AF">
              <w:rPr>
                <w:sz w:val="18"/>
                <w:lang w:val="es-ES"/>
              </w:rPr>
              <w:t>160,625</w:t>
            </w:r>
          </w:p>
        </w:tc>
      </w:tr>
    </w:tbl>
    <w:p w:rsidR="00312423" w:rsidRPr="003144B5" w:rsidRDefault="00312423" w:rsidP="003144B5">
      <w:pPr>
        <w:rPr>
          <w:lang w:val="en-US"/>
        </w:rPr>
      </w:pPr>
    </w:p>
    <w:p w:rsidR="00312423" w:rsidRDefault="00312423" w:rsidP="00312423">
      <w:pPr>
        <w:rPr>
          <w:lang w:val="es-ES_tradnl"/>
        </w:rPr>
      </w:pPr>
    </w:p>
    <w:p w:rsidR="00312423" w:rsidRDefault="00312423" w:rsidP="00312423">
      <w:pPr>
        <w:rPr>
          <w:lang w:val="es-ES_tradnl"/>
        </w:rPr>
      </w:pPr>
    </w:p>
    <w:p w:rsidR="00312423" w:rsidRPr="00312423" w:rsidRDefault="00312423" w:rsidP="00312423">
      <w:pPr>
        <w:pStyle w:val="Line"/>
      </w:pPr>
    </w:p>
    <w:sectPr w:rsidR="00312423" w:rsidRPr="00312423" w:rsidSect="00042292">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622" w:rsidRDefault="00675622">
      <w:r>
        <w:separator/>
      </w:r>
    </w:p>
  </w:endnote>
  <w:endnote w:type="continuationSeparator" w:id="0">
    <w:p w:rsidR="00675622" w:rsidRDefault="00675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622" w:rsidRDefault="00675622">
      <w:r>
        <w:separator/>
      </w:r>
    </w:p>
  </w:footnote>
  <w:footnote w:type="continuationSeparator" w:id="0">
    <w:p w:rsidR="00675622" w:rsidRDefault="00675622">
      <w:r>
        <w:continuationSeparator/>
      </w:r>
    </w:p>
  </w:footnote>
  <w:footnote w:id="1">
    <w:p w:rsidR="00675622" w:rsidRPr="00312423" w:rsidRDefault="00675622">
      <w:pPr>
        <w:pStyle w:val="FootnoteText"/>
        <w:rPr>
          <w:lang w:val="es-ES_tradnl"/>
        </w:rPr>
      </w:pPr>
      <w:r w:rsidRPr="00312423">
        <w:rPr>
          <w:rStyle w:val="FootnoteReference"/>
          <w:lang w:val="es-ES_tradnl"/>
        </w:rPr>
        <w:t>*</w:t>
      </w:r>
      <w:r w:rsidRPr="00312423">
        <w:rPr>
          <w:lang w:val="es-ES_tradnl"/>
        </w:rPr>
        <w:tab/>
        <w:t>Esta Recomendación debe señalarse a la atenci</w:t>
      </w:r>
      <w:r>
        <w:rPr>
          <w:lang w:val="es-ES_tradnl"/>
        </w:rPr>
        <w:t>ón de la Organización Marítima Internacional (OMI).</w:t>
      </w:r>
    </w:p>
  </w:footnote>
  <w:footnote w:id="2">
    <w:p w:rsidR="00675622" w:rsidRPr="00312423" w:rsidRDefault="00675622">
      <w:pPr>
        <w:pStyle w:val="FootnoteText"/>
        <w:rPr>
          <w:lang w:val="es-ES_tradnl"/>
        </w:rPr>
      </w:pPr>
      <w:r w:rsidRPr="00312423">
        <w:rPr>
          <w:rStyle w:val="FootnoteReference"/>
          <w:lang w:val="es-ES_tradnl"/>
        </w:rPr>
        <w:t>**</w:t>
      </w:r>
      <w:r w:rsidRPr="00312423">
        <w:rPr>
          <w:lang w:val="es-ES_tradnl"/>
        </w:rPr>
        <w:tab/>
        <w:t>La Comisión de Estudio 5 de Radiocomunicaciones introdujo modificaciones redaccionales a esta Recomendaci</w:t>
      </w:r>
      <w:r>
        <w:rPr>
          <w:lang w:val="es-ES_tradnl"/>
        </w:rPr>
        <w:t>ón en noviembre de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622" w:rsidRDefault="0067562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622" w:rsidRDefault="00675622" w:rsidP="00CB1354">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622" w:rsidRDefault="00675622"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57637">
      <w:rPr>
        <w:rStyle w:val="PageNumber"/>
        <w:b/>
        <w:bCs/>
        <w:noProof/>
      </w:rPr>
      <w:t>ii</w:t>
    </w:r>
    <w:r>
      <w:rPr>
        <w:rStyle w:val="PageNumber"/>
        <w:b/>
        <w:bCs/>
      </w:rPr>
      <w:fldChar w:fldCharType="end"/>
    </w:r>
    <w:r>
      <w:tab/>
    </w:r>
    <w:r w:rsidR="00557637">
      <w:fldChar w:fldCharType="begin"/>
    </w:r>
    <w:r w:rsidR="00557637">
      <w:instrText xml:space="preserve"> DOCPROPERTY "Header" \* MERGEFORMAT </w:instrText>
    </w:r>
    <w:r w:rsidR="00557637">
      <w:fldChar w:fldCharType="separate"/>
    </w:r>
    <w:r w:rsidRPr="003144B5">
      <w:rPr>
        <w:b/>
        <w:bCs/>
      </w:rPr>
      <w:t xml:space="preserve">Rec. </w:t>
    </w:r>
    <w:r w:rsidR="00557637">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557637">
      <w:rPr>
        <w:b/>
        <w:bCs/>
        <w:noProof/>
      </w:rPr>
      <w:t>UIT-R  M.1084-4</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622" w:rsidRDefault="00675622">
    <w:r>
      <w:tab/>
    </w:r>
    <w:r w:rsidR="00557637">
      <w:fldChar w:fldCharType="begin"/>
    </w:r>
    <w:r w:rsidR="00557637">
      <w:instrText xml:space="preserve"> DOCPROPERTY "Header" \* MERGEFORMAT </w:instrText>
    </w:r>
    <w:r w:rsidR="00557637">
      <w:fldChar w:fldCharType="separate"/>
    </w:r>
    <w:r w:rsidRPr="003144B5">
      <w:rPr>
        <w:b/>
        <w:bCs/>
      </w:rPr>
      <w:t xml:space="preserve">Rec. </w:t>
    </w:r>
    <w:r w:rsidR="00557637">
      <w:rPr>
        <w:b/>
        <w:bCs/>
      </w:rPr>
      <w:fldChar w:fldCharType="end"/>
    </w:r>
    <w:r>
      <w:rPr>
        <w:b/>
        <w:bCs/>
      </w:rPr>
      <w:t xml:space="preserve"> </w:t>
    </w:r>
    <w:r>
      <w:rPr>
        <w:b/>
        <w:bCs/>
      </w:rPr>
      <w:fldChar w:fldCharType="begin"/>
    </w:r>
    <w:r>
      <w:rPr>
        <w:b/>
        <w:bCs/>
      </w:rPr>
      <w:instrText>styleref href</w:instrText>
    </w:r>
    <w:r>
      <w:rPr>
        <w:b/>
        <w:bCs/>
      </w:rPr>
      <w:fldChar w:fldCharType="separate"/>
    </w:r>
    <w:r w:rsidR="00280964">
      <w:rPr>
        <w:b/>
        <w:bCs/>
        <w:noProof/>
      </w:rPr>
      <w:t>UIT-R  M.1084-4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80964">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622" w:rsidRDefault="00675622"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57637">
      <w:rPr>
        <w:rStyle w:val="PageNumber"/>
        <w:b/>
        <w:bCs/>
        <w:noProof/>
      </w:rPr>
      <w:t>12</w:t>
    </w:r>
    <w:r>
      <w:rPr>
        <w:rStyle w:val="PageNumber"/>
        <w:b/>
        <w:bCs/>
      </w:rPr>
      <w:fldChar w:fldCharType="end"/>
    </w:r>
    <w:r>
      <w:tab/>
    </w:r>
    <w:r w:rsidR="00557637">
      <w:fldChar w:fldCharType="begin"/>
    </w:r>
    <w:r w:rsidR="00557637">
      <w:instrText xml:space="preserve"> DOCPROPERTY "Header" \* MERGEFORMAT </w:instrText>
    </w:r>
    <w:r w:rsidR="00557637">
      <w:fldChar w:fldCharType="separate"/>
    </w:r>
    <w:r w:rsidRPr="003144B5">
      <w:rPr>
        <w:b/>
        <w:bCs/>
      </w:rPr>
      <w:t xml:space="preserve">Rec. </w:t>
    </w:r>
    <w:r w:rsidR="00557637">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557637">
      <w:rPr>
        <w:b/>
        <w:bCs/>
        <w:noProof/>
      </w:rPr>
      <w:t>UIT-R  M.1084-4</w:t>
    </w:r>
    <w:r w:rsidRPr="001B395D">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622" w:rsidRPr="001B395D" w:rsidRDefault="00675622" w:rsidP="001B395D">
    <w:pPr>
      <w:pStyle w:val="Header"/>
      <w:rPr>
        <w:b/>
        <w:bCs/>
      </w:rPr>
    </w:pPr>
    <w:r>
      <w:tab/>
    </w:r>
    <w:r w:rsidR="00557637">
      <w:fldChar w:fldCharType="begin"/>
    </w:r>
    <w:r w:rsidR="00557637">
      <w:instrText xml:space="preserve"> DOCPROPERTY "Header" \* MERGEFORMAT </w:instrText>
    </w:r>
    <w:r w:rsidR="00557637">
      <w:fldChar w:fldCharType="separate"/>
    </w:r>
    <w:r w:rsidRPr="003144B5">
      <w:rPr>
        <w:b/>
        <w:bCs/>
      </w:rPr>
      <w:t xml:space="preserve">Rec. </w:t>
    </w:r>
    <w:r w:rsidR="00557637">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557637">
      <w:rPr>
        <w:b/>
        <w:bCs/>
        <w:noProof/>
      </w:rPr>
      <w:t>UIT-R  M.1084-4</w:t>
    </w:r>
    <w:r w:rsidRPr="001B395D">
      <w:rPr>
        <w:b/>
        <w:bCs/>
      </w:rPr>
      <w:fldChar w:fldCharType="end"/>
    </w:r>
    <w:r w:rsidRPr="001B395D">
      <w:rPr>
        <w:b/>
        <w:bCs/>
      </w:rPr>
      <w:tab/>
    </w:r>
    <w:r w:rsidRPr="001B395D">
      <w:rPr>
        <w:rStyle w:val="PageNumber"/>
        <w:b/>
        <w:bCs/>
      </w:rPr>
      <w:fldChar w:fldCharType="begin"/>
    </w:r>
    <w:r w:rsidRPr="001B395D">
      <w:rPr>
        <w:rStyle w:val="PageNumber"/>
        <w:b/>
        <w:bCs/>
      </w:rPr>
      <w:instrText xml:space="preserve"> PAGE </w:instrText>
    </w:r>
    <w:r w:rsidRPr="001B395D">
      <w:rPr>
        <w:rStyle w:val="PageNumber"/>
        <w:b/>
        <w:bCs/>
      </w:rPr>
      <w:fldChar w:fldCharType="separate"/>
    </w:r>
    <w:r w:rsidR="00557637">
      <w:rPr>
        <w:rStyle w:val="PageNumber"/>
        <w:b/>
        <w:bCs/>
        <w:noProof/>
      </w:rPr>
      <w:t>11</w:t>
    </w:r>
    <w:r w:rsidRPr="001B395D">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s-ES"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292"/>
    <w:rsid w:val="00042292"/>
    <w:rsid w:val="00044D65"/>
    <w:rsid w:val="001B26B3"/>
    <w:rsid w:val="001B395D"/>
    <w:rsid w:val="00280964"/>
    <w:rsid w:val="002D76C4"/>
    <w:rsid w:val="00312423"/>
    <w:rsid w:val="003144B5"/>
    <w:rsid w:val="00410F5B"/>
    <w:rsid w:val="00557637"/>
    <w:rsid w:val="00607D68"/>
    <w:rsid w:val="00675622"/>
    <w:rsid w:val="006870AA"/>
    <w:rsid w:val="0076082A"/>
    <w:rsid w:val="00A07AEB"/>
    <w:rsid w:val="00A6617B"/>
    <w:rsid w:val="00AB0DC8"/>
    <w:rsid w:val="00B44E24"/>
    <w:rsid w:val="00C36A75"/>
    <w:rsid w:val="00CB1354"/>
    <w:rsid w:val="00DE1552"/>
    <w:rsid w:val="00DF4176"/>
    <w:rsid w:val="00E704B6"/>
    <w:rsid w:val="00EE743D"/>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4D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44D65"/>
    <w:pPr>
      <w:keepNext/>
      <w:keepLines/>
      <w:spacing w:before="480"/>
      <w:ind w:left="794" w:hanging="794"/>
      <w:outlineLvl w:val="0"/>
    </w:pPr>
    <w:rPr>
      <w:b/>
    </w:rPr>
  </w:style>
  <w:style w:type="paragraph" w:styleId="Heading2">
    <w:name w:val="heading 2"/>
    <w:basedOn w:val="Heading1"/>
    <w:next w:val="Normal"/>
    <w:qFormat/>
    <w:rsid w:val="00044D65"/>
    <w:pPr>
      <w:spacing w:before="320"/>
      <w:outlineLvl w:val="1"/>
    </w:pPr>
  </w:style>
  <w:style w:type="paragraph" w:styleId="Heading3">
    <w:name w:val="heading 3"/>
    <w:basedOn w:val="Heading1"/>
    <w:next w:val="Normal"/>
    <w:qFormat/>
    <w:rsid w:val="00044D65"/>
    <w:pPr>
      <w:spacing w:before="200"/>
      <w:outlineLvl w:val="2"/>
    </w:pPr>
  </w:style>
  <w:style w:type="paragraph" w:styleId="Heading4">
    <w:name w:val="heading 4"/>
    <w:basedOn w:val="Heading3"/>
    <w:next w:val="Normal"/>
    <w:qFormat/>
    <w:rsid w:val="00044D65"/>
    <w:pPr>
      <w:tabs>
        <w:tab w:val="clear" w:pos="794"/>
        <w:tab w:val="left" w:pos="992"/>
      </w:tabs>
      <w:ind w:left="992" w:hanging="992"/>
      <w:outlineLvl w:val="3"/>
    </w:pPr>
  </w:style>
  <w:style w:type="paragraph" w:styleId="Heading5">
    <w:name w:val="heading 5"/>
    <w:basedOn w:val="Heading4"/>
    <w:next w:val="Normal"/>
    <w:qFormat/>
    <w:rsid w:val="00044D65"/>
    <w:pPr>
      <w:outlineLvl w:val="4"/>
    </w:pPr>
  </w:style>
  <w:style w:type="paragraph" w:styleId="Heading6">
    <w:name w:val="heading 6"/>
    <w:basedOn w:val="Heading4"/>
    <w:next w:val="Normal"/>
    <w:qFormat/>
    <w:rsid w:val="00044D65"/>
    <w:pPr>
      <w:tabs>
        <w:tab w:val="clear" w:pos="992"/>
        <w:tab w:val="clear" w:pos="1191"/>
      </w:tabs>
      <w:ind w:left="1588" w:hanging="1588"/>
      <w:outlineLvl w:val="5"/>
    </w:pPr>
  </w:style>
  <w:style w:type="paragraph" w:styleId="Heading7">
    <w:name w:val="heading 7"/>
    <w:basedOn w:val="Heading6"/>
    <w:next w:val="Normal"/>
    <w:qFormat/>
    <w:rsid w:val="00044D65"/>
    <w:pPr>
      <w:outlineLvl w:val="6"/>
    </w:pPr>
  </w:style>
  <w:style w:type="paragraph" w:styleId="Heading8">
    <w:name w:val="heading 8"/>
    <w:basedOn w:val="Heading6"/>
    <w:next w:val="Normal"/>
    <w:qFormat/>
    <w:rsid w:val="00044D65"/>
    <w:pPr>
      <w:outlineLvl w:val="7"/>
    </w:pPr>
  </w:style>
  <w:style w:type="paragraph" w:styleId="Heading9">
    <w:name w:val="heading 9"/>
    <w:basedOn w:val="Heading6"/>
    <w:next w:val="Normal"/>
    <w:qFormat/>
    <w:rsid w:val="00044D6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4D6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44D6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44D65"/>
  </w:style>
  <w:style w:type="paragraph" w:customStyle="1" w:styleId="Headingb">
    <w:name w:val="Heading_b"/>
    <w:basedOn w:val="Heading3"/>
    <w:next w:val="Normal"/>
    <w:rsid w:val="00044D65"/>
    <w:pPr>
      <w:spacing w:before="160"/>
      <w:ind w:left="0" w:firstLine="0"/>
      <w:outlineLvl w:val="9"/>
    </w:pPr>
  </w:style>
  <w:style w:type="paragraph" w:customStyle="1" w:styleId="Headingi">
    <w:name w:val="Heading_i"/>
    <w:basedOn w:val="Heading3"/>
    <w:next w:val="Normal"/>
    <w:rsid w:val="00044D65"/>
    <w:pPr>
      <w:spacing w:before="160"/>
      <w:ind w:left="0" w:firstLine="0"/>
    </w:pPr>
    <w:rPr>
      <w:b w:val="0"/>
      <w:i/>
    </w:rPr>
  </w:style>
  <w:style w:type="character" w:customStyle="1" w:styleId="href">
    <w:name w:val="href"/>
    <w:basedOn w:val="DefaultParagraphFont"/>
    <w:rsid w:val="00044D65"/>
  </w:style>
  <w:style w:type="paragraph" w:customStyle="1" w:styleId="enumlev1">
    <w:name w:val="enumlev1"/>
    <w:basedOn w:val="Normal"/>
    <w:rsid w:val="00044D65"/>
    <w:pPr>
      <w:spacing w:before="80"/>
      <w:ind w:left="794" w:hanging="794"/>
    </w:pPr>
  </w:style>
  <w:style w:type="paragraph" w:customStyle="1" w:styleId="enumlev2">
    <w:name w:val="enumlev2"/>
    <w:basedOn w:val="enumlev1"/>
    <w:rsid w:val="00044D65"/>
    <w:pPr>
      <w:ind w:left="1191" w:hanging="397"/>
    </w:pPr>
  </w:style>
  <w:style w:type="paragraph" w:customStyle="1" w:styleId="enumlev3">
    <w:name w:val="enumlev3"/>
    <w:basedOn w:val="enumlev2"/>
    <w:rsid w:val="00044D65"/>
    <w:pPr>
      <w:ind w:left="1588"/>
    </w:pPr>
  </w:style>
  <w:style w:type="paragraph" w:customStyle="1" w:styleId="Normalaftertitle">
    <w:name w:val="Normal_after_title"/>
    <w:basedOn w:val="Normal"/>
    <w:next w:val="Normal"/>
    <w:rsid w:val="00044D65"/>
    <w:pPr>
      <w:spacing w:before="320"/>
    </w:pPr>
  </w:style>
  <w:style w:type="paragraph" w:customStyle="1" w:styleId="Note">
    <w:name w:val="Note"/>
    <w:basedOn w:val="Normal"/>
    <w:rsid w:val="00044D6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44D6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44D65"/>
    <w:pPr>
      <w:spacing w:before="240"/>
    </w:pPr>
    <w:rPr>
      <w:sz w:val="22"/>
      <w:lang w:val="es-ES_tradnl"/>
    </w:rPr>
  </w:style>
  <w:style w:type="paragraph" w:customStyle="1" w:styleId="Recref">
    <w:name w:val="Rec_ref"/>
    <w:basedOn w:val="Normal"/>
    <w:next w:val="Recdate"/>
    <w:rsid w:val="00044D65"/>
    <w:pPr>
      <w:jc w:val="center"/>
    </w:pPr>
  </w:style>
  <w:style w:type="paragraph" w:customStyle="1" w:styleId="Recdate">
    <w:name w:val="Rec_date"/>
    <w:basedOn w:val="Recref"/>
    <w:next w:val="Normalaftertitle"/>
    <w:rsid w:val="00044D65"/>
    <w:pPr>
      <w:jc w:val="right"/>
    </w:pPr>
  </w:style>
  <w:style w:type="paragraph" w:customStyle="1" w:styleId="AnnexNoTitle">
    <w:name w:val="Annex_NoTitle"/>
    <w:basedOn w:val="Normal"/>
    <w:next w:val="Normalaftertitle"/>
    <w:rsid w:val="00044D65"/>
    <w:pPr>
      <w:keepNext/>
      <w:keepLines/>
      <w:spacing w:before="480" w:after="80"/>
      <w:jc w:val="center"/>
    </w:pPr>
    <w:rPr>
      <w:b/>
      <w:sz w:val="28"/>
    </w:rPr>
  </w:style>
  <w:style w:type="paragraph" w:customStyle="1" w:styleId="AppendixNoTitle">
    <w:name w:val="Appendix_NoTitle"/>
    <w:basedOn w:val="AnnexNoTitle"/>
    <w:next w:val="Normal"/>
    <w:rsid w:val="00044D65"/>
  </w:style>
  <w:style w:type="paragraph" w:customStyle="1" w:styleId="Tablefin">
    <w:name w:val="Table_fin"/>
    <w:basedOn w:val="Normal"/>
    <w:next w:val="Normal"/>
    <w:rsid w:val="00044D65"/>
    <w:pPr>
      <w:spacing w:before="0"/>
    </w:pPr>
    <w:rPr>
      <w:sz w:val="20"/>
      <w:lang w:val="en-GB"/>
    </w:rPr>
  </w:style>
  <w:style w:type="paragraph" w:customStyle="1" w:styleId="Tablehead">
    <w:name w:val="Table_head"/>
    <w:basedOn w:val="Normal"/>
    <w:next w:val="Normal"/>
    <w:rsid w:val="00044D6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44D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44D65"/>
    <w:pPr>
      <w:keepNext/>
      <w:spacing w:before="360" w:after="120"/>
      <w:jc w:val="center"/>
    </w:pPr>
  </w:style>
  <w:style w:type="paragraph" w:customStyle="1" w:styleId="Tabletext">
    <w:name w:val="Table_text"/>
    <w:basedOn w:val="Normal"/>
    <w:rsid w:val="00044D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44D65"/>
    <w:pPr>
      <w:tabs>
        <w:tab w:val="clear" w:pos="1191"/>
        <w:tab w:val="clear" w:pos="1588"/>
        <w:tab w:val="clear" w:pos="1985"/>
        <w:tab w:val="center" w:pos="4820"/>
        <w:tab w:val="right" w:pos="9639"/>
      </w:tabs>
    </w:pPr>
  </w:style>
  <w:style w:type="paragraph" w:customStyle="1" w:styleId="Equationlegend">
    <w:name w:val="Equation_legend"/>
    <w:basedOn w:val="NormalIndent"/>
    <w:rsid w:val="00044D6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44D65"/>
    <w:pPr>
      <w:ind w:left="794"/>
    </w:pPr>
  </w:style>
  <w:style w:type="paragraph" w:customStyle="1" w:styleId="Figurelegend">
    <w:name w:val="Figure_legend"/>
    <w:basedOn w:val="Normal"/>
    <w:rsid w:val="00044D6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44D65"/>
    <w:pPr>
      <w:keepNext/>
      <w:keepLines/>
      <w:spacing w:before="480" w:after="80"/>
      <w:jc w:val="center"/>
    </w:pPr>
    <w:rPr>
      <w:caps/>
      <w:sz w:val="18"/>
    </w:rPr>
  </w:style>
  <w:style w:type="paragraph" w:customStyle="1" w:styleId="tocpart">
    <w:name w:val="tocpart"/>
    <w:basedOn w:val="Normal"/>
    <w:rsid w:val="00044D6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44D65"/>
    <w:pPr>
      <w:keepNext/>
      <w:keepLines/>
      <w:spacing w:before="480"/>
      <w:jc w:val="center"/>
    </w:pPr>
    <w:rPr>
      <w:sz w:val="28"/>
    </w:rPr>
  </w:style>
  <w:style w:type="paragraph" w:customStyle="1" w:styleId="Arttitle">
    <w:name w:val="Art_title"/>
    <w:basedOn w:val="Normal"/>
    <w:next w:val="Normalaftertitle"/>
    <w:rsid w:val="00044D65"/>
    <w:pPr>
      <w:keepNext/>
      <w:keepLines/>
      <w:spacing w:before="240"/>
      <w:jc w:val="center"/>
    </w:pPr>
    <w:rPr>
      <w:b/>
      <w:sz w:val="28"/>
    </w:rPr>
  </w:style>
  <w:style w:type="paragraph" w:customStyle="1" w:styleId="Blanc">
    <w:name w:val="Blanc"/>
    <w:basedOn w:val="Normal"/>
    <w:next w:val="Tabletext"/>
    <w:rsid w:val="00044D6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44D6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44D65"/>
    <w:pPr>
      <w:keepNext/>
      <w:keepLines/>
      <w:spacing w:before="160"/>
      <w:ind w:left="794"/>
    </w:pPr>
    <w:rPr>
      <w:i/>
    </w:rPr>
  </w:style>
  <w:style w:type="paragraph" w:customStyle="1" w:styleId="ChapNo">
    <w:name w:val="Chap_No"/>
    <w:basedOn w:val="ArtNo"/>
    <w:next w:val="Chaptitle"/>
    <w:rsid w:val="00044D65"/>
    <w:rPr>
      <w:b/>
    </w:rPr>
  </w:style>
  <w:style w:type="paragraph" w:customStyle="1" w:styleId="Chaptitle">
    <w:name w:val="Chap_title"/>
    <w:basedOn w:val="Arttitle"/>
    <w:next w:val="Normalaftertitle"/>
    <w:rsid w:val="00044D65"/>
  </w:style>
  <w:style w:type="character" w:styleId="FootnoteReference">
    <w:name w:val="footnote reference"/>
    <w:basedOn w:val="DefaultParagraphFont"/>
    <w:semiHidden/>
    <w:rsid w:val="00044D65"/>
    <w:rPr>
      <w:position w:val="6"/>
      <w:sz w:val="18"/>
    </w:rPr>
  </w:style>
  <w:style w:type="paragraph" w:styleId="FootnoteText">
    <w:name w:val="footnote text"/>
    <w:basedOn w:val="Normal"/>
    <w:semiHidden/>
    <w:rsid w:val="00044D65"/>
    <w:pPr>
      <w:keepLines/>
      <w:tabs>
        <w:tab w:val="left" w:pos="255"/>
      </w:tabs>
      <w:ind w:left="255" w:hanging="255"/>
    </w:pPr>
    <w:rPr>
      <w:sz w:val="22"/>
    </w:rPr>
  </w:style>
  <w:style w:type="paragraph" w:styleId="Index1">
    <w:name w:val="index 1"/>
    <w:basedOn w:val="Normal"/>
    <w:next w:val="Normal"/>
    <w:semiHidden/>
    <w:rsid w:val="00044D65"/>
  </w:style>
  <w:style w:type="paragraph" w:styleId="Index2">
    <w:name w:val="index 2"/>
    <w:basedOn w:val="Normal"/>
    <w:next w:val="Normal"/>
    <w:semiHidden/>
    <w:rsid w:val="00044D65"/>
    <w:pPr>
      <w:ind w:left="283"/>
    </w:pPr>
  </w:style>
  <w:style w:type="paragraph" w:styleId="Index3">
    <w:name w:val="index 3"/>
    <w:basedOn w:val="Normal"/>
    <w:next w:val="Normal"/>
    <w:semiHidden/>
    <w:rsid w:val="00044D65"/>
    <w:pPr>
      <w:ind w:left="566"/>
    </w:pPr>
  </w:style>
  <w:style w:type="paragraph" w:styleId="IndexHeading">
    <w:name w:val="index heading"/>
    <w:basedOn w:val="Normal"/>
    <w:next w:val="Index1"/>
    <w:semiHidden/>
    <w:rsid w:val="00044D65"/>
  </w:style>
  <w:style w:type="paragraph" w:customStyle="1" w:styleId="Line">
    <w:name w:val="Line"/>
    <w:basedOn w:val="Normal"/>
    <w:next w:val="Normal"/>
    <w:rsid w:val="00044D6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44D6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44D65"/>
  </w:style>
  <w:style w:type="paragraph" w:customStyle="1" w:styleId="Partref">
    <w:name w:val="Part_ref"/>
    <w:basedOn w:val="Normal"/>
    <w:next w:val="Normal"/>
    <w:rsid w:val="00044D65"/>
    <w:pPr>
      <w:keepNext/>
      <w:keepLines/>
      <w:spacing w:after="280"/>
      <w:jc w:val="center"/>
    </w:pPr>
  </w:style>
  <w:style w:type="paragraph" w:customStyle="1" w:styleId="Parttitle">
    <w:name w:val="Part_title"/>
    <w:basedOn w:val="Normal"/>
    <w:next w:val="Normalaftertitle"/>
    <w:rsid w:val="00044D6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44D65"/>
  </w:style>
  <w:style w:type="paragraph" w:customStyle="1" w:styleId="QuestionNo">
    <w:name w:val="Question_No"/>
    <w:basedOn w:val="RecNo"/>
    <w:next w:val="Normal"/>
    <w:rsid w:val="00044D65"/>
  </w:style>
  <w:style w:type="paragraph" w:customStyle="1" w:styleId="Questionref">
    <w:name w:val="Question_ref"/>
    <w:basedOn w:val="Recref"/>
    <w:next w:val="Questiondate"/>
    <w:rsid w:val="00044D65"/>
  </w:style>
  <w:style w:type="paragraph" w:customStyle="1" w:styleId="Questiontitle">
    <w:name w:val="Question_title"/>
    <w:basedOn w:val="Normal"/>
    <w:next w:val="Questionref"/>
    <w:rsid w:val="00044D65"/>
  </w:style>
  <w:style w:type="paragraph" w:customStyle="1" w:styleId="Reftext">
    <w:name w:val="Ref_text"/>
    <w:basedOn w:val="Normal"/>
    <w:rsid w:val="00044D65"/>
    <w:pPr>
      <w:ind w:left="794" w:hanging="794"/>
    </w:pPr>
    <w:rPr>
      <w:sz w:val="22"/>
    </w:rPr>
  </w:style>
  <w:style w:type="paragraph" w:customStyle="1" w:styleId="Reftitle">
    <w:name w:val="Ref_title"/>
    <w:basedOn w:val="Normal"/>
    <w:next w:val="Reftext"/>
    <w:rsid w:val="00044D6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44D65"/>
  </w:style>
  <w:style w:type="paragraph" w:customStyle="1" w:styleId="RepNo">
    <w:name w:val="Rep_No"/>
    <w:basedOn w:val="RecNo"/>
    <w:next w:val="Reptitle"/>
    <w:rsid w:val="00044D65"/>
  </w:style>
  <w:style w:type="paragraph" w:customStyle="1" w:styleId="Repref">
    <w:name w:val="Rep_ref"/>
    <w:basedOn w:val="Recref"/>
    <w:next w:val="Repdate"/>
    <w:rsid w:val="00044D65"/>
  </w:style>
  <w:style w:type="paragraph" w:customStyle="1" w:styleId="Reptitle">
    <w:name w:val="Rep_title"/>
    <w:basedOn w:val="Rectitle"/>
    <w:next w:val="Repref"/>
    <w:rsid w:val="00044D65"/>
  </w:style>
  <w:style w:type="paragraph" w:customStyle="1" w:styleId="Resdate">
    <w:name w:val="Res_date"/>
    <w:basedOn w:val="Recdate"/>
    <w:next w:val="Normalaftertitle"/>
    <w:rsid w:val="00044D65"/>
  </w:style>
  <w:style w:type="paragraph" w:customStyle="1" w:styleId="ResNo">
    <w:name w:val="Res_No"/>
    <w:basedOn w:val="RecNo"/>
    <w:next w:val="Restitle"/>
    <w:rsid w:val="00044D65"/>
  </w:style>
  <w:style w:type="paragraph" w:customStyle="1" w:styleId="Resref">
    <w:name w:val="Res_ref"/>
    <w:basedOn w:val="Recref"/>
    <w:next w:val="Resdate"/>
    <w:rsid w:val="00044D65"/>
  </w:style>
  <w:style w:type="paragraph" w:customStyle="1" w:styleId="Restitle">
    <w:name w:val="Res_title"/>
    <w:basedOn w:val="Normal"/>
    <w:next w:val="Resref"/>
    <w:rsid w:val="00044D65"/>
    <w:pPr>
      <w:spacing w:before="240"/>
      <w:jc w:val="center"/>
    </w:pPr>
    <w:rPr>
      <w:b/>
      <w:sz w:val="28"/>
    </w:rPr>
  </w:style>
  <w:style w:type="paragraph" w:customStyle="1" w:styleId="SectionNo">
    <w:name w:val="Section_No"/>
    <w:basedOn w:val="Normal"/>
    <w:next w:val="Normal"/>
    <w:rsid w:val="00044D65"/>
  </w:style>
  <w:style w:type="paragraph" w:customStyle="1" w:styleId="Sectiontitle">
    <w:name w:val="Section_title"/>
    <w:basedOn w:val="Normal"/>
    <w:next w:val="Normalaftertitle"/>
    <w:rsid w:val="00044D6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44D65"/>
    <w:pPr>
      <w:tabs>
        <w:tab w:val="clear" w:pos="794"/>
        <w:tab w:val="clear" w:pos="1191"/>
        <w:tab w:val="clear" w:pos="1588"/>
        <w:tab w:val="clear" w:pos="1985"/>
        <w:tab w:val="right" w:pos="9611"/>
      </w:tabs>
    </w:pPr>
    <w:rPr>
      <w:i/>
    </w:rPr>
  </w:style>
  <w:style w:type="paragraph" w:styleId="TOC1">
    <w:name w:val="toc 1"/>
    <w:basedOn w:val="Normal"/>
    <w:semiHidden/>
    <w:rsid w:val="00044D6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44D65"/>
    <w:pPr>
      <w:tabs>
        <w:tab w:val="clear" w:pos="567"/>
        <w:tab w:val="left" w:pos="1276"/>
      </w:tabs>
      <w:spacing w:before="160"/>
      <w:ind w:left="1276" w:hanging="709"/>
    </w:pPr>
  </w:style>
  <w:style w:type="paragraph" w:styleId="TOC3">
    <w:name w:val="toc 3"/>
    <w:basedOn w:val="TOC2"/>
    <w:semiHidden/>
    <w:rsid w:val="00044D65"/>
    <w:pPr>
      <w:tabs>
        <w:tab w:val="clear" w:pos="1276"/>
        <w:tab w:val="left" w:pos="2155"/>
      </w:tabs>
      <w:ind w:left="2155" w:hanging="879"/>
    </w:pPr>
  </w:style>
  <w:style w:type="paragraph" w:styleId="TOC4">
    <w:name w:val="toc 4"/>
    <w:basedOn w:val="TOC3"/>
    <w:semiHidden/>
    <w:rsid w:val="00044D65"/>
    <w:pPr>
      <w:tabs>
        <w:tab w:val="left" w:pos="3261"/>
      </w:tabs>
      <w:spacing w:before="80"/>
      <w:ind w:left="3261" w:hanging="993"/>
    </w:pPr>
  </w:style>
  <w:style w:type="paragraph" w:styleId="TOC5">
    <w:name w:val="toc 5"/>
    <w:basedOn w:val="TOC4"/>
    <w:semiHidden/>
    <w:rsid w:val="00044D65"/>
  </w:style>
  <w:style w:type="paragraph" w:styleId="TOC6">
    <w:name w:val="toc 6"/>
    <w:basedOn w:val="TOC4"/>
    <w:semiHidden/>
    <w:rsid w:val="00044D65"/>
  </w:style>
  <w:style w:type="paragraph" w:styleId="TOC7">
    <w:name w:val="toc 7"/>
    <w:basedOn w:val="TOC4"/>
    <w:semiHidden/>
    <w:rsid w:val="00044D65"/>
  </w:style>
  <w:style w:type="paragraph" w:styleId="TOC8">
    <w:name w:val="toc 8"/>
    <w:basedOn w:val="TOC4"/>
    <w:semiHidden/>
    <w:rsid w:val="00044D65"/>
  </w:style>
  <w:style w:type="paragraph" w:customStyle="1" w:styleId="Rectitle">
    <w:name w:val="Rec_title"/>
    <w:basedOn w:val="Normal"/>
    <w:next w:val="Recref"/>
    <w:rsid w:val="00044D65"/>
    <w:pPr>
      <w:keepNext/>
      <w:keepLines/>
      <w:spacing w:before="240"/>
      <w:jc w:val="center"/>
    </w:pPr>
    <w:rPr>
      <w:b/>
      <w:sz w:val="28"/>
    </w:rPr>
  </w:style>
  <w:style w:type="paragraph" w:customStyle="1" w:styleId="Annexref">
    <w:name w:val="Annex_ref"/>
    <w:basedOn w:val="Normal"/>
    <w:next w:val="Normalaftertitle"/>
    <w:rsid w:val="00044D65"/>
    <w:pPr>
      <w:keepNext/>
      <w:keepLines/>
      <w:spacing w:after="280"/>
      <w:jc w:val="center"/>
    </w:pPr>
  </w:style>
  <w:style w:type="paragraph" w:customStyle="1" w:styleId="Appendixref">
    <w:name w:val="Appendix_ref"/>
    <w:basedOn w:val="Annexref"/>
    <w:next w:val="Normalaftertitle"/>
    <w:rsid w:val="00044D65"/>
  </w:style>
  <w:style w:type="paragraph" w:customStyle="1" w:styleId="Figuretitle">
    <w:name w:val="Figure_title"/>
    <w:basedOn w:val="Normal"/>
    <w:next w:val="Figure"/>
    <w:rsid w:val="00044D6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44D65"/>
    <w:pPr>
      <w:keepNext/>
      <w:spacing w:before="0" w:after="120"/>
      <w:jc w:val="center"/>
    </w:pPr>
    <w:rPr>
      <w:b/>
    </w:rPr>
  </w:style>
  <w:style w:type="paragraph" w:customStyle="1" w:styleId="Summary">
    <w:name w:val="Summary"/>
    <w:basedOn w:val="Normal"/>
    <w:next w:val="Normalaftertitle"/>
    <w:rsid w:val="00044D65"/>
    <w:pPr>
      <w:spacing w:after="480"/>
    </w:pPr>
    <w:rPr>
      <w:sz w:val="22"/>
      <w:lang w:val="es-ES_tradnl"/>
    </w:rPr>
  </w:style>
  <w:style w:type="character" w:styleId="Hyperlink">
    <w:name w:val="Hyperlink"/>
    <w:basedOn w:val="DefaultParagraphFont"/>
    <w:rsid w:val="00042292"/>
    <w:rPr>
      <w:color w:val="0000FF"/>
      <w:u w:val="single"/>
    </w:rPr>
  </w:style>
  <w:style w:type="paragraph" w:customStyle="1" w:styleId="Figure">
    <w:name w:val="Figure"/>
    <w:basedOn w:val="FigureNo"/>
    <w:next w:val="Normal"/>
    <w:rsid w:val="00044D65"/>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044D65"/>
    <w:pPr>
      <w:ind w:left="-85" w:firstLine="0"/>
    </w:pPr>
    <w:rPr>
      <w:lang w:val="en-US"/>
    </w:rPr>
  </w:style>
  <w:style w:type="paragraph" w:customStyle="1" w:styleId="AnnexNo">
    <w:name w:val="Annex_No"/>
    <w:basedOn w:val="Normal"/>
    <w:next w:val="Annextitle"/>
    <w:rsid w:val="00312423"/>
    <w:pPr>
      <w:keepNext/>
      <w:keepLines/>
      <w:spacing w:before="480" w:after="80"/>
      <w:jc w:val="center"/>
    </w:pPr>
    <w:rPr>
      <w:sz w:val="28"/>
    </w:rPr>
  </w:style>
  <w:style w:type="paragraph" w:customStyle="1" w:styleId="Annextitle">
    <w:name w:val="Annex_title"/>
    <w:basedOn w:val="Normal"/>
    <w:next w:val="Normalaftertitle"/>
    <w:rsid w:val="00312423"/>
    <w:pPr>
      <w:keepNext/>
      <w:keepLines/>
      <w:tabs>
        <w:tab w:val="clear" w:pos="794"/>
        <w:tab w:val="clear" w:pos="1191"/>
        <w:tab w:val="clear" w:pos="1588"/>
        <w:tab w:val="clear" w:pos="1985"/>
      </w:tabs>
      <w:spacing w:before="280" w:after="40"/>
      <w:jc w:val="center"/>
    </w:pPr>
    <w:rPr>
      <w:b/>
      <w:sz w:val="28"/>
    </w:rPr>
  </w:style>
  <w:style w:type="paragraph" w:customStyle="1" w:styleId="TableText0">
    <w:name w:val="Table_Text"/>
    <w:basedOn w:val="Normal"/>
    <w:rsid w:val="003124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4D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44D65"/>
    <w:pPr>
      <w:keepNext/>
      <w:keepLines/>
      <w:spacing w:before="480"/>
      <w:ind w:left="794" w:hanging="794"/>
      <w:outlineLvl w:val="0"/>
    </w:pPr>
    <w:rPr>
      <w:b/>
    </w:rPr>
  </w:style>
  <w:style w:type="paragraph" w:styleId="Heading2">
    <w:name w:val="heading 2"/>
    <w:basedOn w:val="Heading1"/>
    <w:next w:val="Normal"/>
    <w:qFormat/>
    <w:rsid w:val="00044D65"/>
    <w:pPr>
      <w:spacing w:before="320"/>
      <w:outlineLvl w:val="1"/>
    </w:pPr>
  </w:style>
  <w:style w:type="paragraph" w:styleId="Heading3">
    <w:name w:val="heading 3"/>
    <w:basedOn w:val="Heading1"/>
    <w:next w:val="Normal"/>
    <w:qFormat/>
    <w:rsid w:val="00044D65"/>
    <w:pPr>
      <w:spacing w:before="200"/>
      <w:outlineLvl w:val="2"/>
    </w:pPr>
  </w:style>
  <w:style w:type="paragraph" w:styleId="Heading4">
    <w:name w:val="heading 4"/>
    <w:basedOn w:val="Heading3"/>
    <w:next w:val="Normal"/>
    <w:qFormat/>
    <w:rsid w:val="00044D65"/>
    <w:pPr>
      <w:tabs>
        <w:tab w:val="clear" w:pos="794"/>
        <w:tab w:val="left" w:pos="992"/>
      </w:tabs>
      <w:ind w:left="992" w:hanging="992"/>
      <w:outlineLvl w:val="3"/>
    </w:pPr>
  </w:style>
  <w:style w:type="paragraph" w:styleId="Heading5">
    <w:name w:val="heading 5"/>
    <w:basedOn w:val="Heading4"/>
    <w:next w:val="Normal"/>
    <w:qFormat/>
    <w:rsid w:val="00044D65"/>
    <w:pPr>
      <w:outlineLvl w:val="4"/>
    </w:pPr>
  </w:style>
  <w:style w:type="paragraph" w:styleId="Heading6">
    <w:name w:val="heading 6"/>
    <w:basedOn w:val="Heading4"/>
    <w:next w:val="Normal"/>
    <w:qFormat/>
    <w:rsid w:val="00044D65"/>
    <w:pPr>
      <w:tabs>
        <w:tab w:val="clear" w:pos="992"/>
        <w:tab w:val="clear" w:pos="1191"/>
      </w:tabs>
      <w:ind w:left="1588" w:hanging="1588"/>
      <w:outlineLvl w:val="5"/>
    </w:pPr>
  </w:style>
  <w:style w:type="paragraph" w:styleId="Heading7">
    <w:name w:val="heading 7"/>
    <w:basedOn w:val="Heading6"/>
    <w:next w:val="Normal"/>
    <w:qFormat/>
    <w:rsid w:val="00044D65"/>
    <w:pPr>
      <w:outlineLvl w:val="6"/>
    </w:pPr>
  </w:style>
  <w:style w:type="paragraph" w:styleId="Heading8">
    <w:name w:val="heading 8"/>
    <w:basedOn w:val="Heading6"/>
    <w:next w:val="Normal"/>
    <w:qFormat/>
    <w:rsid w:val="00044D65"/>
    <w:pPr>
      <w:outlineLvl w:val="7"/>
    </w:pPr>
  </w:style>
  <w:style w:type="paragraph" w:styleId="Heading9">
    <w:name w:val="heading 9"/>
    <w:basedOn w:val="Heading6"/>
    <w:next w:val="Normal"/>
    <w:qFormat/>
    <w:rsid w:val="00044D6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4D6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44D6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44D65"/>
  </w:style>
  <w:style w:type="paragraph" w:customStyle="1" w:styleId="Headingb">
    <w:name w:val="Heading_b"/>
    <w:basedOn w:val="Heading3"/>
    <w:next w:val="Normal"/>
    <w:rsid w:val="00044D65"/>
    <w:pPr>
      <w:spacing w:before="160"/>
      <w:ind w:left="0" w:firstLine="0"/>
      <w:outlineLvl w:val="9"/>
    </w:pPr>
  </w:style>
  <w:style w:type="paragraph" w:customStyle="1" w:styleId="Headingi">
    <w:name w:val="Heading_i"/>
    <w:basedOn w:val="Heading3"/>
    <w:next w:val="Normal"/>
    <w:rsid w:val="00044D65"/>
    <w:pPr>
      <w:spacing w:before="160"/>
      <w:ind w:left="0" w:firstLine="0"/>
    </w:pPr>
    <w:rPr>
      <w:b w:val="0"/>
      <w:i/>
    </w:rPr>
  </w:style>
  <w:style w:type="character" w:customStyle="1" w:styleId="href">
    <w:name w:val="href"/>
    <w:basedOn w:val="DefaultParagraphFont"/>
    <w:rsid w:val="00044D65"/>
  </w:style>
  <w:style w:type="paragraph" w:customStyle="1" w:styleId="enumlev1">
    <w:name w:val="enumlev1"/>
    <w:basedOn w:val="Normal"/>
    <w:rsid w:val="00044D65"/>
    <w:pPr>
      <w:spacing w:before="80"/>
      <w:ind w:left="794" w:hanging="794"/>
    </w:pPr>
  </w:style>
  <w:style w:type="paragraph" w:customStyle="1" w:styleId="enumlev2">
    <w:name w:val="enumlev2"/>
    <w:basedOn w:val="enumlev1"/>
    <w:rsid w:val="00044D65"/>
    <w:pPr>
      <w:ind w:left="1191" w:hanging="397"/>
    </w:pPr>
  </w:style>
  <w:style w:type="paragraph" w:customStyle="1" w:styleId="enumlev3">
    <w:name w:val="enumlev3"/>
    <w:basedOn w:val="enumlev2"/>
    <w:rsid w:val="00044D65"/>
    <w:pPr>
      <w:ind w:left="1588"/>
    </w:pPr>
  </w:style>
  <w:style w:type="paragraph" w:customStyle="1" w:styleId="Normalaftertitle">
    <w:name w:val="Normal_after_title"/>
    <w:basedOn w:val="Normal"/>
    <w:next w:val="Normal"/>
    <w:rsid w:val="00044D65"/>
    <w:pPr>
      <w:spacing w:before="320"/>
    </w:pPr>
  </w:style>
  <w:style w:type="paragraph" w:customStyle="1" w:styleId="Note">
    <w:name w:val="Note"/>
    <w:basedOn w:val="Normal"/>
    <w:rsid w:val="00044D6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44D6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44D65"/>
    <w:pPr>
      <w:spacing w:before="240"/>
    </w:pPr>
    <w:rPr>
      <w:sz w:val="22"/>
      <w:lang w:val="es-ES_tradnl"/>
    </w:rPr>
  </w:style>
  <w:style w:type="paragraph" w:customStyle="1" w:styleId="Recref">
    <w:name w:val="Rec_ref"/>
    <w:basedOn w:val="Normal"/>
    <w:next w:val="Recdate"/>
    <w:rsid w:val="00044D65"/>
    <w:pPr>
      <w:jc w:val="center"/>
    </w:pPr>
  </w:style>
  <w:style w:type="paragraph" w:customStyle="1" w:styleId="Recdate">
    <w:name w:val="Rec_date"/>
    <w:basedOn w:val="Recref"/>
    <w:next w:val="Normalaftertitle"/>
    <w:rsid w:val="00044D65"/>
    <w:pPr>
      <w:jc w:val="right"/>
    </w:pPr>
  </w:style>
  <w:style w:type="paragraph" w:customStyle="1" w:styleId="AnnexNoTitle">
    <w:name w:val="Annex_NoTitle"/>
    <w:basedOn w:val="Normal"/>
    <w:next w:val="Normalaftertitle"/>
    <w:rsid w:val="00044D65"/>
    <w:pPr>
      <w:keepNext/>
      <w:keepLines/>
      <w:spacing w:before="480" w:after="80"/>
      <w:jc w:val="center"/>
    </w:pPr>
    <w:rPr>
      <w:b/>
      <w:sz w:val="28"/>
    </w:rPr>
  </w:style>
  <w:style w:type="paragraph" w:customStyle="1" w:styleId="AppendixNoTitle">
    <w:name w:val="Appendix_NoTitle"/>
    <w:basedOn w:val="AnnexNoTitle"/>
    <w:next w:val="Normal"/>
    <w:rsid w:val="00044D65"/>
  </w:style>
  <w:style w:type="paragraph" w:customStyle="1" w:styleId="Tablefin">
    <w:name w:val="Table_fin"/>
    <w:basedOn w:val="Normal"/>
    <w:next w:val="Normal"/>
    <w:rsid w:val="00044D65"/>
    <w:pPr>
      <w:spacing w:before="0"/>
    </w:pPr>
    <w:rPr>
      <w:sz w:val="20"/>
      <w:lang w:val="en-GB"/>
    </w:rPr>
  </w:style>
  <w:style w:type="paragraph" w:customStyle="1" w:styleId="Tablehead">
    <w:name w:val="Table_head"/>
    <w:basedOn w:val="Normal"/>
    <w:next w:val="Normal"/>
    <w:rsid w:val="00044D6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44D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44D65"/>
    <w:pPr>
      <w:keepNext/>
      <w:spacing w:before="360" w:after="120"/>
      <w:jc w:val="center"/>
    </w:pPr>
  </w:style>
  <w:style w:type="paragraph" w:customStyle="1" w:styleId="Tabletext">
    <w:name w:val="Table_text"/>
    <w:basedOn w:val="Normal"/>
    <w:rsid w:val="00044D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44D65"/>
    <w:pPr>
      <w:tabs>
        <w:tab w:val="clear" w:pos="1191"/>
        <w:tab w:val="clear" w:pos="1588"/>
        <w:tab w:val="clear" w:pos="1985"/>
        <w:tab w:val="center" w:pos="4820"/>
        <w:tab w:val="right" w:pos="9639"/>
      </w:tabs>
    </w:pPr>
  </w:style>
  <w:style w:type="paragraph" w:customStyle="1" w:styleId="Equationlegend">
    <w:name w:val="Equation_legend"/>
    <w:basedOn w:val="NormalIndent"/>
    <w:rsid w:val="00044D6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44D65"/>
    <w:pPr>
      <w:ind w:left="794"/>
    </w:pPr>
  </w:style>
  <w:style w:type="paragraph" w:customStyle="1" w:styleId="Figurelegend">
    <w:name w:val="Figure_legend"/>
    <w:basedOn w:val="Normal"/>
    <w:rsid w:val="00044D6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44D65"/>
    <w:pPr>
      <w:keepNext/>
      <w:keepLines/>
      <w:spacing w:before="480" w:after="80"/>
      <w:jc w:val="center"/>
    </w:pPr>
    <w:rPr>
      <w:caps/>
      <w:sz w:val="18"/>
    </w:rPr>
  </w:style>
  <w:style w:type="paragraph" w:customStyle="1" w:styleId="tocpart">
    <w:name w:val="tocpart"/>
    <w:basedOn w:val="Normal"/>
    <w:rsid w:val="00044D6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44D65"/>
    <w:pPr>
      <w:keepNext/>
      <w:keepLines/>
      <w:spacing w:before="480"/>
      <w:jc w:val="center"/>
    </w:pPr>
    <w:rPr>
      <w:sz w:val="28"/>
    </w:rPr>
  </w:style>
  <w:style w:type="paragraph" w:customStyle="1" w:styleId="Arttitle">
    <w:name w:val="Art_title"/>
    <w:basedOn w:val="Normal"/>
    <w:next w:val="Normalaftertitle"/>
    <w:rsid w:val="00044D65"/>
    <w:pPr>
      <w:keepNext/>
      <w:keepLines/>
      <w:spacing w:before="240"/>
      <w:jc w:val="center"/>
    </w:pPr>
    <w:rPr>
      <w:b/>
      <w:sz w:val="28"/>
    </w:rPr>
  </w:style>
  <w:style w:type="paragraph" w:customStyle="1" w:styleId="Blanc">
    <w:name w:val="Blanc"/>
    <w:basedOn w:val="Normal"/>
    <w:next w:val="Tabletext"/>
    <w:rsid w:val="00044D6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44D6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44D65"/>
    <w:pPr>
      <w:keepNext/>
      <w:keepLines/>
      <w:spacing w:before="160"/>
      <w:ind w:left="794"/>
    </w:pPr>
    <w:rPr>
      <w:i/>
    </w:rPr>
  </w:style>
  <w:style w:type="paragraph" w:customStyle="1" w:styleId="ChapNo">
    <w:name w:val="Chap_No"/>
    <w:basedOn w:val="ArtNo"/>
    <w:next w:val="Chaptitle"/>
    <w:rsid w:val="00044D65"/>
    <w:rPr>
      <w:b/>
    </w:rPr>
  </w:style>
  <w:style w:type="paragraph" w:customStyle="1" w:styleId="Chaptitle">
    <w:name w:val="Chap_title"/>
    <w:basedOn w:val="Arttitle"/>
    <w:next w:val="Normalaftertitle"/>
    <w:rsid w:val="00044D65"/>
  </w:style>
  <w:style w:type="character" w:styleId="FootnoteReference">
    <w:name w:val="footnote reference"/>
    <w:basedOn w:val="DefaultParagraphFont"/>
    <w:semiHidden/>
    <w:rsid w:val="00044D65"/>
    <w:rPr>
      <w:position w:val="6"/>
      <w:sz w:val="18"/>
    </w:rPr>
  </w:style>
  <w:style w:type="paragraph" w:styleId="FootnoteText">
    <w:name w:val="footnote text"/>
    <w:basedOn w:val="Normal"/>
    <w:semiHidden/>
    <w:rsid w:val="00044D65"/>
    <w:pPr>
      <w:keepLines/>
      <w:tabs>
        <w:tab w:val="left" w:pos="255"/>
      </w:tabs>
      <w:ind w:left="255" w:hanging="255"/>
    </w:pPr>
    <w:rPr>
      <w:sz w:val="22"/>
    </w:rPr>
  </w:style>
  <w:style w:type="paragraph" w:styleId="Index1">
    <w:name w:val="index 1"/>
    <w:basedOn w:val="Normal"/>
    <w:next w:val="Normal"/>
    <w:semiHidden/>
    <w:rsid w:val="00044D65"/>
  </w:style>
  <w:style w:type="paragraph" w:styleId="Index2">
    <w:name w:val="index 2"/>
    <w:basedOn w:val="Normal"/>
    <w:next w:val="Normal"/>
    <w:semiHidden/>
    <w:rsid w:val="00044D65"/>
    <w:pPr>
      <w:ind w:left="283"/>
    </w:pPr>
  </w:style>
  <w:style w:type="paragraph" w:styleId="Index3">
    <w:name w:val="index 3"/>
    <w:basedOn w:val="Normal"/>
    <w:next w:val="Normal"/>
    <w:semiHidden/>
    <w:rsid w:val="00044D65"/>
    <w:pPr>
      <w:ind w:left="566"/>
    </w:pPr>
  </w:style>
  <w:style w:type="paragraph" w:styleId="IndexHeading">
    <w:name w:val="index heading"/>
    <w:basedOn w:val="Normal"/>
    <w:next w:val="Index1"/>
    <w:semiHidden/>
    <w:rsid w:val="00044D65"/>
  </w:style>
  <w:style w:type="paragraph" w:customStyle="1" w:styleId="Line">
    <w:name w:val="Line"/>
    <w:basedOn w:val="Normal"/>
    <w:next w:val="Normal"/>
    <w:rsid w:val="00044D6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44D6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44D65"/>
  </w:style>
  <w:style w:type="paragraph" w:customStyle="1" w:styleId="Partref">
    <w:name w:val="Part_ref"/>
    <w:basedOn w:val="Normal"/>
    <w:next w:val="Normal"/>
    <w:rsid w:val="00044D65"/>
    <w:pPr>
      <w:keepNext/>
      <w:keepLines/>
      <w:spacing w:after="280"/>
      <w:jc w:val="center"/>
    </w:pPr>
  </w:style>
  <w:style w:type="paragraph" w:customStyle="1" w:styleId="Parttitle">
    <w:name w:val="Part_title"/>
    <w:basedOn w:val="Normal"/>
    <w:next w:val="Normalaftertitle"/>
    <w:rsid w:val="00044D6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44D65"/>
  </w:style>
  <w:style w:type="paragraph" w:customStyle="1" w:styleId="QuestionNo">
    <w:name w:val="Question_No"/>
    <w:basedOn w:val="RecNo"/>
    <w:next w:val="Normal"/>
    <w:rsid w:val="00044D65"/>
  </w:style>
  <w:style w:type="paragraph" w:customStyle="1" w:styleId="Questionref">
    <w:name w:val="Question_ref"/>
    <w:basedOn w:val="Recref"/>
    <w:next w:val="Questiondate"/>
    <w:rsid w:val="00044D65"/>
  </w:style>
  <w:style w:type="paragraph" w:customStyle="1" w:styleId="Questiontitle">
    <w:name w:val="Question_title"/>
    <w:basedOn w:val="Normal"/>
    <w:next w:val="Questionref"/>
    <w:rsid w:val="00044D65"/>
  </w:style>
  <w:style w:type="paragraph" w:customStyle="1" w:styleId="Reftext">
    <w:name w:val="Ref_text"/>
    <w:basedOn w:val="Normal"/>
    <w:rsid w:val="00044D65"/>
    <w:pPr>
      <w:ind w:left="794" w:hanging="794"/>
    </w:pPr>
    <w:rPr>
      <w:sz w:val="22"/>
    </w:rPr>
  </w:style>
  <w:style w:type="paragraph" w:customStyle="1" w:styleId="Reftitle">
    <w:name w:val="Ref_title"/>
    <w:basedOn w:val="Normal"/>
    <w:next w:val="Reftext"/>
    <w:rsid w:val="00044D6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44D65"/>
  </w:style>
  <w:style w:type="paragraph" w:customStyle="1" w:styleId="RepNo">
    <w:name w:val="Rep_No"/>
    <w:basedOn w:val="RecNo"/>
    <w:next w:val="Reptitle"/>
    <w:rsid w:val="00044D65"/>
  </w:style>
  <w:style w:type="paragraph" w:customStyle="1" w:styleId="Repref">
    <w:name w:val="Rep_ref"/>
    <w:basedOn w:val="Recref"/>
    <w:next w:val="Repdate"/>
    <w:rsid w:val="00044D65"/>
  </w:style>
  <w:style w:type="paragraph" w:customStyle="1" w:styleId="Reptitle">
    <w:name w:val="Rep_title"/>
    <w:basedOn w:val="Rectitle"/>
    <w:next w:val="Repref"/>
    <w:rsid w:val="00044D65"/>
  </w:style>
  <w:style w:type="paragraph" w:customStyle="1" w:styleId="Resdate">
    <w:name w:val="Res_date"/>
    <w:basedOn w:val="Recdate"/>
    <w:next w:val="Normalaftertitle"/>
    <w:rsid w:val="00044D65"/>
  </w:style>
  <w:style w:type="paragraph" w:customStyle="1" w:styleId="ResNo">
    <w:name w:val="Res_No"/>
    <w:basedOn w:val="RecNo"/>
    <w:next w:val="Restitle"/>
    <w:rsid w:val="00044D65"/>
  </w:style>
  <w:style w:type="paragraph" w:customStyle="1" w:styleId="Resref">
    <w:name w:val="Res_ref"/>
    <w:basedOn w:val="Recref"/>
    <w:next w:val="Resdate"/>
    <w:rsid w:val="00044D65"/>
  </w:style>
  <w:style w:type="paragraph" w:customStyle="1" w:styleId="Restitle">
    <w:name w:val="Res_title"/>
    <w:basedOn w:val="Normal"/>
    <w:next w:val="Resref"/>
    <w:rsid w:val="00044D65"/>
    <w:pPr>
      <w:spacing w:before="240"/>
      <w:jc w:val="center"/>
    </w:pPr>
    <w:rPr>
      <w:b/>
      <w:sz w:val="28"/>
    </w:rPr>
  </w:style>
  <w:style w:type="paragraph" w:customStyle="1" w:styleId="SectionNo">
    <w:name w:val="Section_No"/>
    <w:basedOn w:val="Normal"/>
    <w:next w:val="Normal"/>
    <w:rsid w:val="00044D65"/>
  </w:style>
  <w:style w:type="paragraph" w:customStyle="1" w:styleId="Sectiontitle">
    <w:name w:val="Section_title"/>
    <w:basedOn w:val="Normal"/>
    <w:next w:val="Normalaftertitle"/>
    <w:rsid w:val="00044D6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44D65"/>
    <w:pPr>
      <w:tabs>
        <w:tab w:val="clear" w:pos="794"/>
        <w:tab w:val="clear" w:pos="1191"/>
        <w:tab w:val="clear" w:pos="1588"/>
        <w:tab w:val="clear" w:pos="1985"/>
        <w:tab w:val="right" w:pos="9611"/>
      </w:tabs>
    </w:pPr>
    <w:rPr>
      <w:i/>
    </w:rPr>
  </w:style>
  <w:style w:type="paragraph" w:styleId="TOC1">
    <w:name w:val="toc 1"/>
    <w:basedOn w:val="Normal"/>
    <w:semiHidden/>
    <w:rsid w:val="00044D6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44D65"/>
    <w:pPr>
      <w:tabs>
        <w:tab w:val="clear" w:pos="567"/>
        <w:tab w:val="left" w:pos="1276"/>
      </w:tabs>
      <w:spacing w:before="160"/>
      <w:ind w:left="1276" w:hanging="709"/>
    </w:pPr>
  </w:style>
  <w:style w:type="paragraph" w:styleId="TOC3">
    <w:name w:val="toc 3"/>
    <w:basedOn w:val="TOC2"/>
    <w:semiHidden/>
    <w:rsid w:val="00044D65"/>
    <w:pPr>
      <w:tabs>
        <w:tab w:val="clear" w:pos="1276"/>
        <w:tab w:val="left" w:pos="2155"/>
      </w:tabs>
      <w:ind w:left="2155" w:hanging="879"/>
    </w:pPr>
  </w:style>
  <w:style w:type="paragraph" w:styleId="TOC4">
    <w:name w:val="toc 4"/>
    <w:basedOn w:val="TOC3"/>
    <w:semiHidden/>
    <w:rsid w:val="00044D65"/>
    <w:pPr>
      <w:tabs>
        <w:tab w:val="left" w:pos="3261"/>
      </w:tabs>
      <w:spacing w:before="80"/>
      <w:ind w:left="3261" w:hanging="993"/>
    </w:pPr>
  </w:style>
  <w:style w:type="paragraph" w:styleId="TOC5">
    <w:name w:val="toc 5"/>
    <w:basedOn w:val="TOC4"/>
    <w:semiHidden/>
    <w:rsid w:val="00044D65"/>
  </w:style>
  <w:style w:type="paragraph" w:styleId="TOC6">
    <w:name w:val="toc 6"/>
    <w:basedOn w:val="TOC4"/>
    <w:semiHidden/>
    <w:rsid w:val="00044D65"/>
  </w:style>
  <w:style w:type="paragraph" w:styleId="TOC7">
    <w:name w:val="toc 7"/>
    <w:basedOn w:val="TOC4"/>
    <w:semiHidden/>
    <w:rsid w:val="00044D65"/>
  </w:style>
  <w:style w:type="paragraph" w:styleId="TOC8">
    <w:name w:val="toc 8"/>
    <w:basedOn w:val="TOC4"/>
    <w:semiHidden/>
    <w:rsid w:val="00044D65"/>
  </w:style>
  <w:style w:type="paragraph" w:customStyle="1" w:styleId="Rectitle">
    <w:name w:val="Rec_title"/>
    <w:basedOn w:val="Normal"/>
    <w:next w:val="Recref"/>
    <w:rsid w:val="00044D65"/>
    <w:pPr>
      <w:keepNext/>
      <w:keepLines/>
      <w:spacing w:before="240"/>
      <w:jc w:val="center"/>
    </w:pPr>
    <w:rPr>
      <w:b/>
      <w:sz w:val="28"/>
    </w:rPr>
  </w:style>
  <w:style w:type="paragraph" w:customStyle="1" w:styleId="Annexref">
    <w:name w:val="Annex_ref"/>
    <w:basedOn w:val="Normal"/>
    <w:next w:val="Normalaftertitle"/>
    <w:rsid w:val="00044D65"/>
    <w:pPr>
      <w:keepNext/>
      <w:keepLines/>
      <w:spacing w:after="280"/>
      <w:jc w:val="center"/>
    </w:pPr>
  </w:style>
  <w:style w:type="paragraph" w:customStyle="1" w:styleId="Appendixref">
    <w:name w:val="Appendix_ref"/>
    <w:basedOn w:val="Annexref"/>
    <w:next w:val="Normalaftertitle"/>
    <w:rsid w:val="00044D65"/>
  </w:style>
  <w:style w:type="paragraph" w:customStyle="1" w:styleId="Figuretitle">
    <w:name w:val="Figure_title"/>
    <w:basedOn w:val="Normal"/>
    <w:next w:val="Figure"/>
    <w:rsid w:val="00044D6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44D65"/>
    <w:pPr>
      <w:keepNext/>
      <w:spacing w:before="0" w:after="120"/>
      <w:jc w:val="center"/>
    </w:pPr>
    <w:rPr>
      <w:b/>
    </w:rPr>
  </w:style>
  <w:style w:type="paragraph" w:customStyle="1" w:styleId="Summary">
    <w:name w:val="Summary"/>
    <w:basedOn w:val="Normal"/>
    <w:next w:val="Normalaftertitle"/>
    <w:rsid w:val="00044D65"/>
    <w:pPr>
      <w:spacing w:after="480"/>
    </w:pPr>
    <w:rPr>
      <w:sz w:val="22"/>
      <w:lang w:val="es-ES_tradnl"/>
    </w:rPr>
  </w:style>
  <w:style w:type="character" w:styleId="Hyperlink">
    <w:name w:val="Hyperlink"/>
    <w:basedOn w:val="DefaultParagraphFont"/>
    <w:rsid w:val="00042292"/>
    <w:rPr>
      <w:color w:val="0000FF"/>
      <w:u w:val="single"/>
    </w:rPr>
  </w:style>
  <w:style w:type="paragraph" w:customStyle="1" w:styleId="Figure">
    <w:name w:val="Figure"/>
    <w:basedOn w:val="FigureNo"/>
    <w:next w:val="Normal"/>
    <w:rsid w:val="00044D65"/>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044D65"/>
    <w:pPr>
      <w:ind w:left="-85" w:firstLine="0"/>
    </w:pPr>
    <w:rPr>
      <w:lang w:val="en-US"/>
    </w:rPr>
  </w:style>
  <w:style w:type="paragraph" w:customStyle="1" w:styleId="AnnexNo">
    <w:name w:val="Annex_No"/>
    <w:basedOn w:val="Normal"/>
    <w:next w:val="Annextitle"/>
    <w:rsid w:val="00312423"/>
    <w:pPr>
      <w:keepNext/>
      <w:keepLines/>
      <w:spacing w:before="480" w:after="80"/>
      <w:jc w:val="center"/>
    </w:pPr>
    <w:rPr>
      <w:sz w:val="28"/>
    </w:rPr>
  </w:style>
  <w:style w:type="paragraph" w:customStyle="1" w:styleId="Annextitle">
    <w:name w:val="Annex_title"/>
    <w:basedOn w:val="Normal"/>
    <w:next w:val="Normalaftertitle"/>
    <w:rsid w:val="00312423"/>
    <w:pPr>
      <w:keepNext/>
      <w:keepLines/>
      <w:tabs>
        <w:tab w:val="clear" w:pos="794"/>
        <w:tab w:val="clear" w:pos="1191"/>
        <w:tab w:val="clear" w:pos="1588"/>
        <w:tab w:val="clear" w:pos="1985"/>
      </w:tabs>
      <w:spacing w:before="280" w:after="40"/>
      <w:jc w:val="center"/>
    </w:pPr>
    <w:rPr>
      <w:b/>
      <w:sz w:val="28"/>
    </w:rPr>
  </w:style>
  <w:style w:type="paragraph" w:customStyle="1" w:styleId="TableText0">
    <w:name w:val="Table_Text"/>
    <w:basedOn w:val="Normal"/>
    <w:rsid w:val="003124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hyperlink" Target="http://www.itu.int/ITU-R/go/patents/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8B1FC-421C-47BA-8928-87300AD74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TotalTime>
  <Pages>14</Pages>
  <Words>4296</Words>
  <Characters>21910</Characters>
  <Application>Microsoft Office Word</Application>
  <DocSecurity>0</DocSecurity>
  <Lines>1369</Lines>
  <Paragraphs>671</Paragraphs>
  <ScaleCrop>false</ScaleCrop>
  <HeadingPairs>
    <vt:vector size="2" baseType="variant">
      <vt:variant>
        <vt:lpstr>Title</vt:lpstr>
      </vt:variant>
      <vt:variant>
        <vt:i4>1</vt:i4>
      </vt:variant>
    </vt:vector>
  </HeadingPairs>
  <TitlesOfParts>
    <vt:vector size="1" baseType="lpstr">
      <vt:lpstr>RECOMENDACIÓN  UIT-R  M.1084-4*, ** - Soluciones provisionales para la utilización más eficaz de la banda 156-174 MHz por las estaciones del servicio móvil marítimo</vt:lpstr>
    </vt:vector>
  </TitlesOfParts>
  <Manager/>
  <Company>ITU</Company>
  <LinksUpToDate>false</LinksUpToDate>
  <CharactersWithSpaces>25535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M.1084-4*, ** - Soluciones provisionales para la utilización más eficaz de la banda 156-174 MHz por las estaciones del servicio móvil marítimo</dc:title>
  <dc:subject>Serie M = Servicios móviles, de radiodeterminación y de aficionados, incluidos los correspondientes servicios por satélite</dc:subject>
  <dc:creator>Oficina de Radiocomunicaciones del UIT (BR)</dc:creator>
  <cp:keywords>M,1084-4*,</cp:keywords>
  <dc:description>Santosbo, 05.05.2011, MSB106309</dc:description>
  <cp:lastModifiedBy>santosbo</cp:lastModifiedBy>
  <cp:revision>6</cp:revision>
  <cp:lastPrinted>2005-02-10T14:54:00Z</cp:lastPrinted>
  <dcterms:created xsi:type="dcterms:W3CDTF">2011-05-05T12:30:00Z</dcterms:created>
  <dcterms:modified xsi:type="dcterms:W3CDTF">2011-05-05T12:43:00Z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05 May 2011</vt:lpwstr>
  </property>
</Properties>
</file>