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0BD" w:rsidRDefault="005C50BD" w:rsidP="005C50BD">
      <w:bookmarkStart w:id="0" w:name="_GoBack"/>
      <w:bookmarkEnd w:id="0"/>
    </w:p>
    <w:p w:rsidR="005C50BD" w:rsidRDefault="005C50BD" w:rsidP="005C50BD"/>
    <w:p w:rsidR="005C50BD" w:rsidRDefault="005C50BD" w:rsidP="005C50BD"/>
    <w:p w:rsidR="005C50BD" w:rsidRDefault="005C50BD" w:rsidP="005C50BD"/>
    <w:p w:rsidR="005C50BD" w:rsidRDefault="005C50BD" w:rsidP="005C50BD"/>
    <w:p w:rsidR="005C50BD" w:rsidRDefault="005C50BD" w:rsidP="005C50BD"/>
    <w:p w:rsidR="005C50BD" w:rsidRDefault="005C50BD" w:rsidP="005C50BD"/>
    <w:p w:rsidR="005C50BD" w:rsidRDefault="005C50BD" w:rsidP="005C50BD"/>
    <w:p w:rsidR="005C50BD" w:rsidRDefault="005C50BD" w:rsidP="005C50BD"/>
    <w:p w:rsidR="005C50BD" w:rsidRDefault="005C50BD" w:rsidP="005C50BD"/>
    <w:p w:rsidR="005C50BD" w:rsidRDefault="005C50BD" w:rsidP="005C50BD"/>
    <w:p w:rsidR="005C50BD" w:rsidRDefault="005C50BD" w:rsidP="005C50BD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C50BD" w:rsidRPr="00A443C2" w:rsidTr="00BD4366">
        <w:tc>
          <w:tcPr>
            <w:tcW w:w="10089" w:type="dxa"/>
          </w:tcPr>
          <w:p w:rsidR="005C50BD" w:rsidRPr="00B033C8" w:rsidRDefault="005C50BD" w:rsidP="00BD436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C50BD" w:rsidRPr="00A443C2" w:rsidRDefault="005C50BD" w:rsidP="005C50B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1176-1</w:t>
            </w:r>
          </w:p>
          <w:p w:rsidR="005C50BD" w:rsidRPr="00A443C2" w:rsidRDefault="005C50BD" w:rsidP="005C50B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2013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5C50BD" w:rsidRPr="00F54FBD" w:rsidTr="00BD4366">
        <w:tc>
          <w:tcPr>
            <w:tcW w:w="10089" w:type="dxa"/>
          </w:tcPr>
          <w:p w:rsidR="005C50BD" w:rsidRDefault="005C50BD" w:rsidP="00BD436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5C50BD" w:rsidRDefault="005C50BD" w:rsidP="005C50B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Caractéristiques techniques des renforceurs d'échos radar</w:t>
            </w:r>
          </w:p>
          <w:p w:rsidR="005C50BD" w:rsidRPr="00F54FBD" w:rsidRDefault="005C50BD" w:rsidP="00BD436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5C50BD" w:rsidRPr="00F54FBD" w:rsidTr="00BD4366">
        <w:tc>
          <w:tcPr>
            <w:tcW w:w="10089" w:type="dxa"/>
          </w:tcPr>
          <w:p w:rsidR="005C50BD" w:rsidRPr="00F54FBD" w:rsidRDefault="005C50BD" w:rsidP="00BD436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5C50BD" w:rsidRPr="00F54FBD" w:rsidRDefault="005C50BD" w:rsidP="00BD436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5C50BD" w:rsidRPr="00F54FBD" w:rsidRDefault="005C50BD" w:rsidP="00BD436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5C50BD" w:rsidRPr="00F54FBD" w:rsidRDefault="005C50BD" w:rsidP="00BD436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</w:p>
          <w:p w:rsidR="005C50BD" w:rsidRPr="00F54FBD" w:rsidRDefault="005C50BD" w:rsidP="00BD4366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Services mobile, de radiorepérage et d’amateur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y compris les services par satellite associés</w:t>
            </w:r>
          </w:p>
        </w:tc>
      </w:tr>
    </w:tbl>
    <w:p w:rsidR="005C50BD" w:rsidRPr="00F54FBD" w:rsidRDefault="005C50BD" w:rsidP="005C50BD">
      <w:pPr>
        <w:spacing w:before="80"/>
        <w:rPr>
          <w:i/>
          <w:sz w:val="22"/>
        </w:rPr>
      </w:pPr>
    </w:p>
    <w:p w:rsidR="005C50BD" w:rsidRPr="00F54FBD" w:rsidRDefault="005C50BD" w:rsidP="005C50BD">
      <w:pPr>
        <w:spacing w:before="80"/>
        <w:rPr>
          <w:i/>
          <w:sz w:val="22"/>
        </w:rPr>
      </w:pPr>
    </w:p>
    <w:p w:rsidR="005C50BD" w:rsidRPr="00F54FBD" w:rsidRDefault="005C50BD" w:rsidP="005C50BD">
      <w:pPr>
        <w:spacing w:before="80"/>
        <w:rPr>
          <w:i/>
          <w:sz w:val="22"/>
        </w:rPr>
      </w:pPr>
    </w:p>
    <w:p w:rsidR="005C50BD" w:rsidRPr="00F54FBD" w:rsidRDefault="005C50BD" w:rsidP="005C50BD">
      <w:pPr>
        <w:spacing w:before="80"/>
        <w:rPr>
          <w:i/>
          <w:sz w:val="22"/>
        </w:rPr>
      </w:pPr>
    </w:p>
    <w:p w:rsidR="005C50BD" w:rsidRPr="00F54FBD" w:rsidRDefault="005C50BD" w:rsidP="005C50BD">
      <w:pPr>
        <w:spacing w:before="80"/>
        <w:rPr>
          <w:i/>
          <w:sz w:val="22"/>
        </w:rPr>
      </w:pPr>
    </w:p>
    <w:p w:rsidR="005C50BD" w:rsidRPr="00F54FBD" w:rsidRDefault="005C50BD" w:rsidP="005C50BD">
      <w:pPr>
        <w:spacing w:before="80"/>
        <w:rPr>
          <w:i/>
          <w:sz w:val="22"/>
        </w:rPr>
      </w:pPr>
    </w:p>
    <w:p w:rsidR="005C50BD" w:rsidRPr="00F54FBD" w:rsidRDefault="005C50BD" w:rsidP="005C50B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5C50BD" w:rsidRPr="00F54FB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C50BD" w:rsidRPr="00F54FBD" w:rsidRDefault="005C50BD" w:rsidP="005C50B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5C50BD" w:rsidRPr="00F54FBD" w:rsidRDefault="005C50BD" w:rsidP="005C50BD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5C50BD" w:rsidRPr="00F54FBD" w:rsidRDefault="005C50BD" w:rsidP="005C50BD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5C50BD" w:rsidRPr="00E44CBB" w:rsidRDefault="005C50BD" w:rsidP="005C50BD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5C50BD" w:rsidRPr="00E44CBB" w:rsidRDefault="005C50BD" w:rsidP="005C50BD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9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5C50BD" w:rsidRPr="00C95B6F" w:rsidRDefault="005C50BD" w:rsidP="005C50BD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5C50BD" w:rsidRPr="009454F8" w:rsidTr="00BD4366">
        <w:tc>
          <w:tcPr>
            <w:tcW w:w="9360" w:type="dxa"/>
            <w:gridSpan w:val="2"/>
          </w:tcPr>
          <w:p w:rsidR="005C50BD" w:rsidRPr="009454F8" w:rsidRDefault="005C50BD" w:rsidP="00BD436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5C50BD" w:rsidRPr="009454F8" w:rsidRDefault="005C50BD" w:rsidP="00BD436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5C50BD" w:rsidRPr="00036EE3" w:rsidTr="00BD4366">
        <w:tc>
          <w:tcPr>
            <w:tcW w:w="1140" w:type="dxa"/>
          </w:tcPr>
          <w:p w:rsidR="005C50BD" w:rsidRPr="00614CC6" w:rsidRDefault="005C50BD" w:rsidP="00BD4366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5C50BD" w:rsidRPr="00614CC6" w:rsidRDefault="005C50BD" w:rsidP="00BD436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5C50BD" w:rsidRPr="00036EE3" w:rsidTr="00BD4366">
        <w:tc>
          <w:tcPr>
            <w:tcW w:w="1140" w:type="dxa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5C50BD" w:rsidRPr="00614CC6" w:rsidRDefault="005C50BD" w:rsidP="00BD436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5C50BD" w:rsidRPr="009454F8" w:rsidTr="00BD4366">
        <w:tc>
          <w:tcPr>
            <w:tcW w:w="1140" w:type="dxa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5C50BD" w:rsidRPr="00614CC6" w:rsidRDefault="005C50BD" w:rsidP="00BD436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5C50BD" w:rsidRPr="00036EE3" w:rsidTr="00BD4366">
        <w:tc>
          <w:tcPr>
            <w:tcW w:w="1140" w:type="dxa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5C50BD" w:rsidRPr="00614CC6" w:rsidRDefault="005C50BD" w:rsidP="00BD436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5C50BD" w:rsidRPr="00ED2695" w:rsidTr="00BD4366">
        <w:tc>
          <w:tcPr>
            <w:tcW w:w="1140" w:type="dxa"/>
            <w:shd w:val="clear" w:color="auto" w:fill="auto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5C50BD" w:rsidRPr="00614CC6" w:rsidRDefault="005C50BD" w:rsidP="00BD436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5C50BD" w:rsidRPr="00036EE3" w:rsidTr="00BD4366">
        <w:tc>
          <w:tcPr>
            <w:tcW w:w="1140" w:type="dxa"/>
            <w:shd w:val="clear" w:color="auto" w:fill="auto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5C50BD" w:rsidRPr="00614CC6" w:rsidRDefault="005C50BD" w:rsidP="00BD436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5C50BD" w:rsidRPr="00592F9F" w:rsidTr="00BD4366">
        <w:tc>
          <w:tcPr>
            <w:tcW w:w="1140" w:type="dxa"/>
            <w:shd w:val="clear" w:color="auto" w:fill="F3F3F3"/>
          </w:tcPr>
          <w:p w:rsidR="005C50BD" w:rsidRPr="00592F9F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92F9F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5C50BD" w:rsidRPr="00592F9F" w:rsidRDefault="005C50BD" w:rsidP="00BD436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592F9F">
              <w:rPr>
                <w:bCs/>
                <w:color w:val="000080"/>
                <w:sz w:val="20"/>
              </w:rPr>
              <w:t>Services mobile, de radiorepérage et d'amateur y compris les services par satellite associés</w:t>
            </w:r>
          </w:p>
        </w:tc>
      </w:tr>
      <w:tr w:rsidR="005C50BD" w:rsidRPr="00036EE3" w:rsidTr="00BD4366">
        <w:tc>
          <w:tcPr>
            <w:tcW w:w="1140" w:type="dxa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5C50BD" w:rsidRPr="00614CC6" w:rsidRDefault="005C50BD" w:rsidP="00BD4366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5C50BD" w:rsidRPr="00036EE3" w:rsidTr="00BD4366">
        <w:tc>
          <w:tcPr>
            <w:tcW w:w="1140" w:type="dxa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5C50BD" w:rsidRPr="00614CC6" w:rsidRDefault="005C50BD" w:rsidP="00BD436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5C50BD" w:rsidRPr="00036EE3" w:rsidTr="00BD4366">
        <w:tc>
          <w:tcPr>
            <w:tcW w:w="1140" w:type="dxa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5C50BD" w:rsidRPr="00614CC6" w:rsidRDefault="005C50BD" w:rsidP="00BD436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5C50BD" w:rsidRPr="00036EE3" w:rsidTr="00BD4366">
        <w:tc>
          <w:tcPr>
            <w:tcW w:w="1140" w:type="dxa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5C50BD" w:rsidRPr="00614CC6" w:rsidRDefault="005C50BD" w:rsidP="00BD436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5C50BD" w:rsidRPr="00036EE3" w:rsidTr="00BD4366">
        <w:tc>
          <w:tcPr>
            <w:tcW w:w="1140" w:type="dxa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5C50BD" w:rsidRPr="00614CC6" w:rsidRDefault="005C50BD" w:rsidP="00BD436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5C50BD" w:rsidRPr="00614CC6" w:rsidTr="00BD4366">
        <w:tc>
          <w:tcPr>
            <w:tcW w:w="1140" w:type="dxa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5C50BD" w:rsidRPr="00614CC6" w:rsidRDefault="005C50BD" w:rsidP="00BD4366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5C50BD" w:rsidRPr="00036EE3" w:rsidTr="00BD4366">
        <w:tc>
          <w:tcPr>
            <w:tcW w:w="1140" w:type="dxa"/>
            <w:shd w:val="clear" w:color="auto" w:fill="auto"/>
          </w:tcPr>
          <w:p w:rsidR="005C50BD" w:rsidRPr="00592F9F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5C50BD" w:rsidRPr="00592F9F" w:rsidRDefault="005C50BD" w:rsidP="00BD436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5C50BD" w:rsidRPr="00036EE3" w:rsidTr="00BD4366">
        <w:tc>
          <w:tcPr>
            <w:tcW w:w="1140" w:type="dxa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5C50BD" w:rsidRPr="00614CC6" w:rsidRDefault="005C50BD" w:rsidP="00BD436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5C50BD" w:rsidRPr="00614CC6" w:rsidTr="00BD4366">
        <w:tc>
          <w:tcPr>
            <w:tcW w:w="1140" w:type="dxa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5C50BD" w:rsidRPr="00614CC6" w:rsidRDefault="005C50BD" w:rsidP="00BD4366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5C50BD" w:rsidRPr="00036EE3" w:rsidTr="00BD4366">
        <w:tc>
          <w:tcPr>
            <w:tcW w:w="1140" w:type="dxa"/>
          </w:tcPr>
          <w:p w:rsidR="005C50BD" w:rsidRPr="00614CC6" w:rsidRDefault="005C50BD" w:rsidP="00BD436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5C50BD" w:rsidRPr="00614CC6" w:rsidRDefault="005C50BD" w:rsidP="00BD4366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5C50BD" w:rsidRPr="00036EE3" w:rsidRDefault="005C50BD" w:rsidP="005C50BD">
      <w:pPr>
        <w:spacing w:before="0"/>
        <w:jc w:val="center"/>
        <w:rPr>
          <w:sz w:val="20"/>
          <w:lang w:val="en-US"/>
        </w:rPr>
      </w:pPr>
    </w:p>
    <w:p w:rsidR="005C50BD" w:rsidRPr="00036EE3" w:rsidRDefault="005C50BD" w:rsidP="005C50BD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5C50BD" w:rsidRPr="00756B4D" w:rsidTr="00BD4366">
        <w:tc>
          <w:tcPr>
            <w:tcW w:w="9360" w:type="dxa"/>
          </w:tcPr>
          <w:p w:rsidR="005C50BD" w:rsidRPr="00756B4D" w:rsidRDefault="005C50BD" w:rsidP="00BD4366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5C50BD" w:rsidRPr="00756B4D" w:rsidRDefault="005C50BD" w:rsidP="005C50BD">
      <w:pPr>
        <w:spacing w:before="0"/>
        <w:jc w:val="center"/>
        <w:rPr>
          <w:sz w:val="22"/>
        </w:rPr>
      </w:pPr>
    </w:p>
    <w:p w:rsidR="005C50BD" w:rsidRPr="00614CC6" w:rsidRDefault="005C50BD" w:rsidP="005C50BD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5C50BD" w:rsidRPr="00614CC6" w:rsidRDefault="005C50BD" w:rsidP="005C50BD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14</w:t>
      </w:r>
    </w:p>
    <w:p w:rsidR="005C50BD" w:rsidRPr="00614CC6" w:rsidRDefault="005C50BD" w:rsidP="005C50BD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14</w:t>
      </w:r>
    </w:p>
    <w:p w:rsidR="005C50BD" w:rsidRPr="00614CC6" w:rsidRDefault="005C50BD" w:rsidP="005C50BD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5C50BD" w:rsidRPr="00614CC6" w:rsidRDefault="005C50BD" w:rsidP="005C50BD">
      <w:pPr>
        <w:spacing w:before="160"/>
        <w:rPr>
          <w:i/>
          <w:sz w:val="20"/>
          <w:highlight w:val="yellow"/>
        </w:rPr>
        <w:sectPr w:rsidR="005C50BD" w:rsidRPr="00614CC6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C50BD" w:rsidRDefault="005C50BD" w:rsidP="005C50BD">
      <w:pPr>
        <w:pStyle w:val="RecNo"/>
        <w:spacing w:before="0"/>
        <w:rPr>
          <w:lang w:val="fr-CH"/>
        </w:rPr>
      </w:pPr>
      <w:bookmarkStart w:id="3" w:name="irecnoe"/>
      <w:bookmarkEnd w:id="3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>-R  M.</w:t>
      </w:r>
      <w:r>
        <w:rPr>
          <w:rStyle w:val="href"/>
        </w:rPr>
        <w:t>1176-1</w:t>
      </w:r>
      <w:r w:rsidRPr="00C93C16">
        <w:rPr>
          <w:lang w:val="fr-CH"/>
        </w:rPr>
        <w:footnoteReference w:customMarkFollows="1" w:id="1"/>
        <w:t>*</w:t>
      </w:r>
    </w:p>
    <w:p w:rsidR="005C50BD" w:rsidRDefault="005C50BD" w:rsidP="005C50BD">
      <w:pPr>
        <w:pStyle w:val="Rectitle"/>
        <w:rPr>
          <w:lang w:val="fr-CH"/>
        </w:rPr>
      </w:pPr>
      <w:r>
        <w:rPr>
          <w:lang w:val="fr-CH"/>
        </w:rPr>
        <w:t>Caractéristiques techniques des renforceurs d'échos radar</w:t>
      </w:r>
    </w:p>
    <w:p w:rsidR="005C50BD" w:rsidRDefault="005C50BD" w:rsidP="005C50BD">
      <w:pPr>
        <w:pStyle w:val="Recref"/>
        <w:rPr>
          <w:lang w:val="fr-CH"/>
        </w:rPr>
      </w:pPr>
    </w:p>
    <w:p w:rsidR="005C50BD" w:rsidRPr="005C50BD" w:rsidRDefault="005C50BD" w:rsidP="005C50BD">
      <w:pPr>
        <w:pStyle w:val="Recdate"/>
        <w:rPr>
          <w:lang w:val="fr-CH"/>
        </w:rPr>
      </w:pPr>
      <w:r>
        <w:rPr>
          <w:lang w:val="fr-CH"/>
        </w:rPr>
        <w:t>(1995-2013)</w:t>
      </w:r>
    </w:p>
    <w:p w:rsidR="00D9196B" w:rsidRDefault="00D9196B" w:rsidP="00D9196B"/>
    <w:p w:rsidR="005C50BD" w:rsidRDefault="005C50BD" w:rsidP="00D9196B">
      <w:pPr>
        <w:pStyle w:val="HeadingSum"/>
      </w:pPr>
      <w:r>
        <w:t>Domaine d'application</w:t>
      </w:r>
    </w:p>
    <w:p w:rsidR="005C50BD" w:rsidRDefault="005C50BD" w:rsidP="00D1193B">
      <w:pPr>
        <w:pStyle w:val="Summary"/>
      </w:pPr>
      <w:r>
        <w:t>Des essais réalisés sur des renforceurs d'échos radar ont montré que l'utilisation de ces dispositifs permet d'amplifier considérablement les échos radar provenant de bouées de navigation ou de petites embarcations.</w:t>
      </w:r>
    </w:p>
    <w:p w:rsidR="005C50BD" w:rsidRDefault="005C50BD" w:rsidP="00D1193B">
      <w:pPr>
        <w:pStyle w:val="Summary"/>
      </w:pPr>
      <w:r>
        <w:t>Cette Recommandation indique les caractéristiques techniques des renforceurs d'échos radar (RTE) fonctionnant dans les bandes de fréquences 2</w:t>
      </w:r>
      <w:r>
        <w:rPr>
          <w:rFonts w:ascii="Tms Rmn" w:hAnsi="Tms Rmn"/>
          <w:sz w:val="12"/>
        </w:rPr>
        <w:t> </w:t>
      </w:r>
      <w:r>
        <w:t>900-3</w:t>
      </w:r>
      <w:r>
        <w:rPr>
          <w:rFonts w:ascii="Tms Rmn" w:hAnsi="Tms Rmn"/>
          <w:sz w:val="12"/>
        </w:rPr>
        <w:t> </w:t>
      </w:r>
      <w:r>
        <w:t>100 MHz et/ou 9</w:t>
      </w:r>
      <w:r>
        <w:rPr>
          <w:rFonts w:ascii="Tms Rmn" w:hAnsi="Tms Rmn"/>
          <w:sz w:val="12"/>
        </w:rPr>
        <w:t> </w:t>
      </w:r>
      <w:r>
        <w:t>200-9</w:t>
      </w:r>
      <w:r>
        <w:rPr>
          <w:rFonts w:ascii="Tms Rmn" w:hAnsi="Tms Rmn"/>
          <w:sz w:val="12"/>
        </w:rPr>
        <w:t> </w:t>
      </w:r>
      <w:r>
        <w:t>500 MHz.</w:t>
      </w:r>
    </w:p>
    <w:p w:rsidR="005C50BD" w:rsidRDefault="005C50BD" w:rsidP="00D1193B">
      <w:pPr>
        <w:pStyle w:val="Normalaftertitle0"/>
        <w:spacing w:before="480"/>
      </w:pPr>
      <w:r>
        <w:t>L'Assemblée des radiocommunications de l'UIT,</w:t>
      </w:r>
    </w:p>
    <w:p w:rsidR="005C50BD" w:rsidRDefault="005C50BD" w:rsidP="005C50BD">
      <w:pPr>
        <w:pStyle w:val="Call"/>
      </w:pPr>
      <w:r>
        <w:t>considérant</w:t>
      </w:r>
    </w:p>
    <w:p w:rsidR="005C50BD" w:rsidRDefault="005C50BD" w:rsidP="005C50BD">
      <w:r w:rsidRPr="004B4624">
        <w:rPr>
          <w:i/>
          <w:iCs/>
        </w:rPr>
        <w:t>a)</w:t>
      </w:r>
      <w:r>
        <w:tab/>
        <w:t>que les radars maritimes du service de radionavigation maritime fonctionnent dans les bandes de fréquences 2</w:t>
      </w:r>
      <w:r>
        <w:rPr>
          <w:rFonts w:ascii="Tms Rmn" w:hAnsi="Tms Rmn"/>
          <w:sz w:val="12"/>
        </w:rPr>
        <w:t> </w:t>
      </w:r>
      <w:r>
        <w:t>900</w:t>
      </w:r>
      <w:r>
        <w:noBreakHyphen/>
        <w:t>3</w:t>
      </w:r>
      <w:r>
        <w:rPr>
          <w:rFonts w:ascii="Tms Rmn" w:hAnsi="Tms Rmn"/>
          <w:sz w:val="12"/>
        </w:rPr>
        <w:t> </w:t>
      </w:r>
      <w:r>
        <w:t>100 MHz et 9</w:t>
      </w:r>
      <w:r>
        <w:rPr>
          <w:rFonts w:ascii="Tms Rmn" w:hAnsi="Tms Rmn"/>
          <w:sz w:val="12"/>
        </w:rPr>
        <w:t> </w:t>
      </w:r>
      <w:r>
        <w:t>200-9</w:t>
      </w:r>
      <w:r>
        <w:rPr>
          <w:rFonts w:ascii="Tms Rmn" w:hAnsi="Tms Rmn"/>
          <w:sz w:val="12"/>
        </w:rPr>
        <w:t> </w:t>
      </w:r>
      <w:r>
        <w:t>500 MHz;</w:t>
      </w:r>
    </w:p>
    <w:p w:rsidR="005C50BD" w:rsidRDefault="005C50BD" w:rsidP="005C50BD">
      <w:r w:rsidRPr="004B4624">
        <w:rPr>
          <w:i/>
          <w:iCs/>
        </w:rPr>
        <w:t>b)</w:t>
      </w:r>
      <w:r>
        <w:tab/>
        <w:t>qu'un transpondeur est un dispositif permettant d'amplifier l'écho, à condition que le degré d'amplification ne dépasse pas sensiblement celui qui pourrait être obtenu par des moyens passifs (Résolution A.615(15) de l'Organisation maritime internationale (OMI));</w:t>
      </w:r>
    </w:p>
    <w:p w:rsidR="005C50BD" w:rsidRDefault="005C50BD" w:rsidP="005C50BD">
      <w:r w:rsidRPr="004B4624">
        <w:rPr>
          <w:i/>
          <w:iCs/>
        </w:rPr>
        <w:t>c)</w:t>
      </w:r>
      <w:r>
        <w:tab/>
        <w:t>que l'utilisation d'un renforceur d'écho actif constitué d'un amplificateur radiofréquence à large bande ainsi que d'antennes de réception et d'émission, permet d'amplifier considérablement les échos radar provenant de cibles telles que des bouées de navigation ou de petites embarcations,</w:t>
      </w:r>
    </w:p>
    <w:p w:rsidR="005C50BD" w:rsidRDefault="005C50BD" w:rsidP="005C50BD">
      <w:pPr>
        <w:pStyle w:val="Call"/>
      </w:pPr>
      <w:r>
        <w:t>notant</w:t>
      </w:r>
    </w:p>
    <w:p w:rsidR="005C50BD" w:rsidRPr="00E53281" w:rsidRDefault="005C50BD" w:rsidP="005C50BD">
      <w:r w:rsidRPr="004B4624">
        <w:rPr>
          <w:i/>
          <w:iCs/>
        </w:rPr>
        <w:t>a)</w:t>
      </w:r>
      <w:r w:rsidRPr="00E53281">
        <w:tab/>
        <w:t xml:space="preserve">que, conformément à la règle 19-2.1.7 du </w:t>
      </w:r>
      <w:r>
        <w:t>C</w:t>
      </w:r>
      <w:r w:rsidRPr="00E53281">
        <w:t>hapitre 5 de la Convention SOLAS de l'OMI</w:t>
      </w:r>
      <w:r>
        <w:t xml:space="preserve">, tous les navires et toutes les embarcations de moins de </w:t>
      </w:r>
      <w:r w:rsidRPr="00E53281">
        <w:t>150</w:t>
      </w:r>
      <w:r>
        <w:t> tonneaux de jauge brute doivent, dans la mesure du possible, être équipés d'un réflecteur radar afin de permettre la détection radar</w:t>
      </w:r>
      <w:r w:rsidRPr="00E53281">
        <w:t>;</w:t>
      </w:r>
    </w:p>
    <w:p w:rsidR="005C50BD" w:rsidRPr="00E53281" w:rsidRDefault="005C50BD" w:rsidP="005C50BD">
      <w:pPr>
        <w:rPr>
          <w:lang w:val="fr-CH"/>
        </w:rPr>
      </w:pPr>
      <w:r w:rsidRPr="004B4624">
        <w:rPr>
          <w:i/>
          <w:iCs/>
          <w:lang w:val="fr-CH"/>
        </w:rPr>
        <w:t>b)</w:t>
      </w:r>
      <w:r w:rsidRPr="00E53281">
        <w:rPr>
          <w:lang w:val="fr-CH"/>
        </w:rPr>
        <w:tab/>
        <w:t>que la Résolution MSC.164(78) de l'OMI définit les normes de qualité de fonctionnement a</w:t>
      </w:r>
      <w:r>
        <w:rPr>
          <w:lang w:val="fr-CH"/>
        </w:rPr>
        <w:t>pplicables aux réflecteurs radar</w:t>
      </w:r>
      <w:r w:rsidRPr="00E53281">
        <w:rPr>
          <w:lang w:val="fr-CH"/>
        </w:rPr>
        <w:t>s passifs</w:t>
      </w:r>
      <w:r>
        <w:rPr>
          <w:lang w:val="fr-CH"/>
        </w:rPr>
        <w:t xml:space="preserve"> et actifs, </w:t>
      </w:r>
    </w:p>
    <w:p w:rsidR="005C50BD" w:rsidRDefault="005C50BD" w:rsidP="005C50BD">
      <w:pPr>
        <w:pStyle w:val="Call"/>
      </w:pPr>
      <w:r w:rsidRPr="00C93C16">
        <w:t>recommande</w:t>
      </w:r>
    </w:p>
    <w:p w:rsidR="005C50BD" w:rsidRDefault="005C50BD" w:rsidP="005C50BD">
      <w:pPr>
        <w:keepNext/>
        <w:keepLines/>
      </w:pPr>
      <w:r>
        <w:t>que les caractéristiques techniques des renforceurs d'échos radar destinés à être utilisés sur des bouées de navigation ainsi que sur des navires et des embarcations de moins de 150 tonneaux de jauge brute soient conformes aux spécifications figurant dans l'Annexe.</w:t>
      </w:r>
    </w:p>
    <w:p w:rsidR="005C50BD" w:rsidRDefault="005C50BD" w:rsidP="005C50BD"/>
    <w:p w:rsidR="005C50BD" w:rsidRDefault="005C50BD" w:rsidP="005C50BD"/>
    <w:p w:rsidR="005C50BD" w:rsidRDefault="005C50BD" w:rsidP="005C50BD"/>
    <w:p w:rsidR="005C50BD" w:rsidRDefault="005C50BD" w:rsidP="00B11B8E">
      <w:pPr>
        <w:pStyle w:val="AnnexNoTitle"/>
      </w:pPr>
      <w:r>
        <w:lastRenderedPageBreak/>
        <w:t>Annexe</w:t>
      </w:r>
      <w:r>
        <w:br/>
      </w:r>
      <w:r>
        <w:br/>
        <w:t xml:space="preserve">Caractéristiques techniques des renforceurs d'échos radar destinés à être </w:t>
      </w:r>
      <w:r>
        <w:br/>
        <w:t>utilisés sur des bouées de navigation ou de petites embarcations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6374"/>
      </w:tblGrid>
      <w:tr w:rsidR="005C50BD" w:rsidRPr="00DA047D" w:rsidTr="00BD4366">
        <w:trPr>
          <w:jc w:val="center"/>
        </w:trPr>
        <w:tc>
          <w:tcPr>
            <w:tcW w:w="3265" w:type="dxa"/>
            <w:shd w:val="clear" w:color="auto" w:fill="auto"/>
          </w:tcPr>
          <w:p w:rsidR="005C50BD" w:rsidRPr="00DA047D" w:rsidRDefault="005C50BD" w:rsidP="00BD4366">
            <w:pPr>
              <w:pStyle w:val="Tablehead"/>
              <w:keepLines/>
              <w:rPr>
                <w:lang w:val="en-GB"/>
              </w:rPr>
            </w:pPr>
            <w:r w:rsidRPr="00DA047D">
              <w:rPr>
                <w:lang w:val="en-GB"/>
              </w:rPr>
              <w:t>Param</w:t>
            </w:r>
            <w:r>
              <w:rPr>
                <w:lang w:val="en-GB"/>
              </w:rPr>
              <w:t>ètres</w:t>
            </w:r>
          </w:p>
        </w:tc>
        <w:tc>
          <w:tcPr>
            <w:tcW w:w="6374" w:type="dxa"/>
            <w:shd w:val="clear" w:color="auto" w:fill="auto"/>
          </w:tcPr>
          <w:p w:rsidR="005C50BD" w:rsidRPr="00DA047D" w:rsidRDefault="005C50BD" w:rsidP="00BD4366">
            <w:pPr>
              <w:pStyle w:val="Tablehead"/>
              <w:keepLines/>
              <w:rPr>
                <w:lang w:val="en-GB"/>
              </w:rPr>
            </w:pPr>
            <w:r>
              <w:rPr>
                <w:lang w:val="en-GB"/>
              </w:rPr>
              <w:t>Spé</w:t>
            </w:r>
            <w:r w:rsidRPr="00DA047D">
              <w:rPr>
                <w:lang w:val="en-GB"/>
              </w:rPr>
              <w:t>cifications</w:t>
            </w:r>
          </w:p>
        </w:tc>
      </w:tr>
      <w:tr w:rsidR="005C50BD" w:rsidRPr="00E6239A" w:rsidTr="00BD4366">
        <w:trPr>
          <w:trHeight w:val="729"/>
          <w:jc w:val="center"/>
        </w:trPr>
        <w:tc>
          <w:tcPr>
            <w:tcW w:w="3265" w:type="dxa"/>
            <w:shd w:val="clear" w:color="auto" w:fill="auto"/>
          </w:tcPr>
          <w:p w:rsidR="005C50BD" w:rsidRPr="00DA047D" w:rsidRDefault="005C50BD" w:rsidP="00AE7DE9">
            <w:pPr>
              <w:pStyle w:val="Tabletext"/>
              <w:keepNext/>
              <w:keepLines/>
              <w:jc w:val="left"/>
              <w:rPr>
                <w:lang w:val="en-GB"/>
              </w:rPr>
            </w:pPr>
            <w:r w:rsidRPr="00DA047D">
              <w:rPr>
                <w:lang w:val="en-GB"/>
              </w:rPr>
              <w:t>Polari</w:t>
            </w:r>
            <w:r>
              <w:rPr>
                <w:lang w:val="en-GB"/>
              </w:rPr>
              <w:t>s</w:t>
            </w:r>
            <w:r w:rsidRPr="00DA047D">
              <w:rPr>
                <w:lang w:val="en-GB"/>
              </w:rPr>
              <w:t>ation</w:t>
            </w:r>
          </w:p>
        </w:tc>
        <w:tc>
          <w:tcPr>
            <w:tcW w:w="6374" w:type="dxa"/>
            <w:shd w:val="clear" w:color="auto" w:fill="auto"/>
          </w:tcPr>
          <w:p w:rsidR="005C50BD" w:rsidRPr="00E6239A" w:rsidRDefault="005C50BD" w:rsidP="00AE7DE9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>
              <w:t>Dans la bande des 3 GHz, compatible avec les radars utilisant la polarisation horizontale</w:t>
            </w:r>
          </w:p>
          <w:p w:rsidR="005C50BD" w:rsidRPr="00E6239A" w:rsidRDefault="005C50BD" w:rsidP="00AE7DE9">
            <w:pPr>
              <w:pStyle w:val="Tabletext"/>
              <w:keepNext/>
              <w:keepLines/>
              <w:jc w:val="left"/>
              <w:rPr>
                <w:lang w:val="fr-CH"/>
              </w:rPr>
            </w:pPr>
            <w:r>
              <w:t>Dans la bande des 9 GHz, compatible avec les radars utilisant la polarisation horizontale</w:t>
            </w:r>
          </w:p>
        </w:tc>
      </w:tr>
      <w:tr w:rsidR="005C50BD" w:rsidRPr="00DA047D" w:rsidTr="00BD4366">
        <w:trPr>
          <w:trHeight w:val="729"/>
          <w:jc w:val="center"/>
        </w:trPr>
        <w:tc>
          <w:tcPr>
            <w:tcW w:w="3265" w:type="dxa"/>
            <w:shd w:val="clear" w:color="auto" w:fill="auto"/>
          </w:tcPr>
          <w:p w:rsidR="005C50BD" w:rsidRPr="00DA047D" w:rsidRDefault="005C50BD" w:rsidP="00AE7DE9">
            <w:pPr>
              <w:pStyle w:val="Tabletext"/>
              <w:jc w:val="left"/>
              <w:rPr>
                <w:lang w:val="en-GB"/>
              </w:rPr>
            </w:pPr>
            <w:r>
              <w:rPr>
                <w:lang w:val="en-GB"/>
              </w:rPr>
              <w:t>Bandes de fréquences</w:t>
            </w:r>
          </w:p>
        </w:tc>
        <w:tc>
          <w:tcPr>
            <w:tcW w:w="6374" w:type="dxa"/>
            <w:shd w:val="clear" w:color="auto" w:fill="auto"/>
          </w:tcPr>
          <w:p w:rsidR="005C50BD" w:rsidRPr="00DA047D" w:rsidRDefault="005C50BD" w:rsidP="00AE7DE9">
            <w:pPr>
              <w:pStyle w:val="Tabletext"/>
              <w:jc w:val="left"/>
              <w:rPr>
                <w:lang w:val="en-GB"/>
              </w:rPr>
            </w:pPr>
            <w:r>
              <w:rPr>
                <w:lang w:val="en-GB"/>
              </w:rPr>
              <w:t>2 900 à</w:t>
            </w:r>
            <w:r w:rsidRPr="00DA047D">
              <w:rPr>
                <w:lang w:val="en-GB"/>
              </w:rPr>
              <w:t xml:space="preserve"> 3 100 MHz</w:t>
            </w:r>
          </w:p>
          <w:p w:rsidR="005C50BD" w:rsidRPr="00DA047D" w:rsidRDefault="005C50BD" w:rsidP="00AE7DE9">
            <w:pPr>
              <w:pStyle w:val="Tabletext"/>
              <w:jc w:val="left"/>
              <w:rPr>
                <w:lang w:val="en-GB"/>
              </w:rPr>
            </w:pPr>
            <w:r>
              <w:rPr>
                <w:lang w:val="en-GB"/>
              </w:rPr>
              <w:t>9 200 à</w:t>
            </w:r>
            <w:r w:rsidRPr="00DA047D">
              <w:rPr>
                <w:lang w:val="en-GB"/>
              </w:rPr>
              <w:t xml:space="preserve"> 9 500 MHz</w:t>
            </w:r>
          </w:p>
        </w:tc>
      </w:tr>
      <w:tr w:rsidR="005C50BD" w:rsidRPr="00F502B6" w:rsidTr="00BD4366">
        <w:trPr>
          <w:trHeight w:val="729"/>
          <w:jc w:val="center"/>
        </w:trPr>
        <w:tc>
          <w:tcPr>
            <w:tcW w:w="3265" w:type="dxa"/>
            <w:shd w:val="clear" w:color="auto" w:fill="auto"/>
          </w:tcPr>
          <w:p w:rsidR="005C50BD" w:rsidRPr="00DA047D" w:rsidRDefault="005C50BD" w:rsidP="00AE7DE9">
            <w:pPr>
              <w:pStyle w:val="Tabletext"/>
              <w:jc w:val="left"/>
              <w:rPr>
                <w:lang w:val="en-GB"/>
              </w:rPr>
            </w:pPr>
            <w:r w:rsidRPr="00DA047D">
              <w:rPr>
                <w:lang w:val="en-GB"/>
              </w:rPr>
              <w:t>Gain</w:t>
            </w:r>
          </w:p>
        </w:tc>
        <w:tc>
          <w:tcPr>
            <w:tcW w:w="6374" w:type="dxa"/>
            <w:shd w:val="clear" w:color="auto" w:fill="auto"/>
          </w:tcPr>
          <w:p w:rsidR="005C50BD" w:rsidRPr="00E53281" w:rsidRDefault="005C50BD" w:rsidP="00AE7DE9">
            <w:pPr>
              <w:pStyle w:val="Tabletext"/>
              <w:jc w:val="left"/>
              <w:rPr>
                <w:lang w:val="fr-CH"/>
              </w:rPr>
            </w:pPr>
            <w:r w:rsidRPr="00E53281">
              <w:rPr>
                <w:lang w:val="fr-CH"/>
              </w:rPr>
              <w:t>Représenter une surface équivalente radar d'un RTE dans l'état non saturé d'au moins:</w:t>
            </w:r>
          </w:p>
          <w:p w:rsidR="005C50BD" w:rsidRPr="0092347C" w:rsidRDefault="005C50BD" w:rsidP="00AE7DE9">
            <w:pPr>
              <w:pStyle w:val="Tabletext"/>
              <w:jc w:val="left"/>
              <w:rPr>
                <w:lang w:val="fr-CH"/>
              </w:rPr>
            </w:pPr>
            <w:r w:rsidRPr="00E53281">
              <w:rPr>
                <w:lang w:val="fr-CH"/>
              </w:rPr>
              <w:tab/>
            </w:r>
            <w:r w:rsidRPr="0092347C">
              <w:rPr>
                <w:lang w:val="fr-CH"/>
              </w:rPr>
              <w:t>0,5 m</w:t>
            </w:r>
            <w:r w:rsidRPr="0092347C">
              <w:rPr>
                <w:vertAlign w:val="superscript"/>
                <w:lang w:val="fr-CH"/>
              </w:rPr>
              <w:t>2</w:t>
            </w:r>
            <w:r w:rsidRPr="0092347C">
              <w:rPr>
                <w:lang w:val="fr-CH"/>
              </w:rPr>
              <w:t xml:space="preserve"> dans la bande </w:t>
            </w:r>
            <w:r>
              <w:rPr>
                <w:lang w:val="fr-CH"/>
              </w:rPr>
              <w:t xml:space="preserve">des </w:t>
            </w:r>
            <w:r w:rsidRPr="0092347C">
              <w:rPr>
                <w:lang w:val="fr-CH"/>
              </w:rPr>
              <w:t xml:space="preserve">3 GHz </w:t>
            </w:r>
          </w:p>
          <w:p w:rsidR="005C50BD" w:rsidRPr="0092347C" w:rsidRDefault="005C50BD" w:rsidP="00AE7DE9">
            <w:pPr>
              <w:pStyle w:val="Tabletext"/>
              <w:jc w:val="left"/>
              <w:rPr>
                <w:lang w:val="fr-CH"/>
              </w:rPr>
            </w:pPr>
            <w:r w:rsidRPr="0092347C">
              <w:rPr>
                <w:lang w:val="fr-CH"/>
              </w:rPr>
              <w:tab/>
              <w:t>7,5 m</w:t>
            </w:r>
            <w:r w:rsidRPr="0092347C">
              <w:rPr>
                <w:vertAlign w:val="superscript"/>
                <w:lang w:val="fr-CH"/>
              </w:rPr>
              <w:t>2</w:t>
            </w:r>
            <w:r w:rsidRPr="0092347C">
              <w:rPr>
                <w:lang w:val="fr-CH"/>
              </w:rPr>
              <w:t xml:space="preserve"> dans la bande </w:t>
            </w:r>
            <w:r>
              <w:rPr>
                <w:lang w:val="fr-CH"/>
              </w:rPr>
              <w:t xml:space="preserve">des </w:t>
            </w:r>
            <w:r w:rsidRPr="0092347C">
              <w:rPr>
                <w:lang w:val="fr-CH"/>
              </w:rPr>
              <w:t xml:space="preserve">9 GHz </w:t>
            </w:r>
          </w:p>
          <w:p w:rsidR="005C50BD" w:rsidRPr="00C93C16" w:rsidRDefault="005C50BD" w:rsidP="00AE7DE9">
            <w:pPr>
              <w:pStyle w:val="Tabletext"/>
              <w:jc w:val="left"/>
              <w:rPr>
                <w:lang w:val="fr-CH"/>
              </w:rPr>
            </w:pPr>
            <w:r w:rsidRPr="00C93C16">
              <w:rPr>
                <w:lang w:val="fr-CH"/>
              </w:rPr>
              <w:t>où</w:t>
            </w:r>
            <w:r w:rsidR="00B11B8E">
              <w:rPr>
                <w:lang w:val="fr-CH"/>
              </w:rPr>
              <w:t>:</w:t>
            </w:r>
          </w:p>
          <w:p w:rsidR="005C50BD" w:rsidRPr="00C93C16" w:rsidRDefault="005C50BD" w:rsidP="00AE7DE9">
            <w:pPr>
              <w:pStyle w:val="Tabletext"/>
              <w:jc w:val="left"/>
              <w:rPr>
                <w:lang w:val="fr-CH"/>
              </w:rPr>
            </w:pPr>
            <w:r w:rsidRPr="00C93C16">
              <w:rPr>
                <w:i/>
                <w:iCs/>
                <w:lang w:val="fr-CH"/>
              </w:rPr>
              <w:t>G</w:t>
            </w:r>
            <w:r w:rsidRPr="00C93C16">
              <w:rPr>
                <w:lang w:val="fr-CH"/>
              </w:rPr>
              <w:t xml:space="preserve"> = 10 log(</w:t>
            </w:r>
            <w:r>
              <w:rPr>
                <w:lang w:val="en-GB"/>
              </w:rPr>
              <w:sym w:font="Symbol" w:char="F073"/>
            </w:r>
            <w:r w:rsidRPr="00C93C16">
              <w:rPr>
                <w:lang w:val="fr-CH"/>
              </w:rPr>
              <w:t xml:space="preserve"> </w:t>
            </w:r>
            <w:r w:rsidRPr="00C93C16">
              <w:rPr>
                <w:i/>
                <w:iCs/>
                <w:vertAlign w:val="subscript"/>
                <w:lang w:val="fr-CH"/>
              </w:rPr>
              <w:t>unsat</w:t>
            </w:r>
            <w:r w:rsidRPr="00C93C16">
              <w:rPr>
                <w:lang w:val="fr-CH"/>
              </w:rPr>
              <w:t>) – 20 log(</w:t>
            </w:r>
            <w:r>
              <w:rPr>
                <w:lang w:val="en-GB"/>
              </w:rPr>
              <w:t>λ</w:t>
            </w:r>
            <w:r w:rsidRPr="00C93C16">
              <w:rPr>
                <w:lang w:val="fr-CH"/>
              </w:rPr>
              <w:t>) + 10 log(4</w:t>
            </w:r>
            <w:r>
              <w:rPr>
                <w:lang w:val="en-GB"/>
              </w:rPr>
              <w:t>π</w:t>
            </w:r>
            <w:r w:rsidRPr="00C93C16">
              <w:rPr>
                <w:lang w:val="fr-CH"/>
              </w:rPr>
              <w:t>)</w:t>
            </w:r>
          </w:p>
          <w:p w:rsidR="005C50BD" w:rsidRPr="00C93C16" w:rsidRDefault="005C50BD" w:rsidP="00AE7DE9">
            <w:pPr>
              <w:pStyle w:val="Tabletext"/>
              <w:jc w:val="left"/>
              <w:rPr>
                <w:lang w:val="fr-CH"/>
              </w:rPr>
            </w:pPr>
            <w:r w:rsidRPr="00C93C16">
              <w:rPr>
                <w:i/>
                <w:iCs/>
                <w:lang w:val="fr-CH"/>
              </w:rPr>
              <w:t>G</w:t>
            </w:r>
            <w:r w:rsidRPr="00C93C16">
              <w:rPr>
                <w:lang w:val="fr-CH"/>
              </w:rPr>
              <w:t xml:space="preserve"> = </w:t>
            </w:r>
            <w:r w:rsidRPr="00C93C16">
              <w:rPr>
                <w:i/>
                <w:iCs/>
                <w:lang w:val="fr-CH"/>
              </w:rPr>
              <w:t>G</w:t>
            </w:r>
            <w:r w:rsidRPr="00C93C16">
              <w:rPr>
                <w:i/>
                <w:iCs/>
                <w:vertAlign w:val="subscript"/>
                <w:lang w:val="fr-CH"/>
              </w:rPr>
              <w:t>a</w:t>
            </w:r>
            <w:r w:rsidRPr="00C93C16">
              <w:rPr>
                <w:vertAlign w:val="subscript"/>
                <w:lang w:val="fr-CH"/>
              </w:rPr>
              <w:t xml:space="preserve"> </w:t>
            </w:r>
            <w:r w:rsidRPr="00C93C16">
              <w:rPr>
                <w:lang w:val="fr-CH"/>
              </w:rPr>
              <w:t xml:space="preserve">+ </w:t>
            </w:r>
            <w:r w:rsidRPr="00C93C16">
              <w:rPr>
                <w:i/>
                <w:iCs/>
                <w:lang w:val="fr-CH"/>
              </w:rPr>
              <w:t>G</w:t>
            </w:r>
            <w:r w:rsidRPr="00C93C16">
              <w:rPr>
                <w:i/>
                <w:iCs/>
                <w:vertAlign w:val="subscript"/>
                <w:lang w:val="fr-CH"/>
              </w:rPr>
              <w:t>r</w:t>
            </w:r>
            <w:r w:rsidRPr="00C93C16">
              <w:rPr>
                <w:vertAlign w:val="subscript"/>
                <w:lang w:val="fr-CH"/>
              </w:rPr>
              <w:t xml:space="preserve"> </w:t>
            </w:r>
            <w:r w:rsidRPr="00C93C16">
              <w:rPr>
                <w:lang w:val="fr-CH"/>
              </w:rPr>
              <w:t xml:space="preserve">+ </w:t>
            </w:r>
            <w:r w:rsidRPr="00C93C16">
              <w:rPr>
                <w:i/>
                <w:iCs/>
                <w:lang w:val="fr-CH"/>
              </w:rPr>
              <w:t>G</w:t>
            </w:r>
            <w:r w:rsidRPr="00C93C16">
              <w:rPr>
                <w:i/>
                <w:iCs/>
                <w:vertAlign w:val="subscript"/>
                <w:lang w:val="fr-CH"/>
              </w:rPr>
              <w:t>t</w:t>
            </w:r>
          </w:p>
          <w:p w:rsidR="005C50BD" w:rsidRPr="00F502B6" w:rsidRDefault="005C50BD" w:rsidP="00AE7DE9">
            <w:pPr>
              <w:pStyle w:val="Tabletext"/>
              <w:jc w:val="left"/>
              <w:rPr>
                <w:lang w:val="fr-CH"/>
              </w:rPr>
            </w:pPr>
            <w:r w:rsidRPr="00F502B6">
              <w:rPr>
                <w:i/>
                <w:iCs/>
                <w:lang w:val="fr-CH"/>
              </w:rPr>
              <w:t>G</w:t>
            </w:r>
            <w:r w:rsidRPr="00F502B6">
              <w:rPr>
                <w:i/>
                <w:iCs/>
                <w:vertAlign w:val="subscript"/>
                <w:lang w:val="fr-CH"/>
              </w:rPr>
              <w:t>a</w:t>
            </w:r>
            <w:r w:rsidRPr="00F502B6">
              <w:rPr>
                <w:lang w:val="fr-CH"/>
              </w:rPr>
              <w:t xml:space="preserve"> est le gain (dB) </w:t>
            </w:r>
            <w:r>
              <w:rPr>
                <w:lang w:val="fr-CH"/>
              </w:rPr>
              <w:t>de l'amplificateur</w:t>
            </w:r>
          </w:p>
          <w:p w:rsidR="005C50BD" w:rsidRPr="00F502B6" w:rsidRDefault="005C50BD" w:rsidP="00AE7DE9">
            <w:pPr>
              <w:pStyle w:val="Tabletext"/>
              <w:jc w:val="left"/>
              <w:rPr>
                <w:lang w:val="fr-CH"/>
              </w:rPr>
            </w:pPr>
            <w:r w:rsidRPr="00F502B6">
              <w:rPr>
                <w:i/>
                <w:iCs/>
                <w:lang w:val="fr-CH"/>
              </w:rPr>
              <w:t>G</w:t>
            </w:r>
            <w:r w:rsidRPr="00F502B6">
              <w:rPr>
                <w:i/>
                <w:iCs/>
                <w:vertAlign w:val="subscript"/>
                <w:lang w:val="fr-CH"/>
              </w:rPr>
              <w:t>t</w:t>
            </w:r>
            <w:r w:rsidRPr="00F502B6">
              <w:rPr>
                <w:lang w:val="fr-CH"/>
              </w:rPr>
              <w:t xml:space="preserve"> est le gain (dBi) de l'antenn</w:t>
            </w:r>
            <w:r>
              <w:rPr>
                <w:lang w:val="fr-CH"/>
              </w:rPr>
              <w:t>e d'émission</w:t>
            </w:r>
          </w:p>
          <w:p w:rsidR="005C50BD" w:rsidRPr="00F502B6" w:rsidRDefault="005C50BD" w:rsidP="00AE7DE9">
            <w:pPr>
              <w:pStyle w:val="Tabletext"/>
              <w:jc w:val="left"/>
              <w:rPr>
                <w:lang w:val="fr-CH"/>
              </w:rPr>
            </w:pPr>
            <w:r w:rsidRPr="00F502B6">
              <w:rPr>
                <w:i/>
                <w:iCs/>
                <w:lang w:val="fr-CH"/>
              </w:rPr>
              <w:t>G</w:t>
            </w:r>
            <w:r w:rsidRPr="00F502B6">
              <w:rPr>
                <w:i/>
                <w:iCs/>
                <w:vertAlign w:val="subscript"/>
                <w:lang w:val="fr-CH"/>
              </w:rPr>
              <w:t>r</w:t>
            </w:r>
            <w:r w:rsidRPr="00F502B6">
              <w:rPr>
                <w:lang w:val="fr-CH"/>
              </w:rPr>
              <w:t xml:space="preserve"> est le gain (dBi) de l'antenn</w:t>
            </w:r>
            <w:r>
              <w:rPr>
                <w:lang w:val="fr-CH"/>
              </w:rPr>
              <w:t>e de réception</w:t>
            </w:r>
          </w:p>
          <w:p w:rsidR="005C50BD" w:rsidRPr="00F502B6" w:rsidRDefault="005C50BD" w:rsidP="00AE7DE9">
            <w:pPr>
              <w:pStyle w:val="Tabletext"/>
              <w:jc w:val="left"/>
              <w:rPr>
                <w:lang w:val="fr-CH"/>
              </w:rPr>
            </w:pPr>
            <w:r>
              <w:rPr>
                <w:lang w:val="en-GB"/>
              </w:rPr>
              <w:sym w:font="Symbol" w:char="F073"/>
            </w:r>
            <w:r w:rsidRPr="00F502B6">
              <w:rPr>
                <w:lang w:val="fr-CH"/>
              </w:rPr>
              <w:t xml:space="preserve"> </w:t>
            </w:r>
            <w:r w:rsidRPr="00F502B6">
              <w:rPr>
                <w:i/>
                <w:iCs/>
                <w:vertAlign w:val="subscript"/>
                <w:lang w:val="fr-CH"/>
              </w:rPr>
              <w:t>unsat</w:t>
            </w:r>
            <w:r w:rsidRPr="00F502B6">
              <w:rPr>
                <w:lang w:val="fr-CH"/>
              </w:rPr>
              <w:t xml:space="preserve"> est la surface équivalente radar (m</w:t>
            </w:r>
            <w:r w:rsidRPr="00F502B6">
              <w:rPr>
                <w:vertAlign w:val="superscript"/>
                <w:lang w:val="fr-CH"/>
              </w:rPr>
              <w:t>2</w:t>
            </w:r>
            <w:r w:rsidRPr="00F502B6">
              <w:rPr>
                <w:lang w:val="fr-CH"/>
              </w:rPr>
              <w:t xml:space="preserve">), et </w:t>
            </w:r>
            <w:r w:rsidRPr="00DA047D">
              <w:rPr>
                <w:lang w:val="en-GB"/>
              </w:rPr>
              <w:t>λ</w:t>
            </w:r>
            <w:r w:rsidRPr="00F502B6">
              <w:rPr>
                <w:lang w:val="fr-CH"/>
              </w:rPr>
              <w:t xml:space="preserve"> </w:t>
            </w:r>
            <w:r>
              <w:rPr>
                <w:lang w:val="fr-CH"/>
              </w:rPr>
              <w:t xml:space="preserve">est la longueur d'onde </w:t>
            </w:r>
            <w:r w:rsidRPr="00F502B6">
              <w:rPr>
                <w:lang w:val="fr-CH"/>
              </w:rPr>
              <w:t>(m)</w:t>
            </w:r>
          </w:p>
        </w:tc>
      </w:tr>
      <w:tr w:rsidR="005C50BD" w:rsidRPr="00E8053B" w:rsidTr="00BD4366">
        <w:trPr>
          <w:trHeight w:val="750"/>
          <w:jc w:val="center"/>
        </w:trPr>
        <w:tc>
          <w:tcPr>
            <w:tcW w:w="3265" w:type="dxa"/>
            <w:shd w:val="clear" w:color="auto" w:fill="auto"/>
          </w:tcPr>
          <w:p w:rsidR="005C50BD" w:rsidRPr="00DA047D" w:rsidRDefault="005C50BD" w:rsidP="00AE7DE9">
            <w:pPr>
              <w:pStyle w:val="Tabletext"/>
              <w:jc w:val="left"/>
              <w:rPr>
                <w:lang w:val="en-GB"/>
              </w:rPr>
            </w:pPr>
            <w:r>
              <w:rPr>
                <w:lang w:val="en-GB"/>
              </w:rPr>
              <w:t>Ouverture du faisceau</w:t>
            </w:r>
          </w:p>
        </w:tc>
        <w:tc>
          <w:tcPr>
            <w:tcW w:w="6374" w:type="dxa"/>
            <w:shd w:val="clear" w:color="auto" w:fill="auto"/>
          </w:tcPr>
          <w:p w:rsidR="005C50BD" w:rsidRPr="00E8053B" w:rsidRDefault="005C50BD" w:rsidP="00AE7DE9">
            <w:pPr>
              <w:pStyle w:val="Tabletext"/>
              <w:jc w:val="left"/>
              <w:rPr>
                <w:lang w:val="fr-CH"/>
              </w:rPr>
            </w:pPr>
            <w:r w:rsidRPr="00E8053B">
              <w:rPr>
                <w:lang w:val="fr-CH"/>
              </w:rPr>
              <w:t>Dans le plan horizontal: Maintenir la surface équivalente radar sur au moins 280°, les minima au</w:t>
            </w:r>
            <w:r w:rsidRPr="00E8053B">
              <w:rPr>
                <w:lang w:val="fr-CH"/>
              </w:rPr>
              <w:noBreakHyphen/>
              <w:t xml:space="preserve">dessous de ce niveau ne dépassant pas 10°, </w:t>
            </w:r>
            <w:r>
              <w:rPr>
                <w:lang w:val="fr-CH"/>
              </w:rPr>
              <w:t xml:space="preserve">avec un espacement d'au moins </w:t>
            </w:r>
            <w:r w:rsidR="000E3891">
              <w:rPr>
                <w:lang w:val="fr-CH"/>
              </w:rPr>
              <w:t>20°</w:t>
            </w:r>
          </w:p>
          <w:p w:rsidR="005C50BD" w:rsidRPr="00E8053B" w:rsidRDefault="005C50BD" w:rsidP="00AE7DE9">
            <w:pPr>
              <w:pStyle w:val="Tabletext"/>
              <w:jc w:val="left"/>
              <w:rPr>
                <w:lang w:val="fr-CH"/>
              </w:rPr>
            </w:pPr>
            <w:r w:rsidRPr="00E8053B">
              <w:rPr>
                <w:lang w:val="fr-CH"/>
              </w:rPr>
              <w:t>Dans le plan vertical: Maintenir la surface équivalente radar sur ±10°</w:t>
            </w:r>
            <w:r>
              <w:rPr>
                <w:lang w:val="fr-CH"/>
              </w:rPr>
              <w:br/>
            </w:r>
            <w:r w:rsidRPr="00E8053B">
              <w:rPr>
                <w:lang w:val="fr-CH"/>
              </w:rPr>
              <w:t xml:space="preserve">(±20° </w:t>
            </w:r>
            <w:r>
              <w:rPr>
                <w:lang w:val="fr-CH"/>
              </w:rPr>
              <w:t>pour les voiliers monocoques</w:t>
            </w:r>
            <w:r w:rsidRPr="00E8053B">
              <w:rPr>
                <w:lang w:val="fr-CH"/>
              </w:rPr>
              <w:t>)</w:t>
            </w:r>
          </w:p>
        </w:tc>
      </w:tr>
      <w:tr w:rsidR="005C50BD" w:rsidRPr="00E8053B" w:rsidTr="00BD4366">
        <w:trPr>
          <w:trHeight w:val="750"/>
          <w:jc w:val="center"/>
        </w:trPr>
        <w:tc>
          <w:tcPr>
            <w:tcW w:w="3265" w:type="dxa"/>
            <w:shd w:val="clear" w:color="auto" w:fill="auto"/>
          </w:tcPr>
          <w:p w:rsidR="005C50BD" w:rsidRPr="00E8053B" w:rsidRDefault="005C50BD" w:rsidP="00AE7DE9">
            <w:pPr>
              <w:pStyle w:val="Tabletext"/>
              <w:jc w:val="left"/>
              <w:rPr>
                <w:lang w:val="fr-CH"/>
              </w:rPr>
            </w:pPr>
            <w:r w:rsidRPr="00E8053B">
              <w:rPr>
                <w:lang w:val="fr-CH"/>
              </w:rPr>
              <w:t>Forme du signal de sortie</w:t>
            </w:r>
          </w:p>
        </w:tc>
        <w:tc>
          <w:tcPr>
            <w:tcW w:w="6374" w:type="dxa"/>
            <w:shd w:val="clear" w:color="auto" w:fill="auto"/>
          </w:tcPr>
          <w:p w:rsidR="005C50BD" w:rsidRDefault="005C50BD" w:rsidP="00AE7DE9">
            <w:pPr>
              <w:pStyle w:val="Tabletext"/>
              <w:jc w:val="left"/>
              <w:rPr>
                <w:lang w:val="fr-CH"/>
              </w:rPr>
            </w:pPr>
            <w:r w:rsidRPr="00E8053B">
              <w:rPr>
                <w:lang w:val="fr-CH"/>
              </w:rPr>
              <w:t>Le signal de sortie doit être seulement une version amplifiée de l'impulsion reçue, sans auc</w:t>
            </w:r>
            <w:r>
              <w:rPr>
                <w:lang w:val="fr-CH"/>
              </w:rPr>
              <w:t>une forme de traitement à l'exc</w:t>
            </w:r>
            <w:r w:rsidRPr="00E8053B">
              <w:rPr>
                <w:lang w:val="fr-CH"/>
              </w:rPr>
              <w:t>e</w:t>
            </w:r>
            <w:r>
              <w:rPr>
                <w:lang w:val="fr-CH"/>
              </w:rPr>
              <w:t>p</w:t>
            </w:r>
            <w:r w:rsidRPr="00E8053B">
              <w:rPr>
                <w:lang w:val="fr-CH"/>
              </w:rPr>
              <w:t xml:space="preserve">tion de la </w:t>
            </w:r>
            <w:r w:rsidR="000E3891">
              <w:rPr>
                <w:lang w:val="fr-CH"/>
              </w:rPr>
              <w:t>limitation</w:t>
            </w:r>
          </w:p>
          <w:p w:rsidR="005C50BD" w:rsidRPr="00E8053B" w:rsidRDefault="005C50BD" w:rsidP="00AE7DE9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Le temps de propagation et l'allongement du signal de sortie ne doivent pas dépasser la plus élevée des deux valeurs suivantes, à savoir </w:t>
            </w:r>
            <w:r w:rsidRPr="00E8053B">
              <w:rPr>
                <w:lang w:val="fr-CH"/>
              </w:rPr>
              <w:t xml:space="preserve">10% </w:t>
            </w:r>
            <w:r>
              <w:rPr>
                <w:lang w:val="fr-CH"/>
              </w:rPr>
              <w:t>de la longueur de l'impulsion reçues ou 10 </w:t>
            </w:r>
            <w:r w:rsidRPr="00E8053B">
              <w:rPr>
                <w:lang w:val="fr-CH"/>
              </w:rPr>
              <w:t>ns</w:t>
            </w:r>
          </w:p>
        </w:tc>
      </w:tr>
      <w:tr w:rsidR="005C50BD" w:rsidRPr="00DA047D" w:rsidTr="00B11B8E">
        <w:trPr>
          <w:trHeight w:val="20"/>
          <w:jc w:val="center"/>
        </w:trPr>
        <w:tc>
          <w:tcPr>
            <w:tcW w:w="3265" w:type="dxa"/>
            <w:shd w:val="clear" w:color="auto" w:fill="auto"/>
          </w:tcPr>
          <w:p w:rsidR="005C50BD" w:rsidRPr="00E6239A" w:rsidRDefault="005C50BD" w:rsidP="00AE7DE9">
            <w:pPr>
              <w:pStyle w:val="Tabletext"/>
              <w:jc w:val="left"/>
              <w:rPr>
                <w:lang w:val="fr-CH"/>
              </w:rPr>
            </w:pPr>
            <w:r>
              <w:t>p.i.r.e. au niveau de limitation</w:t>
            </w:r>
          </w:p>
        </w:tc>
        <w:tc>
          <w:tcPr>
            <w:tcW w:w="6374" w:type="dxa"/>
            <w:shd w:val="clear" w:color="auto" w:fill="auto"/>
          </w:tcPr>
          <w:p w:rsidR="005C50BD" w:rsidRPr="00DA047D" w:rsidRDefault="005C50BD" w:rsidP="00AE7DE9">
            <w:pPr>
              <w:pStyle w:val="Tabletext"/>
              <w:jc w:val="left"/>
              <w:rPr>
                <w:lang w:val="en-GB"/>
              </w:rPr>
            </w:pPr>
            <w:r>
              <w:t>10 W au maximum</w:t>
            </w:r>
          </w:p>
        </w:tc>
      </w:tr>
    </w:tbl>
    <w:p w:rsidR="005C50BD" w:rsidRDefault="005C50BD" w:rsidP="00B11B8E">
      <w:pPr>
        <w:pStyle w:val="Tablefin"/>
      </w:pPr>
    </w:p>
    <w:p w:rsidR="00F132AA" w:rsidRDefault="00F132AA" w:rsidP="00B11B8E"/>
    <w:p w:rsidR="00F132AA" w:rsidRDefault="00F132AA" w:rsidP="00D9196B">
      <w:pPr>
        <w:jc w:val="center"/>
      </w:pPr>
      <w:r>
        <w:t>_______________</w:t>
      </w:r>
    </w:p>
    <w:p w:rsidR="00A6617B" w:rsidRPr="00A6617B" w:rsidRDefault="00A6617B" w:rsidP="00242AEE">
      <w:pPr>
        <w:pStyle w:val="HeadingSum"/>
      </w:pPr>
    </w:p>
    <w:sectPr w:rsidR="00A6617B" w:rsidRPr="00A6617B" w:rsidSect="00EC4E3C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DD0" w:rsidRDefault="006F5DD0">
      <w:r>
        <w:separator/>
      </w:r>
    </w:p>
  </w:endnote>
  <w:endnote w:type="continuationSeparator" w:id="0">
    <w:p w:rsidR="006F5DD0" w:rsidRDefault="006F5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DD0" w:rsidRDefault="006F5DD0">
      <w:r>
        <w:separator/>
      </w:r>
    </w:p>
  </w:footnote>
  <w:footnote w:type="continuationSeparator" w:id="0">
    <w:p w:rsidR="006F5DD0" w:rsidRDefault="006F5DD0">
      <w:r>
        <w:continuationSeparator/>
      </w:r>
    </w:p>
  </w:footnote>
  <w:footnote w:id="1">
    <w:p w:rsidR="005C50BD" w:rsidRDefault="005C50BD" w:rsidP="005C50BD">
      <w:pPr>
        <w:pStyle w:val="FootnoteText"/>
        <w:ind w:left="313" w:hanging="313"/>
      </w:pPr>
      <w:r>
        <w:rPr>
          <w:rStyle w:val="FootnoteReference"/>
        </w:rPr>
        <w:t>*</w:t>
      </w:r>
      <w:r>
        <w:tab/>
        <w:t xml:space="preserve">Cette Recommandation doit être portée à l'attention de l'Organisation maritime internationale (OMI), de </w:t>
      </w:r>
      <w:r>
        <w:rPr>
          <w:lang w:val="fr-CH"/>
        </w:rPr>
        <w:t>l'Organis</w:t>
      </w:r>
      <w:r w:rsidRPr="00002C67">
        <w:rPr>
          <w:lang w:val="fr-CH"/>
        </w:rPr>
        <w:t xml:space="preserve">ation </w:t>
      </w:r>
      <w:r>
        <w:rPr>
          <w:lang w:val="fr-CH"/>
        </w:rPr>
        <w:t xml:space="preserve">internationale de normalisation </w:t>
      </w:r>
      <w:r w:rsidRPr="00002C67">
        <w:rPr>
          <w:lang w:val="fr-CH"/>
        </w:rPr>
        <w:t xml:space="preserve">(ISO), </w:t>
      </w:r>
      <w:r>
        <w:rPr>
          <w:lang w:val="fr-CH"/>
        </w:rPr>
        <w:t xml:space="preserve">de la </w:t>
      </w:r>
      <w:r w:rsidRPr="00002C67">
        <w:rPr>
          <w:lang w:val="fr-CH"/>
        </w:rPr>
        <w:t xml:space="preserve">Commission </w:t>
      </w:r>
      <w:r>
        <w:rPr>
          <w:lang w:val="fr-CH"/>
        </w:rPr>
        <w:t xml:space="preserve">électrotechnique internationale </w:t>
      </w:r>
      <w:r w:rsidRPr="00002C67">
        <w:rPr>
          <w:lang w:val="fr-CH"/>
        </w:rPr>
        <w:t>(C</w:t>
      </w:r>
      <w:r>
        <w:rPr>
          <w:lang w:val="fr-CH"/>
        </w:rPr>
        <w:t>EI</w:t>
      </w:r>
      <w:r w:rsidRPr="00002C67">
        <w:rPr>
          <w:lang w:val="fr-CH"/>
        </w:rPr>
        <w:t xml:space="preserve">) </w:t>
      </w:r>
      <w:r>
        <w:t>et de l'Association internationale de signalisation maritime (AISM).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0BD" w:rsidRDefault="005C50B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0BD" w:rsidRDefault="005C50BD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9DC8F1F" wp14:editId="1D6B95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0BD" w:rsidRPr="00837CB5" w:rsidRDefault="005C50BD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1193B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D1193B" w:rsidRPr="00D1193B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D1193B">
      <w:rPr>
        <w:b/>
        <w:bCs/>
        <w:noProof/>
      </w:rPr>
      <w:t>UIT-R  M.1176-1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0BD" w:rsidRDefault="005C50BD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D1193B" w:rsidRPr="00D1193B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1193B">
      <w:rPr>
        <w:b/>
        <w:bCs/>
        <w:noProof/>
      </w:rPr>
      <w:t>UIT-R  M.1176-1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1193B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D1193B" w:rsidRPr="00D1193B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1193B">
      <w:rPr>
        <w:b/>
        <w:bCs/>
        <w:noProof/>
      </w:rPr>
      <w:t>UIT-R  M.1176-1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r w:rsidR="00D1193B">
      <w:fldChar w:fldCharType="begin"/>
    </w:r>
    <w:r w:rsidR="00D1193B">
      <w:instrText xml:space="preserve"> DOCPROPERTY "Header" \* MERGEFORMAT </w:instrText>
    </w:r>
    <w:r w:rsidR="00D1193B">
      <w:fldChar w:fldCharType="separate"/>
    </w:r>
    <w:r w:rsidR="00D1193B" w:rsidRPr="00D1193B">
      <w:rPr>
        <w:b/>
        <w:bCs/>
      </w:rPr>
      <w:t xml:space="preserve">Rec. </w:t>
    </w:r>
    <w:r w:rsidR="00D1193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1193B">
      <w:rPr>
        <w:b/>
        <w:bCs/>
        <w:noProof/>
      </w:rPr>
      <w:t>UIT-R  M.1176-1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1193B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DD0"/>
    <w:rsid w:val="000E3891"/>
    <w:rsid w:val="00217EBF"/>
    <w:rsid w:val="00242AEE"/>
    <w:rsid w:val="002D76C4"/>
    <w:rsid w:val="00452248"/>
    <w:rsid w:val="004B4624"/>
    <w:rsid w:val="0052529D"/>
    <w:rsid w:val="005C50BD"/>
    <w:rsid w:val="00607D68"/>
    <w:rsid w:val="006F5DD0"/>
    <w:rsid w:val="007468DA"/>
    <w:rsid w:val="009E00A8"/>
    <w:rsid w:val="00A6617B"/>
    <w:rsid w:val="00AB0DC8"/>
    <w:rsid w:val="00AE7DE9"/>
    <w:rsid w:val="00B11B8E"/>
    <w:rsid w:val="00B44E24"/>
    <w:rsid w:val="00D1193B"/>
    <w:rsid w:val="00D65526"/>
    <w:rsid w:val="00D9196B"/>
    <w:rsid w:val="00DF4176"/>
    <w:rsid w:val="00EC4E3C"/>
    <w:rsid w:val="00F1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50B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D1193B"/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5C50BD"/>
    <w:rPr>
      <w:color w:val="0000FF"/>
      <w:u w:val="single"/>
    </w:rPr>
  </w:style>
  <w:style w:type="paragraph" w:customStyle="1" w:styleId="Normalaftertitle0">
    <w:name w:val="Normal after title"/>
    <w:basedOn w:val="Normal"/>
    <w:next w:val="Normal"/>
    <w:rsid w:val="005C50B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</w:style>
  <w:style w:type="paragraph" w:customStyle="1" w:styleId="Annextitle">
    <w:name w:val="Annex_title"/>
    <w:basedOn w:val="Normal"/>
    <w:next w:val="Normal"/>
    <w:rsid w:val="005C50B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Reasons">
    <w:name w:val="Reasons"/>
    <w:basedOn w:val="Normal"/>
    <w:rsid w:val="005C50BD"/>
    <w:pPr>
      <w:tabs>
        <w:tab w:val="clear" w:pos="794"/>
        <w:tab w:val="clear" w:pos="1191"/>
        <w:tab w:val="left" w:pos="1134"/>
      </w:tabs>
      <w:jc w:val="left"/>
    </w:pPr>
  </w:style>
  <w:style w:type="character" w:customStyle="1" w:styleId="TableheadChar">
    <w:name w:val="Table_head Char"/>
    <w:link w:val="Tablehead"/>
    <w:locked/>
    <w:rsid w:val="005C50BD"/>
    <w:rPr>
      <w:b/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5C50BD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rsid w:val="00D9196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9196B"/>
    <w:rPr>
      <w:rFonts w:ascii="Tahoma" w:hAnsi="Tahoma" w:cs="Tahoma"/>
      <w:sz w:val="16"/>
      <w:szCs w:val="16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50B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D1193B"/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5C50BD"/>
    <w:rPr>
      <w:color w:val="0000FF"/>
      <w:u w:val="single"/>
    </w:rPr>
  </w:style>
  <w:style w:type="paragraph" w:customStyle="1" w:styleId="Normalaftertitle0">
    <w:name w:val="Normal after title"/>
    <w:basedOn w:val="Normal"/>
    <w:next w:val="Normal"/>
    <w:rsid w:val="005C50B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</w:style>
  <w:style w:type="paragraph" w:customStyle="1" w:styleId="Annextitle">
    <w:name w:val="Annex_title"/>
    <w:basedOn w:val="Normal"/>
    <w:next w:val="Normal"/>
    <w:rsid w:val="005C50B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Reasons">
    <w:name w:val="Reasons"/>
    <w:basedOn w:val="Normal"/>
    <w:rsid w:val="005C50BD"/>
    <w:pPr>
      <w:tabs>
        <w:tab w:val="clear" w:pos="794"/>
        <w:tab w:val="clear" w:pos="1191"/>
        <w:tab w:val="left" w:pos="1134"/>
      </w:tabs>
      <w:jc w:val="left"/>
    </w:pPr>
  </w:style>
  <w:style w:type="character" w:customStyle="1" w:styleId="TableheadChar">
    <w:name w:val="Table_head Char"/>
    <w:link w:val="Tablehead"/>
    <w:locked/>
    <w:rsid w:val="005C50BD"/>
    <w:rPr>
      <w:b/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5C50BD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rsid w:val="00D9196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9196B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ce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225</TotalTime>
  <Pages>4</Pages>
  <Words>943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Brice, Corinne</dc:creator>
  <cp:lastModifiedBy>Brice, Corinne</cp:lastModifiedBy>
  <cp:revision>10</cp:revision>
  <cp:lastPrinted>2014-06-11T12:17:00Z</cp:lastPrinted>
  <dcterms:created xsi:type="dcterms:W3CDTF">2014-06-11T08:35:00Z</dcterms:created>
  <dcterms:modified xsi:type="dcterms:W3CDTF">2014-06-11T12:25:00Z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