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0B2E" w:rsidRDefault="007F0B2E" w:rsidP="007F0B2E">
      <w:bookmarkStart w:id="0" w:name="Doc_title"/>
    </w:p>
    <w:p w:rsidR="007F0B2E" w:rsidRDefault="007F0B2E" w:rsidP="007F0B2E"/>
    <w:p w:rsidR="007F0B2E" w:rsidRDefault="007F0B2E" w:rsidP="007F0B2E"/>
    <w:p w:rsidR="007F0B2E" w:rsidRDefault="007F0B2E" w:rsidP="007F0B2E"/>
    <w:p w:rsidR="007F0B2E" w:rsidRDefault="007F0B2E" w:rsidP="007F0B2E"/>
    <w:p w:rsidR="007F0B2E" w:rsidRDefault="007F0B2E" w:rsidP="007F0B2E"/>
    <w:p w:rsidR="007F0B2E" w:rsidRDefault="007F0B2E" w:rsidP="007F0B2E"/>
    <w:p w:rsidR="007F0B2E" w:rsidRDefault="007F0B2E" w:rsidP="007F0B2E"/>
    <w:p w:rsidR="007F0B2E" w:rsidRDefault="007F0B2E" w:rsidP="007F0B2E"/>
    <w:p w:rsidR="007F0B2E" w:rsidRDefault="007F0B2E" w:rsidP="007F0B2E"/>
    <w:p w:rsidR="007F0B2E" w:rsidRDefault="007F0B2E" w:rsidP="007F0B2E"/>
    <w:p w:rsidR="007F0B2E" w:rsidRDefault="007F0B2E" w:rsidP="007F0B2E"/>
    <w:tbl>
      <w:tblPr>
        <w:tblW w:w="10089" w:type="dxa"/>
        <w:tblLook w:val="01E0" w:firstRow="1" w:lastRow="1" w:firstColumn="1" w:lastColumn="1" w:noHBand="0" w:noVBand="0"/>
      </w:tblPr>
      <w:tblGrid>
        <w:gridCol w:w="10089"/>
      </w:tblGrid>
      <w:tr w:rsidR="007F0B2E" w:rsidRPr="008B6C78" w:rsidTr="003C5714">
        <w:tc>
          <w:tcPr>
            <w:tcW w:w="10089" w:type="dxa"/>
            <w:shd w:val="clear" w:color="auto" w:fill="auto"/>
          </w:tcPr>
          <w:p w:rsidR="007F0B2E" w:rsidRPr="008B6C78" w:rsidRDefault="007F0B2E" w:rsidP="003C5714">
            <w:pPr>
              <w:spacing w:before="380" w:line="280" w:lineRule="exact"/>
              <w:jc w:val="right"/>
              <w:rPr>
                <w:rFonts w:ascii="Tahoma" w:hAnsi="Tahoma" w:cs="Tahoma"/>
                <w:b/>
                <w:bCs/>
                <w:iCs/>
                <w:color w:val="243285"/>
                <w:sz w:val="32"/>
                <w:szCs w:val="32"/>
                <w:lang w:val="en-US"/>
              </w:rPr>
            </w:pPr>
          </w:p>
          <w:p w:rsidR="007F0B2E" w:rsidRPr="008B6C78" w:rsidRDefault="007F0B2E" w:rsidP="003C5714">
            <w:pPr>
              <w:spacing w:before="380" w:line="280" w:lineRule="exact"/>
              <w:jc w:val="right"/>
              <w:rPr>
                <w:rFonts w:ascii="Tahoma" w:hAnsi="Tahoma" w:cs="Tahoma"/>
                <w:b/>
                <w:bCs/>
                <w:iCs/>
                <w:color w:val="243285"/>
                <w:sz w:val="36"/>
                <w:szCs w:val="36"/>
              </w:rPr>
            </w:pPr>
            <w:r w:rsidRPr="008B6C78">
              <w:rPr>
                <w:rFonts w:ascii="Tahoma" w:hAnsi="Tahoma" w:cs="Tahoma"/>
                <w:b/>
                <w:bCs/>
                <w:iCs/>
                <w:color w:val="243285"/>
                <w:sz w:val="36"/>
                <w:szCs w:val="36"/>
              </w:rPr>
              <w:t>Recommendation  ITU-R  M.1452-2</w:t>
            </w:r>
          </w:p>
          <w:p w:rsidR="007F0B2E" w:rsidRPr="008B6C78" w:rsidRDefault="007F0B2E" w:rsidP="003C5714">
            <w:pPr>
              <w:spacing w:before="80" w:line="280" w:lineRule="exact"/>
              <w:jc w:val="right"/>
              <w:rPr>
                <w:rFonts w:ascii="Tahoma" w:hAnsi="Tahoma" w:cs="Tahoma"/>
                <w:b/>
                <w:bCs/>
                <w:iCs/>
                <w:color w:val="243285"/>
                <w:szCs w:val="24"/>
              </w:rPr>
            </w:pPr>
            <w:r w:rsidRPr="008B6C78">
              <w:rPr>
                <w:rFonts w:ascii="Tahoma" w:hAnsi="Tahoma" w:cs="Tahoma"/>
                <w:b/>
                <w:bCs/>
                <w:iCs/>
                <w:color w:val="243285"/>
                <w:szCs w:val="24"/>
              </w:rPr>
              <w:t>(</w:t>
            </w:r>
            <w:r w:rsidR="003C5714">
              <w:rPr>
                <w:rFonts w:ascii="Tahoma" w:hAnsi="Tahoma" w:cs="Tahoma"/>
                <w:b/>
                <w:bCs/>
                <w:iCs/>
                <w:color w:val="243285"/>
                <w:szCs w:val="24"/>
              </w:rPr>
              <w:t>0</w:t>
            </w:r>
            <w:r w:rsidRPr="008B6C78">
              <w:rPr>
                <w:rFonts w:ascii="Tahoma" w:hAnsi="Tahoma" w:cs="Tahoma"/>
                <w:b/>
                <w:bCs/>
                <w:iCs/>
                <w:color w:val="243285"/>
                <w:szCs w:val="24"/>
              </w:rPr>
              <w:t>5/2012)</w:t>
            </w:r>
          </w:p>
        </w:tc>
      </w:tr>
      <w:tr w:rsidR="007F0B2E" w:rsidRPr="008B6C78" w:rsidTr="003C5714">
        <w:tc>
          <w:tcPr>
            <w:tcW w:w="10089" w:type="dxa"/>
            <w:shd w:val="clear" w:color="auto" w:fill="auto"/>
          </w:tcPr>
          <w:p w:rsidR="007F0B2E" w:rsidRPr="008B6C78" w:rsidRDefault="007F0B2E" w:rsidP="003C5714">
            <w:pPr>
              <w:spacing w:before="80" w:line="500" w:lineRule="exact"/>
              <w:jc w:val="right"/>
              <w:rPr>
                <w:rFonts w:ascii="Tahoma" w:hAnsi="Tahoma" w:cs="Tahoma"/>
                <w:b/>
                <w:bCs/>
                <w:iCs/>
                <w:color w:val="243285"/>
                <w:sz w:val="44"/>
                <w:szCs w:val="44"/>
                <w:lang w:val="en-US"/>
              </w:rPr>
            </w:pPr>
          </w:p>
          <w:p w:rsidR="007F0B2E" w:rsidRPr="008B6C78" w:rsidRDefault="007F0B2E" w:rsidP="003C5714">
            <w:pPr>
              <w:spacing w:before="80" w:line="500" w:lineRule="exact"/>
              <w:jc w:val="right"/>
              <w:rPr>
                <w:rFonts w:ascii="Tahoma" w:hAnsi="Tahoma" w:cs="Tahoma"/>
                <w:b/>
                <w:bCs/>
                <w:iCs/>
                <w:color w:val="243285"/>
                <w:sz w:val="44"/>
                <w:szCs w:val="44"/>
                <w:lang w:val="en-US"/>
              </w:rPr>
            </w:pPr>
            <w:r w:rsidRPr="008B6C78">
              <w:rPr>
                <w:rFonts w:ascii="Tahoma" w:hAnsi="Tahoma" w:cs="Tahoma"/>
                <w:b/>
                <w:bCs/>
                <w:color w:val="000080"/>
                <w:sz w:val="44"/>
                <w:szCs w:val="44"/>
                <w:lang w:val="en-US"/>
              </w:rPr>
              <w:t>Millimetre wave vehicular collision avoidance radars and radiocommunication systems for intelligent transport system applications</w:t>
            </w:r>
          </w:p>
          <w:p w:rsidR="007F0B2E" w:rsidRPr="008B6C78" w:rsidRDefault="007F0B2E" w:rsidP="003C5714">
            <w:pPr>
              <w:spacing w:before="80" w:line="500" w:lineRule="exact"/>
              <w:jc w:val="right"/>
              <w:rPr>
                <w:rFonts w:ascii="Tahoma" w:hAnsi="Tahoma" w:cs="Tahoma"/>
                <w:b/>
                <w:bCs/>
                <w:iCs/>
                <w:color w:val="243285"/>
                <w:sz w:val="40"/>
                <w:szCs w:val="40"/>
                <w:lang w:val="en-US"/>
              </w:rPr>
            </w:pPr>
          </w:p>
        </w:tc>
      </w:tr>
      <w:tr w:rsidR="007F0B2E" w:rsidRPr="008B6C78" w:rsidTr="003C5714">
        <w:tc>
          <w:tcPr>
            <w:tcW w:w="10089" w:type="dxa"/>
            <w:shd w:val="clear" w:color="auto" w:fill="auto"/>
          </w:tcPr>
          <w:p w:rsidR="007F0B2E" w:rsidRPr="008B6C78" w:rsidRDefault="007F0B2E" w:rsidP="003C5714">
            <w:pPr>
              <w:spacing w:before="80" w:line="280" w:lineRule="exact"/>
              <w:ind w:right="640"/>
              <w:rPr>
                <w:rFonts w:ascii="Tahoma" w:hAnsi="Tahoma" w:cs="Tahoma"/>
                <w:b/>
                <w:bCs/>
                <w:iCs/>
                <w:color w:val="243285"/>
                <w:sz w:val="32"/>
                <w:szCs w:val="32"/>
                <w:lang w:val="en-US"/>
              </w:rPr>
            </w:pPr>
          </w:p>
          <w:p w:rsidR="007F0B2E" w:rsidRPr="008B6C78" w:rsidRDefault="007F0B2E" w:rsidP="003C5714">
            <w:pPr>
              <w:spacing w:before="80" w:line="280" w:lineRule="exact"/>
              <w:ind w:right="640"/>
              <w:rPr>
                <w:rFonts w:ascii="Tahoma" w:hAnsi="Tahoma" w:cs="Tahoma"/>
                <w:b/>
                <w:bCs/>
                <w:iCs/>
                <w:color w:val="243285"/>
                <w:sz w:val="32"/>
                <w:szCs w:val="32"/>
                <w:lang w:val="en-US"/>
              </w:rPr>
            </w:pPr>
          </w:p>
          <w:p w:rsidR="007F0B2E" w:rsidRPr="008B6C78" w:rsidRDefault="007F0B2E" w:rsidP="003C5714">
            <w:pPr>
              <w:spacing w:before="80" w:after="180" w:line="360" w:lineRule="exact"/>
              <w:ind w:right="720"/>
              <w:rPr>
                <w:rFonts w:ascii="Tahoma" w:hAnsi="Tahoma" w:cs="Tahoma"/>
                <w:b/>
                <w:bCs/>
                <w:iCs/>
                <w:color w:val="243285"/>
                <w:sz w:val="36"/>
                <w:szCs w:val="36"/>
                <w:lang w:val="en-US"/>
              </w:rPr>
            </w:pPr>
          </w:p>
          <w:p w:rsidR="007F0B2E" w:rsidRPr="008B6C78" w:rsidRDefault="007F0B2E" w:rsidP="003C5714">
            <w:pPr>
              <w:spacing w:before="80" w:after="180" w:line="360" w:lineRule="exact"/>
              <w:jc w:val="right"/>
              <w:rPr>
                <w:rFonts w:ascii="Tahoma" w:hAnsi="Tahoma" w:cs="Tahoma"/>
                <w:b/>
                <w:bCs/>
                <w:iCs/>
                <w:color w:val="243285"/>
                <w:sz w:val="36"/>
                <w:szCs w:val="36"/>
                <w:lang w:val="en-US"/>
              </w:rPr>
            </w:pPr>
            <w:r w:rsidRPr="008B6C78">
              <w:rPr>
                <w:rFonts w:ascii="Tahoma" w:hAnsi="Tahoma" w:cs="Tahoma"/>
                <w:b/>
                <w:bCs/>
                <w:iCs/>
                <w:color w:val="243285"/>
                <w:sz w:val="36"/>
                <w:szCs w:val="36"/>
                <w:lang w:val="en-US"/>
              </w:rPr>
              <w:t>M Series</w:t>
            </w:r>
          </w:p>
          <w:p w:rsidR="007F0B2E" w:rsidRPr="008B6C78" w:rsidRDefault="007F0B2E" w:rsidP="003C5714">
            <w:pPr>
              <w:spacing w:before="80" w:line="360" w:lineRule="exact"/>
              <w:jc w:val="right"/>
              <w:rPr>
                <w:rFonts w:ascii="Tahoma" w:hAnsi="Tahoma" w:cs="Tahoma"/>
                <w:b/>
                <w:bCs/>
                <w:iCs/>
                <w:color w:val="243285"/>
                <w:sz w:val="36"/>
                <w:szCs w:val="36"/>
                <w:lang w:val="en-US"/>
              </w:rPr>
            </w:pPr>
            <w:r w:rsidRPr="008B6C78">
              <w:rPr>
                <w:rFonts w:ascii="Tahoma" w:hAnsi="Tahoma" w:cs="Tahoma"/>
                <w:b/>
                <w:bCs/>
                <w:color w:val="243285"/>
                <w:sz w:val="36"/>
                <w:szCs w:val="36"/>
                <w:lang w:val="en-US"/>
              </w:rPr>
              <w:t>Mobile, radiodetermination, amateur and related satellite services</w:t>
            </w:r>
          </w:p>
        </w:tc>
      </w:tr>
    </w:tbl>
    <w:p w:rsidR="007F0B2E" w:rsidRDefault="007F0B2E" w:rsidP="007F0B2E">
      <w:pPr>
        <w:spacing w:before="80"/>
        <w:rPr>
          <w:i/>
          <w:sz w:val="22"/>
          <w:lang w:val="en-US"/>
        </w:rPr>
      </w:pPr>
    </w:p>
    <w:p w:rsidR="007F0B2E" w:rsidRDefault="007F0B2E" w:rsidP="007F0B2E">
      <w:pPr>
        <w:spacing w:before="80"/>
        <w:rPr>
          <w:i/>
          <w:sz w:val="22"/>
          <w:lang w:val="en-US"/>
        </w:rPr>
      </w:pPr>
    </w:p>
    <w:p w:rsidR="007F0B2E" w:rsidRDefault="007F0B2E" w:rsidP="007F0B2E">
      <w:pPr>
        <w:spacing w:before="80"/>
        <w:rPr>
          <w:i/>
          <w:sz w:val="22"/>
          <w:lang w:val="en-US"/>
        </w:rPr>
      </w:pPr>
    </w:p>
    <w:p w:rsidR="007F0B2E" w:rsidRDefault="007F0B2E" w:rsidP="007F0B2E">
      <w:pPr>
        <w:spacing w:before="80"/>
        <w:rPr>
          <w:i/>
          <w:sz w:val="22"/>
          <w:lang w:val="en-US"/>
        </w:rPr>
      </w:pPr>
    </w:p>
    <w:p w:rsidR="007F0B2E" w:rsidRDefault="007F0B2E" w:rsidP="007F0B2E">
      <w:pPr>
        <w:spacing w:before="80"/>
        <w:rPr>
          <w:i/>
          <w:sz w:val="22"/>
          <w:lang w:val="en-US"/>
        </w:rPr>
      </w:pPr>
    </w:p>
    <w:p w:rsidR="007F0B2E" w:rsidRDefault="007F0B2E" w:rsidP="007F0B2E">
      <w:pPr>
        <w:spacing w:before="80"/>
        <w:rPr>
          <w:i/>
          <w:sz w:val="22"/>
          <w:lang w:val="en-US"/>
        </w:rPr>
      </w:pPr>
    </w:p>
    <w:p w:rsidR="007F0B2E" w:rsidRDefault="007F0B2E" w:rsidP="007F0B2E">
      <w:pPr>
        <w:pStyle w:val="Equation"/>
        <w:tabs>
          <w:tab w:val="clear" w:pos="4820"/>
          <w:tab w:val="clear" w:pos="9639"/>
          <w:tab w:val="left" w:pos="1191"/>
          <w:tab w:val="left" w:pos="1588"/>
          <w:tab w:val="left" w:pos="1985"/>
        </w:tabs>
        <w:rPr>
          <w:rFonts w:ascii="Palatino Linotype" w:hAnsi="Palatino Linotype"/>
          <w:lang w:val="en-US"/>
        </w:rPr>
        <w:sectPr w:rsidR="007F0B2E">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7F0B2E" w:rsidRPr="00586EF8" w:rsidRDefault="007F0B2E" w:rsidP="007F0B2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7F0B2E" w:rsidRDefault="007F0B2E" w:rsidP="007F0B2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F0B2E" w:rsidRDefault="007F0B2E" w:rsidP="007F0B2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F0B2E" w:rsidRPr="00B714F3" w:rsidRDefault="007F0B2E" w:rsidP="007F0B2E">
      <w:pPr>
        <w:pStyle w:val="Heading1"/>
        <w:spacing w:before="680"/>
        <w:jc w:val="center"/>
        <w:rPr>
          <w:szCs w:val="24"/>
          <w:lang w:val="en-US"/>
        </w:rPr>
      </w:pPr>
      <w:r w:rsidRPr="00B714F3">
        <w:rPr>
          <w:szCs w:val="24"/>
          <w:lang w:val="en-US"/>
        </w:rPr>
        <w:t>Policy on Intellectual Property Right (IPR)</w:t>
      </w:r>
    </w:p>
    <w:p w:rsidR="007F0B2E" w:rsidRPr="00B714F3" w:rsidRDefault="007F0B2E" w:rsidP="007F0B2E">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Pr="00B714F3">
          <w:rPr>
            <w:rStyle w:val="Hyperlink"/>
            <w:sz w:val="20"/>
            <w:lang w:val="en-US"/>
          </w:rPr>
          <w:t>http://www.itu.int/ITU</w:t>
        </w:r>
        <w:r w:rsidRPr="00B714F3">
          <w:rPr>
            <w:rStyle w:val="Hyperlink"/>
            <w:sz w:val="20"/>
            <w:lang w:val="en-US"/>
          </w:rPr>
          <w:noBreakHyphen/>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F0B2E" w:rsidRDefault="007F0B2E" w:rsidP="007F0B2E">
      <w:pPr>
        <w:jc w:val="center"/>
        <w:rPr>
          <w:sz w:val="22"/>
          <w:lang w:val="en-US"/>
        </w:rPr>
      </w:pPr>
    </w:p>
    <w:p w:rsidR="007F0B2E" w:rsidRDefault="007F0B2E" w:rsidP="007F0B2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F0B2E" w:rsidRPr="002C083D" w:rsidTr="003C5714">
        <w:tc>
          <w:tcPr>
            <w:tcW w:w="9360" w:type="dxa"/>
            <w:gridSpan w:val="2"/>
          </w:tcPr>
          <w:p w:rsidR="007F0B2E" w:rsidRPr="00036EE3" w:rsidRDefault="007F0B2E" w:rsidP="003C5714">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F0B2E" w:rsidRPr="00036EE3" w:rsidRDefault="007F0B2E" w:rsidP="003C57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2" w:history="1">
              <w:r>
                <w:rPr>
                  <w:rStyle w:val="Hyperlink"/>
                  <w:b w:val="0"/>
                  <w:sz w:val="18"/>
                  <w:szCs w:val="18"/>
                  <w:lang w:val="en-US"/>
                </w:rPr>
                <w:t>http://www.itu.int/publ/R-REC/en</w:t>
              </w:r>
            </w:hyperlink>
            <w:r w:rsidRPr="00CE0A43">
              <w:rPr>
                <w:b w:val="0"/>
                <w:sz w:val="18"/>
                <w:szCs w:val="18"/>
                <w:lang w:val="en-US"/>
              </w:rPr>
              <w:t>)</w:t>
            </w:r>
          </w:p>
        </w:tc>
      </w:tr>
      <w:tr w:rsidR="007F0B2E" w:rsidRPr="00036EE3" w:rsidTr="003C5714">
        <w:tc>
          <w:tcPr>
            <w:tcW w:w="1140" w:type="dxa"/>
          </w:tcPr>
          <w:p w:rsidR="007F0B2E" w:rsidRPr="00036EE3" w:rsidRDefault="007F0B2E" w:rsidP="003C5714">
            <w:pPr>
              <w:spacing w:before="200" w:after="100"/>
              <w:ind w:left="57"/>
              <w:rPr>
                <w:b/>
                <w:bCs/>
                <w:sz w:val="20"/>
                <w:lang w:val="en-US"/>
              </w:rPr>
            </w:pPr>
            <w:r w:rsidRPr="00036EE3">
              <w:rPr>
                <w:b/>
                <w:bCs/>
                <w:sz w:val="20"/>
                <w:lang w:val="en-US"/>
              </w:rPr>
              <w:t>Series</w:t>
            </w:r>
          </w:p>
        </w:tc>
        <w:tc>
          <w:tcPr>
            <w:tcW w:w="8220" w:type="dxa"/>
          </w:tcPr>
          <w:p w:rsidR="007F0B2E" w:rsidRPr="00036EE3" w:rsidRDefault="007F0B2E" w:rsidP="003C57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F0B2E" w:rsidRPr="00036EE3" w:rsidTr="003C5714">
        <w:tc>
          <w:tcPr>
            <w:tcW w:w="1140" w:type="dxa"/>
          </w:tcPr>
          <w:p w:rsidR="007F0B2E" w:rsidRPr="00036EE3" w:rsidRDefault="007F0B2E" w:rsidP="003C5714">
            <w:pPr>
              <w:spacing w:before="30" w:after="30"/>
              <w:ind w:left="57"/>
              <w:jc w:val="left"/>
              <w:rPr>
                <w:b/>
                <w:bCs/>
                <w:sz w:val="20"/>
                <w:lang w:val="en-US"/>
              </w:rPr>
            </w:pPr>
            <w:r w:rsidRPr="00036EE3">
              <w:rPr>
                <w:b/>
                <w:bCs/>
                <w:sz w:val="20"/>
                <w:lang w:val="en-US"/>
              </w:rPr>
              <w:t>BO</w:t>
            </w:r>
          </w:p>
        </w:tc>
        <w:tc>
          <w:tcPr>
            <w:tcW w:w="8220" w:type="dxa"/>
          </w:tcPr>
          <w:p w:rsidR="007F0B2E" w:rsidRPr="00036EE3" w:rsidRDefault="007F0B2E" w:rsidP="003C57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F0B2E" w:rsidRPr="002C083D" w:rsidTr="003C5714">
        <w:tc>
          <w:tcPr>
            <w:tcW w:w="1140" w:type="dxa"/>
            <w:tcBorders>
              <w:bottom w:val="nil"/>
            </w:tcBorders>
          </w:tcPr>
          <w:p w:rsidR="007F0B2E" w:rsidRPr="00036EE3" w:rsidRDefault="007F0B2E" w:rsidP="003C5714">
            <w:pPr>
              <w:spacing w:before="30" w:after="30"/>
              <w:ind w:left="57"/>
              <w:jc w:val="left"/>
              <w:rPr>
                <w:b/>
                <w:bCs/>
                <w:sz w:val="20"/>
                <w:lang w:val="en-US"/>
              </w:rPr>
            </w:pPr>
            <w:r w:rsidRPr="00036EE3">
              <w:rPr>
                <w:b/>
                <w:bCs/>
                <w:sz w:val="20"/>
                <w:lang w:val="en-US"/>
              </w:rPr>
              <w:t>BR</w:t>
            </w:r>
          </w:p>
        </w:tc>
        <w:tc>
          <w:tcPr>
            <w:tcW w:w="8220" w:type="dxa"/>
            <w:tcBorders>
              <w:bottom w:val="nil"/>
            </w:tcBorders>
          </w:tcPr>
          <w:p w:rsidR="007F0B2E" w:rsidRPr="00036EE3" w:rsidRDefault="007F0B2E" w:rsidP="003C57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F0B2E" w:rsidRPr="00036EE3" w:rsidTr="003C5714">
        <w:tc>
          <w:tcPr>
            <w:tcW w:w="1140" w:type="dxa"/>
            <w:tcBorders>
              <w:top w:val="nil"/>
              <w:bottom w:val="nil"/>
            </w:tcBorders>
            <w:shd w:val="clear" w:color="auto" w:fill="auto"/>
          </w:tcPr>
          <w:p w:rsidR="007F0B2E" w:rsidRPr="007D224F" w:rsidRDefault="007F0B2E" w:rsidP="003C5714">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7F0B2E" w:rsidRPr="007D224F" w:rsidRDefault="007F0B2E" w:rsidP="003C57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7F0B2E" w:rsidRPr="00ED2695" w:rsidTr="003C5714">
        <w:tc>
          <w:tcPr>
            <w:tcW w:w="1140" w:type="dxa"/>
            <w:tcBorders>
              <w:top w:val="nil"/>
              <w:bottom w:val="nil"/>
            </w:tcBorders>
            <w:shd w:val="clear" w:color="auto" w:fill="auto"/>
          </w:tcPr>
          <w:p w:rsidR="007F0B2E" w:rsidRPr="00ED2695" w:rsidRDefault="007F0B2E" w:rsidP="003C571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7F0B2E" w:rsidRPr="00ED2695" w:rsidRDefault="007F0B2E" w:rsidP="003C57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7F0B2E" w:rsidRPr="007D224F" w:rsidTr="003C5714">
        <w:tc>
          <w:tcPr>
            <w:tcW w:w="1140" w:type="dxa"/>
            <w:tcBorders>
              <w:top w:val="nil"/>
              <w:bottom w:val="nil"/>
            </w:tcBorders>
            <w:shd w:val="clear" w:color="auto" w:fill="auto"/>
          </w:tcPr>
          <w:p w:rsidR="007F0B2E" w:rsidRPr="0041667C" w:rsidRDefault="007F0B2E" w:rsidP="003C5714">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7F0B2E" w:rsidRPr="0041667C" w:rsidRDefault="007F0B2E" w:rsidP="003C57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7F0B2E" w:rsidRPr="0041667C" w:rsidTr="003C5714">
        <w:tc>
          <w:tcPr>
            <w:tcW w:w="1140" w:type="dxa"/>
            <w:tcBorders>
              <w:top w:val="nil"/>
              <w:bottom w:val="nil"/>
            </w:tcBorders>
            <w:shd w:val="clear" w:color="auto" w:fill="F3F3F3"/>
          </w:tcPr>
          <w:p w:rsidR="007F0B2E" w:rsidRPr="0041667C" w:rsidRDefault="007F0B2E" w:rsidP="003C5714">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7F0B2E" w:rsidRPr="0041667C" w:rsidRDefault="007F0B2E" w:rsidP="003C571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7F0B2E" w:rsidRPr="00036EE3" w:rsidTr="003C5714">
        <w:tc>
          <w:tcPr>
            <w:tcW w:w="1140" w:type="dxa"/>
            <w:tcBorders>
              <w:top w:val="nil"/>
            </w:tcBorders>
          </w:tcPr>
          <w:p w:rsidR="007F0B2E" w:rsidRPr="00036EE3" w:rsidRDefault="007F0B2E" w:rsidP="003C5714">
            <w:pPr>
              <w:spacing w:before="30" w:after="30"/>
              <w:ind w:left="57"/>
              <w:jc w:val="left"/>
              <w:rPr>
                <w:b/>
                <w:bCs/>
                <w:sz w:val="20"/>
                <w:lang w:val="fr-CH"/>
              </w:rPr>
            </w:pPr>
            <w:r w:rsidRPr="00036EE3">
              <w:rPr>
                <w:b/>
                <w:bCs/>
                <w:sz w:val="20"/>
                <w:lang w:val="fr-CH"/>
              </w:rPr>
              <w:t>P</w:t>
            </w:r>
          </w:p>
        </w:tc>
        <w:tc>
          <w:tcPr>
            <w:tcW w:w="8220" w:type="dxa"/>
            <w:tcBorders>
              <w:top w:val="nil"/>
            </w:tcBorders>
          </w:tcPr>
          <w:p w:rsidR="007F0B2E" w:rsidRPr="00036EE3" w:rsidRDefault="007F0B2E" w:rsidP="003C5714">
            <w:pPr>
              <w:spacing w:before="30" w:after="30"/>
              <w:jc w:val="left"/>
              <w:rPr>
                <w:sz w:val="20"/>
                <w:lang w:val="fr-CH"/>
              </w:rPr>
            </w:pPr>
            <w:r w:rsidRPr="00036EE3">
              <w:rPr>
                <w:sz w:val="20"/>
                <w:lang w:val="fr-CH"/>
              </w:rPr>
              <w:t>Radiowave propagation</w:t>
            </w:r>
          </w:p>
        </w:tc>
      </w:tr>
      <w:tr w:rsidR="007F0B2E" w:rsidRPr="00036EE3" w:rsidTr="003C5714">
        <w:tc>
          <w:tcPr>
            <w:tcW w:w="1140" w:type="dxa"/>
          </w:tcPr>
          <w:p w:rsidR="007F0B2E" w:rsidRPr="00036EE3" w:rsidRDefault="007F0B2E" w:rsidP="003C5714">
            <w:pPr>
              <w:spacing w:before="30" w:after="30"/>
              <w:ind w:left="57"/>
              <w:jc w:val="left"/>
              <w:rPr>
                <w:b/>
                <w:bCs/>
                <w:sz w:val="20"/>
                <w:lang w:val="en-US"/>
              </w:rPr>
            </w:pPr>
            <w:r w:rsidRPr="00036EE3">
              <w:rPr>
                <w:b/>
                <w:bCs/>
                <w:sz w:val="20"/>
                <w:lang w:val="en-US"/>
              </w:rPr>
              <w:t>RA</w:t>
            </w:r>
          </w:p>
        </w:tc>
        <w:tc>
          <w:tcPr>
            <w:tcW w:w="8220" w:type="dxa"/>
          </w:tcPr>
          <w:p w:rsidR="007F0B2E" w:rsidRPr="00036EE3" w:rsidRDefault="007F0B2E" w:rsidP="003C57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F0B2E" w:rsidRPr="00036EE3" w:rsidTr="003C5714">
        <w:tc>
          <w:tcPr>
            <w:tcW w:w="1140" w:type="dxa"/>
          </w:tcPr>
          <w:p w:rsidR="007F0B2E" w:rsidRPr="00036EE3" w:rsidRDefault="007F0B2E" w:rsidP="003C5714">
            <w:pPr>
              <w:spacing w:before="30" w:after="30"/>
              <w:ind w:left="57"/>
              <w:jc w:val="left"/>
              <w:rPr>
                <w:b/>
                <w:bCs/>
                <w:sz w:val="20"/>
                <w:lang w:val="en-US"/>
              </w:rPr>
            </w:pPr>
            <w:r w:rsidRPr="00036EE3">
              <w:rPr>
                <w:b/>
                <w:bCs/>
                <w:sz w:val="20"/>
                <w:lang w:val="en-US"/>
              </w:rPr>
              <w:t>RS</w:t>
            </w:r>
          </w:p>
        </w:tc>
        <w:tc>
          <w:tcPr>
            <w:tcW w:w="8220" w:type="dxa"/>
          </w:tcPr>
          <w:p w:rsidR="007F0B2E" w:rsidRPr="00036EE3" w:rsidRDefault="007F0B2E" w:rsidP="003C571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F0B2E" w:rsidRPr="00036EE3" w:rsidTr="003C5714">
        <w:tc>
          <w:tcPr>
            <w:tcW w:w="1140" w:type="dxa"/>
          </w:tcPr>
          <w:p w:rsidR="007F0B2E" w:rsidRPr="00036EE3" w:rsidRDefault="007F0B2E" w:rsidP="003C5714">
            <w:pPr>
              <w:spacing w:before="30" w:after="30"/>
              <w:ind w:left="57"/>
              <w:jc w:val="left"/>
              <w:rPr>
                <w:b/>
                <w:bCs/>
                <w:sz w:val="20"/>
                <w:lang w:val="en-US"/>
              </w:rPr>
            </w:pPr>
            <w:r w:rsidRPr="00036EE3">
              <w:rPr>
                <w:b/>
                <w:bCs/>
                <w:sz w:val="20"/>
                <w:lang w:val="en-US"/>
              </w:rPr>
              <w:t>S</w:t>
            </w:r>
          </w:p>
        </w:tc>
        <w:tc>
          <w:tcPr>
            <w:tcW w:w="8220" w:type="dxa"/>
          </w:tcPr>
          <w:p w:rsidR="007F0B2E" w:rsidRPr="00036EE3" w:rsidRDefault="007F0B2E" w:rsidP="003C5714">
            <w:pPr>
              <w:spacing w:before="30" w:after="30"/>
              <w:jc w:val="left"/>
              <w:rPr>
                <w:sz w:val="20"/>
                <w:lang w:val="en-US"/>
              </w:rPr>
            </w:pPr>
            <w:r w:rsidRPr="00036EE3">
              <w:rPr>
                <w:sz w:val="20"/>
                <w:lang w:val="en-US"/>
              </w:rPr>
              <w:t>Fixed-satellite service</w:t>
            </w:r>
          </w:p>
        </w:tc>
      </w:tr>
      <w:tr w:rsidR="007F0B2E" w:rsidRPr="00036EE3" w:rsidTr="003C5714">
        <w:tc>
          <w:tcPr>
            <w:tcW w:w="1140" w:type="dxa"/>
          </w:tcPr>
          <w:p w:rsidR="007F0B2E" w:rsidRPr="00036EE3" w:rsidRDefault="007F0B2E" w:rsidP="003C5714">
            <w:pPr>
              <w:spacing w:before="30" w:after="30"/>
              <w:ind w:left="57"/>
              <w:jc w:val="left"/>
              <w:rPr>
                <w:b/>
                <w:bCs/>
                <w:sz w:val="20"/>
                <w:lang w:val="en-US"/>
              </w:rPr>
            </w:pPr>
            <w:r w:rsidRPr="00036EE3">
              <w:rPr>
                <w:b/>
                <w:bCs/>
                <w:sz w:val="20"/>
                <w:lang w:val="en-US"/>
              </w:rPr>
              <w:t>SA</w:t>
            </w:r>
          </w:p>
        </w:tc>
        <w:tc>
          <w:tcPr>
            <w:tcW w:w="8220" w:type="dxa"/>
          </w:tcPr>
          <w:p w:rsidR="007F0B2E" w:rsidRPr="00036EE3" w:rsidRDefault="007F0B2E" w:rsidP="003C5714">
            <w:pPr>
              <w:spacing w:before="30" w:after="30"/>
              <w:jc w:val="left"/>
              <w:rPr>
                <w:sz w:val="20"/>
                <w:lang w:val="en-US"/>
              </w:rPr>
            </w:pPr>
            <w:r w:rsidRPr="00036EE3">
              <w:rPr>
                <w:sz w:val="20"/>
                <w:lang w:val="en-US"/>
              </w:rPr>
              <w:t>Space applications and meteorology</w:t>
            </w:r>
          </w:p>
        </w:tc>
      </w:tr>
      <w:tr w:rsidR="007F0B2E" w:rsidRPr="002C083D" w:rsidTr="003C5714">
        <w:tc>
          <w:tcPr>
            <w:tcW w:w="1140" w:type="dxa"/>
            <w:tcBorders>
              <w:bottom w:val="nil"/>
            </w:tcBorders>
          </w:tcPr>
          <w:p w:rsidR="007F0B2E" w:rsidRPr="00036EE3" w:rsidRDefault="007F0B2E" w:rsidP="003C5714">
            <w:pPr>
              <w:spacing w:before="30" w:after="30"/>
              <w:ind w:left="57"/>
              <w:jc w:val="left"/>
              <w:rPr>
                <w:b/>
                <w:bCs/>
                <w:sz w:val="20"/>
                <w:lang w:val="en-US"/>
              </w:rPr>
            </w:pPr>
            <w:r w:rsidRPr="00036EE3">
              <w:rPr>
                <w:b/>
                <w:bCs/>
                <w:sz w:val="20"/>
                <w:lang w:val="en-US"/>
              </w:rPr>
              <w:t>SF</w:t>
            </w:r>
          </w:p>
        </w:tc>
        <w:tc>
          <w:tcPr>
            <w:tcW w:w="8220" w:type="dxa"/>
            <w:tcBorders>
              <w:bottom w:val="nil"/>
            </w:tcBorders>
          </w:tcPr>
          <w:p w:rsidR="007F0B2E" w:rsidRPr="00036EE3" w:rsidRDefault="007F0B2E" w:rsidP="003C5714">
            <w:pPr>
              <w:spacing w:before="30" w:after="30"/>
              <w:jc w:val="left"/>
              <w:rPr>
                <w:sz w:val="20"/>
                <w:lang w:val="en-US"/>
              </w:rPr>
            </w:pPr>
            <w:r w:rsidRPr="00036EE3">
              <w:rPr>
                <w:sz w:val="20"/>
                <w:lang w:val="en-US"/>
              </w:rPr>
              <w:t>Frequency sharing and coordination between fixed-satellite and fixed service systems</w:t>
            </w:r>
          </w:p>
        </w:tc>
      </w:tr>
      <w:tr w:rsidR="007F0B2E" w:rsidRPr="00036EE3" w:rsidTr="003C5714">
        <w:tc>
          <w:tcPr>
            <w:tcW w:w="1140" w:type="dxa"/>
            <w:tcBorders>
              <w:top w:val="nil"/>
              <w:bottom w:val="nil"/>
            </w:tcBorders>
            <w:shd w:val="clear" w:color="auto" w:fill="auto"/>
          </w:tcPr>
          <w:p w:rsidR="007F0B2E" w:rsidRPr="000A4386" w:rsidRDefault="007F0B2E" w:rsidP="003C5714">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7F0B2E" w:rsidRPr="000A4386" w:rsidRDefault="007F0B2E" w:rsidP="003C5714">
            <w:pPr>
              <w:spacing w:before="30" w:after="30"/>
              <w:jc w:val="left"/>
              <w:rPr>
                <w:sz w:val="20"/>
                <w:lang w:val="en-US"/>
              </w:rPr>
            </w:pPr>
            <w:r w:rsidRPr="000A4386">
              <w:rPr>
                <w:sz w:val="20"/>
                <w:lang w:val="en-US"/>
              </w:rPr>
              <w:t>Spectrum management</w:t>
            </w:r>
          </w:p>
        </w:tc>
      </w:tr>
      <w:tr w:rsidR="007F0B2E" w:rsidRPr="00036EE3" w:rsidTr="003C5714">
        <w:tc>
          <w:tcPr>
            <w:tcW w:w="1140" w:type="dxa"/>
            <w:tcBorders>
              <w:top w:val="nil"/>
            </w:tcBorders>
          </w:tcPr>
          <w:p w:rsidR="007F0B2E" w:rsidRPr="00036EE3" w:rsidRDefault="007F0B2E" w:rsidP="003C5714">
            <w:pPr>
              <w:spacing w:before="30" w:after="30"/>
              <w:ind w:left="57"/>
              <w:jc w:val="left"/>
              <w:rPr>
                <w:b/>
                <w:bCs/>
                <w:sz w:val="20"/>
                <w:lang w:val="en-US"/>
              </w:rPr>
            </w:pPr>
            <w:r w:rsidRPr="00036EE3">
              <w:rPr>
                <w:b/>
                <w:bCs/>
                <w:sz w:val="20"/>
                <w:lang w:val="en-US"/>
              </w:rPr>
              <w:t>SNG</w:t>
            </w:r>
          </w:p>
        </w:tc>
        <w:tc>
          <w:tcPr>
            <w:tcW w:w="8220" w:type="dxa"/>
            <w:tcBorders>
              <w:top w:val="nil"/>
            </w:tcBorders>
          </w:tcPr>
          <w:p w:rsidR="007F0B2E" w:rsidRPr="00036EE3" w:rsidRDefault="007F0B2E" w:rsidP="003C5714">
            <w:pPr>
              <w:spacing w:before="30" w:after="30"/>
              <w:jc w:val="left"/>
              <w:rPr>
                <w:sz w:val="20"/>
                <w:lang w:val="en-US"/>
              </w:rPr>
            </w:pPr>
            <w:r w:rsidRPr="00036EE3">
              <w:rPr>
                <w:sz w:val="20"/>
                <w:lang w:val="en-US"/>
              </w:rPr>
              <w:t>Satellite news gathering</w:t>
            </w:r>
          </w:p>
        </w:tc>
      </w:tr>
      <w:tr w:rsidR="007F0B2E" w:rsidRPr="002C083D" w:rsidTr="003C5714">
        <w:tc>
          <w:tcPr>
            <w:tcW w:w="1140" w:type="dxa"/>
          </w:tcPr>
          <w:p w:rsidR="007F0B2E" w:rsidRPr="00036EE3" w:rsidRDefault="007F0B2E" w:rsidP="003C5714">
            <w:pPr>
              <w:spacing w:before="30" w:after="30"/>
              <w:ind w:left="57"/>
              <w:jc w:val="left"/>
              <w:rPr>
                <w:b/>
                <w:bCs/>
                <w:sz w:val="20"/>
                <w:lang w:val="en-US"/>
              </w:rPr>
            </w:pPr>
            <w:r w:rsidRPr="00036EE3">
              <w:rPr>
                <w:b/>
                <w:bCs/>
                <w:sz w:val="20"/>
                <w:lang w:val="en-US"/>
              </w:rPr>
              <w:t>TF</w:t>
            </w:r>
          </w:p>
        </w:tc>
        <w:tc>
          <w:tcPr>
            <w:tcW w:w="8220" w:type="dxa"/>
          </w:tcPr>
          <w:p w:rsidR="007F0B2E" w:rsidRPr="00036EE3" w:rsidRDefault="007F0B2E" w:rsidP="003C5714">
            <w:pPr>
              <w:spacing w:before="30" w:after="30"/>
              <w:jc w:val="left"/>
              <w:rPr>
                <w:sz w:val="20"/>
                <w:lang w:val="en-US"/>
              </w:rPr>
            </w:pPr>
            <w:r w:rsidRPr="00036EE3">
              <w:rPr>
                <w:sz w:val="20"/>
                <w:lang w:val="en-US"/>
              </w:rPr>
              <w:t>Time signals and frequency standards emissions</w:t>
            </w:r>
          </w:p>
        </w:tc>
      </w:tr>
      <w:tr w:rsidR="007F0B2E" w:rsidRPr="00036EE3" w:rsidTr="003C5714">
        <w:tc>
          <w:tcPr>
            <w:tcW w:w="1140" w:type="dxa"/>
          </w:tcPr>
          <w:p w:rsidR="007F0B2E" w:rsidRPr="00036EE3" w:rsidRDefault="007F0B2E" w:rsidP="003C5714">
            <w:pPr>
              <w:spacing w:before="30" w:after="30"/>
              <w:ind w:left="57"/>
              <w:jc w:val="left"/>
              <w:rPr>
                <w:b/>
                <w:bCs/>
                <w:sz w:val="20"/>
                <w:lang w:val="en-US"/>
              </w:rPr>
            </w:pPr>
            <w:r w:rsidRPr="00036EE3">
              <w:rPr>
                <w:b/>
                <w:bCs/>
                <w:sz w:val="20"/>
                <w:lang w:val="en-US"/>
              </w:rPr>
              <w:t>V</w:t>
            </w:r>
          </w:p>
        </w:tc>
        <w:tc>
          <w:tcPr>
            <w:tcW w:w="8220" w:type="dxa"/>
          </w:tcPr>
          <w:p w:rsidR="007F0B2E" w:rsidRPr="00036EE3" w:rsidRDefault="007F0B2E" w:rsidP="003C5714">
            <w:pPr>
              <w:spacing w:before="30" w:after="180"/>
              <w:jc w:val="left"/>
              <w:rPr>
                <w:sz w:val="20"/>
                <w:lang w:val="en-US"/>
              </w:rPr>
            </w:pPr>
            <w:r w:rsidRPr="00036EE3">
              <w:rPr>
                <w:sz w:val="20"/>
                <w:lang w:val="en-US"/>
              </w:rPr>
              <w:t>Vocabulary and related subjects</w:t>
            </w:r>
          </w:p>
        </w:tc>
      </w:tr>
    </w:tbl>
    <w:p w:rsidR="007F0B2E" w:rsidRPr="00036EE3" w:rsidRDefault="007F0B2E" w:rsidP="007F0B2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F0B2E" w:rsidTr="003C5714">
        <w:tc>
          <w:tcPr>
            <w:tcW w:w="720" w:type="dxa"/>
          </w:tcPr>
          <w:p w:rsidR="007F0B2E" w:rsidRDefault="007F0B2E" w:rsidP="003C5714">
            <w:pPr>
              <w:jc w:val="center"/>
              <w:rPr>
                <w:sz w:val="22"/>
                <w:lang w:val="en-US"/>
              </w:rPr>
            </w:pPr>
          </w:p>
        </w:tc>
      </w:tr>
    </w:tbl>
    <w:p w:rsidR="007F0B2E" w:rsidRPr="00036EE3" w:rsidRDefault="007F0B2E" w:rsidP="007F0B2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F0B2E" w:rsidRPr="002C083D" w:rsidTr="003C5714">
        <w:tc>
          <w:tcPr>
            <w:tcW w:w="9360" w:type="dxa"/>
            <w:shd w:val="clear" w:color="auto" w:fill="auto"/>
          </w:tcPr>
          <w:p w:rsidR="007F0B2E" w:rsidRPr="008B6C78" w:rsidRDefault="007F0B2E" w:rsidP="003C5714">
            <w:pPr>
              <w:spacing w:after="120"/>
              <w:jc w:val="center"/>
              <w:rPr>
                <w:sz w:val="20"/>
                <w:lang w:val="en-US"/>
              </w:rPr>
            </w:pPr>
            <w:r w:rsidRPr="008B6C78">
              <w:rPr>
                <w:b/>
                <w:bCs/>
                <w:i/>
                <w:iCs/>
                <w:sz w:val="20"/>
                <w:lang w:val="en-US"/>
              </w:rPr>
              <w:t>Note</w:t>
            </w:r>
            <w:r w:rsidRPr="008B6C78">
              <w:rPr>
                <w:sz w:val="20"/>
                <w:lang w:val="en-US"/>
              </w:rPr>
              <w:t xml:space="preserve">: </w:t>
            </w:r>
            <w:r w:rsidRPr="008B6C78">
              <w:rPr>
                <w:i/>
                <w:iCs/>
                <w:sz w:val="20"/>
                <w:lang w:val="en-US"/>
              </w:rPr>
              <w:t>This ITU-R Recommendation was approved in English under the procedure detailed in Resolution ITU-R 1.</w:t>
            </w:r>
          </w:p>
        </w:tc>
      </w:tr>
    </w:tbl>
    <w:p w:rsidR="007F0B2E" w:rsidRDefault="007F0B2E" w:rsidP="007F0B2E">
      <w:pPr>
        <w:spacing w:before="0"/>
        <w:jc w:val="center"/>
        <w:rPr>
          <w:sz w:val="22"/>
          <w:lang w:val="en-US"/>
        </w:rPr>
      </w:pPr>
    </w:p>
    <w:p w:rsidR="007F0B2E" w:rsidRDefault="007F0B2E" w:rsidP="007F0B2E">
      <w:pPr>
        <w:spacing w:before="0"/>
        <w:jc w:val="center"/>
        <w:rPr>
          <w:sz w:val="22"/>
          <w:lang w:val="en-US"/>
        </w:rPr>
      </w:pPr>
    </w:p>
    <w:p w:rsidR="007F0B2E" w:rsidRPr="002F5199" w:rsidRDefault="007F0B2E" w:rsidP="007F0B2E">
      <w:pPr>
        <w:spacing w:before="0"/>
        <w:jc w:val="right"/>
        <w:rPr>
          <w:i/>
          <w:iCs/>
          <w:sz w:val="20"/>
          <w:lang w:val="en-US"/>
        </w:rPr>
      </w:pPr>
      <w:r w:rsidRPr="002F5199">
        <w:rPr>
          <w:i/>
          <w:iCs/>
          <w:sz w:val="20"/>
          <w:lang w:val="en-US"/>
        </w:rPr>
        <w:t>Electronic Publication</w:t>
      </w:r>
    </w:p>
    <w:p w:rsidR="007F0B2E" w:rsidRPr="002F5199" w:rsidRDefault="007F0B2E" w:rsidP="007F0B2E">
      <w:pPr>
        <w:spacing w:before="0"/>
        <w:jc w:val="right"/>
        <w:rPr>
          <w:sz w:val="20"/>
          <w:lang w:val="en-US"/>
        </w:rPr>
      </w:pPr>
      <w:smartTag w:uri="urn:schemas-microsoft-com:office:smarttags" w:element="place">
        <w:smartTag w:uri="urn:schemas-microsoft-com:office:smarttags" w:element="State">
          <w:smartTag w:uri="urn:schemas-microsoft-com:office:smarttags" w:element="City">
            <w:r w:rsidRPr="002F5199">
              <w:rPr>
                <w:sz w:val="20"/>
                <w:lang w:val="en-US"/>
              </w:rPr>
              <w:t>Geneva</w:t>
            </w:r>
          </w:smartTag>
        </w:smartTag>
      </w:smartTag>
      <w:r w:rsidRPr="002F5199">
        <w:rPr>
          <w:sz w:val="20"/>
          <w:lang w:val="en-US"/>
        </w:rPr>
        <w:t>, 20</w:t>
      </w:r>
      <w:r>
        <w:rPr>
          <w:sz w:val="20"/>
          <w:lang w:val="en-US"/>
        </w:rPr>
        <w:t>12</w:t>
      </w:r>
    </w:p>
    <w:p w:rsidR="007F0B2E" w:rsidRDefault="007F0B2E" w:rsidP="007F0B2E">
      <w:pPr>
        <w:jc w:val="center"/>
        <w:rPr>
          <w:sz w:val="22"/>
          <w:lang w:val="en-US"/>
        </w:rPr>
      </w:pPr>
    </w:p>
    <w:p w:rsidR="007F0B2E" w:rsidRPr="00470E28" w:rsidRDefault="007F0B2E" w:rsidP="007F0B2E">
      <w:pPr>
        <w:jc w:val="center"/>
        <w:rPr>
          <w:sz w:val="20"/>
          <w:lang w:val="en-US"/>
        </w:rPr>
      </w:pPr>
      <w:r w:rsidRPr="00470E28">
        <w:rPr>
          <w:sz w:val="20"/>
          <w:lang w:val="en-US"/>
        </w:rPr>
        <w:sym w:font="Symbol" w:char="F0E3"/>
      </w:r>
      <w:r w:rsidRPr="00470E28">
        <w:rPr>
          <w:sz w:val="20"/>
          <w:lang w:val="en-US"/>
        </w:rPr>
        <w:t xml:space="preserve"> ITU 20</w:t>
      </w:r>
      <w:r>
        <w:rPr>
          <w:sz w:val="20"/>
          <w:lang w:val="en-US"/>
        </w:rPr>
        <w:t>12</w:t>
      </w:r>
    </w:p>
    <w:p w:rsidR="007F0B2E" w:rsidRPr="00470E28" w:rsidRDefault="007F0B2E" w:rsidP="007F0B2E">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F0B2E" w:rsidRDefault="007F0B2E" w:rsidP="007F0B2E">
      <w:pPr>
        <w:spacing w:before="160"/>
        <w:rPr>
          <w:i/>
          <w:sz w:val="20"/>
          <w:lang w:val="en-US"/>
        </w:rPr>
        <w:sectPr w:rsidR="007F0B2E" w:rsidSect="003C5714">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7F0B2E" w:rsidRPr="002928EE" w:rsidRDefault="007F0B2E" w:rsidP="003C5714">
      <w:pPr>
        <w:pStyle w:val="RecNo"/>
        <w:spacing w:before="0"/>
        <w:rPr>
          <w:lang w:val="en-US"/>
        </w:rPr>
      </w:pPr>
      <w:bookmarkStart w:id="2" w:name="irecnoe"/>
      <w:bookmarkEnd w:id="2"/>
      <w:r w:rsidRPr="002928EE">
        <w:rPr>
          <w:lang w:val="en-US"/>
        </w:rPr>
        <w:lastRenderedPageBreak/>
        <w:t xml:space="preserve">RECOMMENDATION  </w:t>
      </w:r>
      <w:r w:rsidRPr="002928EE">
        <w:rPr>
          <w:rStyle w:val="href"/>
          <w:lang w:val="en-US"/>
        </w:rPr>
        <w:t xml:space="preserve">ITU-R  </w:t>
      </w:r>
      <w:r w:rsidRPr="008C520E">
        <w:rPr>
          <w:rStyle w:val="href"/>
          <w:caps/>
          <w:lang w:val="en-US"/>
        </w:rPr>
        <w:t>M.</w:t>
      </w:r>
      <w:r>
        <w:rPr>
          <w:rStyle w:val="href"/>
          <w:caps/>
          <w:lang w:val="en-US"/>
        </w:rPr>
        <w:t>1452</w:t>
      </w:r>
      <w:r w:rsidRPr="008C520E">
        <w:rPr>
          <w:rStyle w:val="href"/>
          <w:caps/>
          <w:lang w:val="en-US"/>
        </w:rPr>
        <w:t>-</w:t>
      </w:r>
      <w:bookmarkEnd w:id="0"/>
      <w:r>
        <w:rPr>
          <w:rStyle w:val="href"/>
          <w:caps/>
          <w:lang w:val="en-US"/>
        </w:rPr>
        <w:t>2</w:t>
      </w:r>
    </w:p>
    <w:p w:rsidR="007F0B2E" w:rsidRPr="003C5714" w:rsidRDefault="007F0B2E" w:rsidP="003C5714">
      <w:pPr>
        <w:pStyle w:val="Rectitle"/>
        <w:rPr>
          <w:rFonts w:asciiTheme="majorBidi" w:hAnsiTheme="majorBidi" w:cstheme="majorBidi"/>
          <w:lang w:val="en-US"/>
        </w:rPr>
      </w:pPr>
      <w:bookmarkStart w:id="3" w:name="Pre_title"/>
      <w:r w:rsidRPr="003C5714">
        <w:rPr>
          <w:rFonts w:asciiTheme="majorBidi" w:hAnsiTheme="majorBidi" w:cstheme="majorBidi"/>
          <w:lang w:val="en-US"/>
        </w:rPr>
        <w:t xml:space="preserve">Millimetre wave </w:t>
      </w:r>
      <w:r w:rsidRPr="003C5714">
        <w:rPr>
          <w:rFonts w:asciiTheme="majorBidi" w:hAnsiTheme="majorBidi" w:cstheme="majorBidi"/>
          <w:szCs w:val="24"/>
          <w:lang w:val="en-US"/>
        </w:rPr>
        <w:t>vehicular collision avoidance radars and</w:t>
      </w:r>
      <w:r w:rsidRPr="003C5714">
        <w:rPr>
          <w:rFonts w:asciiTheme="majorBidi" w:hAnsiTheme="majorBidi" w:cstheme="majorBidi"/>
          <w:lang w:val="en-US"/>
        </w:rPr>
        <w:t xml:space="preserve"> radiocommunication systems for intelligent transport system applications</w:t>
      </w:r>
      <w:bookmarkEnd w:id="3"/>
    </w:p>
    <w:p w:rsidR="007F0B2E" w:rsidRPr="005D73A2" w:rsidRDefault="007F0B2E" w:rsidP="007F0B2E">
      <w:pPr>
        <w:pStyle w:val="Recref"/>
        <w:rPr>
          <w:lang w:val="en-US"/>
        </w:rPr>
      </w:pPr>
      <w:bookmarkStart w:id="4" w:name="Revision_history"/>
      <w:r w:rsidRPr="005D73A2">
        <w:rPr>
          <w:lang w:val="en-US"/>
        </w:rPr>
        <w:t>(Question ITU-R 205/5)</w:t>
      </w:r>
    </w:p>
    <w:p w:rsidR="007F0B2E" w:rsidRDefault="007F0B2E" w:rsidP="007F0B2E">
      <w:pPr>
        <w:pStyle w:val="Recdate"/>
        <w:rPr>
          <w:lang w:val="en-US"/>
        </w:rPr>
      </w:pPr>
      <w:r w:rsidRPr="00743350">
        <w:rPr>
          <w:lang w:val="en-US"/>
        </w:rPr>
        <w:t>(2000-2009</w:t>
      </w:r>
      <w:r>
        <w:rPr>
          <w:lang w:val="en-US"/>
        </w:rPr>
        <w:t>-2012)</w:t>
      </w:r>
      <w:bookmarkEnd w:id="4"/>
    </w:p>
    <w:p w:rsidR="007F0B2E" w:rsidRPr="007F0B2E" w:rsidRDefault="007F0B2E" w:rsidP="007F0B2E">
      <w:pPr>
        <w:pStyle w:val="HeadingSum"/>
        <w:rPr>
          <w:lang w:val="en-US"/>
        </w:rPr>
      </w:pPr>
      <w:r w:rsidRPr="007F0B2E">
        <w:rPr>
          <w:lang w:val="en-US"/>
        </w:rPr>
        <w:t>Scope</w:t>
      </w:r>
    </w:p>
    <w:p w:rsidR="007F0B2E" w:rsidRDefault="007F0B2E" w:rsidP="007F0B2E">
      <w:pPr>
        <w:pStyle w:val="Summary"/>
        <w:rPr>
          <w:szCs w:val="22"/>
          <w:lang w:val="en-GB"/>
        </w:rPr>
      </w:pPr>
      <w:r w:rsidRPr="00A1548E">
        <w:rPr>
          <w:szCs w:val="22"/>
          <w:lang w:val="en-GB"/>
        </w:rPr>
        <w:t xml:space="preserve">This Recommendation provides system requirements, technical and operational characteristics of millimetre wave radiocommunication systems for </w:t>
      </w:r>
      <w:r>
        <w:rPr>
          <w:szCs w:val="22"/>
          <w:lang w:val="en-GB"/>
        </w:rPr>
        <w:t>intelligent transport system</w:t>
      </w:r>
      <w:r w:rsidRPr="00A1548E">
        <w:rPr>
          <w:szCs w:val="22"/>
          <w:lang w:val="en-GB"/>
        </w:rPr>
        <w:t xml:space="preserve"> applications to be used for system design objectives. The Recommendation covers vehicular collision avoidance radar operating in the</w:t>
      </w:r>
      <w:r>
        <w:rPr>
          <w:szCs w:val="22"/>
          <w:lang w:val="en-GB"/>
        </w:rPr>
        <w:t xml:space="preserve"> </w:t>
      </w:r>
      <w:r w:rsidRPr="00A1548E">
        <w:rPr>
          <w:szCs w:val="22"/>
          <w:lang w:val="en-GB"/>
        </w:rPr>
        <w:t>76</w:t>
      </w:r>
      <w:r>
        <w:rPr>
          <w:szCs w:val="22"/>
          <w:lang w:val="en-GB"/>
        </w:rPr>
        <w:t>-</w:t>
      </w:r>
      <w:r w:rsidRPr="00A1548E">
        <w:rPr>
          <w:szCs w:val="22"/>
          <w:lang w:val="en-GB"/>
        </w:rPr>
        <w:t>77 GHz and 77</w:t>
      </w:r>
      <w:r>
        <w:rPr>
          <w:szCs w:val="22"/>
          <w:lang w:val="en-GB"/>
        </w:rPr>
        <w:t>-</w:t>
      </w:r>
      <w:r w:rsidRPr="00A1548E">
        <w:rPr>
          <w:szCs w:val="22"/>
          <w:lang w:val="en-GB"/>
        </w:rPr>
        <w:t>81 GHz bands, as well as integrated millimetre wave radiocommunication systems for ITS applications in the 57</w:t>
      </w:r>
      <w:r>
        <w:rPr>
          <w:szCs w:val="22"/>
          <w:lang w:val="en-GB"/>
        </w:rPr>
        <w:t>-</w:t>
      </w:r>
      <w:r w:rsidRPr="00A1548E">
        <w:rPr>
          <w:szCs w:val="22"/>
          <w:lang w:val="en-GB"/>
        </w:rPr>
        <w:t>66</w:t>
      </w:r>
      <w:r>
        <w:rPr>
          <w:szCs w:val="22"/>
          <w:lang w:val="en-GB"/>
        </w:rPr>
        <w:t> G</w:t>
      </w:r>
      <w:r w:rsidRPr="00A1548E">
        <w:rPr>
          <w:szCs w:val="22"/>
          <w:lang w:val="en-GB"/>
        </w:rPr>
        <w:t xml:space="preserve">Hz range for vehicle-to-vehicle </w:t>
      </w:r>
      <w:r w:rsidRPr="00A1548E">
        <w:rPr>
          <w:szCs w:val="22"/>
          <w:lang w:val="en-GB" w:eastAsia="ja-JP"/>
        </w:rPr>
        <w:t>radio</w:t>
      </w:r>
      <w:r w:rsidRPr="00A1548E">
        <w:rPr>
          <w:szCs w:val="22"/>
          <w:lang w:val="en-GB"/>
        </w:rPr>
        <w:t xml:space="preserve">communications and </w:t>
      </w:r>
      <w:r w:rsidRPr="00A1548E">
        <w:rPr>
          <w:szCs w:val="22"/>
          <w:lang w:val="en-GB" w:eastAsia="ja-JP"/>
        </w:rPr>
        <w:t>radio</w:t>
      </w:r>
      <w:r w:rsidRPr="00A1548E">
        <w:rPr>
          <w:szCs w:val="22"/>
          <w:lang w:val="en-GB"/>
        </w:rPr>
        <w:t>communications between the vehicle and roadside infrastructure.</w:t>
      </w:r>
    </w:p>
    <w:p w:rsidR="007F0B2E" w:rsidRPr="00364BDC" w:rsidRDefault="007F0B2E" w:rsidP="007F0B2E">
      <w:pPr>
        <w:rPr>
          <w:lang w:val="en-GB"/>
        </w:rPr>
      </w:pPr>
    </w:p>
    <w:p w:rsidR="007F0B2E" w:rsidRPr="00007FC6" w:rsidRDefault="007F0B2E" w:rsidP="007F0B2E">
      <w:pPr>
        <w:pStyle w:val="Normalaftertitle"/>
        <w:rPr>
          <w:lang w:val="en-US"/>
        </w:rPr>
      </w:pPr>
      <w:r w:rsidRPr="00007FC6">
        <w:rPr>
          <w:lang w:val="en-US"/>
        </w:rPr>
        <w:t>The ITU Radiocommunication Assembly,</w:t>
      </w:r>
    </w:p>
    <w:p w:rsidR="007F0B2E" w:rsidRPr="00007FC6" w:rsidRDefault="007F0B2E" w:rsidP="007F0B2E">
      <w:pPr>
        <w:pStyle w:val="Call"/>
        <w:rPr>
          <w:lang w:val="en-US"/>
        </w:rPr>
      </w:pPr>
      <w:r w:rsidRPr="00007FC6">
        <w:rPr>
          <w:lang w:val="en-US"/>
        </w:rPr>
        <w:t>considering</w:t>
      </w:r>
    </w:p>
    <w:p w:rsidR="007F0B2E" w:rsidRPr="00007FC6" w:rsidRDefault="007F0B2E" w:rsidP="007F0B2E">
      <w:pPr>
        <w:rPr>
          <w:lang w:val="en-US"/>
        </w:rPr>
      </w:pPr>
      <w:r w:rsidRPr="00007FC6">
        <w:rPr>
          <w:lang w:val="en-US"/>
        </w:rPr>
        <w:t>a)</w:t>
      </w:r>
      <w:r w:rsidRPr="00007FC6">
        <w:rPr>
          <w:lang w:val="en-US"/>
        </w:rPr>
        <w:tab/>
        <w:t xml:space="preserve">that intelligent transport systems (ITS) </w:t>
      </w:r>
      <w:r>
        <w:rPr>
          <w:lang w:val="en-US"/>
        </w:rPr>
        <w:t>will</w:t>
      </w:r>
      <w:r w:rsidRPr="00007FC6">
        <w:rPr>
          <w:lang w:val="en-US"/>
        </w:rPr>
        <w:t xml:space="preserve"> significantly contribute to the improvement of transportation and public safety;</w:t>
      </w:r>
    </w:p>
    <w:p w:rsidR="007F0B2E" w:rsidRPr="00007FC6" w:rsidRDefault="007F0B2E" w:rsidP="007F0B2E">
      <w:pPr>
        <w:rPr>
          <w:lang w:val="en-US"/>
        </w:rPr>
      </w:pPr>
      <w:r w:rsidRPr="00007FC6">
        <w:rPr>
          <w:lang w:val="en-US"/>
        </w:rPr>
        <w:t>b)</w:t>
      </w:r>
      <w:r w:rsidRPr="00007FC6">
        <w:rPr>
          <w:lang w:val="en-US"/>
        </w:rPr>
        <w:tab/>
        <w:t>that international standards would facilitate worldwide applications of ITS and provide for economies of scale in bringing ITS equipment and services to the public;</w:t>
      </w:r>
    </w:p>
    <w:p w:rsidR="007F0B2E" w:rsidRPr="00007FC6" w:rsidRDefault="007F0B2E" w:rsidP="007F0B2E">
      <w:pPr>
        <w:rPr>
          <w:lang w:val="en-US"/>
        </w:rPr>
      </w:pPr>
      <w:r w:rsidRPr="00007FC6">
        <w:rPr>
          <w:lang w:val="en-US"/>
        </w:rPr>
        <w:t>c)</w:t>
      </w:r>
      <w:r w:rsidRPr="00007FC6">
        <w:rPr>
          <w:lang w:val="en-US"/>
        </w:rPr>
        <w:tab/>
        <w:t>that harmonization of ITS applications is dependent on common radio spectrum allocations;</w:t>
      </w:r>
    </w:p>
    <w:p w:rsidR="007F0B2E" w:rsidRPr="00007FC6" w:rsidRDefault="007F0B2E" w:rsidP="007F0B2E">
      <w:pPr>
        <w:rPr>
          <w:lang w:val="en-US" w:eastAsia="ja-JP"/>
        </w:rPr>
      </w:pPr>
      <w:r w:rsidRPr="00007FC6">
        <w:rPr>
          <w:iCs/>
          <w:lang w:val="en-US"/>
        </w:rPr>
        <w:t>d)</w:t>
      </w:r>
      <w:r w:rsidRPr="00007FC6">
        <w:rPr>
          <w:i/>
          <w:lang w:val="en-US"/>
        </w:rPr>
        <w:tab/>
      </w:r>
      <w:r w:rsidRPr="00007FC6">
        <w:rPr>
          <w:lang w:val="en-US" w:eastAsia="ja-JP"/>
        </w:rPr>
        <w:t>that high-capacity transmission systems will be required for ITS radiocommunication systems in order to support multimedia and high-resolution applications;</w:t>
      </w:r>
    </w:p>
    <w:p w:rsidR="007F0B2E" w:rsidRPr="00007FC6" w:rsidRDefault="007F0B2E" w:rsidP="007F0B2E">
      <w:pPr>
        <w:rPr>
          <w:lang w:val="en-US" w:eastAsia="ja-JP"/>
        </w:rPr>
      </w:pPr>
      <w:r w:rsidRPr="00007FC6">
        <w:rPr>
          <w:iCs/>
          <w:lang w:val="en-US"/>
        </w:rPr>
        <w:t>e)</w:t>
      </w:r>
      <w:r w:rsidRPr="00007FC6">
        <w:rPr>
          <w:iCs/>
          <w:lang w:val="en-US"/>
        </w:rPr>
        <w:tab/>
      </w:r>
      <w:r w:rsidRPr="00007FC6">
        <w:rPr>
          <w:lang w:val="en-US" w:eastAsia="ja-JP"/>
        </w:rPr>
        <w:t>that low-capacity transmission systems will also be required for ITS radiocommunication systems to support safe vehicle operation, such as a collision avoidance radar;</w:t>
      </w:r>
    </w:p>
    <w:p w:rsidR="007F0B2E" w:rsidRPr="00007FC6" w:rsidRDefault="007F0B2E" w:rsidP="007F0B2E">
      <w:pPr>
        <w:rPr>
          <w:lang w:val="en-US"/>
        </w:rPr>
      </w:pPr>
      <w:r w:rsidRPr="00007FC6">
        <w:rPr>
          <w:lang w:val="en-US"/>
        </w:rPr>
        <w:t>f)</w:t>
      </w:r>
      <w:r w:rsidRPr="00007FC6">
        <w:rPr>
          <w:lang w:val="en-US"/>
        </w:rPr>
        <w:tab/>
        <w:t>that an integrated system of radar with radiocommunications is beneficial for safe driving and driver comfort;</w:t>
      </w:r>
    </w:p>
    <w:p w:rsidR="007F0B2E" w:rsidRPr="00007FC6" w:rsidRDefault="007F0B2E" w:rsidP="007F0B2E">
      <w:pPr>
        <w:rPr>
          <w:lang w:val="en-US"/>
        </w:rPr>
      </w:pPr>
      <w:r w:rsidRPr="00007FC6">
        <w:rPr>
          <w:lang w:val="en-US"/>
        </w:rPr>
        <w:t>g)</w:t>
      </w:r>
      <w:r w:rsidRPr="00007FC6">
        <w:rPr>
          <w:lang w:val="en-US"/>
        </w:rPr>
        <w:tab/>
        <w:t>that millimetre wave high-speed ITS communication systems using radio-over-fibre technology have been intensively studied in research fora and industries;</w:t>
      </w:r>
    </w:p>
    <w:p w:rsidR="007F0B2E" w:rsidRPr="00007FC6" w:rsidRDefault="007F0B2E" w:rsidP="007F0B2E">
      <w:pPr>
        <w:rPr>
          <w:lang w:val="en-US"/>
        </w:rPr>
      </w:pPr>
      <w:r w:rsidRPr="00007FC6">
        <w:rPr>
          <w:lang w:val="en-US" w:eastAsia="ja-JP"/>
        </w:rPr>
        <w:t>h)</w:t>
      </w:r>
      <w:r w:rsidRPr="00007FC6">
        <w:rPr>
          <w:lang w:val="en-US" w:eastAsia="ja-JP"/>
        </w:rPr>
        <w:tab/>
        <w:t xml:space="preserve">that millimetre wave frequencies </w:t>
      </w:r>
      <w:r w:rsidRPr="00007FC6">
        <w:rPr>
          <w:lang w:val="en-US"/>
        </w:rPr>
        <w:t>have significant advantages</w:t>
      </w:r>
      <w:r w:rsidRPr="00007FC6">
        <w:rPr>
          <w:lang w:val="en-US" w:eastAsia="ja-JP"/>
        </w:rPr>
        <w:t xml:space="preserve"> and provide</w:t>
      </w:r>
      <w:r w:rsidRPr="00007FC6">
        <w:rPr>
          <w:lang w:val="en-US"/>
        </w:rPr>
        <w:t xml:space="preserve"> a wide bandwidth for </w:t>
      </w:r>
      <w:r w:rsidRPr="00007FC6">
        <w:rPr>
          <w:lang w:val="en-US" w:eastAsia="ja-JP"/>
        </w:rPr>
        <w:t>such integrated ITS</w:t>
      </w:r>
      <w:r w:rsidRPr="00007FC6">
        <w:rPr>
          <w:lang w:val="en-US"/>
        </w:rPr>
        <w:t xml:space="preserve"> </w:t>
      </w:r>
      <w:r w:rsidRPr="00007FC6">
        <w:rPr>
          <w:lang w:val="en-US" w:eastAsia="ja-JP"/>
        </w:rPr>
        <w:t xml:space="preserve">radar and </w:t>
      </w:r>
      <w:r w:rsidRPr="00007FC6">
        <w:rPr>
          <w:lang w:val="en-US"/>
        </w:rPr>
        <w:t>communication</w:t>
      </w:r>
      <w:r w:rsidRPr="00007FC6">
        <w:rPr>
          <w:lang w:val="en-US" w:eastAsia="ja-JP"/>
        </w:rPr>
        <w:t xml:space="preserve"> systems;</w:t>
      </w:r>
    </w:p>
    <w:p w:rsidR="007F0B2E" w:rsidRPr="00007FC6" w:rsidRDefault="007F0B2E" w:rsidP="007F0B2E">
      <w:pPr>
        <w:rPr>
          <w:lang w:val="en-US" w:eastAsia="ja-JP"/>
        </w:rPr>
      </w:pPr>
      <w:r w:rsidRPr="00007FC6">
        <w:rPr>
          <w:lang w:val="en-US"/>
        </w:rPr>
        <w:t>j)</w:t>
      </w:r>
      <w:r w:rsidRPr="00007FC6">
        <w:rPr>
          <w:lang w:val="en-US"/>
        </w:rPr>
        <w:tab/>
        <w:t>that millimetre wave frequenc</w:t>
      </w:r>
      <w:r w:rsidRPr="00007FC6">
        <w:rPr>
          <w:lang w:val="en-US" w:eastAsia="ja-JP"/>
        </w:rPr>
        <w:t>ies</w:t>
      </w:r>
      <w:r w:rsidRPr="00007FC6">
        <w:rPr>
          <w:lang w:val="en-US"/>
        </w:rPr>
        <w:t xml:space="preserve"> </w:t>
      </w:r>
      <w:r w:rsidRPr="00007FC6">
        <w:rPr>
          <w:lang w:val="en-US" w:eastAsia="ja-JP"/>
        </w:rPr>
        <w:t>are</w:t>
      </w:r>
      <w:r w:rsidRPr="00007FC6">
        <w:rPr>
          <w:lang w:val="en-US"/>
        </w:rPr>
        <w:t xml:space="preserve"> also used by other radio systems and services operating in accordance with the Radio Regulations;</w:t>
      </w:r>
    </w:p>
    <w:p w:rsidR="007F0B2E" w:rsidRPr="00007FC6" w:rsidRDefault="007F0B2E" w:rsidP="003C5714">
      <w:pPr>
        <w:rPr>
          <w:lang w:val="en-US"/>
        </w:rPr>
      </w:pPr>
      <w:r w:rsidRPr="00007FC6">
        <w:rPr>
          <w:lang w:val="en-US" w:eastAsia="ja-JP"/>
        </w:rPr>
        <w:t>k)</w:t>
      </w:r>
      <w:r w:rsidRPr="00007FC6">
        <w:rPr>
          <w:lang w:val="en-US" w:eastAsia="ja-JP"/>
        </w:rPr>
        <w:tab/>
      </w:r>
      <w:r w:rsidRPr="00007FC6">
        <w:rPr>
          <w:lang w:val="en-US"/>
        </w:rPr>
        <w:t xml:space="preserve">that strong absorption in </w:t>
      </w:r>
      <w:r w:rsidRPr="00007FC6">
        <w:rPr>
          <w:lang w:val="en-US" w:eastAsia="ja-JP"/>
        </w:rPr>
        <w:t xml:space="preserve">a part of </w:t>
      </w:r>
      <w:r w:rsidRPr="00007FC6">
        <w:rPr>
          <w:lang w:val="en-US"/>
        </w:rPr>
        <w:t>millimetre wave frequency ranges due to atmospheric oxygen</w:t>
      </w:r>
      <w:r w:rsidRPr="00007FC6">
        <w:rPr>
          <w:lang w:val="en-US" w:eastAsia="ja-JP"/>
        </w:rPr>
        <w:t xml:space="preserve"> and water vapour</w:t>
      </w:r>
      <w:r w:rsidRPr="00007FC6">
        <w:rPr>
          <w:lang w:val="en-US"/>
        </w:rPr>
        <w:t xml:space="preserve"> has a potential to reduce the interference among different radio services operating in the ranges;</w:t>
      </w:r>
    </w:p>
    <w:p w:rsidR="007F0B2E" w:rsidRDefault="007F0B2E" w:rsidP="007F0B2E">
      <w:pPr>
        <w:rPr>
          <w:lang w:val="en-US"/>
        </w:rPr>
      </w:pPr>
      <w:r>
        <w:rPr>
          <w:lang w:val="en-US"/>
        </w:rPr>
        <w:t>l</w:t>
      </w:r>
      <w:r w:rsidRPr="00007FC6">
        <w:rPr>
          <w:lang w:val="en-US"/>
        </w:rPr>
        <w:t>)</w:t>
      </w:r>
      <w:r w:rsidRPr="00007FC6">
        <w:rPr>
          <w:lang w:val="en-US"/>
        </w:rPr>
        <w:tab/>
        <w:t>that technical and operational characteristics of integrated millimetre wave</w:t>
      </w:r>
      <w:r w:rsidRPr="00007FC6">
        <w:rPr>
          <w:lang w:val="en-US" w:eastAsia="ja-JP"/>
        </w:rPr>
        <w:t xml:space="preserve"> radiocommunication systems for</w:t>
      </w:r>
      <w:r w:rsidRPr="00007FC6">
        <w:rPr>
          <w:lang w:val="en-US"/>
        </w:rPr>
        <w:t xml:space="preserve"> ITS </w:t>
      </w:r>
      <w:r w:rsidRPr="00007FC6">
        <w:rPr>
          <w:lang w:val="en-US" w:eastAsia="ja-JP"/>
        </w:rPr>
        <w:t xml:space="preserve">applications </w:t>
      </w:r>
      <w:r w:rsidRPr="00007FC6">
        <w:rPr>
          <w:lang w:val="en-US"/>
        </w:rPr>
        <w:t>need to be identified to facilitate the global deployment of such a system,</w:t>
      </w:r>
    </w:p>
    <w:p w:rsidR="007F0B2E" w:rsidRPr="00007FC6" w:rsidRDefault="007F0B2E" w:rsidP="007F0B2E">
      <w:pPr>
        <w:pStyle w:val="Call"/>
        <w:rPr>
          <w:lang w:val="en-US" w:eastAsia="ja-JP"/>
        </w:rPr>
      </w:pPr>
      <w:r w:rsidRPr="00007FC6">
        <w:rPr>
          <w:lang w:val="en-US"/>
        </w:rPr>
        <w:lastRenderedPageBreak/>
        <w:t>noting</w:t>
      </w:r>
    </w:p>
    <w:p w:rsidR="007F0B2E" w:rsidRPr="00007FC6" w:rsidRDefault="007F0B2E" w:rsidP="007F0B2E">
      <w:pPr>
        <w:rPr>
          <w:lang w:val="en-US" w:eastAsia="ja-JP"/>
        </w:rPr>
      </w:pPr>
      <w:r w:rsidRPr="00007FC6">
        <w:rPr>
          <w:lang w:val="en-US" w:eastAsia="ja-JP"/>
        </w:rPr>
        <w:t>a</w:t>
      </w:r>
      <w:r w:rsidRPr="00007FC6">
        <w:rPr>
          <w:lang w:val="en-US"/>
        </w:rPr>
        <w:t>)</w:t>
      </w:r>
      <w:r w:rsidRPr="00007FC6">
        <w:rPr>
          <w:lang w:val="en-US"/>
        </w:rPr>
        <w:tab/>
        <w:t xml:space="preserve">that the International Organization for Standardization (ISO) has </w:t>
      </w:r>
      <w:r w:rsidRPr="00007FC6">
        <w:rPr>
          <w:lang w:val="en-US" w:eastAsia="ja-JP"/>
        </w:rPr>
        <w:t xml:space="preserve">published standards </w:t>
      </w:r>
      <w:r w:rsidRPr="00007FC6">
        <w:rPr>
          <w:lang w:val="en-US"/>
        </w:rPr>
        <w:t xml:space="preserve">on non-radio aspects </w:t>
      </w:r>
      <w:r w:rsidRPr="00007FC6">
        <w:rPr>
          <w:lang w:val="en-US" w:eastAsia="ja-JP"/>
        </w:rPr>
        <w:t>of</w:t>
      </w:r>
      <w:r w:rsidRPr="00007FC6">
        <w:rPr>
          <w:lang w:val="en-US"/>
        </w:rPr>
        <w:t xml:space="preserve"> ITS in ISO/TC204</w:t>
      </w:r>
      <w:r w:rsidRPr="00007FC6">
        <w:rPr>
          <w:lang w:val="en-US" w:eastAsia="ja-JP"/>
        </w:rPr>
        <w:t>, taking into account the work of recognized external organizations;</w:t>
      </w:r>
    </w:p>
    <w:p w:rsidR="007F0B2E" w:rsidRPr="00007FC6" w:rsidRDefault="007F0B2E" w:rsidP="007F0B2E">
      <w:pPr>
        <w:rPr>
          <w:lang w:val="en-US" w:eastAsia="ja-JP"/>
        </w:rPr>
      </w:pPr>
      <w:r w:rsidRPr="00007FC6">
        <w:rPr>
          <w:lang w:val="en-US" w:eastAsia="ja-JP"/>
        </w:rPr>
        <w:t>b</w:t>
      </w:r>
      <w:r w:rsidRPr="00007FC6">
        <w:rPr>
          <w:lang w:val="en-US"/>
        </w:rPr>
        <w:t>)</w:t>
      </w:r>
      <w:r w:rsidRPr="00007FC6">
        <w:rPr>
          <w:lang w:val="en-US"/>
        </w:rPr>
        <w:tab/>
        <w:t xml:space="preserve">that the European Telecommunications Standards Institute (ETSI) has </w:t>
      </w:r>
      <w:r w:rsidRPr="00007FC6">
        <w:rPr>
          <w:lang w:val="en-US" w:eastAsia="ja-JP"/>
        </w:rPr>
        <w:t>published standards on radio aspects of ITS in ETSI/ERM (Electromagnetic compatibility and Radio Spectrum Matters) which may further contribute to the efforts in ITU-R</w:t>
      </w:r>
      <w:r w:rsidRPr="00007FC6">
        <w:rPr>
          <w:lang w:val="en-US"/>
        </w:rPr>
        <w:t>;</w:t>
      </w:r>
    </w:p>
    <w:p w:rsidR="007F0B2E" w:rsidRPr="00007FC6" w:rsidRDefault="007F0B2E" w:rsidP="007F0B2E">
      <w:pPr>
        <w:rPr>
          <w:lang w:val="en-US" w:eastAsia="ja-JP"/>
        </w:rPr>
      </w:pPr>
      <w:r w:rsidRPr="00007FC6">
        <w:rPr>
          <w:lang w:val="en-US"/>
        </w:rPr>
        <w:t>c)</w:t>
      </w:r>
      <w:r w:rsidRPr="00007FC6">
        <w:rPr>
          <w:lang w:val="en-US"/>
        </w:rPr>
        <w:tab/>
        <w:t>that</w:t>
      </w:r>
      <w:r>
        <w:rPr>
          <w:lang w:val="en-US"/>
        </w:rPr>
        <w:t xml:space="preserve"> </w:t>
      </w:r>
      <w:r w:rsidRPr="00364BDC">
        <w:rPr>
          <w:lang w:val="en-US"/>
        </w:rPr>
        <w:t>the Institute of Electrical and Electronics Engineers</w:t>
      </w:r>
      <w:r w:rsidRPr="00007FC6">
        <w:rPr>
          <w:lang w:val="en-US"/>
        </w:rPr>
        <w:t xml:space="preserve"> </w:t>
      </w:r>
      <w:r>
        <w:rPr>
          <w:lang w:val="en-US"/>
        </w:rPr>
        <w:t>(</w:t>
      </w:r>
      <w:r w:rsidRPr="00007FC6">
        <w:rPr>
          <w:lang w:val="en-US"/>
        </w:rPr>
        <w:t>IEEE</w:t>
      </w:r>
      <w:r>
        <w:rPr>
          <w:lang w:val="en-US"/>
        </w:rPr>
        <w:t>)</w:t>
      </w:r>
      <w:r w:rsidRPr="00007FC6">
        <w:rPr>
          <w:lang w:val="en-US"/>
        </w:rPr>
        <w:t xml:space="preserve"> is addressing millimetre wave communication standards for wireless personal networks in the frequency range 57-66 GHz;</w:t>
      </w:r>
    </w:p>
    <w:p w:rsidR="007F0B2E" w:rsidRDefault="007F0B2E" w:rsidP="007F0B2E">
      <w:pPr>
        <w:rPr>
          <w:szCs w:val="24"/>
          <w:lang w:val="en-US" w:eastAsia="ja-JP"/>
        </w:rPr>
      </w:pPr>
      <w:r w:rsidRPr="00007FC6">
        <w:rPr>
          <w:szCs w:val="24"/>
          <w:lang w:val="en-US" w:eastAsia="ja-JP"/>
        </w:rPr>
        <w:t>d)</w:t>
      </w:r>
      <w:r w:rsidRPr="00007FC6">
        <w:rPr>
          <w:szCs w:val="24"/>
          <w:lang w:val="en-US" w:eastAsia="ja-JP"/>
        </w:rPr>
        <w:tab/>
        <w:t>that the Land Mobile Handbook (Volume 4 on ITS) contains information on millimetre wave communications, including propagation characteristics for vehicle-to-vehicle communications and inter-v</w:t>
      </w:r>
      <w:r w:rsidR="003C5714">
        <w:rPr>
          <w:szCs w:val="24"/>
          <w:lang w:val="en-US" w:eastAsia="ja-JP"/>
        </w:rPr>
        <w:t>ehicle communications and radar,</w:t>
      </w:r>
    </w:p>
    <w:p w:rsidR="007F0B2E" w:rsidRPr="006244DC" w:rsidRDefault="007F0B2E" w:rsidP="007F0B2E">
      <w:pPr>
        <w:pStyle w:val="Call"/>
        <w:rPr>
          <w:lang w:val="en-US"/>
        </w:rPr>
      </w:pPr>
      <w:r>
        <w:rPr>
          <w:lang w:val="en-US"/>
        </w:rPr>
        <w:t>r</w:t>
      </w:r>
      <w:r w:rsidRPr="006244DC">
        <w:rPr>
          <w:lang w:val="en-US"/>
        </w:rPr>
        <w:t>ecognizing</w:t>
      </w:r>
    </w:p>
    <w:p w:rsidR="007F0B2E" w:rsidRDefault="007F0B2E" w:rsidP="003C5714">
      <w:pPr>
        <w:rPr>
          <w:lang w:val="en-US" w:eastAsia="ja-JP"/>
        </w:rPr>
      </w:pPr>
      <w:r>
        <w:rPr>
          <w:lang w:val="en-US" w:eastAsia="ja-JP"/>
        </w:rPr>
        <w:t>a</w:t>
      </w:r>
      <w:r w:rsidRPr="00007FC6">
        <w:rPr>
          <w:lang w:val="en-US" w:eastAsia="ja-JP"/>
        </w:rPr>
        <w:t>)</w:t>
      </w:r>
      <w:r w:rsidRPr="00007FC6">
        <w:rPr>
          <w:lang w:val="en-US" w:eastAsia="ja-JP"/>
        </w:rPr>
        <w:tab/>
        <w:t>that the band 77.5</w:t>
      </w:r>
      <w:r>
        <w:rPr>
          <w:lang w:val="en-US" w:eastAsia="ja-JP"/>
        </w:rPr>
        <w:t>-78</w:t>
      </w:r>
      <w:r w:rsidRPr="00007FC6">
        <w:rPr>
          <w:lang w:val="en-US" w:eastAsia="ja-JP"/>
        </w:rPr>
        <w:t xml:space="preserve"> GHz is allocated worldwide on a primary basis to </w:t>
      </w:r>
      <w:r w:rsidR="003C5714">
        <w:rPr>
          <w:lang w:val="en-US" w:eastAsia="ja-JP"/>
        </w:rPr>
        <w:t>the amateur</w:t>
      </w:r>
      <w:r w:rsidR="003C5714" w:rsidRPr="00007FC6">
        <w:rPr>
          <w:lang w:val="en-US" w:eastAsia="ja-JP"/>
        </w:rPr>
        <w:t xml:space="preserve"> </w:t>
      </w:r>
      <w:r w:rsidR="003C5714">
        <w:rPr>
          <w:lang w:val="en-US" w:eastAsia="ja-JP"/>
        </w:rPr>
        <w:t xml:space="preserve">and </w:t>
      </w:r>
      <w:r>
        <w:rPr>
          <w:lang w:val="en-US" w:eastAsia="ja-JP"/>
        </w:rPr>
        <w:t>amateur-satellites services;</w:t>
      </w:r>
    </w:p>
    <w:p w:rsidR="007F0B2E" w:rsidRPr="006244DC" w:rsidRDefault="007F0B2E" w:rsidP="007F0B2E">
      <w:pPr>
        <w:rPr>
          <w:lang w:val="en-US"/>
        </w:rPr>
      </w:pPr>
      <w:r w:rsidRPr="006244DC">
        <w:rPr>
          <w:szCs w:val="24"/>
          <w:lang w:val="en-US" w:eastAsia="ja-JP"/>
        </w:rPr>
        <w:t>b)</w:t>
      </w:r>
      <w:r w:rsidRPr="006244DC">
        <w:rPr>
          <w:lang w:val="en-US"/>
        </w:rPr>
        <w:tab/>
      </w:r>
      <w:r w:rsidRPr="006244DC">
        <w:rPr>
          <w:lang w:val="en-US" w:eastAsia="ja-JP"/>
        </w:rPr>
        <w:t>that the bands 76-77.5 GHz and 78-81 GHz are allocated</w:t>
      </w:r>
      <w:r w:rsidRPr="006244DC">
        <w:rPr>
          <w:szCs w:val="24"/>
          <w:lang w:val="en-US" w:eastAsia="ja-JP"/>
        </w:rPr>
        <w:t xml:space="preserve"> worldwide on a primary basis to the radiolocation and </w:t>
      </w:r>
      <w:r w:rsidRPr="000A0768">
        <w:rPr>
          <w:lang w:val="en-GB"/>
        </w:rPr>
        <w:t>radio astronomy</w:t>
      </w:r>
      <w:r w:rsidRPr="006244DC">
        <w:rPr>
          <w:lang w:val="en-US"/>
        </w:rPr>
        <w:t xml:space="preserve"> </w:t>
      </w:r>
      <w:r w:rsidRPr="006244DC">
        <w:rPr>
          <w:szCs w:val="24"/>
          <w:lang w:val="en-US" w:eastAsia="ja-JP"/>
        </w:rPr>
        <w:t>services</w:t>
      </w:r>
      <w:r w:rsidR="003C5714">
        <w:rPr>
          <w:szCs w:val="24"/>
          <w:lang w:val="en-US" w:eastAsia="ja-JP"/>
        </w:rPr>
        <w:t>,</w:t>
      </w:r>
    </w:p>
    <w:p w:rsidR="007F0B2E" w:rsidRPr="00007FC6" w:rsidRDefault="007F0B2E" w:rsidP="007F0B2E">
      <w:pPr>
        <w:pStyle w:val="Call"/>
        <w:rPr>
          <w:b/>
          <w:lang w:val="en-US"/>
        </w:rPr>
      </w:pPr>
      <w:r w:rsidRPr="00007FC6">
        <w:rPr>
          <w:lang w:val="en-US"/>
        </w:rPr>
        <w:t>recommends</w:t>
      </w:r>
    </w:p>
    <w:p w:rsidR="007F0B2E" w:rsidRPr="00007FC6" w:rsidRDefault="007F0B2E" w:rsidP="002C083D">
      <w:pPr>
        <w:rPr>
          <w:lang w:val="en-US" w:eastAsia="ja-JP"/>
        </w:rPr>
      </w:pPr>
      <w:r w:rsidRPr="00007FC6">
        <w:rPr>
          <w:b/>
          <w:lang w:val="en-US" w:eastAsia="ja-JP"/>
        </w:rPr>
        <w:t>1</w:t>
      </w:r>
      <w:r w:rsidRPr="00007FC6">
        <w:rPr>
          <w:lang w:val="en-US"/>
        </w:rPr>
        <w:tab/>
        <w:t xml:space="preserve">that the operational and technical characteristics of </w:t>
      </w:r>
      <w:r>
        <w:rPr>
          <w:lang w:val="en-US"/>
        </w:rPr>
        <w:t xml:space="preserve">automotive </w:t>
      </w:r>
      <w:r w:rsidRPr="00007FC6">
        <w:rPr>
          <w:lang w:val="en-US"/>
        </w:rPr>
        <w:t>radar</w:t>
      </w:r>
      <w:r>
        <w:rPr>
          <w:lang w:val="en-US"/>
        </w:rPr>
        <w:t>s</w:t>
      </w:r>
      <w:r w:rsidRPr="00007FC6">
        <w:rPr>
          <w:lang w:val="en-US"/>
        </w:rPr>
        <w:t xml:space="preserve"> </w:t>
      </w:r>
      <w:r>
        <w:rPr>
          <w:lang w:val="en-US"/>
        </w:rPr>
        <w:t>operating in the 76</w:t>
      </w:r>
      <w:r w:rsidR="003C5714">
        <w:rPr>
          <w:lang w:val="en-US"/>
        </w:rPr>
        <w:noBreakHyphen/>
      </w:r>
      <w:r>
        <w:rPr>
          <w:lang w:val="en-US"/>
        </w:rPr>
        <w:t>77 GH</w:t>
      </w:r>
      <w:r w:rsidR="003C5714">
        <w:rPr>
          <w:lang w:val="en-US"/>
        </w:rPr>
        <w:t>z</w:t>
      </w:r>
      <w:r>
        <w:rPr>
          <w:lang w:val="en-US"/>
        </w:rPr>
        <w:t xml:space="preserve"> ban</w:t>
      </w:r>
      <w:r w:rsidR="003C5714">
        <w:rPr>
          <w:lang w:val="en-US"/>
        </w:rPr>
        <w:t>d,</w:t>
      </w:r>
      <w:r>
        <w:rPr>
          <w:lang w:val="en-US"/>
        </w:rPr>
        <w:t xml:space="preserve"> as given in Annex 1</w:t>
      </w:r>
      <w:r w:rsidRPr="00007FC6">
        <w:rPr>
          <w:lang w:val="en-US"/>
        </w:rPr>
        <w:t>, should be used as a guideline for system design objectives;</w:t>
      </w:r>
    </w:p>
    <w:p w:rsidR="007F0B2E" w:rsidRPr="006244DC" w:rsidRDefault="007F0B2E" w:rsidP="007F0B2E">
      <w:pPr>
        <w:rPr>
          <w:lang w:val="en-US"/>
        </w:rPr>
      </w:pPr>
      <w:r w:rsidRPr="00007FC6">
        <w:rPr>
          <w:b/>
          <w:lang w:val="en-US" w:eastAsia="ja-JP"/>
        </w:rPr>
        <w:t>2</w:t>
      </w:r>
      <w:r w:rsidRPr="00007FC6">
        <w:rPr>
          <w:lang w:val="en-US"/>
        </w:rPr>
        <w:tab/>
        <w:t xml:space="preserve">that the operational and technical characteristics </w:t>
      </w:r>
      <w:r w:rsidRPr="006244DC">
        <w:rPr>
          <w:lang w:val="en-US"/>
        </w:rPr>
        <w:t>for automotive radar equipment operating in the 77-81 GHz band, as given in Annex 2, should be used as a guideline for system design objectives;</w:t>
      </w:r>
    </w:p>
    <w:p w:rsidR="007F0B2E" w:rsidRPr="00007FC6" w:rsidRDefault="007F0B2E" w:rsidP="007F0B2E">
      <w:pPr>
        <w:rPr>
          <w:lang w:val="en-US"/>
        </w:rPr>
      </w:pPr>
      <w:r w:rsidRPr="006244DC">
        <w:rPr>
          <w:b/>
          <w:lang w:val="en-US" w:eastAsia="ja-JP"/>
        </w:rPr>
        <w:t>3</w:t>
      </w:r>
      <w:r w:rsidRPr="006244DC">
        <w:rPr>
          <w:lang w:val="en-US"/>
        </w:rPr>
        <w:tab/>
        <w:t xml:space="preserve">that the operational and technical characteristics </w:t>
      </w:r>
      <w:r w:rsidRPr="00007FC6">
        <w:rPr>
          <w:lang w:val="en-US"/>
        </w:rPr>
        <w:t xml:space="preserve">of millimetre wave radiocommunication systems for ITS applications for data communication between vehicle-to-vehicle and vehicle-to-roadside, as given in Annex </w:t>
      </w:r>
      <w:r>
        <w:rPr>
          <w:lang w:val="en-US" w:eastAsia="ja-JP"/>
        </w:rPr>
        <w:t>3</w:t>
      </w:r>
      <w:r w:rsidRPr="00007FC6">
        <w:rPr>
          <w:lang w:val="en-US"/>
        </w:rPr>
        <w:t xml:space="preserve">, should be used as a guideline for system design objectives. </w:t>
      </w:r>
    </w:p>
    <w:p w:rsidR="007F0B2E" w:rsidRDefault="007F0B2E" w:rsidP="007F0B2E">
      <w:pPr>
        <w:rPr>
          <w:lang w:val="en-US"/>
        </w:rPr>
      </w:pPr>
    </w:p>
    <w:p w:rsidR="003C5714" w:rsidRPr="00007FC6" w:rsidRDefault="003C5714" w:rsidP="007F0B2E">
      <w:pPr>
        <w:rPr>
          <w:lang w:val="en-US"/>
        </w:rPr>
      </w:pPr>
    </w:p>
    <w:p w:rsidR="007F0B2E" w:rsidRPr="002C083D" w:rsidRDefault="007F0B2E" w:rsidP="003C5714">
      <w:pPr>
        <w:pStyle w:val="AnnexNoTitle"/>
        <w:rPr>
          <w:lang w:val="en-US"/>
        </w:rPr>
      </w:pPr>
      <w:r w:rsidRPr="002C083D">
        <w:rPr>
          <w:lang w:val="en-US"/>
        </w:rPr>
        <w:t>Annex 1</w:t>
      </w:r>
      <w:r w:rsidRPr="002C083D">
        <w:rPr>
          <w:lang w:val="en-US"/>
        </w:rPr>
        <w:br/>
      </w:r>
      <w:r w:rsidRPr="002C083D">
        <w:rPr>
          <w:lang w:val="en-US"/>
        </w:rPr>
        <w:br/>
      </w:r>
      <w:r w:rsidRPr="002C083D">
        <w:rPr>
          <w:rFonts w:hint="eastAsia"/>
          <w:lang w:val="en-US" w:eastAsia="ja-JP"/>
        </w:rPr>
        <w:t>V</w:t>
      </w:r>
      <w:r w:rsidRPr="002C083D">
        <w:rPr>
          <w:lang w:val="en-US" w:eastAsia="ja-JP"/>
        </w:rPr>
        <w:t>ehicular collision avoidance radar</w:t>
      </w:r>
      <w:r w:rsidRPr="002C083D">
        <w:rPr>
          <w:lang w:val="en-US"/>
        </w:rPr>
        <w:t xml:space="preserve"> at 76-77 GHz  </w:t>
      </w:r>
    </w:p>
    <w:p w:rsidR="007F0B2E" w:rsidRPr="00007FC6" w:rsidRDefault="007F0B2E" w:rsidP="007F0B2E">
      <w:pPr>
        <w:pStyle w:val="Heading1"/>
        <w:rPr>
          <w:lang w:val="en-US"/>
        </w:rPr>
      </w:pPr>
      <w:r w:rsidRPr="00007FC6">
        <w:rPr>
          <w:lang w:val="en-US"/>
        </w:rPr>
        <w:t>1</w:t>
      </w:r>
      <w:r w:rsidRPr="00007FC6">
        <w:rPr>
          <w:lang w:val="en-US"/>
        </w:rPr>
        <w:tab/>
        <w:t>General</w:t>
      </w:r>
    </w:p>
    <w:p w:rsidR="007F0B2E" w:rsidRPr="00007FC6" w:rsidRDefault="007F0B2E" w:rsidP="007F0B2E">
      <w:pPr>
        <w:pStyle w:val="Heading2"/>
        <w:rPr>
          <w:lang w:val="en-US"/>
        </w:rPr>
      </w:pPr>
      <w:r w:rsidRPr="00007FC6">
        <w:rPr>
          <w:lang w:val="en-US"/>
        </w:rPr>
        <w:t>1.1</w:t>
      </w:r>
      <w:r w:rsidRPr="00007FC6">
        <w:rPr>
          <w:lang w:val="en-US"/>
        </w:rPr>
        <w:tab/>
        <w:t>Introduction</w:t>
      </w:r>
    </w:p>
    <w:p w:rsidR="007F0B2E" w:rsidRPr="006244DC" w:rsidRDefault="007F0B2E" w:rsidP="002C083D">
      <w:pPr>
        <w:rPr>
          <w:lang w:val="en-US"/>
        </w:rPr>
      </w:pPr>
      <w:r w:rsidRPr="00007FC6">
        <w:rPr>
          <w:szCs w:val="24"/>
          <w:lang w:val="en-US" w:eastAsia="ja-JP"/>
        </w:rPr>
        <w:t>Several millimetre wave bands are considered for vehicular radar</w:t>
      </w:r>
      <w:r w:rsidR="002C083D">
        <w:rPr>
          <w:szCs w:val="24"/>
          <w:lang w:val="en-US" w:eastAsia="ja-JP"/>
        </w:rPr>
        <w:t>.</w:t>
      </w:r>
      <w:r w:rsidRPr="00007FC6">
        <w:rPr>
          <w:szCs w:val="24"/>
          <w:lang w:val="en-US" w:eastAsia="ja-JP"/>
        </w:rPr>
        <w:t xml:space="preserve"> </w:t>
      </w:r>
      <w:r w:rsidRPr="00007FC6">
        <w:rPr>
          <w:lang w:val="en-US"/>
        </w:rPr>
        <w:t>The 76</w:t>
      </w:r>
      <w:r>
        <w:rPr>
          <w:lang w:val="en-US"/>
        </w:rPr>
        <w:t>-77</w:t>
      </w:r>
      <w:r w:rsidRPr="00007FC6">
        <w:rPr>
          <w:lang w:val="en-US"/>
        </w:rPr>
        <w:t xml:space="preserve"> GHz band has already been designated by the Federal Communications Commission (FCC) in the </w:t>
      </w:r>
      <w:smartTag w:uri="urn:schemas-microsoft-com:office:smarttags" w:element="country-region">
        <w:r w:rsidRPr="00007FC6">
          <w:rPr>
            <w:lang w:val="en-US"/>
          </w:rPr>
          <w:t>United States of America</w:t>
        </w:r>
      </w:smartTag>
      <w:r w:rsidRPr="00007FC6">
        <w:rPr>
          <w:lang w:val="en-US"/>
        </w:rPr>
        <w:t xml:space="preserve"> and by the Ministry of Internal Affairs and Communications (MIC) in </w:t>
      </w:r>
      <w:smartTag w:uri="urn:schemas-microsoft-com:office:smarttags" w:element="place">
        <w:smartTag w:uri="urn:schemas-microsoft-com:office:smarttags" w:element="country-region">
          <w:r w:rsidRPr="00007FC6">
            <w:rPr>
              <w:lang w:val="en-US"/>
            </w:rPr>
            <w:t>Japan</w:t>
          </w:r>
        </w:smartTag>
      </w:smartTag>
      <w:r w:rsidRPr="00007FC6">
        <w:rPr>
          <w:lang w:val="en-US"/>
        </w:rPr>
        <w:t xml:space="preserve"> for these purposes. In the United States, vehicular radars operating in the 76</w:t>
      </w:r>
      <w:r>
        <w:rPr>
          <w:lang w:val="en-US"/>
        </w:rPr>
        <w:t>-77</w:t>
      </w:r>
      <w:r w:rsidRPr="00007FC6">
        <w:rPr>
          <w:lang w:val="en-US"/>
        </w:rPr>
        <w:t xml:space="preserve"> GHz band </w:t>
      </w:r>
      <w:r>
        <w:rPr>
          <w:lang w:val="en-US"/>
        </w:rPr>
        <w:t xml:space="preserve">are regulated according </w:t>
      </w:r>
      <w:r w:rsidR="003C5714">
        <w:rPr>
          <w:lang w:val="en-US"/>
        </w:rPr>
        <w:t xml:space="preserve">to </w:t>
      </w:r>
      <w:r>
        <w:rPr>
          <w:lang w:val="en-US"/>
        </w:rPr>
        <w:t>FCC 47 part 15.253 and as part 15 device</w:t>
      </w:r>
      <w:r w:rsidR="003C5714">
        <w:rPr>
          <w:lang w:val="en-US"/>
        </w:rPr>
        <w:t>;</w:t>
      </w:r>
      <w:r>
        <w:rPr>
          <w:lang w:val="en-US"/>
        </w:rPr>
        <w:t xml:space="preserve"> </w:t>
      </w:r>
      <w:r w:rsidRPr="00007FC6">
        <w:rPr>
          <w:lang w:val="en-US"/>
        </w:rPr>
        <w:t xml:space="preserve">may not cause harmful interference </w:t>
      </w:r>
      <w:r w:rsidRPr="00007FC6">
        <w:rPr>
          <w:szCs w:val="24"/>
          <w:lang w:val="en-US"/>
        </w:rPr>
        <w:t xml:space="preserve">and must accept interference that may be caused by the operation of an authorized radio system, by another intentional or unintentional radiator, by industrial, scientific and medical (ISM) equipment, </w:t>
      </w:r>
      <w:r w:rsidRPr="00007FC6">
        <w:rPr>
          <w:szCs w:val="24"/>
          <w:lang w:val="en-US"/>
        </w:rPr>
        <w:lastRenderedPageBreak/>
        <w:t>or by an incidental radiator.</w:t>
      </w:r>
      <w:r w:rsidRPr="00007FC6">
        <w:rPr>
          <w:lang w:val="en-US"/>
        </w:rPr>
        <w:t xml:space="preserve"> Furthermore, in accordance with European spectrum requirements for </w:t>
      </w:r>
      <w:r>
        <w:rPr>
          <w:lang w:val="en-US"/>
        </w:rPr>
        <w:t>Road Transport and Traffic Telematics (</w:t>
      </w:r>
      <w:r w:rsidRPr="00007FC6">
        <w:rPr>
          <w:lang w:val="en-US"/>
        </w:rPr>
        <w:t>RTTT</w:t>
      </w:r>
      <w:r>
        <w:rPr>
          <w:lang w:val="en-US"/>
        </w:rPr>
        <w:t>)</w:t>
      </w:r>
      <w:r w:rsidRPr="00007FC6">
        <w:rPr>
          <w:lang w:val="en-US"/>
        </w:rPr>
        <w:t xml:space="preserve">, ETSI has adopted European standards for </w:t>
      </w:r>
      <w:r>
        <w:rPr>
          <w:lang w:val="en-US"/>
        </w:rPr>
        <w:t>automative</w:t>
      </w:r>
      <w:r w:rsidRPr="00007FC6">
        <w:rPr>
          <w:lang w:val="en-US"/>
        </w:rPr>
        <w:t xml:space="preserve"> radar operating in the 76-77 GHz band </w:t>
      </w:r>
      <w:r w:rsidRPr="006244DC">
        <w:rPr>
          <w:lang w:val="en-US"/>
        </w:rPr>
        <w:t>(ETSI EN 301 091) and ECC adopted a decision (ECC/DEC/(02)01) on</w:t>
      </w:r>
      <w:r w:rsidRPr="000A0768">
        <w:rPr>
          <w:lang w:val="en-GB"/>
        </w:rPr>
        <w:t xml:space="preserve"> the </w:t>
      </w:r>
      <w:r w:rsidRPr="006244DC">
        <w:rPr>
          <w:lang w:val="en-US"/>
        </w:rPr>
        <w:t xml:space="preserve">frequency bands to be designated for the coordinated introduction of RTTT, including the band 76-77 GHz. In Japan, the 76-77 </w:t>
      </w:r>
      <w:r w:rsidRPr="000A0768">
        <w:rPr>
          <w:lang w:val="en-GB"/>
        </w:rPr>
        <w:t xml:space="preserve">GHz band </w:t>
      </w:r>
      <w:r w:rsidRPr="006244DC">
        <w:rPr>
          <w:lang w:val="en-US"/>
        </w:rPr>
        <w:t xml:space="preserve">is designated </w:t>
      </w:r>
      <w:r w:rsidRPr="000A0768">
        <w:rPr>
          <w:lang w:val="en-GB"/>
        </w:rPr>
        <w:t xml:space="preserve">for this </w:t>
      </w:r>
      <w:r w:rsidRPr="006244DC">
        <w:rPr>
          <w:lang w:val="en-US"/>
        </w:rPr>
        <w:t xml:space="preserve">kind of </w:t>
      </w:r>
      <w:r w:rsidRPr="000A0768">
        <w:rPr>
          <w:lang w:val="en-GB"/>
        </w:rPr>
        <w:t>application</w:t>
      </w:r>
      <w:r w:rsidRPr="006244DC">
        <w:rPr>
          <w:lang w:val="en-US"/>
        </w:rPr>
        <w:t xml:space="preserve"> (ARIB STD-T48).</w:t>
      </w:r>
    </w:p>
    <w:p w:rsidR="007F0B2E" w:rsidRDefault="007F0B2E" w:rsidP="007F0B2E">
      <w:pPr>
        <w:rPr>
          <w:lang w:val="en-US" w:eastAsia="ja-JP"/>
        </w:rPr>
      </w:pPr>
      <w:r w:rsidRPr="006244DC">
        <w:rPr>
          <w:lang w:val="en-US" w:eastAsia="ja-JP"/>
        </w:rPr>
        <w:t>In October 2010, the Russian Federation identified the 76-77 GHz band for automotive radars.</w:t>
      </w:r>
    </w:p>
    <w:p w:rsidR="007F0B2E" w:rsidRDefault="007F0B2E" w:rsidP="002C083D">
      <w:pPr>
        <w:rPr>
          <w:lang w:val="en-US"/>
        </w:rPr>
      </w:pPr>
      <w:r w:rsidRPr="00007FC6">
        <w:rPr>
          <w:lang w:val="en-US"/>
        </w:rPr>
        <w:t xml:space="preserve">This effort has led </w:t>
      </w:r>
      <w:r>
        <w:rPr>
          <w:lang w:val="en-US"/>
        </w:rPr>
        <w:t>Asia-Pacific Telecommunity Standardization Program (</w:t>
      </w:r>
      <w:r w:rsidRPr="00007FC6">
        <w:rPr>
          <w:lang w:val="en-US"/>
        </w:rPr>
        <w:t>ASTAP</w:t>
      </w:r>
      <w:r>
        <w:rPr>
          <w:lang w:val="en-US"/>
        </w:rPr>
        <w:t>)</w:t>
      </w:r>
      <w:r w:rsidRPr="00007FC6">
        <w:rPr>
          <w:lang w:val="en-US"/>
        </w:rPr>
        <w:t xml:space="preserve"> to consider a proposal on a draft standard </w:t>
      </w:r>
      <w:r>
        <w:rPr>
          <w:lang w:val="en-US"/>
        </w:rPr>
        <w:t xml:space="preserve">for vehicular collision avoidance </w:t>
      </w:r>
      <w:r w:rsidRPr="00007FC6">
        <w:rPr>
          <w:lang w:val="en-US"/>
        </w:rPr>
        <w:t xml:space="preserve">radar </w:t>
      </w:r>
      <w:r w:rsidR="002C083D">
        <w:rPr>
          <w:lang w:val="en-US"/>
        </w:rPr>
        <w:t>operating in the 76</w:t>
      </w:r>
      <w:r w:rsidR="002C083D">
        <w:rPr>
          <w:lang w:val="en-US"/>
        </w:rPr>
        <w:noBreakHyphen/>
        <w:t>77 GHz band.</w:t>
      </w:r>
    </w:p>
    <w:p w:rsidR="007F0B2E" w:rsidRPr="006244DC" w:rsidRDefault="007F0B2E" w:rsidP="007F0B2E">
      <w:pPr>
        <w:pStyle w:val="Heading2"/>
        <w:rPr>
          <w:lang w:val="en-US"/>
        </w:rPr>
      </w:pPr>
      <w:r>
        <w:rPr>
          <w:lang w:val="en-US"/>
        </w:rPr>
        <w:t>1.2</w:t>
      </w:r>
      <w:r>
        <w:rPr>
          <w:lang w:val="en-US"/>
        </w:rPr>
        <w:tab/>
        <w:t>Scope</w:t>
      </w:r>
    </w:p>
    <w:p w:rsidR="007F0B2E" w:rsidRPr="00007FC6" w:rsidRDefault="007F0B2E" w:rsidP="007F0B2E">
      <w:pPr>
        <w:rPr>
          <w:lang w:val="en-US"/>
        </w:rPr>
      </w:pPr>
      <w:r w:rsidRPr="00007FC6">
        <w:rPr>
          <w:lang w:val="en-US"/>
        </w:rPr>
        <w:t>Today’s vehicular radar system</w:t>
      </w:r>
      <w:r w:rsidRPr="00007FC6">
        <w:rPr>
          <w:lang w:val="en-US" w:eastAsia="ja-JP"/>
        </w:rPr>
        <w:t>s</w:t>
      </w:r>
      <w:r w:rsidRPr="00007FC6">
        <w:rPr>
          <w:lang w:val="en-US"/>
        </w:rPr>
        <w:t xml:space="preserve"> </w:t>
      </w:r>
      <w:r w:rsidRPr="00007FC6">
        <w:rPr>
          <w:lang w:val="en-US" w:eastAsia="ja-JP"/>
        </w:rPr>
        <w:t xml:space="preserve">in the millimetre wave </w:t>
      </w:r>
      <w:r w:rsidRPr="00007FC6">
        <w:rPr>
          <w:lang w:val="en-US"/>
        </w:rPr>
        <w:t>are of two categories according to the measurement ranges and bandwidth:</w:t>
      </w:r>
    </w:p>
    <w:p w:rsidR="007F0B2E" w:rsidRPr="00007FC6" w:rsidRDefault="007F0B2E" w:rsidP="007F0B2E">
      <w:pPr>
        <w:pStyle w:val="enumlev1"/>
        <w:rPr>
          <w:lang w:val="en-US"/>
        </w:rPr>
      </w:pPr>
      <w:r w:rsidRPr="00007FC6">
        <w:rPr>
          <w:lang w:val="en-US"/>
        </w:rPr>
        <w:t>–</w:t>
      </w:r>
      <w:r w:rsidRPr="00007FC6">
        <w:rPr>
          <w:lang w:val="en-US"/>
        </w:rPr>
        <w:tab/>
      </w:r>
      <w:r>
        <w:rPr>
          <w:lang w:val="en-US"/>
        </w:rPr>
        <w:t xml:space="preserve">Category 1: </w:t>
      </w:r>
      <w:r w:rsidRPr="00007FC6">
        <w:rPr>
          <w:lang w:val="en-US"/>
        </w:rPr>
        <w:t xml:space="preserve">Adaptive Cruise Control (ACC) </w:t>
      </w:r>
      <w:r>
        <w:rPr>
          <w:lang w:val="en-US"/>
        </w:rPr>
        <w:t xml:space="preserve">and </w:t>
      </w:r>
      <w:r w:rsidR="00FF307C">
        <w:rPr>
          <w:lang w:val="en-US"/>
        </w:rPr>
        <w:t>collision avoidance r</w:t>
      </w:r>
      <w:r w:rsidR="00FF307C" w:rsidRPr="00007FC6">
        <w:rPr>
          <w:lang w:val="en-US"/>
        </w:rPr>
        <w:t>adar</w:t>
      </w:r>
      <w:r w:rsidR="00FF307C">
        <w:rPr>
          <w:lang w:val="en-US"/>
        </w:rPr>
        <w:t xml:space="preserve"> </w:t>
      </w:r>
      <w:r>
        <w:rPr>
          <w:lang w:val="en-US"/>
        </w:rPr>
        <w:t>(CA)</w:t>
      </w:r>
      <w:r w:rsidRPr="00007FC6">
        <w:rPr>
          <w:lang w:val="en-US"/>
        </w:rPr>
        <w:t xml:space="preserve">, operating in the band 76-77 GHz, </w:t>
      </w:r>
      <w:r w:rsidRPr="00007FC6">
        <w:rPr>
          <w:lang w:val="en-US" w:eastAsia="ja-JP"/>
        </w:rPr>
        <w:t xml:space="preserve">for </w:t>
      </w:r>
      <w:r w:rsidRPr="00007FC6">
        <w:rPr>
          <w:lang w:val="en-US"/>
        </w:rPr>
        <w:t>measurement range</w:t>
      </w:r>
      <w:r>
        <w:rPr>
          <w:lang w:val="en-US"/>
        </w:rPr>
        <w:t>s</w:t>
      </w:r>
      <w:r w:rsidRPr="00007FC6">
        <w:rPr>
          <w:lang w:val="en-US"/>
        </w:rPr>
        <w:t xml:space="preserve"> up to </w:t>
      </w:r>
      <w:r>
        <w:rPr>
          <w:lang w:val="en-US"/>
        </w:rPr>
        <w:t>300 </w:t>
      </w:r>
      <w:r w:rsidRPr="00007FC6">
        <w:rPr>
          <w:lang w:val="en-US"/>
        </w:rPr>
        <w:t>m.</w:t>
      </w:r>
    </w:p>
    <w:p w:rsidR="007F0B2E" w:rsidRDefault="007F0B2E" w:rsidP="00FF307C">
      <w:pPr>
        <w:pStyle w:val="enumlev1"/>
        <w:rPr>
          <w:lang w:val="en-US"/>
        </w:rPr>
      </w:pPr>
      <w:r w:rsidRPr="00007FC6">
        <w:rPr>
          <w:lang w:val="en-US"/>
        </w:rPr>
        <w:t>–</w:t>
      </w:r>
      <w:r w:rsidRPr="00007FC6">
        <w:rPr>
          <w:lang w:val="en-US" w:eastAsia="ja-JP"/>
        </w:rPr>
        <w:tab/>
      </w:r>
      <w:r>
        <w:rPr>
          <w:lang w:val="en-US" w:eastAsia="ja-JP"/>
        </w:rPr>
        <w:t xml:space="preserve">Category 2 </w:t>
      </w:r>
      <w:r w:rsidRPr="00007FC6">
        <w:rPr>
          <w:lang w:val="en-US" w:eastAsia="ja-JP"/>
        </w:rPr>
        <w:t>“S</w:t>
      </w:r>
      <w:r w:rsidRPr="00007FC6">
        <w:rPr>
          <w:lang w:val="en-US"/>
        </w:rPr>
        <w:t>hort-range</w:t>
      </w:r>
      <w:r w:rsidRPr="00007FC6">
        <w:rPr>
          <w:lang w:val="en-US" w:eastAsia="ja-JP"/>
        </w:rPr>
        <w:t>”</w:t>
      </w:r>
      <w:r w:rsidRPr="00007FC6">
        <w:rPr>
          <w:lang w:val="en-US"/>
        </w:rPr>
        <w:t xml:space="preserve"> radar</w:t>
      </w:r>
      <w:r w:rsidRPr="006244DC">
        <w:rPr>
          <w:lang w:val="en-US"/>
        </w:rPr>
        <w:t xml:space="preserve"> for applications such as Blind Spot Detection (BSD), Lane-Change Assist (LCA), and Rear-Traffic-Crossing-Alert (RTCA),</w:t>
      </w:r>
      <w:r w:rsidRPr="000A0768">
        <w:rPr>
          <w:lang w:val="en-GB"/>
        </w:rPr>
        <w:t xml:space="preserve"> operating in the band</w:t>
      </w:r>
      <w:r w:rsidRPr="006244DC">
        <w:rPr>
          <w:lang w:val="en-US"/>
        </w:rPr>
        <w:t xml:space="preserve"> 77</w:t>
      </w:r>
      <w:r w:rsidR="00FF307C">
        <w:rPr>
          <w:lang w:val="en-US"/>
        </w:rPr>
        <w:noBreakHyphen/>
      </w:r>
      <w:r w:rsidRPr="006244DC">
        <w:rPr>
          <w:lang w:val="en-US"/>
        </w:rPr>
        <w:t>81 GHz</w:t>
      </w:r>
      <w:r w:rsidRPr="000A0768">
        <w:rPr>
          <w:lang w:val="en-GB"/>
        </w:rPr>
        <w:t xml:space="preserve"> for measurement </w:t>
      </w:r>
      <w:r w:rsidRPr="006244DC">
        <w:rPr>
          <w:lang w:val="en-US"/>
        </w:rPr>
        <w:t>ranges</w:t>
      </w:r>
      <w:r w:rsidRPr="000A0768">
        <w:rPr>
          <w:lang w:val="en-GB"/>
        </w:rPr>
        <w:t xml:space="preserve"> up to </w:t>
      </w:r>
      <w:r w:rsidRPr="006244DC">
        <w:rPr>
          <w:lang w:val="en-US"/>
        </w:rPr>
        <w:t>100 m (see Annex 2 for Category 2).</w:t>
      </w:r>
    </w:p>
    <w:p w:rsidR="007F0B2E" w:rsidRPr="006244DC" w:rsidRDefault="007F0B2E" w:rsidP="007F0B2E">
      <w:pPr>
        <w:rPr>
          <w:lang w:val="en-US"/>
        </w:rPr>
      </w:pPr>
      <w:r w:rsidRPr="006244DC">
        <w:rPr>
          <w:lang w:val="en-US"/>
        </w:rPr>
        <w:t xml:space="preserve">The rationale for separating these applications into two different frequency bands is given in ECC Report 56, which reveals, that sharing studies have concluded that sharing is not achievable between Category 1 and Category 2 if operated in a common frequency band. </w:t>
      </w:r>
    </w:p>
    <w:p w:rsidR="007F0B2E" w:rsidRPr="00007FC6" w:rsidRDefault="007F0B2E" w:rsidP="007F0B2E">
      <w:pPr>
        <w:rPr>
          <w:lang w:val="en-US"/>
        </w:rPr>
      </w:pPr>
      <w:r w:rsidRPr="00007FC6">
        <w:rPr>
          <w:lang w:val="en-US"/>
        </w:rPr>
        <w:t>Since vehicles are sold worldwide, the automotive industry is highly interested in a worldwide harmonization of these frequency bands and the corresponding parameters.</w:t>
      </w:r>
    </w:p>
    <w:p w:rsidR="007F0B2E" w:rsidRPr="00007FC6" w:rsidRDefault="007F0B2E" w:rsidP="007F0B2E">
      <w:pPr>
        <w:rPr>
          <w:lang w:val="en-US"/>
        </w:rPr>
      </w:pPr>
      <w:r w:rsidRPr="00007FC6">
        <w:rPr>
          <w:lang w:val="en-US"/>
        </w:rPr>
        <w:t>Figure 1 shows an application example of automotive radar.</w:t>
      </w:r>
    </w:p>
    <w:p w:rsidR="007F0B2E" w:rsidRPr="006244DC" w:rsidRDefault="007F0B2E" w:rsidP="007F0B2E">
      <w:pPr>
        <w:pStyle w:val="FigureNo"/>
        <w:rPr>
          <w:lang w:val="en-US"/>
        </w:rPr>
      </w:pPr>
      <w:r w:rsidRPr="006244DC">
        <w:rPr>
          <w:lang w:val="en-US"/>
        </w:rPr>
        <w:t>Figure 1</w:t>
      </w:r>
    </w:p>
    <w:p w:rsidR="007F0B2E" w:rsidRPr="006244DC" w:rsidRDefault="007F0B2E" w:rsidP="007F0B2E">
      <w:pPr>
        <w:pStyle w:val="Figuretitle"/>
        <w:rPr>
          <w:lang w:val="en-US"/>
        </w:rPr>
      </w:pPr>
      <w:r w:rsidRPr="006244DC">
        <w:rPr>
          <w:lang w:val="en-US"/>
        </w:rPr>
        <w:t>Image of vehicle radar systems</w:t>
      </w:r>
    </w:p>
    <w:p w:rsidR="007F0B2E" w:rsidRPr="00B31680" w:rsidRDefault="00031F40" w:rsidP="00FF307C">
      <w:pPr>
        <w:pStyle w:val="Figure"/>
        <w:rPr>
          <w:lang w:val="en-GB"/>
        </w:rPr>
      </w:pPr>
      <w:r>
        <w:object w:dxaOrig="11185" w:dyaOrig="44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8pt;height:167.4pt" o:ole="">
            <v:imagedata r:id="rId15" o:title=""/>
          </v:shape>
          <o:OLEObject Type="Embed" ProgID="CorelDRAW.Graphic.14" ShapeID="_x0000_i1025" DrawAspect="Content" ObjectID="_1400310945" r:id="rId16"/>
        </w:object>
      </w:r>
    </w:p>
    <w:p w:rsidR="007F0B2E" w:rsidRPr="00007FC6" w:rsidRDefault="007F0B2E" w:rsidP="00FF307C">
      <w:pPr>
        <w:keepNext/>
        <w:keepLines/>
        <w:rPr>
          <w:lang w:val="en-US"/>
        </w:rPr>
      </w:pPr>
      <w:r w:rsidRPr="00007FC6">
        <w:rPr>
          <w:lang w:val="en-US"/>
        </w:rPr>
        <w:lastRenderedPageBreak/>
        <w:t>Depending on the number of radar sensors and their position it is possible to detect objects in sectors or even the complete surrounding of a car. The sensor signals are the basis not only for driver assistance systems like Adaptive Cruise Control but also for a broad variety of automotive applications of active and passive safety.</w:t>
      </w:r>
    </w:p>
    <w:p w:rsidR="007F0B2E" w:rsidRPr="00007FC6" w:rsidRDefault="007F0B2E" w:rsidP="007F0B2E">
      <w:pPr>
        <w:rPr>
          <w:lang w:val="en-US"/>
        </w:rPr>
      </w:pPr>
      <w:r w:rsidRPr="00007FC6">
        <w:rPr>
          <w:lang w:val="en-US"/>
        </w:rPr>
        <w:t xml:space="preserve">Systems for monitoring the proximity to vehicles will play an important role in ensuring driving safety. With its resistance to bad weather and dirt, automotive radar is suitable for vehicles driven in severe conditions. </w:t>
      </w:r>
    </w:p>
    <w:p w:rsidR="007F0B2E" w:rsidRPr="00007FC6" w:rsidRDefault="007F0B2E" w:rsidP="007F0B2E">
      <w:pPr>
        <w:rPr>
          <w:lang w:val="en-US"/>
        </w:rPr>
      </w:pPr>
      <w:r w:rsidRPr="00007FC6">
        <w:rPr>
          <w:lang w:val="en-US"/>
        </w:rPr>
        <w:t>Figure 2 shows the configuration of automotive radar.</w:t>
      </w:r>
    </w:p>
    <w:p w:rsidR="007F0B2E" w:rsidRPr="00E30337" w:rsidRDefault="007F0B2E" w:rsidP="007F0B2E">
      <w:pPr>
        <w:pStyle w:val="FigureNo"/>
      </w:pPr>
      <w:r w:rsidRPr="00E30337">
        <w:t>Figure 2</w:t>
      </w:r>
    </w:p>
    <w:p w:rsidR="007F0B2E" w:rsidRPr="00E30337" w:rsidRDefault="007F0B2E" w:rsidP="007F0B2E">
      <w:pPr>
        <w:pStyle w:val="Figuretitle"/>
      </w:pPr>
      <w:r w:rsidRPr="00E30337">
        <w:t>Configuration of automotive radar</w:t>
      </w:r>
    </w:p>
    <w:p w:rsidR="007F0B2E" w:rsidRPr="00A1548E" w:rsidRDefault="00031F40" w:rsidP="003C5714">
      <w:pPr>
        <w:pStyle w:val="Figure"/>
        <w:rPr>
          <w:lang w:val="en-GB"/>
        </w:rPr>
      </w:pPr>
      <w:r>
        <w:object w:dxaOrig="12373" w:dyaOrig="1861">
          <v:shape id="_x0000_i1026" type="#_x0000_t75" style="width:465.65pt;height:70.15pt" o:ole="">
            <v:imagedata r:id="rId17" o:title=""/>
          </v:shape>
          <o:OLEObject Type="Embed" ProgID="CorelDRAW.Graphic.14" ShapeID="_x0000_i1026" DrawAspect="Content" ObjectID="_1400310946" r:id="rId18"/>
        </w:object>
      </w:r>
    </w:p>
    <w:p w:rsidR="007F0B2E" w:rsidRPr="00007FC6" w:rsidRDefault="007F0B2E" w:rsidP="007F0B2E">
      <w:pPr>
        <w:rPr>
          <w:lang w:val="en-US"/>
        </w:rPr>
      </w:pPr>
      <w:r w:rsidRPr="00007FC6">
        <w:rPr>
          <w:lang w:val="en-US"/>
        </w:rPr>
        <w:t>Subsystems are as follows:</w:t>
      </w:r>
    </w:p>
    <w:p w:rsidR="007F0B2E" w:rsidRPr="00007FC6" w:rsidRDefault="007F0B2E" w:rsidP="007F0B2E">
      <w:pPr>
        <w:pStyle w:val="enumlev1"/>
        <w:rPr>
          <w:lang w:val="en-US"/>
        </w:rPr>
      </w:pPr>
      <w:r w:rsidRPr="00007FC6">
        <w:rPr>
          <w:lang w:val="en-US"/>
        </w:rPr>
        <w:t>–</w:t>
      </w:r>
      <w:r w:rsidRPr="00007FC6">
        <w:rPr>
          <w:lang w:val="en-US"/>
        </w:rPr>
        <w:tab/>
      </w:r>
      <w:r w:rsidRPr="00007FC6">
        <w:rPr>
          <w:i/>
          <w:iCs/>
          <w:lang w:val="en-US"/>
        </w:rPr>
        <w:t>Antenna/RF unit</w:t>
      </w:r>
    </w:p>
    <w:p w:rsidR="007F0B2E" w:rsidRPr="00007FC6" w:rsidRDefault="007F0B2E" w:rsidP="007F0B2E">
      <w:pPr>
        <w:pStyle w:val="enumlev1"/>
        <w:rPr>
          <w:lang w:val="en-US"/>
        </w:rPr>
      </w:pPr>
      <w:r w:rsidRPr="00007FC6">
        <w:rPr>
          <w:lang w:val="en-US"/>
        </w:rPr>
        <w:tab/>
        <w:t>This part consists of a transmitting antenna, a receiving antenna, receiving equipment and transmission equipment. Signal modulations, conversions to high frequencies, radio</w:t>
      </w:r>
      <w:r w:rsidRPr="00007FC6">
        <w:rPr>
          <w:lang w:val="en-US"/>
        </w:rPr>
        <w:noBreakHyphen/>
        <w:t>wave transmission, and radio</w:t>
      </w:r>
      <w:r w:rsidRPr="00007FC6">
        <w:rPr>
          <w:lang w:val="en-US"/>
        </w:rPr>
        <w:noBreakHyphen/>
        <w:t>wave reception are handled in this part. This part could be equipped with several antennas and could perform beam scanning.</w:t>
      </w:r>
    </w:p>
    <w:p w:rsidR="007F0B2E" w:rsidRPr="00007FC6" w:rsidRDefault="007F0B2E" w:rsidP="007F0B2E">
      <w:pPr>
        <w:pStyle w:val="enumlev1"/>
        <w:keepNext/>
        <w:keepLines/>
        <w:rPr>
          <w:i/>
          <w:iCs/>
          <w:lang w:val="en-US"/>
        </w:rPr>
      </w:pPr>
      <w:r w:rsidRPr="00007FC6">
        <w:rPr>
          <w:lang w:val="en-US"/>
        </w:rPr>
        <w:t>–</w:t>
      </w:r>
      <w:r w:rsidRPr="00007FC6">
        <w:rPr>
          <w:lang w:val="en-US"/>
        </w:rPr>
        <w:tab/>
      </w:r>
      <w:r w:rsidRPr="00007FC6">
        <w:rPr>
          <w:i/>
          <w:iCs/>
          <w:lang w:val="en-US"/>
        </w:rPr>
        <w:t>Signal processing unit</w:t>
      </w:r>
    </w:p>
    <w:p w:rsidR="007F0B2E" w:rsidRPr="00007FC6" w:rsidRDefault="007F0B2E" w:rsidP="007F0B2E">
      <w:pPr>
        <w:pStyle w:val="enumlev1"/>
        <w:keepNext/>
        <w:keepLines/>
        <w:rPr>
          <w:lang w:val="en-US"/>
        </w:rPr>
      </w:pPr>
      <w:r w:rsidRPr="00007FC6">
        <w:rPr>
          <w:lang w:val="en-US"/>
        </w:rPr>
        <w:tab/>
        <w:t>This unit renders distance and speed by calculating signals handed over from the RF unit. Rendering of average distance and speed, and mitigation of interference are sometimes handled here. When the antenna performs beam scanning, this unit calculates the direction of detected objects.</w:t>
      </w:r>
    </w:p>
    <w:p w:rsidR="007F0B2E" w:rsidRPr="00007FC6" w:rsidRDefault="007F0B2E" w:rsidP="007F0B2E">
      <w:pPr>
        <w:pStyle w:val="enumlev1"/>
        <w:rPr>
          <w:i/>
          <w:iCs/>
          <w:lang w:val="en-US"/>
        </w:rPr>
      </w:pPr>
      <w:r w:rsidRPr="00007FC6">
        <w:rPr>
          <w:lang w:val="en-US"/>
        </w:rPr>
        <w:t>–</w:t>
      </w:r>
      <w:r w:rsidRPr="00007FC6">
        <w:rPr>
          <w:lang w:val="en-US"/>
        </w:rPr>
        <w:tab/>
      </w:r>
      <w:r w:rsidRPr="00007FC6">
        <w:rPr>
          <w:i/>
          <w:iCs/>
          <w:lang w:val="en-US"/>
        </w:rPr>
        <w:t>Recognition unit</w:t>
      </w:r>
    </w:p>
    <w:p w:rsidR="007F0B2E" w:rsidRPr="00007FC6" w:rsidRDefault="007F0B2E" w:rsidP="007F0B2E">
      <w:pPr>
        <w:pStyle w:val="enumlev1"/>
        <w:rPr>
          <w:lang w:val="en-US"/>
        </w:rPr>
      </w:pPr>
      <w:r w:rsidRPr="00007FC6">
        <w:rPr>
          <w:lang w:val="en-US"/>
        </w:rPr>
        <w:tab/>
        <w:t>This unit can select and arrange the most wanted or necessary data depending on the needs of each system. For example, the unit will recognize the most relevant objects, and can judge whether the vehicle in front is in lane. The unit occasionally averages figures gathered, filters interference, and enhances measuring accuracy and reliability of data by tracking objects and by data fusion with data from other sensors.</w:t>
      </w:r>
    </w:p>
    <w:p w:rsidR="007F0B2E" w:rsidRPr="00007FC6" w:rsidRDefault="007F0B2E" w:rsidP="007F0B2E">
      <w:pPr>
        <w:pStyle w:val="Heading1"/>
        <w:rPr>
          <w:lang w:val="en-US"/>
        </w:rPr>
      </w:pPr>
      <w:r w:rsidRPr="00007FC6">
        <w:rPr>
          <w:lang w:val="en-US"/>
        </w:rPr>
        <w:t>2</w:t>
      </w:r>
      <w:r w:rsidRPr="00007FC6">
        <w:rPr>
          <w:lang w:val="en-US"/>
        </w:rPr>
        <w:tab/>
        <w:t>System requirements</w:t>
      </w:r>
    </w:p>
    <w:p w:rsidR="007F0B2E" w:rsidRPr="00007FC6" w:rsidRDefault="007F0B2E" w:rsidP="00FF307C">
      <w:pPr>
        <w:pStyle w:val="Heading2"/>
        <w:rPr>
          <w:lang w:val="en-US"/>
        </w:rPr>
      </w:pPr>
      <w:r w:rsidRPr="00007FC6">
        <w:rPr>
          <w:lang w:val="en-US"/>
        </w:rPr>
        <w:t>2.1</w:t>
      </w:r>
      <w:r w:rsidRPr="00007FC6">
        <w:rPr>
          <w:lang w:val="en-US"/>
        </w:rPr>
        <w:tab/>
        <w:t>Radar and modulation method</w:t>
      </w:r>
      <w:r>
        <w:rPr>
          <w:lang w:val="en-US"/>
        </w:rPr>
        <w:t>s</w:t>
      </w:r>
    </w:p>
    <w:p w:rsidR="007F0B2E" w:rsidRPr="00007FC6" w:rsidRDefault="007F0B2E" w:rsidP="007F0B2E">
      <w:pPr>
        <w:rPr>
          <w:lang w:val="en-US"/>
        </w:rPr>
      </w:pPr>
      <w:r w:rsidRPr="00007FC6">
        <w:rPr>
          <w:lang w:val="en-US"/>
        </w:rPr>
        <w:t>The following radar methods (with modulation methods) are recommended:</w:t>
      </w:r>
    </w:p>
    <w:p w:rsidR="007F0B2E" w:rsidRPr="00C531B3" w:rsidRDefault="007F0B2E" w:rsidP="007F0B2E">
      <w:pPr>
        <w:pStyle w:val="enumlev1"/>
        <w:rPr>
          <w:lang w:val="en-US"/>
        </w:rPr>
      </w:pPr>
      <w:r w:rsidRPr="008A4B9E">
        <w:rPr>
          <w:lang w:val="de-DE"/>
        </w:rPr>
        <w:t>–</w:t>
      </w:r>
      <w:r w:rsidRPr="008A4B9E">
        <w:rPr>
          <w:lang w:val="de-DE"/>
        </w:rPr>
        <w:tab/>
        <w:t>Chirp radar (fast FM-CW) method;</w:t>
      </w:r>
    </w:p>
    <w:p w:rsidR="007F0B2E" w:rsidRPr="00007FC6" w:rsidRDefault="007F0B2E" w:rsidP="007F0B2E">
      <w:pPr>
        <w:pStyle w:val="enumlev1"/>
        <w:rPr>
          <w:lang w:val="en-US"/>
        </w:rPr>
      </w:pPr>
      <w:r w:rsidRPr="00007FC6">
        <w:rPr>
          <w:lang w:val="en-US"/>
        </w:rPr>
        <w:t>–</w:t>
      </w:r>
      <w:r w:rsidRPr="00007FC6">
        <w:rPr>
          <w:lang w:val="en-US"/>
        </w:rPr>
        <w:tab/>
        <w:t>pulse method (pulse modulation);</w:t>
      </w:r>
    </w:p>
    <w:p w:rsidR="007F0B2E" w:rsidRDefault="00FF307C" w:rsidP="00594C22">
      <w:pPr>
        <w:pStyle w:val="enumlev1"/>
        <w:rPr>
          <w:lang w:val="en-US"/>
        </w:rPr>
      </w:pPr>
      <w:r>
        <w:rPr>
          <w:lang w:val="en-US"/>
        </w:rPr>
        <w:t>–</w:t>
      </w:r>
      <w:r>
        <w:rPr>
          <w:lang w:val="en-US"/>
        </w:rPr>
        <w:tab/>
        <w:t>pulsed frequency hopping</w:t>
      </w:r>
      <w:r w:rsidR="00594C22">
        <w:rPr>
          <w:lang w:val="en-US"/>
        </w:rPr>
        <w:t>;</w:t>
      </w:r>
    </w:p>
    <w:p w:rsidR="007F0B2E" w:rsidRPr="002C083D" w:rsidRDefault="007F0B2E" w:rsidP="007F0B2E">
      <w:pPr>
        <w:pStyle w:val="enumlev1"/>
        <w:rPr>
          <w:lang w:val="en-US"/>
        </w:rPr>
      </w:pPr>
      <w:r w:rsidRPr="002C083D">
        <w:rPr>
          <w:lang w:val="en-US"/>
        </w:rPr>
        <w:t>–</w:t>
      </w:r>
      <w:r w:rsidRPr="002C083D">
        <w:rPr>
          <w:lang w:val="en-US"/>
        </w:rPr>
        <w:tab/>
        <w:t>two frequency CW method (no modulation or frequency modulation);</w:t>
      </w:r>
    </w:p>
    <w:p w:rsidR="007F0B2E" w:rsidRPr="00007FC6" w:rsidRDefault="007F0B2E" w:rsidP="007F0B2E">
      <w:pPr>
        <w:pStyle w:val="enumlev1"/>
        <w:rPr>
          <w:lang w:val="en-US"/>
        </w:rPr>
      </w:pPr>
      <w:bookmarkStart w:id="5" w:name="dsgno"/>
      <w:bookmarkEnd w:id="5"/>
      <w:r w:rsidRPr="00007FC6">
        <w:rPr>
          <w:lang w:val="en-US"/>
        </w:rPr>
        <w:t>–</w:t>
      </w:r>
      <w:r w:rsidRPr="00007FC6">
        <w:rPr>
          <w:lang w:val="en-US"/>
        </w:rPr>
        <w:tab/>
        <w:t>spread spectrum method (direct sequence spread spectrum).</w:t>
      </w:r>
    </w:p>
    <w:p w:rsidR="007F0B2E" w:rsidRPr="006244DC" w:rsidRDefault="007F0B2E" w:rsidP="007F0B2E">
      <w:pPr>
        <w:pStyle w:val="Heading2"/>
        <w:rPr>
          <w:lang w:val="en-US"/>
        </w:rPr>
      </w:pPr>
      <w:r w:rsidRPr="006244DC">
        <w:rPr>
          <w:lang w:val="en-US"/>
        </w:rPr>
        <w:lastRenderedPageBreak/>
        <w:t>2.2</w:t>
      </w:r>
      <w:r w:rsidRPr="006244DC">
        <w:rPr>
          <w:lang w:val="en-US"/>
        </w:rPr>
        <w:tab/>
        <w:t xml:space="preserve">Operational and technical characteristics of 76-77 GHz automotive radar </w:t>
      </w:r>
    </w:p>
    <w:p w:rsidR="007F0B2E" w:rsidRPr="006244DC" w:rsidRDefault="007F0B2E" w:rsidP="00FF307C">
      <w:pPr>
        <w:rPr>
          <w:lang w:val="en-US"/>
        </w:rPr>
      </w:pPr>
      <w:r w:rsidRPr="006244DC">
        <w:rPr>
          <w:lang w:val="en-US"/>
        </w:rPr>
        <w:t>Characteristics of 76-77 GHz automotive radar are given in Table 1.</w:t>
      </w:r>
    </w:p>
    <w:p w:rsidR="007F0B2E" w:rsidRPr="006244DC" w:rsidRDefault="007F0B2E" w:rsidP="007F0B2E">
      <w:pPr>
        <w:pStyle w:val="TableNo"/>
        <w:rPr>
          <w:lang w:val="en-US"/>
        </w:rPr>
      </w:pPr>
      <w:r w:rsidRPr="006244DC">
        <w:rPr>
          <w:lang w:val="en-US"/>
        </w:rPr>
        <w:t>TABLE 1</w:t>
      </w:r>
    </w:p>
    <w:p w:rsidR="007F0B2E" w:rsidRPr="006244DC" w:rsidRDefault="007F0B2E" w:rsidP="007F0B2E">
      <w:pPr>
        <w:pStyle w:val="Tabletitle"/>
        <w:rPr>
          <w:lang w:val="en-US"/>
        </w:rPr>
      </w:pPr>
      <w:r w:rsidRPr="006244DC">
        <w:rPr>
          <w:lang w:val="en-US"/>
        </w:rPr>
        <w:t>Characteristics of 76-77 GHz automotive radar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97"/>
        <w:gridCol w:w="5242"/>
      </w:tblGrid>
      <w:tr w:rsidR="007F0B2E" w:rsidRPr="00E30337" w:rsidTr="00FF307C">
        <w:trPr>
          <w:trHeight w:val="20"/>
          <w:jc w:val="center"/>
        </w:trPr>
        <w:tc>
          <w:tcPr>
            <w:tcW w:w="2281" w:type="pct"/>
          </w:tcPr>
          <w:p w:rsidR="007F0B2E" w:rsidRPr="00E30337" w:rsidRDefault="007F0B2E" w:rsidP="003C5714">
            <w:pPr>
              <w:pStyle w:val="Tablehead"/>
            </w:pPr>
            <w:r w:rsidRPr="00E30337">
              <w:t>Characteristic (parameter)</w:t>
            </w:r>
          </w:p>
        </w:tc>
        <w:tc>
          <w:tcPr>
            <w:tcW w:w="2719" w:type="pct"/>
          </w:tcPr>
          <w:p w:rsidR="007F0B2E" w:rsidRPr="00E30337" w:rsidRDefault="007F0B2E" w:rsidP="003C5714">
            <w:pPr>
              <w:pStyle w:val="Tablehead"/>
            </w:pPr>
            <w:r w:rsidRPr="00E30337">
              <w:t>Value</w:t>
            </w:r>
          </w:p>
        </w:tc>
      </w:tr>
      <w:tr w:rsidR="007F0B2E" w:rsidRPr="00E30337" w:rsidTr="00FF307C">
        <w:trPr>
          <w:trHeight w:val="20"/>
          <w:jc w:val="center"/>
        </w:trPr>
        <w:tc>
          <w:tcPr>
            <w:tcW w:w="5000" w:type="pct"/>
            <w:gridSpan w:val="2"/>
          </w:tcPr>
          <w:p w:rsidR="007F0B2E" w:rsidRPr="00E30337" w:rsidRDefault="007F0B2E" w:rsidP="003C5714">
            <w:pPr>
              <w:pStyle w:val="Tabletext"/>
              <w:jc w:val="center"/>
            </w:pPr>
            <w:r w:rsidRPr="00E30337">
              <w:t>Operational characteristics</w:t>
            </w:r>
          </w:p>
        </w:tc>
      </w:tr>
      <w:tr w:rsidR="007F0B2E" w:rsidRPr="00E30337" w:rsidTr="00FF307C">
        <w:trPr>
          <w:trHeight w:val="20"/>
          <w:jc w:val="center"/>
        </w:trPr>
        <w:tc>
          <w:tcPr>
            <w:tcW w:w="2281" w:type="pct"/>
          </w:tcPr>
          <w:p w:rsidR="007F0B2E" w:rsidRPr="00E30337" w:rsidRDefault="007F0B2E" w:rsidP="003C5714">
            <w:pPr>
              <w:pStyle w:val="Tabletext"/>
            </w:pPr>
            <w:r w:rsidRPr="00E30337">
              <w:t>Application</w:t>
            </w:r>
          </w:p>
        </w:tc>
        <w:tc>
          <w:tcPr>
            <w:tcW w:w="2719" w:type="pct"/>
          </w:tcPr>
          <w:p w:rsidR="007F0B2E" w:rsidRPr="00E30337" w:rsidRDefault="007F0B2E" w:rsidP="003C5714">
            <w:pPr>
              <w:pStyle w:val="Tabletext"/>
              <w:jc w:val="center"/>
            </w:pPr>
            <w:r w:rsidRPr="00E30337">
              <w:t>Adaptive cruise control (ACC)</w:t>
            </w:r>
            <w:r w:rsidRPr="00E30337">
              <w:br/>
              <w:t xml:space="preserve">ACC stop &amp; go </w:t>
            </w:r>
            <w:r w:rsidRPr="00E30337">
              <w:br/>
              <w:t>Collision avoidance (CA)</w:t>
            </w:r>
          </w:p>
        </w:tc>
      </w:tr>
      <w:tr w:rsidR="007F0B2E" w:rsidRPr="002C083D" w:rsidTr="00FF307C">
        <w:trPr>
          <w:trHeight w:val="20"/>
          <w:jc w:val="center"/>
        </w:trPr>
        <w:tc>
          <w:tcPr>
            <w:tcW w:w="2281" w:type="pct"/>
          </w:tcPr>
          <w:p w:rsidR="007F0B2E" w:rsidRPr="00E30337" w:rsidRDefault="007F0B2E" w:rsidP="003C5714">
            <w:pPr>
              <w:pStyle w:val="Tabletext"/>
            </w:pPr>
            <w:r w:rsidRPr="00E30337">
              <w:t>Typical installation</w:t>
            </w:r>
          </w:p>
        </w:tc>
        <w:tc>
          <w:tcPr>
            <w:tcW w:w="2719" w:type="pct"/>
          </w:tcPr>
          <w:p w:rsidR="007F0B2E" w:rsidRPr="006244DC" w:rsidRDefault="007F0B2E" w:rsidP="003C5714">
            <w:pPr>
              <w:pStyle w:val="Tabletext"/>
              <w:jc w:val="center"/>
              <w:rPr>
                <w:lang w:val="en-US"/>
              </w:rPr>
            </w:pPr>
            <w:r w:rsidRPr="006244DC">
              <w:rPr>
                <w:lang w:val="en-US"/>
              </w:rPr>
              <w:t>One sensor (behind cooler grill)</w:t>
            </w:r>
          </w:p>
        </w:tc>
      </w:tr>
      <w:tr w:rsidR="007F0B2E" w:rsidRPr="00E30337" w:rsidTr="00FF307C">
        <w:trPr>
          <w:trHeight w:val="20"/>
          <w:jc w:val="center"/>
        </w:trPr>
        <w:tc>
          <w:tcPr>
            <w:tcW w:w="5000" w:type="pct"/>
            <w:gridSpan w:val="2"/>
          </w:tcPr>
          <w:p w:rsidR="007F0B2E" w:rsidRPr="00E30337" w:rsidRDefault="007F0B2E" w:rsidP="003C5714">
            <w:pPr>
              <w:pStyle w:val="Tabletext"/>
              <w:jc w:val="center"/>
            </w:pPr>
            <w:r w:rsidRPr="00E30337">
              <w:t>Technical characteristics</w:t>
            </w:r>
          </w:p>
        </w:tc>
      </w:tr>
      <w:tr w:rsidR="007F0B2E" w:rsidRPr="00E30337" w:rsidTr="00FF307C">
        <w:trPr>
          <w:trHeight w:val="20"/>
          <w:jc w:val="center"/>
        </w:trPr>
        <w:tc>
          <w:tcPr>
            <w:tcW w:w="2281" w:type="pct"/>
          </w:tcPr>
          <w:p w:rsidR="007F0B2E" w:rsidRPr="00E30337" w:rsidRDefault="007F0B2E" w:rsidP="003C5714">
            <w:pPr>
              <w:pStyle w:val="Tabletext"/>
            </w:pPr>
            <w:r w:rsidRPr="00E30337">
              <w:t>Typical range</w:t>
            </w:r>
          </w:p>
        </w:tc>
        <w:tc>
          <w:tcPr>
            <w:tcW w:w="2719" w:type="pct"/>
          </w:tcPr>
          <w:p w:rsidR="007F0B2E" w:rsidRPr="00E30337" w:rsidRDefault="007F0B2E" w:rsidP="003C5714">
            <w:pPr>
              <w:pStyle w:val="Tabletext"/>
              <w:jc w:val="center"/>
            </w:pPr>
            <w:r w:rsidRPr="00E30337">
              <w:t>0-300 m</w:t>
            </w:r>
          </w:p>
        </w:tc>
      </w:tr>
      <w:tr w:rsidR="007F0B2E" w:rsidRPr="00E30337" w:rsidTr="00FF307C">
        <w:trPr>
          <w:trHeight w:val="20"/>
          <w:jc w:val="center"/>
        </w:trPr>
        <w:tc>
          <w:tcPr>
            <w:tcW w:w="2281" w:type="pct"/>
          </w:tcPr>
          <w:p w:rsidR="007F0B2E" w:rsidRPr="00E30337" w:rsidRDefault="007F0B2E" w:rsidP="003C5714">
            <w:pPr>
              <w:pStyle w:val="Tabletext"/>
            </w:pPr>
            <w:r w:rsidRPr="00E30337">
              <w:t>Frequency range</w:t>
            </w:r>
          </w:p>
        </w:tc>
        <w:tc>
          <w:tcPr>
            <w:tcW w:w="2719" w:type="pct"/>
          </w:tcPr>
          <w:p w:rsidR="007F0B2E" w:rsidRPr="00E30337" w:rsidRDefault="007F0B2E" w:rsidP="003C5714">
            <w:pPr>
              <w:pStyle w:val="Tabletext"/>
              <w:jc w:val="center"/>
            </w:pPr>
            <w:r w:rsidRPr="00E30337">
              <w:t>76.00-77.00 GHz</w:t>
            </w:r>
          </w:p>
        </w:tc>
      </w:tr>
      <w:tr w:rsidR="007F0B2E" w:rsidRPr="00E30337" w:rsidTr="00FF307C">
        <w:trPr>
          <w:trHeight w:val="20"/>
          <w:jc w:val="center"/>
        </w:trPr>
        <w:tc>
          <w:tcPr>
            <w:tcW w:w="2281" w:type="pct"/>
          </w:tcPr>
          <w:p w:rsidR="007F0B2E" w:rsidRPr="00E30337" w:rsidRDefault="007F0B2E" w:rsidP="003C5714">
            <w:pPr>
              <w:pStyle w:val="Tabletext"/>
            </w:pPr>
            <w:r w:rsidRPr="00E30337">
              <w:t>Specified bandwidth</w:t>
            </w:r>
            <w:r w:rsidRPr="00E30337" w:rsidDel="00E97078">
              <w:t xml:space="preserve"> </w:t>
            </w:r>
            <w:r w:rsidRPr="00E30337">
              <w:t>(typical)</w:t>
            </w:r>
          </w:p>
        </w:tc>
        <w:tc>
          <w:tcPr>
            <w:tcW w:w="2719" w:type="pct"/>
          </w:tcPr>
          <w:p w:rsidR="007F0B2E" w:rsidRPr="00E30337" w:rsidRDefault="007F0B2E" w:rsidP="003C5714">
            <w:pPr>
              <w:pStyle w:val="Tabletext"/>
              <w:jc w:val="center"/>
            </w:pPr>
            <w:r w:rsidRPr="00E30337">
              <w:t>Up to 1 GHz</w:t>
            </w:r>
          </w:p>
        </w:tc>
      </w:tr>
      <w:tr w:rsidR="007F0B2E" w:rsidRPr="00E30337" w:rsidTr="00FF307C">
        <w:trPr>
          <w:trHeight w:val="20"/>
          <w:jc w:val="center"/>
        </w:trPr>
        <w:tc>
          <w:tcPr>
            <w:tcW w:w="2281" w:type="pct"/>
          </w:tcPr>
          <w:p w:rsidR="007F0B2E" w:rsidRPr="006244DC" w:rsidRDefault="007F0B2E" w:rsidP="003C5714">
            <w:pPr>
              <w:pStyle w:val="Tabletext"/>
              <w:rPr>
                <w:lang w:val="en-US"/>
              </w:rPr>
            </w:pPr>
            <w:r w:rsidRPr="006244DC">
              <w:rPr>
                <w:lang w:val="en-US"/>
              </w:rPr>
              <w:t>Peak power (e.i.r.p.)</w:t>
            </w:r>
          </w:p>
        </w:tc>
        <w:tc>
          <w:tcPr>
            <w:tcW w:w="2719" w:type="pct"/>
          </w:tcPr>
          <w:p w:rsidR="007F0B2E" w:rsidRPr="00E30337" w:rsidRDefault="007F0B2E" w:rsidP="003C5714">
            <w:pPr>
              <w:pStyle w:val="Tabletext"/>
              <w:jc w:val="center"/>
            </w:pPr>
            <w:r w:rsidRPr="00E30337">
              <w:t>Up to +55 dBm</w:t>
            </w:r>
          </w:p>
        </w:tc>
      </w:tr>
      <w:tr w:rsidR="007F0B2E" w:rsidRPr="00E30337" w:rsidTr="00FF307C">
        <w:trPr>
          <w:trHeight w:val="20"/>
          <w:jc w:val="center"/>
        </w:trPr>
        <w:tc>
          <w:tcPr>
            <w:tcW w:w="2281" w:type="pct"/>
          </w:tcPr>
          <w:p w:rsidR="007F0B2E" w:rsidRPr="006244DC" w:rsidRDefault="007F0B2E" w:rsidP="003C5714">
            <w:pPr>
              <w:pStyle w:val="Tabletext"/>
              <w:rPr>
                <w:lang w:val="en-US"/>
              </w:rPr>
            </w:pPr>
            <w:r w:rsidRPr="006244DC">
              <w:rPr>
                <w:lang w:val="en-US"/>
              </w:rPr>
              <w:t>Mean power (e.i.r.p.)</w:t>
            </w:r>
          </w:p>
        </w:tc>
        <w:tc>
          <w:tcPr>
            <w:tcW w:w="2719" w:type="pct"/>
          </w:tcPr>
          <w:p w:rsidR="007F0B2E" w:rsidRPr="00E30337" w:rsidRDefault="007F0B2E" w:rsidP="003C5714">
            <w:pPr>
              <w:pStyle w:val="Tabletext"/>
              <w:jc w:val="center"/>
            </w:pPr>
            <w:r w:rsidRPr="00E30337">
              <w:t>23.5 – 50 dBm</w:t>
            </w:r>
          </w:p>
        </w:tc>
      </w:tr>
    </w:tbl>
    <w:p w:rsidR="007F0B2E" w:rsidRPr="00E30337" w:rsidRDefault="007F0B2E" w:rsidP="007F0B2E"/>
    <w:p w:rsidR="007F0B2E" w:rsidRPr="00E30337" w:rsidRDefault="007F0B2E" w:rsidP="007F0B2E"/>
    <w:p w:rsidR="007F0B2E" w:rsidRPr="00594C22" w:rsidRDefault="007F0B2E" w:rsidP="00594C22">
      <w:pPr>
        <w:pStyle w:val="AnnexNoTitle"/>
        <w:rPr>
          <w:lang w:val="en-US"/>
        </w:rPr>
      </w:pPr>
      <w:r w:rsidRPr="00594C22">
        <w:rPr>
          <w:lang w:val="en-US"/>
        </w:rPr>
        <w:t>Annex 2</w:t>
      </w:r>
      <w:r w:rsidR="00594C22" w:rsidRPr="00594C22">
        <w:rPr>
          <w:lang w:val="en-US"/>
        </w:rPr>
        <w:br/>
      </w:r>
      <w:r w:rsidR="00594C22" w:rsidRPr="00594C22">
        <w:rPr>
          <w:lang w:val="en-US"/>
        </w:rPr>
        <w:br/>
      </w:r>
      <w:r w:rsidRPr="00594C22">
        <w:rPr>
          <w:lang w:val="en-US" w:eastAsia="ja-JP"/>
        </w:rPr>
        <w:t>Vehicular collision avoidance radar</w:t>
      </w:r>
      <w:r w:rsidRPr="00594C22">
        <w:rPr>
          <w:lang w:val="en-US"/>
        </w:rPr>
        <w:t xml:space="preserve"> </w:t>
      </w:r>
      <w:r w:rsidRPr="00594C22">
        <w:rPr>
          <w:lang w:val="en-US" w:eastAsia="ja-JP"/>
        </w:rPr>
        <w:t>in the band</w:t>
      </w:r>
      <w:r w:rsidRPr="00594C22">
        <w:rPr>
          <w:lang w:val="en-US"/>
        </w:rPr>
        <w:t xml:space="preserve"> 77-81 GH</w:t>
      </w:r>
      <w:r w:rsidR="00594C22">
        <w:rPr>
          <w:lang w:val="en-US"/>
        </w:rPr>
        <w:t>z</w:t>
      </w:r>
    </w:p>
    <w:p w:rsidR="007F0B2E" w:rsidRPr="006244DC" w:rsidRDefault="007F0B2E" w:rsidP="007F0B2E">
      <w:pPr>
        <w:pStyle w:val="Heading1"/>
        <w:rPr>
          <w:lang w:val="en-US"/>
        </w:rPr>
      </w:pPr>
      <w:r w:rsidRPr="006244DC">
        <w:rPr>
          <w:lang w:val="en-US"/>
        </w:rPr>
        <w:t>1</w:t>
      </w:r>
      <w:r w:rsidRPr="006244DC">
        <w:rPr>
          <w:lang w:val="en-US"/>
        </w:rPr>
        <w:tab/>
        <w:t>General</w:t>
      </w:r>
    </w:p>
    <w:p w:rsidR="007F0B2E" w:rsidRPr="006244DC" w:rsidRDefault="007F0B2E" w:rsidP="007F0B2E">
      <w:pPr>
        <w:pStyle w:val="Heading2"/>
        <w:rPr>
          <w:lang w:val="en-US"/>
        </w:rPr>
      </w:pPr>
      <w:r w:rsidRPr="006244DC">
        <w:rPr>
          <w:lang w:val="en-US"/>
        </w:rPr>
        <w:t>1.1</w:t>
      </w:r>
      <w:r w:rsidRPr="006244DC">
        <w:rPr>
          <w:lang w:val="en-US"/>
        </w:rPr>
        <w:tab/>
        <w:t>Introduction</w:t>
      </w:r>
    </w:p>
    <w:p w:rsidR="007F0B2E" w:rsidRPr="006244DC" w:rsidRDefault="007F0B2E" w:rsidP="007F0B2E">
      <w:pPr>
        <w:rPr>
          <w:lang w:val="en-US" w:eastAsia="ja-JP"/>
        </w:rPr>
      </w:pPr>
      <w:r w:rsidRPr="006244DC">
        <w:rPr>
          <w:lang w:val="en-US" w:eastAsia="ja-JP"/>
        </w:rPr>
        <w:t>Existing automotive radar technology operating below 30 GHz leads to either limited range (24 GHz UWB equipment) or limited resolution (24 GHz ISM radar). Therefore</w:t>
      </w:r>
      <w:r w:rsidR="00594C22">
        <w:rPr>
          <w:lang w:val="en-US" w:eastAsia="ja-JP"/>
        </w:rPr>
        <w:t>,</w:t>
      </w:r>
      <w:r w:rsidRPr="006244DC">
        <w:rPr>
          <w:lang w:val="en-US" w:eastAsia="ja-JP"/>
        </w:rPr>
        <w:t xml:space="preserve"> CEPT concluded that the band 77-81 GHz should be considered as the only globally harmonized frequency band for automotive radars. </w:t>
      </w:r>
      <w:r w:rsidRPr="006244DC">
        <w:rPr>
          <w:szCs w:val="24"/>
          <w:lang w:val="en-US" w:eastAsia="ja-JP"/>
        </w:rPr>
        <w:t xml:space="preserve">The 77-81 GHz band has been designated by the </w:t>
      </w:r>
      <w:r w:rsidRPr="006244DC">
        <w:rPr>
          <w:lang w:val="en-US"/>
        </w:rPr>
        <w:t>European Conference of Postal and Telecommunications Administrations</w:t>
      </w:r>
      <w:r w:rsidRPr="006244DC">
        <w:rPr>
          <w:lang w:val="en-US" w:eastAsia="ja-JP"/>
        </w:rPr>
        <w:t xml:space="preserve"> (CEPT) in July 2004 (ECC/DEC/(04)03) for automotive radar. The European Commission has adopted the decision 2004/545/EC on the harmonization of radio spectrum in the 79 GHz range for the use of automotive radar. The harmonized standard EN</w:t>
      </w:r>
      <w:r>
        <w:rPr>
          <w:lang w:val="en-US" w:eastAsia="ja-JP"/>
        </w:rPr>
        <w:t> </w:t>
      </w:r>
      <w:r w:rsidRPr="006244DC">
        <w:rPr>
          <w:lang w:val="en-US" w:eastAsia="ja-JP"/>
        </w:rPr>
        <w:t>302 264 has been adopted by ETSI for short-range radar (SRR) operating in the 77-81 GHz band.</w:t>
      </w:r>
    </w:p>
    <w:p w:rsidR="007F0B2E" w:rsidRPr="006244DC" w:rsidRDefault="007F0B2E" w:rsidP="00594C22">
      <w:pPr>
        <w:rPr>
          <w:szCs w:val="24"/>
          <w:lang w:val="en-US" w:eastAsia="ja-JP"/>
        </w:rPr>
      </w:pPr>
      <w:r w:rsidRPr="006244DC">
        <w:rPr>
          <w:szCs w:val="24"/>
          <w:lang w:val="en-US" w:eastAsia="ja-JP"/>
        </w:rPr>
        <w:t xml:space="preserve">In March 2010, </w:t>
      </w:r>
      <w:r w:rsidRPr="006244DC">
        <w:rPr>
          <w:lang w:val="en-US"/>
        </w:rPr>
        <w:t>the Ministry of Internal Affairs and Communications (MIC) in Japan</w:t>
      </w:r>
      <w:r w:rsidRPr="006244DC">
        <w:rPr>
          <w:szCs w:val="24"/>
          <w:lang w:val="en-US" w:eastAsia="ja-JP"/>
        </w:rPr>
        <w:t xml:space="preserve"> has started a study group in the Information and Communications Council for the introduction of high-resolution radar in the 77-81</w:t>
      </w:r>
      <w:r w:rsidRPr="006244DC">
        <w:rPr>
          <w:lang w:val="en-US" w:eastAsia="ja-JP"/>
        </w:rPr>
        <w:t> </w:t>
      </w:r>
      <w:r w:rsidRPr="006244DC">
        <w:rPr>
          <w:szCs w:val="24"/>
          <w:lang w:val="en-US" w:eastAsia="ja-JP"/>
        </w:rPr>
        <w:t>GHz frequency band for national use.</w:t>
      </w:r>
    </w:p>
    <w:p w:rsidR="007F0B2E" w:rsidRPr="006244DC" w:rsidRDefault="007F0B2E" w:rsidP="007F0B2E">
      <w:pPr>
        <w:rPr>
          <w:lang w:val="en-US" w:eastAsia="ja-JP"/>
        </w:rPr>
      </w:pPr>
      <w:r w:rsidRPr="006244DC">
        <w:rPr>
          <w:lang w:val="en-US" w:eastAsia="ja-JP"/>
        </w:rPr>
        <w:t>In October 2010, the Russian Federation identified the 77-81 GHz band for automotive radar.</w:t>
      </w:r>
    </w:p>
    <w:p w:rsidR="007F0B2E" w:rsidRPr="006244DC" w:rsidRDefault="007F0B2E" w:rsidP="002C083D">
      <w:pPr>
        <w:keepNext/>
        <w:keepLines/>
        <w:rPr>
          <w:lang w:val="en-US" w:eastAsia="ja-JP"/>
        </w:rPr>
      </w:pPr>
      <w:r w:rsidRPr="006244DC">
        <w:rPr>
          <w:lang w:val="en-US" w:eastAsia="ja-JP"/>
        </w:rPr>
        <w:lastRenderedPageBreak/>
        <w:t xml:space="preserve">To enable future automotive radar applications for observing objects in the vicinity of a car, such as pedestrians and bicycles, extended range and high resolution are required simultaneously. As a consequence, vehicle applications will be improved for predictive safety functions. For this purpose, the 77-81 GHz frequency range is envisaged and already allocated in Europe. </w:t>
      </w:r>
    </w:p>
    <w:p w:rsidR="007F0B2E" w:rsidRPr="006244DC" w:rsidRDefault="007F0B2E" w:rsidP="007F0B2E">
      <w:pPr>
        <w:pStyle w:val="Heading1"/>
        <w:rPr>
          <w:lang w:val="en-US"/>
        </w:rPr>
      </w:pPr>
      <w:r w:rsidRPr="006244DC">
        <w:rPr>
          <w:lang w:val="en-US"/>
        </w:rPr>
        <w:t>2</w:t>
      </w:r>
      <w:r w:rsidRPr="006244DC">
        <w:rPr>
          <w:lang w:val="en-US"/>
        </w:rPr>
        <w:tab/>
        <w:t>System requirements</w:t>
      </w:r>
    </w:p>
    <w:p w:rsidR="007F0B2E" w:rsidRPr="006244DC" w:rsidRDefault="007F0B2E" w:rsidP="007F0B2E">
      <w:pPr>
        <w:pStyle w:val="Heading2"/>
        <w:rPr>
          <w:lang w:val="en-US"/>
        </w:rPr>
      </w:pPr>
      <w:r w:rsidRPr="006244DC">
        <w:rPr>
          <w:lang w:val="en-US"/>
        </w:rPr>
        <w:t>2.1</w:t>
      </w:r>
      <w:r w:rsidRPr="006244DC">
        <w:rPr>
          <w:lang w:val="en-US"/>
        </w:rPr>
        <w:tab/>
        <w:t>Radar and modulation methods</w:t>
      </w:r>
    </w:p>
    <w:p w:rsidR="007F0B2E" w:rsidRPr="006244DC" w:rsidRDefault="007F0B2E" w:rsidP="007F0B2E">
      <w:pPr>
        <w:rPr>
          <w:lang w:val="en-US"/>
        </w:rPr>
      </w:pPr>
      <w:r w:rsidRPr="006244DC">
        <w:rPr>
          <w:lang w:val="en-US"/>
        </w:rPr>
        <w:t>The following radar methods (with modulation methods) are recommended:</w:t>
      </w:r>
    </w:p>
    <w:p w:rsidR="007F0B2E" w:rsidRPr="000A0768" w:rsidRDefault="007F0B2E" w:rsidP="007F0B2E">
      <w:pPr>
        <w:pStyle w:val="enumlev1"/>
        <w:rPr>
          <w:lang w:val="en-GB"/>
        </w:rPr>
      </w:pPr>
      <w:r w:rsidRPr="000A0768">
        <w:rPr>
          <w:lang w:val="en-GB"/>
        </w:rPr>
        <w:t>–</w:t>
      </w:r>
      <w:r w:rsidRPr="000A0768">
        <w:rPr>
          <w:lang w:val="en-GB"/>
        </w:rPr>
        <w:tab/>
        <w:t>FM-CW method (frequency modulation);</w:t>
      </w:r>
    </w:p>
    <w:p w:rsidR="007F0B2E" w:rsidRPr="008A4B9E" w:rsidRDefault="007F0B2E" w:rsidP="007F0B2E">
      <w:pPr>
        <w:pStyle w:val="enumlev1"/>
        <w:rPr>
          <w:lang w:val="de-DE"/>
        </w:rPr>
      </w:pPr>
      <w:r w:rsidRPr="008A4B9E">
        <w:rPr>
          <w:lang w:val="de-DE"/>
        </w:rPr>
        <w:t>–</w:t>
      </w:r>
      <w:r w:rsidRPr="008A4B9E">
        <w:rPr>
          <w:lang w:val="de-DE"/>
        </w:rPr>
        <w:tab/>
        <w:t>Chirp radar (fast FM-CW) method;</w:t>
      </w:r>
    </w:p>
    <w:p w:rsidR="007F0B2E" w:rsidRPr="006244DC" w:rsidRDefault="007F0B2E" w:rsidP="007F0B2E">
      <w:pPr>
        <w:pStyle w:val="enumlev1"/>
        <w:rPr>
          <w:lang w:val="en-US"/>
        </w:rPr>
      </w:pPr>
      <w:r w:rsidRPr="006244DC">
        <w:rPr>
          <w:lang w:val="en-US"/>
        </w:rPr>
        <w:t>–</w:t>
      </w:r>
      <w:r w:rsidRPr="006244DC">
        <w:rPr>
          <w:lang w:val="en-US"/>
        </w:rPr>
        <w:tab/>
        <w:t>spread spectrum method (direct sequence spread spectrum)</w:t>
      </w:r>
      <w:r w:rsidRPr="000A0768">
        <w:rPr>
          <w:lang w:val="en-GB"/>
        </w:rPr>
        <w:t>;</w:t>
      </w:r>
    </w:p>
    <w:p w:rsidR="007F0B2E" w:rsidRPr="006244DC" w:rsidRDefault="007F0B2E" w:rsidP="007F0B2E">
      <w:pPr>
        <w:pStyle w:val="enumlev1"/>
        <w:rPr>
          <w:lang w:val="en-US"/>
        </w:rPr>
      </w:pPr>
      <w:r w:rsidRPr="006244DC">
        <w:rPr>
          <w:lang w:val="en-US"/>
        </w:rPr>
        <w:t>–</w:t>
      </w:r>
      <w:r w:rsidRPr="006244DC">
        <w:rPr>
          <w:lang w:val="en-US"/>
        </w:rPr>
        <w:tab/>
        <w:t>pulse method (pulse modulation);</w:t>
      </w:r>
    </w:p>
    <w:p w:rsidR="007F0B2E" w:rsidRPr="006244DC" w:rsidRDefault="007F0B2E" w:rsidP="007F0B2E">
      <w:pPr>
        <w:pStyle w:val="enumlev1"/>
        <w:rPr>
          <w:lang w:val="en-US"/>
        </w:rPr>
      </w:pPr>
      <w:r w:rsidRPr="006244DC">
        <w:rPr>
          <w:lang w:val="en-US"/>
        </w:rPr>
        <w:t>–</w:t>
      </w:r>
      <w:r w:rsidRPr="006244DC">
        <w:rPr>
          <w:lang w:val="en-US"/>
        </w:rPr>
        <w:tab/>
        <w:t>two frequency CW method (no modulation or frequency modulation);</w:t>
      </w:r>
    </w:p>
    <w:p w:rsidR="007F0B2E" w:rsidRPr="006244DC" w:rsidRDefault="007F0B2E" w:rsidP="007F0B2E">
      <w:pPr>
        <w:pStyle w:val="enumlev1"/>
        <w:rPr>
          <w:lang w:val="en-US"/>
        </w:rPr>
      </w:pPr>
      <w:r w:rsidRPr="006244DC">
        <w:rPr>
          <w:lang w:val="en-US"/>
        </w:rPr>
        <w:t>–</w:t>
      </w:r>
      <w:r w:rsidRPr="006244DC">
        <w:rPr>
          <w:lang w:val="en-US"/>
        </w:rPr>
        <w:tab/>
      </w:r>
      <w:r w:rsidRPr="006244DC">
        <w:rPr>
          <w:lang w:val="en-US" w:eastAsia="ja-JP"/>
        </w:rPr>
        <w:t>frequency code method</w:t>
      </w:r>
      <w:r w:rsidRPr="006244DC">
        <w:rPr>
          <w:lang w:val="en-US"/>
        </w:rPr>
        <w:t>.</w:t>
      </w:r>
    </w:p>
    <w:p w:rsidR="007F0B2E" w:rsidRPr="006244DC" w:rsidRDefault="007F0B2E" w:rsidP="007F0B2E">
      <w:pPr>
        <w:pStyle w:val="Heading2"/>
        <w:rPr>
          <w:lang w:val="en-US"/>
        </w:rPr>
      </w:pPr>
      <w:r w:rsidRPr="006244DC">
        <w:rPr>
          <w:lang w:val="en-US"/>
        </w:rPr>
        <w:t>2.2</w:t>
      </w:r>
      <w:r w:rsidRPr="006244DC">
        <w:rPr>
          <w:lang w:val="en-US"/>
        </w:rPr>
        <w:tab/>
        <w:t xml:space="preserve">Operational and technical characteristics of 77-81 GHz automotive radar </w:t>
      </w:r>
    </w:p>
    <w:p w:rsidR="007F0B2E" w:rsidRPr="006244DC" w:rsidRDefault="007F0B2E" w:rsidP="00594C22">
      <w:pPr>
        <w:rPr>
          <w:lang w:val="en-US"/>
        </w:rPr>
      </w:pPr>
      <w:r w:rsidRPr="006244DC">
        <w:rPr>
          <w:lang w:val="en-US"/>
        </w:rPr>
        <w:t>The typical automotive radar characteristics are given in Table 2.</w:t>
      </w:r>
    </w:p>
    <w:p w:rsidR="007F0B2E" w:rsidRPr="006244DC" w:rsidRDefault="00594C22" w:rsidP="007F0B2E">
      <w:pPr>
        <w:pStyle w:val="TableNo"/>
        <w:rPr>
          <w:lang w:val="en-US"/>
        </w:rPr>
      </w:pPr>
      <w:r w:rsidRPr="006244DC">
        <w:rPr>
          <w:lang w:val="en-US"/>
        </w:rPr>
        <w:t>TABLE</w:t>
      </w:r>
      <w:r w:rsidR="007F0B2E" w:rsidRPr="006244DC">
        <w:rPr>
          <w:lang w:val="en-US"/>
        </w:rPr>
        <w:t xml:space="preserve"> 2</w:t>
      </w:r>
    </w:p>
    <w:p w:rsidR="007F0B2E" w:rsidRPr="006244DC" w:rsidRDefault="007F0B2E" w:rsidP="007F0B2E">
      <w:pPr>
        <w:pStyle w:val="Tabletitle"/>
        <w:rPr>
          <w:lang w:val="en-US"/>
        </w:rPr>
      </w:pPr>
      <w:r w:rsidRPr="006244DC">
        <w:rPr>
          <w:lang w:val="en-US"/>
        </w:rPr>
        <w:t>Characteristics of 77-81 GHz automotive radar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2537"/>
        <w:gridCol w:w="4442"/>
      </w:tblGrid>
      <w:tr w:rsidR="007F0B2E" w:rsidRPr="00E30337" w:rsidTr="00594C22">
        <w:trPr>
          <w:jc w:val="center"/>
        </w:trPr>
        <w:tc>
          <w:tcPr>
            <w:tcW w:w="1380" w:type="pct"/>
            <w:shd w:val="clear" w:color="auto" w:fill="auto"/>
          </w:tcPr>
          <w:p w:rsidR="007F0B2E" w:rsidRPr="00E30337" w:rsidRDefault="007F0B2E" w:rsidP="003C5714">
            <w:pPr>
              <w:pStyle w:val="Tablehead"/>
            </w:pPr>
            <w:r w:rsidRPr="00E30337">
              <w:t>Parameter</w:t>
            </w:r>
          </w:p>
        </w:tc>
        <w:tc>
          <w:tcPr>
            <w:tcW w:w="3620" w:type="pct"/>
            <w:gridSpan w:val="2"/>
            <w:shd w:val="clear" w:color="auto" w:fill="auto"/>
          </w:tcPr>
          <w:p w:rsidR="007F0B2E" w:rsidRPr="00E30337" w:rsidRDefault="007F0B2E" w:rsidP="003C5714">
            <w:pPr>
              <w:pStyle w:val="Tablehead"/>
            </w:pPr>
            <w:r w:rsidRPr="00E30337">
              <w:t>Value</w:t>
            </w:r>
          </w:p>
        </w:tc>
      </w:tr>
      <w:tr w:rsidR="007F0B2E" w:rsidRPr="00E30337" w:rsidTr="00594C22">
        <w:trPr>
          <w:jc w:val="center"/>
        </w:trPr>
        <w:tc>
          <w:tcPr>
            <w:tcW w:w="1380" w:type="pct"/>
            <w:shd w:val="clear" w:color="auto" w:fill="auto"/>
          </w:tcPr>
          <w:p w:rsidR="007F0B2E" w:rsidRPr="00E30337" w:rsidRDefault="007F0B2E" w:rsidP="003C5714">
            <w:pPr>
              <w:pStyle w:val="Tablehead"/>
            </w:pPr>
            <w:r w:rsidRPr="00E30337">
              <w:br w:type="page"/>
            </w:r>
          </w:p>
        </w:tc>
        <w:tc>
          <w:tcPr>
            <w:tcW w:w="1316" w:type="pct"/>
            <w:shd w:val="clear" w:color="auto" w:fill="auto"/>
          </w:tcPr>
          <w:p w:rsidR="007F0B2E" w:rsidRPr="00E30337" w:rsidRDefault="007F0B2E" w:rsidP="003C5714">
            <w:pPr>
              <w:pStyle w:val="Tablehead"/>
              <w:keepLines/>
              <w:tabs>
                <w:tab w:val="left" w:leader="dot" w:pos="7938"/>
                <w:tab w:val="center" w:pos="9526"/>
              </w:tabs>
              <w:ind w:left="567" w:hanging="567"/>
            </w:pPr>
            <w:r w:rsidRPr="00E30337">
              <w:t>System A</w:t>
            </w:r>
          </w:p>
        </w:tc>
        <w:tc>
          <w:tcPr>
            <w:tcW w:w="2304" w:type="pct"/>
            <w:shd w:val="clear" w:color="auto" w:fill="auto"/>
          </w:tcPr>
          <w:p w:rsidR="007F0B2E" w:rsidRPr="00E30337" w:rsidRDefault="007F0B2E" w:rsidP="003C5714">
            <w:pPr>
              <w:pStyle w:val="Tablehead"/>
              <w:keepLines/>
              <w:tabs>
                <w:tab w:val="left" w:leader="dot" w:pos="7938"/>
                <w:tab w:val="center" w:pos="9526"/>
              </w:tabs>
              <w:ind w:left="567" w:hanging="567"/>
            </w:pPr>
            <w:r w:rsidRPr="00E30337">
              <w:t>System B</w:t>
            </w:r>
            <w:r w:rsidRPr="00E30337">
              <w:rPr>
                <w:rStyle w:val="FootnoteReference"/>
              </w:rPr>
              <w:footnoteReference w:id="1"/>
            </w:r>
          </w:p>
        </w:tc>
      </w:tr>
      <w:tr w:rsidR="007F0B2E" w:rsidRPr="00E30337" w:rsidTr="00594C22">
        <w:trPr>
          <w:jc w:val="center"/>
        </w:trPr>
        <w:tc>
          <w:tcPr>
            <w:tcW w:w="1380" w:type="pct"/>
            <w:shd w:val="clear" w:color="auto" w:fill="auto"/>
          </w:tcPr>
          <w:p w:rsidR="007F0B2E" w:rsidRPr="006244DC" w:rsidRDefault="007F0B2E" w:rsidP="00594C22">
            <w:pPr>
              <w:pStyle w:val="Tabletext"/>
              <w:jc w:val="left"/>
              <w:rPr>
                <w:lang w:val="en-US"/>
              </w:rPr>
            </w:pPr>
            <w:r w:rsidRPr="006244DC">
              <w:rPr>
                <w:lang w:val="en-US"/>
              </w:rPr>
              <w:t>Mean power spectral density (e.i.r.p.)</w:t>
            </w:r>
          </w:p>
        </w:tc>
        <w:tc>
          <w:tcPr>
            <w:tcW w:w="1316" w:type="pct"/>
            <w:shd w:val="clear" w:color="auto" w:fill="auto"/>
          </w:tcPr>
          <w:p w:rsidR="007F0B2E" w:rsidRPr="00E30337" w:rsidRDefault="007F0B2E" w:rsidP="003C5714">
            <w:pPr>
              <w:pStyle w:val="Tabletext"/>
              <w:keepNext/>
              <w:keepLines/>
              <w:tabs>
                <w:tab w:val="left" w:leader="dot" w:pos="7938"/>
                <w:tab w:val="center" w:pos="9526"/>
              </w:tabs>
              <w:ind w:left="567" w:hanging="567"/>
              <w:jc w:val="center"/>
            </w:pPr>
            <w:r w:rsidRPr="00E30337">
              <w:t>9 dBm/MHz</w:t>
            </w:r>
          </w:p>
        </w:tc>
        <w:tc>
          <w:tcPr>
            <w:tcW w:w="2304" w:type="pct"/>
            <w:shd w:val="clear" w:color="auto" w:fill="auto"/>
          </w:tcPr>
          <w:p w:rsidR="007F0B2E" w:rsidRPr="00E30337" w:rsidRDefault="007F0B2E" w:rsidP="003C5714">
            <w:pPr>
              <w:pStyle w:val="Tabletext"/>
              <w:keepLines/>
              <w:tabs>
                <w:tab w:val="left" w:leader="dot" w:pos="7938"/>
                <w:tab w:val="center" w:pos="9526"/>
              </w:tabs>
              <w:ind w:left="567" w:hanging="567"/>
              <w:jc w:val="center"/>
            </w:pPr>
            <w:r w:rsidRPr="00E30337">
              <w:t>–3 dBm/MHz (NOTE</w:t>
            </w:r>
            <w:r>
              <w:t xml:space="preserve"> </w:t>
            </w:r>
            <w:r w:rsidRPr="00E30337">
              <w:t>1)</w:t>
            </w:r>
          </w:p>
          <w:p w:rsidR="007F0B2E" w:rsidRPr="00E30337" w:rsidRDefault="007F0B2E" w:rsidP="003C5714">
            <w:pPr>
              <w:pStyle w:val="Tabletext"/>
              <w:jc w:val="center"/>
            </w:pPr>
          </w:p>
        </w:tc>
      </w:tr>
      <w:tr w:rsidR="007F0B2E" w:rsidRPr="00CD29D0" w:rsidTr="00594C22">
        <w:trPr>
          <w:jc w:val="center"/>
        </w:trPr>
        <w:tc>
          <w:tcPr>
            <w:tcW w:w="1380" w:type="pct"/>
            <w:shd w:val="clear" w:color="auto" w:fill="auto"/>
          </w:tcPr>
          <w:p w:rsidR="007F0B2E" w:rsidRPr="006244DC" w:rsidRDefault="007F0B2E" w:rsidP="00594C22">
            <w:pPr>
              <w:pStyle w:val="Tabletext"/>
              <w:jc w:val="left"/>
              <w:rPr>
                <w:lang w:val="en-US"/>
              </w:rPr>
            </w:pPr>
            <w:r w:rsidRPr="006244DC">
              <w:rPr>
                <w:lang w:val="en-US"/>
              </w:rPr>
              <w:t xml:space="preserve">Peak power (e.i.r.p.) </w:t>
            </w:r>
          </w:p>
        </w:tc>
        <w:tc>
          <w:tcPr>
            <w:tcW w:w="1316" w:type="pct"/>
            <w:shd w:val="clear" w:color="auto" w:fill="auto"/>
          </w:tcPr>
          <w:p w:rsidR="007F0B2E" w:rsidRPr="00CD29D0" w:rsidRDefault="007F0B2E" w:rsidP="003C5714">
            <w:pPr>
              <w:pStyle w:val="Tabletext"/>
              <w:jc w:val="center"/>
            </w:pPr>
            <w:r w:rsidRPr="00CD29D0">
              <w:t>+45 dBm</w:t>
            </w:r>
          </w:p>
        </w:tc>
        <w:tc>
          <w:tcPr>
            <w:tcW w:w="2304" w:type="pct"/>
            <w:shd w:val="clear" w:color="auto" w:fill="auto"/>
          </w:tcPr>
          <w:p w:rsidR="007F0B2E" w:rsidRPr="00CD29D0" w:rsidRDefault="007F0B2E" w:rsidP="003C5714">
            <w:pPr>
              <w:pStyle w:val="Tabletext"/>
              <w:jc w:val="center"/>
            </w:pPr>
            <w:r w:rsidRPr="00CD29D0">
              <w:t>+55 dBm (NOTE 2)</w:t>
            </w:r>
          </w:p>
          <w:p w:rsidR="007F0B2E" w:rsidRPr="00CD29D0" w:rsidRDefault="007F0B2E" w:rsidP="003C5714">
            <w:pPr>
              <w:pStyle w:val="Tabletext"/>
              <w:jc w:val="center"/>
            </w:pPr>
          </w:p>
        </w:tc>
      </w:tr>
      <w:tr w:rsidR="007F0B2E" w:rsidRPr="00CD29D0" w:rsidTr="00594C22">
        <w:trPr>
          <w:jc w:val="center"/>
        </w:trPr>
        <w:tc>
          <w:tcPr>
            <w:tcW w:w="1380" w:type="pct"/>
            <w:shd w:val="clear" w:color="auto" w:fill="auto"/>
          </w:tcPr>
          <w:p w:rsidR="007F0B2E" w:rsidRPr="00CD29D0" w:rsidRDefault="007F0B2E" w:rsidP="00594C22">
            <w:pPr>
              <w:pStyle w:val="Tabletext"/>
              <w:jc w:val="left"/>
            </w:pPr>
            <w:r w:rsidRPr="00CD29D0">
              <w:t>Transmit power</w:t>
            </w:r>
          </w:p>
        </w:tc>
        <w:tc>
          <w:tcPr>
            <w:tcW w:w="1316" w:type="pct"/>
            <w:shd w:val="clear" w:color="auto" w:fill="auto"/>
          </w:tcPr>
          <w:p w:rsidR="007F0B2E" w:rsidRPr="00CD29D0" w:rsidRDefault="007F0B2E" w:rsidP="003C5714">
            <w:pPr>
              <w:pStyle w:val="Tabletext"/>
              <w:jc w:val="center"/>
            </w:pPr>
            <w:r w:rsidRPr="00CD29D0">
              <w:t>10 dBm</w:t>
            </w:r>
          </w:p>
        </w:tc>
        <w:tc>
          <w:tcPr>
            <w:tcW w:w="2304" w:type="pct"/>
            <w:shd w:val="clear" w:color="auto" w:fill="auto"/>
          </w:tcPr>
          <w:p w:rsidR="007F0B2E" w:rsidRPr="00CD29D0" w:rsidRDefault="007F0B2E" w:rsidP="003C5714">
            <w:pPr>
              <w:pStyle w:val="Tabletext"/>
              <w:jc w:val="center"/>
            </w:pPr>
          </w:p>
        </w:tc>
      </w:tr>
      <w:tr w:rsidR="007F0B2E" w:rsidRPr="00CD29D0" w:rsidTr="00594C22">
        <w:trPr>
          <w:jc w:val="center"/>
        </w:trPr>
        <w:tc>
          <w:tcPr>
            <w:tcW w:w="1380" w:type="pct"/>
            <w:shd w:val="clear" w:color="auto" w:fill="auto"/>
          </w:tcPr>
          <w:p w:rsidR="007F0B2E" w:rsidRPr="00CD29D0" w:rsidRDefault="007F0B2E" w:rsidP="00594C22">
            <w:pPr>
              <w:pStyle w:val="Tabletext"/>
              <w:jc w:val="left"/>
            </w:pPr>
            <w:r w:rsidRPr="00CD29D0">
              <w:t>Antenna gain</w:t>
            </w:r>
          </w:p>
        </w:tc>
        <w:tc>
          <w:tcPr>
            <w:tcW w:w="1316" w:type="pct"/>
            <w:shd w:val="clear" w:color="auto" w:fill="auto"/>
          </w:tcPr>
          <w:p w:rsidR="007F0B2E" w:rsidRPr="00CD29D0" w:rsidRDefault="007F0B2E" w:rsidP="003C5714">
            <w:pPr>
              <w:pStyle w:val="Tabletext"/>
              <w:jc w:val="center"/>
            </w:pPr>
            <w:r w:rsidRPr="00CD29D0">
              <w:t>35 dBi</w:t>
            </w:r>
          </w:p>
        </w:tc>
        <w:tc>
          <w:tcPr>
            <w:tcW w:w="2304" w:type="pct"/>
            <w:shd w:val="clear" w:color="auto" w:fill="auto"/>
          </w:tcPr>
          <w:p w:rsidR="007F0B2E" w:rsidRPr="00CD29D0" w:rsidRDefault="007F0B2E" w:rsidP="003C5714">
            <w:pPr>
              <w:pStyle w:val="Tabletext"/>
              <w:jc w:val="center"/>
            </w:pPr>
          </w:p>
        </w:tc>
      </w:tr>
      <w:tr w:rsidR="007F0B2E" w:rsidRPr="00CD29D0" w:rsidTr="00594C22">
        <w:trPr>
          <w:jc w:val="center"/>
        </w:trPr>
        <w:tc>
          <w:tcPr>
            <w:tcW w:w="1380" w:type="pct"/>
            <w:tcBorders>
              <w:bottom w:val="single" w:sz="4" w:space="0" w:color="auto"/>
            </w:tcBorders>
            <w:shd w:val="clear" w:color="auto" w:fill="auto"/>
          </w:tcPr>
          <w:p w:rsidR="007F0B2E" w:rsidRPr="00CD29D0" w:rsidRDefault="007F0B2E" w:rsidP="00594C22">
            <w:pPr>
              <w:pStyle w:val="Tabletext"/>
              <w:jc w:val="left"/>
            </w:pPr>
            <w:r w:rsidRPr="00CD29D0">
              <w:t>Specified bandwidth</w:t>
            </w:r>
          </w:p>
        </w:tc>
        <w:tc>
          <w:tcPr>
            <w:tcW w:w="3620" w:type="pct"/>
            <w:gridSpan w:val="2"/>
            <w:tcBorders>
              <w:bottom w:val="single" w:sz="4" w:space="0" w:color="auto"/>
            </w:tcBorders>
            <w:shd w:val="clear" w:color="auto" w:fill="auto"/>
          </w:tcPr>
          <w:p w:rsidR="007F0B2E" w:rsidRPr="00CD29D0" w:rsidRDefault="007F0B2E" w:rsidP="003C5714">
            <w:pPr>
              <w:pStyle w:val="Tabletext"/>
              <w:jc w:val="center"/>
            </w:pPr>
            <w:r w:rsidRPr="00CD29D0">
              <w:t>Up to 4 GHz</w:t>
            </w:r>
          </w:p>
        </w:tc>
      </w:tr>
      <w:tr w:rsidR="007F0B2E" w:rsidRPr="002C083D" w:rsidTr="00594C22">
        <w:trPr>
          <w:jc w:val="center"/>
        </w:trPr>
        <w:tc>
          <w:tcPr>
            <w:tcW w:w="5000" w:type="pct"/>
            <w:gridSpan w:val="3"/>
            <w:tcBorders>
              <w:top w:val="single" w:sz="4" w:space="0" w:color="auto"/>
              <w:left w:val="nil"/>
              <w:bottom w:val="nil"/>
              <w:right w:val="nil"/>
            </w:tcBorders>
            <w:shd w:val="clear" w:color="auto" w:fill="auto"/>
          </w:tcPr>
          <w:p w:rsidR="007F0B2E" w:rsidRPr="006244DC" w:rsidRDefault="007F0B2E" w:rsidP="00594C22">
            <w:pPr>
              <w:pStyle w:val="Tablelegend"/>
              <w:ind w:left="0" w:firstLine="0"/>
              <w:rPr>
                <w:lang w:val="en-US"/>
              </w:rPr>
            </w:pPr>
            <w:r w:rsidRPr="006244DC">
              <w:rPr>
                <w:lang w:val="en-US"/>
              </w:rPr>
              <w:t>NOTE 1 – The maximum mean power spectral density outside a vehicle resulting from the operation of one short-range radar shall not exceed −9 dBm/MHz e.i.r.p.</w:t>
            </w:r>
          </w:p>
          <w:p w:rsidR="007F0B2E" w:rsidRPr="006244DC" w:rsidRDefault="007F0B2E" w:rsidP="00594C22">
            <w:pPr>
              <w:pStyle w:val="Tablelegend"/>
              <w:ind w:left="0" w:firstLine="0"/>
              <w:rPr>
                <w:lang w:val="en-US"/>
              </w:rPr>
            </w:pPr>
            <w:r w:rsidRPr="006244DC">
              <w:rPr>
                <w:lang w:val="en-US"/>
              </w:rPr>
              <w:t>NOTE 2 – Peak power is defined in 50 MHz bandwidth.</w:t>
            </w:r>
          </w:p>
        </w:tc>
      </w:tr>
    </w:tbl>
    <w:p w:rsidR="007F0B2E" w:rsidRPr="006244DC" w:rsidRDefault="007F0B2E" w:rsidP="007F0B2E">
      <w:pPr>
        <w:rPr>
          <w:lang w:val="en-US"/>
        </w:rPr>
      </w:pPr>
    </w:p>
    <w:p w:rsidR="007F0B2E" w:rsidRPr="002C083D" w:rsidRDefault="007F0B2E" w:rsidP="003C5714">
      <w:pPr>
        <w:pStyle w:val="AnnexNoTitle"/>
        <w:rPr>
          <w:lang w:val="en-US"/>
        </w:rPr>
      </w:pPr>
      <w:bookmarkStart w:id="6" w:name="_GoBack"/>
      <w:bookmarkEnd w:id="6"/>
      <w:r w:rsidRPr="002C083D">
        <w:rPr>
          <w:lang w:val="en-US"/>
        </w:rPr>
        <w:lastRenderedPageBreak/>
        <w:t xml:space="preserve">Annex </w:t>
      </w:r>
      <w:r w:rsidRPr="002C083D">
        <w:rPr>
          <w:lang w:val="en-US" w:eastAsia="ja-JP"/>
        </w:rPr>
        <w:t>3</w:t>
      </w:r>
      <w:r w:rsidRPr="002C083D">
        <w:rPr>
          <w:lang w:val="en-US" w:eastAsia="ja-JP"/>
        </w:rPr>
        <w:br/>
      </w:r>
      <w:r w:rsidRPr="002C083D">
        <w:rPr>
          <w:lang w:val="en-US" w:eastAsia="ja-JP"/>
        </w:rPr>
        <w:br/>
      </w:r>
      <w:r w:rsidRPr="002C083D">
        <w:rPr>
          <w:lang w:val="en-US"/>
        </w:rPr>
        <w:t xml:space="preserve">Technical characteristics of millimetre wave radiocommunication </w:t>
      </w:r>
      <w:r w:rsidRPr="002C083D">
        <w:rPr>
          <w:lang w:val="en-US"/>
        </w:rPr>
        <w:br/>
        <w:t>systems for data communications between vehicle</w:t>
      </w:r>
      <w:r w:rsidRPr="002C083D">
        <w:rPr>
          <w:lang w:val="en-US" w:eastAsia="ja-JP"/>
        </w:rPr>
        <w:t>s</w:t>
      </w:r>
      <w:r w:rsidRPr="002C083D">
        <w:rPr>
          <w:lang w:val="en-US"/>
        </w:rPr>
        <w:t xml:space="preserve"> and</w:t>
      </w:r>
      <w:r w:rsidRPr="002C083D">
        <w:rPr>
          <w:lang w:val="en-US"/>
        </w:rPr>
        <w:br/>
      </w:r>
      <w:r w:rsidRPr="002C083D">
        <w:rPr>
          <w:lang w:val="en-US" w:eastAsia="ja-JP"/>
        </w:rPr>
        <w:t>between</w:t>
      </w:r>
      <w:r w:rsidRPr="002C083D">
        <w:rPr>
          <w:lang w:val="en-US"/>
        </w:rPr>
        <w:t xml:space="preserve"> vehicles</w:t>
      </w:r>
      <w:r w:rsidRPr="002C083D">
        <w:rPr>
          <w:lang w:val="en-US" w:eastAsia="ja-JP"/>
        </w:rPr>
        <w:t xml:space="preserve"> and </w:t>
      </w:r>
      <w:r w:rsidRPr="002C083D">
        <w:rPr>
          <w:lang w:val="en-US"/>
        </w:rPr>
        <w:t>roadside infrastructure</w:t>
      </w:r>
    </w:p>
    <w:p w:rsidR="007F0B2E" w:rsidRPr="005D73A2" w:rsidRDefault="007F0B2E" w:rsidP="007F0B2E">
      <w:pPr>
        <w:pStyle w:val="Heading1"/>
        <w:rPr>
          <w:lang w:val="en-US"/>
        </w:rPr>
      </w:pPr>
      <w:r w:rsidRPr="005D73A2">
        <w:rPr>
          <w:lang w:val="en-US" w:eastAsia="ja-JP"/>
        </w:rPr>
        <w:t>1</w:t>
      </w:r>
      <w:r w:rsidRPr="005D73A2">
        <w:rPr>
          <w:lang w:val="en-US" w:eastAsia="ja-JP"/>
        </w:rPr>
        <w:tab/>
        <w:t xml:space="preserve">General </w:t>
      </w:r>
      <w:r w:rsidRPr="005D73A2">
        <w:rPr>
          <w:lang w:val="en-US"/>
        </w:rPr>
        <w:t>technical characteristics</w:t>
      </w:r>
    </w:p>
    <w:p w:rsidR="007F0B2E" w:rsidRPr="00007FC6" w:rsidRDefault="007F0B2E" w:rsidP="00791E5A">
      <w:pPr>
        <w:pStyle w:val="enumlev1"/>
        <w:rPr>
          <w:lang w:val="en-US"/>
        </w:rPr>
      </w:pPr>
      <w:r w:rsidRPr="000A0768">
        <w:rPr>
          <w:lang w:val="en-GB"/>
        </w:rPr>
        <w:t>–</w:t>
      </w:r>
      <w:r w:rsidRPr="00007FC6">
        <w:rPr>
          <w:lang w:val="en-US"/>
        </w:rPr>
        <w:tab/>
        <w:t>Communications method: one-way, simplex, half duplex, full duplex, multicast</w:t>
      </w:r>
      <w:r w:rsidR="00791E5A">
        <w:rPr>
          <w:lang w:val="en-US"/>
        </w:rPr>
        <w:t>;</w:t>
      </w:r>
    </w:p>
    <w:p w:rsidR="007F0B2E" w:rsidRPr="00007FC6" w:rsidRDefault="007F0B2E" w:rsidP="00791E5A">
      <w:pPr>
        <w:pStyle w:val="enumlev1"/>
        <w:rPr>
          <w:lang w:val="en-US" w:eastAsia="ja-JP"/>
        </w:rPr>
      </w:pPr>
      <w:r w:rsidRPr="000A0768">
        <w:rPr>
          <w:lang w:val="en-GB"/>
        </w:rPr>
        <w:t>–</w:t>
      </w:r>
      <w:r w:rsidRPr="00007FC6">
        <w:rPr>
          <w:lang w:val="en-US"/>
        </w:rPr>
        <w:tab/>
        <w:t xml:space="preserve">Modulation method: </w:t>
      </w:r>
      <w:r w:rsidRPr="00007FC6">
        <w:rPr>
          <w:lang w:val="en-US" w:eastAsia="ja-JP"/>
        </w:rPr>
        <w:t>as required by application</w:t>
      </w:r>
      <w:r w:rsidR="00791E5A">
        <w:rPr>
          <w:lang w:val="en-US" w:eastAsia="ja-JP"/>
        </w:rPr>
        <w:t>;</w:t>
      </w:r>
    </w:p>
    <w:p w:rsidR="007F0B2E" w:rsidRPr="00007FC6" w:rsidRDefault="007F0B2E" w:rsidP="00791E5A">
      <w:pPr>
        <w:pStyle w:val="enumlev1"/>
        <w:rPr>
          <w:lang w:val="en-US" w:eastAsia="ja-JP"/>
        </w:rPr>
      </w:pPr>
      <w:r w:rsidRPr="000A0768">
        <w:rPr>
          <w:lang w:val="en-GB"/>
        </w:rPr>
        <w:t>–</w:t>
      </w:r>
      <w:r w:rsidRPr="00007FC6">
        <w:rPr>
          <w:lang w:val="en-US"/>
        </w:rPr>
        <w:tab/>
        <w:t>Frequency band: 57.0-66.0 GHz (channel arrangements to be used for ITS applications will be specified by regions or countries separately)</w:t>
      </w:r>
      <w:r w:rsidR="00791E5A">
        <w:rPr>
          <w:lang w:val="en-US"/>
        </w:rPr>
        <w:t>;</w:t>
      </w:r>
    </w:p>
    <w:p w:rsidR="007F0B2E" w:rsidRPr="00007FC6" w:rsidRDefault="007F0B2E" w:rsidP="00791E5A">
      <w:pPr>
        <w:pStyle w:val="enumlev1"/>
        <w:rPr>
          <w:lang w:val="en-US"/>
        </w:rPr>
      </w:pPr>
      <w:r w:rsidRPr="000A0768">
        <w:rPr>
          <w:lang w:val="en-GB"/>
        </w:rPr>
        <w:t>–</w:t>
      </w:r>
      <w:r w:rsidRPr="00007FC6">
        <w:rPr>
          <w:lang w:val="en-US"/>
        </w:rPr>
        <w:tab/>
      </w:r>
      <w:r w:rsidRPr="00007FC6">
        <w:rPr>
          <w:szCs w:val="22"/>
          <w:lang w:val="en-US"/>
        </w:rPr>
        <w:t>Transmitter power</w:t>
      </w:r>
      <w:r w:rsidRPr="00007FC6">
        <w:rPr>
          <w:lang w:val="en-US"/>
        </w:rPr>
        <w:t xml:space="preserve"> (power transferred to antenna): 10 mW or less/</w:t>
      </w:r>
      <w:r w:rsidRPr="00C531B3">
        <w:rPr>
          <w:lang w:val="en-US"/>
        </w:rPr>
        <w:t xml:space="preserve"> </w:t>
      </w:r>
      <w:r w:rsidRPr="00007FC6">
        <w:rPr>
          <w:lang w:val="en-US"/>
        </w:rPr>
        <w:t>e.i.r.p</w:t>
      </w:r>
      <w:r>
        <w:rPr>
          <w:lang w:val="en-US"/>
        </w:rPr>
        <w:t>:</w:t>
      </w:r>
      <w:r w:rsidRPr="00007FC6">
        <w:rPr>
          <w:lang w:val="en-US"/>
        </w:rPr>
        <w:t xml:space="preserve"> 40 dBm or less</w:t>
      </w:r>
      <w:r w:rsidR="00791E5A">
        <w:rPr>
          <w:lang w:val="en-US"/>
        </w:rPr>
        <w:t>;</w:t>
      </w:r>
    </w:p>
    <w:p w:rsidR="007F0B2E" w:rsidRPr="00007FC6" w:rsidRDefault="007F0B2E" w:rsidP="007F0B2E">
      <w:pPr>
        <w:pStyle w:val="enumlev1"/>
        <w:rPr>
          <w:lang w:val="en-US"/>
        </w:rPr>
      </w:pPr>
      <w:r w:rsidRPr="000A0768">
        <w:rPr>
          <w:lang w:val="en-GB"/>
        </w:rPr>
        <w:t>–</w:t>
      </w:r>
      <w:r w:rsidRPr="00007FC6">
        <w:rPr>
          <w:lang w:val="en-US"/>
        </w:rPr>
        <w:tab/>
        <w:t>Permissible occupied bandwidth: 2.5 GHz or less.</w:t>
      </w:r>
    </w:p>
    <w:p w:rsidR="007F0B2E" w:rsidRPr="00007FC6" w:rsidRDefault="007F0B2E" w:rsidP="007F0B2E">
      <w:pPr>
        <w:pStyle w:val="Heading1"/>
        <w:rPr>
          <w:lang w:val="en-US"/>
        </w:rPr>
      </w:pPr>
      <w:r w:rsidRPr="00007FC6">
        <w:rPr>
          <w:lang w:val="en-US" w:eastAsia="ja-JP"/>
        </w:rPr>
        <w:t>2</w:t>
      </w:r>
      <w:r w:rsidRPr="00007FC6">
        <w:rPr>
          <w:lang w:val="en-US" w:eastAsia="ja-JP"/>
        </w:rPr>
        <w:tab/>
        <w:t>Examples of t</w:t>
      </w:r>
      <w:r w:rsidRPr="00007FC6">
        <w:rPr>
          <w:lang w:val="en-US"/>
        </w:rPr>
        <w:t xml:space="preserve">echnical characteristics of millimetre wave radiocommunication systems for ITS applications </w:t>
      </w:r>
    </w:p>
    <w:p w:rsidR="007F0B2E" w:rsidRDefault="007F0B2E" w:rsidP="007F0B2E">
      <w:pPr>
        <w:rPr>
          <w:lang w:val="en-US" w:eastAsia="ja-JP"/>
        </w:rPr>
      </w:pPr>
      <w:r w:rsidRPr="00007FC6">
        <w:rPr>
          <w:lang w:val="en-US" w:eastAsia="ja-JP"/>
        </w:rPr>
        <w:t xml:space="preserve">The characteristics specified for millimetre wave radiocommunication systems for ITS are shown in Table </w:t>
      </w:r>
      <w:r>
        <w:rPr>
          <w:lang w:val="en-US" w:eastAsia="ja-JP"/>
        </w:rPr>
        <w:t>3</w:t>
      </w:r>
      <w:r w:rsidRPr="00007FC6">
        <w:rPr>
          <w:lang w:val="en-US" w:eastAsia="ja-JP"/>
        </w:rPr>
        <w:t>.</w:t>
      </w:r>
    </w:p>
    <w:p w:rsidR="007F0B2E" w:rsidRPr="00007FC6" w:rsidRDefault="007F0B2E" w:rsidP="007F0B2E">
      <w:pPr>
        <w:pStyle w:val="TableNo"/>
        <w:rPr>
          <w:lang w:val="en-US"/>
        </w:rPr>
      </w:pPr>
      <w:r w:rsidRPr="00007FC6">
        <w:rPr>
          <w:lang w:val="en-US"/>
        </w:rPr>
        <w:t>TABLE</w:t>
      </w:r>
      <w:r>
        <w:rPr>
          <w:lang w:val="en-US"/>
        </w:rPr>
        <w:t xml:space="preserve"> 3</w:t>
      </w:r>
    </w:p>
    <w:p w:rsidR="007F0B2E" w:rsidRDefault="007F0B2E" w:rsidP="007F0B2E">
      <w:pPr>
        <w:pStyle w:val="Tabletitle"/>
        <w:rPr>
          <w:lang w:val="en-US"/>
        </w:rPr>
      </w:pPr>
      <w:r w:rsidRPr="00007FC6">
        <w:rPr>
          <w:lang w:val="en-US"/>
        </w:rPr>
        <w:t>Technical characteristics of mil</w:t>
      </w:r>
      <w:r>
        <w:rPr>
          <w:lang w:val="en-US"/>
        </w:rPr>
        <w:t>limetre wave radiocommunication</w:t>
      </w:r>
      <w:r>
        <w:rPr>
          <w:lang w:val="en-US"/>
        </w:rPr>
        <w:br/>
        <w:t>systems for ITS applications</w:t>
      </w:r>
    </w:p>
    <w:p w:rsidR="007F0B2E" w:rsidRPr="00775E5A" w:rsidRDefault="007F0B2E" w:rsidP="007F0B2E">
      <w:pPr>
        <w:pStyle w:val="Blanc"/>
      </w:pPr>
    </w:p>
    <w:tbl>
      <w:tblPr>
        <w:tblW w:w="0" w:type="auto"/>
        <w:jc w:val="center"/>
        <w:tblLayout w:type="fixed"/>
        <w:tblCellMar>
          <w:left w:w="107" w:type="dxa"/>
          <w:right w:w="107" w:type="dxa"/>
        </w:tblCellMar>
        <w:tblLook w:val="0000" w:firstRow="0" w:lastRow="0" w:firstColumn="0" w:lastColumn="0" w:noHBand="0" w:noVBand="0"/>
      </w:tblPr>
      <w:tblGrid>
        <w:gridCol w:w="3232"/>
        <w:gridCol w:w="2268"/>
        <w:gridCol w:w="1984"/>
        <w:gridCol w:w="2076"/>
      </w:tblGrid>
      <w:tr w:rsidR="007F0B2E" w:rsidRPr="00A1548E" w:rsidTr="003C5714">
        <w:trPr>
          <w:cantSplit/>
          <w:jc w:val="center"/>
        </w:trPr>
        <w:tc>
          <w:tcPr>
            <w:tcW w:w="3232" w:type="dxa"/>
            <w:tcBorders>
              <w:top w:val="single" w:sz="6" w:space="0" w:color="auto"/>
              <w:left w:val="single" w:sz="6" w:space="0" w:color="auto"/>
              <w:right w:val="single" w:sz="6" w:space="0" w:color="auto"/>
            </w:tcBorders>
            <w:vAlign w:val="center"/>
          </w:tcPr>
          <w:p w:rsidR="007F0B2E" w:rsidRPr="00A1548E" w:rsidRDefault="007F0B2E" w:rsidP="003C5714">
            <w:pPr>
              <w:pStyle w:val="Tablehead"/>
            </w:pPr>
            <w:r w:rsidRPr="00A1548E">
              <w:t>Item</w:t>
            </w:r>
          </w:p>
        </w:tc>
        <w:tc>
          <w:tcPr>
            <w:tcW w:w="6328" w:type="dxa"/>
            <w:gridSpan w:val="3"/>
            <w:tcBorders>
              <w:top w:val="single" w:sz="6" w:space="0" w:color="auto"/>
              <w:bottom w:val="single" w:sz="6" w:space="0" w:color="auto"/>
              <w:right w:val="single" w:sz="6" w:space="0" w:color="auto"/>
            </w:tcBorders>
          </w:tcPr>
          <w:p w:rsidR="007F0B2E" w:rsidRPr="00A1548E" w:rsidRDefault="007F0B2E" w:rsidP="003C5714">
            <w:pPr>
              <w:pStyle w:val="Tablehead"/>
            </w:pPr>
            <w:r w:rsidRPr="00A1548E">
              <w:t>Technical characteristic</w:t>
            </w:r>
          </w:p>
        </w:tc>
      </w:tr>
      <w:tr w:rsidR="007F0B2E" w:rsidRPr="00A1548E" w:rsidTr="003C5714">
        <w:trPr>
          <w:cantSplit/>
          <w:jc w:val="center"/>
        </w:trPr>
        <w:tc>
          <w:tcPr>
            <w:tcW w:w="3232" w:type="dxa"/>
            <w:tcBorders>
              <w:left w:val="single" w:sz="6" w:space="0" w:color="auto"/>
              <w:bottom w:val="single" w:sz="4" w:space="0" w:color="auto"/>
              <w:right w:val="single" w:sz="6" w:space="0" w:color="auto"/>
            </w:tcBorders>
          </w:tcPr>
          <w:p w:rsidR="007F0B2E" w:rsidRPr="00A1548E" w:rsidRDefault="007F0B2E" w:rsidP="003C5714">
            <w:pPr>
              <w:pStyle w:val="Tabletext"/>
            </w:pPr>
          </w:p>
        </w:tc>
        <w:tc>
          <w:tcPr>
            <w:tcW w:w="2268" w:type="dxa"/>
            <w:tcBorders>
              <w:top w:val="single" w:sz="6" w:space="0" w:color="auto"/>
              <w:bottom w:val="single" w:sz="4" w:space="0" w:color="auto"/>
              <w:right w:val="single" w:sz="6" w:space="0" w:color="auto"/>
            </w:tcBorders>
          </w:tcPr>
          <w:p w:rsidR="007F0B2E" w:rsidRPr="00A1548E" w:rsidRDefault="007F0B2E" w:rsidP="003C5714">
            <w:pPr>
              <w:pStyle w:val="Tablehead"/>
              <w:rPr>
                <w:lang w:eastAsia="ja-JP"/>
              </w:rPr>
            </w:pPr>
            <w:r w:rsidRPr="00A1548E">
              <w:rPr>
                <w:lang w:eastAsia="ja-JP"/>
              </w:rPr>
              <w:t>System A</w:t>
            </w:r>
          </w:p>
        </w:tc>
        <w:tc>
          <w:tcPr>
            <w:tcW w:w="1984" w:type="dxa"/>
            <w:tcBorders>
              <w:top w:val="single" w:sz="6" w:space="0" w:color="auto"/>
              <w:bottom w:val="single" w:sz="4" w:space="0" w:color="auto"/>
              <w:right w:val="single" w:sz="6" w:space="0" w:color="auto"/>
            </w:tcBorders>
          </w:tcPr>
          <w:p w:rsidR="007F0B2E" w:rsidRPr="00A1548E" w:rsidRDefault="007F0B2E" w:rsidP="003C5714">
            <w:pPr>
              <w:pStyle w:val="Tablehead"/>
              <w:rPr>
                <w:lang w:eastAsia="ja-JP"/>
              </w:rPr>
            </w:pPr>
            <w:r w:rsidRPr="00A1548E">
              <w:rPr>
                <w:lang w:eastAsia="ja-JP"/>
              </w:rPr>
              <w:t>System B</w:t>
            </w:r>
          </w:p>
        </w:tc>
        <w:tc>
          <w:tcPr>
            <w:tcW w:w="2076" w:type="dxa"/>
            <w:tcBorders>
              <w:top w:val="single" w:sz="6" w:space="0" w:color="auto"/>
              <w:bottom w:val="single" w:sz="4" w:space="0" w:color="auto"/>
              <w:right w:val="single" w:sz="6" w:space="0" w:color="auto"/>
            </w:tcBorders>
          </w:tcPr>
          <w:p w:rsidR="007F0B2E" w:rsidRPr="00A1548E" w:rsidRDefault="007F0B2E" w:rsidP="003C5714">
            <w:pPr>
              <w:pStyle w:val="Tablehead"/>
              <w:rPr>
                <w:lang w:eastAsia="ja-JP"/>
              </w:rPr>
            </w:pPr>
            <w:r w:rsidRPr="00A1548E">
              <w:rPr>
                <w:lang w:eastAsia="ja-JP"/>
              </w:rPr>
              <w:t>System C</w:t>
            </w:r>
          </w:p>
        </w:tc>
      </w:tr>
      <w:tr w:rsidR="007F0B2E" w:rsidRPr="002C083D" w:rsidTr="003C5714">
        <w:trPr>
          <w:cantSplit/>
          <w:jc w:val="center"/>
        </w:trPr>
        <w:tc>
          <w:tcPr>
            <w:tcW w:w="3232" w:type="dxa"/>
            <w:tcBorders>
              <w:top w:val="single" w:sz="6" w:space="0" w:color="auto"/>
              <w:left w:val="single" w:sz="6" w:space="0" w:color="auto"/>
              <w:bottom w:val="single" w:sz="4" w:space="0" w:color="auto"/>
              <w:right w:val="single" w:sz="6" w:space="0" w:color="auto"/>
            </w:tcBorders>
          </w:tcPr>
          <w:p w:rsidR="007F0B2E" w:rsidRPr="00FF46A1" w:rsidRDefault="007F0B2E" w:rsidP="003C5714">
            <w:pPr>
              <w:pStyle w:val="Tabletext"/>
            </w:pPr>
            <w:r w:rsidRPr="00FF46A1">
              <w:t>Communication method</w:t>
            </w:r>
          </w:p>
        </w:tc>
        <w:tc>
          <w:tcPr>
            <w:tcW w:w="6328" w:type="dxa"/>
            <w:gridSpan w:val="3"/>
            <w:tcBorders>
              <w:top w:val="single" w:sz="6" w:space="0" w:color="auto"/>
              <w:bottom w:val="single" w:sz="4" w:space="0" w:color="auto"/>
              <w:right w:val="single" w:sz="6" w:space="0" w:color="auto"/>
            </w:tcBorders>
          </w:tcPr>
          <w:p w:rsidR="007F0B2E" w:rsidRPr="00743350" w:rsidRDefault="007F0B2E" w:rsidP="003C5714">
            <w:pPr>
              <w:pStyle w:val="Tabletext"/>
              <w:rPr>
                <w:lang w:val="en-US"/>
              </w:rPr>
            </w:pPr>
            <w:r w:rsidRPr="00743350">
              <w:rPr>
                <w:lang w:val="en-US"/>
              </w:rPr>
              <w:t>One way, simplex, half duplex, full duplex, multicast</w:t>
            </w:r>
          </w:p>
        </w:tc>
      </w:tr>
      <w:tr w:rsidR="007F0B2E" w:rsidRPr="002C083D" w:rsidTr="003C5714">
        <w:trPr>
          <w:cantSplit/>
          <w:jc w:val="center"/>
        </w:trPr>
        <w:tc>
          <w:tcPr>
            <w:tcW w:w="3232" w:type="dxa"/>
            <w:tcBorders>
              <w:top w:val="single" w:sz="4" w:space="0" w:color="auto"/>
              <w:left w:val="single" w:sz="6" w:space="0" w:color="auto"/>
              <w:bottom w:val="single" w:sz="4" w:space="0" w:color="auto"/>
              <w:right w:val="single" w:sz="6" w:space="0" w:color="auto"/>
            </w:tcBorders>
          </w:tcPr>
          <w:p w:rsidR="007F0B2E" w:rsidRPr="00FF46A1" w:rsidRDefault="007F0B2E" w:rsidP="003C5714">
            <w:pPr>
              <w:pStyle w:val="Tabletext"/>
            </w:pPr>
            <w:r w:rsidRPr="00FF46A1">
              <w:t>Modulation method</w:t>
            </w:r>
          </w:p>
        </w:tc>
        <w:tc>
          <w:tcPr>
            <w:tcW w:w="6328" w:type="dxa"/>
            <w:gridSpan w:val="3"/>
            <w:tcBorders>
              <w:top w:val="single" w:sz="4" w:space="0" w:color="auto"/>
              <w:bottom w:val="single" w:sz="4" w:space="0" w:color="auto"/>
              <w:right w:val="single" w:sz="6" w:space="0" w:color="auto"/>
            </w:tcBorders>
          </w:tcPr>
          <w:p w:rsidR="007F0B2E" w:rsidRPr="00743350" w:rsidRDefault="007F0B2E" w:rsidP="003C5714">
            <w:pPr>
              <w:pStyle w:val="Tabletext"/>
              <w:jc w:val="left"/>
              <w:rPr>
                <w:lang w:val="en-US"/>
              </w:rPr>
            </w:pPr>
            <w:r w:rsidRPr="00743350">
              <w:rPr>
                <w:lang w:val="en-US"/>
              </w:rPr>
              <w:t>The modulation method is not provided for to correspond to the upgrade of the future use</w:t>
            </w:r>
          </w:p>
        </w:tc>
      </w:tr>
      <w:tr w:rsidR="007F0B2E" w:rsidRPr="00FF46A1" w:rsidTr="003C5714">
        <w:trPr>
          <w:cantSplit/>
          <w:jc w:val="center"/>
        </w:trPr>
        <w:tc>
          <w:tcPr>
            <w:tcW w:w="3232" w:type="dxa"/>
            <w:tcBorders>
              <w:top w:val="single" w:sz="4" w:space="0" w:color="auto"/>
              <w:left w:val="single" w:sz="6" w:space="0" w:color="auto"/>
              <w:bottom w:val="single" w:sz="4" w:space="0" w:color="auto"/>
              <w:right w:val="single" w:sz="6" w:space="0" w:color="auto"/>
            </w:tcBorders>
          </w:tcPr>
          <w:p w:rsidR="007F0B2E" w:rsidRPr="00FF46A1" w:rsidRDefault="007F0B2E" w:rsidP="003C5714">
            <w:pPr>
              <w:pStyle w:val="Tabletext"/>
            </w:pPr>
            <w:r w:rsidRPr="00FF46A1">
              <w:t xml:space="preserve">Frequency band </w:t>
            </w:r>
          </w:p>
        </w:tc>
        <w:tc>
          <w:tcPr>
            <w:tcW w:w="2268" w:type="dxa"/>
            <w:tcBorders>
              <w:top w:val="single" w:sz="4" w:space="0" w:color="auto"/>
              <w:bottom w:val="single" w:sz="4" w:space="0" w:color="auto"/>
              <w:right w:val="single" w:sz="6" w:space="0" w:color="auto"/>
            </w:tcBorders>
          </w:tcPr>
          <w:p w:rsidR="007F0B2E" w:rsidRPr="00FF46A1" w:rsidRDefault="007F0B2E" w:rsidP="003C5714">
            <w:pPr>
              <w:pStyle w:val="Tabletext"/>
              <w:jc w:val="center"/>
            </w:pPr>
            <w:r w:rsidRPr="00FF46A1">
              <w:t>63.0-64.0 GHz</w:t>
            </w:r>
          </w:p>
        </w:tc>
        <w:tc>
          <w:tcPr>
            <w:tcW w:w="1984" w:type="dxa"/>
            <w:tcBorders>
              <w:top w:val="single" w:sz="4" w:space="0" w:color="auto"/>
              <w:bottom w:val="single" w:sz="4" w:space="0" w:color="auto"/>
              <w:right w:val="single" w:sz="6" w:space="0" w:color="auto"/>
            </w:tcBorders>
          </w:tcPr>
          <w:p w:rsidR="007F0B2E" w:rsidRPr="00FF46A1" w:rsidRDefault="007F0B2E" w:rsidP="003C5714">
            <w:pPr>
              <w:pStyle w:val="Tabletext"/>
              <w:jc w:val="center"/>
            </w:pPr>
            <w:r w:rsidRPr="00FF46A1">
              <w:t>59.0-66.0 GHz</w:t>
            </w:r>
          </w:p>
        </w:tc>
        <w:tc>
          <w:tcPr>
            <w:tcW w:w="2076" w:type="dxa"/>
            <w:tcBorders>
              <w:top w:val="single" w:sz="4" w:space="0" w:color="auto"/>
              <w:bottom w:val="single" w:sz="4" w:space="0" w:color="auto"/>
              <w:right w:val="single" w:sz="6" w:space="0" w:color="auto"/>
            </w:tcBorders>
          </w:tcPr>
          <w:p w:rsidR="007F0B2E" w:rsidRPr="00FF46A1" w:rsidRDefault="007F0B2E" w:rsidP="003C5714">
            <w:pPr>
              <w:pStyle w:val="Tabletext"/>
              <w:jc w:val="center"/>
            </w:pPr>
            <w:r w:rsidRPr="00FF46A1">
              <w:t>57.0-64.0 GHz</w:t>
            </w:r>
          </w:p>
        </w:tc>
      </w:tr>
      <w:tr w:rsidR="00791E5A" w:rsidRPr="00FF46A1" w:rsidTr="0019090E">
        <w:trPr>
          <w:cantSplit/>
          <w:jc w:val="center"/>
        </w:trPr>
        <w:tc>
          <w:tcPr>
            <w:tcW w:w="3232" w:type="dxa"/>
            <w:tcBorders>
              <w:top w:val="single" w:sz="4" w:space="0" w:color="auto"/>
              <w:left w:val="single" w:sz="6" w:space="0" w:color="auto"/>
              <w:bottom w:val="single" w:sz="4" w:space="0" w:color="auto"/>
              <w:right w:val="single" w:sz="6" w:space="0" w:color="auto"/>
            </w:tcBorders>
          </w:tcPr>
          <w:p w:rsidR="00791E5A" w:rsidRPr="00743350" w:rsidRDefault="00791E5A" w:rsidP="003C5714">
            <w:pPr>
              <w:pStyle w:val="Tabletext"/>
              <w:jc w:val="left"/>
              <w:rPr>
                <w:lang w:val="en-US"/>
              </w:rPr>
            </w:pPr>
            <w:r w:rsidRPr="00743350">
              <w:rPr>
                <w:lang w:val="en-US"/>
              </w:rPr>
              <w:t>Transmitter power (power transferred to antenna)</w:t>
            </w:r>
          </w:p>
        </w:tc>
        <w:tc>
          <w:tcPr>
            <w:tcW w:w="2268" w:type="dxa"/>
            <w:tcBorders>
              <w:top w:val="single" w:sz="4" w:space="0" w:color="auto"/>
              <w:bottom w:val="single" w:sz="4" w:space="0" w:color="auto"/>
              <w:right w:val="single" w:sz="6" w:space="0" w:color="auto"/>
            </w:tcBorders>
            <w:vAlign w:val="center"/>
          </w:tcPr>
          <w:p w:rsidR="00791E5A" w:rsidRPr="007F0B2E" w:rsidRDefault="00791E5A" w:rsidP="003C5714">
            <w:pPr>
              <w:pStyle w:val="Tabletext"/>
              <w:jc w:val="center"/>
              <w:rPr>
                <w:lang w:val="en-US"/>
              </w:rPr>
            </w:pPr>
          </w:p>
        </w:tc>
        <w:tc>
          <w:tcPr>
            <w:tcW w:w="1984" w:type="dxa"/>
            <w:tcBorders>
              <w:top w:val="single" w:sz="4" w:space="0" w:color="auto"/>
              <w:bottom w:val="single" w:sz="4" w:space="0" w:color="auto"/>
              <w:right w:val="single" w:sz="6" w:space="0" w:color="auto"/>
            </w:tcBorders>
            <w:vAlign w:val="center"/>
          </w:tcPr>
          <w:p w:rsidR="00791E5A" w:rsidRPr="00FF46A1" w:rsidRDefault="00791E5A" w:rsidP="003C5714">
            <w:pPr>
              <w:pStyle w:val="Tabletext"/>
              <w:jc w:val="center"/>
            </w:pPr>
            <w:r w:rsidRPr="00FF46A1">
              <w:t>10 mW or less</w:t>
            </w:r>
          </w:p>
        </w:tc>
        <w:tc>
          <w:tcPr>
            <w:tcW w:w="2076" w:type="dxa"/>
            <w:tcBorders>
              <w:top w:val="single" w:sz="4" w:space="0" w:color="auto"/>
              <w:bottom w:val="single" w:sz="4" w:space="0" w:color="auto"/>
              <w:right w:val="single" w:sz="6" w:space="0" w:color="auto"/>
            </w:tcBorders>
            <w:vAlign w:val="center"/>
          </w:tcPr>
          <w:p w:rsidR="00791E5A" w:rsidRPr="00FF46A1" w:rsidRDefault="00791E5A" w:rsidP="003C5714">
            <w:pPr>
              <w:pStyle w:val="Tabletext"/>
              <w:jc w:val="center"/>
            </w:pPr>
            <w:r w:rsidRPr="00FF46A1">
              <w:t>10 mW or less</w:t>
            </w:r>
          </w:p>
        </w:tc>
      </w:tr>
      <w:tr w:rsidR="00791E5A" w:rsidRPr="00FF46A1" w:rsidTr="0019090E">
        <w:trPr>
          <w:cantSplit/>
          <w:jc w:val="center"/>
        </w:trPr>
        <w:tc>
          <w:tcPr>
            <w:tcW w:w="3232" w:type="dxa"/>
            <w:tcBorders>
              <w:top w:val="single" w:sz="4" w:space="0" w:color="auto"/>
              <w:left w:val="single" w:sz="6" w:space="0" w:color="auto"/>
              <w:bottom w:val="single" w:sz="4" w:space="0" w:color="auto"/>
              <w:right w:val="single" w:sz="6" w:space="0" w:color="auto"/>
            </w:tcBorders>
          </w:tcPr>
          <w:p w:rsidR="00791E5A" w:rsidRPr="00FF46A1" w:rsidRDefault="00791E5A" w:rsidP="003C5714">
            <w:pPr>
              <w:pStyle w:val="Tabletext"/>
            </w:pPr>
            <w:r>
              <w:t xml:space="preserve">Maximum </w:t>
            </w:r>
            <w:r w:rsidRPr="00FF46A1">
              <w:t>e.i.r.p.</w:t>
            </w:r>
          </w:p>
        </w:tc>
        <w:tc>
          <w:tcPr>
            <w:tcW w:w="2268" w:type="dxa"/>
            <w:tcBorders>
              <w:top w:val="single" w:sz="4" w:space="0" w:color="auto"/>
              <w:bottom w:val="single" w:sz="6" w:space="0" w:color="auto"/>
              <w:right w:val="single" w:sz="6" w:space="0" w:color="auto"/>
            </w:tcBorders>
          </w:tcPr>
          <w:p w:rsidR="00791E5A" w:rsidRPr="00FF46A1" w:rsidRDefault="0019090E" w:rsidP="003C5714">
            <w:pPr>
              <w:pStyle w:val="Tabletext"/>
              <w:jc w:val="center"/>
            </w:pPr>
            <w:r>
              <w:t>40 dBm</w:t>
            </w:r>
          </w:p>
        </w:tc>
        <w:tc>
          <w:tcPr>
            <w:tcW w:w="1984" w:type="dxa"/>
            <w:tcBorders>
              <w:top w:val="single" w:sz="4" w:space="0" w:color="auto"/>
              <w:bottom w:val="single" w:sz="6" w:space="0" w:color="auto"/>
              <w:right w:val="single" w:sz="6" w:space="0" w:color="auto"/>
            </w:tcBorders>
          </w:tcPr>
          <w:p w:rsidR="00791E5A" w:rsidRPr="00FF46A1" w:rsidRDefault="00791E5A" w:rsidP="003C5714">
            <w:pPr>
              <w:pStyle w:val="Tabletext"/>
              <w:jc w:val="center"/>
            </w:pPr>
          </w:p>
        </w:tc>
        <w:tc>
          <w:tcPr>
            <w:tcW w:w="2076" w:type="dxa"/>
            <w:tcBorders>
              <w:top w:val="single" w:sz="4" w:space="0" w:color="auto"/>
              <w:bottom w:val="single" w:sz="6" w:space="0" w:color="auto"/>
              <w:right w:val="single" w:sz="6" w:space="0" w:color="auto"/>
            </w:tcBorders>
          </w:tcPr>
          <w:p w:rsidR="00791E5A" w:rsidRPr="00FF46A1" w:rsidRDefault="00791E5A" w:rsidP="003C5714">
            <w:pPr>
              <w:pStyle w:val="Tabletext"/>
              <w:jc w:val="center"/>
            </w:pPr>
          </w:p>
        </w:tc>
      </w:tr>
      <w:tr w:rsidR="007F0B2E" w:rsidRPr="00FF46A1" w:rsidTr="0019090E">
        <w:trPr>
          <w:cantSplit/>
          <w:jc w:val="center"/>
        </w:trPr>
        <w:tc>
          <w:tcPr>
            <w:tcW w:w="3232" w:type="dxa"/>
            <w:tcBorders>
              <w:top w:val="single" w:sz="6" w:space="0" w:color="auto"/>
              <w:left w:val="single" w:sz="6" w:space="0" w:color="auto"/>
              <w:bottom w:val="single" w:sz="4" w:space="0" w:color="auto"/>
              <w:right w:val="single" w:sz="6" w:space="0" w:color="auto"/>
            </w:tcBorders>
          </w:tcPr>
          <w:p w:rsidR="007F0B2E" w:rsidRPr="00FF46A1" w:rsidRDefault="007F0B2E" w:rsidP="003C5714">
            <w:pPr>
              <w:pStyle w:val="Tabletext"/>
            </w:pPr>
            <w:r w:rsidRPr="00FF46A1">
              <w:t>Permissible occupied bandwidth</w:t>
            </w:r>
          </w:p>
        </w:tc>
        <w:tc>
          <w:tcPr>
            <w:tcW w:w="2268" w:type="dxa"/>
            <w:tcBorders>
              <w:top w:val="single" w:sz="6" w:space="0" w:color="auto"/>
              <w:bottom w:val="single" w:sz="4" w:space="0" w:color="auto"/>
              <w:right w:val="single" w:sz="6" w:space="0" w:color="auto"/>
            </w:tcBorders>
          </w:tcPr>
          <w:p w:rsidR="007F0B2E" w:rsidRPr="00FF46A1" w:rsidRDefault="007F0B2E" w:rsidP="003C5714">
            <w:pPr>
              <w:pStyle w:val="Tabletext"/>
              <w:jc w:val="center"/>
            </w:pPr>
          </w:p>
        </w:tc>
        <w:tc>
          <w:tcPr>
            <w:tcW w:w="1984" w:type="dxa"/>
            <w:tcBorders>
              <w:top w:val="single" w:sz="6" w:space="0" w:color="auto"/>
              <w:bottom w:val="single" w:sz="4" w:space="0" w:color="auto"/>
              <w:right w:val="single" w:sz="6" w:space="0" w:color="auto"/>
            </w:tcBorders>
          </w:tcPr>
          <w:p w:rsidR="007F0B2E" w:rsidRPr="00FF46A1" w:rsidRDefault="007F0B2E" w:rsidP="003C5714">
            <w:pPr>
              <w:pStyle w:val="Tabletext"/>
              <w:jc w:val="center"/>
            </w:pPr>
            <w:r w:rsidRPr="00FF46A1">
              <w:t>2.5 GHz or less</w:t>
            </w:r>
          </w:p>
        </w:tc>
        <w:tc>
          <w:tcPr>
            <w:tcW w:w="2076" w:type="dxa"/>
            <w:tcBorders>
              <w:top w:val="single" w:sz="6" w:space="0" w:color="auto"/>
              <w:bottom w:val="single" w:sz="4" w:space="0" w:color="auto"/>
              <w:right w:val="single" w:sz="6" w:space="0" w:color="auto"/>
            </w:tcBorders>
          </w:tcPr>
          <w:p w:rsidR="007F0B2E" w:rsidRPr="00FF46A1" w:rsidRDefault="007F0B2E" w:rsidP="003C5714">
            <w:pPr>
              <w:pStyle w:val="Tabletext"/>
              <w:jc w:val="center"/>
            </w:pPr>
          </w:p>
        </w:tc>
      </w:tr>
      <w:tr w:rsidR="007F0B2E" w:rsidRPr="002C083D" w:rsidTr="003C5714">
        <w:trPr>
          <w:cantSplit/>
          <w:jc w:val="center"/>
        </w:trPr>
        <w:tc>
          <w:tcPr>
            <w:tcW w:w="3232" w:type="dxa"/>
            <w:tcBorders>
              <w:top w:val="single" w:sz="4" w:space="0" w:color="auto"/>
              <w:left w:val="single" w:sz="6" w:space="0" w:color="auto"/>
              <w:bottom w:val="single" w:sz="4" w:space="0" w:color="auto"/>
              <w:right w:val="single" w:sz="6" w:space="0" w:color="auto"/>
            </w:tcBorders>
          </w:tcPr>
          <w:p w:rsidR="007F0B2E" w:rsidRPr="00FF46A1" w:rsidRDefault="007F0B2E" w:rsidP="003C5714">
            <w:pPr>
              <w:pStyle w:val="Tabletext"/>
            </w:pPr>
            <w:r w:rsidRPr="00FF46A1">
              <w:t>Antenna gain</w:t>
            </w:r>
          </w:p>
        </w:tc>
        <w:tc>
          <w:tcPr>
            <w:tcW w:w="2268" w:type="dxa"/>
            <w:tcBorders>
              <w:top w:val="single" w:sz="4" w:space="0" w:color="auto"/>
              <w:bottom w:val="single" w:sz="4" w:space="0" w:color="auto"/>
              <w:right w:val="single" w:sz="6" w:space="0" w:color="auto"/>
            </w:tcBorders>
          </w:tcPr>
          <w:p w:rsidR="007F0B2E" w:rsidRPr="00FF46A1" w:rsidRDefault="007F0B2E" w:rsidP="003C5714">
            <w:pPr>
              <w:pStyle w:val="Tabletext"/>
              <w:jc w:val="center"/>
              <w:rPr>
                <w:lang w:val="en-US"/>
              </w:rPr>
            </w:pPr>
            <w:r w:rsidRPr="00FF46A1">
              <w:rPr>
                <w:lang w:val="en-US"/>
              </w:rPr>
              <w:t>23 dBi or less</w:t>
            </w:r>
            <w:r w:rsidRPr="00FF46A1">
              <w:rPr>
                <w:lang w:val="en-US"/>
              </w:rPr>
              <w:br/>
              <w:t>(side lobe attenuation: 20 dB)</w:t>
            </w:r>
          </w:p>
        </w:tc>
        <w:tc>
          <w:tcPr>
            <w:tcW w:w="1984" w:type="dxa"/>
            <w:tcBorders>
              <w:top w:val="single" w:sz="4" w:space="0" w:color="auto"/>
              <w:bottom w:val="single" w:sz="4" w:space="0" w:color="auto"/>
              <w:right w:val="single" w:sz="6" w:space="0" w:color="auto"/>
            </w:tcBorders>
          </w:tcPr>
          <w:p w:rsidR="007F0B2E" w:rsidRPr="00FF46A1" w:rsidRDefault="007F0B2E" w:rsidP="003C5714">
            <w:pPr>
              <w:pStyle w:val="Tabletext"/>
              <w:jc w:val="center"/>
              <w:rPr>
                <w:lang w:val="en-US"/>
              </w:rPr>
            </w:pPr>
            <w:r w:rsidRPr="00FF46A1">
              <w:rPr>
                <w:lang w:val="en-US"/>
              </w:rPr>
              <w:t>47 dBi or less</w:t>
            </w:r>
          </w:p>
        </w:tc>
        <w:tc>
          <w:tcPr>
            <w:tcW w:w="2076" w:type="dxa"/>
            <w:tcBorders>
              <w:top w:val="single" w:sz="4" w:space="0" w:color="auto"/>
              <w:bottom w:val="single" w:sz="4" w:space="0" w:color="auto"/>
              <w:right w:val="single" w:sz="6" w:space="0" w:color="auto"/>
            </w:tcBorders>
          </w:tcPr>
          <w:p w:rsidR="007F0B2E" w:rsidRPr="00FF46A1" w:rsidRDefault="007F0B2E" w:rsidP="003C5714">
            <w:pPr>
              <w:pStyle w:val="Tabletext"/>
              <w:jc w:val="center"/>
              <w:rPr>
                <w:lang w:val="en-US"/>
              </w:rPr>
            </w:pPr>
            <w:r w:rsidRPr="00FF46A1">
              <w:rPr>
                <w:lang w:val="en-US"/>
              </w:rPr>
              <w:t>17 dBi</w:t>
            </w:r>
            <w:r w:rsidRPr="00FF46A1">
              <w:rPr>
                <w:lang w:val="en-US"/>
              </w:rPr>
              <w:br/>
            </w:r>
            <w:r>
              <w:rPr>
                <w:lang w:val="en-US"/>
              </w:rPr>
              <w:t xml:space="preserve">(47 dBi </w:t>
            </w:r>
            <w:r w:rsidRPr="00FF46A1">
              <w:rPr>
                <w:lang w:val="en-US"/>
              </w:rPr>
              <w:t>for point to point application)</w:t>
            </w:r>
          </w:p>
        </w:tc>
      </w:tr>
    </w:tbl>
    <w:p w:rsidR="007F0B2E" w:rsidRPr="00007FC6" w:rsidRDefault="007F0B2E" w:rsidP="007F0B2E">
      <w:pPr>
        <w:pStyle w:val="Tablefin"/>
        <w:rPr>
          <w:lang w:eastAsia="ja-JP"/>
        </w:rPr>
      </w:pPr>
    </w:p>
    <w:p w:rsidR="00C44882" w:rsidRDefault="00C44882" w:rsidP="0032202E">
      <w:pPr>
        <w:pStyle w:val="Reasons"/>
      </w:pPr>
    </w:p>
    <w:p w:rsidR="00C44882" w:rsidRDefault="00C44882">
      <w:pPr>
        <w:jc w:val="center"/>
      </w:pPr>
      <w:r>
        <w:t>______________</w:t>
      </w:r>
    </w:p>
    <w:sectPr w:rsidR="00C44882" w:rsidSect="003C5714">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E5A" w:rsidRDefault="00791E5A">
      <w:r>
        <w:separator/>
      </w:r>
    </w:p>
  </w:endnote>
  <w:endnote w:type="continuationSeparator" w:id="0">
    <w:p w:rsidR="00791E5A" w:rsidRDefault="00791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E5A" w:rsidRDefault="00791E5A">
      <w:r>
        <w:separator/>
      </w:r>
    </w:p>
  </w:footnote>
  <w:footnote w:type="continuationSeparator" w:id="0">
    <w:p w:rsidR="00791E5A" w:rsidRDefault="00791E5A">
      <w:r>
        <w:continuationSeparator/>
      </w:r>
    </w:p>
  </w:footnote>
  <w:footnote w:id="1">
    <w:p w:rsidR="00791E5A" w:rsidRPr="006244DC" w:rsidRDefault="00791E5A" w:rsidP="00594C22">
      <w:pPr>
        <w:pStyle w:val="FootnoteText"/>
        <w:rPr>
          <w:lang w:val="en-US"/>
        </w:rPr>
      </w:pPr>
      <w:r>
        <w:rPr>
          <w:rStyle w:val="FootnoteReference"/>
        </w:rPr>
        <w:footnoteRef/>
      </w:r>
      <w:r w:rsidRPr="006244DC">
        <w:rPr>
          <w:lang w:val="en-US"/>
        </w:rPr>
        <w:tab/>
        <w:t xml:space="preserve">The parameters of </w:t>
      </w:r>
      <w:r w:rsidRPr="00516D16">
        <w:rPr>
          <w:lang w:val="en-US"/>
        </w:rPr>
        <w:t xml:space="preserve">System B </w:t>
      </w:r>
      <w:r w:rsidRPr="008F22C8">
        <w:rPr>
          <w:lang w:val="en-US"/>
        </w:rPr>
        <w:t>are</w:t>
      </w:r>
      <w:r w:rsidRPr="00516D16">
        <w:rPr>
          <w:lang w:val="en-US"/>
        </w:rPr>
        <w:t xml:space="preserve"> de</w:t>
      </w:r>
      <w:r w:rsidRPr="008F22C8">
        <w:rPr>
          <w:lang w:val="en-US"/>
        </w:rPr>
        <w:t>riv</w:t>
      </w:r>
      <w:r w:rsidRPr="00516D16">
        <w:rPr>
          <w:lang w:val="en-US"/>
        </w:rPr>
        <w:t>ed from ETSI EN 302 264</w:t>
      </w:r>
      <w:r w:rsidRPr="008F22C8">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E5A" w:rsidRDefault="00791E5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E5A" w:rsidRDefault="00791E5A" w:rsidP="003C5714">
    <w:pPr>
      <w:pStyle w:val="Header"/>
      <w:ind w:right="360" w:firstLine="360"/>
    </w:pPr>
    <w:r>
      <w:rPr>
        <w:noProof/>
        <w:lang w:val="en-US" w:eastAsia="zh-CN"/>
      </w:rPr>
      <w:drawing>
        <wp:anchor distT="0" distB="0" distL="114300" distR="114300" simplePos="0" relativeHeight="251659264" behindDoc="1" locked="0" layoutInCell="1" allowOverlap="1" wp14:anchorId="4307BF7A" wp14:editId="1B4978A6">
          <wp:simplePos x="0" y="0"/>
          <wp:positionH relativeFrom="page">
            <wp:posOffset>0</wp:posOffset>
          </wp:positionH>
          <wp:positionV relativeFrom="page">
            <wp:posOffset>0</wp:posOffset>
          </wp:positionV>
          <wp:extent cx="7578725" cy="10724515"/>
          <wp:effectExtent l="0" t="0" r="3175" b="635"/>
          <wp:wrapNone/>
          <wp:docPr id="3" name="Picture 3"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E5A" w:rsidRPr="00FC42AF" w:rsidRDefault="00791E5A" w:rsidP="003C5714">
    <w:pPr>
      <w:pStyle w:val="Header"/>
      <w:jc w:val="left"/>
    </w:pPr>
    <w:r w:rsidRPr="00FC42AF">
      <w:tab/>
    </w:r>
    <w:r>
      <w:rPr>
        <w:b/>
        <w:bCs/>
      </w:rPr>
      <w:fldChar w:fldCharType="begin"/>
    </w:r>
    <w:r w:rsidRPr="00FC42AF">
      <w:rPr>
        <w:b/>
        <w:bCs/>
      </w:rPr>
      <w:instrText xml:space="preserve"> DOCPROPERTY "Header" \* MERGEFORMAT </w:instrText>
    </w:r>
    <w:r>
      <w:rPr>
        <w:b/>
        <w:bCs/>
      </w:rPr>
      <w:fldChar w:fldCharType="separate"/>
    </w:r>
    <w:r w:rsidR="002C083D">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C083D">
      <w:rPr>
        <w:b/>
        <w:bCs/>
        <w:noProof/>
      </w:rPr>
      <w:t>ITU-R  M.1452-2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E5A" w:rsidRPr="00FC42AF" w:rsidRDefault="00791E5A">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2C083D">
      <w:rPr>
        <w:rStyle w:val="PageNumber"/>
        <w:b/>
        <w:bCs/>
        <w:noProof/>
      </w:rPr>
      <w:t>ii</w:t>
    </w:r>
    <w:r>
      <w:rPr>
        <w:rStyle w:val="PageNumber"/>
        <w:b/>
        <w:bCs/>
      </w:rPr>
      <w:fldChar w:fldCharType="end"/>
    </w:r>
    <w:r w:rsidRPr="00FC42AF">
      <w:tab/>
    </w:r>
    <w:r>
      <w:rPr>
        <w:b/>
        <w:bCs/>
      </w:rPr>
      <w:fldChar w:fldCharType="begin"/>
    </w:r>
    <w:r w:rsidRPr="00FC42AF">
      <w:rPr>
        <w:b/>
        <w:bCs/>
      </w:rPr>
      <w:instrText xml:space="preserve"> DOCPROPERTY "Header" \* MERGEFORMAT </w:instrText>
    </w:r>
    <w:r>
      <w:rPr>
        <w:b/>
        <w:bCs/>
      </w:rPr>
      <w:fldChar w:fldCharType="separate"/>
    </w:r>
    <w:r w:rsidR="002C083D">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C083D">
      <w:rPr>
        <w:b/>
        <w:bCs/>
        <w:noProof/>
      </w:rPr>
      <w:t>ITU-R  M.1452-2</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E5A" w:rsidRDefault="00791E5A">
    <w:pPr>
      <w:pStyle w:val="Header"/>
    </w:pPr>
    <w:r>
      <w:tab/>
    </w:r>
    <w:r>
      <w:rPr>
        <w:b/>
        <w:bCs/>
      </w:rPr>
      <w:fldChar w:fldCharType="begin"/>
    </w:r>
    <w:r>
      <w:rPr>
        <w:b/>
        <w:bCs/>
      </w:rPr>
      <w:instrText xml:space="preserve"> DOCPROPERTY "Header" \* MERGEFORMAT </w:instrText>
    </w:r>
    <w:r>
      <w:rPr>
        <w:b/>
        <w:bCs/>
      </w:rPr>
      <w:fldChar w:fldCharType="separate"/>
    </w:r>
    <w:r w:rsidR="002C083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C083D">
      <w:rPr>
        <w:b/>
        <w:bCs/>
        <w:noProof/>
      </w:rPr>
      <w:t>ITU-R  M.1452-2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E5A" w:rsidRDefault="00791E5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C083D">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C083D" w:rsidRPr="002C083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C083D">
      <w:rPr>
        <w:b/>
        <w:bCs/>
        <w:noProof/>
      </w:rPr>
      <w:t>ITU-R  M.1452-2</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E5A" w:rsidRDefault="00791E5A">
    <w:pPr>
      <w:pStyle w:val="Header"/>
    </w:pPr>
    <w:r>
      <w:tab/>
    </w:r>
    <w:fldSimple w:instr=" DOCPROPERTY &quot;Header&quot; \* MERGEFORMAT ">
      <w:r w:rsidR="002C083D" w:rsidRPr="002C083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C083D">
      <w:rPr>
        <w:b/>
        <w:bCs/>
        <w:noProof/>
      </w:rPr>
      <w:t>ITU-R  M.1452-2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C083D">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2F21DC2"/>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B2E"/>
    <w:rsid w:val="00031F40"/>
    <w:rsid w:val="0019090E"/>
    <w:rsid w:val="00217EBF"/>
    <w:rsid w:val="00242AEE"/>
    <w:rsid w:val="002C083D"/>
    <w:rsid w:val="002D76C4"/>
    <w:rsid w:val="003C5714"/>
    <w:rsid w:val="0052529D"/>
    <w:rsid w:val="00594C22"/>
    <w:rsid w:val="00607D68"/>
    <w:rsid w:val="007468DA"/>
    <w:rsid w:val="00791E5A"/>
    <w:rsid w:val="007F0B2E"/>
    <w:rsid w:val="009E00A8"/>
    <w:rsid w:val="00A6617B"/>
    <w:rsid w:val="00AB0DC8"/>
    <w:rsid w:val="00B44E24"/>
    <w:rsid w:val="00BE63AE"/>
    <w:rsid w:val="00C44882"/>
    <w:rsid w:val="00DF4176"/>
    <w:rsid w:val="00FF30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0B2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F0B2E"/>
    <w:pPr>
      <w:keepNext/>
      <w:keepLines/>
      <w:spacing w:before="480"/>
      <w:ind w:left="794" w:hanging="794"/>
      <w:outlineLvl w:val="0"/>
    </w:pPr>
    <w:rPr>
      <w:b/>
    </w:rPr>
  </w:style>
  <w:style w:type="paragraph" w:styleId="Heading2">
    <w:name w:val="heading 2"/>
    <w:basedOn w:val="Heading1"/>
    <w:next w:val="Normal"/>
    <w:link w:val="Heading2Char"/>
    <w:qFormat/>
    <w:rsid w:val="007F0B2E"/>
    <w:pPr>
      <w:spacing w:before="320"/>
      <w:outlineLvl w:val="1"/>
    </w:pPr>
  </w:style>
  <w:style w:type="paragraph" w:styleId="Heading3">
    <w:name w:val="heading 3"/>
    <w:basedOn w:val="Heading1"/>
    <w:next w:val="Normal"/>
    <w:qFormat/>
    <w:rsid w:val="007F0B2E"/>
    <w:pPr>
      <w:spacing w:before="200"/>
      <w:outlineLvl w:val="2"/>
    </w:pPr>
  </w:style>
  <w:style w:type="paragraph" w:styleId="Heading4">
    <w:name w:val="heading 4"/>
    <w:basedOn w:val="Heading3"/>
    <w:next w:val="Normal"/>
    <w:qFormat/>
    <w:rsid w:val="007F0B2E"/>
    <w:pPr>
      <w:tabs>
        <w:tab w:val="clear" w:pos="794"/>
        <w:tab w:val="left" w:pos="992"/>
      </w:tabs>
      <w:ind w:left="992" w:hanging="992"/>
      <w:outlineLvl w:val="3"/>
    </w:pPr>
  </w:style>
  <w:style w:type="paragraph" w:styleId="Heading5">
    <w:name w:val="heading 5"/>
    <w:basedOn w:val="Heading4"/>
    <w:next w:val="Normal"/>
    <w:qFormat/>
    <w:rsid w:val="007F0B2E"/>
    <w:pPr>
      <w:outlineLvl w:val="4"/>
    </w:pPr>
  </w:style>
  <w:style w:type="paragraph" w:styleId="Heading6">
    <w:name w:val="heading 6"/>
    <w:basedOn w:val="Heading4"/>
    <w:next w:val="Normal"/>
    <w:qFormat/>
    <w:rsid w:val="007F0B2E"/>
    <w:pPr>
      <w:tabs>
        <w:tab w:val="clear" w:pos="992"/>
        <w:tab w:val="clear" w:pos="1191"/>
      </w:tabs>
      <w:ind w:left="1588" w:hanging="1588"/>
      <w:outlineLvl w:val="5"/>
    </w:pPr>
  </w:style>
  <w:style w:type="paragraph" w:styleId="Heading7">
    <w:name w:val="heading 7"/>
    <w:basedOn w:val="Heading6"/>
    <w:next w:val="Normal"/>
    <w:qFormat/>
    <w:rsid w:val="007F0B2E"/>
    <w:pPr>
      <w:outlineLvl w:val="6"/>
    </w:pPr>
  </w:style>
  <w:style w:type="paragraph" w:styleId="Heading8">
    <w:name w:val="heading 8"/>
    <w:basedOn w:val="Heading6"/>
    <w:next w:val="Normal"/>
    <w:qFormat/>
    <w:rsid w:val="007F0B2E"/>
    <w:pPr>
      <w:outlineLvl w:val="7"/>
    </w:pPr>
  </w:style>
  <w:style w:type="paragraph" w:styleId="Heading9">
    <w:name w:val="heading 9"/>
    <w:basedOn w:val="Heading6"/>
    <w:next w:val="Normal"/>
    <w:qFormat/>
    <w:rsid w:val="007F0B2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0B2E"/>
    <w:rPr>
      <w:b/>
      <w:sz w:val="24"/>
      <w:lang w:val="fr-FR" w:eastAsia="en-US"/>
    </w:rPr>
  </w:style>
  <w:style w:type="character" w:customStyle="1" w:styleId="Heading2Char">
    <w:name w:val="Heading 2 Char"/>
    <w:basedOn w:val="DefaultParagraphFont"/>
    <w:link w:val="Heading2"/>
    <w:rsid w:val="007F0B2E"/>
    <w:rPr>
      <w:b/>
      <w:sz w:val="24"/>
      <w:lang w:val="fr-FR" w:eastAsia="en-US"/>
    </w:rPr>
  </w:style>
  <w:style w:type="paragraph" w:styleId="Header">
    <w:name w:val="header"/>
    <w:basedOn w:val="Normal"/>
    <w:link w:val="HeaderChar"/>
    <w:rsid w:val="007F0B2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F0B2E"/>
    <w:rPr>
      <w:sz w:val="24"/>
      <w:lang w:val="fr-FR" w:eastAsia="en-US"/>
    </w:rPr>
  </w:style>
  <w:style w:type="paragraph" w:styleId="Footer">
    <w:name w:val="footer"/>
    <w:basedOn w:val="Normal"/>
    <w:rsid w:val="007F0B2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F0B2E"/>
  </w:style>
  <w:style w:type="paragraph" w:customStyle="1" w:styleId="Headingb">
    <w:name w:val="Heading_b"/>
    <w:basedOn w:val="Heading3"/>
    <w:next w:val="Normal"/>
    <w:rsid w:val="007F0B2E"/>
    <w:pPr>
      <w:spacing w:before="160"/>
      <w:ind w:left="0" w:firstLine="0"/>
      <w:outlineLvl w:val="9"/>
    </w:pPr>
  </w:style>
  <w:style w:type="paragraph" w:customStyle="1" w:styleId="Headingi">
    <w:name w:val="Heading_i"/>
    <w:basedOn w:val="Heading3"/>
    <w:next w:val="Normal"/>
    <w:rsid w:val="007F0B2E"/>
    <w:pPr>
      <w:spacing w:before="160"/>
      <w:ind w:left="0" w:firstLine="0"/>
    </w:pPr>
    <w:rPr>
      <w:b w:val="0"/>
      <w:i/>
    </w:rPr>
  </w:style>
  <w:style w:type="character" w:customStyle="1" w:styleId="href">
    <w:name w:val="href"/>
    <w:basedOn w:val="DefaultParagraphFont"/>
    <w:rsid w:val="007F0B2E"/>
  </w:style>
  <w:style w:type="paragraph" w:customStyle="1" w:styleId="enumlev1">
    <w:name w:val="enumlev1"/>
    <w:basedOn w:val="Normal"/>
    <w:link w:val="enumlev1Char"/>
    <w:rsid w:val="007F0B2E"/>
    <w:pPr>
      <w:spacing w:before="80"/>
      <w:ind w:left="794" w:hanging="794"/>
    </w:pPr>
  </w:style>
  <w:style w:type="character" w:customStyle="1" w:styleId="enumlev1Char">
    <w:name w:val="enumlev1 Char"/>
    <w:link w:val="enumlev1"/>
    <w:rsid w:val="007F0B2E"/>
    <w:rPr>
      <w:sz w:val="24"/>
      <w:lang w:val="fr-FR" w:eastAsia="en-US"/>
    </w:rPr>
  </w:style>
  <w:style w:type="paragraph" w:customStyle="1" w:styleId="enumlev2">
    <w:name w:val="enumlev2"/>
    <w:basedOn w:val="enumlev1"/>
    <w:rsid w:val="007F0B2E"/>
    <w:pPr>
      <w:ind w:left="1191" w:hanging="397"/>
    </w:pPr>
  </w:style>
  <w:style w:type="paragraph" w:customStyle="1" w:styleId="enumlev3">
    <w:name w:val="enumlev3"/>
    <w:basedOn w:val="enumlev2"/>
    <w:rsid w:val="007F0B2E"/>
    <w:pPr>
      <w:ind w:left="1588"/>
    </w:pPr>
  </w:style>
  <w:style w:type="paragraph" w:customStyle="1" w:styleId="Normalaftertitle">
    <w:name w:val="Normal_after_title"/>
    <w:basedOn w:val="Normal"/>
    <w:next w:val="Normal"/>
    <w:rsid w:val="007F0B2E"/>
    <w:pPr>
      <w:spacing w:before="320"/>
    </w:pPr>
  </w:style>
  <w:style w:type="paragraph" w:customStyle="1" w:styleId="Note">
    <w:name w:val="Note"/>
    <w:basedOn w:val="Normal"/>
    <w:rsid w:val="007F0B2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F0B2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F0B2E"/>
    <w:pPr>
      <w:keepNext/>
      <w:keepLines/>
      <w:spacing w:before="240"/>
      <w:jc w:val="center"/>
    </w:pPr>
    <w:rPr>
      <w:b/>
      <w:sz w:val="28"/>
    </w:rPr>
  </w:style>
  <w:style w:type="paragraph" w:customStyle="1" w:styleId="Recref">
    <w:name w:val="Rec_ref"/>
    <w:basedOn w:val="Normal"/>
    <w:next w:val="Recdate"/>
    <w:rsid w:val="007F0B2E"/>
    <w:pPr>
      <w:jc w:val="center"/>
    </w:pPr>
  </w:style>
  <w:style w:type="paragraph" w:customStyle="1" w:styleId="Recdate">
    <w:name w:val="Rec_date"/>
    <w:basedOn w:val="Recref"/>
    <w:next w:val="Normalaftertitle"/>
    <w:rsid w:val="007F0B2E"/>
    <w:pPr>
      <w:jc w:val="right"/>
    </w:pPr>
  </w:style>
  <w:style w:type="paragraph" w:customStyle="1" w:styleId="HeadingSum">
    <w:name w:val="Heading_Sum"/>
    <w:basedOn w:val="Headingb"/>
    <w:next w:val="Normal"/>
    <w:autoRedefine/>
    <w:rsid w:val="007F0B2E"/>
    <w:pPr>
      <w:spacing w:before="240"/>
    </w:pPr>
    <w:rPr>
      <w:sz w:val="22"/>
      <w:lang w:val="es-ES_tradnl"/>
    </w:rPr>
  </w:style>
  <w:style w:type="paragraph" w:customStyle="1" w:styleId="AnnexNoTitle">
    <w:name w:val="Annex_NoTitle"/>
    <w:basedOn w:val="Normal"/>
    <w:next w:val="Normalaftertitle"/>
    <w:rsid w:val="007F0B2E"/>
    <w:pPr>
      <w:keepNext/>
      <w:keepLines/>
      <w:spacing w:before="480" w:after="80"/>
      <w:jc w:val="center"/>
    </w:pPr>
    <w:rPr>
      <w:b/>
      <w:sz w:val="28"/>
    </w:rPr>
  </w:style>
  <w:style w:type="paragraph" w:customStyle="1" w:styleId="AppendixNoTitle">
    <w:name w:val="Appendix_NoTitle"/>
    <w:basedOn w:val="AnnexNoTitle"/>
    <w:next w:val="Normal"/>
    <w:rsid w:val="007F0B2E"/>
  </w:style>
  <w:style w:type="paragraph" w:customStyle="1" w:styleId="Tablefin">
    <w:name w:val="Table_fin"/>
    <w:basedOn w:val="Normal"/>
    <w:next w:val="Normal"/>
    <w:rsid w:val="007F0B2E"/>
    <w:pPr>
      <w:spacing w:before="0"/>
    </w:pPr>
    <w:rPr>
      <w:sz w:val="20"/>
      <w:lang w:val="en-GB"/>
    </w:rPr>
  </w:style>
  <w:style w:type="paragraph" w:customStyle="1" w:styleId="Tablehead">
    <w:name w:val="Table_head"/>
    <w:basedOn w:val="Normal"/>
    <w:next w:val="Normal"/>
    <w:link w:val="TableheadChar"/>
    <w:rsid w:val="007F0B2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7F0B2E"/>
    <w:rPr>
      <w:b/>
      <w:sz w:val="22"/>
      <w:lang w:val="fr-FR" w:eastAsia="en-US"/>
    </w:rPr>
  </w:style>
  <w:style w:type="paragraph" w:customStyle="1" w:styleId="Tablelegend">
    <w:name w:val="Table_legend"/>
    <w:basedOn w:val="Normal"/>
    <w:link w:val="TablelegendChar"/>
    <w:rsid w:val="007F0B2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rsid w:val="007F0B2E"/>
    <w:rPr>
      <w:sz w:val="22"/>
      <w:lang w:val="fr-FR" w:eastAsia="en-US"/>
    </w:rPr>
  </w:style>
  <w:style w:type="paragraph" w:customStyle="1" w:styleId="TableNo">
    <w:name w:val="Table_No"/>
    <w:basedOn w:val="Normal"/>
    <w:next w:val="Normal"/>
    <w:link w:val="TableNoChar"/>
    <w:rsid w:val="007F0B2E"/>
    <w:pPr>
      <w:keepNext/>
      <w:spacing w:before="360" w:after="120"/>
      <w:jc w:val="center"/>
    </w:pPr>
  </w:style>
  <w:style w:type="character" w:customStyle="1" w:styleId="TableNoChar">
    <w:name w:val="Table_No Char"/>
    <w:link w:val="TableNo"/>
    <w:rsid w:val="007F0B2E"/>
    <w:rPr>
      <w:sz w:val="24"/>
      <w:lang w:val="fr-FR" w:eastAsia="en-US"/>
    </w:rPr>
  </w:style>
  <w:style w:type="paragraph" w:customStyle="1" w:styleId="Tabletext">
    <w:name w:val="Table_text"/>
    <w:basedOn w:val="Normal"/>
    <w:link w:val="TabletextChar"/>
    <w:rsid w:val="007F0B2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rsid w:val="007F0B2E"/>
    <w:rPr>
      <w:sz w:val="22"/>
      <w:lang w:val="fr-FR" w:eastAsia="en-US"/>
    </w:rPr>
  </w:style>
  <w:style w:type="paragraph" w:customStyle="1" w:styleId="Equation">
    <w:name w:val="Equation"/>
    <w:basedOn w:val="Normal"/>
    <w:rsid w:val="007F0B2E"/>
    <w:pPr>
      <w:tabs>
        <w:tab w:val="clear" w:pos="1191"/>
        <w:tab w:val="clear" w:pos="1588"/>
        <w:tab w:val="clear" w:pos="1985"/>
        <w:tab w:val="center" w:pos="4820"/>
        <w:tab w:val="right" w:pos="9639"/>
      </w:tabs>
    </w:pPr>
  </w:style>
  <w:style w:type="paragraph" w:customStyle="1" w:styleId="Equationlegend">
    <w:name w:val="Equation_legend"/>
    <w:basedOn w:val="NormalIndent"/>
    <w:rsid w:val="007F0B2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F0B2E"/>
    <w:pPr>
      <w:ind w:left="794"/>
    </w:pPr>
  </w:style>
  <w:style w:type="paragraph" w:customStyle="1" w:styleId="Figurelegend">
    <w:name w:val="Figure_legend"/>
    <w:basedOn w:val="Normal"/>
    <w:rsid w:val="007F0B2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F0B2E"/>
    <w:pPr>
      <w:keepNext/>
      <w:keepLines/>
      <w:spacing w:before="480" w:after="80"/>
      <w:jc w:val="center"/>
    </w:pPr>
    <w:rPr>
      <w:caps/>
      <w:sz w:val="18"/>
    </w:rPr>
  </w:style>
  <w:style w:type="paragraph" w:customStyle="1" w:styleId="Figuretitle">
    <w:name w:val="Figure_title"/>
    <w:basedOn w:val="Normal"/>
    <w:next w:val="Figure"/>
    <w:link w:val="FiguretitleChar"/>
    <w:rsid w:val="007F0B2E"/>
    <w:pPr>
      <w:keepNext/>
      <w:spacing w:before="0" w:after="120"/>
      <w:jc w:val="center"/>
    </w:pPr>
    <w:rPr>
      <w:rFonts w:ascii="Times New Roman Bold" w:hAnsi="Times New Roman Bold"/>
      <w:b/>
      <w:sz w:val="18"/>
    </w:rPr>
  </w:style>
  <w:style w:type="paragraph" w:customStyle="1" w:styleId="Figure">
    <w:name w:val="Figure"/>
    <w:basedOn w:val="FigureNo"/>
    <w:next w:val="Normal"/>
    <w:rsid w:val="007F0B2E"/>
    <w:pPr>
      <w:keepNext w:val="0"/>
      <w:spacing w:before="0" w:after="240"/>
    </w:pPr>
  </w:style>
  <w:style w:type="character" w:customStyle="1" w:styleId="FiguretitleChar">
    <w:name w:val="Figure_title Char"/>
    <w:link w:val="Figuretitle"/>
    <w:rsid w:val="007F0B2E"/>
    <w:rPr>
      <w:rFonts w:ascii="Times New Roman Bold" w:hAnsi="Times New Roman Bold"/>
      <w:b/>
      <w:sz w:val="18"/>
      <w:lang w:val="fr-FR" w:eastAsia="en-US"/>
    </w:rPr>
  </w:style>
  <w:style w:type="character" w:customStyle="1" w:styleId="FigureNoChar">
    <w:name w:val="Figure_No Char"/>
    <w:link w:val="FigureNo"/>
    <w:rsid w:val="007F0B2E"/>
    <w:rPr>
      <w:caps/>
      <w:sz w:val="18"/>
      <w:lang w:val="fr-FR" w:eastAsia="en-US"/>
    </w:rPr>
  </w:style>
  <w:style w:type="paragraph" w:customStyle="1" w:styleId="tocpart">
    <w:name w:val="tocpart"/>
    <w:basedOn w:val="Normal"/>
    <w:rsid w:val="007F0B2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F0B2E"/>
    <w:pPr>
      <w:keepNext/>
      <w:keepLines/>
      <w:spacing w:before="480"/>
      <w:jc w:val="center"/>
    </w:pPr>
    <w:rPr>
      <w:sz w:val="28"/>
    </w:rPr>
  </w:style>
  <w:style w:type="paragraph" w:customStyle="1" w:styleId="Arttitle">
    <w:name w:val="Art_title"/>
    <w:basedOn w:val="Normal"/>
    <w:next w:val="Normalaftertitle"/>
    <w:rsid w:val="007F0B2E"/>
    <w:pPr>
      <w:keepNext/>
      <w:keepLines/>
      <w:spacing w:before="240"/>
      <w:jc w:val="center"/>
    </w:pPr>
    <w:rPr>
      <w:b/>
      <w:sz w:val="28"/>
    </w:rPr>
  </w:style>
  <w:style w:type="paragraph" w:customStyle="1" w:styleId="Blanc">
    <w:name w:val="Blanc"/>
    <w:basedOn w:val="Normal"/>
    <w:next w:val="Tabletext"/>
    <w:rsid w:val="007F0B2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F0B2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F0B2E"/>
    <w:pPr>
      <w:keepNext/>
      <w:keepLines/>
      <w:spacing w:before="160"/>
      <w:ind w:left="794"/>
    </w:pPr>
    <w:rPr>
      <w:i/>
    </w:rPr>
  </w:style>
  <w:style w:type="paragraph" w:customStyle="1" w:styleId="ChapNo">
    <w:name w:val="Chap_No"/>
    <w:basedOn w:val="ArtNo"/>
    <w:next w:val="Chaptitle"/>
    <w:rsid w:val="007F0B2E"/>
    <w:rPr>
      <w:b/>
    </w:rPr>
  </w:style>
  <w:style w:type="paragraph" w:customStyle="1" w:styleId="Chaptitle">
    <w:name w:val="Chap_title"/>
    <w:basedOn w:val="Arttitle"/>
    <w:next w:val="Normalaftertitle"/>
    <w:rsid w:val="007F0B2E"/>
  </w:style>
  <w:style w:type="character" w:styleId="FootnoteReference">
    <w:name w:val="footnote reference"/>
    <w:basedOn w:val="DefaultParagraphFont"/>
    <w:rsid w:val="007F0B2E"/>
    <w:rPr>
      <w:position w:val="6"/>
      <w:sz w:val="18"/>
    </w:rPr>
  </w:style>
  <w:style w:type="paragraph" w:styleId="FootnoteText">
    <w:name w:val="footnote text"/>
    <w:basedOn w:val="Normal"/>
    <w:link w:val="FootnoteTextChar"/>
    <w:rsid w:val="007F0B2E"/>
    <w:pPr>
      <w:keepLines/>
      <w:tabs>
        <w:tab w:val="left" w:pos="255"/>
      </w:tabs>
      <w:ind w:left="255" w:hanging="255"/>
    </w:pPr>
    <w:rPr>
      <w:sz w:val="22"/>
    </w:rPr>
  </w:style>
  <w:style w:type="character" w:customStyle="1" w:styleId="FootnoteTextChar">
    <w:name w:val="Footnote Text Char"/>
    <w:basedOn w:val="DefaultParagraphFont"/>
    <w:link w:val="FootnoteText"/>
    <w:rsid w:val="007F0B2E"/>
    <w:rPr>
      <w:sz w:val="22"/>
      <w:lang w:val="fr-FR" w:eastAsia="en-US"/>
    </w:rPr>
  </w:style>
  <w:style w:type="paragraph" w:styleId="Index1">
    <w:name w:val="index 1"/>
    <w:basedOn w:val="Normal"/>
    <w:next w:val="Normal"/>
    <w:semiHidden/>
    <w:rsid w:val="007F0B2E"/>
  </w:style>
  <w:style w:type="paragraph" w:styleId="Index2">
    <w:name w:val="index 2"/>
    <w:basedOn w:val="Normal"/>
    <w:next w:val="Normal"/>
    <w:semiHidden/>
    <w:rsid w:val="007F0B2E"/>
    <w:pPr>
      <w:ind w:left="283"/>
    </w:pPr>
  </w:style>
  <w:style w:type="paragraph" w:styleId="Index3">
    <w:name w:val="index 3"/>
    <w:basedOn w:val="Normal"/>
    <w:next w:val="Normal"/>
    <w:semiHidden/>
    <w:rsid w:val="007F0B2E"/>
    <w:pPr>
      <w:ind w:left="566"/>
    </w:pPr>
  </w:style>
  <w:style w:type="paragraph" w:styleId="IndexHeading">
    <w:name w:val="index heading"/>
    <w:basedOn w:val="Normal"/>
    <w:next w:val="Index1"/>
    <w:semiHidden/>
    <w:rsid w:val="007F0B2E"/>
  </w:style>
  <w:style w:type="paragraph" w:customStyle="1" w:styleId="Line">
    <w:name w:val="Line"/>
    <w:basedOn w:val="Normal"/>
    <w:next w:val="Normal"/>
    <w:rsid w:val="007F0B2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F0B2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F0B2E"/>
  </w:style>
  <w:style w:type="paragraph" w:customStyle="1" w:styleId="Partref">
    <w:name w:val="Part_ref"/>
    <w:basedOn w:val="Normal"/>
    <w:next w:val="Normal"/>
    <w:rsid w:val="007F0B2E"/>
    <w:pPr>
      <w:keepNext/>
      <w:keepLines/>
      <w:spacing w:after="280"/>
      <w:jc w:val="center"/>
    </w:pPr>
  </w:style>
  <w:style w:type="paragraph" w:customStyle="1" w:styleId="Parttitle">
    <w:name w:val="Part_title"/>
    <w:basedOn w:val="Normal"/>
    <w:next w:val="Normalaftertitle"/>
    <w:rsid w:val="007F0B2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F0B2E"/>
  </w:style>
  <w:style w:type="paragraph" w:customStyle="1" w:styleId="QuestionNo">
    <w:name w:val="Question_No"/>
    <w:basedOn w:val="RecNo"/>
    <w:next w:val="Normal"/>
    <w:rsid w:val="007F0B2E"/>
  </w:style>
  <w:style w:type="paragraph" w:customStyle="1" w:styleId="Questionref">
    <w:name w:val="Question_ref"/>
    <w:basedOn w:val="Recref"/>
    <w:next w:val="Questiondate"/>
    <w:rsid w:val="007F0B2E"/>
  </w:style>
  <w:style w:type="paragraph" w:customStyle="1" w:styleId="Questiontitle">
    <w:name w:val="Question_title"/>
    <w:basedOn w:val="Normal"/>
    <w:next w:val="Questionref"/>
    <w:rsid w:val="007F0B2E"/>
  </w:style>
  <w:style w:type="paragraph" w:customStyle="1" w:styleId="Reftext">
    <w:name w:val="Ref_text"/>
    <w:basedOn w:val="Normal"/>
    <w:rsid w:val="007F0B2E"/>
    <w:pPr>
      <w:ind w:left="794" w:hanging="794"/>
    </w:pPr>
    <w:rPr>
      <w:sz w:val="22"/>
    </w:rPr>
  </w:style>
  <w:style w:type="paragraph" w:customStyle="1" w:styleId="Reftitle">
    <w:name w:val="Ref_title"/>
    <w:basedOn w:val="Normal"/>
    <w:next w:val="Reftext"/>
    <w:rsid w:val="007F0B2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F0B2E"/>
  </w:style>
  <w:style w:type="paragraph" w:customStyle="1" w:styleId="RepNo">
    <w:name w:val="Rep_No"/>
    <w:basedOn w:val="RecNo"/>
    <w:next w:val="Reptitle"/>
    <w:rsid w:val="007F0B2E"/>
  </w:style>
  <w:style w:type="paragraph" w:customStyle="1" w:styleId="Reptitle">
    <w:name w:val="Rep_title"/>
    <w:basedOn w:val="Rectitle"/>
    <w:next w:val="Repref"/>
    <w:rsid w:val="007F0B2E"/>
  </w:style>
  <w:style w:type="paragraph" w:customStyle="1" w:styleId="Repref">
    <w:name w:val="Rep_ref"/>
    <w:basedOn w:val="Recref"/>
    <w:next w:val="Repdate"/>
    <w:rsid w:val="007F0B2E"/>
  </w:style>
  <w:style w:type="paragraph" w:customStyle="1" w:styleId="Resdate">
    <w:name w:val="Res_date"/>
    <w:basedOn w:val="Recdate"/>
    <w:next w:val="Normalaftertitle"/>
    <w:rsid w:val="007F0B2E"/>
  </w:style>
  <w:style w:type="paragraph" w:customStyle="1" w:styleId="ResNo">
    <w:name w:val="Res_No"/>
    <w:basedOn w:val="RecNo"/>
    <w:next w:val="Restitle"/>
    <w:rsid w:val="007F0B2E"/>
  </w:style>
  <w:style w:type="paragraph" w:customStyle="1" w:styleId="Restitle">
    <w:name w:val="Res_title"/>
    <w:basedOn w:val="Normal"/>
    <w:next w:val="Resref"/>
    <w:rsid w:val="007F0B2E"/>
    <w:pPr>
      <w:spacing w:before="240"/>
      <w:jc w:val="center"/>
    </w:pPr>
    <w:rPr>
      <w:b/>
      <w:sz w:val="28"/>
    </w:rPr>
  </w:style>
  <w:style w:type="paragraph" w:customStyle="1" w:styleId="Resref">
    <w:name w:val="Res_ref"/>
    <w:basedOn w:val="Recref"/>
    <w:next w:val="Resdate"/>
    <w:rsid w:val="007F0B2E"/>
  </w:style>
  <w:style w:type="paragraph" w:customStyle="1" w:styleId="SectionNo">
    <w:name w:val="Section_No"/>
    <w:basedOn w:val="Normal"/>
    <w:next w:val="Normal"/>
    <w:rsid w:val="007F0B2E"/>
  </w:style>
  <w:style w:type="paragraph" w:customStyle="1" w:styleId="Sectiontitle">
    <w:name w:val="Section_title"/>
    <w:basedOn w:val="Normal"/>
    <w:next w:val="Normalaftertitle"/>
    <w:rsid w:val="007F0B2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F0B2E"/>
    <w:pPr>
      <w:tabs>
        <w:tab w:val="clear" w:pos="794"/>
        <w:tab w:val="clear" w:pos="1191"/>
        <w:tab w:val="clear" w:pos="1588"/>
        <w:tab w:val="clear" w:pos="1985"/>
        <w:tab w:val="right" w:pos="9611"/>
      </w:tabs>
    </w:pPr>
    <w:rPr>
      <w:i/>
    </w:rPr>
  </w:style>
  <w:style w:type="paragraph" w:styleId="TOC1">
    <w:name w:val="toc 1"/>
    <w:basedOn w:val="Normal"/>
    <w:semiHidden/>
    <w:rsid w:val="007F0B2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F0B2E"/>
    <w:pPr>
      <w:tabs>
        <w:tab w:val="clear" w:pos="567"/>
        <w:tab w:val="left" w:pos="1276"/>
      </w:tabs>
      <w:spacing w:before="160"/>
      <w:ind w:left="1276" w:hanging="709"/>
    </w:pPr>
  </w:style>
  <w:style w:type="paragraph" w:styleId="TOC3">
    <w:name w:val="toc 3"/>
    <w:basedOn w:val="TOC2"/>
    <w:semiHidden/>
    <w:rsid w:val="007F0B2E"/>
    <w:pPr>
      <w:tabs>
        <w:tab w:val="clear" w:pos="1276"/>
        <w:tab w:val="left" w:pos="2155"/>
      </w:tabs>
      <w:ind w:left="2155" w:hanging="879"/>
    </w:pPr>
  </w:style>
  <w:style w:type="paragraph" w:styleId="TOC4">
    <w:name w:val="toc 4"/>
    <w:basedOn w:val="TOC3"/>
    <w:semiHidden/>
    <w:rsid w:val="007F0B2E"/>
    <w:pPr>
      <w:tabs>
        <w:tab w:val="left" w:pos="3261"/>
      </w:tabs>
      <w:spacing w:before="80"/>
      <w:ind w:left="3261" w:hanging="993"/>
    </w:pPr>
  </w:style>
  <w:style w:type="paragraph" w:styleId="TOC5">
    <w:name w:val="toc 5"/>
    <w:basedOn w:val="TOC4"/>
    <w:semiHidden/>
    <w:rsid w:val="007F0B2E"/>
  </w:style>
  <w:style w:type="paragraph" w:styleId="TOC6">
    <w:name w:val="toc 6"/>
    <w:basedOn w:val="TOC4"/>
    <w:semiHidden/>
    <w:rsid w:val="007F0B2E"/>
  </w:style>
  <w:style w:type="paragraph" w:styleId="TOC7">
    <w:name w:val="toc 7"/>
    <w:basedOn w:val="TOC4"/>
    <w:semiHidden/>
    <w:rsid w:val="007F0B2E"/>
  </w:style>
  <w:style w:type="paragraph" w:styleId="TOC8">
    <w:name w:val="toc 8"/>
    <w:basedOn w:val="TOC4"/>
    <w:semiHidden/>
    <w:rsid w:val="007F0B2E"/>
  </w:style>
  <w:style w:type="paragraph" w:customStyle="1" w:styleId="Annexref">
    <w:name w:val="Annex_ref"/>
    <w:basedOn w:val="Normal"/>
    <w:next w:val="Normalaftertitle"/>
    <w:rsid w:val="007F0B2E"/>
    <w:pPr>
      <w:keepNext/>
      <w:keepLines/>
      <w:spacing w:after="280"/>
      <w:jc w:val="center"/>
    </w:pPr>
  </w:style>
  <w:style w:type="paragraph" w:customStyle="1" w:styleId="Appendixref">
    <w:name w:val="Appendix_ref"/>
    <w:basedOn w:val="Annexref"/>
    <w:next w:val="Normalaftertitle"/>
    <w:rsid w:val="007F0B2E"/>
  </w:style>
  <w:style w:type="paragraph" w:customStyle="1" w:styleId="Tabletitle">
    <w:name w:val="Table_title"/>
    <w:basedOn w:val="Normal"/>
    <w:next w:val="Tablehead"/>
    <w:link w:val="TabletitleChar"/>
    <w:rsid w:val="007F0B2E"/>
    <w:pPr>
      <w:keepNext/>
      <w:spacing w:before="0" w:after="120"/>
      <w:jc w:val="center"/>
    </w:pPr>
    <w:rPr>
      <w:b/>
    </w:rPr>
  </w:style>
  <w:style w:type="character" w:customStyle="1" w:styleId="TabletitleChar">
    <w:name w:val="Table_title Char"/>
    <w:link w:val="Tabletitle"/>
    <w:rsid w:val="007F0B2E"/>
    <w:rPr>
      <w:b/>
      <w:sz w:val="24"/>
      <w:lang w:val="fr-FR" w:eastAsia="en-US"/>
    </w:rPr>
  </w:style>
  <w:style w:type="paragraph" w:customStyle="1" w:styleId="Summary">
    <w:name w:val="Summary"/>
    <w:basedOn w:val="Normal"/>
    <w:next w:val="Normalaftertitle"/>
    <w:autoRedefine/>
    <w:rsid w:val="007F0B2E"/>
    <w:pPr>
      <w:spacing w:after="480"/>
    </w:pPr>
    <w:rPr>
      <w:sz w:val="22"/>
      <w:lang w:val="es-ES_tradnl"/>
    </w:rPr>
  </w:style>
  <w:style w:type="paragraph" w:customStyle="1" w:styleId="TableLegendNote">
    <w:name w:val="Table_Legend_Note"/>
    <w:basedOn w:val="Tablelegend"/>
    <w:next w:val="Tablelegend"/>
    <w:rsid w:val="007F0B2E"/>
    <w:pPr>
      <w:ind w:left="-85" w:firstLine="0"/>
    </w:pPr>
    <w:rPr>
      <w:lang w:val="en-US"/>
    </w:rPr>
  </w:style>
  <w:style w:type="character" w:styleId="Hyperlink">
    <w:name w:val="Hyperlink"/>
    <w:rsid w:val="007F0B2E"/>
    <w:rPr>
      <w:color w:val="0000FF"/>
      <w:u w:val="single"/>
    </w:rPr>
  </w:style>
  <w:style w:type="paragraph" w:styleId="BalloonText">
    <w:name w:val="Balloon Text"/>
    <w:basedOn w:val="Normal"/>
    <w:link w:val="BalloonTextChar"/>
    <w:rsid w:val="003C5714"/>
    <w:pPr>
      <w:spacing w:before="0"/>
    </w:pPr>
    <w:rPr>
      <w:rFonts w:ascii="Tahoma" w:hAnsi="Tahoma" w:cs="Tahoma"/>
      <w:sz w:val="16"/>
      <w:szCs w:val="16"/>
    </w:rPr>
  </w:style>
  <w:style w:type="character" w:customStyle="1" w:styleId="BalloonTextChar">
    <w:name w:val="Balloon Text Char"/>
    <w:basedOn w:val="DefaultParagraphFont"/>
    <w:link w:val="BalloonText"/>
    <w:rsid w:val="003C5714"/>
    <w:rPr>
      <w:rFonts w:ascii="Tahoma" w:hAnsi="Tahoma" w:cs="Tahoma"/>
      <w:sz w:val="16"/>
      <w:szCs w:val="16"/>
      <w:lang w:val="fr-FR" w:eastAsia="en-US"/>
    </w:rPr>
  </w:style>
  <w:style w:type="paragraph" w:styleId="ListBullet">
    <w:name w:val="List Bullet"/>
    <w:basedOn w:val="Normal"/>
    <w:rsid w:val="00594C22"/>
    <w:pPr>
      <w:numPr>
        <w:numId w:val="1"/>
      </w:numPr>
      <w:contextualSpacing/>
    </w:pPr>
  </w:style>
  <w:style w:type="paragraph" w:customStyle="1" w:styleId="Reasons">
    <w:name w:val="Reasons"/>
    <w:basedOn w:val="Normal"/>
    <w:qFormat/>
    <w:rsid w:val="00C44882"/>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0B2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F0B2E"/>
    <w:pPr>
      <w:keepNext/>
      <w:keepLines/>
      <w:spacing w:before="480"/>
      <w:ind w:left="794" w:hanging="794"/>
      <w:outlineLvl w:val="0"/>
    </w:pPr>
    <w:rPr>
      <w:b/>
    </w:rPr>
  </w:style>
  <w:style w:type="paragraph" w:styleId="Heading2">
    <w:name w:val="heading 2"/>
    <w:basedOn w:val="Heading1"/>
    <w:next w:val="Normal"/>
    <w:link w:val="Heading2Char"/>
    <w:qFormat/>
    <w:rsid w:val="007F0B2E"/>
    <w:pPr>
      <w:spacing w:before="320"/>
      <w:outlineLvl w:val="1"/>
    </w:pPr>
  </w:style>
  <w:style w:type="paragraph" w:styleId="Heading3">
    <w:name w:val="heading 3"/>
    <w:basedOn w:val="Heading1"/>
    <w:next w:val="Normal"/>
    <w:qFormat/>
    <w:rsid w:val="007F0B2E"/>
    <w:pPr>
      <w:spacing w:before="200"/>
      <w:outlineLvl w:val="2"/>
    </w:pPr>
  </w:style>
  <w:style w:type="paragraph" w:styleId="Heading4">
    <w:name w:val="heading 4"/>
    <w:basedOn w:val="Heading3"/>
    <w:next w:val="Normal"/>
    <w:qFormat/>
    <w:rsid w:val="007F0B2E"/>
    <w:pPr>
      <w:tabs>
        <w:tab w:val="clear" w:pos="794"/>
        <w:tab w:val="left" w:pos="992"/>
      </w:tabs>
      <w:ind w:left="992" w:hanging="992"/>
      <w:outlineLvl w:val="3"/>
    </w:pPr>
  </w:style>
  <w:style w:type="paragraph" w:styleId="Heading5">
    <w:name w:val="heading 5"/>
    <w:basedOn w:val="Heading4"/>
    <w:next w:val="Normal"/>
    <w:qFormat/>
    <w:rsid w:val="007F0B2E"/>
    <w:pPr>
      <w:outlineLvl w:val="4"/>
    </w:pPr>
  </w:style>
  <w:style w:type="paragraph" w:styleId="Heading6">
    <w:name w:val="heading 6"/>
    <w:basedOn w:val="Heading4"/>
    <w:next w:val="Normal"/>
    <w:qFormat/>
    <w:rsid w:val="007F0B2E"/>
    <w:pPr>
      <w:tabs>
        <w:tab w:val="clear" w:pos="992"/>
        <w:tab w:val="clear" w:pos="1191"/>
      </w:tabs>
      <w:ind w:left="1588" w:hanging="1588"/>
      <w:outlineLvl w:val="5"/>
    </w:pPr>
  </w:style>
  <w:style w:type="paragraph" w:styleId="Heading7">
    <w:name w:val="heading 7"/>
    <w:basedOn w:val="Heading6"/>
    <w:next w:val="Normal"/>
    <w:qFormat/>
    <w:rsid w:val="007F0B2E"/>
    <w:pPr>
      <w:outlineLvl w:val="6"/>
    </w:pPr>
  </w:style>
  <w:style w:type="paragraph" w:styleId="Heading8">
    <w:name w:val="heading 8"/>
    <w:basedOn w:val="Heading6"/>
    <w:next w:val="Normal"/>
    <w:qFormat/>
    <w:rsid w:val="007F0B2E"/>
    <w:pPr>
      <w:outlineLvl w:val="7"/>
    </w:pPr>
  </w:style>
  <w:style w:type="paragraph" w:styleId="Heading9">
    <w:name w:val="heading 9"/>
    <w:basedOn w:val="Heading6"/>
    <w:next w:val="Normal"/>
    <w:qFormat/>
    <w:rsid w:val="007F0B2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0B2E"/>
    <w:rPr>
      <w:b/>
      <w:sz w:val="24"/>
      <w:lang w:val="fr-FR" w:eastAsia="en-US"/>
    </w:rPr>
  </w:style>
  <w:style w:type="character" w:customStyle="1" w:styleId="Heading2Char">
    <w:name w:val="Heading 2 Char"/>
    <w:basedOn w:val="DefaultParagraphFont"/>
    <w:link w:val="Heading2"/>
    <w:rsid w:val="007F0B2E"/>
    <w:rPr>
      <w:b/>
      <w:sz w:val="24"/>
      <w:lang w:val="fr-FR" w:eastAsia="en-US"/>
    </w:rPr>
  </w:style>
  <w:style w:type="paragraph" w:styleId="Header">
    <w:name w:val="header"/>
    <w:basedOn w:val="Normal"/>
    <w:link w:val="HeaderChar"/>
    <w:rsid w:val="007F0B2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F0B2E"/>
    <w:rPr>
      <w:sz w:val="24"/>
      <w:lang w:val="fr-FR" w:eastAsia="en-US"/>
    </w:rPr>
  </w:style>
  <w:style w:type="paragraph" w:styleId="Footer">
    <w:name w:val="footer"/>
    <w:basedOn w:val="Normal"/>
    <w:rsid w:val="007F0B2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F0B2E"/>
  </w:style>
  <w:style w:type="paragraph" w:customStyle="1" w:styleId="Headingb">
    <w:name w:val="Heading_b"/>
    <w:basedOn w:val="Heading3"/>
    <w:next w:val="Normal"/>
    <w:rsid w:val="007F0B2E"/>
    <w:pPr>
      <w:spacing w:before="160"/>
      <w:ind w:left="0" w:firstLine="0"/>
      <w:outlineLvl w:val="9"/>
    </w:pPr>
  </w:style>
  <w:style w:type="paragraph" w:customStyle="1" w:styleId="Headingi">
    <w:name w:val="Heading_i"/>
    <w:basedOn w:val="Heading3"/>
    <w:next w:val="Normal"/>
    <w:rsid w:val="007F0B2E"/>
    <w:pPr>
      <w:spacing w:before="160"/>
      <w:ind w:left="0" w:firstLine="0"/>
    </w:pPr>
    <w:rPr>
      <w:b w:val="0"/>
      <w:i/>
    </w:rPr>
  </w:style>
  <w:style w:type="character" w:customStyle="1" w:styleId="href">
    <w:name w:val="href"/>
    <w:basedOn w:val="DefaultParagraphFont"/>
    <w:rsid w:val="007F0B2E"/>
  </w:style>
  <w:style w:type="paragraph" w:customStyle="1" w:styleId="enumlev1">
    <w:name w:val="enumlev1"/>
    <w:basedOn w:val="Normal"/>
    <w:link w:val="enumlev1Char"/>
    <w:rsid w:val="007F0B2E"/>
    <w:pPr>
      <w:spacing w:before="80"/>
      <w:ind w:left="794" w:hanging="794"/>
    </w:pPr>
  </w:style>
  <w:style w:type="character" w:customStyle="1" w:styleId="enumlev1Char">
    <w:name w:val="enumlev1 Char"/>
    <w:link w:val="enumlev1"/>
    <w:rsid w:val="007F0B2E"/>
    <w:rPr>
      <w:sz w:val="24"/>
      <w:lang w:val="fr-FR" w:eastAsia="en-US"/>
    </w:rPr>
  </w:style>
  <w:style w:type="paragraph" w:customStyle="1" w:styleId="enumlev2">
    <w:name w:val="enumlev2"/>
    <w:basedOn w:val="enumlev1"/>
    <w:rsid w:val="007F0B2E"/>
    <w:pPr>
      <w:ind w:left="1191" w:hanging="397"/>
    </w:pPr>
  </w:style>
  <w:style w:type="paragraph" w:customStyle="1" w:styleId="enumlev3">
    <w:name w:val="enumlev3"/>
    <w:basedOn w:val="enumlev2"/>
    <w:rsid w:val="007F0B2E"/>
    <w:pPr>
      <w:ind w:left="1588"/>
    </w:pPr>
  </w:style>
  <w:style w:type="paragraph" w:customStyle="1" w:styleId="Normalaftertitle">
    <w:name w:val="Normal_after_title"/>
    <w:basedOn w:val="Normal"/>
    <w:next w:val="Normal"/>
    <w:rsid w:val="007F0B2E"/>
    <w:pPr>
      <w:spacing w:before="320"/>
    </w:pPr>
  </w:style>
  <w:style w:type="paragraph" w:customStyle="1" w:styleId="Note">
    <w:name w:val="Note"/>
    <w:basedOn w:val="Normal"/>
    <w:rsid w:val="007F0B2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F0B2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F0B2E"/>
    <w:pPr>
      <w:keepNext/>
      <w:keepLines/>
      <w:spacing w:before="240"/>
      <w:jc w:val="center"/>
    </w:pPr>
    <w:rPr>
      <w:b/>
      <w:sz w:val="28"/>
    </w:rPr>
  </w:style>
  <w:style w:type="paragraph" w:customStyle="1" w:styleId="Recref">
    <w:name w:val="Rec_ref"/>
    <w:basedOn w:val="Normal"/>
    <w:next w:val="Recdate"/>
    <w:rsid w:val="007F0B2E"/>
    <w:pPr>
      <w:jc w:val="center"/>
    </w:pPr>
  </w:style>
  <w:style w:type="paragraph" w:customStyle="1" w:styleId="Recdate">
    <w:name w:val="Rec_date"/>
    <w:basedOn w:val="Recref"/>
    <w:next w:val="Normalaftertitle"/>
    <w:rsid w:val="007F0B2E"/>
    <w:pPr>
      <w:jc w:val="right"/>
    </w:pPr>
  </w:style>
  <w:style w:type="paragraph" w:customStyle="1" w:styleId="HeadingSum">
    <w:name w:val="Heading_Sum"/>
    <w:basedOn w:val="Headingb"/>
    <w:next w:val="Normal"/>
    <w:autoRedefine/>
    <w:rsid w:val="007F0B2E"/>
    <w:pPr>
      <w:spacing w:before="240"/>
    </w:pPr>
    <w:rPr>
      <w:sz w:val="22"/>
      <w:lang w:val="es-ES_tradnl"/>
    </w:rPr>
  </w:style>
  <w:style w:type="paragraph" w:customStyle="1" w:styleId="AnnexNoTitle">
    <w:name w:val="Annex_NoTitle"/>
    <w:basedOn w:val="Normal"/>
    <w:next w:val="Normalaftertitle"/>
    <w:rsid w:val="007F0B2E"/>
    <w:pPr>
      <w:keepNext/>
      <w:keepLines/>
      <w:spacing w:before="480" w:after="80"/>
      <w:jc w:val="center"/>
    </w:pPr>
    <w:rPr>
      <w:b/>
      <w:sz w:val="28"/>
    </w:rPr>
  </w:style>
  <w:style w:type="paragraph" w:customStyle="1" w:styleId="AppendixNoTitle">
    <w:name w:val="Appendix_NoTitle"/>
    <w:basedOn w:val="AnnexNoTitle"/>
    <w:next w:val="Normal"/>
    <w:rsid w:val="007F0B2E"/>
  </w:style>
  <w:style w:type="paragraph" w:customStyle="1" w:styleId="Tablefin">
    <w:name w:val="Table_fin"/>
    <w:basedOn w:val="Normal"/>
    <w:next w:val="Normal"/>
    <w:rsid w:val="007F0B2E"/>
    <w:pPr>
      <w:spacing w:before="0"/>
    </w:pPr>
    <w:rPr>
      <w:sz w:val="20"/>
      <w:lang w:val="en-GB"/>
    </w:rPr>
  </w:style>
  <w:style w:type="paragraph" w:customStyle="1" w:styleId="Tablehead">
    <w:name w:val="Table_head"/>
    <w:basedOn w:val="Normal"/>
    <w:next w:val="Normal"/>
    <w:link w:val="TableheadChar"/>
    <w:rsid w:val="007F0B2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7F0B2E"/>
    <w:rPr>
      <w:b/>
      <w:sz w:val="22"/>
      <w:lang w:val="fr-FR" w:eastAsia="en-US"/>
    </w:rPr>
  </w:style>
  <w:style w:type="paragraph" w:customStyle="1" w:styleId="Tablelegend">
    <w:name w:val="Table_legend"/>
    <w:basedOn w:val="Normal"/>
    <w:link w:val="TablelegendChar"/>
    <w:rsid w:val="007F0B2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rsid w:val="007F0B2E"/>
    <w:rPr>
      <w:sz w:val="22"/>
      <w:lang w:val="fr-FR" w:eastAsia="en-US"/>
    </w:rPr>
  </w:style>
  <w:style w:type="paragraph" w:customStyle="1" w:styleId="TableNo">
    <w:name w:val="Table_No"/>
    <w:basedOn w:val="Normal"/>
    <w:next w:val="Normal"/>
    <w:link w:val="TableNoChar"/>
    <w:rsid w:val="007F0B2E"/>
    <w:pPr>
      <w:keepNext/>
      <w:spacing w:before="360" w:after="120"/>
      <w:jc w:val="center"/>
    </w:pPr>
  </w:style>
  <w:style w:type="character" w:customStyle="1" w:styleId="TableNoChar">
    <w:name w:val="Table_No Char"/>
    <w:link w:val="TableNo"/>
    <w:rsid w:val="007F0B2E"/>
    <w:rPr>
      <w:sz w:val="24"/>
      <w:lang w:val="fr-FR" w:eastAsia="en-US"/>
    </w:rPr>
  </w:style>
  <w:style w:type="paragraph" w:customStyle="1" w:styleId="Tabletext">
    <w:name w:val="Table_text"/>
    <w:basedOn w:val="Normal"/>
    <w:link w:val="TabletextChar"/>
    <w:rsid w:val="007F0B2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rsid w:val="007F0B2E"/>
    <w:rPr>
      <w:sz w:val="22"/>
      <w:lang w:val="fr-FR" w:eastAsia="en-US"/>
    </w:rPr>
  </w:style>
  <w:style w:type="paragraph" w:customStyle="1" w:styleId="Equation">
    <w:name w:val="Equation"/>
    <w:basedOn w:val="Normal"/>
    <w:rsid w:val="007F0B2E"/>
    <w:pPr>
      <w:tabs>
        <w:tab w:val="clear" w:pos="1191"/>
        <w:tab w:val="clear" w:pos="1588"/>
        <w:tab w:val="clear" w:pos="1985"/>
        <w:tab w:val="center" w:pos="4820"/>
        <w:tab w:val="right" w:pos="9639"/>
      </w:tabs>
    </w:pPr>
  </w:style>
  <w:style w:type="paragraph" w:customStyle="1" w:styleId="Equationlegend">
    <w:name w:val="Equation_legend"/>
    <w:basedOn w:val="NormalIndent"/>
    <w:rsid w:val="007F0B2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F0B2E"/>
    <w:pPr>
      <w:ind w:left="794"/>
    </w:pPr>
  </w:style>
  <w:style w:type="paragraph" w:customStyle="1" w:styleId="Figurelegend">
    <w:name w:val="Figure_legend"/>
    <w:basedOn w:val="Normal"/>
    <w:rsid w:val="007F0B2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F0B2E"/>
    <w:pPr>
      <w:keepNext/>
      <w:keepLines/>
      <w:spacing w:before="480" w:after="80"/>
      <w:jc w:val="center"/>
    </w:pPr>
    <w:rPr>
      <w:caps/>
      <w:sz w:val="18"/>
    </w:rPr>
  </w:style>
  <w:style w:type="paragraph" w:customStyle="1" w:styleId="Figuretitle">
    <w:name w:val="Figure_title"/>
    <w:basedOn w:val="Normal"/>
    <w:next w:val="Figure"/>
    <w:link w:val="FiguretitleChar"/>
    <w:rsid w:val="007F0B2E"/>
    <w:pPr>
      <w:keepNext/>
      <w:spacing w:before="0" w:after="120"/>
      <w:jc w:val="center"/>
    </w:pPr>
    <w:rPr>
      <w:rFonts w:ascii="Times New Roman Bold" w:hAnsi="Times New Roman Bold"/>
      <w:b/>
      <w:sz w:val="18"/>
    </w:rPr>
  </w:style>
  <w:style w:type="paragraph" w:customStyle="1" w:styleId="Figure">
    <w:name w:val="Figure"/>
    <w:basedOn w:val="FigureNo"/>
    <w:next w:val="Normal"/>
    <w:rsid w:val="007F0B2E"/>
    <w:pPr>
      <w:keepNext w:val="0"/>
      <w:spacing w:before="0" w:after="240"/>
    </w:pPr>
  </w:style>
  <w:style w:type="character" w:customStyle="1" w:styleId="FiguretitleChar">
    <w:name w:val="Figure_title Char"/>
    <w:link w:val="Figuretitle"/>
    <w:rsid w:val="007F0B2E"/>
    <w:rPr>
      <w:rFonts w:ascii="Times New Roman Bold" w:hAnsi="Times New Roman Bold"/>
      <w:b/>
      <w:sz w:val="18"/>
      <w:lang w:val="fr-FR" w:eastAsia="en-US"/>
    </w:rPr>
  </w:style>
  <w:style w:type="character" w:customStyle="1" w:styleId="FigureNoChar">
    <w:name w:val="Figure_No Char"/>
    <w:link w:val="FigureNo"/>
    <w:rsid w:val="007F0B2E"/>
    <w:rPr>
      <w:caps/>
      <w:sz w:val="18"/>
      <w:lang w:val="fr-FR" w:eastAsia="en-US"/>
    </w:rPr>
  </w:style>
  <w:style w:type="paragraph" w:customStyle="1" w:styleId="tocpart">
    <w:name w:val="tocpart"/>
    <w:basedOn w:val="Normal"/>
    <w:rsid w:val="007F0B2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F0B2E"/>
    <w:pPr>
      <w:keepNext/>
      <w:keepLines/>
      <w:spacing w:before="480"/>
      <w:jc w:val="center"/>
    </w:pPr>
    <w:rPr>
      <w:sz w:val="28"/>
    </w:rPr>
  </w:style>
  <w:style w:type="paragraph" w:customStyle="1" w:styleId="Arttitle">
    <w:name w:val="Art_title"/>
    <w:basedOn w:val="Normal"/>
    <w:next w:val="Normalaftertitle"/>
    <w:rsid w:val="007F0B2E"/>
    <w:pPr>
      <w:keepNext/>
      <w:keepLines/>
      <w:spacing w:before="240"/>
      <w:jc w:val="center"/>
    </w:pPr>
    <w:rPr>
      <w:b/>
      <w:sz w:val="28"/>
    </w:rPr>
  </w:style>
  <w:style w:type="paragraph" w:customStyle="1" w:styleId="Blanc">
    <w:name w:val="Blanc"/>
    <w:basedOn w:val="Normal"/>
    <w:next w:val="Tabletext"/>
    <w:rsid w:val="007F0B2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F0B2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F0B2E"/>
    <w:pPr>
      <w:keepNext/>
      <w:keepLines/>
      <w:spacing w:before="160"/>
      <w:ind w:left="794"/>
    </w:pPr>
    <w:rPr>
      <w:i/>
    </w:rPr>
  </w:style>
  <w:style w:type="paragraph" w:customStyle="1" w:styleId="ChapNo">
    <w:name w:val="Chap_No"/>
    <w:basedOn w:val="ArtNo"/>
    <w:next w:val="Chaptitle"/>
    <w:rsid w:val="007F0B2E"/>
    <w:rPr>
      <w:b/>
    </w:rPr>
  </w:style>
  <w:style w:type="paragraph" w:customStyle="1" w:styleId="Chaptitle">
    <w:name w:val="Chap_title"/>
    <w:basedOn w:val="Arttitle"/>
    <w:next w:val="Normalaftertitle"/>
    <w:rsid w:val="007F0B2E"/>
  </w:style>
  <w:style w:type="character" w:styleId="FootnoteReference">
    <w:name w:val="footnote reference"/>
    <w:basedOn w:val="DefaultParagraphFont"/>
    <w:rsid w:val="007F0B2E"/>
    <w:rPr>
      <w:position w:val="6"/>
      <w:sz w:val="18"/>
    </w:rPr>
  </w:style>
  <w:style w:type="paragraph" w:styleId="FootnoteText">
    <w:name w:val="footnote text"/>
    <w:basedOn w:val="Normal"/>
    <w:link w:val="FootnoteTextChar"/>
    <w:rsid w:val="007F0B2E"/>
    <w:pPr>
      <w:keepLines/>
      <w:tabs>
        <w:tab w:val="left" w:pos="255"/>
      </w:tabs>
      <w:ind w:left="255" w:hanging="255"/>
    </w:pPr>
    <w:rPr>
      <w:sz w:val="22"/>
    </w:rPr>
  </w:style>
  <w:style w:type="character" w:customStyle="1" w:styleId="FootnoteTextChar">
    <w:name w:val="Footnote Text Char"/>
    <w:basedOn w:val="DefaultParagraphFont"/>
    <w:link w:val="FootnoteText"/>
    <w:rsid w:val="007F0B2E"/>
    <w:rPr>
      <w:sz w:val="22"/>
      <w:lang w:val="fr-FR" w:eastAsia="en-US"/>
    </w:rPr>
  </w:style>
  <w:style w:type="paragraph" w:styleId="Index1">
    <w:name w:val="index 1"/>
    <w:basedOn w:val="Normal"/>
    <w:next w:val="Normal"/>
    <w:semiHidden/>
    <w:rsid w:val="007F0B2E"/>
  </w:style>
  <w:style w:type="paragraph" w:styleId="Index2">
    <w:name w:val="index 2"/>
    <w:basedOn w:val="Normal"/>
    <w:next w:val="Normal"/>
    <w:semiHidden/>
    <w:rsid w:val="007F0B2E"/>
    <w:pPr>
      <w:ind w:left="283"/>
    </w:pPr>
  </w:style>
  <w:style w:type="paragraph" w:styleId="Index3">
    <w:name w:val="index 3"/>
    <w:basedOn w:val="Normal"/>
    <w:next w:val="Normal"/>
    <w:semiHidden/>
    <w:rsid w:val="007F0B2E"/>
    <w:pPr>
      <w:ind w:left="566"/>
    </w:pPr>
  </w:style>
  <w:style w:type="paragraph" w:styleId="IndexHeading">
    <w:name w:val="index heading"/>
    <w:basedOn w:val="Normal"/>
    <w:next w:val="Index1"/>
    <w:semiHidden/>
    <w:rsid w:val="007F0B2E"/>
  </w:style>
  <w:style w:type="paragraph" w:customStyle="1" w:styleId="Line">
    <w:name w:val="Line"/>
    <w:basedOn w:val="Normal"/>
    <w:next w:val="Normal"/>
    <w:rsid w:val="007F0B2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F0B2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F0B2E"/>
  </w:style>
  <w:style w:type="paragraph" w:customStyle="1" w:styleId="Partref">
    <w:name w:val="Part_ref"/>
    <w:basedOn w:val="Normal"/>
    <w:next w:val="Normal"/>
    <w:rsid w:val="007F0B2E"/>
    <w:pPr>
      <w:keepNext/>
      <w:keepLines/>
      <w:spacing w:after="280"/>
      <w:jc w:val="center"/>
    </w:pPr>
  </w:style>
  <w:style w:type="paragraph" w:customStyle="1" w:styleId="Parttitle">
    <w:name w:val="Part_title"/>
    <w:basedOn w:val="Normal"/>
    <w:next w:val="Normalaftertitle"/>
    <w:rsid w:val="007F0B2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F0B2E"/>
  </w:style>
  <w:style w:type="paragraph" w:customStyle="1" w:styleId="QuestionNo">
    <w:name w:val="Question_No"/>
    <w:basedOn w:val="RecNo"/>
    <w:next w:val="Normal"/>
    <w:rsid w:val="007F0B2E"/>
  </w:style>
  <w:style w:type="paragraph" w:customStyle="1" w:styleId="Questionref">
    <w:name w:val="Question_ref"/>
    <w:basedOn w:val="Recref"/>
    <w:next w:val="Questiondate"/>
    <w:rsid w:val="007F0B2E"/>
  </w:style>
  <w:style w:type="paragraph" w:customStyle="1" w:styleId="Questiontitle">
    <w:name w:val="Question_title"/>
    <w:basedOn w:val="Normal"/>
    <w:next w:val="Questionref"/>
    <w:rsid w:val="007F0B2E"/>
  </w:style>
  <w:style w:type="paragraph" w:customStyle="1" w:styleId="Reftext">
    <w:name w:val="Ref_text"/>
    <w:basedOn w:val="Normal"/>
    <w:rsid w:val="007F0B2E"/>
    <w:pPr>
      <w:ind w:left="794" w:hanging="794"/>
    </w:pPr>
    <w:rPr>
      <w:sz w:val="22"/>
    </w:rPr>
  </w:style>
  <w:style w:type="paragraph" w:customStyle="1" w:styleId="Reftitle">
    <w:name w:val="Ref_title"/>
    <w:basedOn w:val="Normal"/>
    <w:next w:val="Reftext"/>
    <w:rsid w:val="007F0B2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F0B2E"/>
  </w:style>
  <w:style w:type="paragraph" w:customStyle="1" w:styleId="RepNo">
    <w:name w:val="Rep_No"/>
    <w:basedOn w:val="RecNo"/>
    <w:next w:val="Reptitle"/>
    <w:rsid w:val="007F0B2E"/>
  </w:style>
  <w:style w:type="paragraph" w:customStyle="1" w:styleId="Reptitle">
    <w:name w:val="Rep_title"/>
    <w:basedOn w:val="Rectitle"/>
    <w:next w:val="Repref"/>
    <w:rsid w:val="007F0B2E"/>
  </w:style>
  <w:style w:type="paragraph" w:customStyle="1" w:styleId="Repref">
    <w:name w:val="Rep_ref"/>
    <w:basedOn w:val="Recref"/>
    <w:next w:val="Repdate"/>
    <w:rsid w:val="007F0B2E"/>
  </w:style>
  <w:style w:type="paragraph" w:customStyle="1" w:styleId="Resdate">
    <w:name w:val="Res_date"/>
    <w:basedOn w:val="Recdate"/>
    <w:next w:val="Normalaftertitle"/>
    <w:rsid w:val="007F0B2E"/>
  </w:style>
  <w:style w:type="paragraph" w:customStyle="1" w:styleId="ResNo">
    <w:name w:val="Res_No"/>
    <w:basedOn w:val="RecNo"/>
    <w:next w:val="Restitle"/>
    <w:rsid w:val="007F0B2E"/>
  </w:style>
  <w:style w:type="paragraph" w:customStyle="1" w:styleId="Restitle">
    <w:name w:val="Res_title"/>
    <w:basedOn w:val="Normal"/>
    <w:next w:val="Resref"/>
    <w:rsid w:val="007F0B2E"/>
    <w:pPr>
      <w:spacing w:before="240"/>
      <w:jc w:val="center"/>
    </w:pPr>
    <w:rPr>
      <w:b/>
      <w:sz w:val="28"/>
    </w:rPr>
  </w:style>
  <w:style w:type="paragraph" w:customStyle="1" w:styleId="Resref">
    <w:name w:val="Res_ref"/>
    <w:basedOn w:val="Recref"/>
    <w:next w:val="Resdate"/>
    <w:rsid w:val="007F0B2E"/>
  </w:style>
  <w:style w:type="paragraph" w:customStyle="1" w:styleId="SectionNo">
    <w:name w:val="Section_No"/>
    <w:basedOn w:val="Normal"/>
    <w:next w:val="Normal"/>
    <w:rsid w:val="007F0B2E"/>
  </w:style>
  <w:style w:type="paragraph" w:customStyle="1" w:styleId="Sectiontitle">
    <w:name w:val="Section_title"/>
    <w:basedOn w:val="Normal"/>
    <w:next w:val="Normalaftertitle"/>
    <w:rsid w:val="007F0B2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F0B2E"/>
    <w:pPr>
      <w:tabs>
        <w:tab w:val="clear" w:pos="794"/>
        <w:tab w:val="clear" w:pos="1191"/>
        <w:tab w:val="clear" w:pos="1588"/>
        <w:tab w:val="clear" w:pos="1985"/>
        <w:tab w:val="right" w:pos="9611"/>
      </w:tabs>
    </w:pPr>
    <w:rPr>
      <w:i/>
    </w:rPr>
  </w:style>
  <w:style w:type="paragraph" w:styleId="TOC1">
    <w:name w:val="toc 1"/>
    <w:basedOn w:val="Normal"/>
    <w:semiHidden/>
    <w:rsid w:val="007F0B2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F0B2E"/>
    <w:pPr>
      <w:tabs>
        <w:tab w:val="clear" w:pos="567"/>
        <w:tab w:val="left" w:pos="1276"/>
      </w:tabs>
      <w:spacing w:before="160"/>
      <w:ind w:left="1276" w:hanging="709"/>
    </w:pPr>
  </w:style>
  <w:style w:type="paragraph" w:styleId="TOC3">
    <w:name w:val="toc 3"/>
    <w:basedOn w:val="TOC2"/>
    <w:semiHidden/>
    <w:rsid w:val="007F0B2E"/>
    <w:pPr>
      <w:tabs>
        <w:tab w:val="clear" w:pos="1276"/>
        <w:tab w:val="left" w:pos="2155"/>
      </w:tabs>
      <w:ind w:left="2155" w:hanging="879"/>
    </w:pPr>
  </w:style>
  <w:style w:type="paragraph" w:styleId="TOC4">
    <w:name w:val="toc 4"/>
    <w:basedOn w:val="TOC3"/>
    <w:semiHidden/>
    <w:rsid w:val="007F0B2E"/>
    <w:pPr>
      <w:tabs>
        <w:tab w:val="left" w:pos="3261"/>
      </w:tabs>
      <w:spacing w:before="80"/>
      <w:ind w:left="3261" w:hanging="993"/>
    </w:pPr>
  </w:style>
  <w:style w:type="paragraph" w:styleId="TOC5">
    <w:name w:val="toc 5"/>
    <w:basedOn w:val="TOC4"/>
    <w:semiHidden/>
    <w:rsid w:val="007F0B2E"/>
  </w:style>
  <w:style w:type="paragraph" w:styleId="TOC6">
    <w:name w:val="toc 6"/>
    <w:basedOn w:val="TOC4"/>
    <w:semiHidden/>
    <w:rsid w:val="007F0B2E"/>
  </w:style>
  <w:style w:type="paragraph" w:styleId="TOC7">
    <w:name w:val="toc 7"/>
    <w:basedOn w:val="TOC4"/>
    <w:semiHidden/>
    <w:rsid w:val="007F0B2E"/>
  </w:style>
  <w:style w:type="paragraph" w:styleId="TOC8">
    <w:name w:val="toc 8"/>
    <w:basedOn w:val="TOC4"/>
    <w:semiHidden/>
    <w:rsid w:val="007F0B2E"/>
  </w:style>
  <w:style w:type="paragraph" w:customStyle="1" w:styleId="Annexref">
    <w:name w:val="Annex_ref"/>
    <w:basedOn w:val="Normal"/>
    <w:next w:val="Normalaftertitle"/>
    <w:rsid w:val="007F0B2E"/>
    <w:pPr>
      <w:keepNext/>
      <w:keepLines/>
      <w:spacing w:after="280"/>
      <w:jc w:val="center"/>
    </w:pPr>
  </w:style>
  <w:style w:type="paragraph" w:customStyle="1" w:styleId="Appendixref">
    <w:name w:val="Appendix_ref"/>
    <w:basedOn w:val="Annexref"/>
    <w:next w:val="Normalaftertitle"/>
    <w:rsid w:val="007F0B2E"/>
  </w:style>
  <w:style w:type="paragraph" w:customStyle="1" w:styleId="Tabletitle">
    <w:name w:val="Table_title"/>
    <w:basedOn w:val="Normal"/>
    <w:next w:val="Tablehead"/>
    <w:link w:val="TabletitleChar"/>
    <w:rsid w:val="007F0B2E"/>
    <w:pPr>
      <w:keepNext/>
      <w:spacing w:before="0" w:after="120"/>
      <w:jc w:val="center"/>
    </w:pPr>
    <w:rPr>
      <w:b/>
    </w:rPr>
  </w:style>
  <w:style w:type="character" w:customStyle="1" w:styleId="TabletitleChar">
    <w:name w:val="Table_title Char"/>
    <w:link w:val="Tabletitle"/>
    <w:rsid w:val="007F0B2E"/>
    <w:rPr>
      <w:b/>
      <w:sz w:val="24"/>
      <w:lang w:val="fr-FR" w:eastAsia="en-US"/>
    </w:rPr>
  </w:style>
  <w:style w:type="paragraph" w:customStyle="1" w:styleId="Summary">
    <w:name w:val="Summary"/>
    <w:basedOn w:val="Normal"/>
    <w:next w:val="Normalaftertitle"/>
    <w:autoRedefine/>
    <w:rsid w:val="007F0B2E"/>
    <w:pPr>
      <w:spacing w:after="480"/>
    </w:pPr>
    <w:rPr>
      <w:sz w:val="22"/>
      <w:lang w:val="es-ES_tradnl"/>
    </w:rPr>
  </w:style>
  <w:style w:type="paragraph" w:customStyle="1" w:styleId="TableLegendNote">
    <w:name w:val="Table_Legend_Note"/>
    <w:basedOn w:val="Tablelegend"/>
    <w:next w:val="Tablelegend"/>
    <w:rsid w:val="007F0B2E"/>
    <w:pPr>
      <w:ind w:left="-85" w:firstLine="0"/>
    </w:pPr>
    <w:rPr>
      <w:lang w:val="en-US"/>
    </w:rPr>
  </w:style>
  <w:style w:type="character" w:styleId="Hyperlink">
    <w:name w:val="Hyperlink"/>
    <w:rsid w:val="007F0B2E"/>
    <w:rPr>
      <w:color w:val="0000FF"/>
      <w:u w:val="single"/>
    </w:rPr>
  </w:style>
  <w:style w:type="paragraph" w:styleId="BalloonText">
    <w:name w:val="Balloon Text"/>
    <w:basedOn w:val="Normal"/>
    <w:link w:val="BalloonTextChar"/>
    <w:rsid w:val="003C5714"/>
    <w:pPr>
      <w:spacing w:before="0"/>
    </w:pPr>
    <w:rPr>
      <w:rFonts w:ascii="Tahoma" w:hAnsi="Tahoma" w:cs="Tahoma"/>
      <w:sz w:val="16"/>
      <w:szCs w:val="16"/>
    </w:rPr>
  </w:style>
  <w:style w:type="character" w:customStyle="1" w:styleId="BalloonTextChar">
    <w:name w:val="Balloon Text Char"/>
    <w:basedOn w:val="DefaultParagraphFont"/>
    <w:link w:val="BalloonText"/>
    <w:rsid w:val="003C5714"/>
    <w:rPr>
      <w:rFonts w:ascii="Tahoma" w:hAnsi="Tahoma" w:cs="Tahoma"/>
      <w:sz w:val="16"/>
      <w:szCs w:val="16"/>
      <w:lang w:val="fr-FR" w:eastAsia="en-US"/>
    </w:rPr>
  </w:style>
  <w:style w:type="paragraph" w:styleId="ListBullet">
    <w:name w:val="List Bullet"/>
    <w:basedOn w:val="Normal"/>
    <w:rsid w:val="00594C22"/>
    <w:pPr>
      <w:numPr>
        <w:numId w:val="1"/>
      </w:numPr>
      <w:contextualSpacing/>
    </w:pPr>
  </w:style>
  <w:style w:type="paragraph" w:customStyle="1" w:styleId="Reasons">
    <w:name w:val="Reasons"/>
    <w:basedOn w:val="Normal"/>
    <w:qFormat/>
    <w:rsid w:val="00C44882"/>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eader" Target="header3.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39</TotalTime>
  <Pages>9</Pages>
  <Words>2294</Words>
  <Characters>13967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Soby, Michele</cp:lastModifiedBy>
  <cp:revision>8</cp:revision>
  <cp:lastPrinted>2005-02-10T15:54:00Z</cp:lastPrinted>
  <dcterms:created xsi:type="dcterms:W3CDTF">2012-04-12T08:18:00Z</dcterms:created>
  <dcterms:modified xsi:type="dcterms:W3CDTF">2012-06-04T08:28:00Z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