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2292" w:rsidRPr="00575CB8" w:rsidRDefault="00042292" w:rsidP="00042292">
      <w:pPr>
        <w:rPr>
          <w:lang w:val="en-US"/>
        </w:rPr>
      </w:pPr>
    </w:p>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tbl>
      <w:tblPr>
        <w:tblW w:w="10089" w:type="dxa"/>
        <w:tblLook w:val="01E0" w:firstRow="1" w:lastRow="1" w:firstColumn="1" w:lastColumn="1" w:noHBand="0" w:noVBand="0"/>
      </w:tblPr>
      <w:tblGrid>
        <w:gridCol w:w="10089"/>
      </w:tblGrid>
      <w:tr w:rsidR="00042292" w:rsidRPr="002D1484" w:rsidTr="00A07AEB">
        <w:tc>
          <w:tcPr>
            <w:tcW w:w="10089" w:type="dxa"/>
          </w:tcPr>
          <w:p w:rsidR="00042292" w:rsidRPr="00A07AEB" w:rsidRDefault="00042292" w:rsidP="00A07AEB">
            <w:pPr>
              <w:spacing w:before="380" w:line="280" w:lineRule="exact"/>
              <w:jc w:val="right"/>
              <w:rPr>
                <w:rFonts w:ascii="Tahoma" w:hAnsi="Tahoma" w:cs="Tahoma"/>
                <w:b/>
                <w:bCs/>
                <w:iCs/>
                <w:color w:val="243285"/>
                <w:sz w:val="32"/>
                <w:szCs w:val="32"/>
                <w:lang w:val="en-US"/>
              </w:rPr>
            </w:pPr>
          </w:p>
          <w:p w:rsidR="00042292" w:rsidRPr="00A07AEB" w:rsidRDefault="00042292" w:rsidP="009F72F8">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sidR="00567624">
              <w:rPr>
                <w:rFonts w:ascii="Tahoma" w:hAnsi="Tahoma" w:cs="Tahoma"/>
                <w:b/>
                <w:bCs/>
                <w:iCs/>
                <w:color w:val="243285"/>
                <w:sz w:val="36"/>
                <w:szCs w:val="36"/>
                <w:lang w:val="es-ES_tradnl"/>
              </w:rPr>
              <w:t>M.</w:t>
            </w:r>
            <w:r w:rsidR="009F72F8">
              <w:rPr>
                <w:rFonts w:ascii="Tahoma" w:hAnsi="Tahoma" w:cs="Tahoma"/>
                <w:b/>
                <w:bCs/>
                <w:iCs/>
                <w:color w:val="243285"/>
                <w:sz w:val="36"/>
                <w:szCs w:val="36"/>
                <w:lang w:val="es-ES_tradnl"/>
              </w:rPr>
              <w:t>1466-1</w:t>
            </w:r>
          </w:p>
          <w:p w:rsidR="00042292" w:rsidRPr="00A07AEB" w:rsidRDefault="00042292" w:rsidP="009F72F8">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9F72F8">
              <w:rPr>
                <w:rFonts w:ascii="Tahoma" w:hAnsi="Tahoma" w:cs="Tahoma"/>
                <w:b/>
                <w:bCs/>
                <w:iCs/>
                <w:color w:val="243285"/>
                <w:szCs w:val="24"/>
                <w:lang w:val="es-ES_tradnl"/>
              </w:rPr>
              <w:t>01</w:t>
            </w:r>
            <w:r w:rsidRPr="00A07AEB">
              <w:rPr>
                <w:rFonts w:ascii="Tahoma" w:hAnsi="Tahoma" w:cs="Tahoma"/>
                <w:b/>
                <w:bCs/>
                <w:iCs/>
                <w:color w:val="243285"/>
                <w:szCs w:val="24"/>
                <w:lang w:val="es-ES_tradnl"/>
              </w:rPr>
              <w:t>/</w:t>
            </w:r>
            <w:r w:rsidR="009F72F8">
              <w:rPr>
                <w:rFonts w:ascii="Tahoma" w:hAnsi="Tahoma" w:cs="Tahoma"/>
                <w:b/>
                <w:bCs/>
                <w:iCs/>
                <w:color w:val="243285"/>
                <w:szCs w:val="24"/>
                <w:lang w:val="es-ES_tradnl"/>
              </w:rPr>
              <w:t>2017</w:t>
            </w:r>
            <w:r w:rsidRPr="00A07AEB">
              <w:rPr>
                <w:rFonts w:ascii="Tahoma" w:hAnsi="Tahoma" w:cs="Tahoma"/>
                <w:b/>
                <w:bCs/>
                <w:iCs/>
                <w:color w:val="243285"/>
                <w:szCs w:val="24"/>
                <w:lang w:val="es-ES_tradnl"/>
              </w:rPr>
              <w:t>)</w:t>
            </w:r>
          </w:p>
        </w:tc>
      </w:tr>
      <w:tr w:rsidR="00042292" w:rsidRPr="00C22EC0" w:rsidTr="00A07AEB">
        <w:tc>
          <w:tcPr>
            <w:tcW w:w="10089" w:type="dxa"/>
          </w:tcPr>
          <w:p w:rsidR="00567624" w:rsidRPr="0010336F" w:rsidRDefault="00567624" w:rsidP="00567624">
            <w:pPr>
              <w:spacing w:before="80" w:line="500" w:lineRule="exact"/>
              <w:jc w:val="right"/>
              <w:rPr>
                <w:rFonts w:ascii="Tahoma" w:hAnsi="Tahoma" w:cs="Tahoma"/>
                <w:b/>
                <w:bCs/>
                <w:iCs/>
                <w:color w:val="243285"/>
                <w:sz w:val="44"/>
                <w:szCs w:val="44"/>
                <w:lang w:val="es-ES_tradnl"/>
              </w:rPr>
            </w:pPr>
          </w:p>
          <w:p w:rsidR="0021735B" w:rsidRPr="0010336F" w:rsidRDefault="0021735B" w:rsidP="0021735B">
            <w:pPr>
              <w:spacing w:before="80" w:line="500" w:lineRule="exact"/>
              <w:jc w:val="right"/>
              <w:rPr>
                <w:rFonts w:ascii="Tahoma" w:hAnsi="Tahoma" w:cs="Tahoma"/>
                <w:b/>
                <w:bCs/>
                <w:iCs/>
                <w:color w:val="243285"/>
                <w:sz w:val="44"/>
                <w:szCs w:val="44"/>
                <w:lang w:val="es-ES_tradnl"/>
              </w:rPr>
            </w:pPr>
          </w:p>
          <w:p w:rsidR="0021735B" w:rsidRDefault="009F72F8" w:rsidP="009F72F8">
            <w:pPr>
              <w:spacing w:before="80" w:line="500" w:lineRule="exact"/>
              <w:jc w:val="right"/>
              <w:rPr>
                <w:rFonts w:ascii="Tahoma" w:hAnsi="Tahoma" w:cs="Tahoma"/>
                <w:b/>
                <w:bCs/>
                <w:color w:val="243285"/>
                <w:sz w:val="44"/>
                <w:szCs w:val="44"/>
                <w:lang w:val="es-ES_tradnl"/>
              </w:rPr>
            </w:pPr>
            <w:r w:rsidRPr="009F72F8">
              <w:rPr>
                <w:rFonts w:ascii="Tahoma" w:hAnsi="Tahoma" w:cs="Tahoma"/>
                <w:b/>
                <w:bCs/>
                <w:color w:val="243285"/>
                <w:sz w:val="44"/>
                <w:szCs w:val="44"/>
                <w:lang w:val="es-ES_tradnl"/>
              </w:rPr>
              <w:t xml:space="preserve">Características y criterios de protección de los radaresque funcionan en el servicio </w:t>
            </w:r>
            <w:r>
              <w:rPr>
                <w:rFonts w:ascii="Tahoma" w:hAnsi="Tahoma" w:cs="Tahoma"/>
                <w:b/>
                <w:bCs/>
                <w:color w:val="243285"/>
                <w:sz w:val="44"/>
                <w:szCs w:val="44"/>
                <w:lang w:val="es-ES_tradnl"/>
              </w:rPr>
              <w:br/>
            </w:r>
            <w:r w:rsidRPr="009F72F8">
              <w:rPr>
                <w:rFonts w:ascii="Tahoma" w:hAnsi="Tahoma" w:cs="Tahoma"/>
                <w:b/>
                <w:bCs/>
                <w:color w:val="243285"/>
                <w:sz w:val="44"/>
                <w:szCs w:val="44"/>
                <w:lang w:val="es-ES_tradnl"/>
              </w:rPr>
              <w:t>de radionavegación</w:t>
            </w:r>
            <w:r>
              <w:rPr>
                <w:rFonts w:ascii="Tahoma" w:hAnsi="Tahoma" w:cs="Tahoma"/>
                <w:b/>
                <w:bCs/>
                <w:color w:val="243285"/>
                <w:sz w:val="44"/>
                <w:szCs w:val="44"/>
                <w:lang w:val="es-ES_tradnl"/>
              </w:rPr>
              <w:t xml:space="preserve"> </w:t>
            </w:r>
            <w:r w:rsidRPr="009F72F8">
              <w:rPr>
                <w:rFonts w:ascii="Tahoma" w:hAnsi="Tahoma" w:cs="Tahoma"/>
                <w:b/>
                <w:bCs/>
                <w:color w:val="243285"/>
                <w:sz w:val="44"/>
                <w:szCs w:val="44"/>
                <w:lang w:val="es-ES_tradnl"/>
              </w:rPr>
              <w:t>en la banda de frecuencias 31,8-33,4</w:t>
            </w:r>
            <w:r w:rsidRPr="00F54BBF">
              <w:rPr>
                <w:lang w:val="es-ES_tradnl"/>
              </w:rPr>
              <w:t xml:space="preserve"> </w:t>
            </w:r>
            <w:r w:rsidRPr="009F72F8">
              <w:rPr>
                <w:rFonts w:ascii="Tahoma" w:hAnsi="Tahoma" w:cs="Tahoma"/>
                <w:b/>
                <w:bCs/>
                <w:color w:val="243285"/>
                <w:sz w:val="44"/>
                <w:szCs w:val="44"/>
                <w:lang w:val="es-ES_tradnl"/>
              </w:rPr>
              <w:t>GHz</w:t>
            </w:r>
            <w:r>
              <w:rPr>
                <w:rFonts w:ascii="Tahoma" w:hAnsi="Tahoma" w:cs="Tahoma"/>
                <w:b/>
                <w:bCs/>
                <w:color w:val="243285"/>
                <w:sz w:val="44"/>
                <w:szCs w:val="44"/>
                <w:lang w:val="es-ES_tradnl"/>
              </w:rPr>
              <w:t xml:space="preserve"> </w:t>
            </w:r>
          </w:p>
          <w:p w:rsidR="00042292" w:rsidRPr="00A07AEB" w:rsidRDefault="00042292" w:rsidP="00A07AEB">
            <w:pPr>
              <w:spacing w:before="80" w:line="500" w:lineRule="exact"/>
              <w:jc w:val="right"/>
              <w:rPr>
                <w:rFonts w:ascii="Tahoma" w:hAnsi="Tahoma" w:cs="Tahoma"/>
                <w:b/>
                <w:bCs/>
                <w:iCs/>
                <w:color w:val="243285"/>
                <w:sz w:val="44"/>
                <w:szCs w:val="44"/>
                <w:lang w:val="es-ES_tradnl"/>
              </w:rPr>
            </w:pPr>
          </w:p>
        </w:tc>
      </w:tr>
      <w:tr w:rsidR="00042292" w:rsidRPr="00C22EC0" w:rsidTr="00A07AEB">
        <w:tc>
          <w:tcPr>
            <w:tcW w:w="10089" w:type="dxa"/>
          </w:tcPr>
          <w:p w:rsidR="00042292" w:rsidRPr="00A07AEB" w:rsidRDefault="00042292" w:rsidP="00A07AEB">
            <w:pPr>
              <w:spacing w:before="80" w:line="280" w:lineRule="exact"/>
              <w:ind w:right="640"/>
              <w:rPr>
                <w:rFonts w:ascii="Tahoma" w:hAnsi="Tahoma" w:cs="Tahoma"/>
                <w:b/>
                <w:bCs/>
                <w:iCs/>
                <w:color w:val="243285"/>
                <w:sz w:val="32"/>
                <w:szCs w:val="32"/>
                <w:lang w:val="es-ES_tradnl"/>
              </w:rPr>
            </w:pPr>
          </w:p>
          <w:p w:rsidR="00042292" w:rsidRPr="00A07AEB" w:rsidRDefault="00042292" w:rsidP="00A07AEB">
            <w:pPr>
              <w:spacing w:before="80" w:line="280" w:lineRule="exact"/>
              <w:ind w:right="640"/>
              <w:rPr>
                <w:rFonts w:ascii="Tahoma" w:hAnsi="Tahoma" w:cs="Tahoma"/>
                <w:b/>
                <w:bCs/>
                <w:iCs/>
                <w:color w:val="243285"/>
                <w:sz w:val="32"/>
                <w:szCs w:val="32"/>
                <w:lang w:val="es-ES_tradnl"/>
              </w:rPr>
            </w:pPr>
          </w:p>
          <w:p w:rsidR="00042292" w:rsidRPr="00A07AEB" w:rsidRDefault="00042292" w:rsidP="00A07AEB">
            <w:pPr>
              <w:spacing w:before="80" w:after="180" w:line="360" w:lineRule="exact"/>
              <w:ind w:right="720"/>
              <w:rPr>
                <w:rFonts w:ascii="Tahoma" w:hAnsi="Tahoma" w:cs="Tahoma"/>
                <w:b/>
                <w:bCs/>
                <w:iCs/>
                <w:color w:val="243285"/>
                <w:sz w:val="36"/>
                <w:szCs w:val="36"/>
                <w:lang w:val="es-ES_tradnl"/>
              </w:rPr>
            </w:pPr>
          </w:p>
          <w:p w:rsidR="00042292" w:rsidRPr="00A07AEB" w:rsidRDefault="00042292" w:rsidP="00A07AEB">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042292" w:rsidRPr="00A07AEB" w:rsidRDefault="00042292" w:rsidP="00A07AEB">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00410F5B" w:rsidRPr="00A07AEB">
              <w:rPr>
                <w:rFonts w:ascii="Tahoma" w:hAnsi="Tahoma" w:cs="Tahoma"/>
                <w:b/>
                <w:bCs/>
                <w:iCs/>
                <w:color w:val="243285"/>
                <w:sz w:val="36"/>
                <w:szCs w:val="36"/>
                <w:lang w:val="es-ES_tradnl"/>
              </w:rPr>
              <w:br/>
            </w:r>
            <w:r w:rsidRPr="00A07AEB">
              <w:rPr>
                <w:rFonts w:ascii="Tahoma" w:hAnsi="Tahoma" w:cs="Tahoma"/>
                <w:b/>
                <w:bCs/>
                <w:iCs/>
                <w:color w:val="243285"/>
                <w:sz w:val="36"/>
                <w:szCs w:val="36"/>
                <w:lang w:val="es-ES_tradnl"/>
              </w:rPr>
              <w:t>de aficionados y otros servicios</w:t>
            </w:r>
            <w:r w:rsidRPr="00A07AEB">
              <w:rPr>
                <w:rFonts w:ascii="Tahoma" w:hAnsi="Tahoma" w:cs="Tahoma"/>
                <w:b/>
                <w:bCs/>
                <w:iCs/>
                <w:color w:val="243285"/>
                <w:sz w:val="36"/>
                <w:szCs w:val="36"/>
                <w:lang w:val="es-ES_tradnl"/>
              </w:rPr>
              <w:br/>
              <w:t>por satélite conexos</w:t>
            </w:r>
          </w:p>
        </w:tc>
      </w:tr>
    </w:tbl>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pStyle w:val="Equation"/>
        <w:tabs>
          <w:tab w:val="clear" w:pos="4820"/>
          <w:tab w:val="clear" w:pos="9639"/>
          <w:tab w:val="left" w:pos="1191"/>
          <w:tab w:val="left" w:pos="1588"/>
          <w:tab w:val="left" w:pos="1985"/>
        </w:tabs>
        <w:rPr>
          <w:rFonts w:ascii="Palatino Linotype" w:hAnsi="Palatino Linotype"/>
          <w:lang w:val="es-ES_tradnl"/>
        </w:rPr>
        <w:sectPr w:rsidR="00042292" w:rsidRPr="0026666F">
          <w:headerReference w:type="even" r:id="rId8"/>
          <w:headerReference w:type="default" r:id="rId9"/>
          <w:footerReference w:type="even" r:id="rId10"/>
          <w:pgSz w:w="11907" w:h="16840" w:code="9"/>
          <w:pgMar w:top="1089" w:right="1089" w:bottom="284" w:left="1089" w:header="567" w:footer="284" w:gutter="0"/>
          <w:pgNumType w:start="1"/>
          <w:cols w:space="720"/>
        </w:sectPr>
      </w:pPr>
    </w:p>
    <w:p w:rsidR="00042292" w:rsidRPr="006C718C" w:rsidRDefault="00042292" w:rsidP="000422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042292" w:rsidRPr="006C718C" w:rsidRDefault="00042292" w:rsidP="0004229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42292" w:rsidRPr="006C718C" w:rsidRDefault="00042292" w:rsidP="0004229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042292" w:rsidRPr="00021E8A" w:rsidRDefault="00042292" w:rsidP="0004229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042292" w:rsidRPr="00021E8A" w:rsidRDefault="00042292" w:rsidP="00042292">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042292" w:rsidRPr="007C36CA" w:rsidRDefault="00042292" w:rsidP="00042292">
      <w:pPr>
        <w:spacing w:before="0"/>
        <w:jc w:val="center"/>
        <w:rPr>
          <w:sz w:val="22"/>
          <w:lang w:val="es-ES_tradnl"/>
        </w:rPr>
      </w:pPr>
    </w:p>
    <w:p w:rsidR="00042292" w:rsidRPr="007C36CA" w:rsidRDefault="00042292" w:rsidP="0004229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42292" w:rsidRPr="00C22EC0" w:rsidTr="00CB1354">
        <w:tc>
          <w:tcPr>
            <w:tcW w:w="9360" w:type="dxa"/>
            <w:gridSpan w:val="2"/>
          </w:tcPr>
          <w:p w:rsidR="00042292" w:rsidRPr="00021E8A" w:rsidRDefault="00042292" w:rsidP="00CB135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042292" w:rsidRPr="00763D08"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Pr>
                  <w:rStyle w:val="Hyperlink"/>
                  <w:b w:val="0"/>
                  <w:bCs/>
                  <w:sz w:val="18"/>
                  <w:szCs w:val="18"/>
                  <w:lang w:val="es-ES_tradnl"/>
                </w:rPr>
                <w:t>http://www.itu.int/publ/R-REC/es</w:t>
              </w:r>
            </w:hyperlink>
            <w:r w:rsidRPr="00763D08">
              <w:rPr>
                <w:b w:val="0"/>
                <w:bCs/>
                <w:sz w:val="18"/>
                <w:szCs w:val="18"/>
                <w:lang w:val="es-ES_tradnl"/>
              </w:rPr>
              <w:t>)</w:t>
            </w:r>
          </w:p>
        </w:tc>
      </w:tr>
      <w:tr w:rsidR="00042292" w:rsidRPr="00036EE3" w:rsidTr="00CB1354">
        <w:tc>
          <w:tcPr>
            <w:tcW w:w="1140" w:type="dxa"/>
          </w:tcPr>
          <w:p w:rsidR="00042292" w:rsidRPr="00036EE3" w:rsidRDefault="00042292" w:rsidP="00CB1354">
            <w:pPr>
              <w:spacing w:before="180" w:after="100"/>
              <w:ind w:left="57"/>
              <w:rPr>
                <w:b/>
                <w:bCs/>
                <w:sz w:val="20"/>
                <w:lang w:val="en-US"/>
              </w:rPr>
            </w:pPr>
            <w:r w:rsidRPr="00036EE3">
              <w:rPr>
                <w:b/>
                <w:bCs/>
                <w:sz w:val="20"/>
                <w:lang w:val="en-US"/>
              </w:rPr>
              <w:t>Series</w:t>
            </w:r>
          </w:p>
        </w:tc>
        <w:tc>
          <w:tcPr>
            <w:tcW w:w="8220" w:type="dxa"/>
          </w:tcPr>
          <w:p w:rsidR="00042292" w:rsidRPr="00036EE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BO</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042292" w:rsidRPr="00C22EC0"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BR</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BS</w:t>
            </w:r>
          </w:p>
        </w:tc>
        <w:tc>
          <w:tcPr>
            <w:tcW w:w="8220" w:type="dxa"/>
          </w:tcPr>
          <w:p w:rsidR="00042292" w:rsidRPr="00021E8A" w:rsidRDefault="00D131B8"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042292" w:rsidRPr="00ED2695" w:rsidTr="00CB1354">
        <w:tc>
          <w:tcPr>
            <w:tcW w:w="1140" w:type="dxa"/>
            <w:shd w:val="clear" w:color="auto" w:fill="auto"/>
          </w:tcPr>
          <w:p w:rsidR="00042292" w:rsidRPr="00ED2695" w:rsidRDefault="00042292" w:rsidP="00CB1354">
            <w:pPr>
              <w:spacing w:before="30" w:after="30"/>
              <w:ind w:left="57"/>
              <w:jc w:val="left"/>
              <w:rPr>
                <w:b/>
                <w:bCs/>
                <w:sz w:val="20"/>
                <w:lang w:val="en-US"/>
              </w:rPr>
            </w:pPr>
            <w:r w:rsidRPr="00ED2695">
              <w:rPr>
                <w:b/>
                <w:bCs/>
                <w:sz w:val="20"/>
                <w:lang w:val="en-US"/>
              </w:rPr>
              <w:t>BT</w:t>
            </w:r>
          </w:p>
        </w:tc>
        <w:tc>
          <w:tcPr>
            <w:tcW w:w="8220" w:type="dxa"/>
            <w:shd w:val="clear" w:color="auto" w:fill="auto"/>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042292" w:rsidRPr="00036EE3" w:rsidTr="00CB1354">
        <w:tc>
          <w:tcPr>
            <w:tcW w:w="1140" w:type="dxa"/>
            <w:shd w:val="clear" w:color="auto" w:fill="auto"/>
          </w:tcPr>
          <w:p w:rsidR="00042292" w:rsidRPr="00036EE3" w:rsidRDefault="00042292" w:rsidP="00CB1354">
            <w:pPr>
              <w:spacing w:before="30" w:after="30"/>
              <w:ind w:left="57"/>
              <w:jc w:val="left"/>
              <w:rPr>
                <w:b/>
                <w:bCs/>
                <w:sz w:val="20"/>
                <w:lang w:val="fr-CH"/>
              </w:rPr>
            </w:pPr>
            <w:r w:rsidRPr="00036EE3">
              <w:rPr>
                <w:b/>
                <w:bCs/>
                <w:sz w:val="20"/>
                <w:lang w:val="fr-CH"/>
              </w:rPr>
              <w:t>F</w:t>
            </w:r>
          </w:p>
        </w:tc>
        <w:tc>
          <w:tcPr>
            <w:tcW w:w="8220" w:type="dxa"/>
            <w:shd w:val="clear" w:color="auto" w:fill="auto"/>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042292" w:rsidRPr="00C22EC0" w:rsidTr="00CB1354">
        <w:tc>
          <w:tcPr>
            <w:tcW w:w="1140" w:type="dxa"/>
            <w:shd w:val="clear" w:color="auto" w:fill="F3F3F3"/>
          </w:tcPr>
          <w:p w:rsidR="00042292" w:rsidRPr="001240BC" w:rsidRDefault="00042292" w:rsidP="00CB1354">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042292" w:rsidRPr="001240BC"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042292" w:rsidRPr="00C22EC0" w:rsidTr="00CB1354">
        <w:tc>
          <w:tcPr>
            <w:tcW w:w="1140" w:type="dxa"/>
          </w:tcPr>
          <w:p w:rsidR="00042292" w:rsidRPr="00036EE3" w:rsidRDefault="00042292" w:rsidP="00CB1354">
            <w:pPr>
              <w:spacing w:before="30" w:after="30"/>
              <w:ind w:left="57"/>
              <w:jc w:val="left"/>
              <w:rPr>
                <w:b/>
                <w:bCs/>
                <w:sz w:val="20"/>
                <w:lang w:val="fr-CH"/>
              </w:rPr>
            </w:pPr>
            <w:r w:rsidRPr="00036EE3">
              <w:rPr>
                <w:b/>
                <w:bCs/>
                <w:sz w:val="20"/>
                <w:lang w:val="fr-CH"/>
              </w:rPr>
              <w:t>P</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Propagación de las ondas radioeléctricas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RA</w:t>
            </w:r>
          </w:p>
        </w:tc>
        <w:tc>
          <w:tcPr>
            <w:tcW w:w="8220" w:type="dxa"/>
          </w:tcPr>
          <w:p w:rsidR="00042292" w:rsidRPr="00021E8A" w:rsidRDefault="00042292" w:rsidP="00C411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042292" w:rsidRPr="00C22EC0"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RS</w:t>
            </w:r>
          </w:p>
        </w:tc>
        <w:tc>
          <w:tcPr>
            <w:tcW w:w="8220" w:type="dxa"/>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w:t>
            </w:r>
          </w:p>
        </w:tc>
        <w:tc>
          <w:tcPr>
            <w:tcW w:w="8220" w:type="dxa"/>
          </w:tcPr>
          <w:p w:rsidR="00042292" w:rsidRPr="00021E8A" w:rsidRDefault="00042292" w:rsidP="00CB1354">
            <w:pPr>
              <w:spacing w:before="30" w:after="30"/>
              <w:jc w:val="left"/>
              <w:rPr>
                <w:bCs/>
                <w:sz w:val="20"/>
                <w:lang w:val="en-US"/>
              </w:rPr>
            </w:pPr>
            <w:r w:rsidRPr="00021E8A">
              <w:rPr>
                <w:bCs/>
                <w:sz w:val="20"/>
              </w:rPr>
              <w:t>Servicio fijo por satélite</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SA</w:t>
            </w:r>
          </w:p>
        </w:tc>
        <w:tc>
          <w:tcPr>
            <w:tcW w:w="8220" w:type="dxa"/>
          </w:tcPr>
          <w:p w:rsidR="00042292" w:rsidRPr="00021E8A" w:rsidRDefault="00042292" w:rsidP="00CB1354">
            <w:pPr>
              <w:spacing w:before="30" w:after="30"/>
              <w:jc w:val="left"/>
              <w:rPr>
                <w:bCs/>
                <w:sz w:val="20"/>
                <w:lang w:val="en-US"/>
              </w:rPr>
            </w:pPr>
            <w:r w:rsidRPr="00021E8A">
              <w:rPr>
                <w:bCs/>
                <w:sz w:val="20"/>
              </w:rPr>
              <w:t>Aplicaciones espaciales y meteorología</w:t>
            </w:r>
          </w:p>
        </w:tc>
      </w:tr>
      <w:tr w:rsidR="00042292" w:rsidRPr="00C22EC0"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042292" w:rsidRPr="00036EE3" w:rsidTr="00CB1354">
        <w:tc>
          <w:tcPr>
            <w:tcW w:w="1140" w:type="dxa"/>
            <w:shd w:val="clear" w:color="auto" w:fill="auto"/>
          </w:tcPr>
          <w:p w:rsidR="00042292" w:rsidRPr="001240BC" w:rsidRDefault="00042292" w:rsidP="00CB1354">
            <w:pPr>
              <w:spacing w:before="30" w:after="30"/>
              <w:ind w:left="57"/>
              <w:jc w:val="left"/>
              <w:rPr>
                <w:b/>
                <w:bCs/>
                <w:sz w:val="20"/>
                <w:lang w:val="en-US"/>
              </w:rPr>
            </w:pPr>
            <w:r w:rsidRPr="001240BC">
              <w:rPr>
                <w:b/>
                <w:bCs/>
                <w:sz w:val="20"/>
                <w:lang w:val="en-US"/>
              </w:rPr>
              <w:t>SM</w:t>
            </w:r>
          </w:p>
        </w:tc>
        <w:tc>
          <w:tcPr>
            <w:tcW w:w="8220" w:type="dxa"/>
            <w:shd w:val="clear" w:color="auto" w:fill="auto"/>
          </w:tcPr>
          <w:p w:rsidR="00042292" w:rsidRPr="001240BC" w:rsidRDefault="00042292" w:rsidP="00CB1354">
            <w:pPr>
              <w:spacing w:before="30" w:after="30"/>
              <w:jc w:val="left"/>
              <w:rPr>
                <w:sz w:val="20"/>
                <w:lang w:val="en-US"/>
              </w:rPr>
            </w:pPr>
            <w:r w:rsidRPr="001240BC">
              <w:rPr>
                <w:sz w:val="20"/>
              </w:rPr>
              <w:t>Gestión del espectro</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SNG</w:t>
            </w:r>
          </w:p>
        </w:tc>
        <w:tc>
          <w:tcPr>
            <w:tcW w:w="8220" w:type="dxa"/>
          </w:tcPr>
          <w:p w:rsidR="00042292" w:rsidRPr="00021E8A" w:rsidRDefault="00042292" w:rsidP="00CB1354">
            <w:pPr>
              <w:spacing w:before="30" w:after="30"/>
              <w:jc w:val="left"/>
              <w:rPr>
                <w:bCs/>
                <w:sz w:val="20"/>
                <w:lang w:val="en-US"/>
              </w:rPr>
            </w:pPr>
            <w:r w:rsidRPr="00021E8A">
              <w:rPr>
                <w:bCs/>
                <w:sz w:val="20"/>
              </w:rPr>
              <w:t>Periodismo electrónico por satélite</w:t>
            </w:r>
          </w:p>
        </w:tc>
      </w:tr>
      <w:tr w:rsidR="00042292" w:rsidRPr="00C22EC0"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TF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Emisiones de frecuencias patrón y señales horarias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V</w:t>
            </w:r>
          </w:p>
        </w:tc>
        <w:tc>
          <w:tcPr>
            <w:tcW w:w="8220" w:type="dxa"/>
          </w:tcPr>
          <w:p w:rsidR="00042292" w:rsidRPr="00021E8A" w:rsidRDefault="00042292" w:rsidP="00CB1354">
            <w:pPr>
              <w:spacing w:before="30" w:after="140"/>
              <w:jc w:val="left"/>
              <w:rPr>
                <w:bCs/>
                <w:sz w:val="20"/>
                <w:lang w:val="en-US"/>
              </w:rPr>
            </w:pPr>
            <w:r w:rsidRPr="00021E8A">
              <w:rPr>
                <w:bCs/>
                <w:sz w:val="20"/>
              </w:rPr>
              <w:t>Vocabulario y cuestiones afines</w:t>
            </w:r>
          </w:p>
        </w:tc>
      </w:tr>
    </w:tbl>
    <w:p w:rsidR="00042292" w:rsidRPr="00036EE3" w:rsidRDefault="00042292" w:rsidP="00042292">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42292" w:rsidTr="00CB1354">
        <w:tc>
          <w:tcPr>
            <w:tcW w:w="720" w:type="dxa"/>
          </w:tcPr>
          <w:p w:rsidR="00042292" w:rsidRDefault="00042292" w:rsidP="00CB135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42292" w:rsidRPr="00C22EC0" w:rsidTr="00A07AEB">
        <w:tc>
          <w:tcPr>
            <w:tcW w:w="9360" w:type="dxa"/>
          </w:tcPr>
          <w:p w:rsidR="00042292" w:rsidRPr="00A07AEB" w:rsidRDefault="00042292" w:rsidP="00F90A3D">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042292" w:rsidRPr="00763D08" w:rsidRDefault="00042292" w:rsidP="00042292">
      <w:pPr>
        <w:spacing w:before="0"/>
        <w:jc w:val="center"/>
        <w:rPr>
          <w:sz w:val="22"/>
          <w:lang w:val="es-ES_tradnl"/>
        </w:rPr>
      </w:pPr>
    </w:p>
    <w:p w:rsidR="00042292" w:rsidRPr="00763D08" w:rsidRDefault="00042292" w:rsidP="00042292">
      <w:pPr>
        <w:spacing w:before="60"/>
        <w:jc w:val="right"/>
        <w:rPr>
          <w:i/>
          <w:iCs/>
          <w:sz w:val="20"/>
          <w:lang w:val="es-ES_tradnl"/>
        </w:rPr>
      </w:pPr>
      <w:r w:rsidRPr="00763D08">
        <w:rPr>
          <w:i/>
          <w:iCs/>
          <w:sz w:val="20"/>
          <w:lang w:val="es-ES_tradnl"/>
        </w:rPr>
        <w:t>Publicación electrónica</w:t>
      </w:r>
    </w:p>
    <w:p w:rsidR="00042292" w:rsidRPr="00763D08" w:rsidRDefault="00042292" w:rsidP="00CF7F63">
      <w:pPr>
        <w:spacing w:before="0" w:after="40"/>
        <w:jc w:val="right"/>
        <w:rPr>
          <w:sz w:val="20"/>
          <w:lang w:val="es-ES_tradnl"/>
        </w:rPr>
      </w:pPr>
      <w:r w:rsidRPr="00763D08">
        <w:rPr>
          <w:sz w:val="20"/>
          <w:lang w:val="es-ES_tradnl"/>
        </w:rPr>
        <w:t>Ginebra, 20</w:t>
      </w:r>
      <w:r w:rsidR="001B26B3">
        <w:rPr>
          <w:sz w:val="20"/>
          <w:lang w:val="es-ES_tradnl"/>
        </w:rPr>
        <w:t>1</w:t>
      </w:r>
      <w:r w:rsidR="0072064A">
        <w:rPr>
          <w:sz w:val="20"/>
          <w:lang w:val="es-ES_tradnl"/>
        </w:rPr>
        <w:t>7</w:t>
      </w:r>
    </w:p>
    <w:p w:rsidR="00042292" w:rsidRPr="00763D08" w:rsidRDefault="00042292" w:rsidP="00042292">
      <w:pPr>
        <w:spacing w:before="0"/>
        <w:jc w:val="center"/>
        <w:rPr>
          <w:sz w:val="22"/>
          <w:lang w:val="es-ES_tradnl"/>
        </w:rPr>
      </w:pPr>
    </w:p>
    <w:p w:rsidR="00042292" w:rsidRPr="00763D08" w:rsidRDefault="00042292" w:rsidP="006F3D6E">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sidR="001B26B3">
        <w:rPr>
          <w:sz w:val="20"/>
          <w:lang w:val="es-ES_tradnl"/>
        </w:rPr>
        <w:t>1</w:t>
      </w:r>
      <w:r w:rsidR="0072064A">
        <w:rPr>
          <w:sz w:val="20"/>
          <w:lang w:val="es-ES_tradnl"/>
        </w:rPr>
        <w:t>7</w:t>
      </w:r>
    </w:p>
    <w:p w:rsidR="00042292" w:rsidRPr="006C718C" w:rsidRDefault="00042292" w:rsidP="0004229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042292" w:rsidRPr="006C718C" w:rsidRDefault="00042292" w:rsidP="00042292">
      <w:pPr>
        <w:spacing w:before="160"/>
        <w:rPr>
          <w:i/>
          <w:sz w:val="20"/>
          <w:highlight w:val="yellow"/>
          <w:lang w:val="es-ES_tradnl"/>
        </w:rPr>
        <w:sectPr w:rsidR="00042292" w:rsidRPr="006C718C" w:rsidSect="00CB1354">
          <w:headerReference w:type="even" r:id="rId13"/>
          <w:headerReference w:type="default" r:id="rId14"/>
          <w:pgSz w:w="11907" w:h="16834" w:code="9"/>
          <w:pgMar w:top="1418" w:right="1134" w:bottom="1134" w:left="1134" w:header="720" w:footer="482" w:gutter="0"/>
          <w:pgNumType w:fmt="lowerRoman" w:start="2"/>
          <w:cols w:space="720"/>
        </w:sectPr>
      </w:pPr>
    </w:p>
    <w:p w:rsidR="00574749" w:rsidRPr="0010336F" w:rsidRDefault="00574749" w:rsidP="00E9387C">
      <w:pPr>
        <w:pStyle w:val="RecNo"/>
        <w:spacing w:before="0"/>
        <w:rPr>
          <w:lang w:val="es-ES_tradnl"/>
        </w:rPr>
      </w:pPr>
      <w:bookmarkStart w:id="2" w:name="irecnoe"/>
      <w:bookmarkEnd w:id="2"/>
      <w:r w:rsidRPr="00763D08">
        <w:rPr>
          <w:lang w:val="es-ES_tradnl"/>
        </w:rPr>
        <w:lastRenderedPageBreak/>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sidR="00E9387C">
        <w:rPr>
          <w:rStyle w:val="href"/>
          <w:lang w:val="es-ES_tradnl"/>
        </w:rPr>
        <w:t>1466-1</w:t>
      </w:r>
      <w:r w:rsidR="00FA6080" w:rsidRPr="00F54BBF">
        <w:rPr>
          <w:rStyle w:val="FootnoteReference"/>
          <w:lang w:val="es-ES_tradnl" w:eastAsia="zh-CN"/>
        </w:rPr>
        <w:footnoteReference w:customMarkFollows="1" w:id="1"/>
        <w:t>*</w:t>
      </w:r>
    </w:p>
    <w:p w:rsidR="009F72F8" w:rsidRPr="00F54BBF" w:rsidRDefault="009F72F8" w:rsidP="0098194B">
      <w:pPr>
        <w:pStyle w:val="Rectitle"/>
        <w:rPr>
          <w:lang w:val="es-ES_tradnl"/>
        </w:rPr>
      </w:pPr>
      <w:r w:rsidRPr="00F54BBF">
        <w:rPr>
          <w:lang w:val="es-ES_tradnl"/>
        </w:rPr>
        <w:t>Características y criterios de protección de los radares</w:t>
      </w:r>
      <w:r w:rsidRPr="00F54BBF">
        <w:rPr>
          <w:lang w:val="es-ES_tradnl"/>
        </w:rPr>
        <w:br/>
        <w:t>que funcionan en el servicio de radionavegación</w:t>
      </w:r>
      <w:r w:rsidRPr="00F54BBF">
        <w:rPr>
          <w:lang w:val="es-ES_tradnl"/>
        </w:rPr>
        <w:br/>
        <w:t>en la banda de frecuencias 31,8-33,4 GHz</w:t>
      </w:r>
    </w:p>
    <w:p w:rsidR="009F72F8" w:rsidRPr="00F54BBF" w:rsidRDefault="009F72F8" w:rsidP="0098194B">
      <w:pPr>
        <w:pStyle w:val="Recdate"/>
        <w:rPr>
          <w:lang w:val="es-ES_tradnl"/>
        </w:rPr>
      </w:pPr>
      <w:r w:rsidRPr="00F54BBF">
        <w:rPr>
          <w:lang w:val="es-ES_tradnl"/>
        </w:rPr>
        <w:t>(2000-2017)</w:t>
      </w:r>
    </w:p>
    <w:p w:rsidR="009F72F8" w:rsidRPr="00F54BBF" w:rsidRDefault="009F72F8" w:rsidP="009F72F8">
      <w:pPr>
        <w:pStyle w:val="HeadingSum"/>
      </w:pPr>
      <w:r w:rsidRPr="00F54BBF">
        <w:t>Cometido</w:t>
      </w:r>
    </w:p>
    <w:p w:rsidR="009F72F8" w:rsidRPr="00F54BBF" w:rsidRDefault="009F72F8" w:rsidP="009F72F8">
      <w:pPr>
        <w:pStyle w:val="Summary"/>
      </w:pPr>
      <w:r w:rsidRPr="00F54BBF">
        <w:t>La presente Recomendación define las características y los criterios de protección de los radares que del servicio de radionavegación que funcionan en la banda de frecuencias 31,8-33,4 GHz. Estas características técnicas y de explotación deberán servir de orientación en el análisis de la compatibilidad entre radares del servicio de radiodeterminación y sistemas de otros servicios.</w:t>
      </w:r>
    </w:p>
    <w:p w:rsidR="009F72F8" w:rsidRPr="00F54BBF" w:rsidRDefault="009F72F8" w:rsidP="009F72F8">
      <w:pPr>
        <w:pStyle w:val="Headingb"/>
        <w:rPr>
          <w:lang w:val="es-ES_tradnl"/>
        </w:rPr>
      </w:pPr>
      <w:r w:rsidRPr="00F54BBF">
        <w:rPr>
          <w:lang w:val="es-ES_tradnl"/>
        </w:rPr>
        <w:t>Palabras clave</w:t>
      </w:r>
    </w:p>
    <w:p w:rsidR="009F72F8" w:rsidRPr="00F54BBF" w:rsidRDefault="009F72F8" w:rsidP="009F72F8">
      <w:pPr>
        <w:rPr>
          <w:lang w:val="es-ES_tradnl"/>
        </w:rPr>
      </w:pPr>
      <w:r w:rsidRPr="00F54BBF">
        <w:rPr>
          <w:lang w:val="es-ES_tradnl"/>
        </w:rPr>
        <w:t>Radionavegación, aeronave</w:t>
      </w:r>
    </w:p>
    <w:p w:rsidR="009F72F8" w:rsidRPr="00F54BBF" w:rsidRDefault="009F72F8" w:rsidP="009F72F8">
      <w:pPr>
        <w:pStyle w:val="Headingb"/>
        <w:rPr>
          <w:lang w:val="es-ES_tradnl"/>
        </w:rPr>
      </w:pPr>
      <w:r w:rsidRPr="00F54BBF">
        <w:rPr>
          <w:lang w:val="es-ES_tradnl"/>
        </w:rPr>
        <w:t>Abreviaturas/Glosario</w:t>
      </w:r>
    </w:p>
    <w:p w:rsidR="009F72F8" w:rsidRPr="00F54BBF" w:rsidRDefault="009F72F8" w:rsidP="009F72F8">
      <w:pPr>
        <w:rPr>
          <w:lang w:val="es-ES_tradnl" w:eastAsia="zh-CN"/>
        </w:rPr>
      </w:pPr>
      <w:proofErr w:type="gramStart"/>
      <w:r w:rsidRPr="00F54BBF">
        <w:rPr>
          <w:lang w:val="es-ES_tradnl" w:eastAsia="zh-CN"/>
        </w:rPr>
        <w:t>dBi</w:t>
      </w:r>
      <w:proofErr w:type="gramEnd"/>
      <w:r w:rsidRPr="00F54BBF">
        <w:rPr>
          <w:lang w:val="es-ES_tradnl" w:eastAsia="zh-CN"/>
        </w:rPr>
        <w:tab/>
        <w:t>Ganancia de antena con respecto al radiador isótropo</w:t>
      </w:r>
    </w:p>
    <w:p w:rsidR="009F72F8" w:rsidRPr="00F54BBF" w:rsidRDefault="009F72F8" w:rsidP="009F72F8">
      <w:pPr>
        <w:rPr>
          <w:lang w:val="es-ES_tradnl" w:eastAsia="zh-CN"/>
        </w:rPr>
      </w:pPr>
      <w:proofErr w:type="gramStart"/>
      <w:r w:rsidRPr="00F54BBF">
        <w:rPr>
          <w:lang w:val="es-ES_tradnl" w:eastAsia="zh-CN"/>
        </w:rPr>
        <w:t>dBm</w:t>
      </w:r>
      <w:proofErr w:type="gramEnd"/>
      <w:r w:rsidRPr="00F54BBF">
        <w:rPr>
          <w:lang w:val="es-ES_tradnl" w:eastAsia="zh-CN"/>
        </w:rPr>
        <w:tab/>
        <w:t>Potencia expresada en decibelios con respecto a un milivatio</w:t>
      </w:r>
    </w:p>
    <w:p w:rsidR="009F72F8" w:rsidRPr="00F54BBF" w:rsidRDefault="009F72F8" w:rsidP="009F72F8">
      <w:pPr>
        <w:rPr>
          <w:lang w:val="es-ES_tradnl" w:eastAsia="zh-CN"/>
        </w:rPr>
      </w:pPr>
      <w:proofErr w:type="gramStart"/>
      <w:r w:rsidRPr="00F54BBF">
        <w:rPr>
          <w:lang w:val="es-ES_tradnl" w:eastAsia="zh-CN"/>
        </w:rPr>
        <w:t>dBW</w:t>
      </w:r>
      <w:proofErr w:type="gramEnd"/>
      <w:r w:rsidRPr="00F54BBF">
        <w:rPr>
          <w:lang w:val="es-ES_tradnl" w:eastAsia="zh-CN"/>
        </w:rPr>
        <w:tab/>
        <w:t>Potencia expresada en decibelios con respecto a un vatio</w:t>
      </w:r>
    </w:p>
    <w:p w:rsidR="009F72F8" w:rsidRPr="00F54BBF" w:rsidRDefault="009F72F8" w:rsidP="009F72F8">
      <w:pPr>
        <w:rPr>
          <w:lang w:val="es-ES_tradnl" w:eastAsia="zh-CN"/>
        </w:rPr>
      </w:pPr>
      <w:r w:rsidRPr="00F54BBF">
        <w:rPr>
          <w:lang w:val="es-ES_tradnl" w:eastAsia="zh-CN"/>
        </w:rPr>
        <w:t>IF</w:t>
      </w:r>
      <w:r w:rsidRPr="00F54BBF">
        <w:rPr>
          <w:lang w:val="es-ES_tradnl" w:eastAsia="zh-CN"/>
        </w:rPr>
        <w:tab/>
        <w:t>Frecuencia intermedia</w:t>
      </w:r>
    </w:p>
    <w:p w:rsidR="009F72F8" w:rsidRPr="00F54BBF" w:rsidRDefault="009F72F8" w:rsidP="009F72F8">
      <w:pPr>
        <w:rPr>
          <w:lang w:val="es-ES_tradnl" w:eastAsia="zh-CN"/>
        </w:rPr>
      </w:pPr>
      <w:r w:rsidRPr="00F54BBF">
        <w:rPr>
          <w:i/>
          <w:iCs/>
          <w:lang w:val="es-ES_tradnl" w:eastAsia="zh-CN"/>
        </w:rPr>
        <w:t>I/N</w:t>
      </w:r>
      <w:r w:rsidRPr="00F54BBF">
        <w:rPr>
          <w:lang w:val="es-ES_tradnl" w:eastAsia="zh-CN"/>
        </w:rPr>
        <w:tab/>
        <w:t>Relación interferencia/ruido</w:t>
      </w:r>
    </w:p>
    <w:p w:rsidR="009F72F8" w:rsidRPr="00F54BBF" w:rsidRDefault="009F72F8" w:rsidP="009F72F8">
      <w:pPr>
        <w:rPr>
          <w:lang w:val="es-ES_tradnl" w:eastAsia="zh-CN"/>
        </w:rPr>
      </w:pPr>
      <w:r w:rsidRPr="00F54BBF">
        <w:rPr>
          <w:lang w:val="es-ES_tradnl" w:eastAsia="zh-CN"/>
        </w:rPr>
        <w:t>PPS</w:t>
      </w:r>
      <w:r w:rsidRPr="00F54BBF">
        <w:rPr>
          <w:lang w:val="es-ES_tradnl" w:eastAsia="zh-CN"/>
        </w:rPr>
        <w:tab/>
        <w:t>Impulsos por segundo</w:t>
      </w:r>
    </w:p>
    <w:p w:rsidR="009F72F8" w:rsidRPr="00F54BBF" w:rsidRDefault="009F72F8" w:rsidP="009F72F8">
      <w:pPr>
        <w:rPr>
          <w:lang w:val="es-ES_tradnl" w:eastAsia="zh-CN"/>
        </w:rPr>
      </w:pPr>
      <w:r w:rsidRPr="00F54BBF">
        <w:rPr>
          <w:lang w:val="es-ES_tradnl" w:eastAsia="zh-CN"/>
        </w:rPr>
        <w:t>PRF</w:t>
      </w:r>
      <w:r w:rsidRPr="00F54BBF">
        <w:rPr>
          <w:lang w:val="es-ES_tradnl" w:eastAsia="zh-CN"/>
        </w:rPr>
        <w:tab/>
        <w:t>Frecuencia de repetición de los impulsos</w:t>
      </w:r>
    </w:p>
    <w:p w:rsidR="009F72F8" w:rsidRPr="00F54BBF" w:rsidRDefault="009F72F8" w:rsidP="009F72F8">
      <w:pPr>
        <w:rPr>
          <w:lang w:val="es-ES_tradnl" w:eastAsia="zh-CN"/>
        </w:rPr>
      </w:pPr>
      <w:r w:rsidRPr="00F54BBF">
        <w:rPr>
          <w:lang w:val="es-ES_tradnl" w:eastAsia="zh-CN"/>
        </w:rPr>
        <w:t>RF</w:t>
      </w:r>
      <w:r w:rsidRPr="00F54BBF">
        <w:rPr>
          <w:lang w:val="es-ES_tradnl" w:eastAsia="zh-CN"/>
        </w:rPr>
        <w:tab/>
        <w:t>Radiofrecuencia</w:t>
      </w:r>
    </w:p>
    <w:p w:rsidR="009F72F8" w:rsidRPr="00F54BBF" w:rsidRDefault="009F72F8" w:rsidP="009F72F8">
      <w:pPr>
        <w:pStyle w:val="Headingb"/>
        <w:rPr>
          <w:rFonts w:eastAsia="SimSun"/>
          <w:lang w:val="es-ES_tradnl"/>
        </w:rPr>
      </w:pPr>
      <w:r w:rsidRPr="00F54BBF">
        <w:rPr>
          <w:rFonts w:eastAsia="SimSun"/>
          <w:lang w:val="es-ES_tradnl"/>
        </w:rPr>
        <w:t>Recomendaciones UIT-R conexas</w:t>
      </w:r>
    </w:p>
    <w:p w:rsidR="009F72F8" w:rsidRPr="00F54BBF" w:rsidRDefault="009F72F8" w:rsidP="009F72F8">
      <w:pPr>
        <w:pStyle w:val="enumlev1"/>
        <w:rPr>
          <w:lang w:val="es-ES_tradnl" w:eastAsia="zh-CN"/>
        </w:rPr>
      </w:pPr>
      <w:r w:rsidRPr="00F54BBF">
        <w:rPr>
          <w:lang w:val="es-ES_tradnl" w:eastAsia="zh-CN"/>
        </w:rPr>
        <w:t>1</w:t>
      </w:r>
      <w:r w:rsidRPr="00F54BBF">
        <w:rPr>
          <w:lang w:val="es-ES_tradnl" w:eastAsia="zh-CN"/>
        </w:rPr>
        <w:tab/>
      </w:r>
      <w:r w:rsidRPr="00F54BBF">
        <w:rPr>
          <w:lang w:val="es-ES_tradnl"/>
        </w:rPr>
        <w:t>Recomendación</w:t>
      </w:r>
      <w:r w:rsidRPr="00F54BBF">
        <w:rPr>
          <w:lang w:val="es-ES_tradnl" w:eastAsia="zh-CN"/>
        </w:rPr>
        <w:t xml:space="preserve"> UIT-R M.1461 – </w:t>
      </w:r>
      <w:r w:rsidRPr="00F54BBF">
        <w:rPr>
          <w:lang w:val="es-ES_tradnl"/>
        </w:rPr>
        <w:t>Procedimientos para determinar la posibilidad de interferencia entre radares que funcionan en el servicio de radiodeterminación y sistemas de otros servicios</w:t>
      </w:r>
    </w:p>
    <w:p w:rsidR="009F72F8" w:rsidRPr="00F54BBF" w:rsidRDefault="009F72F8" w:rsidP="009F72F8">
      <w:pPr>
        <w:pStyle w:val="enumlev1"/>
        <w:rPr>
          <w:lang w:val="es-ES_tradnl"/>
        </w:rPr>
      </w:pPr>
      <w:r w:rsidRPr="00F54BBF">
        <w:rPr>
          <w:lang w:val="es-ES_tradnl" w:eastAsia="zh-CN"/>
        </w:rPr>
        <w:t>2</w:t>
      </w:r>
      <w:r w:rsidRPr="00F54BBF">
        <w:rPr>
          <w:lang w:val="es-ES_tradnl" w:eastAsia="zh-CN"/>
        </w:rPr>
        <w:tab/>
      </w:r>
      <w:r w:rsidRPr="00F54BBF">
        <w:rPr>
          <w:lang w:val="es-ES_tradnl"/>
        </w:rPr>
        <w:t>Recomendación</w:t>
      </w:r>
      <w:r w:rsidRPr="00F54BBF">
        <w:rPr>
          <w:lang w:val="es-ES_tradnl" w:eastAsia="zh-CN"/>
        </w:rPr>
        <w:t xml:space="preserve"> UIT-R M.1851 – </w:t>
      </w:r>
      <w:r w:rsidRPr="00F54BBF">
        <w:rPr>
          <w:lang w:val="es-ES_tradnl"/>
        </w:rPr>
        <w:t>Modelos matemáticos de diagramas de antena de sistemas de radar del servicio de radiodeterminación para uso en los análisis de interferencia</w:t>
      </w:r>
    </w:p>
    <w:p w:rsidR="009F72F8" w:rsidRPr="00F54BBF" w:rsidRDefault="009F72F8" w:rsidP="009E7F6F">
      <w:pPr>
        <w:pStyle w:val="Normalaftertitle"/>
        <w:rPr>
          <w:lang w:val="es-ES_tradnl"/>
        </w:rPr>
      </w:pPr>
      <w:r w:rsidRPr="00F54BBF">
        <w:rPr>
          <w:lang w:val="es-ES_tradnl"/>
        </w:rPr>
        <w:t>La Asamblea de Radiocomunicaciones de la UIT,</w:t>
      </w:r>
    </w:p>
    <w:p w:rsidR="009F72F8" w:rsidRPr="00F54BBF" w:rsidRDefault="009F72F8" w:rsidP="009E7F6F">
      <w:pPr>
        <w:pStyle w:val="Call"/>
        <w:rPr>
          <w:lang w:val="es-ES_tradnl"/>
        </w:rPr>
      </w:pPr>
      <w:proofErr w:type="gramStart"/>
      <w:r w:rsidRPr="00F54BBF">
        <w:rPr>
          <w:lang w:val="es-ES_tradnl"/>
        </w:rPr>
        <w:t>considerando</w:t>
      </w:r>
      <w:proofErr w:type="gramEnd"/>
    </w:p>
    <w:p w:rsidR="009F72F8" w:rsidRPr="00F54BBF" w:rsidRDefault="009F72F8" w:rsidP="009F72F8">
      <w:pPr>
        <w:rPr>
          <w:lang w:val="es-ES_tradnl"/>
        </w:rPr>
      </w:pPr>
      <w:r w:rsidRPr="00F54BBF">
        <w:rPr>
          <w:i/>
          <w:iCs/>
          <w:lang w:val="es-ES_tradnl"/>
        </w:rPr>
        <w:t>a)</w:t>
      </w:r>
      <w:r w:rsidRPr="00F54BBF">
        <w:rPr>
          <w:lang w:val="es-ES_tradnl"/>
        </w:rPr>
        <w:tab/>
        <w:t>que las características relativas a la antena, a la propagación de la señal, a la detección del blanco y al amplio ancho de banda necesario de los radares para llevar a cabo sus funciones son óptimas en algunas bandas de frecuencias;</w:t>
      </w:r>
    </w:p>
    <w:p w:rsidR="009F72F8" w:rsidRPr="00F54BBF" w:rsidRDefault="009F72F8" w:rsidP="009F72F8">
      <w:pPr>
        <w:rPr>
          <w:lang w:val="es-ES_tradnl"/>
        </w:rPr>
      </w:pPr>
      <w:r w:rsidRPr="00F54BBF">
        <w:rPr>
          <w:i/>
          <w:iCs/>
          <w:lang w:val="es-ES_tradnl"/>
        </w:rPr>
        <w:t>b)</w:t>
      </w:r>
      <w:r w:rsidRPr="00F54BBF">
        <w:rPr>
          <w:lang w:val="es-ES_tradnl"/>
        </w:rPr>
        <w:tab/>
        <w:t>que las características técnicas de los radares del servicio de radiodeterminación vienen determinadas por la misión del sistema y varían ampliamente incluso dentro de una banda;</w:t>
      </w:r>
    </w:p>
    <w:p w:rsidR="009F72F8" w:rsidRPr="00F54BBF" w:rsidRDefault="009F72F8" w:rsidP="009F72F8">
      <w:pPr>
        <w:rPr>
          <w:lang w:val="es-ES_tradnl"/>
        </w:rPr>
      </w:pPr>
      <w:r w:rsidRPr="00F54BBF">
        <w:rPr>
          <w:i/>
          <w:iCs/>
          <w:lang w:val="es-ES_tradnl"/>
        </w:rPr>
        <w:lastRenderedPageBreak/>
        <w:t>c)</w:t>
      </w:r>
      <w:r w:rsidRPr="00F54BBF">
        <w:rPr>
          <w:lang w:val="es-ES_tradnl"/>
        </w:rPr>
        <w:tab/>
        <w:t>que el servicio de radionavegación es un servicio de seguridad como especifica el número 4.10 del RR y no puede aceptar interferencia perjudicial;</w:t>
      </w:r>
    </w:p>
    <w:p w:rsidR="009F72F8" w:rsidRPr="00F54BBF" w:rsidRDefault="009F72F8" w:rsidP="009F72F8">
      <w:pPr>
        <w:rPr>
          <w:lang w:val="es-ES_tradnl"/>
        </w:rPr>
      </w:pPr>
      <w:r w:rsidRPr="00F54BBF">
        <w:rPr>
          <w:i/>
          <w:iCs/>
          <w:lang w:val="es-ES_tradnl"/>
        </w:rPr>
        <w:t>d)</w:t>
      </w:r>
      <w:r w:rsidRPr="00F54BBF">
        <w:rPr>
          <w:lang w:val="es-ES_tradnl"/>
        </w:rPr>
        <w:tab/>
        <w:t>que desde la CAMR</w:t>
      </w:r>
      <w:r w:rsidRPr="00F54BBF">
        <w:rPr>
          <w:lang w:val="es-ES_tradnl"/>
        </w:rPr>
        <w:noBreakHyphen/>
        <w:t>79 se han suprimido o disminuido de categoría muchas atribuciones de espectro a los servicios de radiolocalización y de radionavegación (equivalente a unos 1 GHz);</w:t>
      </w:r>
    </w:p>
    <w:p w:rsidR="009F72F8" w:rsidRPr="00F54BBF" w:rsidRDefault="009F72F8" w:rsidP="009F72F8">
      <w:pPr>
        <w:rPr>
          <w:lang w:val="es-ES_tradnl"/>
        </w:rPr>
      </w:pPr>
      <w:r w:rsidRPr="00F54BBF">
        <w:rPr>
          <w:i/>
          <w:iCs/>
          <w:lang w:val="es-ES_tradnl"/>
        </w:rPr>
        <w:t>e)</w:t>
      </w:r>
      <w:r w:rsidRPr="00F54BBF">
        <w:rPr>
          <w:lang w:val="es-ES_tradnl"/>
        </w:rPr>
        <w:tab/>
        <w:t>que algunos grupos técnicos del UIT</w:t>
      </w:r>
      <w:r w:rsidRPr="00F54BBF">
        <w:rPr>
          <w:lang w:val="es-ES_tradnl"/>
        </w:rPr>
        <w:noBreakHyphen/>
        <w:t>R están considerando la posible introducción de nuevos tipos de sistemas (por ejemplo, sistemas fijos de acceso inalámbrico y sistemas fijos y móviles de alta densidad) o servicios en las bandas comprendidas entre 420 MHz y 34 GHz utilizadas por radares del servicio de radiodeterminación;</w:t>
      </w:r>
    </w:p>
    <w:p w:rsidR="009F72F8" w:rsidRPr="00F54BBF" w:rsidRDefault="009F72F8" w:rsidP="009F72F8">
      <w:pPr>
        <w:rPr>
          <w:lang w:val="es-ES_tradnl"/>
        </w:rPr>
      </w:pPr>
      <w:r w:rsidRPr="00F54BBF">
        <w:rPr>
          <w:i/>
          <w:iCs/>
          <w:lang w:val="es-ES_tradnl"/>
        </w:rPr>
        <w:t>f)</w:t>
      </w:r>
      <w:r w:rsidRPr="00F54BBF">
        <w:rPr>
          <w:lang w:val="es-ES_tradnl"/>
        </w:rPr>
        <w:tab/>
        <w:t>que es preciso determinar las características técnicas y de explotación representativas de los sistemas que funcionan en las bandas atribuidas al servicio de radiodeterminación para estudiar la posibilidad de introducir nuevos tipos de sistemas;</w:t>
      </w:r>
    </w:p>
    <w:p w:rsidR="009F72F8" w:rsidRPr="00F54BBF" w:rsidRDefault="009F72F8" w:rsidP="009F72F8">
      <w:pPr>
        <w:rPr>
          <w:lang w:val="es-ES_tradnl"/>
        </w:rPr>
      </w:pPr>
      <w:r w:rsidRPr="00F54BBF">
        <w:rPr>
          <w:i/>
          <w:iCs/>
          <w:lang w:val="es-ES_tradnl"/>
        </w:rPr>
        <w:t>g)</w:t>
      </w:r>
      <w:r w:rsidRPr="00F54BBF">
        <w:rPr>
          <w:lang w:val="es-ES_tradnl"/>
        </w:rPr>
        <w:tab/>
        <w:t>que es necesario establecer procedimientos y metodologías para analizar la compatibilidad entre los radares del servicio de radiodeterminación y sistemas de otros servicios;</w:t>
      </w:r>
    </w:p>
    <w:p w:rsidR="009F72F8" w:rsidRPr="00F54BBF" w:rsidRDefault="009F72F8" w:rsidP="009F72F8">
      <w:pPr>
        <w:rPr>
          <w:lang w:val="es-ES_tradnl"/>
        </w:rPr>
      </w:pPr>
      <w:r w:rsidRPr="00F54BBF">
        <w:rPr>
          <w:i/>
          <w:iCs/>
          <w:lang w:val="es-ES_tradnl"/>
        </w:rPr>
        <w:t>h)</w:t>
      </w:r>
      <w:r w:rsidRPr="00F54BBF">
        <w:rPr>
          <w:lang w:val="es-ES_tradnl"/>
        </w:rPr>
        <w:tab/>
        <w:t>que la CMR-97 solicitó al UIT</w:t>
      </w:r>
      <w:r w:rsidRPr="00F54BBF">
        <w:rPr>
          <w:lang w:val="es-ES_tradnl"/>
        </w:rPr>
        <w:noBreakHyphen/>
        <w:t>R que realice estudios a fin de determinar qué criterios serían necesarios para la compartición entre las estaciones del servicio fijo y las estaciones de otros servicios a los que está atribuida la banda de frecuencias 31,8-33,4 GHz;</w:t>
      </w:r>
    </w:p>
    <w:p w:rsidR="009F72F8" w:rsidRPr="00F54BBF" w:rsidRDefault="009F72F8" w:rsidP="009F72F8">
      <w:pPr>
        <w:rPr>
          <w:lang w:val="es-ES_tradnl"/>
        </w:rPr>
      </w:pPr>
      <w:r w:rsidRPr="00F54BBF">
        <w:rPr>
          <w:i/>
          <w:iCs/>
          <w:lang w:val="es-ES_tradnl"/>
        </w:rPr>
        <w:t>j)</w:t>
      </w:r>
      <w:r w:rsidRPr="00F54BBF">
        <w:rPr>
          <w:lang w:val="es-ES_tradnl"/>
        </w:rPr>
        <w:tab/>
        <w:t>que la banda de frecuencias 31,8-33,4 GHz está atribuida a título primario a los servicios fijo y de radionavegación y que partes de la banda están atribuidas también a título primario a los servicios de investigación espacial (espacio lejano) y entre satélites,</w:t>
      </w:r>
    </w:p>
    <w:p w:rsidR="009F72F8" w:rsidRPr="00F54BBF" w:rsidRDefault="009F72F8" w:rsidP="00EE0C3B">
      <w:pPr>
        <w:pStyle w:val="Call"/>
        <w:rPr>
          <w:lang w:val="es-ES_tradnl"/>
        </w:rPr>
      </w:pPr>
      <w:proofErr w:type="gramStart"/>
      <w:r w:rsidRPr="00F54BBF">
        <w:rPr>
          <w:lang w:val="es-ES_tradnl"/>
        </w:rPr>
        <w:t>recomienda</w:t>
      </w:r>
      <w:proofErr w:type="gramEnd"/>
    </w:p>
    <w:p w:rsidR="009F72F8" w:rsidRPr="00F54BBF" w:rsidRDefault="009F72F8" w:rsidP="009F72F8">
      <w:pPr>
        <w:rPr>
          <w:lang w:val="es-ES_tradnl"/>
        </w:rPr>
      </w:pPr>
      <w:r w:rsidRPr="00F54BBF">
        <w:rPr>
          <w:b/>
          <w:bCs/>
          <w:lang w:val="es-ES_tradnl"/>
        </w:rPr>
        <w:t>1</w:t>
      </w:r>
      <w:r w:rsidRPr="00F54BBF">
        <w:rPr>
          <w:lang w:val="es-ES_tradnl"/>
        </w:rPr>
        <w:tab/>
        <w:t>que las características técnicas y de explotación de los radares del servicio de radionavegación descritas en el Anexo 1 deberían ser consideradas representativas de los sistemas que funcionan en la banda de frecuencias 31,8</w:t>
      </w:r>
      <w:r w:rsidRPr="00F54BBF">
        <w:rPr>
          <w:lang w:val="es-ES_tradnl"/>
        </w:rPr>
        <w:noBreakHyphen/>
        <w:t>33,4 GHz;</w:t>
      </w:r>
    </w:p>
    <w:p w:rsidR="009F72F8" w:rsidRPr="00F54BBF" w:rsidRDefault="009F72F8" w:rsidP="009F72F8">
      <w:pPr>
        <w:rPr>
          <w:lang w:val="es-ES_tradnl"/>
        </w:rPr>
      </w:pPr>
      <w:r w:rsidRPr="00F54BBF">
        <w:rPr>
          <w:b/>
          <w:bCs/>
          <w:lang w:val="es-ES_tradnl"/>
        </w:rPr>
        <w:t>2</w:t>
      </w:r>
      <w:r w:rsidRPr="00F54BBF">
        <w:rPr>
          <w:lang w:val="es-ES_tradnl"/>
        </w:rPr>
        <w:tab/>
        <w:t>que debería utilizarse la Recomendación UIT</w:t>
      </w:r>
      <w:r w:rsidRPr="00F54BBF">
        <w:rPr>
          <w:lang w:val="es-ES_tradnl"/>
        </w:rPr>
        <w:noBreakHyphen/>
        <w:t>R M.1461 como orientación para analizar la compatibilidad entre radares del servicio de radiodeterminación y sistemas de otros servicios;</w:t>
      </w:r>
    </w:p>
    <w:p w:rsidR="009F72F8" w:rsidRPr="00F54BBF" w:rsidRDefault="009F72F8" w:rsidP="009F72F8">
      <w:pPr>
        <w:rPr>
          <w:lang w:val="es-ES_tradnl"/>
        </w:rPr>
      </w:pPr>
      <w:r w:rsidRPr="00F54BBF">
        <w:rPr>
          <w:b/>
          <w:bCs/>
          <w:lang w:val="es-ES_tradnl"/>
        </w:rPr>
        <w:t>3</w:t>
      </w:r>
      <w:r w:rsidRPr="00F54BBF">
        <w:rPr>
          <w:lang w:val="es-ES_tradnl"/>
        </w:rPr>
        <w:tab/>
        <w:t xml:space="preserve">que el criterio de una relación entre la potencia de la señal interferente y el nivel de potencia de ruido del receptor, </w:t>
      </w:r>
      <w:r w:rsidRPr="00F54BBF">
        <w:rPr>
          <w:i/>
          <w:iCs/>
          <w:lang w:val="es-ES_tradnl"/>
        </w:rPr>
        <w:t>I</w:t>
      </w:r>
      <w:r w:rsidRPr="00F54BBF">
        <w:rPr>
          <w:lang w:val="es-ES_tradnl"/>
        </w:rPr>
        <w:t>/</w:t>
      </w:r>
      <w:r w:rsidRPr="00F54BBF">
        <w:rPr>
          <w:i/>
          <w:iCs/>
          <w:lang w:val="es-ES_tradnl"/>
        </w:rPr>
        <w:t>N</w:t>
      </w:r>
      <w:r w:rsidRPr="00F54BBF">
        <w:rPr>
          <w:lang w:val="es-ES_tradnl"/>
        </w:rPr>
        <w:t>, de –</w:t>
      </w:r>
      <w:r w:rsidRPr="00F54BBF">
        <w:rPr>
          <w:rFonts w:ascii="Tms Rmn" w:hAnsi="Tms Rmn"/>
          <w:sz w:val="4"/>
          <w:lang w:val="es-ES_tradnl"/>
        </w:rPr>
        <w:t> </w:t>
      </w:r>
      <w:r w:rsidRPr="00F54BBF">
        <w:rPr>
          <w:lang w:val="es-ES_tradnl"/>
        </w:rPr>
        <w:t>6 dB debería utilizarse como el nivel de protección necesario para los radares de radionavegación y represente el nivel de protección neto si aparecen varias fuentes de interferencia.</w:t>
      </w:r>
    </w:p>
    <w:p w:rsidR="009F72F8" w:rsidRPr="00F54BBF" w:rsidRDefault="009F72F8" w:rsidP="009F72F8">
      <w:pPr>
        <w:rPr>
          <w:lang w:val="es-ES_tradnl"/>
        </w:rPr>
      </w:pPr>
    </w:p>
    <w:p w:rsidR="009F72F8" w:rsidRPr="00F54BBF" w:rsidRDefault="009F72F8" w:rsidP="009F72F8">
      <w:pPr>
        <w:pStyle w:val="AnnexNoTitle"/>
        <w:rPr>
          <w:lang w:val="es-ES_tradnl"/>
        </w:rPr>
      </w:pPr>
      <w:r w:rsidRPr="00F54BBF">
        <w:rPr>
          <w:lang w:val="es-ES_tradnl"/>
        </w:rPr>
        <w:t>Anexo 1</w:t>
      </w:r>
      <w:r w:rsidRPr="00F54BBF">
        <w:rPr>
          <w:lang w:val="es-ES_tradnl"/>
        </w:rPr>
        <w:br/>
      </w:r>
      <w:r w:rsidRPr="00F54BBF">
        <w:rPr>
          <w:lang w:val="es-ES_tradnl"/>
        </w:rPr>
        <w:br/>
        <w:t>Características técnicas y de explotación de los radares</w:t>
      </w:r>
      <w:r w:rsidRPr="00F54BBF">
        <w:rPr>
          <w:lang w:val="es-ES_tradnl"/>
        </w:rPr>
        <w:br/>
        <w:t>del servicio de radionavegación en la banda</w:t>
      </w:r>
      <w:r w:rsidRPr="00F54BBF">
        <w:rPr>
          <w:lang w:val="es-ES_tradnl"/>
        </w:rPr>
        <w:br/>
        <w:t>de frecuencias 31,8-33,4 GHz</w:t>
      </w:r>
    </w:p>
    <w:p w:rsidR="009F72F8" w:rsidRPr="00F54BBF" w:rsidRDefault="009F72F8" w:rsidP="009F72F8">
      <w:pPr>
        <w:pStyle w:val="Heading1"/>
        <w:rPr>
          <w:lang w:val="es-ES_tradnl"/>
        </w:rPr>
      </w:pPr>
      <w:r w:rsidRPr="00F54BBF">
        <w:rPr>
          <w:lang w:val="es-ES_tradnl"/>
        </w:rPr>
        <w:t>1</w:t>
      </w:r>
      <w:r w:rsidRPr="00F54BBF">
        <w:rPr>
          <w:lang w:val="es-ES_tradnl"/>
        </w:rPr>
        <w:tab/>
        <w:t>Introducción</w:t>
      </w:r>
    </w:p>
    <w:p w:rsidR="009F72F8" w:rsidRPr="00F54BBF" w:rsidRDefault="009F72F8" w:rsidP="009F72F8">
      <w:pPr>
        <w:rPr>
          <w:lang w:val="es-ES_tradnl"/>
        </w:rPr>
      </w:pPr>
      <w:r w:rsidRPr="00F54BBF">
        <w:rPr>
          <w:lang w:val="es-ES_tradnl"/>
        </w:rPr>
        <w:t>El servicio de radionavegación funciona en todo el mundo a título primario en la banda de frecuencias 31,8</w:t>
      </w:r>
      <w:r w:rsidRPr="00F54BBF">
        <w:rPr>
          <w:lang w:val="es-ES_tradnl"/>
        </w:rPr>
        <w:noBreakHyphen/>
        <w:t>33,4 GHz. Este Anexo presenta las características técnicas y de explotación de radares representativos del servicio de radionavegación que funcionan en dicha banda.</w:t>
      </w:r>
    </w:p>
    <w:p w:rsidR="009F72F8" w:rsidRPr="00F54BBF" w:rsidRDefault="009F72F8" w:rsidP="009F72F8">
      <w:pPr>
        <w:pStyle w:val="Heading1"/>
        <w:rPr>
          <w:lang w:val="es-ES_tradnl"/>
        </w:rPr>
      </w:pPr>
      <w:r w:rsidRPr="00F54BBF">
        <w:rPr>
          <w:lang w:val="es-ES_tradnl"/>
        </w:rPr>
        <w:lastRenderedPageBreak/>
        <w:t>2</w:t>
      </w:r>
      <w:r w:rsidRPr="00F54BBF">
        <w:rPr>
          <w:lang w:val="es-ES_tradnl"/>
        </w:rPr>
        <w:tab/>
        <w:t>Características técnicas de los sistemas de radionavegación en la banda de frecuencias 31,8-33,4 GHz</w:t>
      </w:r>
    </w:p>
    <w:p w:rsidR="009F72F8" w:rsidRPr="00F54BBF" w:rsidRDefault="009F72F8" w:rsidP="009F72F8">
      <w:pPr>
        <w:rPr>
          <w:lang w:val="es-ES_tradnl"/>
        </w:rPr>
      </w:pPr>
      <w:r w:rsidRPr="00F54BBF">
        <w:rPr>
          <w:lang w:val="es-ES_tradnl"/>
        </w:rPr>
        <w:t>En los Cuadros 1 y 2 aparecen los parámetros técnicos de tres radares de radionavegación que funcionan en la banda de frecuencias 31,8</w:t>
      </w:r>
      <w:r w:rsidRPr="00F54BBF">
        <w:rPr>
          <w:lang w:val="es-ES_tradnl"/>
        </w:rPr>
        <w:noBreakHyphen/>
        <w:t>33,4 GHz. Estos sistemas funcionan en todo el mundo a bordo de aeronaves. Los radares se utilizan para el trazado de mapas terrenales, la detección de tormentas, la calibración de los sistemas de navegación a bordo de la aeronave, en aras de un funcionamiento preciso en vuelo en condiciones meteorológicas adversas, y la provisión de datos a los pilotos con el fin de reducir la altura de decisión durante las fases de aterrizaje en condiciones meteorológicas adversas.</w:t>
      </w:r>
    </w:p>
    <w:p w:rsidR="009F72F8" w:rsidRPr="00F54BBF" w:rsidRDefault="009F72F8" w:rsidP="009F72F8">
      <w:pPr>
        <w:pStyle w:val="TableNo"/>
        <w:rPr>
          <w:lang w:val="es-ES_tradnl"/>
        </w:rPr>
      </w:pPr>
      <w:r w:rsidRPr="00F54BBF">
        <w:rPr>
          <w:lang w:val="es-ES_tradnl"/>
        </w:rPr>
        <w:t>CUADRO 1</w:t>
      </w:r>
    </w:p>
    <w:p w:rsidR="009F72F8" w:rsidRPr="00F54BBF" w:rsidRDefault="009F72F8" w:rsidP="009F72F8">
      <w:pPr>
        <w:pStyle w:val="Tabletitle"/>
        <w:rPr>
          <w:szCs w:val="24"/>
          <w:lang w:val="es-ES_tradnl"/>
        </w:rPr>
      </w:pPr>
      <w:r w:rsidRPr="00F54BBF">
        <w:rPr>
          <w:szCs w:val="24"/>
          <w:lang w:val="es-ES_tradnl"/>
        </w:rPr>
        <w:t>Características del radar de radionavegación en la banda de frecuencias 31,8-33,4 GHz</w:t>
      </w:r>
      <w:r w:rsidRPr="00F54BBF">
        <w:rPr>
          <w:szCs w:val="24"/>
          <w:lang w:val="es-ES_tradnl"/>
        </w:rPr>
        <w:br/>
        <w:t>(Radares núms. 1 y 2)</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027"/>
        <w:gridCol w:w="1072"/>
        <w:gridCol w:w="2762"/>
        <w:gridCol w:w="2762"/>
      </w:tblGrid>
      <w:tr w:rsidR="009F72F8" w:rsidRPr="00F54BBF" w:rsidTr="006A1F81">
        <w:trPr>
          <w:cantSplit/>
        </w:trPr>
        <w:tc>
          <w:tcPr>
            <w:tcW w:w="1573" w:type="pct"/>
          </w:tcPr>
          <w:p w:rsidR="009F72F8" w:rsidRPr="00F54BBF" w:rsidRDefault="009F72F8" w:rsidP="006A1F81">
            <w:pPr>
              <w:pStyle w:val="Tablehead"/>
              <w:rPr>
                <w:szCs w:val="22"/>
                <w:lang w:val="es-ES_tradnl"/>
              </w:rPr>
            </w:pPr>
            <w:r w:rsidRPr="00F54BBF">
              <w:rPr>
                <w:szCs w:val="22"/>
                <w:lang w:val="es-ES_tradnl"/>
              </w:rPr>
              <w:t>Parámetro</w:t>
            </w:r>
          </w:p>
        </w:tc>
        <w:tc>
          <w:tcPr>
            <w:tcW w:w="557" w:type="pct"/>
          </w:tcPr>
          <w:p w:rsidR="009F72F8" w:rsidRPr="00F54BBF" w:rsidRDefault="009F72F8" w:rsidP="006A1F81">
            <w:pPr>
              <w:pStyle w:val="Tablehead"/>
              <w:rPr>
                <w:szCs w:val="22"/>
                <w:lang w:val="es-ES_tradnl"/>
              </w:rPr>
            </w:pPr>
            <w:r w:rsidRPr="00F54BBF">
              <w:rPr>
                <w:szCs w:val="22"/>
                <w:lang w:val="es-ES_tradnl"/>
              </w:rPr>
              <w:t>Unidad</w:t>
            </w:r>
          </w:p>
        </w:tc>
        <w:tc>
          <w:tcPr>
            <w:tcW w:w="1435" w:type="pct"/>
          </w:tcPr>
          <w:p w:rsidR="009F72F8" w:rsidRPr="00F54BBF" w:rsidRDefault="009F72F8" w:rsidP="006A1F81">
            <w:pPr>
              <w:pStyle w:val="Tablehead"/>
              <w:rPr>
                <w:szCs w:val="22"/>
                <w:lang w:val="es-ES_tradnl"/>
              </w:rPr>
            </w:pPr>
            <w:r w:rsidRPr="00F54BBF">
              <w:rPr>
                <w:szCs w:val="22"/>
                <w:lang w:val="es-ES_tradnl"/>
              </w:rPr>
              <w:t>Radar núm. 1</w:t>
            </w:r>
          </w:p>
        </w:tc>
        <w:tc>
          <w:tcPr>
            <w:tcW w:w="1435" w:type="pct"/>
          </w:tcPr>
          <w:p w:rsidR="009F72F8" w:rsidRPr="00F54BBF" w:rsidRDefault="009F72F8" w:rsidP="006A1F81">
            <w:pPr>
              <w:pStyle w:val="Tablehead"/>
              <w:rPr>
                <w:szCs w:val="22"/>
                <w:lang w:val="es-ES_tradnl"/>
              </w:rPr>
            </w:pPr>
            <w:r w:rsidRPr="00F54BBF">
              <w:rPr>
                <w:szCs w:val="22"/>
                <w:lang w:val="es-ES_tradnl"/>
              </w:rPr>
              <w:t>Radar núm. 2</w:t>
            </w:r>
          </w:p>
        </w:tc>
      </w:tr>
      <w:tr w:rsidR="009F72F8" w:rsidRPr="00C22EC0" w:rsidTr="006A1F81">
        <w:trPr>
          <w:cantSplit/>
        </w:trPr>
        <w:tc>
          <w:tcPr>
            <w:tcW w:w="1573" w:type="pct"/>
          </w:tcPr>
          <w:p w:rsidR="009F72F8" w:rsidRPr="00F54BBF" w:rsidRDefault="009F72F8" w:rsidP="006A1F81">
            <w:pPr>
              <w:pStyle w:val="Tabletext"/>
              <w:rPr>
                <w:szCs w:val="22"/>
                <w:lang w:val="es-ES_tradnl"/>
              </w:rPr>
            </w:pPr>
            <w:r w:rsidRPr="00F54BBF">
              <w:rPr>
                <w:szCs w:val="22"/>
                <w:lang w:val="es-ES_tradnl"/>
              </w:rPr>
              <w:t>Tipo de sintonía</w:t>
            </w:r>
          </w:p>
        </w:tc>
        <w:tc>
          <w:tcPr>
            <w:tcW w:w="557" w:type="pct"/>
          </w:tcPr>
          <w:p w:rsidR="009F72F8" w:rsidRPr="00F54BBF" w:rsidRDefault="009F72F8" w:rsidP="006A1F81">
            <w:pPr>
              <w:pStyle w:val="TableText0"/>
              <w:framePr w:hSpace="181" w:wrap="notBeside" w:vAnchor="text" w:hAnchor="text" w:xAlign="center" w:y="1"/>
              <w:spacing w:before="40" w:after="40" w:line="240" w:lineRule="auto"/>
              <w:jc w:val="center"/>
              <w:rPr>
                <w:sz w:val="22"/>
                <w:szCs w:val="22"/>
                <w:lang w:val="es-ES_tradnl"/>
              </w:rPr>
            </w:pPr>
          </w:p>
        </w:tc>
        <w:tc>
          <w:tcPr>
            <w:tcW w:w="1435" w:type="pct"/>
          </w:tcPr>
          <w:p w:rsidR="009F72F8" w:rsidRPr="00F54BBF" w:rsidRDefault="009F72F8" w:rsidP="006A1F81">
            <w:pPr>
              <w:pStyle w:val="TableText0"/>
              <w:framePr w:hSpace="181" w:wrap="notBeside" w:vAnchor="text" w:hAnchor="text" w:xAlign="center" w:y="1"/>
              <w:spacing w:before="40" w:after="40" w:line="240" w:lineRule="auto"/>
              <w:jc w:val="left"/>
              <w:rPr>
                <w:sz w:val="22"/>
                <w:szCs w:val="22"/>
                <w:lang w:val="es-ES_tradnl"/>
              </w:rPr>
            </w:pPr>
            <w:r w:rsidRPr="00F54BBF">
              <w:rPr>
                <w:sz w:val="22"/>
                <w:szCs w:val="22"/>
                <w:lang w:val="es-ES_tradnl"/>
              </w:rPr>
              <w:t>Frecuencia fija</w:t>
            </w:r>
          </w:p>
          <w:p w:rsidR="009F72F8" w:rsidRPr="00F54BBF" w:rsidRDefault="009F72F8" w:rsidP="006A1F81">
            <w:pPr>
              <w:pStyle w:val="TableText0"/>
              <w:framePr w:hSpace="181" w:wrap="notBeside" w:vAnchor="text" w:hAnchor="text" w:xAlign="center" w:y="1"/>
              <w:spacing w:before="40" w:after="40" w:line="240" w:lineRule="auto"/>
              <w:jc w:val="left"/>
              <w:rPr>
                <w:sz w:val="22"/>
                <w:szCs w:val="22"/>
                <w:lang w:val="es-ES_tradnl"/>
              </w:rPr>
            </w:pPr>
            <w:r w:rsidRPr="00F54BBF">
              <w:rPr>
                <w:sz w:val="22"/>
                <w:szCs w:val="22"/>
                <w:lang w:val="es-ES_tradnl"/>
              </w:rPr>
              <w:t>Sintonización continua a lo largo de la banda 31,8</w:t>
            </w:r>
            <w:r w:rsidRPr="00F54BBF">
              <w:rPr>
                <w:sz w:val="22"/>
                <w:szCs w:val="22"/>
                <w:lang w:val="es-ES_tradnl"/>
              </w:rPr>
              <w:noBreakHyphen/>
              <w:t>33,4 GHz</w:t>
            </w:r>
          </w:p>
        </w:tc>
        <w:tc>
          <w:tcPr>
            <w:tcW w:w="1435" w:type="pct"/>
          </w:tcPr>
          <w:p w:rsidR="009F72F8" w:rsidRPr="00F54BBF" w:rsidRDefault="009F72F8" w:rsidP="006A1F81">
            <w:pPr>
              <w:pStyle w:val="TableText0"/>
              <w:framePr w:hSpace="181" w:wrap="notBeside" w:vAnchor="text" w:hAnchor="text" w:xAlign="center" w:y="1"/>
              <w:spacing w:before="40" w:after="40" w:line="240" w:lineRule="auto"/>
              <w:jc w:val="left"/>
              <w:rPr>
                <w:sz w:val="22"/>
                <w:szCs w:val="22"/>
                <w:lang w:val="es-ES_tradnl"/>
              </w:rPr>
            </w:pPr>
            <w:r w:rsidRPr="00F54BBF">
              <w:rPr>
                <w:sz w:val="22"/>
                <w:szCs w:val="22"/>
                <w:lang w:val="es-ES_tradnl"/>
              </w:rPr>
              <w:t>Frecuencia fija o saltos de frecuencia</w:t>
            </w:r>
          </w:p>
          <w:p w:rsidR="009F72F8" w:rsidRPr="00F54BBF" w:rsidRDefault="009F72F8" w:rsidP="006A1F81">
            <w:pPr>
              <w:pStyle w:val="TableText0"/>
              <w:framePr w:hSpace="181" w:wrap="notBeside" w:vAnchor="text" w:hAnchor="text" w:xAlign="center" w:y="1"/>
              <w:spacing w:before="40" w:after="40" w:line="240" w:lineRule="auto"/>
              <w:jc w:val="left"/>
              <w:rPr>
                <w:sz w:val="22"/>
                <w:szCs w:val="22"/>
                <w:lang w:val="es-ES_tradnl"/>
              </w:rPr>
            </w:pPr>
            <w:r w:rsidRPr="00F54BBF">
              <w:rPr>
                <w:sz w:val="22"/>
                <w:szCs w:val="22"/>
                <w:lang w:val="es-ES_tradnl"/>
              </w:rPr>
              <w:t>Funciona en cualquier modo en uno de los 9 canales discretos separados 100 MHz (32,2</w:t>
            </w:r>
            <w:r w:rsidRPr="00F54BBF">
              <w:rPr>
                <w:sz w:val="22"/>
                <w:szCs w:val="22"/>
                <w:lang w:val="es-ES_tradnl"/>
              </w:rPr>
              <w:noBreakHyphen/>
              <w:t>33 GHz)</w:t>
            </w:r>
          </w:p>
        </w:tc>
      </w:tr>
      <w:tr w:rsidR="009F72F8" w:rsidRPr="00F54BBF" w:rsidTr="006A1F81">
        <w:trPr>
          <w:cantSplit/>
        </w:trPr>
        <w:tc>
          <w:tcPr>
            <w:tcW w:w="1573" w:type="pct"/>
          </w:tcPr>
          <w:p w:rsidR="009F72F8" w:rsidRPr="00F54BBF" w:rsidRDefault="009F72F8" w:rsidP="006A1F81">
            <w:pPr>
              <w:pStyle w:val="TableText0"/>
              <w:keepNext w:val="0"/>
              <w:spacing w:before="40" w:after="40" w:line="240" w:lineRule="auto"/>
              <w:jc w:val="left"/>
              <w:rPr>
                <w:sz w:val="22"/>
                <w:szCs w:val="22"/>
                <w:lang w:val="es-ES_tradnl"/>
              </w:rPr>
            </w:pPr>
            <w:r w:rsidRPr="00F54BBF">
              <w:rPr>
                <w:sz w:val="22"/>
                <w:szCs w:val="22"/>
                <w:lang w:val="es-ES_tradnl"/>
              </w:rPr>
              <w:t>Tipo de emisión</w:t>
            </w:r>
          </w:p>
        </w:tc>
        <w:tc>
          <w:tcPr>
            <w:tcW w:w="557" w:type="pct"/>
          </w:tcPr>
          <w:p w:rsidR="009F72F8" w:rsidRPr="00F54BBF" w:rsidRDefault="009F72F8" w:rsidP="006A1F81">
            <w:pPr>
              <w:pStyle w:val="TableText0"/>
              <w:spacing w:before="40" w:after="40" w:line="240" w:lineRule="auto"/>
              <w:jc w:val="center"/>
              <w:rPr>
                <w:sz w:val="22"/>
                <w:szCs w:val="22"/>
                <w:lang w:val="es-ES_tradnl"/>
              </w:rPr>
            </w:pPr>
          </w:p>
        </w:tc>
        <w:tc>
          <w:tcPr>
            <w:tcW w:w="2870" w:type="pct"/>
            <w:gridSpan w:val="2"/>
          </w:tcPr>
          <w:p w:rsidR="009F72F8" w:rsidRPr="00F54BBF" w:rsidRDefault="009F72F8" w:rsidP="006A1F81">
            <w:pPr>
              <w:pStyle w:val="TableText0"/>
              <w:spacing w:before="40" w:after="40" w:line="240" w:lineRule="auto"/>
              <w:jc w:val="center"/>
              <w:rPr>
                <w:sz w:val="22"/>
                <w:szCs w:val="22"/>
                <w:lang w:val="es-ES_tradnl"/>
              </w:rPr>
            </w:pPr>
            <w:r w:rsidRPr="00F54BBF">
              <w:rPr>
                <w:sz w:val="22"/>
                <w:szCs w:val="22"/>
                <w:lang w:val="es-ES_tradnl"/>
              </w:rPr>
              <w:t>Impulsos sin modular</w:t>
            </w:r>
          </w:p>
        </w:tc>
      </w:tr>
      <w:tr w:rsidR="009F72F8" w:rsidRPr="00F54BBF" w:rsidTr="006A1F81">
        <w:trPr>
          <w:cantSplit/>
        </w:trPr>
        <w:tc>
          <w:tcPr>
            <w:tcW w:w="1573" w:type="pct"/>
          </w:tcPr>
          <w:p w:rsidR="009F72F8" w:rsidRPr="00F54BBF" w:rsidRDefault="009F72F8" w:rsidP="006A1F81">
            <w:pPr>
              <w:pStyle w:val="TableText0"/>
              <w:keepNext w:val="0"/>
              <w:spacing w:before="40" w:after="40" w:line="240" w:lineRule="auto"/>
              <w:jc w:val="left"/>
              <w:rPr>
                <w:sz w:val="22"/>
                <w:szCs w:val="22"/>
                <w:lang w:val="es-ES_tradnl"/>
              </w:rPr>
            </w:pPr>
            <w:r w:rsidRPr="00F54BBF">
              <w:rPr>
                <w:sz w:val="22"/>
                <w:szCs w:val="22"/>
                <w:lang w:val="es-ES_tradnl"/>
              </w:rPr>
              <w:t>Ancho de banda de la emisión en RF</w:t>
            </w:r>
          </w:p>
        </w:tc>
        <w:tc>
          <w:tcPr>
            <w:tcW w:w="557" w:type="pct"/>
          </w:tcPr>
          <w:p w:rsidR="009F72F8" w:rsidRPr="00F54BBF" w:rsidRDefault="009F72F8" w:rsidP="006A1F81">
            <w:pPr>
              <w:pStyle w:val="TableText0"/>
              <w:spacing w:before="40" w:after="40" w:line="240" w:lineRule="auto"/>
              <w:jc w:val="center"/>
              <w:rPr>
                <w:sz w:val="22"/>
                <w:szCs w:val="22"/>
                <w:lang w:val="es-ES_tradnl"/>
              </w:rPr>
            </w:pPr>
            <w:r w:rsidRPr="00F54BBF">
              <w:rPr>
                <w:sz w:val="22"/>
                <w:szCs w:val="22"/>
                <w:lang w:val="es-ES_tradnl"/>
              </w:rPr>
              <w:t>MHz</w:t>
            </w:r>
          </w:p>
        </w:tc>
        <w:tc>
          <w:tcPr>
            <w:tcW w:w="1435" w:type="pct"/>
          </w:tcPr>
          <w:p w:rsidR="009F72F8" w:rsidRPr="00F54BBF" w:rsidRDefault="009F72F8" w:rsidP="006A1F81">
            <w:pPr>
              <w:pStyle w:val="TableText0"/>
              <w:spacing w:before="40" w:after="40" w:line="240" w:lineRule="auto"/>
              <w:jc w:val="center"/>
              <w:rPr>
                <w:sz w:val="22"/>
                <w:szCs w:val="22"/>
                <w:lang w:val="es-ES_tradnl"/>
              </w:rPr>
            </w:pPr>
            <w:r w:rsidRPr="00F54BBF">
              <w:rPr>
                <w:sz w:val="22"/>
                <w:szCs w:val="22"/>
                <w:lang w:val="es-ES_tradnl"/>
              </w:rPr>
              <w:t>37</w:t>
            </w:r>
          </w:p>
        </w:tc>
        <w:tc>
          <w:tcPr>
            <w:tcW w:w="1435" w:type="pct"/>
          </w:tcPr>
          <w:p w:rsidR="009F72F8" w:rsidRPr="00F54BBF" w:rsidRDefault="009F72F8" w:rsidP="006A1F81">
            <w:pPr>
              <w:pStyle w:val="TableText0"/>
              <w:spacing w:before="40" w:after="40" w:line="240" w:lineRule="auto"/>
              <w:jc w:val="center"/>
              <w:rPr>
                <w:sz w:val="22"/>
                <w:szCs w:val="22"/>
                <w:lang w:val="es-ES_tradnl"/>
              </w:rPr>
            </w:pPr>
            <w:r w:rsidRPr="00F54BBF">
              <w:rPr>
                <w:sz w:val="22"/>
                <w:szCs w:val="22"/>
                <w:lang w:val="es-ES_tradnl"/>
              </w:rPr>
              <w:t>17 (instantánea)</w:t>
            </w:r>
            <w:r w:rsidRPr="00F54BBF">
              <w:rPr>
                <w:sz w:val="22"/>
                <w:szCs w:val="22"/>
                <w:lang w:val="es-ES_tradnl"/>
              </w:rPr>
              <w:br/>
              <w:t>117 (por saltos)</w:t>
            </w:r>
          </w:p>
        </w:tc>
      </w:tr>
      <w:tr w:rsidR="009F72F8" w:rsidRPr="00F54BBF" w:rsidTr="006A1F81">
        <w:trPr>
          <w:cantSplit/>
        </w:trPr>
        <w:tc>
          <w:tcPr>
            <w:tcW w:w="1573" w:type="pct"/>
          </w:tcPr>
          <w:p w:rsidR="009F72F8" w:rsidRPr="00F54BBF" w:rsidRDefault="009F72F8" w:rsidP="006A1F81">
            <w:pPr>
              <w:pStyle w:val="TableText0"/>
              <w:keepNext w:val="0"/>
              <w:spacing w:before="40" w:after="40" w:line="240" w:lineRule="auto"/>
              <w:jc w:val="left"/>
              <w:rPr>
                <w:sz w:val="22"/>
                <w:szCs w:val="22"/>
                <w:lang w:val="es-ES_tradnl"/>
              </w:rPr>
            </w:pPr>
            <w:r w:rsidRPr="00F54BBF">
              <w:rPr>
                <w:sz w:val="22"/>
                <w:szCs w:val="22"/>
                <w:lang w:val="es-ES_tradnl"/>
              </w:rPr>
              <w:t>Duración del impulso</w:t>
            </w:r>
          </w:p>
        </w:tc>
        <w:tc>
          <w:tcPr>
            <w:tcW w:w="557" w:type="pct"/>
          </w:tcPr>
          <w:p w:rsidR="009F72F8" w:rsidRPr="00F54BBF" w:rsidRDefault="009F72F8" w:rsidP="006A1F81">
            <w:pPr>
              <w:pStyle w:val="TableText0"/>
              <w:spacing w:before="40" w:after="40" w:line="240" w:lineRule="auto"/>
              <w:jc w:val="center"/>
              <w:rPr>
                <w:sz w:val="22"/>
                <w:szCs w:val="22"/>
                <w:lang w:val="es-ES_tradnl"/>
              </w:rPr>
            </w:pPr>
            <w:r w:rsidRPr="00F54BBF">
              <w:rPr>
                <w:rFonts w:ascii="Symbol" w:hAnsi="Symbol"/>
                <w:sz w:val="22"/>
                <w:szCs w:val="22"/>
                <w:lang w:val="es-ES_tradnl"/>
              </w:rPr>
              <w:t></w:t>
            </w:r>
            <w:r w:rsidRPr="00F54BBF">
              <w:rPr>
                <w:sz w:val="22"/>
                <w:szCs w:val="22"/>
                <w:lang w:val="es-ES_tradnl"/>
              </w:rPr>
              <w:t>s</w:t>
            </w:r>
          </w:p>
        </w:tc>
        <w:tc>
          <w:tcPr>
            <w:tcW w:w="2870" w:type="pct"/>
            <w:gridSpan w:val="2"/>
          </w:tcPr>
          <w:p w:rsidR="009F72F8" w:rsidRPr="00F54BBF" w:rsidRDefault="009F72F8" w:rsidP="006A1F81">
            <w:pPr>
              <w:pStyle w:val="TableText0"/>
              <w:spacing w:before="40" w:after="40" w:line="240" w:lineRule="auto"/>
              <w:jc w:val="center"/>
              <w:rPr>
                <w:sz w:val="22"/>
                <w:szCs w:val="22"/>
                <w:lang w:val="es-ES_tradnl"/>
              </w:rPr>
            </w:pPr>
            <w:r w:rsidRPr="00F54BBF">
              <w:rPr>
                <w:sz w:val="22"/>
                <w:szCs w:val="22"/>
                <w:lang w:val="es-ES_tradnl"/>
              </w:rPr>
              <w:t>0,2</w:t>
            </w:r>
          </w:p>
        </w:tc>
      </w:tr>
      <w:tr w:rsidR="009F72F8" w:rsidRPr="00F54BBF" w:rsidTr="006A1F81">
        <w:trPr>
          <w:cantSplit/>
        </w:trPr>
        <w:tc>
          <w:tcPr>
            <w:tcW w:w="1573" w:type="pct"/>
          </w:tcPr>
          <w:p w:rsidR="009F72F8" w:rsidRPr="00F54BBF" w:rsidRDefault="009F72F8" w:rsidP="006A1F81">
            <w:pPr>
              <w:pStyle w:val="TableText0"/>
              <w:keepNext w:val="0"/>
              <w:spacing w:before="40" w:after="40" w:line="240" w:lineRule="auto"/>
              <w:jc w:val="left"/>
              <w:rPr>
                <w:sz w:val="22"/>
                <w:szCs w:val="22"/>
                <w:lang w:val="es-ES_tradnl"/>
              </w:rPr>
            </w:pPr>
            <w:r w:rsidRPr="00F54BBF">
              <w:rPr>
                <w:sz w:val="22"/>
                <w:szCs w:val="22"/>
                <w:lang w:val="es-ES_tradnl"/>
              </w:rPr>
              <w:t>Frecuencia de repetición de impulsos</w:t>
            </w:r>
          </w:p>
        </w:tc>
        <w:tc>
          <w:tcPr>
            <w:tcW w:w="557" w:type="pct"/>
          </w:tcPr>
          <w:p w:rsidR="009F72F8" w:rsidRPr="00F54BBF" w:rsidRDefault="009F72F8" w:rsidP="006A1F81">
            <w:pPr>
              <w:pStyle w:val="TableText0"/>
              <w:spacing w:before="40" w:after="40" w:line="240" w:lineRule="auto"/>
              <w:jc w:val="center"/>
              <w:rPr>
                <w:sz w:val="22"/>
                <w:szCs w:val="22"/>
                <w:lang w:val="es-ES_tradnl"/>
              </w:rPr>
            </w:pPr>
            <w:r w:rsidRPr="00F54BBF">
              <w:rPr>
                <w:sz w:val="22"/>
                <w:szCs w:val="22"/>
                <w:lang w:val="es-ES_tradnl"/>
              </w:rPr>
              <w:t>pps</w:t>
            </w:r>
          </w:p>
        </w:tc>
        <w:tc>
          <w:tcPr>
            <w:tcW w:w="1435" w:type="pct"/>
          </w:tcPr>
          <w:p w:rsidR="009F72F8" w:rsidRPr="00F54BBF" w:rsidRDefault="009F72F8" w:rsidP="006A1F81">
            <w:pPr>
              <w:pStyle w:val="TableText0"/>
              <w:spacing w:before="40" w:after="40" w:line="240" w:lineRule="auto"/>
              <w:jc w:val="center"/>
              <w:rPr>
                <w:sz w:val="22"/>
                <w:szCs w:val="22"/>
                <w:lang w:val="es-ES_tradnl"/>
              </w:rPr>
            </w:pPr>
            <w:r w:rsidRPr="00F54BBF">
              <w:rPr>
                <w:sz w:val="22"/>
                <w:szCs w:val="22"/>
                <w:lang w:val="es-ES_tradnl"/>
              </w:rPr>
              <w:t>2</w:t>
            </w:r>
            <w:r w:rsidRPr="00F54BBF">
              <w:rPr>
                <w:rFonts w:ascii="Tms Rmn" w:hAnsi="Tms Rmn"/>
                <w:sz w:val="22"/>
                <w:szCs w:val="22"/>
                <w:lang w:val="es-ES_tradnl"/>
              </w:rPr>
              <w:t> </w:t>
            </w:r>
            <w:r w:rsidRPr="00F54BBF">
              <w:rPr>
                <w:sz w:val="22"/>
                <w:szCs w:val="22"/>
                <w:lang w:val="es-ES_tradnl"/>
              </w:rPr>
              <w:t>000</w:t>
            </w:r>
          </w:p>
        </w:tc>
        <w:tc>
          <w:tcPr>
            <w:tcW w:w="1435" w:type="pct"/>
          </w:tcPr>
          <w:p w:rsidR="009F72F8" w:rsidRPr="00F54BBF" w:rsidRDefault="009F72F8" w:rsidP="006A1F81">
            <w:pPr>
              <w:pStyle w:val="TableText0"/>
              <w:spacing w:before="40" w:after="40" w:line="240" w:lineRule="auto"/>
              <w:jc w:val="center"/>
              <w:rPr>
                <w:sz w:val="22"/>
                <w:szCs w:val="22"/>
                <w:lang w:val="es-ES_tradnl"/>
              </w:rPr>
            </w:pPr>
            <w:r w:rsidRPr="00F54BBF">
              <w:rPr>
                <w:sz w:val="22"/>
                <w:szCs w:val="22"/>
                <w:lang w:val="es-ES_tradnl"/>
              </w:rPr>
              <w:t>1</w:t>
            </w:r>
            <w:r w:rsidRPr="00F54BBF">
              <w:rPr>
                <w:rFonts w:ascii="Tms Rmn" w:hAnsi="Tms Rmn"/>
                <w:sz w:val="22"/>
                <w:szCs w:val="22"/>
                <w:lang w:val="es-ES_tradnl"/>
              </w:rPr>
              <w:t> </w:t>
            </w:r>
            <w:r w:rsidRPr="00F54BBF">
              <w:rPr>
                <w:sz w:val="22"/>
                <w:szCs w:val="22"/>
                <w:lang w:val="es-ES_tradnl"/>
              </w:rPr>
              <w:t>600</w:t>
            </w:r>
          </w:p>
        </w:tc>
      </w:tr>
      <w:tr w:rsidR="009F72F8" w:rsidRPr="00F54BBF" w:rsidTr="006A1F81">
        <w:trPr>
          <w:cantSplit/>
        </w:trPr>
        <w:tc>
          <w:tcPr>
            <w:tcW w:w="1573" w:type="pct"/>
          </w:tcPr>
          <w:p w:rsidR="009F72F8" w:rsidRPr="00F54BBF" w:rsidRDefault="009F72F8" w:rsidP="006A1F81">
            <w:pPr>
              <w:pStyle w:val="TableText0"/>
              <w:keepNext w:val="0"/>
              <w:spacing w:before="40" w:after="40" w:line="240" w:lineRule="auto"/>
              <w:jc w:val="left"/>
              <w:rPr>
                <w:sz w:val="22"/>
                <w:szCs w:val="22"/>
                <w:lang w:val="es-ES_tradnl"/>
              </w:rPr>
            </w:pPr>
            <w:r w:rsidRPr="00F54BBF">
              <w:rPr>
                <w:sz w:val="22"/>
                <w:szCs w:val="22"/>
                <w:lang w:val="es-ES_tradnl"/>
              </w:rPr>
              <w:t>Potencia de cresta del transmisor</w:t>
            </w:r>
          </w:p>
        </w:tc>
        <w:tc>
          <w:tcPr>
            <w:tcW w:w="557" w:type="pct"/>
          </w:tcPr>
          <w:p w:rsidR="009F72F8" w:rsidRPr="00F54BBF" w:rsidRDefault="009F72F8" w:rsidP="006A1F81">
            <w:pPr>
              <w:pStyle w:val="TableText0"/>
              <w:spacing w:before="40" w:after="40" w:line="240" w:lineRule="auto"/>
              <w:jc w:val="center"/>
              <w:rPr>
                <w:sz w:val="22"/>
                <w:szCs w:val="22"/>
                <w:lang w:val="es-ES_tradnl"/>
              </w:rPr>
            </w:pPr>
            <w:r w:rsidRPr="00F54BBF">
              <w:rPr>
                <w:sz w:val="22"/>
                <w:szCs w:val="22"/>
                <w:lang w:val="es-ES_tradnl"/>
              </w:rPr>
              <w:t>kW</w:t>
            </w:r>
          </w:p>
        </w:tc>
        <w:tc>
          <w:tcPr>
            <w:tcW w:w="1435" w:type="pct"/>
          </w:tcPr>
          <w:p w:rsidR="009F72F8" w:rsidRPr="00F54BBF" w:rsidRDefault="009F72F8" w:rsidP="006A1F81">
            <w:pPr>
              <w:pStyle w:val="TableText0"/>
              <w:spacing w:before="40" w:after="40" w:line="240" w:lineRule="auto"/>
              <w:jc w:val="center"/>
              <w:rPr>
                <w:sz w:val="22"/>
                <w:szCs w:val="22"/>
                <w:lang w:val="es-ES_tradnl"/>
              </w:rPr>
            </w:pPr>
            <w:r w:rsidRPr="00F54BBF">
              <w:rPr>
                <w:sz w:val="22"/>
                <w:szCs w:val="22"/>
                <w:lang w:val="es-ES_tradnl"/>
              </w:rPr>
              <w:t>60</w:t>
            </w:r>
          </w:p>
        </w:tc>
        <w:tc>
          <w:tcPr>
            <w:tcW w:w="1435" w:type="pct"/>
          </w:tcPr>
          <w:p w:rsidR="009F72F8" w:rsidRPr="00F54BBF" w:rsidRDefault="009F72F8" w:rsidP="006A1F81">
            <w:pPr>
              <w:pStyle w:val="TableText0"/>
              <w:spacing w:before="40" w:after="40" w:line="240" w:lineRule="auto"/>
              <w:jc w:val="center"/>
              <w:rPr>
                <w:sz w:val="22"/>
                <w:szCs w:val="22"/>
                <w:lang w:val="es-ES_tradnl"/>
              </w:rPr>
            </w:pPr>
            <w:r w:rsidRPr="00F54BBF">
              <w:rPr>
                <w:sz w:val="22"/>
                <w:szCs w:val="22"/>
                <w:lang w:val="es-ES_tradnl"/>
              </w:rPr>
              <w:t>39</w:t>
            </w:r>
          </w:p>
        </w:tc>
      </w:tr>
      <w:tr w:rsidR="009F72F8" w:rsidRPr="00F54BBF" w:rsidTr="006A1F81">
        <w:trPr>
          <w:cantSplit/>
        </w:trPr>
        <w:tc>
          <w:tcPr>
            <w:tcW w:w="1573" w:type="pct"/>
          </w:tcPr>
          <w:p w:rsidR="009F72F8" w:rsidRPr="00F54BBF" w:rsidRDefault="009F72F8" w:rsidP="006A1F81">
            <w:pPr>
              <w:pStyle w:val="TableText0"/>
              <w:keepNext w:val="0"/>
              <w:spacing w:before="40" w:after="40" w:line="240" w:lineRule="auto"/>
              <w:jc w:val="left"/>
              <w:rPr>
                <w:sz w:val="22"/>
                <w:szCs w:val="22"/>
                <w:lang w:val="es-ES_tradnl"/>
              </w:rPr>
            </w:pPr>
            <w:r w:rsidRPr="00F54BBF">
              <w:rPr>
                <w:sz w:val="22"/>
                <w:szCs w:val="22"/>
                <w:lang w:val="es-ES_tradnl"/>
              </w:rPr>
              <w:t>Ancho de banda en FI del receptor (</w:t>
            </w:r>
            <w:r w:rsidRPr="00F54BBF">
              <w:rPr>
                <w:rFonts w:ascii="Symbol" w:hAnsi="Symbol"/>
                <w:sz w:val="22"/>
                <w:szCs w:val="22"/>
                <w:lang w:val="es-ES_tradnl"/>
              </w:rPr>
              <w:noBreakHyphen/>
            </w:r>
            <w:r w:rsidRPr="00F54BBF">
              <w:rPr>
                <w:sz w:val="22"/>
                <w:szCs w:val="22"/>
                <w:lang w:val="es-ES_tradnl"/>
              </w:rPr>
              <w:t>20 dB)</w:t>
            </w:r>
          </w:p>
        </w:tc>
        <w:tc>
          <w:tcPr>
            <w:tcW w:w="557" w:type="pct"/>
          </w:tcPr>
          <w:p w:rsidR="009F72F8" w:rsidRPr="00F54BBF" w:rsidRDefault="009F72F8" w:rsidP="006A1F81">
            <w:pPr>
              <w:pStyle w:val="TableText0"/>
              <w:spacing w:before="40" w:after="40" w:line="240" w:lineRule="auto"/>
              <w:jc w:val="center"/>
              <w:rPr>
                <w:sz w:val="22"/>
                <w:szCs w:val="22"/>
                <w:lang w:val="es-ES_tradnl"/>
              </w:rPr>
            </w:pPr>
            <w:r w:rsidRPr="00F54BBF">
              <w:rPr>
                <w:sz w:val="22"/>
                <w:szCs w:val="22"/>
                <w:lang w:val="es-ES_tradnl"/>
              </w:rPr>
              <w:t>MHz</w:t>
            </w:r>
          </w:p>
        </w:tc>
        <w:tc>
          <w:tcPr>
            <w:tcW w:w="1435" w:type="pct"/>
          </w:tcPr>
          <w:p w:rsidR="009F72F8" w:rsidRPr="00F54BBF" w:rsidRDefault="009F72F8" w:rsidP="006A1F81">
            <w:pPr>
              <w:pStyle w:val="TableText0"/>
              <w:spacing w:before="40" w:after="40" w:line="240" w:lineRule="auto"/>
              <w:jc w:val="center"/>
              <w:rPr>
                <w:sz w:val="22"/>
                <w:szCs w:val="22"/>
                <w:lang w:val="es-ES_tradnl"/>
              </w:rPr>
            </w:pPr>
            <w:r w:rsidRPr="00F54BBF">
              <w:rPr>
                <w:sz w:val="22"/>
                <w:szCs w:val="22"/>
                <w:lang w:val="es-ES_tradnl"/>
              </w:rPr>
              <w:t>40</w:t>
            </w:r>
          </w:p>
        </w:tc>
        <w:tc>
          <w:tcPr>
            <w:tcW w:w="1435" w:type="pct"/>
          </w:tcPr>
          <w:p w:rsidR="009F72F8" w:rsidRPr="00F54BBF" w:rsidRDefault="009F72F8" w:rsidP="006A1F81">
            <w:pPr>
              <w:pStyle w:val="TableText0"/>
              <w:spacing w:before="40" w:after="40" w:line="240" w:lineRule="auto"/>
              <w:jc w:val="center"/>
              <w:rPr>
                <w:sz w:val="22"/>
                <w:szCs w:val="22"/>
                <w:lang w:val="es-ES_tradnl"/>
              </w:rPr>
            </w:pPr>
            <w:r w:rsidRPr="00F54BBF">
              <w:rPr>
                <w:sz w:val="22"/>
                <w:szCs w:val="22"/>
                <w:lang w:val="es-ES_tradnl"/>
              </w:rPr>
              <w:t>17</w:t>
            </w:r>
          </w:p>
        </w:tc>
      </w:tr>
      <w:tr w:rsidR="009F72F8" w:rsidRPr="00F54BBF" w:rsidTr="006A1F81">
        <w:trPr>
          <w:cantSplit/>
        </w:trPr>
        <w:tc>
          <w:tcPr>
            <w:tcW w:w="1573" w:type="pct"/>
          </w:tcPr>
          <w:p w:rsidR="009F72F8" w:rsidRPr="00F54BBF" w:rsidRDefault="009F72F8" w:rsidP="006A1F81">
            <w:pPr>
              <w:pStyle w:val="TableText0"/>
              <w:keepNext w:val="0"/>
              <w:spacing w:before="40" w:after="40" w:line="240" w:lineRule="auto"/>
              <w:jc w:val="left"/>
              <w:rPr>
                <w:sz w:val="22"/>
                <w:szCs w:val="22"/>
                <w:lang w:val="es-ES_tradnl"/>
              </w:rPr>
            </w:pPr>
            <w:r w:rsidRPr="00F54BBF">
              <w:rPr>
                <w:sz w:val="22"/>
                <w:szCs w:val="22"/>
                <w:lang w:val="es-ES_tradnl"/>
              </w:rPr>
              <w:t>Factor de ruido del receptor</w:t>
            </w:r>
          </w:p>
        </w:tc>
        <w:tc>
          <w:tcPr>
            <w:tcW w:w="557" w:type="pct"/>
          </w:tcPr>
          <w:p w:rsidR="009F72F8" w:rsidRPr="00F54BBF" w:rsidRDefault="009F72F8" w:rsidP="006A1F81">
            <w:pPr>
              <w:pStyle w:val="TableText0"/>
              <w:spacing w:before="40" w:after="40" w:line="240" w:lineRule="auto"/>
              <w:jc w:val="center"/>
              <w:rPr>
                <w:sz w:val="22"/>
                <w:szCs w:val="22"/>
                <w:lang w:val="es-ES_tradnl"/>
              </w:rPr>
            </w:pPr>
            <w:r w:rsidRPr="00F54BBF">
              <w:rPr>
                <w:sz w:val="22"/>
                <w:szCs w:val="22"/>
                <w:lang w:val="es-ES_tradnl"/>
              </w:rPr>
              <w:t>dB</w:t>
            </w:r>
          </w:p>
        </w:tc>
        <w:tc>
          <w:tcPr>
            <w:tcW w:w="2870" w:type="pct"/>
            <w:gridSpan w:val="2"/>
          </w:tcPr>
          <w:p w:rsidR="009F72F8" w:rsidRPr="00F54BBF" w:rsidRDefault="009F72F8" w:rsidP="006A1F81">
            <w:pPr>
              <w:pStyle w:val="TableText0"/>
              <w:spacing w:before="40" w:after="40" w:line="240" w:lineRule="auto"/>
              <w:jc w:val="center"/>
              <w:rPr>
                <w:sz w:val="22"/>
                <w:szCs w:val="22"/>
                <w:lang w:val="es-ES_tradnl"/>
              </w:rPr>
            </w:pPr>
            <w:r w:rsidRPr="00F54BBF">
              <w:rPr>
                <w:sz w:val="22"/>
                <w:szCs w:val="22"/>
                <w:lang w:val="es-ES_tradnl"/>
              </w:rPr>
              <w:t>11</w:t>
            </w:r>
          </w:p>
        </w:tc>
      </w:tr>
      <w:tr w:rsidR="009F72F8" w:rsidRPr="00F54BBF" w:rsidTr="006A1F81">
        <w:trPr>
          <w:cantSplit/>
        </w:trPr>
        <w:tc>
          <w:tcPr>
            <w:tcW w:w="1573" w:type="pct"/>
          </w:tcPr>
          <w:p w:rsidR="009F72F8" w:rsidRPr="00F54BBF" w:rsidRDefault="009F72F8" w:rsidP="006A1F81">
            <w:pPr>
              <w:pStyle w:val="TableText0"/>
              <w:keepNext w:val="0"/>
              <w:spacing w:before="40" w:after="40" w:line="240" w:lineRule="auto"/>
              <w:jc w:val="left"/>
              <w:rPr>
                <w:sz w:val="22"/>
                <w:szCs w:val="22"/>
                <w:lang w:val="es-ES_tradnl"/>
              </w:rPr>
            </w:pPr>
            <w:r w:rsidRPr="00F54BBF">
              <w:rPr>
                <w:sz w:val="22"/>
                <w:szCs w:val="22"/>
                <w:lang w:val="es-ES_tradnl"/>
              </w:rPr>
              <w:t>Tipo de antena</w:t>
            </w:r>
          </w:p>
        </w:tc>
        <w:tc>
          <w:tcPr>
            <w:tcW w:w="557" w:type="pct"/>
          </w:tcPr>
          <w:p w:rsidR="009F72F8" w:rsidRPr="00F54BBF" w:rsidRDefault="009F72F8" w:rsidP="006A1F81">
            <w:pPr>
              <w:pStyle w:val="TableText0"/>
              <w:spacing w:before="40" w:after="40" w:line="240" w:lineRule="auto"/>
              <w:jc w:val="center"/>
              <w:rPr>
                <w:sz w:val="22"/>
                <w:szCs w:val="22"/>
                <w:lang w:val="es-ES_tradnl"/>
              </w:rPr>
            </w:pPr>
          </w:p>
        </w:tc>
        <w:tc>
          <w:tcPr>
            <w:tcW w:w="2870" w:type="pct"/>
            <w:gridSpan w:val="2"/>
          </w:tcPr>
          <w:p w:rsidR="009F72F8" w:rsidRPr="00F54BBF" w:rsidRDefault="009F72F8" w:rsidP="006A1F81">
            <w:pPr>
              <w:pStyle w:val="TableText0"/>
              <w:spacing w:before="40" w:after="40" w:line="240" w:lineRule="auto"/>
              <w:jc w:val="center"/>
              <w:rPr>
                <w:sz w:val="22"/>
                <w:szCs w:val="22"/>
                <w:lang w:val="es-ES_tradnl"/>
              </w:rPr>
            </w:pPr>
            <w:r w:rsidRPr="00F54BBF">
              <w:rPr>
                <w:sz w:val="22"/>
                <w:szCs w:val="22"/>
                <w:lang w:val="es-ES_tradnl"/>
              </w:rPr>
              <w:t>Reflector parabólico</w:t>
            </w:r>
          </w:p>
        </w:tc>
      </w:tr>
      <w:tr w:rsidR="009F72F8" w:rsidRPr="00F54BBF" w:rsidTr="006A1F81">
        <w:trPr>
          <w:cantSplit/>
        </w:trPr>
        <w:tc>
          <w:tcPr>
            <w:tcW w:w="1573" w:type="pct"/>
          </w:tcPr>
          <w:p w:rsidR="009F72F8" w:rsidRPr="00F54BBF" w:rsidRDefault="009F72F8" w:rsidP="006A1F81">
            <w:pPr>
              <w:pStyle w:val="TableText0"/>
              <w:keepNext w:val="0"/>
              <w:spacing w:before="40" w:after="40" w:line="240" w:lineRule="auto"/>
              <w:jc w:val="left"/>
              <w:rPr>
                <w:sz w:val="22"/>
                <w:szCs w:val="22"/>
                <w:lang w:val="es-ES_tradnl"/>
              </w:rPr>
            </w:pPr>
            <w:r w:rsidRPr="00F54BBF">
              <w:rPr>
                <w:sz w:val="22"/>
                <w:szCs w:val="22"/>
                <w:lang w:val="es-ES_tradnl"/>
              </w:rPr>
              <w:t>Ganancia del haz principal de la antena</w:t>
            </w:r>
          </w:p>
        </w:tc>
        <w:tc>
          <w:tcPr>
            <w:tcW w:w="557" w:type="pct"/>
          </w:tcPr>
          <w:p w:rsidR="009F72F8" w:rsidRPr="00F54BBF" w:rsidRDefault="009F72F8" w:rsidP="006A1F81">
            <w:pPr>
              <w:pStyle w:val="TableText0"/>
              <w:spacing w:before="40" w:after="40" w:line="240" w:lineRule="auto"/>
              <w:jc w:val="center"/>
              <w:rPr>
                <w:sz w:val="22"/>
                <w:szCs w:val="22"/>
                <w:lang w:val="es-ES_tradnl"/>
              </w:rPr>
            </w:pPr>
            <w:r w:rsidRPr="00F54BBF">
              <w:rPr>
                <w:sz w:val="22"/>
                <w:szCs w:val="22"/>
                <w:lang w:val="es-ES_tradnl"/>
              </w:rPr>
              <w:t>dBi</w:t>
            </w:r>
          </w:p>
        </w:tc>
        <w:tc>
          <w:tcPr>
            <w:tcW w:w="1435" w:type="pct"/>
          </w:tcPr>
          <w:p w:rsidR="009F72F8" w:rsidRPr="00F54BBF" w:rsidRDefault="009F72F8" w:rsidP="006A1F81">
            <w:pPr>
              <w:pStyle w:val="TableText0"/>
              <w:spacing w:before="40" w:after="40" w:line="240" w:lineRule="auto"/>
              <w:jc w:val="center"/>
              <w:rPr>
                <w:sz w:val="22"/>
                <w:szCs w:val="22"/>
                <w:lang w:val="es-ES_tradnl"/>
              </w:rPr>
            </w:pPr>
            <w:r w:rsidRPr="00F54BBF">
              <w:rPr>
                <w:sz w:val="22"/>
                <w:szCs w:val="22"/>
                <w:lang w:val="es-ES_tradnl"/>
              </w:rPr>
              <w:t>44</w:t>
            </w:r>
          </w:p>
        </w:tc>
        <w:tc>
          <w:tcPr>
            <w:tcW w:w="1435" w:type="pct"/>
          </w:tcPr>
          <w:p w:rsidR="009F72F8" w:rsidRPr="00F54BBF" w:rsidRDefault="009F72F8" w:rsidP="006A1F81">
            <w:pPr>
              <w:pStyle w:val="TableText0"/>
              <w:spacing w:before="40" w:after="40" w:line="240" w:lineRule="auto"/>
              <w:jc w:val="center"/>
              <w:rPr>
                <w:sz w:val="22"/>
                <w:szCs w:val="22"/>
                <w:lang w:val="es-ES_tradnl"/>
              </w:rPr>
            </w:pPr>
            <w:r w:rsidRPr="00F54BBF">
              <w:rPr>
                <w:sz w:val="22"/>
                <w:szCs w:val="22"/>
                <w:lang w:val="es-ES_tradnl"/>
              </w:rPr>
              <w:t>41,1</w:t>
            </w:r>
          </w:p>
        </w:tc>
      </w:tr>
      <w:tr w:rsidR="009F72F8" w:rsidRPr="00C22EC0" w:rsidTr="006A1F81">
        <w:trPr>
          <w:cantSplit/>
        </w:trPr>
        <w:tc>
          <w:tcPr>
            <w:tcW w:w="1573" w:type="pct"/>
          </w:tcPr>
          <w:p w:rsidR="009F72F8" w:rsidRPr="00F54BBF" w:rsidRDefault="009F72F8" w:rsidP="006A1F81">
            <w:pPr>
              <w:pStyle w:val="TableText0"/>
              <w:keepNext w:val="0"/>
              <w:spacing w:before="40" w:after="40" w:line="240" w:lineRule="auto"/>
              <w:jc w:val="left"/>
              <w:rPr>
                <w:sz w:val="22"/>
                <w:szCs w:val="22"/>
                <w:lang w:val="es-ES_tradnl"/>
              </w:rPr>
            </w:pPr>
            <w:r w:rsidRPr="00F54BBF">
              <w:rPr>
                <w:sz w:val="22"/>
                <w:szCs w:val="22"/>
                <w:lang w:val="es-ES_tradnl"/>
              </w:rPr>
              <w:t>Gama de exploración de la antena</w:t>
            </w:r>
          </w:p>
        </w:tc>
        <w:tc>
          <w:tcPr>
            <w:tcW w:w="557" w:type="pct"/>
          </w:tcPr>
          <w:p w:rsidR="009F72F8" w:rsidRPr="00F54BBF" w:rsidRDefault="009F72F8" w:rsidP="006A1F81">
            <w:pPr>
              <w:pStyle w:val="TableText0"/>
              <w:spacing w:before="40" w:after="40" w:line="240" w:lineRule="auto"/>
              <w:jc w:val="center"/>
              <w:rPr>
                <w:sz w:val="22"/>
                <w:szCs w:val="22"/>
                <w:lang w:val="es-ES_tradnl"/>
              </w:rPr>
            </w:pPr>
          </w:p>
        </w:tc>
        <w:tc>
          <w:tcPr>
            <w:tcW w:w="1435" w:type="pct"/>
          </w:tcPr>
          <w:p w:rsidR="009F72F8" w:rsidRPr="00F54BBF" w:rsidRDefault="009F72F8" w:rsidP="006A1F81">
            <w:pPr>
              <w:pStyle w:val="TableText0"/>
              <w:spacing w:before="40" w:after="40" w:line="240" w:lineRule="auto"/>
              <w:jc w:val="left"/>
              <w:rPr>
                <w:sz w:val="22"/>
                <w:szCs w:val="22"/>
                <w:lang w:val="es-ES_tradnl"/>
              </w:rPr>
            </w:pPr>
            <w:r w:rsidRPr="00F54BBF">
              <w:rPr>
                <w:sz w:val="22"/>
                <w:szCs w:val="22"/>
                <w:lang w:val="es-ES_tradnl"/>
              </w:rPr>
              <w:t>En elevación: –30</w:t>
            </w:r>
            <w:r w:rsidRPr="00F54BBF">
              <w:rPr>
                <w:rFonts w:ascii="Symbol" w:hAnsi="Symbol"/>
                <w:sz w:val="22"/>
                <w:szCs w:val="22"/>
                <w:lang w:val="es-ES_tradnl"/>
              </w:rPr>
              <w:t></w:t>
            </w:r>
            <w:r w:rsidRPr="00F54BBF">
              <w:rPr>
                <w:sz w:val="22"/>
                <w:szCs w:val="22"/>
                <w:lang w:val="es-ES_tradnl"/>
              </w:rPr>
              <w:t xml:space="preserve"> a </w:t>
            </w:r>
            <w:r w:rsidRPr="00F54BBF">
              <w:rPr>
                <w:rFonts w:ascii="Symbol" w:hAnsi="Symbol"/>
                <w:sz w:val="22"/>
                <w:szCs w:val="22"/>
                <w:lang w:val="es-ES_tradnl"/>
              </w:rPr>
              <w:t></w:t>
            </w:r>
            <w:r w:rsidRPr="00F54BBF">
              <w:rPr>
                <w:sz w:val="22"/>
                <w:szCs w:val="22"/>
                <w:lang w:val="es-ES_tradnl"/>
              </w:rPr>
              <w:t>10</w:t>
            </w:r>
            <w:r w:rsidRPr="00F54BBF">
              <w:rPr>
                <w:rFonts w:ascii="Symbol" w:hAnsi="Symbol"/>
                <w:sz w:val="22"/>
                <w:szCs w:val="22"/>
                <w:lang w:val="es-ES_tradnl"/>
              </w:rPr>
              <w:t></w:t>
            </w:r>
            <w:r w:rsidRPr="00F54BBF">
              <w:rPr>
                <w:sz w:val="22"/>
                <w:szCs w:val="22"/>
                <w:lang w:val="es-ES_tradnl"/>
              </w:rPr>
              <w:t>, manual</w:t>
            </w:r>
          </w:p>
          <w:p w:rsidR="009F72F8" w:rsidRPr="00F54BBF" w:rsidRDefault="009F72F8" w:rsidP="006A1F81">
            <w:pPr>
              <w:pStyle w:val="TableText0"/>
              <w:spacing w:before="40" w:after="40" w:line="240" w:lineRule="auto"/>
              <w:jc w:val="left"/>
              <w:rPr>
                <w:sz w:val="22"/>
                <w:szCs w:val="22"/>
                <w:lang w:val="es-ES_tradnl"/>
              </w:rPr>
            </w:pPr>
            <w:r w:rsidRPr="00F54BBF">
              <w:rPr>
                <w:sz w:val="22"/>
                <w:szCs w:val="22"/>
                <w:lang w:val="es-ES_tradnl"/>
              </w:rPr>
              <w:t>En acimut: 360</w:t>
            </w:r>
            <w:r w:rsidRPr="00F54BBF">
              <w:rPr>
                <w:rFonts w:ascii="Symbol" w:hAnsi="Symbol"/>
                <w:sz w:val="22"/>
                <w:szCs w:val="22"/>
                <w:lang w:val="es-ES_tradnl"/>
              </w:rPr>
              <w:t></w:t>
            </w:r>
            <w:r w:rsidRPr="00F54BBF">
              <w:rPr>
                <w:sz w:val="22"/>
                <w:szCs w:val="22"/>
                <w:lang w:val="es-ES_tradnl"/>
              </w:rPr>
              <w:t>, con una velocidad de rotación de 7, 12, ó 21 rpm</w:t>
            </w:r>
          </w:p>
        </w:tc>
        <w:tc>
          <w:tcPr>
            <w:tcW w:w="1435" w:type="pct"/>
          </w:tcPr>
          <w:p w:rsidR="009F72F8" w:rsidRPr="00F54BBF" w:rsidRDefault="009F72F8" w:rsidP="006A1F81">
            <w:pPr>
              <w:pStyle w:val="TableText0"/>
              <w:spacing w:before="40" w:after="40" w:line="240" w:lineRule="auto"/>
              <w:jc w:val="left"/>
              <w:rPr>
                <w:sz w:val="22"/>
                <w:szCs w:val="22"/>
                <w:lang w:val="es-ES_tradnl"/>
              </w:rPr>
            </w:pPr>
            <w:r w:rsidRPr="00F54BBF">
              <w:rPr>
                <w:sz w:val="22"/>
                <w:szCs w:val="22"/>
                <w:lang w:val="es-ES_tradnl"/>
              </w:rPr>
              <w:t>En elevación: –30</w:t>
            </w:r>
            <w:r w:rsidRPr="00F54BBF">
              <w:rPr>
                <w:rFonts w:ascii="Symbol" w:hAnsi="Symbol"/>
                <w:sz w:val="22"/>
                <w:szCs w:val="22"/>
                <w:lang w:val="es-ES_tradnl"/>
              </w:rPr>
              <w:t></w:t>
            </w:r>
            <w:r w:rsidRPr="00F54BBF">
              <w:rPr>
                <w:sz w:val="22"/>
                <w:szCs w:val="22"/>
                <w:lang w:val="es-ES_tradnl"/>
              </w:rPr>
              <w:t xml:space="preserve"> a +10</w:t>
            </w:r>
            <w:r w:rsidRPr="00F54BBF">
              <w:rPr>
                <w:rFonts w:ascii="Symbol" w:hAnsi="Symbol"/>
                <w:sz w:val="22"/>
                <w:szCs w:val="22"/>
                <w:lang w:val="es-ES_tradnl"/>
              </w:rPr>
              <w:t></w:t>
            </w:r>
            <w:r w:rsidRPr="00F54BBF">
              <w:rPr>
                <w:sz w:val="22"/>
                <w:szCs w:val="22"/>
                <w:lang w:val="es-ES_tradnl"/>
              </w:rPr>
              <w:t>, manual</w:t>
            </w:r>
          </w:p>
          <w:p w:rsidR="009F72F8" w:rsidRPr="00F54BBF" w:rsidRDefault="009F72F8" w:rsidP="006A1F81">
            <w:pPr>
              <w:pStyle w:val="TableText0"/>
              <w:spacing w:before="40" w:after="40" w:line="240" w:lineRule="auto"/>
              <w:jc w:val="left"/>
              <w:rPr>
                <w:sz w:val="22"/>
                <w:szCs w:val="22"/>
                <w:lang w:val="es-ES_tradnl"/>
              </w:rPr>
            </w:pPr>
            <w:r w:rsidRPr="00F54BBF">
              <w:rPr>
                <w:sz w:val="22"/>
                <w:szCs w:val="22"/>
                <w:lang w:val="es-ES_tradnl"/>
              </w:rPr>
              <w:t>En acimut: 360</w:t>
            </w:r>
            <w:r w:rsidRPr="00F54BBF">
              <w:rPr>
                <w:rFonts w:ascii="Symbol" w:hAnsi="Symbol"/>
                <w:sz w:val="22"/>
                <w:szCs w:val="22"/>
                <w:lang w:val="es-ES_tradnl"/>
              </w:rPr>
              <w:t></w:t>
            </w:r>
            <w:r w:rsidRPr="00F54BBF">
              <w:rPr>
                <w:sz w:val="22"/>
                <w:szCs w:val="22"/>
                <w:lang w:val="es-ES_tradnl"/>
              </w:rPr>
              <w:t>, con una velocidad de rotación de 12 ó 45 rpm</w:t>
            </w:r>
          </w:p>
        </w:tc>
      </w:tr>
    </w:tbl>
    <w:p w:rsidR="009F72F8" w:rsidRPr="00F54BBF" w:rsidRDefault="009F72F8" w:rsidP="009F72F8">
      <w:pPr>
        <w:pStyle w:val="TableNo"/>
        <w:pageBreakBefore/>
        <w:rPr>
          <w:lang w:val="es-ES_tradnl"/>
        </w:rPr>
      </w:pPr>
      <w:r w:rsidRPr="00F54BBF">
        <w:rPr>
          <w:lang w:val="es-ES_tradnl"/>
        </w:rPr>
        <w:lastRenderedPageBreak/>
        <w:t>CUADRO 2</w:t>
      </w:r>
    </w:p>
    <w:p w:rsidR="009F72F8" w:rsidRPr="00F54BBF" w:rsidRDefault="009F72F8" w:rsidP="009F72F8">
      <w:pPr>
        <w:pStyle w:val="TableTitle0"/>
        <w:spacing w:after="120"/>
        <w:rPr>
          <w:bCs/>
          <w:szCs w:val="24"/>
          <w:lang w:val="es-ES_tradnl"/>
        </w:rPr>
      </w:pPr>
      <w:r w:rsidRPr="00F54BBF">
        <w:rPr>
          <w:bCs/>
          <w:szCs w:val="24"/>
          <w:lang w:val="es-ES_tradnl"/>
        </w:rPr>
        <w:t>Características del radar de radionavegación en la banda de frecuencias 31,8-33,4 GHz</w:t>
      </w:r>
      <w:r w:rsidRPr="00F54BBF">
        <w:rPr>
          <w:bCs/>
          <w:szCs w:val="24"/>
          <w:lang w:val="es-ES_tradnl"/>
        </w:rPr>
        <w:br/>
        <w:t>(Radar núm. 3)</w:t>
      </w: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4A0" w:firstRow="1" w:lastRow="0" w:firstColumn="1" w:lastColumn="0" w:noHBand="0" w:noVBand="1"/>
      </w:tblPr>
      <w:tblGrid>
        <w:gridCol w:w="3316"/>
        <w:gridCol w:w="1302"/>
        <w:gridCol w:w="5021"/>
      </w:tblGrid>
      <w:tr w:rsidR="009F72F8" w:rsidRPr="00F54BBF" w:rsidTr="006A1F81">
        <w:trPr>
          <w:tblHeader/>
          <w:jc w:val="center"/>
        </w:trPr>
        <w:tc>
          <w:tcPr>
            <w:tcW w:w="3316" w:type="dxa"/>
            <w:tcBorders>
              <w:top w:val="single" w:sz="6" w:space="0" w:color="auto"/>
              <w:left w:val="single" w:sz="6" w:space="0" w:color="auto"/>
              <w:bottom w:val="single" w:sz="6" w:space="0" w:color="auto"/>
              <w:right w:val="single" w:sz="6" w:space="0" w:color="auto"/>
            </w:tcBorders>
            <w:hideMark/>
          </w:tcPr>
          <w:p w:rsidR="009F72F8" w:rsidRPr="00F54BBF" w:rsidRDefault="009F72F8" w:rsidP="006A1F81">
            <w:pPr>
              <w:pStyle w:val="Tablehead"/>
              <w:spacing w:before="40" w:after="40"/>
              <w:rPr>
                <w:szCs w:val="22"/>
                <w:lang w:val="es-ES_tradnl"/>
              </w:rPr>
            </w:pPr>
            <w:r w:rsidRPr="00F54BBF">
              <w:rPr>
                <w:szCs w:val="22"/>
                <w:lang w:val="es-ES_tradnl"/>
              </w:rPr>
              <w:t>Parámetro</w:t>
            </w:r>
          </w:p>
        </w:tc>
        <w:tc>
          <w:tcPr>
            <w:tcW w:w="1302" w:type="dxa"/>
            <w:tcBorders>
              <w:top w:val="single" w:sz="6" w:space="0" w:color="auto"/>
              <w:left w:val="single" w:sz="6" w:space="0" w:color="auto"/>
              <w:bottom w:val="single" w:sz="6" w:space="0" w:color="auto"/>
              <w:right w:val="single" w:sz="6" w:space="0" w:color="auto"/>
            </w:tcBorders>
            <w:hideMark/>
          </w:tcPr>
          <w:p w:rsidR="009F72F8" w:rsidRPr="00F54BBF" w:rsidRDefault="009F72F8" w:rsidP="006A1F81">
            <w:pPr>
              <w:pStyle w:val="Tablehead"/>
              <w:spacing w:before="40" w:after="40"/>
              <w:rPr>
                <w:szCs w:val="22"/>
                <w:lang w:val="es-ES_tradnl"/>
              </w:rPr>
            </w:pPr>
            <w:r w:rsidRPr="00F54BBF">
              <w:rPr>
                <w:szCs w:val="22"/>
                <w:lang w:val="es-ES_tradnl"/>
              </w:rPr>
              <w:t>Unidad</w:t>
            </w:r>
          </w:p>
        </w:tc>
        <w:tc>
          <w:tcPr>
            <w:tcW w:w="5021" w:type="dxa"/>
            <w:tcBorders>
              <w:top w:val="single" w:sz="6" w:space="0" w:color="auto"/>
              <w:left w:val="single" w:sz="6" w:space="0" w:color="auto"/>
              <w:bottom w:val="single" w:sz="6" w:space="0" w:color="auto"/>
              <w:right w:val="single" w:sz="6" w:space="0" w:color="auto"/>
            </w:tcBorders>
            <w:hideMark/>
          </w:tcPr>
          <w:p w:rsidR="009F72F8" w:rsidRPr="00F54BBF" w:rsidRDefault="009F72F8" w:rsidP="006A1F81">
            <w:pPr>
              <w:pStyle w:val="Tablehead"/>
              <w:spacing w:before="40" w:after="40"/>
              <w:rPr>
                <w:szCs w:val="22"/>
                <w:lang w:val="es-ES_tradnl"/>
              </w:rPr>
            </w:pPr>
            <w:r w:rsidRPr="00F54BBF">
              <w:rPr>
                <w:szCs w:val="22"/>
                <w:lang w:val="es-ES_tradnl"/>
              </w:rPr>
              <w:t>Radar núm. 3</w:t>
            </w:r>
          </w:p>
        </w:tc>
      </w:tr>
      <w:tr w:rsidR="009F72F8" w:rsidRPr="00F54BBF" w:rsidTr="006A1F81">
        <w:trPr>
          <w:jc w:val="center"/>
        </w:trPr>
        <w:tc>
          <w:tcPr>
            <w:tcW w:w="3316" w:type="dxa"/>
            <w:tcBorders>
              <w:top w:val="single" w:sz="6" w:space="0" w:color="auto"/>
              <w:left w:val="single" w:sz="6" w:space="0" w:color="auto"/>
              <w:bottom w:val="single" w:sz="6" w:space="0" w:color="auto"/>
              <w:right w:val="single" w:sz="6" w:space="0" w:color="auto"/>
            </w:tcBorders>
            <w:hideMark/>
          </w:tcPr>
          <w:p w:rsidR="009F72F8" w:rsidRPr="00F54BBF" w:rsidRDefault="009F72F8" w:rsidP="006A1F81">
            <w:pPr>
              <w:pStyle w:val="Tabletext"/>
              <w:jc w:val="left"/>
              <w:rPr>
                <w:szCs w:val="22"/>
                <w:lang w:val="es-ES_tradnl"/>
              </w:rPr>
            </w:pPr>
            <w:r w:rsidRPr="00F54BBF">
              <w:rPr>
                <w:szCs w:val="22"/>
                <w:lang w:val="es-ES_tradnl"/>
              </w:rPr>
              <w:t>Tipo</w:t>
            </w:r>
          </w:p>
        </w:tc>
        <w:tc>
          <w:tcPr>
            <w:tcW w:w="1302" w:type="dxa"/>
            <w:tcBorders>
              <w:top w:val="single" w:sz="6" w:space="0" w:color="auto"/>
              <w:left w:val="single" w:sz="6" w:space="0" w:color="auto"/>
              <w:bottom w:val="single" w:sz="6" w:space="0" w:color="auto"/>
              <w:right w:val="single" w:sz="6" w:space="0" w:color="auto"/>
            </w:tcBorders>
          </w:tcPr>
          <w:p w:rsidR="009F72F8" w:rsidRPr="00F54BBF" w:rsidRDefault="009F72F8" w:rsidP="006A1F81">
            <w:pPr>
              <w:pStyle w:val="Tablelegend"/>
              <w:keepNext/>
              <w:framePr w:hSpace="181" w:wrap="notBeside" w:vAnchor="text" w:hAnchor="text" w:xAlign="center" w:y="1"/>
              <w:spacing w:before="40" w:after="40"/>
              <w:jc w:val="center"/>
              <w:rPr>
                <w:szCs w:val="22"/>
                <w:lang w:val="es-ES_tradnl"/>
              </w:rPr>
            </w:pPr>
          </w:p>
        </w:tc>
        <w:tc>
          <w:tcPr>
            <w:tcW w:w="5021" w:type="dxa"/>
            <w:tcBorders>
              <w:top w:val="single" w:sz="6" w:space="0" w:color="auto"/>
              <w:left w:val="single" w:sz="6" w:space="0" w:color="auto"/>
              <w:bottom w:val="single" w:sz="6" w:space="0" w:color="auto"/>
              <w:right w:val="single" w:sz="6" w:space="0" w:color="auto"/>
            </w:tcBorders>
            <w:hideMark/>
          </w:tcPr>
          <w:p w:rsidR="009F72F8" w:rsidRPr="00F54BBF" w:rsidRDefault="009F72F8" w:rsidP="006A1F81">
            <w:pPr>
              <w:pStyle w:val="Tabletext"/>
              <w:jc w:val="center"/>
              <w:rPr>
                <w:szCs w:val="22"/>
                <w:lang w:val="es-ES_tradnl"/>
              </w:rPr>
            </w:pPr>
            <w:r w:rsidRPr="00F54BBF">
              <w:rPr>
                <w:szCs w:val="22"/>
                <w:lang w:val="es-ES_tradnl"/>
              </w:rPr>
              <w:t>Aeronave</w:t>
            </w:r>
          </w:p>
        </w:tc>
      </w:tr>
      <w:tr w:rsidR="009F72F8" w:rsidRPr="00C22EC0" w:rsidTr="006A1F81">
        <w:trPr>
          <w:jc w:val="center"/>
        </w:trPr>
        <w:tc>
          <w:tcPr>
            <w:tcW w:w="3316" w:type="dxa"/>
            <w:tcBorders>
              <w:top w:val="single" w:sz="6" w:space="0" w:color="auto"/>
              <w:left w:val="single" w:sz="6" w:space="0" w:color="auto"/>
              <w:bottom w:val="single" w:sz="6" w:space="0" w:color="auto"/>
              <w:right w:val="single" w:sz="6" w:space="0" w:color="auto"/>
            </w:tcBorders>
            <w:hideMark/>
          </w:tcPr>
          <w:p w:rsidR="009F72F8" w:rsidRPr="00F54BBF" w:rsidRDefault="009F72F8" w:rsidP="006A1F81">
            <w:pPr>
              <w:pStyle w:val="Tabletext"/>
              <w:jc w:val="left"/>
              <w:rPr>
                <w:szCs w:val="22"/>
                <w:lang w:val="es-ES_tradnl"/>
              </w:rPr>
            </w:pPr>
            <w:r w:rsidRPr="00F54BBF">
              <w:rPr>
                <w:szCs w:val="22"/>
                <w:lang w:val="es-ES_tradnl"/>
              </w:rPr>
              <w:t>Altitud</w:t>
            </w:r>
          </w:p>
        </w:tc>
        <w:tc>
          <w:tcPr>
            <w:tcW w:w="1302" w:type="dxa"/>
            <w:tcBorders>
              <w:top w:val="single" w:sz="6" w:space="0" w:color="auto"/>
              <w:left w:val="single" w:sz="6" w:space="0" w:color="auto"/>
              <w:bottom w:val="single" w:sz="6" w:space="0" w:color="auto"/>
              <w:right w:val="single" w:sz="6" w:space="0" w:color="auto"/>
            </w:tcBorders>
            <w:hideMark/>
          </w:tcPr>
          <w:p w:rsidR="009F72F8" w:rsidRPr="00F54BBF" w:rsidRDefault="009F72F8" w:rsidP="006A1F81">
            <w:pPr>
              <w:pStyle w:val="Tabletext"/>
              <w:jc w:val="center"/>
              <w:rPr>
                <w:szCs w:val="22"/>
                <w:lang w:val="es-ES_tradnl"/>
              </w:rPr>
            </w:pPr>
            <w:r w:rsidRPr="00F54BBF">
              <w:rPr>
                <w:szCs w:val="22"/>
                <w:lang w:val="es-ES_tradnl"/>
              </w:rPr>
              <w:t>m</w:t>
            </w:r>
          </w:p>
        </w:tc>
        <w:tc>
          <w:tcPr>
            <w:tcW w:w="5021" w:type="dxa"/>
            <w:tcBorders>
              <w:top w:val="single" w:sz="6" w:space="0" w:color="auto"/>
              <w:left w:val="single" w:sz="6" w:space="0" w:color="auto"/>
              <w:bottom w:val="single" w:sz="6" w:space="0" w:color="auto"/>
              <w:right w:val="single" w:sz="6" w:space="0" w:color="auto"/>
            </w:tcBorders>
            <w:hideMark/>
          </w:tcPr>
          <w:p w:rsidR="009F72F8" w:rsidRPr="00F54BBF" w:rsidRDefault="009F72F8" w:rsidP="006A1F81">
            <w:pPr>
              <w:pStyle w:val="Tabletext"/>
              <w:jc w:val="center"/>
              <w:rPr>
                <w:szCs w:val="22"/>
                <w:lang w:val="es-ES_tradnl"/>
              </w:rPr>
            </w:pPr>
            <w:r w:rsidRPr="00F54BBF">
              <w:rPr>
                <w:szCs w:val="22"/>
                <w:lang w:val="es-ES_tradnl"/>
              </w:rPr>
              <w:t>Máximo: de 300 hasta la superficie terrestre</w:t>
            </w:r>
            <w:r w:rsidRPr="00F54BBF">
              <w:rPr>
                <w:szCs w:val="22"/>
                <w:lang w:val="es-ES_tradnl"/>
              </w:rPr>
              <w:br/>
              <w:t>Nominal: de 150 hasta la superficie terrestre</w:t>
            </w:r>
          </w:p>
        </w:tc>
      </w:tr>
      <w:tr w:rsidR="009F72F8" w:rsidRPr="00F54BBF" w:rsidTr="006A1F81">
        <w:trPr>
          <w:jc w:val="center"/>
        </w:trPr>
        <w:tc>
          <w:tcPr>
            <w:tcW w:w="3316" w:type="dxa"/>
            <w:tcBorders>
              <w:top w:val="single" w:sz="6" w:space="0" w:color="auto"/>
              <w:left w:val="single" w:sz="6" w:space="0" w:color="auto"/>
              <w:bottom w:val="single" w:sz="6" w:space="0" w:color="auto"/>
              <w:right w:val="single" w:sz="6" w:space="0" w:color="auto"/>
            </w:tcBorders>
            <w:hideMark/>
          </w:tcPr>
          <w:p w:rsidR="009F72F8" w:rsidRPr="00F54BBF" w:rsidRDefault="009F72F8" w:rsidP="006A1F81">
            <w:pPr>
              <w:pStyle w:val="Tabletext"/>
              <w:jc w:val="left"/>
              <w:rPr>
                <w:szCs w:val="22"/>
                <w:lang w:val="es-ES_tradnl"/>
              </w:rPr>
            </w:pPr>
            <w:r w:rsidRPr="00F54BBF">
              <w:rPr>
                <w:szCs w:val="22"/>
                <w:lang w:val="es-ES_tradnl"/>
              </w:rPr>
              <w:t>Frecuencia central</w:t>
            </w:r>
          </w:p>
        </w:tc>
        <w:tc>
          <w:tcPr>
            <w:tcW w:w="1302" w:type="dxa"/>
            <w:tcBorders>
              <w:top w:val="single" w:sz="6" w:space="0" w:color="auto"/>
              <w:left w:val="single" w:sz="6" w:space="0" w:color="auto"/>
              <w:bottom w:val="single" w:sz="6" w:space="0" w:color="auto"/>
              <w:right w:val="single" w:sz="6" w:space="0" w:color="auto"/>
            </w:tcBorders>
            <w:hideMark/>
          </w:tcPr>
          <w:p w:rsidR="009F72F8" w:rsidRPr="00F54BBF" w:rsidRDefault="009F72F8" w:rsidP="006A1F81">
            <w:pPr>
              <w:pStyle w:val="Tabletext"/>
              <w:jc w:val="center"/>
              <w:rPr>
                <w:szCs w:val="22"/>
                <w:lang w:val="es-ES_tradnl"/>
              </w:rPr>
            </w:pPr>
            <w:r w:rsidRPr="00F54BBF">
              <w:rPr>
                <w:szCs w:val="22"/>
                <w:lang w:val="es-ES_tradnl"/>
              </w:rPr>
              <w:t>GHz</w:t>
            </w:r>
          </w:p>
        </w:tc>
        <w:tc>
          <w:tcPr>
            <w:tcW w:w="5021" w:type="dxa"/>
            <w:tcBorders>
              <w:top w:val="single" w:sz="6" w:space="0" w:color="auto"/>
              <w:left w:val="single" w:sz="6" w:space="0" w:color="auto"/>
              <w:bottom w:val="single" w:sz="6" w:space="0" w:color="auto"/>
              <w:right w:val="single" w:sz="6" w:space="0" w:color="auto"/>
            </w:tcBorders>
            <w:hideMark/>
          </w:tcPr>
          <w:p w:rsidR="009F72F8" w:rsidRPr="00F54BBF" w:rsidRDefault="009F72F8" w:rsidP="006A1F81">
            <w:pPr>
              <w:pStyle w:val="Tabletext"/>
              <w:jc w:val="center"/>
              <w:rPr>
                <w:szCs w:val="22"/>
                <w:lang w:val="es-ES_tradnl"/>
              </w:rPr>
            </w:pPr>
            <w:r w:rsidRPr="00F54BBF">
              <w:rPr>
                <w:szCs w:val="22"/>
                <w:lang w:val="es-ES_tradnl"/>
              </w:rPr>
              <w:t>Ajustable de 31,8 a 33,4 GHz</w:t>
            </w:r>
          </w:p>
        </w:tc>
      </w:tr>
      <w:tr w:rsidR="009F72F8" w:rsidRPr="00F54BBF" w:rsidTr="006A1F81">
        <w:trPr>
          <w:jc w:val="center"/>
        </w:trPr>
        <w:tc>
          <w:tcPr>
            <w:tcW w:w="3316" w:type="dxa"/>
            <w:tcBorders>
              <w:top w:val="single" w:sz="6" w:space="0" w:color="auto"/>
              <w:left w:val="single" w:sz="6" w:space="0" w:color="auto"/>
              <w:bottom w:val="single" w:sz="6" w:space="0" w:color="auto"/>
              <w:right w:val="single" w:sz="6" w:space="0" w:color="auto"/>
            </w:tcBorders>
            <w:hideMark/>
          </w:tcPr>
          <w:p w:rsidR="009F72F8" w:rsidRPr="00F54BBF" w:rsidRDefault="009F72F8" w:rsidP="006A1F81">
            <w:pPr>
              <w:pStyle w:val="Tabletext"/>
              <w:jc w:val="left"/>
              <w:rPr>
                <w:szCs w:val="22"/>
                <w:lang w:val="es-ES_tradnl"/>
              </w:rPr>
            </w:pPr>
            <w:r w:rsidRPr="00F54BBF">
              <w:rPr>
                <w:szCs w:val="22"/>
                <w:lang w:val="es-ES_tradnl"/>
              </w:rPr>
              <w:t>Modulación</w:t>
            </w:r>
          </w:p>
        </w:tc>
        <w:tc>
          <w:tcPr>
            <w:tcW w:w="1302" w:type="dxa"/>
            <w:tcBorders>
              <w:top w:val="single" w:sz="6" w:space="0" w:color="auto"/>
              <w:left w:val="single" w:sz="6" w:space="0" w:color="auto"/>
              <w:bottom w:val="single" w:sz="6" w:space="0" w:color="auto"/>
              <w:right w:val="single" w:sz="6" w:space="0" w:color="auto"/>
            </w:tcBorders>
          </w:tcPr>
          <w:p w:rsidR="009F72F8" w:rsidRPr="00F54BBF" w:rsidRDefault="009F72F8" w:rsidP="006A1F81">
            <w:pPr>
              <w:pStyle w:val="Tablelegend"/>
              <w:keepNext/>
              <w:framePr w:hSpace="181" w:wrap="notBeside" w:vAnchor="text" w:hAnchor="text" w:xAlign="center" w:y="1"/>
              <w:spacing w:before="40" w:after="40"/>
              <w:jc w:val="center"/>
              <w:rPr>
                <w:szCs w:val="22"/>
                <w:lang w:val="es-ES_tradnl"/>
              </w:rPr>
            </w:pPr>
          </w:p>
        </w:tc>
        <w:tc>
          <w:tcPr>
            <w:tcW w:w="5021" w:type="dxa"/>
            <w:tcBorders>
              <w:top w:val="single" w:sz="6" w:space="0" w:color="auto"/>
              <w:left w:val="single" w:sz="6" w:space="0" w:color="auto"/>
              <w:bottom w:val="single" w:sz="6" w:space="0" w:color="auto"/>
              <w:right w:val="single" w:sz="6" w:space="0" w:color="auto"/>
            </w:tcBorders>
            <w:hideMark/>
          </w:tcPr>
          <w:p w:rsidR="009F72F8" w:rsidRPr="00F54BBF" w:rsidRDefault="009F72F8" w:rsidP="006A1F81">
            <w:pPr>
              <w:pStyle w:val="Tabletext"/>
              <w:jc w:val="center"/>
              <w:rPr>
                <w:szCs w:val="22"/>
                <w:lang w:val="es-ES_tradnl"/>
              </w:rPr>
            </w:pPr>
            <w:r w:rsidRPr="00F54BBF">
              <w:rPr>
                <w:szCs w:val="22"/>
                <w:lang w:val="es-ES_tradnl"/>
              </w:rPr>
              <w:t>FMCW</w:t>
            </w:r>
          </w:p>
        </w:tc>
      </w:tr>
      <w:tr w:rsidR="009F72F8" w:rsidRPr="00F54BBF" w:rsidTr="006A1F81">
        <w:trPr>
          <w:jc w:val="center"/>
        </w:trPr>
        <w:tc>
          <w:tcPr>
            <w:tcW w:w="3316" w:type="dxa"/>
            <w:tcBorders>
              <w:top w:val="single" w:sz="6" w:space="0" w:color="auto"/>
              <w:left w:val="single" w:sz="6" w:space="0" w:color="auto"/>
              <w:bottom w:val="single" w:sz="6" w:space="0" w:color="auto"/>
              <w:right w:val="single" w:sz="6" w:space="0" w:color="auto"/>
            </w:tcBorders>
            <w:hideMark/>
          </w:tcPr>
          <w:p w:rsidR="009F72F8" w:rsidRPr="00F54BBF" w:rsidRDefault="009F72F8" w:rsidP="006A1F81">
            <w:pPr>
              <w:pStyle w:val="Tabletext"/>
              <w:jc w:val="left"/>
              <w:rPr>
                <w:szCs w:val="22"/>
                <w:lang w:val="es-ES_tradnl"/>
              </w:rPr>
            </w:pPr>
            <w:r w:rsidRPr="00F54BBF">
              <w:rPr>
                <w:szCs w:val="22"/>
                <w:lang w:val="es-ES_tradnl"/>
              </w:rPr>
              <w:t>Ancho de banda de la emisión en RF modulada</w:t>
            </w:r>
          </w:p>
        </w:tc>
        <w:tc>
          <w:tcPr>
            <w:tcW w:w="1302" w:type="dxa"/>
            <w:tcBorders>
              <w:top w:val="single" w:sz="6" w:space="0" w:color="auto"/>
              <w:left w:val="single" w:sz="6" w:space="0" w:color="auto"/>
              <w:bottom w:val="single" w:sz="6" w:space="0" w:color="auto"/>
              <w:right w:val="single" w:sz="6" w:space="0" w:color="auto"/>
            </w:tcBorders>
            <w:hideMark/>
          </w:tcPr>
          <w:p w:rsidR="009F72F8" w:rsidRPr="00F54BBF" w:rsidRDefault="009F72F8" w:rsidP="006A1F81">
            <w:pPr>
              <w:pStyle w:val="Tabletext"/>
              <w:jc w:val="center"/>
              <w:rPr>
                <w:szCs w:val="22"/>
                <w:lang w:val="es-ES_tradnl"/>
              </w:rPr>
            </w:pPr>
            <w:r w:rsidRPr="00F54BBF">
              <w:rPr>
                <w:szCs w:val="22"/>
                <w:lang w:val="es-ES_tradnl"/>
              </w:rPr>
              <w:t>MHz</w:t>
            </w:r>
          </w:p>
        </w:tc>
        <w:tc>
          <w:tcPr>
            <w:tcW w:w="5021" w:type="dxa"/>
            <w:tcBorders>
              <w:top w:val="single" w:sz="6" w:space="0" w:color="auto"/>
              <w:left w:val="single" w:sz="6" w:space="0" w:color="auto"/>
              <w:bottom w:val="single" w:sz="6" w:space="0" w:color="auto"/>
              <w:right w:val="single" w:sz="6" w:space="0" w:color="auto"/>
            </w:tcBorders>
            <w:hideMark/>
          </w:tcPr>
          <w:p w:rsidR="009F72F8" w:rsidRPr="00F54BBF" w:rsidRDefault="009F72F8" w:rsidP="006A1F81">
            <w:pPr>
              <w:pStyle w:val="Tabletext"/>
              <w:jc w:val="center"/>
              <w:rPr>
                <w:szCs w:val="22"/>
                <w:lang w:val="es-ES_tradnl"/>
              </w:rPr>
            </w:pPr>
            <w:r w:rsidRPr="00F54BBF">
              <w:rPr>
                <w:szCs w:val="22"/>
                <w:lang w:val="es-ES_tradnl"/>
              </w:rPr>
              <w:t>Entre 20 y 500</w:t>
            </w:r>
            <w:r w:rsidRPr="00F54BBF">
              <w:rPr>
                <w:szCs w:val="22"/>
                <w:lang w:val="es-ES_tradnl"/>
              </w:rPr>
              <w:br/>
              <w:t>Nominal: 200</w:t>
            </w:r>
          </w:p>
        </w:tc>
      </w:tr>
      <w:tr w:rsidR="009F72F8" w:rsidRPr="00F54BBF" w:rsidTr="006A1F81">
        <w:trPr>
          <w:jc w:val="center"/>
        </w:trPr>
        <w:tc>
          <w:tcPr>
            <w:tcW w:w="3316" w:type="dxa"/>
            <w:tcBorders>
              <w:top w:val="single" w:sz="6" w:space="0" w:color="auto"/>
              <w:left w:val="single" w:sz="6" w:space="0" w:color="auto"/>
              <w:bottom w:val="single" w:sz="6" w:space="0" w:color="auto"/>
              <w:right w:val="single" w:sz="6" w:space="0" w:color="auto"/>
            </w:tcBorders>
            <w:hideMark/>
          </w:tcPr>
          <w:p w:rsidR="009F72F8" w:rsidRPr="00F54BBF" w:rsidRDefault="009F72F8" w:rsidP="006A1F81">
            <w:pPr>
              <w:pStyle w:val="Tabletext"/>
              <w:jc w:val="left"/>
              <w:rPr>
                <w:szCs w:val="22"/>
                <w:lang w:val="es-ES_tradnl"/>
              </w:rPr>
            </w:pPr>
            <w:r w:rsidRPr="00F54BBF">
              <w:rPr>
                <w:szCs w:val="22"/>
                <w:lang w:val="es-ES_tradnl"/>
              </w:rPr>
              <w:t>Potencia de cresta del transmisor</w:t>
            </w:r>
          </w:p>
        </w:tc>
        <w:tc>
          <w:tcPr>
            <w:tcW w:w="1302" w:type="dxa"/>
            <w:tcBorders>
              <w:top w:val="single" w:sz="6" w:space="0" w:color="auto"/>
              <w:left w:val="single" w:sz="6" w:space="0" w:color="auto"/>
              <w:bottom w:val="single" w:sz="6" w:space="0" w:color="auto"/>
              <w:right w:val="single" w:sz="6" w:space="0" w:color="auto"/>
            </w:tcBorders>
            <w:hideMark/>
          </w:tcPr>
          <w:p w:rsidR="009F72F8" w:rsidRPr="00F54BBF" w:rsidRDefault="009F72F8" w:rsidP="006A1F81">
            <w:pPr>
              <w:pStyle w:val="Tabletext"/>
              <w:jc w:val="center"/>
              <w:rPr>
                <w:szCs w:val="22"/>
                <w:lang w:val="es-ES_tradnl"/>
              </w:rPr>
            </w:pPr>
            <w:r w:rsidRPr="00F54BBF">
              <w:rPr>
                <w:szCs w:val="22"/>
                <w:lang w:val="es-ES_tradnl"/>
              </w:rPr>
              <w:t>W</w:t>
            </w:r>
          </w:p>
        </w:tc>
        <w:tc>
          <w:tcPr>
            <w:tcW w:w="5021" w:type="dxa"/>
            <w:tcBorders>
              <w:top w:val="single" w:sz="6" w:space="0" w:color="auto"/>
              <w:left w:val="single" w:sz="6" w:space="0" w:color="auto"/>
              <w:bottom w:val="single" w:sz="6" w:space="0" w:color="auto"/>
              <w:right w:val="single" w:sz="6" w:space="0" w:color="auto"/>
            </w:tcBorders>
            <w:hideMark/>
          </w:tcPr>
          <w:p w:rsidR="009F72F8" w:rsidRPr="00F54BBF" w:rsidRDefault="009F72F8" w:rsidP="006A1F81">
            <w:pPr>
              <w:pStyle w:val="Tabletext"/>
              <w:jc w:val="center"/>
              <w:rPr>
                <w:szCs w:val="22"/>
                <w:lang w:val="es-ES_tradnl"/>
              </w:rPr>
            </w:pPr>
            <w:r w:rsidRPr="00F54BBF">
              <w:rPr>
                <w:szCs w:val="22"/>
                <w:lang w:val="es-ES_tradnl"/>
              </w:rPr>
              <w:t>Entre 5 y 20</w:t>
            </w:r>
            <w:r w:rsidRPr="00F54BBF">
              <w:rPr>
                <w:szCs w:val="22"/>
                <w:lang w:val="es-ES_tradnl"/>
              </w:rPr>
              <w:br/>
              <w:t>Nominal: 5</w:t>
            </w:r>
          </w:p>
        </w:tc>
      </w:tr>
      <w:tr w:rsidR="009F72F8" w:rsidRPr="00C22EC0" w:rsidTr="006A1F81">
        <w:trPr>
          <w:jc w:val="center"/>
        </w:trPr>
        <w:tc>
          <w:tcPr>
            <w:tcW w:w="3316" w:type="dxa"/>
            <w:tcBorders>
              <w:top w:val="single" w:sz="6" w:space="0" w:color="auto"/>
              <w:left w:val="single" w:sz="6" w:space="0" w:color="auto"/>
              <w:bottom w:val="single" w:sz="6" w:space="0" w:color="auto"/>
              <w:right w:val="single" w:sz="6" w:space="0" w:color="auto"/>
            </w:tcBorders>
            <w:hideMark/>
          </w:tcPr>
          <w:p w:rsidR="009F72F8" w:rsidRPr="00F54BBF" w:rsidRDefault="009F72F8" w:rsidP="006A1F81">
            <w:pPr>
              <w:pStyle w:val="Tabletext"/>
              <w:jc w:val="left"/>
              <w:rPr>
                <w:szCs w:val="22"/>
                <w:lang w:val="es-ES_tradnl"/>
              </w:rPr>
            </w:pPr>
            <w:r w:rsidRPr="00F54BBF">
              <w:rPr>
                <w:szCs w:val="22"/>
                <w:lang w:val="es-ES_tradnl"/>
              </w:rPr>
              <w:t xml:space="preserve">Frecuencia de repetición de impulsos </w:t>
            </w:r>
          </w:p>
        </w:tc>
        <w:tc>
          <w:tcPr>
            <w:tcW w:w="1302" w:type="dxa"/>
            <w:tcBorders>
              <w:top w:val="single" w:sz="6" w:space="0" w:color="auto"/>
              <w:left w:val="single" w:sz="6" w:space="0" w:color="auto"/>
              <w:bottom w:val="single" w:sz="6" w:space="0" w:color="auto"/>
              <w:right w:val="single" w:sz="6" w:space="0" w:color="auto"/>
            </w:tcBorders>
            <w:hideMark/>
          </w:tcPr>
          <w:p w:rsidR="009F72F8" w:rsidRPr="00F54BBF" w:rsidRDefault="009F72F8" w:rsidP="006A1F81">
            <w:pPr>
              <w:pStyle w:val="Tabletext"/>
              <w:jc w:val="center"/>
              <w:rPr>
                <w:szCs w:val="22"/>
                <w:lang w:val="es-ES_tradnl"/>
              </w:rPr>
            </w:pPr>
            <w:r w:rsidRPr="00F54BBF">
              <w:rPr>
                <w:szCs w:val="22"/>
                <w:lang w:val="es-ES_tradnl"/>
              </w:rPr>
              <w:t>pps</w:t>
            </w:r>
          </w:p>
        </w:tc>
        <w:tc>
          <w:tcPr>
            <w:tcW w:w="5021" w:type="dxa"/>
            <w:tcBorders>
              <w:top w:val="single" w:sz="6" w:space="0" w:color="auto"/>
              <w:left w:val="single" w:sz="6" w:space="0" w:color="auto"/>
              <w:bottom w:val="single" w:sz="6" w:space="0" w:color="auto"/>
              <w:right w:val="single" w:sz="6" w:space="0" w:color="auto"/>
            </w:tcBorders>
            <w:hideMark/>
          </w:tcPr>
          <w:p w:rsidR="009F72F8" w:rsidRPr="00F54BBF" w:rsidRDefault="009F72F8" w:rsidP="006A1F81">
            <w:pPr>
              <w:pStyle w:val="Tabletext"/>
              <w:jc w:val="center"/>
              <w:rPr>
                <w:szCs w:val="22"/>
                <w:lang w:val="es-ES_tradnl"/>
              </w:rPr>
            </w:pPr>
            <w:r w:rsidRPr="00F54BBF">
              <w:rPr>
                <w:szCs w:val="22"/>
                <w:lang w:val="es-ES_tradnl"/>
              </w:rPr>
              <w:t>500 (frecuencia de repetición del ciclo de MF)</w:t>
            </w:r>
          </w:p>
        </w:tc>
      </w:tr>
      <w:tr w:rsidR="009F72F8" w:rsidRPr="00F54BBF" w:rsidTr="006A1F81">
        <w:trPr>
          <w:jc w:val="center"/>
        </w:trPr>
        <w:tc>
          <w:tcPr>
            <w:tcW w:w="3316" w:type="dxa"/>
            <w:tcBorders>
              <w:top w:val="single" w:sz="6" w:space="0" w:color="auto"/>
              <w:left w:val="single" w:sz="6" w:space="0" w:color="auto"/>
              <w:bottom w:val="single" w:sz="6" w:space="0" w:color="auto"/>
              <w:right w:val="single" w:sz="6" w:space="0" w:color="auto"/>
            </w:tcBorders>
            <w:hideMark/>
          </w:tcPr>
          <w:p w:rsidR="009F72F8" w:rsidRPr="00F54BBF" w:rsidRDefault="009F72F8" w:rsidP="006A1F81">
            <w:pPr>
              <w:pStyle w:val="Tabletext"/>
              <w:jc w:val="left"/>
              <w:rPr>
                <w:szCs w:val="22"/>
                <w:lang w:val="es-ES_tradnl"/>
              </w:rPr>
            </w:pPr>
            <w:r w:rsidRPr="00F54BBF">
              <w:rPr>
                <w:szCs w:val="22"/>
                <w:lang w:val="es-ES_tradnl"/>
              </w:rPr>
              <w:t>Ancho de banda en FI del receptor (−3 dB)</w:t>
            </w:r>
          </w:p>
        </w:tc>
        <w:tc>
          <w:tcPr>
            <w:tcW w:w="1302" w:type="dxa"/>
            <w:tcBorders>
              <w:top w:val="single" w:sz="6" w:space="0" w:color="auto"/>
              <w:left w:val="single" w:sz="6" w:space="0" w:color="auto"/>
              <w:bottom w:val="single" w:sz="6" w:space="0" w:color="auto"/>
              <w:right w:val="single" w:sz="6" w:space="0" w:color="auto"/>
            </w:tcBorders>
            <w:hideMark/>
          </w:tcPr>
          <w:p w:rsidR="009F72F8" w:rsidRPr="00F54BBF" w:rsidRDefault="009F72F8" w:rsidP="006A1F81">
            <w:pPr>
              <w:pStyle w:val="Tabletext"/>
              <w:jc w:val="center"/>
              <w:rPr>
                <w:szCs w:val="22"/>
                <w:lang w:val="es-ES_tradnl"/>
              </w:rPr>
            </w:pPr>
            <w:r w:rsidRPr="00F54BBF">
              <w:rPr>
                <w:szCs w:val="22"/>
                <w:lang w:val="es-ES_tradnl"/>
              </w:rPr>
              <w:t>MHz</w:t>
            </w:r>
          </w:p>
        </w:tc>
        <w:tc>
          <w:tcPr>
            <w:tcW w:w="5021" w:type="dxa"/>
            <w:tcBorders>
              <w:top w:val="single" w:sz="6" w:space="0" w:color="auto"/>
              <w:left w:val="single" w:sz="6" w:space="0" w:color="auto"/>
              <w:bottom w:val="single" w:sz="6" w:space="0" w:color="auto"/>
              <w:right w:val="single" w:sz="6" w:space="0" w:color="auto"/>
            </w:tcBorders>
            <w:hideMark/>
          </w:tcPr>
          <w:p w:rsidR="009F72F8" w:rsidRPr="00F54BBF" w:rsidRDefault="009F72F8" w:rsidP="006A1F81">
            <w:pPr>
              <w:pStyle w:val="Tabletext"/>
              <w:jc w:val="center"/>
              <w:rPr>
                <w:szCs w:val="22"/>
                <w:lang w:val="es-ES_tradnl"/>
              </w:rPr>
            </w:pPr>
            <w:r w:rsidRPr="00F54BBF">
              <w:rPr>
                <w:szCs w:val="22"/>
                <w:lang w:val="es-ES_tradnl"/>
              </w:rPr>
              <w:t>60</w:t>
            </w:r>
          </w:p>
        </w:tc>
      </w:tr>
      <w:tr w:rsidR="009F72F8" w:rsidRPr="00F54BBF" w:rsidTr="006A1F81">
        <w:trPr>
          <w:jc w:val="center"/>
        </w:trPr>
        <w:tc>
          <w:tcPr>
            <w:tcW w:w="3316" w:type="dxa"/>
            <w:tcBorders>
              <w:top w:val="single" w:sz="6" w:space="0" w:color="auto"/>
              <w:left w:val="single" w:sz="6" w:space="0" w:color="auto"/>
              <w:bottom w:val="single" w:sz="6" w:space="0" w:color="auto"/>
              <w:right w:val="single" w:sz="6" w:space="0" w:color="auto"/>
            </w:tcBorders>
          </w:tcPr>
          <w:p w:rsidR="009F72F8" w:rsidRPr="00F54BBF" w:rsidRDefault="009F72F8" w:rsidP="006A1F81">
            <w:pPr>
              <w:pStyle w:val="Tabletext"/>
              <w:jc w:val="left"/>
              <w:rPr>
                <w:szCs w:val="22"/>
                <w:lang w:val="es-ES_tradnl"/>
              </w:rPr>
            </w:pPr>
            <w:r w:rsidRPr="00F54BBF">
              <w:rPr>
                <w:szCs w:val="22"/>
                <w:lang w:val="es-ES_tradnl"/>
              </w:rPr>
              <w:t>Factor de ruido del receptor</w:t>
            </w:r>
          </w:p>
        </w:tc>
        <w:tc>
          <w:tcPr>
            <w:tcW w:w="1302" w:type="dxa"/>
            <w:tcBorders>
              <w:top w:val="single" w:sz="6" w:space="0" w:color="auto"/>
              <w:left w:val="single" w:sz="6" w:space="0" w:color="auto"/>
              <w:bottom w:val="single" w:sz="6" w:space="0" w:color="auto"/>
              <w:right w:val="single" w:sz="6" w:space="0" w:color="auto"/>
            </w:tcBorders>
          </w:tcPr>
          <w:p w:rsidR="009F72F8" w:rsidRPr="00F54BBF" w:rsidRDefault="009F72F8" w:rsidP="006A1F81">
            <w:pPr>
              <w:pStyle w:val="Tabletext"/>
              <w:jc w:val="center"/>
              <w:rPr>
                <w:szCs w:val="22"/>
                <w:lang w:val="es-ES_tradnl"/>
              </w:rPr>
            </w:pPr>
            <w:r w:rsidRPr="00F54BBF">
              <w:rPr>
                <w:szCs w:val="22"/>
                <w:lang w:val="es-ES_tradnl"/>
              </w:rPr>
              <w:t>dB</w:t>
            </w:r>
          </w:p>
        </w:tc>
        <w:tc>
          <w:tcPr>
            <w:tcW w:w="5021" w:type="dxa"/>
            <w:tcBorders>
              <w:top w:val="single" w:sz="6" w:space="0" w:color="auto"/>
              <w:left w:val="single" w:sz="6" w:space="0" w:color="auto"/>
              <w:bottom w:val="single" w:sz="6" w:space="0" w:color="auto"/>
              <w:right w:val="single" w:sz="6" w:space="0" w:color="auto"/>
            </w:tcBorders>
          </w:tcPr>
          <w:p w:rsidR="009F72F8" w:rsidRPr="00F54BBF" w:rsidRDefault="009F72F8" w:rsidP="006A1F81">
            <w:pPr>
              <w:pStyle w:val="Tabletext"/>
              <w:jc w:val="center"/>
              <w:rPr>
                <w:szCs w:val="22"/>
                <w:lang w:val="es-ES_tradnl"/>
              </w:rPr>
            </w:pPr>
            <w:r w:rsidRPr="00F54BBF">
              <w:rPr>
                <w:szCs w:val="22"/>
                <w:lang w:val="es-ES_tradnl"/>
              </w:rPr>
              <w:t>6</w:t>
            </w:r>
          </w:p>
        </w:tc>
      </w:tr>
      <w:tr w:rsidR="009F72F8" w:rsidRPr="00F54BBF" w:rsidTr="006A1F81">
        <w:trPr>
          <w:jc w:val="center"/>
        </w:trPr>
        <w:tc>
          <w:tcPr>
            <w:tcW w:w="3316" w:type="dxa"/>
            <w:tcBorders>
              <w:top w:val="single" w:sz="6" w:space="0" w:color="auto"/>
              <w:left w:val="single" w:sz="6" w:space="0" w:color="auto"/>
              <w:bottom w:val="single" w:sz="6" w:space="0" w:color="auto"/>
              <w:right w:val="single" w:sz="6" w:space="0" w:color="auto"/>
            </w:tcBorders>
          </w:tcPr>
          <w:p w:rsidR="009F72F8" w:rsidRPr="00F54BBF" w:rsidRDefault="009F72F8" w:rsidP="006A1F81">
            <w:pPr>
              <w:pStyle w:val="Tabletext"/>
              <w:spacing w:before="20" w:after="20"/>
              <w:rPr>
                <w:szCs w:val="22"/>
                <w:lang w:val="es-ES_tradnl"/>
              </w:rPr>
            </w:pPr>
            <w:r w:rsidRPr="00F54BBF">
              <w:rPr>
                <w:szCs w:val="22"/>
                <w:lang w:val="es-ES_tradnl"/>
              </w:rPr>
              <w:t>Sensibilidad</w:t>
            </w:r>
          </w:p>
        </w:tc>
        <w:tc>
          <w:tcPr>
            <w:tcW w:w="1302" w:type="dxa"/>
            <w:tcBorders>
              <w:top w:val="single" w:sz="6" w:space="0" w:color="auto"/>
              <w:left w:val="single" w:sz="6" w:space="0" w:color="auto"/>
              <w:bottom w:val="single" w:sz="6" w:space="0" w:color="auto"/>
              <w:right w:val="single" w:sz="6" w:space="0" w:color="auto"/>
            </w:tcBorders>
          </w:tcPr>
          <w:p w:rsidR="009F72F8" w:rsidRPr="00F54BBF" w:rsidRDefault="009F72F8" w:rsidP="006A1F81">
            <w:pPr>
              <w:pStyle w:val="Tabletext"/>
              <w:spacing w:before="20" w:after="20"/>
              <w:jc w:val="center"/>
              <w:rPr>
                <w:szCs w:val="22"/>
                <w:lang w:val="es-ES_tradnl"/>
              </w:rPr>
            </w:pPr>
            <w:r w:rsidRPr="00F54BBF">
              <w:rPr>
                <w:szCs w:val="22"/>
                <w:lang w:val="es-ES_tradnl"/>
              </w:rPr>
              <w:t>dBm</w:t>
            </w:r>
          </w:p>
        </w:tc>
        <w:tc>
          <w:tcPr>
            <w:tcW w:w="5021" w:type="dxa"/>
            <w:tcBorders>
              <w:top w:val="single" w:sz="6" w:space="0" w:color="auto"/>
              <w:left w:val="single" w:sz="6" w:space="0" w:color="auto"/>
              <w:bottom w:val="single" w:sz="6" w:space="0" w:color="auto"/>
              <w:right w:val="single" w:sz="6" w:space="0" w:color="auto"/>
            </w:tcBorders>
          </w:tcPr>
          <w:p w:rsidR="009F72F8" w:rsidRPr="00F54BBF" w:rsidRDefault="009F72F8" w:rsidP="006A1F81">
            <w:pPr>
              <w:pStyle w:val="Tabletext"/>
              <w:spacing w:before="20" w:after="20"/>
              <w:jc w:val="center"/>
              <w:rPr>
                <w:szCs w:val="22"/>
                <w:lang w:val="es-ES_tradnl"/>
              </w:rPr>
            </w:pPr>
            <w:r w:rsidRPr="00F54BBF">
              <w:rPr>
                <w:szCs w:val="22"/>
                <w:lang w:val="es-ES_tradnl"/>
              </w:rPr>
              <w:t>−110</w:t>
            </w:r>
          </w:p>
        </w:tc>
      </w:tr>
      <w:tr w:rsidR="009F72F8" w:rsidRPr="00F54BBF" w:rsidTr="006A1F81">
        <w:trPr>
          <w:jc w:val="center"/>
        </w:trPr>
        <w:tc>
          <w:tcPr>
            <w:tcW w:w="3316" w:type="dxa"/>
            <w:tcBorders>
              <w:top w:val="single" w:sz="6" w:space="0" w:color="auto"/>
              <w:left w:val="single" w:sz="6" w:space="0" w:color="auto"/>
              <w:bottom w:val="single" w:sz="6" w:space="0" w:color="auto"/>
              <w:right w:val="single" w:sz="6" w:space="0" w:color="auto"/>
            </w:tcBorders>
          </w:tcPr>
          <w:p w:rsidR="009F72F8" w:rsidRPr="00F54BBF" w:rsidRDefault="009F72F8" w:rsidP="006A1F81">
            <w:pPr>
              <w:pStyle w:val="Tabletext"/>
              <w:spacing w:before="20" w:after="20"/>
              <w:rPr>
                <w:szCs w:val="22"/>
                <w:lang w:val="es-ES_tradnl"/>
              </w:rPr>
            </w:pPr>
            <w:r w:rsidRPr="00F54BBF">
              <w:rPr>
                <w:szCs w:val="22"/>
                <w:lang w:val="es-ES_tradnl"/>
              </w:rPr>
              <w:t>Sobrecarga del umbral de potencia de entrada del receptor</w:t>
            </w:r>
          </w:p>
        </w:tc>
        <w:tc>
          <w:tcPr>
            <w:tcW w:w="1302" w:type="dxa"/>
            <w:tcBorders>
              <w:top w:val="single" w:sz="6" w:space="0" w:color="auto"/>
              <w:left w:val="single" w:sz="6" w:space="0" w:color="auto"/>
              <w:bottom w:val="single" w:sz="6" w:space="0" w:color="auto"/>
              <w:right w:val="single" w:sz="6" w:space="0" w:color="auto"/>
            </w:tcBorders>
          </w:tcPr>
          <w:p w:rsidR="009F72F8" w:rsidRPr="00F54BBF" w:rsidRDefault="009F72F8" w:rsidP="006A1F81">
            <w:pPr>
              <w:pStyle w:val="Tabletext"/>
              <w:spacing w:before="20" w:after="20"/>
              <w:jc w:val="center"/>
              <w:rPr>
                <w:szCs w:val="22"/>
                <w:lang w:val="es-ES_tradnl"/>
              </w:rPr>
            </w:pPr>
            <w:r w:rsidRPr="00F54BBF">
              <w:rPr>
                <w:szCs w:val="22"/>
                <w:lang w:val="es-ES_tradnl"/>
              </w:rPr>
              <w:t>dBm</w:t>
            </w:r>
          </w:p>
        </w:tc>
        <w:tc>
          <w:tcPr>
            <w:tcW w:w="5021" w:type="dxa"/>
            <w:tcBorders>
              <w:top w:val="single" w:sz="6" w:space="0" w:color="auto"/>
              <w:left w:val="single" w:sz="6" w:space="0" w:color="auto"/>
              <w:bottom w:val="single" w:sz="6" w:space="0" w:color="auto"/>
              <w:right w:val="single" w:sz="6" w:space="0" w:color="auto"/>
            </w:tcBorders>
          </w:tcPr>
          <w:p w:rsidR="009F72F8" w:rsidRPr="00F54BBF" w:rsidRDefault="009F72F8" w:rsidP="006A1F81">
            <w:pPr>
              <w:pStyle w:val="Tabletext"/>
              <w:spacing w:before="20" w:after="20"/>
              <w:jc w:val="center"/>
              <w:rPr>
                <w:szCs w:val="22"/>
                <w:lang w:val="es-ES_tradnl"/>
              </w:rPr>
            </w:pPr>
            <w:r w:rsidRPr="00F54BBF">
              <w:rPr>
                <w:szCs w:val="22"/>
                <w:lang w:val="es-ES_tradnl"/>
              </w:rPr>
              <w:t>−40</w:t>
            </w:r>
          </w:p>
        </w:tc>
      </w:tr>
      <w:tr w:rsidR="009F72F8" w:rsidRPr="00F54BBF" w:rsidTr="006A1F81">
        <w:trPr>
          <w:jc w:val="center"/>
        </w:trPr>
        <w:tc>
          <w:tcPr>
            <w:tcW w:w="3316" w:type="dxa"/>
            <w:tcBorders>
              <w:top w:val="single" w:sz="6" w:space="0" w:color="auto"/>
              <w:left w:val="single" w:sz="6" w:space="0" w:color="auto"/>
              <w:bottom w:val="single" w:sz="6" w:space="0" w:color="auto"/>
              <w:right w:val="single" w:sz="6" w:space="0" w:color="auto"/>
            </w:tcBorders>
          </w:tcPr>
          <w:p w:rsidR="009F72F8" w:rsidRPr="00F54BBF" w:rsidRDefault="009F72F8" w:rsidP="006A1F81">
            <w:pPr>
              <w:pStyle w:val="Tabletext"/>
              <w:spacing w:before="20" w:after="20"/>
              <w:rPr>
                <w:szCs w:val="22"/>
                <w:lang w:val="es-ES_tradnl"/>
              </w:rPr>
            </w:pPr>
            <w:r w:rsidRPr="00F54BBF">
              <w:rPr>
                <w:szCs w:val="22"/>
                <w:lang w:val="es-ES_tradnl"/>
              </w:rPr>
              <w:t>Tipo de antena</w:t>
            </w:r>
          </w:p>
        </w:tc>
        <w:tc>
          <w:tcPr>
            <w:tcW w:w="1302" w:type="dxa"/>
            <w:tcBorders>
              <w:top w:val="single" w:sz="6" w:space="0" w:color="auto"/>
              <w:left w:val="single" w:sz="6" w:space="0" w:color="auto"/>
              <w:bottom w:val="single" w:sz="6" w:space="0" w:color="auto"/>
              <w:right w:val="single" w:sz="6" w:space="0" w:color="auto"/>
            </w:tcBorders>
          </w:tcPr>
          <w:p w:rsidR="009F72F8" w:rsidRPr="00F54BBF" w:rsidRDefault="009F72F8" w:rsidP="006A1F81">
            <w:pPr>
              <w:pStyle w:val="Tablelegend"/>
              <w:keepNext/>
              <w:framePr w:hSpace="181" w:wrap="notBeside" w:vAnchor="text" w:hAnchor="text" w:xAlign="center" w:y="1"/>
              <w:spacing w:before="20" w:after="20"/>
              <w:jc w:val="center"/>
              <w:rPr>
                <w:szCs w:val="22"/>
                <w:lang w:val="es-ES_tradnl"/>
              </w:rPr>
            </w:pPr>
          </w:p>
        </w:tc>
        <w:tc>
          <w:tcPr>
            <w:tcW w:w="5021" w:type="dxa"/>
            <w:tcBorders>
              <w:top w:val="single" w:sz="6" w:space="0" w:color="auto"/>
              <w:left w:val="single" w:sz="6" w:space="0" w:color="auto"/>
              <w:bottom w:val="single" w:sz="6" w:space="0" w:color="auto"/>
              <w:right w:val="single" w:sz="6" w:space="0" w:color="auto"/>
            </w:tcBorders>
          </w:tcPr>
          <w:p w:rsidR="009F72F8" w:rsidRPr="00F54BBF" w:rsidRDefault="009F72F8" w:rsidP="006A1F81">
            <w:pPr>
              <w:pStyle w:val="Tabletext"/>
              <w:spacing w:before="20" w:after="20"/>
              <w:jc w:val="center"/>
              <w:rPr>
                <w:szCs w:val="22"/>
                <w:lang w:val="es-ES_tradnl"/>
              </w:rPr>
            </w:pPr>
            <w:r w:rsidRPr="00F54BBF">
              <w:rPr>
                <w:szCs w:val="22"/>
                <w:lang w:val="es-ES_tradnl"/>
              </w:rPr>
              <w:t>Matriz lineal</w:t>
            </w:r>
          </w:p>
        </w:tc>
      </w:tr>
      <w:tr w:rsidR="009F72F8" w:rsidRPr="00F54BBF" w:rsidTr="006A1F81">
        <w:trPr>
          <w:jc w:val="center"/>
        </w:trPr>
        <w:tc>
          <w:tcPr>
            <w:tcW w:w="3316" w:type="dxa"/>
            <w:tcBorders>
              <w:top w:val="single" w:sz="6" w:space="0" w:color="auto"/>
              <w:left w:val="single" w:sz="6" w:space="0" w:color="auto"/>
              <w:bottom w:val="single" w:sz="6" w:space="0" w:color="auto"/>
              <w:right w:val="single" w:sz="6" w:space="0" w:color="auto"/>
            </w:tcBorders>
          </w:tcPr>
          <w:p w:rsidR="009F72F8" w:rsidRPr="00F54BBF" w:rsidRDefault="009F72F8" w:rsidP="006A1F81">
            <w:pPr>
              <w:pStyle w:val="Tabletext"/>
              <w:spacing w:before="20" w:after="20"/>
              <w:rPr>
                <w:szCs w:val="22"/>
                <w:lang w:val="es-ES_tradnl"/>
              </w:rPr>
            </w:pPr>
            <w:r w:rsidRPr="00F54BBF">
              <w:rPr>
                <w:szCs w:val="22"/>
                <w:lang w:val="es-ES_tradnl"/>
              </w:rPr>
              <w:t>Ganancia máxima de la antena</w:t>
            </w:r>
          </w:p>
        </w:tc>
        <w:tc>
          <w:tcPr>
            <w:tcW w:w="1302" w:type="dxa"/>
            <w:tcBorders>
              <w:top w:val="single" w:sz="6" w:space="0" w:color="auto"/>
              <w:left w:val="single" w:sz="6" w:space="0" w:color="auto"/>
              <w:bottom w:val="single" w:sz="6" w:space="0" w:color="auto"/>
              <w:right w:val="single" w:sz="6" w:space="0" w:color="auto"/>
            </w:tcBorders>
          </w:tcPr>
          <w:p w:rsidR="009F72F8" w:rsidRPr="00F54BBF" w:rsidRDefault="009F72F8" w:rsidP="006A1F81">
            <w:pPr>
              <w:pStyle w:val="Tabletext"/>
              <w:spacing w:before="20" w:after="20"/>
              <w:jc w:val="center"/>
              <w:rPr>
                <w:szCs w:val="22"/>
                <w:lang w:val="es-ES_tradnl"/>
              </w:rPr>
            </w:pPr>
            <w:r w:rsidRPr="00F54BBF">
              <w:rPr>
                <w:szCs w:val="22"/>
                <w:lang w:val="es-ES_tradnl"/>
              </w:rPr>
              <w:t>dBi</w:t>
            </w:r>
          </w:p>
        </w:tc>
        <w:tc>
          <w:tcPr>
            <w:tcW w:w="5021" w:type="dxa"/>
            <w:tcBorders>
              <w:top w:val="single" w:sz="6" w:space="0" w:color="auto"/>
              <w:left w:val="single" w:sz="6" w:space="0" w:color="auto"/>
              <w:bottom w:val="single" w:sz="6" w:space="0" w:color="auto"/>
              <w:right w:val="single" w:sz="6" w:space="0" w:color="auto"/>
            </w:tcBorders>
          </w:tcPr>
          <w:p w:rsidR="009F72F8" w:rsidRPr="00F54BBF" w:rsidRDefault="009F72F8" w:rsidP="006A1F81">
            <w:pPr>
              <w:pStyle w:val="Tabletext"/>
              <w:spacing w:before="20" w:after="20"/>
              <w:jc w:val="center"/>
              <w:rPr>
                <w:szCs w:val="22"/>
                <w:lang w:val="es-ES_tradnl"/>
              </w:rPr>
            </w:pPr>
            <w:r w:rsidRPr="00F54BBF">
              <w:rPr>
                <w:szCs w:val="22"/>
                <w:lang w:val="es-ES_tradnl"/>
              </w:rPr>
              <w:t>30</w:t>
            </w:r>
          </w:p>
        </w:tc>
      </w:tr>
      <w:tr w:rsidR="009F72F8" w:rsidRPr="00F54BBF" w:rsidTr="006A1F81">
        <w:trPr>
          <w:jc w:val="center"/>
        </w:trPr>
        <w:tc>
          <w:tcPr>
            <w:tcW w:w="3316" w:type="dxa"/>
            <w:tcBorders>
              <w:top w:val="single" w:sz="6" w:space="0" w:color="auto"/>
              <w:left w:val="single" w:sz="6" w:space="0" w:color="auto"/>
              <w:bottom w:val="single" w:sz="6" w:space="0" w:color="auto"/>
              <w:right w:val="single" w:sz="6" w:space="0" w:color="auto"/>
            </w:tcBorders>
          </w:tcPr>
          <w:p w:rsidR="009F72F8" w:rsidRPr="00F54BBF" w:rsidRDefault="009F72F8" w:rsidP="006A1F81">
            <w:pPr>
              <w:pStyle w:val="Tabletext"/>
              <w:spacing w:before="20" w:after="20"/>
              <w:rPr>
                <w:szCs w:val="22"/>
                <w:lang w:val="es-ES_tradnl"/>
              </w:rPr>
            </w:pPr>
            <w:r w:rsidRPr="00F54BBF">
              <w:rPr>
                <w:szCs w:val="22"/>
                <w:lang w:val="es-ES_tradnl"/>
              </w:rPr>
              <w:t>Cobertura global de la antena</w:t>
            </w:r>
          </w:p>
        </w:tc>
        <w:tc>
          <w:tcPr>
            <w:tcW w:w="1302" w:type="dxa"/>
            <w:tcBorders>
              <w:top w:val="single" w:sz="6" w:space="0" w:color="auto"/>
              <w:left w:val="single" w:sz="6" w:space="0" w:color="auto"/>
              <w:bottom w:val="single" w:sz="6" w:space="0" w:color="auto"/>
              <w:right w:val="single" w:sz="6" w:space="0" w:color="auto"/>
            </w:tcBorders>
          </w:tcPr>
          <w:p w:rsidR="009F72F8" w:rsidRPr="00F54BBF" w:rsidRDefault="009F72F8" w:rsidP="006A1F81">
            <w:pPr>
              <w:pStyle w:val="Tabletext"/>
              <w:spacing w:before="20" w:after="20"/>
              <w:jc w:val="center"/>
              <w:rPr>
                <w:szCs w:val="22"/>
                <w:lang w:val="es-ES_tradnl"/>
              </w:rPr>
            </w:pPr>
            <w:r w:rsidRPr="00F54BBF">
              <w:rPr>
                <w:szCs w:val="22"/>
                <w:lang w:val="es-ES_tradnl"/>
              </w:rPr>
              <w:t>°</w:t>
            </w:r>
          </w:p>
        </w:tc>
        <w:tc>
          <w:tcPr>
            <w:tcW w:w="5021" w:type="dxa"/>
            <w:tcBorders>
              <w:top w:val="single" w:sz="6" w:space="0" w:color="auto"/>
              <w:left w:val="single" w:sz="6" w:space="0" w:color="auto"/>
              <w:bottom w:val="single" w:sz="6" w:space="0" w:color="auto"/>
              <w:right w:val="single" w:sz="6" w:space="0" w:color="auto"/>
            </w:tcBorders>
          </w:tcPr>
          <w:p w:rsidR="009F72F8" w:rsidRPr="00F54BBF" w:rsidRDefault="009F72F8" w:rsidP="006A1F81">
            <w:pPr>
              <w:pStyle w:val="Tabletext"/>
              <w:spacing w:before="20" w:after="20"/>
              <w:jc w:val="center"/>
              <w:rPr>
                <w:szCs w:val="22"/>
                <w:lang w:val="es-ES_tradnl"/>
              </w:rPr>
            </w:pPr>
            <w:r w:rsidRPr="00F54BBF">
              <w:rPr>
                <w:szCs w:val="22"/>
                <w:lang w:val="es-ES_tradnl"/>
              </w:rPr>
              <w:t>Elevación: −30 a +</w:t>
            </w:r>
            <w:r w:rsidRPr="00F54BBF">
              <w:rPr>
                <w:rFonts w:ascii="Symbol" w:hAnsi="Symbol"/>
                <w:szCs w:val="22"/>
                <w:lang w:val="es-ES_tradnl"/>
              </w:rPr>
              <w:t></w:t>
            </w:r>
            <w:r w:rsidRPr="00F54BBF">
              <w:rPr>
                <w:szCs w:val="22"/>
                <w:lang w:val="es-ES_tradnl"/>
              </w:rPr>
              <w:br/>
              <w:t>Acimut: −30 a +30</w:t>
            </w:r>
          </w:p>
          <w:p w:rsidR="009F72F8" w:rsidRPr="00F54BBF" w:rsidRDefault="009F72F8" w:rsidP="006A1F81">
            <w:pPr>
              <w:pStyle w:val="Tabletext"/>
              <w:spacing w:before="20" w:after="20"/>
              <w:jc w:val="center"/>
              <w:rPr>
                <w:szCs w:val="22"/>
                <w:lang w:val="es-ES_tradnl"/>
              </w:rPr>
            </w:pPr>
            <w:r w:rsidRPr="00F54BBF">
              <w:rPr>
                <w:szCs w:val="22"/>
                <w:lang w:val="es-ES_tradnl"/>
              </w:rPr>
              <w:object w:dxaOrig="3014" w:dyaOrig="17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9pt;height:92.05pt" o:ole="">
                  <v:imagedata r:id="rId15" o:title=""/>
                </v:shape>
                <o:OLEObject Type="Embed" ProgID="CorelDraw.Graphic.16" ShapeID="_x0000_i1025" DrawAspect="Content" ObjectID="_1569132896" r:id="rId16"/>
              </w:object>
            </w:r>
          </w:p>
        </w:tc>
      </w:tr>
    </w:tbl>
    <w:p w:rsidR="009F72F8" w:rsidRPr="00F54BBF" w:rsidRDefault="009F72F8" w:rsidP="009F72F8">
      <w:pPr>
        <w:pStyle w:val="TableNo"/>
        <w:pageBreakBefore/>
        <w:rPr>
          <w:lang w:val="es-ES_tradnl"/>
        </w:rPr>
      </w:pPr>
      <w:r w:rsidRPr="00F54BBF">
        <w:rPr>
          <w:lang w:val="es-ES_tradnl"/>
        </w:rPr>
        <w:lastRenderedPageBreak/>
        <w:t>CUADRO 2 (</w:t>
      </w:r>
      <w:r w:rsidRPr="00F54BBF">
        <w:rPr>
          <w:i/>
          <w:iCs/>
          <w:lang w:val="es-ES_tradnl"/>
        </w:rPr>
        <w:t>fin</w:t>
      </w:r>
      <w:r w:rsidRPr="00F54BBF">
        <w:rPr>
          <w:lang w:val="es-ES_tradnl"/>
        </w:rPr>
        <w:t>)</w:t>
      </w: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4A0" w:firstRow="1" w:lastRow="0" w:firstColumn="1" w:lastColumn="0" w:noHBand="0" w:noVBand="1"/>
      </w:tblPr>
      <w:tblGrid>
        <w:gridCol w:w="3394"/>
        <w:gridCol w:w="1276"/>
        <w:gridCol w:w="4961"/>
        <w:gridCol w:w="8"/>
      </w:tblGrid>
      <w:tr w:rsidR="009F72F8" w:rsidRPr="00F54BBF" w:rsidTr="006A1F81">
        <w:trPr>
          <w:tblHeader/>
          <w:jc w:val="center"/>
        </w:trPr>
        <w:tc>
          <w:tcPr>
            <w:tcW w:w="3394" w:type="dxa"/>
            <w:tcBorders>
              <w:top w:val="single" w:sz="6" w:space="0" w:color="auto"/>
              <w:left w:val="single" w:sz="6" w:space="0" w:color="auto"/>
              <w:bottom w:val="single" w:sz="6" w:space="0" w:color="auto"/>
              <w:right w:val="single" w:sz="6" w:space="0" w:color="auto"/>
            </w:tcBorders>
            <w:hideMark/>
          </w:tcPr>
          <w:p w:rsidR="009F72F8" w:rsidRPr="00F54BBF" w:rsidRDefault="009F72F8" w:rsidP="006A1F81">
            <w:pPr>
              <w:pStyle w:val="Tablehead"/>
              <w:spacing w:before="40" w:after="40"/>
              <w:rPr>
                <w:szCs w:val="22"/>
                <w:lang w:val="es-ES_tradnl"/>
              </w:rPr>
            </w:pPr>
            <w:r w:rsidRPr="00F54BBF">
              <w:rPr>
                <w:szCs w:val="22"/>
                <w:lang w:val="es-ES_tradnl"/>
              </w:rPr>
              <w:t>Parámetro</w:t>
            </w:r>
          </w:p>
        </w:tc>
        <w:tc>
          <w:tcPr>
            <w:tcW w:w="1276" w:type="dxa"/>
            <w:tcBorders>
              <w:top w:val="single" w:sz="6" w:space="0" w:color="auto"/>
              <w:left w:val="single" w:sz="6" w:space="0" w:color="auto"/>
              <w:bottom w:val="single" w:sz="6" w:space="0" w:color="auto"/>
              <w:right w:val="single" w:sz="6" w:space="0" w:color="auto"/>
            </w:tcBorders>
            <w:hideMark/>
          </w:tcPr>
          <w:p w:rsidR="009F72F8" w:rsidRPr="00F54BBF" w:rsidRDefault="009F72F8" w:rsidP="006A1F81">
            <w:pPr>
              <w:pStyle w:val="Tablehead"/>
              <w:spacing w:before="40" w:after="40"/>
              <w:rPr>
                <w:szCs w:val="22"/>
                <w:lang w:val="es-ES_tradnl"/>
              </w:rPr>
            </w:pPr>
            <w:r w:rsidRPr="00F54BBF">
              <w:rPr>
                <w:szCs w:val="22"/>
                <w:lang w:val="es-ES_tradnl"/>
              </w:rPr>
              <w:t>Unidad</w:t>
            </w:r>
          </w:p>
        </w:tc>
        <w:tc>
          <w:tcPr>
            <w:tcW w:w="4969" w:type="dxa"/>
            <w:gridSpan w:val="2"/>
            <w:tcBorders>
              <w:top w:val="single" w:sz="6" w:space="0" w:color="auto"/>
              <w:left w:val="single" w:sz="6" w:space="0" w:color="auto"/>
              <w:bottom w:val="single" w:sz="6" w:space="0" w:color="auto"/>
              <w:right w:val="single" w:sz="6" w:space="0" w:color="auto"/>
            </w:tcBorders>
            <w:hideMark/>
          </w:tcPr>
          <w:p w:rsidR="009F72F8" w:rsidRPr="00F54BBF" w:rsidRDefault="009F72F8" w:rsidP="006A1F81">
            <w:pPr>
              <w:pStyle w:val="Tablehead"/>
              <w:spacing w:before="40" w:after="40"/>
              <w:rPr>
                <w:szCs w:val="22"/>
                <w:lang w:val="es-ES_tradnl"/>
              </w:rPr>
            </w:pPr>
            <w:r w:rsidRPr="00F54BBF">
              <w:rPr>
                <w:szCs w:val="22"/>
                <w:lang w:val="es-ES_tradnl"/>
              </w:rPr>
              <w:t>Radar núm. 3</w:t>
            </w:r>
          </w:p>
        </w:tc>
      </w:tr>
      <w:tr w:rsidR="009F72F8" w:rsidRPr="00F54BBF" w:rsidTr="006A1F81">
        <w:trPr>
          <w:gridAfter w:val="1"/>
          <w:wAfter w:w="8" w:type="dxa"/>
          <w:jc w:val="center"/>
        </w:trPr>
        <w:tc>
          <w:tcPr>
            <w:tcW w:w="3394" w:type="dxa"/>
            <w:tcBorders>
              <w:top w:val="single" w:sz="6" w:space="0" w:color="auto"/>
              <w:left w:val="single" w:sz="6" w:space="0" w:color="auto"/>
              <w:bottom w:val="single" w:sz="6" w:space="0" w:color="auto"/>
              <w:right w:val="single" w:sz="6" w:space="0" w:color="auto"/>
            </w:tcBorders>
            <w:hideMark/>
          </w:tcPr>
          <w:p w:rsidR="009F72F8" w:rsidRPr="00F54BBF" w:rsidRDefault="009F72F8" w:rsidP="006A1F81">
            <w:pPr>
              <w:pStyle w:val="Tabletext"/>
              <w:keepNext/>
              <w:spacing w:before="20" w:after="20"/>
              <w:jc w:val="left"/>
              <w:rPr>
                <w:szCs w:val="22"/>
                <w:lang w:val="es-ES_tradnl"/>
              </w:rPr>
            </w:pPr>
            <w:r w:rsidRPr="00F54BBF">
              <w:rPr>
                <w:szCs w:val="22"/>
                <w:lang w:val="es-ES_tradnl"/>
              </w:rPr>
              <w:t xml:space="preserve">Diagrama de máscara de ganancia instantánea de acimut de antena </w:t>
            </w:r>
          </w:p>
        </w:tc>
        <w:tc>
          <w:tcPr>
            <w:tcW w:w="1276" w:type="dxa"/>
            <w:tcBorders>
              <w:top w:val="single" w:sz="6" w:space="0" w:color="auto"/>
              <w:left w:val="single" w:sz="6" w:space="0" w:color="auto"/>
              <w:bottom w:val="single" w:sz="6" w:space="0" w:color="auto"/>
              <w:right w:val="single" w:sz="6" w:space="0" w:color="auto"/>
            </w:tcBorders>
          </w:tcPr>
          <w:p w:rsidR="009F72F8" w:rsidRPr="00F54BBF" w:rsidRDefault="009F72F8" w:rsidP="006A1F81">
            <w:pPr>
              <w:pStyle w:val="Tabletext"/>
              <w:keepNext/>
              <w:spacing w:before="20" w:after="20"/>
              <w:jc w:val="center"/>
              <w:rPr>
                <w:szCs w:val="22"/>
                <w:lang w:val="es-ES_tradnl"/>
              </w:rPr>
            </w:pPr>
          </w:p>
        </w:tc>
        <w:tc>
          <w:tcPr>
            <w:tcW w:w="4961" w:type="dxa"/>
            <w:tcBorders>
              <w:top w:val="single" w:sz="6" w:space="0" w:color="auto"/>
              <w:left w:val="single" w:sz="6" w:space="0" w:color="auto"/>
              <w:bottom w:val="single" w:sz="6" w:space="0" w:color="auto"/>
              <w:right w:val="single" w:sz="6" w:space="0" w:color="auto"/>
            </w:tcBorders>
            <w:hideMark/>
          </w:tcPr>
          <w:p w:rsidR="009F72F8" w:rsidRPr="00F54BBF" w:rsidRDefault="009F72F8" w:rsidP="006A1F81">
            <w:pPr>
              <w:pStyle w:val="Tabletext"/>
              <w:keepNext/>
              <w:spacing w:before="20" w:after="20"/>
              <w:jc w:val="center"/>
              <w:rPr>
                <w:szCs w:val="22"/>
                <w:lang w:val="es-ES_tradnl"/>
              </w:rPr>
            </w:pPr>
            <w:r w:rsidRPr="00F54BBF">
              <w:rPr>
                <w:szCs w:val="22"/>
                <w:lang w:val="es-ES_tradnl"/>
              </w:rPr>
              <w:object w:dxaOrig="3962" w:dyaOrig="3054">
                <v:shape id="_x0000_i1026" type="#_x0000_t75" style="width:198.45pt;height:152.75pt" o:ole="">
                  <v:imagedata r:id="rId17" o:title=""/>
                </v:shape>
                <o:OLEObject Type="Embed" ProgID="CorelDraw.Graphic.16" ShapeID="_x0000_i1026" DrawAspect="Content" ObjectID="_1569132897" r:id="rId18"/>
              </w:object>
            </w:r>
          </w:p>
          <w:p w:rsidR="009F72F8" w:rsidRPr="00F54BBF" w:rsidRDefault="009F72F8" w:rsidP="006A1F81">
            <w:pPr>
              <w:pStyle w:val="Tabletext"/>
              <w:keepNext/>
              <w:spacing w:before="20" w:after="20"/>
              <w:jc w:val="center"/>
              <w:rPr>
                <w:szCs w:val="22"/>
                <w:lang w:val="es-ES_tradnl"/>
              </w:rPr>
            </w:pPr>
            <w:r w:rsidRPr="00F54BBF">
              <w:rPr>
                <w:szCs w:val="22"/>
                <w:lang w:val="es-ES_tradnl"/>
              </w:rPr>
              <w:t xml:space="preserve">Y con una ampliación para ángulos acimutales </w:t>
            </w:r>
            <w:r w:rsidRPr="00F54BBF">
              <w:rPr>
                <w:szCs w:val="22"/>
                <w:lang w:val="es-ES_tradnl"/>
              </w:rPr>
              <w:br/>
              <w:t>de −10 a 10°</w:t>
            </w:r>
          </w:p>
          <w:p w:rsidR="009F72F8" w:rsidRPr="00F54BBF" w:rsidRDefault="009F72F8" w:rsidP="006A1F81">
            <w:pPr>
              <w:pStyle w:val="Tabletext"/>
              <w:keepNext/>
              <w:spacing w:before="20" w:after="20"/>
              <w:jc w:val="center"/>
              <w:rPr>
                <w:szCs w:val="22"/>
                <w:lang w:val="es-ES_tradnl"/>
              </w:rPr>
            </w:pPr>
            <w:r w:rsidRPr="00F54BBF">
              <w:rPr>
                <w:szCs w:val="22"/>
                <w:lang w:val="es-ES_tradnl"/>
              </w:rPr>
              <w:object w:dxaOrig="3962" w:dyaOrig="2993">
                <v:shape id="_x0000_i1027" type="#_x0000_t75" style="width:198.45pt;height:150.25pt" o:ole="">
                  <v:imagedata r:id="rId19" o:title=""/>
                </v:shape>
                <o:OLEObject Type="Embed" ProgID="CorelDraw.Graphic.16" ShapeID="_x0000_i1027" DrawAspect="Content" ObjectID="_1569132898" r:id="rId20"/>
              </w:object>
            </w:r>
          </w:p>
        </w:tc>
      </w:tr>
      <w:tr w:rsidR="009F72F8" w:rsidRPr="00F54BBF" w:rsidTr="006A1F81">
        <w:trPr>
          <w:gridAfter w:val="1"/>
          <w:wAfter w:w="8" w:type="dxa"/>
          <w:jc w:val="center"/>
        </w:trPr>
        <w:tc>
          <w:tcPr>
            <w:tcW w:w="3394" w:type="dxa"/>
            <w:tcBorders>
              <w:top w:val="single" w:sz="6" w:space="0" w:color="auto"/>
              <w:left w:val="single" w:sz="6" w:space="0" w:color="auto"/>
              <w:bottom w:val="single" w:sz="6" w:space="0" w:color="auto"/>
              <w:right w:val="single" w:sz="6" w:space="0" w:color="auto"/>
            </w:tcBorders>
          </w:tcPr>
          <w:p w:rsidR="009F72F8" w:rsidRPr="00F54BBF" w:rsidRDefault="009F72F8" w:rsidP="006A1F81">
            <w:pPr>
              <w:pStyle w:val="Tabletext"/>
              <w:spacing w:before="20" w:after="20"/>
              <w:rPr>
                <w:szCs w:val="22"/>
                <w:highlight w:val="yellow"/>
                <w:lang w:val="es-ES_tradnl"/>
              </w:rPr>
            </w:pPr>
            <w:r w:rsidRPr="00F54BBF">
              <w:rPr>
                <w:szCs w:val="22"/>
                <w:lang w:val="es-ES_tradnl"/>
              </w:rPr>
              <w:t xml:space="preserve">Diagrama de máscara de ganancia instantánea de elevación de antena </w:t>
            </w:r>
          </w:p>
        </w:tc>
        <w:tc>
          <w:tcPr>
            <w:tcW w:w="1276" w:type="dxa"/>
            <w:tcBorders>
              <w:top w:val="single" w:sz="6" w:space="0" w:color="auto"/>
              <w:left w:val="single" w:sz="6" w:space="0" w:color="auto"/>
              <w:bottom w:val="single" w:sz="6" w:space="0" w:color="auto"/>
              <w:right w:val="single" w:sz="6" w:space="0" w:color="auto"/>
            </w:tcBorders>
          </w:tcPr>
          <w:p w:rsidR="009F72F8" w:rsidRPr="00F54BBF" w:rsidRDefault="009F72F8" w:rsidP="006A1F81">
            <w:pPr>
              <w:pStyle w:val="Tabletext"/>
              <w:spacing w:before="20" w:after="20"/>
              <w:jc w:val="center"/>
              <w:rPr>
                <w:szCs w:val="22"/>
                <w:highlight w:val="yellow"/>
                <w:lang w:val="es-ES_tradnl"/>
              </w:rPr>
            </w:pPr>
          </w:p>
        </w:tc>
        <w:tc>
          <w:tcPr>
            <w:tcW w:w="4961" w:type="dxa"/>
            <w:tcBorders>
              <w:top w:val="single" w:sz="6" w:space="0" w:color="auto"/>
              <w:left w:val="single" w:sz="6" w:space="0" w:color="auto"/>
              <w:bottom w:val="single" w:sz="6" w:space="0" w:color="auto"/>
              <w:right w:val="single" w:sz="6" w:space="0" w:color="auto"/>
            </w:tcBorders>
          </w:tcPr>
          <w:p w:rsidR="009F72F8" w:rsidRPr="00F54BBF" w:rsidRDefault="009F72F8" w:rsidP="006A1F81">
            <w:pPr>
              <w:pStyle w:val="Tabletext"/>
              <w:spacing w:before="20" w:after="20"/>
              <w:jc w:val="center"/>
              <w:rPr>
                <w:szCs w:val="22"/>
                <w:lang w:val="es-ES_tradnl"/>
              </w:rPr>
            </w:pPr>
            <w:r w:rsidRPr="00F54BBF">
              <w:rPr>
                <w:szCs w:val="22"/>
                <w:lang w:val="es-ES_tradnl"/>
              </w:rPr>
              <w:object w:dxaOrig="3764" w:dyaOrig="2979">
                <v:shape id="_x0000_i1028" type="#_x0000_t75" style="width:187.85pt;height:149pt" o:ole="">
                  <v:imagedata r:id="rId21" o:title=""/>
                </v:shape>
                <o:OLEObject Type="Embed" ProgID="CorelDraw.Graphic.16" ShapeID="_x0000_i1028" DrawAspect="Content" ObjectID="_1569132899" r:id="rId22"/>
              </w:object>
            </w:r>
          </w:p>
        </w:tc>
      </w:tr>
    </w:tbl>
    <w:p w:rsidR="009F72F8" w:rsidRPr="00F54BBF" w:rsidRDefault="009F72F8" w:rsidP="009F72F8">
      <w:pPr>
        <w:pStyle w:val="Heading1"/>
        <w:spacing w:before="240"/>
        <w:rPr>
          <w:lang w:val="es-ES_tradnl"/>
        </w:rPr>
      </w:pPr>
      <w:r w:rsidRPr="00F54BBF">
        <w:rPr>
          <w:lang w:val="es-ES_tradnl"/>
        </w:rPr>
        <w:t>3</w:t>
      </w:r>
      <w:r w:rsidRPr="00F54BBF">
        <w:rPr>
          <w:lang w:val="es-ES_tradnl"/>
        </w:rPr>
        <w:tab/>
        <w:t>Características de funcionamiento de los sistemas de radionavegación en la banda de frecuencias 31,8-33,4 GHz</w:t>
      </w:r>
    </w:p>
    <w:p w:rsidR="009F72F8" w:rsidRPr="00F54BBF" w:rsidRDefault="009F72F8" w:rsidP="009F72F8">
      <w:pPr>
        <w:rPr>
          <w:lang w:val="es-ES_tradnl"/>
        </w:rPr>
      </w:pPr>
      <w:r w:rsidRPr="00F54BBF">
        <w:rPr>
          <w:lang w:val="es-ES_tradnl"/>
        </w:rPr>
        <w:t>Los radares de radionavegación de aeronaves que funcionan en la</w:t>
      </w:r>
      <w:r w:rsidR="0071261B">
        <w:rPr>
          <w:lang w:val="es-ES_tradnl"/>
        </w:rPr>
        <w:t xml:space="preserve"> banda de frecuencias 31,8</w:t>
      </w:r>
      <w:r w:rsidR="0071261B">
        <w:rPr>
          <w:lang w:val="es-ES_tradnl"/>
        </w:rPr>
        <w:noBreakHyphen/>
      </w:r>
      <w:r w:rsidR="00985E82">
        <w:rPr>
          <w:lang w:val="es-ES_tradnl"/>
        </w:rPr>
        <w:t>33,4 </w:t>
      </w:r>
      <w:r w:rsidRPr="00F54BBF">
        <w:rPr>
          <w:lang w:val="es-ES_tradnl"/>
        </w:rPr>
        <w:t>GHz tienen dos modos de operación. El primero funciona de forma continua durante el vuelo y el segundo funciona únicamente cuando la aeronave se está acercando a un aeropuerto.</w:t>
      </w:r>
    </w:p>
    <w:p w:rsidR="009F72F8" w:rsidRPr="00F54BBF" w:rsidRDefault="009F72F8" w:rsidP="009F72F8">
      <w:pPr>
        <w:rPr>
          <w:lang w:val="es-ES_tradnl"/>
        </w:rPr>
      </w:pPr>
      <w:r w:rsidRPr="00F54BBF">
        <w:rPr>
          <w:lang w:val="es-ES_tradnl"/>
        </w:rPr>
        <w:t>Modo 1:</w:t>
      </w:r>
      <w:r w:rsidRPr="00F54BBF">
        <w:rPr>
          <w:lang w:val="es-ES_tradnl"/>
        </w:rPr>
        <w:tab/>
        <w:t>Este modo abarca una gama de altitudes que van desde el propio terreno hasta aproximadamente 30 000 pies (9 000 m). Los tiempos de vuelo pueden llegar hasta las seis horas y normalmente la mayoría del tiempo se está en ruta pero cabe esperar algunos tiempos muertos en los puntos de salida o destino. En zonas geográficas pequeñas (es decir, separadas menos de 1 km unas de las otras) pueden encontrarse volando hasta 18 aeronaves con estos radares de radionavegación a bordo, aunque generalmente sólo estarán funcionando simultáneamente en 1-3 aeronaves.</w:t>
      </w:r>
    </w:p>
    <w:p w:rsidR="009F72F8" w:rsidRPr="00F54BBF" w:rsidRDefault="009F72F8" w:rsidP="009F72F8">
      <w:pPr>
        <w:rPr>
          <w:lang w:val="es-ES_tradnl"/>
        </w:rPr>
      </w:pPr>
      <w:r w:rsidRPr="00F54BBF">
        <w:rPr>
          <w:lang w:val="es-ES_tradnl"/>
        </w:rPr>
        <w:lastRenderedPageBreak/>
        <w:t>Modo 2:</w:t>
      </w:r>
      <w:r w:rsidRPr="00F54BBF">
        <w:rPr>
          <w:lang w:val="es-ES_tradnl"/>
        </w:rPr>
        <w:tab/>
        <w:t>El segundo modo abarca una gama de altitudes que van desde el propio terreno hasta menos de 500 pies (150 m) nominalmente y hasta 1 000 pies (300 m) como máximo. Los tiempos de vuelo dependen del tiempo empleado en la aproximación. A efectos nominales, el radar es utilizado por una única aeronave en un aeropuerto determinado, no obstante, en algunos casos, podría considerarse su utilización por dos aeronaves en fase de aproximación.</w:t>
      </w:r>
    </w:p>
    <w:p w:rsidR="009F72F8" w:rsidRPr="00F54BBF" w:rsidRDefault="009F72F8" w:rsidP="009F72F8">
      <w:pPr>
        <w:pStyle w:val="Heading1"/>
        <w:rPr>
          <w:lang w:val="es-ES_tradnl"/>
        </w:rPr>
      </w:pPr>
      <w:r w:rsidRPr="00F54BBF">
        <w:rPr>
          <w:lang w:val="es-ES_tradnl"/>
        </w:rPr>
        <w:t>4</w:t>
      </w:r>
      <w:r w:rsidRPr="00F54BBF">
        <w:rPr>
          <w:lang w:val="es-ES_tradnl"/>
        </w:rPr>
        <w:tab/>
        <w:t>Criterios de protección</w:t>
      </w:r>
    </w:p>
    <w:p w:rsidR="009F72F8" w:rsidRPr="00F54BBF" w:rsidRDefault="009F72F8" w:rsidP="009F72F8">
      <w:pPr>
        <w:rPr>
          <w:lang w:val="es-ES_tradnl"/>
        </w:rPr>
      </w:pPr>
      <w:r w:rsidRPr="00F54BBF">
        <w:rPr>
          <w:lang w:val="es-ES_tradnl"/>
        </w:rPr>
        <w:t xml:space="preserve">El efecto de desensibilización causado por una modulación de onda continua o similar al ruido a radares de otros servicios está relacionado de forma predecible con su intensidad. En cualquier sector acimutal al que llegue esta interferencia, su densidad espectral de potencia puede añadirse simplemente a la densidad espectral de potencia del ruido térmico del receptor del radar, con una aproximación razonable. Llamando </w:t>
      </w:r>
      <w:r w:rsidRPr="00F54BBF">
        <w:rPr>
          <w:i/>
          <w:iCs/>
          <w:lang w:val="es-ES_tradnl"/>
        </w:rPr>
        <w:t>N</w:t>
      </w:r>
      <w:r w:rsidRPr="00F54BBF">
        <w:rPr>
          <w:position w:val="-4"/>
          <w:sz w:val="18"/>
          <w:lang w:val="es-ES_tradnl"/>
        </w:rPr>
        <w:t>0</w:t>
      </w:r>
      <w:r w:rsidRPr="00F54BBF">
        <w:rPr>
          <w:vertAlign w:val="subscript"/>
          <w:lang w:val="es-ES_tradnl"/>
        </w:rPr>
        <w:t xml:space="preserve"> </w:t>
      </w:r>
      <w:r w:rsidRPr="00F54BBF">
        <w:rPr>
          <w:lang w:val="es-ES_tradnl"/>
        </w:rPr>
        <w:t xml:space="preserve">a la densidad espectral de potencia del ruido del receptor del radar en ausencia de interferencia e </w:t>
      </w:r>
      <w:r w:rsidRPr="00F54BBF">
        <w:rPr>
          <w:i/>
          <w:iCs/>
          <w:lang w:val="es-ES_tradnl"/>
        </w:rPr>
        <w:t>I</w:t>
      </w:r>
      <w:r w:rsidRPr="00F54BBF">
        <w:rPr>
          <w:position w:val="-4"/>
          <w:sz w:val="18"/>
          <w:lang w:val="es-ES_tradnl"/>
        </w:rPr>
        <w:t>0</w:t>
      </w:r>
      <w:r w:rsidRPr="00F54BBF">
        <w:rPr>
          <w:vertAlign w:val="subscript"/>
          <w:lang w:val="es-ES_tradnl"/>
        </w:rPr>
        <w:t xml:space="preserve"> </w:t>
      </w:r>
      <w:r w:rsidRPr="00F54BBF">
        <w:rPr>
          <w:lang w:val="es-ES_tradnl"/>
        </w:rPr>
        <w:t xml:space="preserve">a la interferencia similar al ruido, la densidad espectral de potencia de ruido efectivo resultante es, simplemente, </w:t>
      </w:r>
      <w:r w:rsidRPr="00F54BBF">
        <w:rPr>
          <w:i/>
          <w:iCs/>
          <w:lang w:val="es-ES_tradnl"/>
        </w:rPr>
        <w:t>I</w:t>
      </w:r>
      <w:r w:rsidRPr="00F54BBF">
        <w:rPr>
          <w:position w:val="-4"/>
          <w:sz w:val="18"/>
          <w:lang w:val="es-ES_tradnl"/>
        </w:rPr>
        <w:t>0</w:t>
      </w:r>
      <w:r w:rsidRPr="00F54BBF">
        <w:rPr>
          <w:lang w:val="es-ES_tradnl"/>
        </w:rPr>
        <w:t> </w:t>
      </w:r>
      <w:r w:rsidRPr="00F54BBF">
        <w:rPr>
          <w:rFonts w:ascii="Symbol" w:hAnsi="Symbol"/>
          <w:lang w:val="es-ES_tradnl"/>
        </w:rPr>
        <w:t></w:t>
      </w:r>
      <w:r w:rsidRPr="00F54BBF">
        <w:rPr>
          <w:lang w:val="es-ES_tradnl"/>
        </w:rPr>
        <w:t> </w:t>
      </w:r>
      <w:r w:rsidRPr="00F54BBF">
        <w:rPr>
          <w:i/>
          <w:iCs/>
          <w:lang w:val="es-ES_tradnl"/>
        </w:rPr>
        <w:t>N</w:t>
      </w:r>
      <w:r w:rsidRPr="00F54BBF">
        <w:rPr>
          <w:position w:val="-4"/>
          <w:sz w:val="18"/>
          <w:lang w:val="es-ES_tradnl"/>
        </w:rPr>
        <w:t>0</w:t>
      </w:r>
      <w:r w:rsidRPr="00F54BBF">
        <w:rPr>
          <w:lang w:val="es-ES_tradnl"/>
        </w:rPr>
        <w:t>. Un aumento de aproximadamente 1 dB constituiría una degradación significativa, equivalente a una reducción en la distancia de detección de aproximadamente el 6%. Tal incremento corresponde a una relación (</w:t>
      </w:r>
      <w:r w:rsidRPr="00F54BBF">
        <w:rPr>
          <w:i/>
          <w:iCs/>
          <w:lang w:val="es-ES_tradnl"/>
        </w:rPr>
        <w:t>I</w:t>
      </w:r>
      <w:r w:rsidRPr="00F54BBF">
        <w:rPr>
          <w:lang w:val="es-ES_tradnl"/>
        </w:rPr>
        <w:t> </w:t>
      </w:r>
      <w:r w:rsidRPr="00F54BBF">
        <w:rPr>
          <w:rFonts w:ascii="Symbol" w:hAnsi="Symbol"/>
          <w:lang w:val="es-ES_tradnl"/>
        </w:rPr>
        <w:t></w:t>
      </w:r>
      <w:r w:rsidRPr="00F54BBF">
        <w:rPr>
          <w:lang w:val="es-ES_tradnl"/>
        </w:rPr>
        <w:t> </w:t>
      </w:r>
      <w:r w:rsidRPr="00F54BBF">
        <w:rPr>
          <w:i/>
          <w:iCs/>
          <w:lang w:val="es-ES_tradnl"/>
        </w:rPr>
        <w:t>N</w:t>
      </w:r>
      <w:r w:rsidRPr="00F54BBF">
        <w:rPr>
          <w:lang w:val="es-ES_tradnl"/>
        </w:rPr>
        <w:t>)/</w:t>
      </w:r>
      <w:r w:rsidRPr="00F54BBF">
        <w:rPr>
          <w:i/>
          <w:iCs/>
          <w:lang w:val="es-ES_tradnl"/>
        </w:rPr>
        <w:t>N</w:t>
      </w:r>
      <w:r w:rsidRPr="00F54BBF">
        <w:rPr>
          <w:lang w:val="es-ES_tradnl"/>
        </w:rPr>
        <w:t xml:space="preserve"> de 1,26 o una relación </w:t>
      </w:r>
      <w:r w:rsidRPr="00F54BBF">
        <w:rPr>
          <w:i/>
          <w:iCs/>
          <w:lang w:val="es-ES_tradnl"/>
        </w:rPr>
        <w:t>I</w:t>
      </w:r>
      <w:r w:rsidRPr="00F54BBF">
        <w:rPr>
          <w:lang w:val="es-ES_tradnl"/>
        </w:rPr>
        <w:t>/</w:t>
      </w:r>
      <w:r w:rsidRPr="00F54BBF">
        <w:rPr>
          <w:i/>
          <w:iCs/>
          <w:lang w:val="es-ES_tradnl"/>
        </w:rPr>
        <w:t>N</w:t>
      </w:r>
      <w:r w:rsidRPr="00F54BBF">
        <w:rPr>
          <w:lang w:val="es-ES_tradnl"/>
        </w:rPr>
        <w:t xml:space="preserve"> de unos –</w:t>
      </w:r>
      <w:r w:rsidRPr="00F54BBF">
        <w:rPr>
          <w:rFonts w:ascii="Tms Rmn" w:hAnsi="Tms Rmn"/>
          <w:sz w:val="6"/>
          <w:lang w:val="es-ES_tradnl"/>
        </w:rPr>
        <w:t> </w:t>
      </w:r>
      <w:r w:rsidRPr="00F54BBF">
        <w:rPr>
          <w:lang w:val="es-ES_tradnl"/>
        </w:rPr>
        <w:t xml:space="preserve">6 dB. Ello representa el efecto combinado de múltiples fuentes de interferencia, cuando están presentes. La relación </w:t>
      </w:r>
      <w:r w:rsidRPr="00F54BBF">
        <w:rPr>
          <w:i/>
          <w:iCs/>
          <w:lang w:val="es-ES_tradnl"/>
        </w:rPr>
        <w:t>I</w:t>
      </w:r>
      <w:r w:rsidRPr="00F54BBF">
        <w:rPr>
          <w:lang w:val="es-ES_tradnl"/>
        </w:rPr>
        <w:t>/</w:t>
      </w:r>
      <w:r w:rsidRPr="00F54BBF">
        <w:rPr>
          <w:i/>
          <w:iCs/>
          <w:lang w:val="es-ES_tradnl"/>
        </w:rPr>
        <w:t>N</w:t>
      </w:r>
      <w:r w:rsidRPr="00F54BBF">
        <w:rPr>
          <w:lang w:val="es-ES_tradnl"/>
        </w:rPr>
        <w:t xml:space="preserve"> tolerable para una fuente de interferencia concreta depende del número de fuentes de interferencia y de su geometría y debe evaluarse realizando el análisis de una situación determinada. Si se recibe una interferencia de onda continua procedente de la mayoría de las direcciones acimutales, debe mantenerse una relación </w:t>
      </w:r>
      <w:r w:rsidRPr="00F54BBF">
        <w:rPr>
          <w:i/>
          <w:iCs/>
          <w:lang w:val="es-ES_tradnl"/>
        </w:rPr>
        <w:t>I</w:t>
      </w:r>
      <w:r w:rsidRPr="00F54BBF">
        <w:rPr>
          <w:lang w:val="es-ES_tradnl"/>
        </w:rPr>
        <w:t>/</w:t>
      </w:r>
      <w:r w:rsidRPr="00F54BBF">
        <w:rPr>
          <w:i/>
          <w:iCs/>
          <w:lang w:val="es-ES_tradnl"/>
        </w:rPr>
        <w:t>N</w:t>
      </w:r>
      <w:r w:rsidRPr="00F54BBF">
        <w:rPr>
          <w:lang w:val="es-ES_tradnl"/>
        </w:rPr>
        <w:t xml:space="preserve"> inferior.</w:t>
      </w:r>
    </w:p>
    <w:p w:rsidR="009F72F8" w:rsidRPr="00F54BBF" w:rsidRDefault="009F72F8" w:rsidP="009F72F8">
      <w:pPr>
        <w:rPr>
          <w:lang w:val="es-ES_tradnl"/>
        </w:rPr>
      </w:pPr>
      <w:r w:rsidRPr="00F54BBF">
        <w:rPr>
          <w:lang w:val="es-ES_tradnl"/>
        </w:rPr>
        <w:t>El factor de combinación puede ser muy importante en el caso de algunos sistemas de comunicaciones con un gran número de estaciones.</w:t>
      </w:r>
    </w:p>
    <w:p w:rsidR="009F72F8" w:rsidRPr="00F54BBF" w:rsidRDefault="009F72F8" w:rsidP="009F72F8">
      <w:pPr>
        <w:rPr>
          <w:lang w:val="es-ES_tradnl"/>
        </w:rPr>
      </w:pPr>
      <w:r w:rsidRPr="00F54BBF">
        <w:rPr>
          <w:lang w:val="es-ES_tradnl"/>
        </w:rPr>
        <w:t>El efecto de la interferencia impulsiva es más difícil de cuantificar y depende en gran medida del diseño de los receptores/procesadores y del modo de funcionamiento. En particular, las ganancias de procesamiento diferenciales para un eco de blanco válido, con impulsos síncronos e impulsos de interferencia, que normalmente son asíncronos, a menudo tienen efectos importantes sobre los niveles de la interferencia impulsiva. Pueden aparecer diversas formas de degradación de la calidad de funcionamiento a causa de dicha desensibilización. Evaluar esta degradación será un objetivo de los análisis de interacciones entre los tipos de radar específicos. Por regla general, cabe esperar que las numerosas características de los radares de radiodeterminación ayuden a suprimir la interferencia impulsiva de ciclo activo bajo, especialmente la interferencia procedente de unas pocas fuentes aisladas. En la Recomendación UIT</w:t>
      </w:r>
      <w:r w:rsidRPr="00F54BBF">
        <w:rPr>
          <w:lang w:val="es-ES_tradnl"/>
        </w:rPr>
        <w:noBreakHyphen/>
        <w:t>R M.1372 figuran técnicas para suprimir la interferencia impulsiva con c</w:t>
      </w:r>
      <w:bookmarkStart w:id="3" w:name="_GoBack"/>
      <w:bookmarkEnd w:id="3"/>
      <w:r w:rsidRPr="00F54BBF">
        <w:rPr>
          <w:lang w:val="es-ES_tradnl"/>
        </w:rPr>
        <w:t>iclo activo bajo.</w:t>
      </w:r>
    </w:p>
    <w:p w:rsidR="009F72F8" w:rsidRPr="00F54BBF" w:rsidRDefault="009F72F8" w:rsidP="009F72F8">
      <w:pPr>
        <w:pStyle w:val="Reasons"/>
        <w:rPr>
          <w:lang w:val="es-ES_tradnl"/>
        </w:rPr>
      </w:pPr>
    </w:p>
    <w:p w:rsidR="009F72F8" w:rsidRPr="00F54BBF" w:rsidRDefault="009F72F8" w:rsidP="009F72F8">
      <w:pPr>
        <w:jc w:val="center"/>
        <w:rPr>
          <w:lang w:val="es-ES_tradnl"/>
        </w:rPr>
      </w:pPr>
      <w:r w:rsidRPr="00F54BBF">
        <w:rPr>
          <w:lang w:val="es-ES_tradnl"/>
        </w:rPr>
        <w:t>______________</w:t>
      </w:r>
    </w:p>
    <w:p w:rsidR="00574749" w:rsidRDefault="00574749" w:rsidP="0021735B">
      <w:pPr>
        <w:rPr>
          <w:lang w:val="es-ES_tradnl"/>
        </w:rPr>
      </w:pPr>
    </w:p>
    <w:sectPr w:rsidR="00574749" w:rsidSect="00042292">
      <w:headerReference w:type="even" r:id="rId23"/>
      <w:headerReference w:type="default" r:id="rId2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7AEB" w:rsidRDefault="00A07AEB">
      <w:r>
        <w:separator/>
      </w:r>
    </w:p>
  </w:endnote>
  <w:endnote w:type="continuationSeparator" w:id="0">
    <w:p w:rsidR="00A07AEB" w:rsidRDefault="00A07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EC0" w:rsidRPr="00C22EC0" w:rsidRDefault="00C22EC0" w:rsidP="00C22EC0">
    <w:pPr>
      <w:pStyle w:val="Header"/>
      <w:jc w:val="left"/>
      <w:rPr>
        <w:rStyle w:val="PageNumber"/>
        <w:b/>
        <w:bCs/>
        <w:noProo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7AEB" w:rsidRDefault="00A07AEB">
      <w:r>
        <w:separator/>
      </w:r>
    </w:p>
  </w:footnote>
  <w:footnote w:type="continuationSeparator" w:id="0">
    <w:p w:rsidR="00A07AEB" w:rsidRDefault="00A07AEB">
      <w:r>
        <w:continuationSeparator/>
      </w:r>
    </w:p>
  </w:footnote>
  <w:footnote w:id="1">
    <w:p w:rsidR="00FA6080" w:rsidRPr="00A56590" w:rsidRDefault="00FA6080" w:rsidP="00FA6080">
      <w:pPr>
        <w:pStyle w:val="FootnoteText"/>
        <w:ind w:left="284" w:hanging="284"/>
        <w:rPr>
          <w:lang w:val="es-ES_tradnl"/>
        </w:rPr>
      </w:pPr>
      <w:r w:rsidRPr="00A56590">
        <w:rPr>
          <w:rStyle w:val="FootnoteReference"/>
          <w:lang w:val="es-ES_tradnl"/>
        </w:rPr>
        <w:t>*</w:t>
      </w:r>
      <w:r w:rsidRPr="00A56590">
        <w:rPr>
          <w:lang w:val="es-ES_tradnl"/>
        </w:rPr>
        <w:tab/>
      </w:r>
      <w:r w:rsidRPr="00631A61">
        <w:rPr>
          <w:lang w:val="es-ES_tradnl"/>
        </w:rPr>
        <w:t>La Comisión de Estudio 5 de Radiocomunicaciones efectuó modificaciones en esta Recomendación en 2008 de conformidad con la Resolución UIT</w:t>
      </w:r>
      <w:r w:rsidRPr="00631A61">
        <w:rPr>
          <w:lang w:val="es-ES_tradnl"/>
        </w:rPr>
        <w:noBreakHyphen/>
        <w:t>R 44.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292" w:rsidRDefault="00042292">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292" w:rsidRDefault="00044D65" w:rsidP="00CB1354">
    <w:pPr>
      <w:ind w:right="360" w:firstLine="360"/>
    </w:pPr>
    <w:r>
      <w:rPr>
        <w:noProof/>
        <w:lang w:val="en-GB" w:eastAsia="zh-CN"/>
      </w:rPr>
      <w:drawing>
        <wp:anchor distT="0" distB="0" distL="114300" distR="114300" simplePos="0" relativeHeight="251656704" behindDoc="1" locked="0" layoutInCell="1" allowOverlap="1" wp14:anchorId="58DDEA23" wp14:editId="546C2F88">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292" w:rsidRDefault="006870AA" w:rsidP="001B395D">
    <w:pPr>
      <w:pStyle w:val="Header"/>
      <w:jc w:val="left"/>
    </w:pPr>
    <w:r>
      <w:rPr>
        <w:rStyle w:val="PageNumber"/>
        <w:b/>
        <w:bCs/>
      </w:rPr>
      <w:fldChar w:fldCharType="begin"/>
    </w:r>
    <w:r w:rsidR="00042292">
      <w:rPr>
        <w:rStyle w:val="PageNumber"/>
        <w:b/>
        <w:bCs/>
      </w:rPr>
      <w:instrText xml:space="preserve"> PAGE </w:instrText>
    </w:r>
    <w:r>
      <w:rPr>
        <w:rStyle w:val="PageNumber"/>
        <w:b/>
        <w:bCs/>
      </w:rPr>
      <w:fldChar w:fldCharType="separate"/>
    </w:r>
    <w:r w:rsidR="007A6DA8">
      <w:rPr>
        <w:rStyle w:val="PageNumber"/>
        <w:b/>
        <w:bCs/>
        <w:noProof/>
      </w:rPr>
      <w:t>ii</w:t>
    </w:r>
    <w:r>
      <w:rPr>
        <w:rStyle w:val="PageNumber"/>
        <w:b/>
        <w:bCs/>
      </w:rPr>
      <w:fldChar w:fldCharType="end"/>
    </w:r>
    <w:r w:rsidR="00042292">
      <w:tab/>
    </w:r>
    <w:r w:rsidR="007A6DA8">
      <w:fldChar w:fldCharType="begin"/>
    </w:r>
    <w:r w:rsidR="007A6DA8">
      <w:instrText xml:space="preserve"> DOCPROPERTY "Header" \* MERGEFORMAT </w:instrText>
    </w:r>
    <w:r w:rsidR="007A6DA8">
      <w:fldChar w:fldCharType="separate"/>
    </w:r>
    <w:r w:rsidR="007A6DA8" w:rsidRPr="007A6DA8">
      <w:rPr>
        <w:b/>
        <w:bCs/>
      </w:rPr>
      <w:t xml:space="preserve">Rec. </w:t>
    </w:r>
    <w:r w:rsidR="007A6DA8">
      <w:rPr>
        <w:b/>
        <w:bCs/>
      </w:rPr>
      <w:fldChar w:fldCharType="end"/>
    </w:r>
    <w:r w:rsidR="00042292" w:rsidRPr="001B395D">
      <w:rPr>
        <w:b/>
        <w:bCs/>
      </w:rPr>
      <w:t xml:space="preserve"> </w:t>
    </w:r>
    <w:r w:rsidRPr="001B395D">
      <w:rPr>
        <w:b/>
        <w:bCs/>
      </w:rPr>
      <w:fldChar w:fldCharType="begin"/>
    </w:r>
    <w:r w:rsidR="00042292" w:rsidRPr="001B395D">
      <w:rPr>
        <w:b/>
        <w:bCs/>
      </w:rPr>
      <w:instrText>styleref href</w:instrText>
    </w:r>
    <w:r w:rsidRPr="001B395D">
      <w:rPr>
        <w:b/>
        <w:bCs/>
      </w:rPr>
      <w:fldChar w:fldCharType="separate"/>
    </w:r>
    <w:r w:rsidR="007A6DA8">
      <w:rPr>
        <w:b/>
        <w:bCs/>
        <w:noProof/>
      </w:rPr>
      <w:t>UIT-R  M.1466-1</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292" w:rsidRDefault="00042292">
    <w:r>
      <w:tab/>
    </w:r>
    <w:r w:rsidR="007A6DA8">
      <w:fldChar w:fldCharType="begin"/>
    </w:r>
    <w:r w:rsidR="007A6DA8">
      <w:instrText xml:space="preserve"> DOCPROPERTY "Header" \* MERGEFORMAT </w:instrText>
    </w:r>
    <w:r w:rsidR="007A6DA8">
      <w:fldChar w:fldCharType="separate"/>
    </w:r>
    <w:r w:rsidR="007A6DA8" w:rsidRPr="007A6DA8">
      <w:rPr>
        <w:b/>
        <w:bCs/>
      </w:rPr>
      <w:t xml:space="preserve">Rec. </w:t>
    </w:r>
    <w:r w:rsidR="007A6DA8">
      <w:rPr>
        <w:b/>
        <w:bCs/>
      </w:rPr>
      <w:fldChar w:fldCharType="end"/>
    </w:r>
    <w:r>
      <w:rPr>
        <w:b/>
        <w:bCs/>
      </w:rPr>
      <w:t xml:space="preserve"> </w:t>
    </w:r>
    <w:r w:rsidR="006870AA">
      <w:rPr>
        <w:b/>
        <w:bCs/>
      </w:rPr>
      <w:fldChar w:fldCharType="begin"/>
    </w:r>
    <w:r>
      <w:rPr>
        <w:b/>
        <w:bCs/>
      </w:rPr>
      <w:instrText>styleref href</w:instrText>
    </w:r>
    <w:r w:rsidR="006870AA">
      <w:rPr>
        <w:b/>
        <w:bCs/>
      </w:rPr>
      <w:fldChar w:fldCharType="separate"/>
    </w:r>
    <w:r w:rsidR="007A6DA8">
      <w:rPr>
        <w:b/>
        <w:bCs/>
        <w:noProof/>
      </w:rPr>
      <w:t>UIT-R  M.1466-1</w:t>
    </w:r>
    <w:r w:rsidR="006870AA">
      <w:rPr>
        <w:b/>
        <w:bCs/>
      </w:rPr>
      <w:fldChar w:fldCharType="end"/>
    </w:r>
    <w:r>
      <w:tab/>
    </w:r>
    <w:r w:rsidR="006870AA">
      <w:rPr>
        <w:rStyle w:val="PageNumber"/>
        <w:b/>
        <w:bCs/>
      </w:rPr>
      <w:fldChar w:fldCharType="begin"/>
    </w:r>
    <w:r>
      <w:rPr>
        <w:rStyle w:val="PageNumber"/>
        <w:b/>
        <w:bCs/>
      </w:rPr>
      <w:instrText xml:space="preserve"> PAGE </w:instrText>
    </w:r>
    <w:r w:rsidR="006870AA">
      <w:rPr>
        <w:rStyle w:val="PageNumber"/>
        <w:b/>
        <w:bCs/>
      </w:rPr>
      <w:fldChar w:fldCharType="separate"/>
    </w:r>
    <w:r>
      <w:rPr>
        <w:rStyle w:val="PageNumber"/>
        <w:b/>
        <w:bCs/>
        <w:noProof/>
      </w:rPr>
      <w:t>3</w:t>
    </w:r>
    <w:r w:rsidR="006870AA">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Pr="00C22EC0" w:rsidRDefault="006870AA" w:rsidP="00C22EC0">
    <w:pPr>
      <w:pStyle w:val="Header"/>
      <w:jc w:val="left"/>
      <w:rPr>
        <w:rStyle w:val="PageNumber"/>
        <w:b/>
        <w:bCs/>
        <w:noProof/>
      </w:rPr>
    </w:pPr>
    <w:r w:rsidRPr="00C22EC0">
      <w:rPr>
        <w:rStyle w:val="PageNumber"/>
        <w:b/>
        <w:bCs/>
        <w:noProof/>
      </w:rPr>
      <w:fldChar w:fldCharType="begin"/>
    </w:r>
    <w:r w:rsidR="00607D68" w:rsidRPr="00C22EC0">
      <w:rPr>
        <w:rStyle w:val="PageNumber"/>
        <w:b/>
        <w:bCs/>
        <w:noProof/>
      </w:rPr>
      <w:instrText xml:space="preserve"> PAGE </w:instrText>
    </w:r>
    <w:r w:rsidRPr="00C22EC0">
      <w:rPr>
        <w:rStyle w:val="PageNumber"/>
        <w:b/>
        <w:bCs/>
        <w:noProof/>
      </w:rPr>
      <w:fldChar w:fldCharType="separate"/>
    </w:r>
    <w:r w:rsidR="007A6DA8">
      <w:rPr>
        <w:rStyle w:val="PageNumber"/>
        <w:b/>
        <w:bCs/>
        <w:noProof/>
      </w:rPr>
      <w:t>4</w:t>
    </w:r>
    <w:r w:rsidRPr="00C22EC0">
      <w:rPr>
        <w:rStyle w:val="PageNumber"/>
        <w:b/>
        <w:bCs/>
        <w:noProof/>
      </w:rPr>
      <w:fldChar w:fldCharType="end"/>
    </w:r>
    <w:r w:rsidR="00607D68" w:rsidRPr="00C22EC0">
      <w:rPr>
        <w:rStyle w:val="PageNumber"/>
        <w:b/>
        <w:bCs/>
        <w:noProof/>
      </w:rPr>
      <w:tab/>
    </w:r>
    <w:r w:rsidR="007A6DA8" w:rsidRPr="00C22EC0">
      <w:rPr>
        <w:rStyle w:val="PageNumber"/>
        <w:b/>
        <w:bCs/>
        <w:noProof/>
      </w:rPr>
      <w:fldChar w:fldCharType="begin"/>
    </w:r>
    <w:r w:rsidR="007A6DA8" w:rsidRPr="00C22EC0">
      <w:rPr>
        <w:rStyle w:val="PageNumber"/>
        <w:b/>
        <w:bCs/>
        <w:noProof/>
      </w:rPr>
      <w:instrText xml:space="preserve"> DOCPROPERTY "Header" \* MERGEFORMAT </w:instrText>
    </w:r>
    <w:r w:rsidR="007A6DA8" w:rsidRPr="00C22EC0">
      <w:rPr>
        <w:rStyle w:val="PageNumber"/>
        <w:b/>
        <w:bCs/>
        <w:noProof/>
      </w:rPr>
      <w:fldChar w:fldCharType="separate"/>
    </w:r>
    <w:r w:rsidR="007A6DA8">
      <w:rPr>
        <w:rStyle w:val="PageNumber"/>
        <w:b/>
        <w:bCs/>
        <w:noProof/>
      </w:rPr>
      <w:t xml:space="preserve">Rec. </w:t>
    </w:r>
    <w:r w:rsidR="007A6DA8" w:rsidRPr="00C22EC0">
      <w:rPr>
        <w:rStyle w:val="PageNumber"/>
        <w:b/>
        <w:bCs/>
        <w:noProof/>
      </w:rPr>
      <w:fldChar w:fldCharType="end"/>
    </w:r>
    <w:r w:rsidR="00607D68" w:rsidRPr="00C22EC0">
      <w:rPr>
        <w:rStyle w:val="PageNumber"/>
        <w:b/>
        <w:bCs/>
        <w:noProof/>
      </w:rPr>
      <w:t xml:space="preserve"> </w:t>
    </w:r>
    <w:r w:rsidRPr="00C22EC0">
      <w:rPr>
        <w:rStyle w:val="PageNumber"/>
        <w:b/>
        <w:bCs/>
        <w:noProof/>
      </w:rPr>
      <w:fldChar w:fldCharType="begin"/>
    </w:r>
    <w:r w:rsidR="00607D68" w:rsidRPr="00C22EC0">
      <w:rPr>
        <w:rStyle w:val="PageNumber"/>
        <w:b/>
        <w:bCs/>
        <w:noProof/>
      </w:rPr>
      <w:instrText>styleref href</w:instrText>
    </w:r>
    <w:r w:rsidRPr="00C22EC0">
      <w:rPr>
        <w:rStyle w:val="PageNumber"/>
        <w:b/>
        <w:bCs/>
        <w:noProof/>
      </w:rPr>
      <w:fldChar w:fldCharType="separate"/>
    </w:r>
    <w:r w:rsidR="007A6DA8">
      <w:rPr>
        <w:rStyle w:val="PageNumber"/>
        <w:b/>
        <w:bCs/>
        <w:noProof/>
      </w:rPr>
      <w:t>UIT-R  M.1466-1</w:t>
    </w:r>
    <w:r w:rsidRPr="00C22EC0">
      <w:rPr>
        <w:rStyle w:val="PageNumber"/>
        <w:b/>
        <w:bCs/>
        <w:noProof/>
      </w:rPr>
      <w:fldChar w:fldCharType="end"/>
    </w:r>
  </w:p>
  <w:p w:rsidR="00427ED9" w:rsidRDefault="00427ED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Pr="001B395D" w:rsidRDefault="00F32218" w:rsidP="00F32218">
    <w:pPr>
      <w:pStyle w:val="Header"/>
      <w:jc w:val="left"/>
      <w:rPr>
        <w:b/>
        <w:bCs/>
      </w:rPr>
    </w:pPr>
    <w:r>
      <w:tab/>
    </w:r>
    <w:r w:rsidR="007A6DA8">
      <w:fldChar w:fldCharType="begin"/>
    </w:r>
    <w:r w:rsidR="007A6DA8">
      <w:instrText xml:space="preserve"> DOCPROPERTY "Header" \* MERGEFORMAT </w:instrText>
    </w:r>
    <w:r w:rsidR="007A6DA8">
      <w:fldChar w:fldCharType="separate"/>
    </w:r>
    <w:r w:rsidR="007A6DA8" w:rsidRPr="007A6DA8">
      <w:rPr>
        <w:b/>
        <w:bCs/>
      </w:rPr>
      <w:t xml:space="preserve">Rec. </w:t>
    </w:r>
    <w:r w:rsidR="007A6DA8">
      <w:rPr>
        <w:b/>
        <w:bCs/>
      </w:rPr>
      <w:fldChar w:fldCharType="end"/>
    </w:r>
    <w:r w:rsidR="00607D68" w:rsidRPr="001B395D">
      <w:rPr>
        <w:b/>
        <w:bCs/>
      </w:rPr>
      <w:t xml:space="preserve"> </w:t>
    </w:r>
    <w:r w:rsidR="006870AA" w:rsidRPr="001B395D">
      <w:rPr>
        <w:b/>
        <w:bCs/>
      </w:rPr>
      <w:fldChar w:fldCharType="begin"/>
    </w:r>
    <w:r w:rsidR="00607D68" w:rsidRPr="001B395D">
      <w:rPr>
        <w:b/>
        <w:bCs/>
      </w:rPr>
      <w:instrText>styleref href</w:instrText>
    </w:r>
    <w:r w:rsidR="006870AA" w:rsidRPr="001B395D">
      <w:rPr>
        <w:b/>
        <w:bCs/>
      </w:rPr>
      <w:fldChar w:fldCharType="separate"/>
    </w:r>
    <w:r w:rsidR="007A6DA8">
      <w:rPr>
        <w:b/>
        <w:bCs/>
        <w:noProof/>
      </w:rPr>
      <w:t>UIT-R  M.1466-1</w:t>
    </w:r>
    <w:r w:rsidR="006870AA" w:rsidRPr="001B395D">
      <w:rPr>
        <w:b/>
        <w:bCs/>
      </w:rPr>
      <w:fldChar w:fldCharType="end"/>
    </w:r>
    <w:r>
      <w:rPr>
        <w:b/>
        <w:bCs/>
      </w:rPr>
      <w:tab/>
    </w:r>
    <w:r w:rsidRPr="00F32218">
      <w:rPr>
        <w:rStyle w:val="PageNumber"/>
        <w:b/>
        <w:bCs/>
      </w:rPr>
      <w:fldChar w:fldCharType="begin"/>
    </w:r>
    <w:r w:rsidRPr="00F32218">
      <w:rPr>
        <w:rStyle w:val="PageNumber"/>
        <w:b/>
        <w:bCs/>
      </w:rPr>
      <w:instrText xml:space="preserve"> PAGE   \* MERGEFORMAT </w:instrText>
    </w:r>
    <w:r w:rsidRPr="00F32218">
      <w:rPr>
        <w:rStyle w:val="PageNumber"/>
        <w:b/>
        <w:bCs/>
      </w:rPr>
      <w:fldChar w:fldCharType="separate"/>
    </w:r>
    <w:r w:rsidR="007A6DA8">
      <w:rPr>
        <w:rStyle w:val="PageNumber"/>
        <w:b/>
        <w:bCs/>
        <w:noProof/>
      </w:rPr>
      <w:t>5</w:t>
    </w:r>
    <w:r w:rsidRPr="00F32218">
      <w:rPr>
        <w:rStyle w:val="PageNumber"/>
        <w:b/>
        <w:bCs/>
        <w:noProof/>
      </w:rPr>
      <w:fldChar w:fldCharType="end"/>
    </w:r>
  </w:p>
  <w:p w:rsidR="00427ED9" w:rsidRDefault="00427ED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1C64EE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AC0A9B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1E734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6D41C7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A2DC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E2C1C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1C62CF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82C69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9279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51057D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47334C"/>
    <w:multiLevelType w:val="hybridMultilevel"/>
    <w:tmpl w:val="3C2012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154540"/>
    <w:multiLevelType w:val="hybridMultilevel"/>
    <w:tmpl w:val="615A21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292"/>
    <w:rsid w:val="000014FC"/>
    <w:rsid w:val="00042292"/>
    <w:rsid w:val="00044D65"/>
    <w:rsid w:val="000923D9"/>
    <w:rsid w:val="001B26B3"/>
    <w:rsid w:val="001B2F46"/>
    <w:rsid w:val="001B395D"/>
    <w:rsid w:val="001D7378"/>
    <w:rsid w:val="0021735B"/>
    <w:rsid w:val="002D1484"/>
    <w:rsid w:val="002D76C4"/>
    <w:rsid w:val="00372E32"/>
    <w:rsid w:val="00383195"/>
    <w:rsid w:val="003A1539"/>
    <w:rsid w:val="00410F5B"/>
    <w:rsid w:val="00427ED9"/>
    <w:rsid w:val="004E4FBE"/>
    <w:rsid w:val="00567624"/>
    <w:rsid w:val="00574749"/>
    <w:rsid w:val="00607D68"/>
    <w:rsid w:val="00616F70"/>
    <w:rsid w:val="006870AA"/>
    <w:rsid w:val="006F3D6E"/>
    <w:rsid w:val="0071261B"/>
    <w:rsid w:val="007172BA"/>
    <w:rsid w:val="0072064A"/>
    <w:rsid w:val="0076082A"/>
    <w:rsid w:val="007A6DA8"/>
    <w:rsid w:val="008C67E6"/>
    <w:rsid w:val="00906075"/>
    <w:rsid w:val="0098194B"/>
    <w:rsid w:val="00982F3A"/>
    <w:rsid w:val="00985E82"/>
    <w:rsid w:val="009E7F6F"/>
    <w:rsid w:val="009F72F8"/>
    <w:rsid w:val="00A07AEB"/>
    <w:rsid w:val="00A50C39"/>
    <w:rsid w:val="00A6617B"/>
    <w:rsid w:val="00A80825"/>
    <w:rsid w:val="00AB0DC8"/>
    <w:rsid w:val="00B42F17"/>
    <w:rsid w:val="00B44E24"/>
    <w:rsid w:val="00C22EC0"/>
    <w:rsid w:val="00C36A75"/>
    <w:rsid w:val="00C411AF"/>
    <w:rsid w:val="00CB1354"/>
    <w:rsid w:val="00CF7F63"/>
    <w:rsid w:val="00D131B8"/>
    <w:rsid w:val="00D2662E"/>
    <w:rsid w:val="00D33FA3"/>
    <w:rsid w:val="00D4362D"/>
    <w:rsid w:val="00D530D9"/>
    <w:rsid w:val="00DF4176"/>
    <w:rsid w:val="00DF4734"/>
    <w:rsid w:val="00E704B6"/>
    <w:rsid w:val="00E9387C"/>
    <w:rsid w:val="00ED6A57"/>
    <w:rsid w:val="00EE0C3B"/>
    <w:rsid w:val="00EE743D"/>
    <w:rsid w:val="00F32218"/>
    <w:rsid w:val="00F90A3D"/>
    <w:rsid w:val="00F91385"/>
    <w:rsid w:val="00FA6080"/>
    <w:rsid w:val="00FD7C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5:docId w15:val="{0C6FE78C-558C-4FE6-BBCE-9031B662B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7F6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9E7F6F"/>
    <w:pPr>
      <w:keepNext/>
      <w:keepLines/>
      <w:spacing w:before="480"/>
      <w:ind w:left="794" w:hanging="794"/>
      <w:outlineLvl w:val="0"/>
    </w:pPr>
    <w:rPr>
      <w:b/>
    </w:rPr>
  </w:style>
  <w:style w:type="paragraph" w:styleId="Heading2">
    <w:name w:val="heading 2"/>
    <w:basedOn w:val="Heading1"/>
    <w:next w:val="Normal"/>
    <w:link w:val="Heading2Char"/>
    <w:qFormat/>
    <w:rsid w:val="009E7F6F"/>
    <w:pPr>
      <w:spacing w:before="320"/>
      <w:outlineLvl w:val="1"/>
    </w:pPr>
  </w:style>
  <w:style w:type="paragraph" w:styleId="Heading3">
    <w:name w:val="heading 3"/>
    <w:basedOn w:val="Heading1"/>
    <w:next w:val="Normal"/>
    <w:qFormat/>
    <w:rsid w:val="009E7F6F"/>
    <w:pPr>
      <w:spacing w:before="200"/>
      <w:outlineLvl w:val="2"/>
    </w:pPr>
  </w:style>
  <w:style w:type="paragraph" w:styleId="Heading4">
    <w:name w:val="heading 4"/>
    <w:basedOn w:val="Heading3"/>
    <w:next w:val="Normal"/>
    <w:qFormat/>
    <w:rsid w:val="009E7F6F"/>
    <w:pPr>
      <w:tabs>
        <w:tab w:val="clear" w:pos="794"/>
        <w:tab w:val="left" w:pos="992"/>
      </w:tabs>
      <w:ind w:left="992" w:hanging="992"/>
      <w:outlineLvl w:val="3"/>
    </w:pPr>
  </w:style>
  <w:style w:type="paragraph" w:styleId="Heading5">
    <w:name w:val="heading 5"/>
    <w:basedOn w:val="Heading4"/>
    <w:next w:val="Normal"/>
    <w:qFormat/>
    <w:rsid w:val="009E7F6F"/>
    <w:pPr>
      <w:outlineLvl w:val="4"/>
    </w:pPr>
  </w:style>
  <w:style w:type="paragraph" w:styleId="Heading6">
    <w:name w:val="heading 6"/>
    <w:basedOn w:val="Heading4"/>
    <w:next w:val="Normal"/>
    <w:qFormat/>
    <w:rsid w:val="009E7F6F"/>
    <w:pPr>
      <w:tabs>
        <w:tab w:val="clear" w:pos="992"/>
        <w:tab w:val="clear" w:pos="1191"/>
      </w:tabs>
      <w:ind w:left="1588" w:hanging="1588"/>
      <w:outlineLvl w:val="5"/>
    </w:pPr>
  </w:style>
  <w:style w:type="paragraph" w:styleId="Heading7">
    <w:name w:val="heading 7"/>
    <w:basedOn w:val="Heading6"/>
    <w:next w:val="Normal"/>
    <w:qFormat/>
    <w:rsid w:val="009E7F6F"/>
    <w:pPr>
      <w:outlineLvl w:val="6"/>
    </w:pPr>
  </w:style>
  <w:style w:type="paragraph" w:styleId="Heading8">
    <w:name w:val="heading 8"/>
    <w:basedOn w:val="Heading6"/>
    <w:next w:val="Normal"/>
    <w:qFormat/>
    <w:rsid w:val="009E7F6F"/>
    <w:pPr>
      <w:outlineLvl w:val="7"/>
    </w:pPr>
  </w:style>
  <w:style w:type="paragraph" w:styleId="Heading9">
    <w:name w:val="heading 9"/>
    <w:basedOn w:val="Heading6"/>
    <w:next w:val="Normal"/>
    <w:qFormat/>
    <w:rsid w:val="009E7F6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E7F6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9E7F6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E7F6F"/>
  </w:style>
  <w:style w:type="paragraph" w:customStyle="1" w:styleId="Headingb">
    <w:name w:val="Heading_b"/>
    <w:basedOn w:val="Heading3"/>
    <w:next w:val="Normal"/>
    <w:rsid w:val="009E7F6F"/>
    <w:pPr>
      <w:spacing w:before="160"/>
      <w:ind w:left="0" w:firstLine="0"/>
      <w:outlineLvl w:val="9"/>
    </w:pPr>
  </w:style>
  <w:style w:type="paragraph" w:customStyle="1" w:styleId="Headingi">
    <w:name w:val="Heading_i"/>
    <w:basedOn w:val="Heading3"/>
    <w:next w:val="Normal"/>
    <w:rsid w:val="009E7F6F"/>
    <w:pPr>
      <w:spacing w:before="160"/>
      <w:ind w:left="0" w:firstLine="0"/>
    </w:pPr>
    <w:rPr>
      <w:b w:val="0"/>
      <w:i/>
    </w:rPr>
  </w:style>
  <w:style w:type="character" w:customStyle="1" w:styleId="href">
    <w:name w:val="href"/>
    <w:basedOn w:val="DefaultParagraphFont"/>
    <w:rsid w:val="009E7F6F"/>
  </w:style>
  <w:style w:type="paragraph" w:customStyle="1" w:styleId="enumlev1">
    <w:name w:val="enumlev1"/>
    <w:basedOn w:val="Normal"/>
    <w:rsid w:val="009E7F6F"/>
    <w:pPr>
      <w:spacing w:before="80"/>
      <w:ind w:left="794" w:hanging="794"/>
    </w:pPr>
  </w:style>
  <w:style w:type="paragraph" w:customStyle="1" w:styleId="enumlev2">
    <w:name w:val="enumlev2"/>
    <w:basedOn w:val="enumlev1"/>
    <w:rsid w:val="009E7F6F"/>
    <w:pPr>
      <w:ind w:left="1191" w:hanging="397"/>
    </w:pPr>
  </w:style>
  <w:style w:type="paragraph" w:customStyle="1" w:styleId="enumlev3">
    <w:name w:val="enumlev3"/>
    <w:basedOn w:val="enumlev2"/>
    <w:rsid w:val="009E7F6F"/>
    <w:pPr>
      <w:ind w:left="1588"/>
    </w:pPr>
  </w:style>
  <w:style w:type="paragraph" w:customStyle="1" w:styleId="Normalaftertitle">
    <w:name w:val="Normal_after_title"/>
    <w:basedOn w:val="Normal"/>
    <w:next w:val="Normal"/>
    <w:rsid w:val="009E7F6F"/>
    <w:pPr>
      <w:spacing w:before="320"/>
    </w:pPr>
  </w:style>
  <w:style w:type="paragraph" w:customStyle="1" w:styleId="Note">
    <w:name w:val="Note"/>
    <w:basedOn w:val="Normal"/>
    <w:rsid w:val="009E7F6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E7F6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9E7F6F"/>
    <w:pPr>
      <w:spacing w:before="240"/>
    </w:pPr>
    <w:rPr>
      <w:sz w:val="22"/>
      <w:lang w:val="es-ES_tradnl"/>
    </w:rPr>
  </w:style>
  <w:style w:type="paragraph" w:customStyle="1" w:styleId="Recref">
    <w:name w:val="Rec_ref"/>
    <w:basedOn w:val="Normal"/>
    <w:next w:val="Recdate"/>
    <w:rsid w:val="009E7F6F"/>
    <w:pPr>
      <w:jc w:val="center"/>
    </w:pPr>
  </w:style>
  <w:style w:type="paragraph" w:customStyle="1" w:styleId="Recdate">
    <w:name w:val="Rec_date"/>
    <w:basedOn w:val="Recref"/>
    <w:next w:val="Normalaftertitle"/>
    <w:rsid w:val="009E7F6F"/>
    <w:pPr>
      <w:jc w:val="right"/>
    </w:pPr>
  </w:style>
  <w:style w:type="paragraph" w:customStyle="1" w:styleId="AnnexNoTitle">
    <w:name w:val="Annex_NoTitle"/>
    <w:basedOn w:val="Normal"/>
    <w:next w:val="Normalaftertitle"/>
    <w:rsid w:val="009E7F6F"/>
    <w:pPr>
      <w:keepNext/>
      <w:keepLines/>
      <w:spacing w:before="480" w:after="80"/>
      <w:jc w:val="center"/>
    </w:pPr>
    <w:rPr>
      <w:b/>
      <w:sz w:val="28"/>
    </w:rPr>
  </w:style>
  <w:style w:type="paragraph" w:customStyle="1" w:styleId="AppendixNoTitle">
    <w:name w:val="Appendix_NoTitle"/>
    <w:basedOn w:val="AnnexNoTitle"/>
    <w:next w:val="Normal"/>
    <w:rsid w:val="009E7F6F"/>
  </w:style>
  <w:style w:type="paragraph" w:customStyle="1" w:styleId="Tablefin">
    <w:name w:val="Table_fin"/>
    <w:basedOn w:val="Normal"/>
    <w:next w:val="Normal"/>
    <w:rsid w:val="009E7F6F"/>
    <w:pPr>
      <w:spacing w:before="0"/>
    </w:pPr>
    <w:rPr>
      <w:sz w:val="20"/>
      <w:lang w:val="en-GB"/>
    </w:rPr>
  </w:style>
  <w:style w:type="paragraph" w:customStyle="1" w:styleId="Tablehead">
    <w:name w:val="Table_head"/>
    <w:basedOn w:val="Normal"/>
    <w:next w:val="Normal"/>
    <w:link w:val="TableheadChar"/>
    <w:rsid w:val="009E7F6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E7F6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9E7F6F"/>
    <w:pPr>
      <w:keepNext/>
      <w:spacing w:before="360" w:after="120"/>
      <w:jc w:val="center"/>
    </w:pPr>
  </w:style>
  <w:style w:type="paragraph" w:customStyle="1" w:styleId="Tabletext">
    <w:name w:val="Table_text"/>
    <w:basedOn w:val="Normal"/>
    <w:link w:val="TabletextChar"/>
    <w:rsid w:val="009E7F6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E7F6F"/>
    <w:pPr>
      <w:tabs>
        <w:tab w:val="clear" w:pos="1191"/>
        <w:tab w:val="clear" w:pos="1588"/>
        <w:tab w:val="clear" w:pos="1985"/>
        <w:tab w:val="center" w:pos="4820"/>
        <w:tab w:val="right" w:pos="9639"/>
      </w:tabs>
    </w:pPr>
  </w:style>
  <w:style w:type="paragraph" w:customStyle="1" w:styleId="Equationlegend">
    <w:name w:val="Equation_legend"/>
    <w:basedOn w:val="NormalIndent"/>
    <w:rsid w:val="009E7F6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E7F6F"/>
    <w:pPr>
      <w:ind w:left="794"/>
    </w:pPr>
  </w:style>
  <w:style w:type="paragraph" w:customStyle="1" w:styleId="Figurelegend">
    <w:name w:val="Figure_legend"/>
    <w:basedOn w:val="Normal"/>
    <w:rsid w:val="009E7F6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9E7F6F"/>
    <w:pPr>
      <w:keepNext/>
      <w:keepLines/>
      <w:spacing w:before="480" w:after="80"/>
      <w:jc w:val="center"/>
    </w:pPr>
    <w:rPr>
      <w:caps/>
      <w:sz w:val="18"/>
    </w:rPr>
  </w:style>
  <w:style w:type="paragraph" w:customStyle="1" w:styleId="tocpart">
    <w:name w:val="tocpart"/>
    <w:basedOn w:val="Normal"/>
    <w:rsid w:val="009E7F6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E7F6F"/>
    <w:pPr>
      <w:keepNext/>
      <w:keepLines/>
      <w:spacing w:before="480"/>
      <w:jc w:val="center"/>
    </w:pPr>
    <w:rPr>
      <w:sz w:val="28"/>
    </w:rPr>
  </w:style>
  <w:style w:type="paragraph" w:customStyle="1" w:styleId="Arttitle">
    <w:name w:val="Art_title"/>
    <w:basedOn w:val="Normal"/>
    <w:next w:val="Normalaftertitle"/>
    <w:rsid w:val="009E7F6F"/>
    <w:pPr>
      <w:keepNext/>
      <w:keepLines/>
      <w:spacing w:before="240"/>
      <w:jc w:val="center"/>
    </w:pPr>
    <w:rPr>
      <w:b/>
      <w:sz w:val="28"/>
    </w:rPr>
  </w:style>
  <w:style w:type="paragraph" w:customStyle="1" w:styleId="Blanc">
    <w:name w:val="Blanc"/>
    <w:basedOn w:val="Normal"/>
    <w:next w:val="Tabletext"/>
    <w:rsid w:val="009E7F6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E7F6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E7F6F"/>
    <w:pPr>
      <w:keepNext/>
      <w:keepLines/>
      <w:spacing w:before="160"/>
      <w:ind w:left="794"/>
    </w:pPr>
    <w:rPr>
      <w:i/>
    </w:rPr>
  </w:style>
  <w:style w:type="paragraph" w:customStyle="1" w:styleId="ChapNo">
    <w:name w:val="Chap_No"/>
    <w:basedOn w:val="ArtNo"/>
    <w:next w:val="Chaptitle"/>
    <w:rsid w:val="009E7F6F"/>
    <w:rPr>
      <w:b/>
    </w:rPr>
  </w:style>
  <w:style w:type="paragraph" w:customStyle="1" w:styleId="Chaptitle">
    <w:name w:val="Chap_title"/>
    <w:basedOn w:val="Arttitle"/>
    <w:next w:val="Normalaftertitle"/>
    <w:rsid w:val="009E7F6F"/>
  </w:style>
  <w:style w:type="character" w:styleId="FootnoteReference">
    <w:name w:val="footnote reference"/>
    <w:basedOn w:val="DefaultParagraphFont"/>
    <w:rsid w:val="009E7F6F"/>
    <w:rPr>
      <w:position w:val="6"/>
      <w:sz w:val="18"/>
    </w:rPr>
  </w:style>
  <w:style w:type="paragraph" w:styleId="FootnoteText">
    <w:name w:val="footnote text"/>
    <w:basedOn w:val="Normal"/>
    <w:link w:val="FootnoteTextChar"/>
    <w:rsid w:val="009E7F6F"/>
    <w:pPr>
      <w:keepLines/>
      <w:tabs>
        <w:tab w:val="left" w:pos="255"/>
      </w:tabs>
      <w:ind w:left="255" w:hanging="255"/>
    </w:pPr>
    <w:rPr>
      <w:sz w:val="22"/>
    </w:rPr>
  </w:style>
  <w:style w:type="paragraph" w:styleId="Index1">
    <w:name w:val="index 1"/>
    <w:basedOn w:val="Normal"/>
    <w:next w:val="Normal"/>
    <w:semiHidden/>
    <w:rsid w:val="009E7F6F"/>
  </w:style>
  <w:style w:type="paragraph" w:styleId="Index2">
    <w:name w:val="index 2"/>
    <w:basedOn w:val="Normal"/>
    <w:next w:val="Normal"/>
    <w:semiHidden/>
    <w:rsid w:val="009E7F6F"/>
    <w:pPr>
      <w:ind w:left="283"/>
    </w:pPr>
  </w:style>
  <w:style w:type="paragraph" w:styleId="Index3">
    <w:name w:val="index 3"/>
    <w:basedOn w:val="Normal"/>
    <w:next w:val="Normal"/>
    <w:semiHidden/>
    <w:rsid w:val="009E7F6F"/>
    <w:pPr>
      <w:ind w:left="566"/>
    </w:pPr>
  </w:style>
  <w:style w:type="paragraph" w:styleId="IndexHeading">
    <w:name w:val="index heading"/>
    <w:basedOn w:val="Normal"/>
    <w:next w:val="Index1"/>
    <w:semiHidden/>
    <w:rsid w:val="009E7F6F"/>
  </w:style>
  <w:style w:type="paragraph" w:customStyle="1" w:styleId="Line">
    <w:name w:val="Line"/>
    <w:basedOn w:val="Normal"/>
    <w:next w:val="Normal"/>
    <w:rsid w:val="009E7F6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E7F6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E7F6F"/>
  </w:style>
  <w:style w:type="paragraph" w:customStyle="1" w:styleId="Partref">
    <w:name w:val="Part_ref"/>
    <w:basedOn w:val="Normal"/>
    <w:next w:val="Normal"/>
    <w:rsid w:val="009E7F6F"/>
    <w:pPr>
      <w:keepNext/>
      <w:keepLines/>
      <w:spacing w:after="280"/>
      <w:jc w:val="center"/>
    </w:pPr>
  </w:style>
  <w:style w:type="paragraph" w:customStyle="1" w:styleId="Parttitle">
    <w:name w:val="Part_title"/>
    <w:basedOn w:val="Normal"/>
    <w:next w:val="Normalaftertitle"/>
    <w:rsid w:val="009E7F6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E7F6F"/>
  </w:style>
  <w:style w:type="paragraph" w:customStyle="1" w:styleId="QuestionNo">
    <w:name w:val="Question_No"/>
    <w:basedOn w:val="RecNo"/>
    <w:next w:val="Normal"/>
    <w:rsid w:val="009E7F6F"/>
  </w:style>
  <w:style w:type="paragraph" w:customStyle="1" w:styleId="Questionref">
    <w:name w:val="Question_ref"/>
    <w:basedOn w:val="Recref"/>
    <w:next w:val="Questiondate"/>
    <w:rsid w:val="009E7F6F"/>
  </w:style>
  <w:style w:type="paragraph" w:customStyle="1" w:styleId="Questiontitle">
    <w:name w:val="Question_title"/>
    <w:basedOn w:val="Normal"/>
    <w:next w:val="Questionref"/>
    <w:rsid w:val="009E7F6F"/>
  </w:style>
  <w:style w:type="paragraph" w:customStyle="1" w:styleId="Reftext">
    <w:name w:val="Ref_text"/>
    <w:basedOn w:val="Normal"/>
    <w:rsid w:val="009E7F6F"/>
    <w:pPr>
      <w:ind w:left="794" w:hanging="794"/>
    </w:pPr>
    <w:rPr>
      <w:sz w:val="22"/>
    </w:rPr>
  </w:style>
  <w:style w:type="paragraph" w:customStyle="1" w:styleId="Reftitle">
    <w:name w:val="Ref_title"/>
    <w:basedOn w:val="Normal"/>
    <w:next w:val="Reftext"/>
    <w:rsid w:val="009E7F6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E7F6F"/>
  </w:style>
  <w:style w:type="paragraph" w:customStyle="1" w:styleId="RepNo">
    <w:name w:val="Rep_No"/>
    <w:basedOn w:val="RecNo"/>
    <w:next w:val="Reptitle"/>
    <w:rsid w:val="009E7F6F"/>
  </w:style>
  <w:style w:type="paragraph" w:customStyle="1" w:styleId="Repref">
    <w:name w:val="Rep_ref"/>
    <w:basedOn w:val="Recref"/>
    <w:next w:val="Repdate"/>
    <w:rsid w:val="009E7F6F"/>
  </w:style>
  <w:style w:type="paragraph" w:customStyle="1" w:styleId="Reptitle">
    <w:name w:val="Rep_title"/>
    <w:basedOn w:val="Rectitle"/>
    <w:next w:val="Repref"/>
    <w:rsid w:val="009E7F6F"/>
  </w:style>
  <w:style w:type="paragraph" w:customStyle="1" w:styleId="Resdate">
    <w:name w:val="Res_date"/>
    <w:basedOn w:val="Recdate"/>
    <w:next w:val="Normalaftertitle"/>
    <w:rsid w:val="009E7F6F"/>
  </w:style>
  <w:style w:type="paragraph" w:customStyle="1" w:styleId="ResNo">
    <w:name w:val="Res_No"/>
    <w:basedOn w:val="RecNo"/>
    <w:next w:val="Restitle"/>
    <w:rsid w:val="009E7F6F"/>
  </w:style>
  <w:style w:type="paragraph" w:customStyle="1" w:styleId="Resref">
    <w:name w:val="Res_ref"/>
    <w:basedOn w:val="Recref"/>
    <w:next w:val="Resdate"/>
    <w:rsid w:val="009E7F6F"/>
  </w:style>
  <w:style w:type="paragraph" w:customStyle="1" w:styleId="Restitle">
    <w:name w:val="Res_title"/>
    <w:basedOn w:val="Normal"/>
    <w:next w:val="Resref"/>
    <w:rsid w:val="009E7F6F"/>
    <w:pPr>
      <w:spacing w:before="240"/>
      <w:jc w:val="center"/>
    </w:pPr>
    <w:rPr>
      <w:b/>
      <w:sz w:val="28"/>
    </w:rPr>
  </w:style>
  <w:style w:type="paragraph" w:customStyle="1" w:styleId="SectionNo">
    <w:name w:val="Section_No"/>
    <w:basedOn w:val="Normal"/>
    <w:next w:val="Normal"/>
    <w:rsid w:val="009E7F6F"/>
  </w:style>
  <w:style w:type="paragraph" w:customStyle="1" w:styleId="Sectiontitle">
    <w:name w:val="Section_title"/>
    <w:basedOn w:val="Normal"/>
    <w:next w:val="Normalaftertitle"/>
    <w:rsid w:val="009E7F6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E7F6F"/>
    <w:pPr>
      <w:tabs>
        <w:tab w:val="clear" w:pos="794"/>
        <w:tab w:val="clear" w:pos="1191"/>
        <w:tab w:val="clear" w:pos="1588"/>
        <w:tab w:val="clear" w:pos="1985"/>
        <w:tab w:val="right" w:pos="9611"/>
      </w:tabs>
    </w:pPr>
    <w:rPr>
      <w:i/>
    </w:rPr>
  </w:style>
  <w:style w:type="paragraph" w:styleId="TOC1">
    <w:name w:val="toc 1"/>
    <w:basedOn w:val="Normal"/>
    <w:rsid w:val="009E7F6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E7F6F"/>
    <w:pPr>
      <w:tabs>
        <w:tab w:val="clear" w:pos="567"/>
        <w:tab w:val="left" w:pos="1276"/>
      </w:tabs>
      <w:spacing w:before="160"/>
      <w:ind w:left="1276" w:hanging="709"/>
    </w:pPr>
  </w:style>
  <w:style w:type="paragraph" w:styleId="TOC3">
    <w:name w:val="toc 3"/>
    <w:basedOn w:val="TOC2"/>
    <w:semiHidden/>
    <w:rsid w:val="009E7F6F"/>
    <w:pPr>
      <w:tabs>
        <w:tab w:val="clear" w:pos="1276"/>
        <w:tab w:val="left" w:pos="2155"/>
      </w:tabs>
      <w:ind w:left="2155" w:hanging="879"/>
    </w:pPr>
  </w:style>
  <w:style w:type="paragraph" w:styleId="TOC4">
    <w:name w:val="toc 4"/>
    <w:basedOn w:val="TOC3"/>
    <w:semiHidden/>
    <w:rsid w:val="009E7F6F"/>
    <w:pPr>
      <w:tabs>
        <w:tab w:val="left" w:pos="3261"/>
      </w:tabs>
      <w:spacing w:before="80"/>
      <w:ind w:left="3261" w:hanging="993"/>
    </w:pPr>
  </w:style>
  <w:style w:type="paragraph" w:styleId="TOC5">
    <w:name w:val="toc 5"/>
    <w:basedOn w:val="TOC4"/>
    <w:semiHidden/>
    <w:rsid w:val="009E7F6F"/>
  </w:style>
  <w:style w:type="paragraph" w:styleId="TOC6">
    <w:name w:val="toc 6"/>
    <w:basedOn w:val="TOC4"/>
    <w:semiHidden/>
    <w:rsid w:val="009E7F6F"/>
  </w:style>
  <w:style w:type="paragraph" w:styleId="TOC7">
    <w:name w:val="toc 7"/>
    <w:basedOn w:val="TOC4"/>
    <w:semiHidden/>
    <w:rsid w:val="009E7F6F"/>
  </w:style>
  <w:style w:type="paragraph" w:styleId="TOC8">
    <w:name w:val="toc 8"/>
    <w:basedOn w:val="TOC4"/>
    <w:semiHidden/>
    <w:rsid w:val="009E7F6F"/>
  </w:style>
  <w:style w:type="paragraph" w:customStyle="1" w:styleId="Rectitle">
    <w:name w:val="Rec_title"/>
    <w:basedOn w:val="Normal"/>
    <w:next w:val="Recref"/>
    <w:rsid w:val="009E7F6F"/>
    <w:pPr>
      <w:keepNext/>
      <w:keepLines/>
      <w:spacing w:before="240"/>
      <w:jc w:val="center"/>
    </w:pPr>
    <w:rPr>
      <w:b/>
      <w:sz w:val="28"/>
    </w:rPr>
  </w:style>
  <w:style w:type="paragraph" w:customStyle="1" w:styleId="Annexref">
    <w:name w:val="Annex_ref"/>
    <w:basedOn w:val="Normal"/>
    <w:next w:val="Normalaftertitle"/>
    <w:rsid w:val="009E7F6F"/>
    <w:pPr>
      <w:keepNext/>
      <w:keepLines/>
      <w:spacing w:after="280"/>
      <w:jc w:val="center"/>
    </w:pPr>
  </w:style>
  <w:style w:type="paragraph" w:customStyle="1" w:styleId="Appendixref">
    <w:name w:val="Appendix_ref"/>
    <w:basedOn w:val="Annexref"/>
    <w:next w:val="Normalaftertitle"/>
    <w:rsid w:val="009E7F6F"/>
  </w:style>
  <w:style w:type="paragraph" w:customStyle="1" w:styleId="Figuretitle">
    <w:name w:val="Figure_title"/>
    <w:basedOn w:val="Normal"/>
    <w:next w:val="Figure"/>
    <w:rsid w:val="009E7F6F"/>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9E7F6F"/>
    <w:pPr>
      <w:keepNext/>
      <w:spacing w:before="0" w:after="120"/>
      <w:jc w:val="center"/>
    </w:pPr>
    <w:rPr>
      <w:b/>
    </w:rPr>
  </w:style>
  <w:style w:type="paragraph" w:customStyle="1" w:styleId="Summary">
    <w:name w:val="Summary"/>
    <w:basedOn w:val="Normal"/>
    <w:next w:val="Normalaftertitle"/>
    <w:autoRedefine/>
    <w:rsid w:val="009E7F6F"/>
    <w:pPr>
      <w:spacing w:after="480"/>
    </w:pPr>
    <w:rPr>
      <w:sz w:val="22"/>
      <w:lang w:val="es-ES_tradnl"/>
    </w:rPr>
  </w:style>
  <w:style w:type="character" w:styleId="Hyperlink">
    <w:name w:val="Hyperlink"/>
    <w:basedOn w:val="DefaultParagraphFont"/>
    <w:uiPriority w:val="99"/>
    <w:rsid w:val="00042292"/>
    <w:rPr>
      <w:color w:val="0000FF"/>
      <w:u w:val="single"/>
    </w:rPr>
  </w:style>
  <w:style w:type="paragraph" w:customStyle="1" w:styleId="Figure">
    <w:name w:val="Figure"/>
    <w:basedOn w:val="FigureNo"/>
    <w:next w:val="Normal"/>
    <w:rsid w:val="009E7F6F"/>
    <w:pPr>
      <w:keepNext w:val="0"/>
      <w:spacing w:before="0" w:after="240"/>
    </w:pPr>
  </w:style>
  <w:style w:type="table" w:styleId="TableGrid">
    <w:name w:val="Table Grid"/>
    <w:basedOn w:val="TableNormal"/>
    <w:rsid w:val="00042292"/>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9E7F6F"/>
    <w:pPr>
      <w:ind w:left="-85" w:firstLine="0"/>
    </w:pPr>
    <w:rPr>
      <w:lang w:val="en-US"/>
    </w:rPr>
  </w:style>
  <w:style w:type="paragraph" w:customStyle="1" w:styleId="TableText0">
    <w:name w:val="Table_Text"/>
    <w:basedOn w:val="Normal"/>
    <w:rsid w:val="00C411AF"/>
    <w:pPr>
      <w:keepNext/>
      <w:spacing w:before="100" w:after="100" w:line="190" w:lineRule="exact"/>
    </w:pPr>
    <w:rPr>
      <w:sz w:val="18"/>
      <w:szCs w:val="18"/>
      <w:lang w:val="en-GB" w:eastAsia="zh-CN"/>
    </w:rPr>
  </w:style>
  <w:style w:type="paragraph" w:customStyle="1" w:styleId="Annex">
    <w:name w:val="Annex_#"/>
    <w:basedOn w:val="Normal"/>
    <w:next w:val="Normal"/>
    <w:rsid w:val="00C411AF"/>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nnexTitle">
    <w:name w:val="Annex_Title"/>
    <w:basedOn w:val="Normal"/>
    <w:next w:val="Normalaftertitle0"/>
    <w:rsid w:val="00C411AF"/>
    <w:pPr>
      <w:tabs>
        <w:tab w:val="clear" w:pos="794"/>
        <w:tab w:val="clear" w:pos="1191"/>
        <w:tab w:val="clear" w:pos="1588"/>
        <w:tab w:val="clear" w:pos="1985"/>
        <w:tab w:val="left" w:pos="4849"/>
        <w:tab w:val="right" w:pos="9696"/>
      </w:tabs>
      <w:spacing w:before="136" w:after="200"/>
      <w:jc w:val="center"/>
    </w:pPr>
    <w:rPr>
      <w:b/>
      <w:bCs/>
      <w:szCs w:val="24"/>
      <w:lang w:val="en-GB" w:eastAsia="zh-CN"/>
    </w:rPr>
  </w:style>
  <w:style w:type="paragraph" w:customStyle="1" w:styleId="Normalaftertitle0">
    <w:name w:val="Normal after title"/>
    <w:basedOn w:val="Normal"/>
    <w:next w:val="Normal"/>
    <w:rsid w:val="00C411AF"/>
    <w:pPr>
      <w:spacing w:before="480"/>
    </w:pPr>
    <w:rPr>
      <w:sz w:val="20"/>
      <w:lang w:val="en-GB" w:eastAsia="zh-CN"/>
    </w:rPr>
  </w:style>
  <w:style w:type="paragraph" w:customStyle="1" w:styleId="call0">
    <w:name w:val="call"/>
    <w:basedOn w:val="Normal"/>
    <w:next w:val="Normal"/>
    <w:rsid w:val="00C411AF"/>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Ref">
    <w:name w:val="Rec_Title/Ref"/>
    <w:basedOn w:val="Normal"/>
    <w:next w:val="RecTitleDate"/>
    <w:rsid w:val="00C411AF"/>
    <w:pPr>
      <w:keepNext/>
      <w:keepLines/>
      <w:tabs>
        <w:tab w:val="clear" w:pos="794"/>
        <w:tab w:val="clear" w:pos="1191"/>
        <w:tab w:val="clear" w:pos="1588"/>
        <w:tab w:val="clear" w:pos="1985"/>
        <w:tab w:val="center" w:pos="4849"/>
        <w:tab w:val="right" w:pos="9696"/>
      </w:tabs>
      <w:spacing w:before="136"/>
      <w:jc w:val="center"/>
    </w:pPr>
    <w:rPr>
      <w:sz w:val="20"/>
      <w:lang w:val="en-GB" w:eastAsia="zh-CN"/>
    </w:rPr>
  </w:style>
  <w:style w:type="paragraph" w:customStyle="1" w:styleId="RecTitleDate">
    <w:name w:val="Rec_Title/Date"/>
    <w:basedOn w:val="RecTitleRef"/>
    <w:next w:val="headfoot"/>
    <w:rsid w:val="00C411AF"/>
    <w:pPr>
      <w:tabs>
        <w:tab w:val="clear" w:pos="4849"/>
      </w:tabs>
      <w:jc w:val="right"/>
    </w:pPr>
  </w:style>
  <w:style w:type="paragraph" w:customStyle="1" w:styleId="headfoot">
    <w:name w:val="head_foot"/>
    <w:basedOn w:val="Normal"/>
    <w:next w:val="Normalaftertitle0"/>
    <w:rsid w:val="00C411AF"/>
    <w:pPr>
      <w:tabs>
        <w:tab w:val="clear" w:pos="794"/>
        <w:tab w:val="clear" w:pos="1191"/>
        <w:tab w:val="clear" w:pos="1588"/>
        <w:tab w:val="clear" w:pos="1985"/>
      </w:tabs>
      <w:spacing w:before="0"/>
    </w:pPr>
    <w:rPr>
      <w:color w:val="FF0000"/>
      <w:sz w:val="8"/>
      <w:szCs w:val="8"/>
      <w:lang w:val="en-GB" w:eastAsia="zh-CN"/>
    </w:rPr>
  </w:style>
  <w:style w:type="character" w:customStyle="1" w:styleId="TableheadChar">
    <w:name w:val="Table_head Char"/>
    <w:basedOn w:val="DefaultParagraphFont"/>
    <w:link w:val="Tablehead"/>
    <w:locked/>
    <w:rsid w:val="00D33FA3"/>
    <w:rPr>
      <w:b/>
      <w:sz w:val="22"/>
      <w:lang w:val="fr-FR" w:eastAsia="en-US"/>
    </w:rPr>
  </w:style>
  <w:style w:type="character" w:customStyle="1" w:styleId="TabletextChar">
    <w:name w:val="Table_text Char"/>
    <w:basedOn w:val="DefaultParagraphFont"/>
    <w:link w:val="Tabletext"/>
    <w:locked/>
    <w:rsid w:val="00D33FA3"/>
    <w:rPr>
      <w:sz w:val="22"/>
      <w:lang w:val="fr-FR" w:eastAsia="en-US"/>
    </w:rPr>
  </w:style>
  <w:style w:type="character" w:customStyle="1" w:styleId="Heading1Char">
    <w:name w:val="Heading 1 Char"/>
    <w:basedOn w:val="DefaultParagraphFont"/>
    <w:link w:val="Heading1"/>
    <w:rsid w:val="001B2F46"/>
    <w:rPr>
      <w:b/>
      <w:sz w:val="24"/>
      <w:lang w:val="fr-FR" w:eastAsia="en-US"/>
    </w:rPr>
  </w:style>
  <w:style w:type="character" w:customStyle="1" w:styleId="Heading2Char">
    <w:name w:val="Heading 2 Char"/>
    <w:basedOn w:val="DefaultParagraphFont"/>
    <w:link w:val="Heading2"/>
    <w:rsid w:val="001B2F46"/>
    <w:rPr>
      <w:b/>
      <w:sz w:val="24"/>
      <w:lang w:val="fr-FR" w:eastAsia="en-US"/>
    </w:rPr>
  </w:style>
  <w:style w:type="character" w:customStyle="1" w:styleId="FigureNoChar">
    <w:name w:val="Figure_No Char"/>
    <w:basedOn w:val="DefaultParagraphFont"/>
    <w:link w:val="FigureNo"/>
    <w:locked/>
    <w:rsid w:val="001B2F46"/>
    <w:rPr>
      <w:caps/>
      <w:sz w:val="18"/>
      <w:lang w:val="fr-FR" w:eastAsia="en-US"/>
    </w:rPr>
  </w:style>
  <w:style w:type="character" w:styleId="CommentReference">
    <w:name w:val="annotation reference"/>
    <w:semiHidden/>
    <w:rsid w:val="00574749"/>
    <w:rPr>
      <w:sz w:val="16"/>
      <w:szCs w:val="16"/>
    </w:rPr>
  </w:style>
  <w:style w:type="paragraph" w:styleId="CommentText">
    <w:name w:val="annotation text"/>
    <w:basedOn w:val="Normal"/>
    <w:link w:val="CommentTextChar"/>
    <w:semiHidden/>
    <w:rsid w:val="00574749"/>
    <w:rPr>
      <w:sz w:val="20"/>
    </w:rPr>
  </w:style>
  <w:style w:type="character" w:customStyle="1" w:styleId="CommentTextChar">
    <w:name w:val="Comment Text Char"/>
    <w:basedOn w:val="DefaultParagraphFont"/>
    <w:link w:val="CommentText"/>
    <w:semiHidden/>
    <w:rsid w:val="00574749"/>
    <w:rPr>
      <w:lang w:val="fr-FR" w:eastAsia="en-US"/>
    </w:rPr>
  </w:style>
  <w:style w:type="paragraph" w:styleId="CommentSubject">
    <w:name w:val="annotation subject"/>
    <w:basedOn w:val="CommentText"/>
    <w:next w:val="CommentText"/>
    <w:link w:val="CommentSubjectChar"/>
    <w:semiHidden/>
    <w:rsid w:val="00574749"/>
    <w:rPr>
      <w:b/>
      <w:bCs/>
    </w:rPr>
  </w:style>
  <w:style w:type="character" w:customStyle="1" w:styleId="CommentSubjectChar">
    <w:name w:val="Comment Subject Char"/>
    <w:basedOn w:val="CommentTextChar"/>
    <w:link w:val="CommentSubject"/>
    <w:semiHidden/>
    <w:rsid w:val="00574749"/>
    <w:rPr>
      <w:b/>
      <w:bCs/>
      <w:lang w:val="fr-FR" w:eastAsia="en-US"/>
    </w:rPr>
  </w:style>
  <w:style w:type="character" w:customStyle="1" w:styleId="Tablefreq">
    <w:name w:val="Table_freq"/>
    <w:rsid w:val="00574749"/>
    <w:rPr>
      <w:b/>
      <w:color w:val="auto"/>
    </w:rPr>
  </w:style>
  <w:style w:type="paragraph" w:customStyle="1" w:styleId="Table">
    <w:name w:val="Table_#"/>
    <w:basedOn w:val="Normal"/>
    <w:next w:val="Normal"/>
    <w:rsid w:val="00574749"/>
    <w:pPr>
      <w:keepNext/>
      <w:tabs>
        <w:tab w:val="clear" w:pos="794"/>
        <w:tab w:val="clear" w:pos="1191"/>
        <w:tab w:val="clear" w:pos="1588"/>
        <w:tab w:val="clear" w:pos="1985"/>
      </w:tabs>
      <w:spacing w:before="567" w:after="113"/>
      <w:jc w:val="center"/>
    </w:pPr>
    <w:rPr>
      <w:sz w:val="18"/>
    </w:rPr>
  </w:style>
  <w:style w:type="character" w:customStyle="1" w:styleId="FooterChar">
    <w:name w:val="Footer Char"/>
    <w:link w:val="Footer"/>
    <w:rsid w:val="00574749"/>
    <w:rPr>
      <w:noProof/>
      <w:sz w:val="18"/>
      <w:lang w:val="fr-FR" w:eastAsia="en-US"/>
    </w:rPr>
  </w:style>
  <w:style w:type="paragraph" w:customStyle="1" w:styleId="Reasons">
    <w:name w:val="Reasons"/>
    <w:basedOn w:val="Normal"/>
    <w:qFormat/>
    <w:rsid w:val="00574749"/>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erChar">
    <w:name w:val="Header Char"/>
    <w:basedOn w:val="DefaultParagraphFont"/>
    <w:link w:val="Header"/>
    <w:rsid w:val="00574749"/>
    <w:rPr>
      <w:sz w:val="24"/>
      <w:lang w:val="fr-FR" w:eastAsia="en-US"/>
    </w:rPr>
  </w:style>
  <w:style w:type="paragraph" w:customStyle="1" w:styleId="TableTitle0">
    <w:name w:val="Table_Title"/>
    <w:basedOn w:val="Normal"/>
    <w:next w:val="Normal"/>
    <w:rsid w:val="009F72F8"/>
    <w:pPr>
      <w:keepNext/>
      <w:tabs>
        <w:tab w:val="clear" w:pos="794"/>
        <w:tab w:val="clear" w:pos="1191"/>
        <w:tab w:val="clear" w:pos="1588"/>
        <w:tab w:val="clear" w:pos="1985"/>
      </w:tabs>
      <w:spacing w:before="0" w:after="113"/>
      <w:jc w:val="center"/>
    </w:pPr>
    <w:rPr>
      <w:b/>
      <w:lang w:val="en-GB"/>
    </w:rPr>
  </w:style>
  <w:style w:type="paragraph" w:customStyle="1" w:styleId="Title4">
    <w:name w:val="Title 4"/>
    <w:basedOn w:val="Normal"/>
    <w:next w:val="Heading1"/>
    <w:rsid w:val="009F72F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b/>
      <w:sz w:val="28"/>
      <w:lang w:val="en-GB"/>
    </w:rPr>
  </w:style>
  <w:style w:type="character" w:customStyle="1" w:styleId="FootnoteTextChar">
    <w:name w:val="Footnote Text Char"/>
    <w:basedOn w:val="DefaultParagraphFont"/>
    <w:link w:val="FootnoteText"/>
    <w:rsid w:val="00FA6080"/>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http://www.itu.int/publ/R-REC/es" TargetMode="External"/><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s" TargetMode="Externa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oleObject" Target="embeddings/oleObject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054A40-0891-4E52-A491-08FF501B9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80</TotalTime>
  <Pages>8</Pages>
  <Words>2172</Words>
  <Characters>12301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14445</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19</cp:revision>
  <cp:lastPrinted>2017-10-10T07:20:00Z</cp:lastPrinted>
  <dcterms:created xsi:type="dcterms:W3CDTF">2017-10-09T13:27:00Z</dcterms:created>
  <dcterms:modified xsi:type="dcterms:W3CDTF">2017-10-10T07:28:00Z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