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292" w:rsidRPr="00575CB8" w:rsidRDefault="00042292" w:rsidP="00042292">
      <w:pPr>
        <w:rPr>
          <w:lang w:val="en-US"/>
        </w:rPr>
      </w:pPr>
    </w:p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tbl>
      <w:tblPr>
        <w:tblW w:w="10089" w:type="dxa"/>
        <w:tblLook w:val="01E0"/>
      </w:tblPr>
      <w:tblGrid>
        <w:gridCol w:w="10089"/>
      </w:tblGrid>
      <w:tr w:rsidR="00042292" w:rsidRPr="00A07AEB" w:rsidTr="00A07AEB">
        <w:tc>
          <w:tcPr>
            <w:tcW w:w="10089" w:type="dxa"/>
          </w:tcPr>
          <w:p w:rsidR="00042292" w:rsidRPr="00A07AEB" w:rsidRDefault="00042292" w:rsidP="00A07AE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42292" w:rsidRPr="00A07AEB" w:rsidRDefault="00042292" w:rsidP="006250C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M.</w:t>
            </w:r>
            <w:r w:rsidR="006250C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1471-1</w:t>
            </w:r>
          </w:p>
          <w:p w:rsidR="00042292" w:rsidRPr="00A07AEB" w:rsidRDefault="00042292" w:rsidP="006250C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6250C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01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6250C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2010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042292" w:rsidRPr="000C178C" w:rsidTr="00A07AEB">
        <w:tc>
          <w:tcPr>
            <w:tcW w:w="10089" w:type="dxa"/>
          </w:tcPr>
          <w:p w:rsidR="00042292" w:rsidRPr="00A07AEB" w:rsidRDefault="00042292" w:rsidP="00A07AE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042292" w:rsidRPr="00A07AEB" w:rsidRDefault="006250C1" w:rsidP="00F3791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  <w:r w:rsidRPr="00C1034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Orientaciones para facilitar la coordinación y la utilización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C1034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de las bandas</w:t>
            </w:r>
            <w:r w:rsidR="00F3791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C1034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de frecuencias compartidas entre el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C1034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servicio móvil</w:t>
            </w:r>
            <w:r w:rsidR="00F3791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C1034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por satélite y el servicio fijo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C1034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en la gama</w:t>
            </w:r>
            <w:r w:rsidR="00F3791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</w:r>
            <w:r w:rsidRPr="00C1034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de frecuencias 1-3 GHz</w:t>
            </w:r>
          </w:p>
          <w:p w:rsidR="00042292" w:rsidRPr="00A07AEB" w:rsidRDefault="00042292" w:rsidP="00A07AE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042292" w:rsidRPr="000C178C" w:rsidTr="00A07AEB">
        <w:tc>
          <w:tcPr>
            <w:tcW w:w="10089" w:type="dxa"/>
          </w:tcPr>
          <w:p w:rsidR="00042292" w:rsidRPr="00A07AEB" w:rsidRDefault="00042292" w:rsidP="00A07AE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A07AEB" w:rsidRDefault="00042292" w:rsidP="00A07AE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A07AEB" w:rsidRDefault="00042292" w:rsidP="00A07AE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M</w:t>
            </w:r>
          </w:p>
          <w:p w:rsidR="00042292" w:rsidRPr="00A07AEB" w:rsidRDefault="00042292" w:rsidP="00A07AE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Servicios móviles, de radiodeterminación,</w:t>
            </w:r>
            <w:r w:rsidR="00410F5B"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de aficionados y otros servicios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por satélite conexos</w:t>
            </w:r>
          </w:p>
        </w:tc>
      </w:tr>
    </w:tbl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042292" w:rsidRPr="0026666F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42292" w:rsidRPr="006C718C" w:rsidRDefault="00042292" w:rsidP="00042292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042292" w:rsidRPr="006C718C" w:rsidRDefault="00042292" w:rsidP="00042292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042292" w:rsidRPr="006C718C" w:rsidRDefault="00042292" w:rsidP="00042292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042292" w:rsidRPr="00021E8A" w:rsidRDefault="00042292" w:rsidP="00042292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</w:t>
      </w:r>
      <w:proofErr w:type="spellStart"/>
      <w:r w:rsidRPr="00021E8A">
        <w:rPr>
          <w:szCs w:val="24"/>
          <w:lang w:val="es-ES_tradnl"/>
        </w:rPr>
        <w:t>IPR</w:t>
      </w:r>
      <w:proofErr w:type="spellEnd"/>
      <w:r w:rsidRPr="00021E8A">
        <w:rPr>
          <w:szCs w:val="24"/>
          <w:lang w:val="es-ES_tradnl"/>
        </w:rPr>
        <w:t>)</w:t>
      </w:r>
    </w:p>
    <w:p w:rsidR="00042292" w:rsidRPr="00021E8A" w:rsidRDefault="00042292" w:rsidP="00042292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 xml:space="preserve">La política del 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R</w:t>
      </w:r>
      <w:proofErr w:type="spellEnd"/>
      <w:r w:rsidRPr="00021E8A">
        <w:rPr>
          <w:sz w:val="20"/>
          <w:lang w:val="es-ES_tradnl"/>
        </w:rPr>
        <w:t xml:space="preserve"> sobre Derechos de Propiedad Intelectual se describe en la Política Común de Patentes 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T</w:t>
      </w:r>
      <w:proofErr w:type="spellEnd"/>
      <w:r w:rsidRPr="00021E8A">
        <w:rPr>
          <w:sz w:val="20"/>
          <w:lang w:val="es-ES_tradnl"/>
        </w:rPr>
        <w:t>/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R</w:t>
      </w:r>
      <w:proofErr w:type="spellEnd"/>
      <w:r w:rsidRPr="00021E8A">
        <w:rPr>
          <w:sz w:val="20"/>
          <w:lang w:val="es-ES_tradnl"/>
        </w:rPr>
        <w:t>/ISO/</w:t>
      </w:r>
      <w:proofErr w:type="spellStart"/>
      <w:r w:rsidRPr="00021E8A">
        <w:rPr>
          <w:sz w:val="20"/>
          <w:lang w:val="es-ES_tradnl"/>
        </w:rPr>
        <w:t>CEI</w:t>
      </w:r>
      <w:proofErr w:type="spellEnd"/>
      <w:r w:rsidRPr="00021E8A">
        <w:rPr>
          <w:sz w:val="20"/>
          <w:lang w:val="es-ES_tradnl"/>
        </w:rPr>
        <w:t xml:space="preserve"> a la que se hace referencia en el Anexo 1 a la Resolución 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R</w:t>
      </w:r>
      <w:proofErr w:type="spellEnd"/>
      <w:r w:rsidRPr="00021E8A">
        <w:rPr>
          <w:sz w:val="20"/>
          <w:lang w:val="es-ES_tradnl"/>
        </w:rPr>
        <w:t xml:space="preserve">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 xml:space="preserve">, donde también aparecen las Directrices para la implementación de la Política Común de Patentes 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T</w:t>
      </w:r>
      <w:proofErr w:type="spellEnd"/>
      <w:r w:rsidRPr="00021E8A">
        <w:rPr>
          <w:sz w:val="20"/>
          <w:lang w:val="es-ES_tradnl"/>
        </w:rPr>
        <w:t>/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R</w:t>
      </w:r>
      <w:proofErr w:type="spellEnd"/>
      <w:r w:rsidRPr="00021E8A">
        <w:rPr>
          <w:sz w:val="20"/>
          <w:lang w:val="es-ES_tradnl"/>
        </w:rPr>
        <w:t>/ISO/</w:t>
      </w:r>
      <w:proofErr w:type="spellStart"/>
      <w:r w:rsidRPr="00021E8A">
        <w:rPr>
          <w:sz w:val="20"/>
          <w:lang w:val="es-ES_tradnl"/>
        </w:rPr>
        <w:t>CEI</w:t>
      </w:r>
      <w:proofErr w:type="spellEnd"/>
      <w:r w:rsidRPr="00021E8A">
        <w:rPr>
          <w:sz w:val="20"/>
          <w:lang w:val="es-ES_tradnl"/>
        </w:rPr>
        <w:t xml:space="preserve"> y la base de datos sobre información de patentes del 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R</w:t>
      </w:r>
      <w:proofErr w:type="spellEnd"/>
      <w:r w:rsidRPr="00021E8A">
        <w:rPr>
          <w:sz w:val="20"/>
          <w:lang w:val="es-ES_tradnl"/>
        </w:rPr>
        <w:t xml:space="preserve"> sobre este asunto.</w:t>
      </w:r>
    </w:p>
    <w:p w:rsidR="00042292" w:rsidRPr="007C36CA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C36CA" w:rsidRDefault="00042292" w:rsidP="00042292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042292" w:rsidRPr="000C178C" w:rsidTr="00CB1354">
        <w:tc>
          <w:tcPr>
            <w:tcW w:w="9360" w:type="dxa"/>
            <w:gridSpan w:val="2"/>
          </w:tcPr>
          <w:p w:rsidR="00042292" w:rsidRPr="00021E8A" w:rsidRDefault="00042292" w:rsidP="00CB135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042292" w:rsidRPr="00763D08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042292" w:rsidRPr="00036EE3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Distribución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por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satélite</w:t>
            </w:r>
            <w:proofErr w:type="spellEnd"/>
          </w:p>
        </w:tc>
      </w:tr>
      <w:tr w:rsidR="00042292" w:rsidRPr="000C178C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021E8A">
              <w:rPr>
                <w:b w:val="0"/>
                <w:bCs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sonora</w:t>
            </w:r>
            <w:proofErr w:type="spellEnd"/>
          </w:p>
        </w:tc>
      </w:tr>
      <w:tr w:rsidR="00042292" w:rsidRPr="00ED2695" w:rsidTr="00CB1354">
        <w:tc>
          <w:tcPr>
            <w:tcW w:w="1140" w:type="dxa"/>
            <w:shd w:val="clear" w:color="auto" w:fill="auto"/>
          </w:tcPr>
          <w:p w:rsidR="00042292" w:rsidRPr="00ED2695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042292" w:rsidRPr="00036EE3" w:rsidTr="00CB1354">
        <w:tc>
          <w:tcPr>
            <w:tcW w:w="1140" w:type="dxa"/>
            <w:shd w:val="clear" w:color="auto" w:fill="auto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042292" w:rsidRPr="00021E8A" w:rsidRDefault="00042292" w:rsidP="00CB135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</w:p>
        </w:tc>
      </w:tr>
      <w:tr w:rsidR="00042292" w:rsidRPr="000C178C" w:rsidTr="00CB1354">
        <w:tc>
          <w:tcPr>
            <w:tcW w:w="1140" w:type="dxa"/>
            <w:shd w:val="clear" w:color="auto" w:fill="F3F3F3"/>
          </w:tcPr>
          <w:p w:rsidR="00042292" w:rsidRPr="001240BC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1240BC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042292" w:rsidRPr="001240BC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s-ES_tradnl"/>
              </w:rPr>
            </w:pPr>
            <w:r w:rsidRPr="001240BC">
              <w:rPr>
                <w:bCs/>
                <w:color w:val="000080"/>
                <w:sz w:val="20"/>
                <w:lang w:val="es-ES_tradnl"/>
              </w:rPr>
              <w:t>Servicios móviles, de radiodeterminación, de aficionados y otros servicios por satélite conexos</w:t>
            </w:r>
          </w:p>
        </w:tc>
      </w:tr>
      <w:tr w:rsidR="00042292" w:rsidRPr="000C178C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 xml:space="preserve">Radio </w:t>
            </w:r>
            <w:proofErr w:type="spellStart"/>
            <w:r w:rsidRPr="00021E8A">
              <w:rPr>
                <w:bCs/>
                <w:sz w:val="20"/>
              </w:rPr>
              <w:t>astronomía</w:t>
            </w:r>
            <w:proofErr w:type="spellEnd"/>
          </w:p>
        </w:tc>
      </w:tr>
      <w:tr w:rsidR="00042292" w:rsidRPr="000C178C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Aplicaciones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espaciales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meteorología</w:t>
            </w:r>
            <w:proofErr w:type="spellEnd"/>
          </w:p>
        </w:tc>
      </w:tr>
      <w:tr w:rsidR="00042292" w:rsidRPr="000C178C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042292" w:rsidRPr="00036EE3" w:rsidTr="00CB1354">
        <w:tc>
          <w:tcPr>
            <w:tcW w:w="1140" w:type="dxa"/>
            <w:shd w:val="clear" w:color="auto" w:fill="auto"/>
          </w:tcPr>
          <w:p w:rsidR="00042292" w:rsidRPr="001240BC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042292" w:rsidRPr="001240BC" w:rsidRDefault="00042292" w:rsidP="00CB135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1240BC">
              <w:rPr>
                <w:sz w:val="20"/>
              </w:rPr>
              <w:t>Gestión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del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espectro</w:t>
            </w:r>
            <w:proofErr w:type="spellEnd"/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proofErr w:type="spellStart"/>
            <w:r w:rsidRPr="00036EE3">
              <w:rPr>
                <w:b/>
                <w:bCs/>
                <w:sz w:val="20"/>
                <w:lang w:val="en-US"/>
              </w:rPr>
              <w:t>SNG</w:t>
            </w:r>
            <w:proofErr w:type="spellEnd"/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042292" w:rsidRPr="000C178C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proofErr w:type="spellStart"/>
            <w:r w:rsidRPr="00036EE3">
              <w:rPr>
                <w:b/>
                <w:bCs/>
                <w:sz w:val="20"/>
                <w:lang w:val="en-US"/>
              </w:rPr>
              <w:t>TF</w:t>
            </w:r>
            <w:proofErr w:type="spellEnd"/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042292" w:rsidRPr="00036EE3" w:rsidRDefault="00042292" w:rsidP="00042292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/>
      </w:tblPr>
      <w:tblGrid>
        <w:gridCol w:w="720"/>
      </w:tblGrid>
      <w:tr w:rsidR="00042292" w:rsidTr="00CB1354">
        <w:tc>
          <w:tcPr>
            <w:tcW w:w="720" w:type="dxa"/>
          </w:tcPr>
          <w:p w:rsidR="00042292" w:rsidRDefault="00042292" w:rsidP="00CB135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/>
      </w:tblPr>
      <w:tblGrid>
        <w:gridCol w:w="9360"/>
      </w:tblGrid>
      <w:tr w:rsidR="00042292" w:rsidRPr="000C178C" w:rsidTr="00A07AEB">
        <w:tc>
          <w:tcPr>
            <w:tcW w:w="9360" w:type="dxa"/>
          </w:tcPr>
          <w:p w:rsidR="00042292" w:rsidRPr="00A07AEB" w:rsidRDefault="00042292" w:rsidP="00A07AEB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A07AEB">
              <w:rPr>
                <w:b/>
                <w:bCs/>
                <w:i/>
                <w:iCs/>
                <w:sz w:val="20"/>
                <w:lang w:val="es-ES_tradnl"/>
              </w:rPr>
              <w:t xml:space="preserve">         Nota</w:t>
            </w:r>
            <w:r w:rsidRPr="00A07AEB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A07AEB">
              <w:rPr>
                <w:i/>
                <w:iCs/>
                <w:sz w:val="20"/>
                <w:lang w:val="es-ES_tradnl"/>
              </w:rPr>
              <w:br/>
              <w:t xml:space="preserve">        Resolución UIT-R 1.</w:t>
            </w:r>
          </w:p>
        </w:tc>
      </w:tr>
    </w:tbl>
    <w:p w:rsidR="00042292" w:rsidRPr="00763D08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63D08" w:rsidRDefault="00042292" w:rsidP="00042292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042292" w:rsidRPr="00763D08" w:rsidRDefault="00042292" w:rsidP="001B26B3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1B26B3">
        <w:rPr>
          <w:sz w:val="20"/>
          <w:lang w:val="es-ES_tradnl"/>
        </w:rPr>
        <w:t>10</w:t>
      </w:r>
    </w:p>
    <w:p w:rsidR="00042292" w:rsidRPr="00763D08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63D08" w:rsidRDefault="00042292" w:rsidP="001B26B3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1" w:name="iiannee"/>
      <w:bookmarkEnd w:id="1"/>
      <w:r w:rsidRPr="00763D08">
        <w:rPr>
          <w:sz w:val="20"/>
          <w:lang w:val="es-ES_tradnl"/>
        </w:rPr>
        <w:t>20</w:t>
      </w:r>
      <w:r w:rsidR="001B26B3">
        <w:rPr>
          <w:sz w:val="20"/>
          <w:lang w:val="es-ES_tradnl"/>
        </w:rPr>
        <w:t>10</w:t>
      </w:r>
    </w:p>
    <w:p w:rsidR="00042292" w:rsidRPr="006C718C" w:rsidRDefault="00042292" w:rsidP="00042292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042292" w:rsidRPr="006C718C" w:rsidRDefault="00042292" w:rsidP="00042292">
      <w:pPr>
        <w:spacing w:before="160"/>
        <w:rPr>
          <w:i/>
          <w:sz w:val="20"/>
          <w:highlight w:val="yellow"/>
          <w:lang w:val="es-ES_tradnl"/>
        </w:rPr>
        <w:sectPr w:rsidR="00042292" w:rsidRPr="006C718C" w:rsidSect="00CB135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6250C1" w:rsidRDefault="006250C1" w:rsidP="006250C1">
      <w:pPr>
        <w:pStyle w:val="RecNo"/>
        <w:spacing w:before="0"/>
        <w:rPr>
          <w:lang w:val="es-ES_tradnl"/>
        </w:rPr>
      </w:pPr>
      <w:bookmarkStart w:id="2" w:name="irecnoe"/>
      <w:bookmarkEnd w:id="2"/>
      <w:r w:rsidRPr="00763D08">
        <w:rPr>
          <w:lang w:val="es-ES_tradnl"/>
        </w:rPr>
        <w:lastRenderedPageBreak/>
        <w:t xml:space="preserve">RECOMENDACIÓN  </w:t>
      </w:r>
      <w:r w:rsidRPr="00763D08">
        <w:rPr>
          <w:rStyle w:val="href"/>
          <w:lang w:val="es-ES_tradnl"/>
        </w:rPr>
        <w:t>UIT-R  M.1</w:t>
      </w:r>
      <w:r>
        <w:rPr>
          <w:rStyle w:val="href"/>
          <w:lang w:val="es-ES_tradnl"/>
        </w:rPr>
        <w:t>471-1</w:t>
      </w:r>
      <w:r w:rsidR="00F3791F">
        <w:rPr>
          <w:rStyle w:val="FootnoteReference"/>
          <w:lang w:val="es-ES_tradnl"/>
        </w:rPr>
        <w:footnoteReference w:customMarkFollows="1" w:id="1"/>
        <w:t>*</w:t>
      </w:r>
    </w:p>
    <w:p w:rsidR="00042292" w:rsidRDefault="006250C1" w:rsidP="00C71E18">
      <w:pPr>
        <w:pStyle w:val="Rectitle"/>
        <w:rPr>
          <w:lang w:val="es-ES_tradnl"/>
        </w:rPr>
      </w:pPr>
      <w:r w:rsidRPr="00EE3541">
        <w:rPr>
          <w:lang w:val="es-ES_tradnl"/>
        </w:rPr>
        <w:t>Orientaciones para facilitar la coordinación y la utilización</w:t>
      </w:r>
      <w:r w:rsidR="00C71E18">
        <w:rPr>
          <w:lang w:val="es-ES_tradnl"/>
        </w:rPr>
        <w:br/>
      </w:r>
      <w:r w:rsidRPr="00EE3541">
        <w:rPr>
          <w:lang w:val="es-ES_tradnl"/>
        </w:rPr>
        <w:t>de las bandas</w:t>
      </w:r>
      <w:r w:rsidR="00F3791F">
        <w:rPr>
          <w:lang w:val="es-ES_tradnl"/>
        </w:rPr>
        <w:t xml:space="preserve"> </w:t>
      </w:r>
      <w:r w:rsidRPr="00EE3541">
        <w:rPr>
          <w:lang w:val="es-ES_tradnl"/>
        </w:rPr>
        <w:t>de</w:t>
      </w:r>
      <w:r w:rsidR="00C71E18">
        <w:rPr>
          <w:lang w:val="es-ES_tradnl"/>
        </w:rPr>
        <w:t xml:space="preserve"> </w:t>
      </w:r>
      <w:r w:rsidRPr="00EE3541">
        <w:rPr>
          <w:lang w:val="es-ES_tradnl"/>
        </w:rPr>
        <w:t>frecuencias compartidas entre</w:t>
      </w:r>
      <w:r w:rsidR="00C71E18">
        <w:rPr>
          <w:lang w:val="es-ES_tradnl"/>
        </w:rPr>
        <w:br/>
      </w:r>
      <w:r w:rsidRPr="00EE3541">
        <w:rPr>
          <w:lang w:val="es-ES_tradnl"/>
        </w:rPr>
        <w:t>el</w:t>
      </w:r>
      <w:r w:rsidR="00F3791F">
        <w:rPr>
          <w:lang w:val="es-ES_tradnl"/>
        </w:rPr>
        <w:t xml:space="preserve"> </w:t>
      </w:r>
      <w:r w:rsidRPr="00EE3541">
        <w:rPr>
          <w:lang w:val="es-ES_tradnl"/>
        </w:rPr>
        <w:t>servicio móvil por satélite</w:t>
      </w:r>
      <w:r w:rsidR="00C71E18">
        <w:rPr>
          <w:lang w:val="es-ES_tradnl"/>
        </w:rPr>
        <w:t xml:space="preserve"> </w:t>
      </w:r>
      <w:r w:rsidRPr="00EE3541">
        <w:rPr>
          <w:lang w:val="es-ES_tradnl"/>
        </w:rPr>
        <w:t>y el servicio fijo</w:t>
      </w:r>
      <w:r w:rsidR="00C71E18">
        <w:rPr>
          <w:lang w:val="es-ES_tradnl"/>
        </w:rPr>
        <w:br/>
      </w:r>
      <w:r w:rsidRPr="00EE3541">
        <w:rPr>
          <w:lang w:val="es-ES_tradnl"/>
        </w:rPr>
        <w:t>en la gama de frecuencias 1-3 GHz</w:t>
      </w:r>
    </w:p>
    <w:p w:rsidR="006250C1" w:rsidRDefault="006250C1" w:rsidP="006250C1">
      <w:pPr>
        <w:pStyle w:val="Recref"/>
        <w:rPr>
          <w:caps/>
          <w:lang w:val="es-ES_tradnl"/>
        </w:rPr>
      </w:pPr>
      <w:r>
        <w:rPr>
          <w:caps/>
          <w:lang w:val="es-ES_tradnl"/>
        </w:rPr>
        <w:t>(</w:t>
      </w:r>
      <w:r w:rsidRPr="006345AC">
        <w:rPr>
          <w:szCs w:val="24"/>
          <w:lang w:val="es-ES"/>
        </w:rPr>
        <w:t>Cuestio</w:t>
      </w:r>
      <w:r>
        <w:rPr>
          <w:szCs w:val="24"/>
          <w:lang w:val="es-ES"/>
        </w:rPr>
        <w:t xml:space="preserve">nes </w:t>
      </w:r>
      <w:proofErr w:type="spellStart"/>
      <w:r>
        <w:rPr>
          <w:szCs w:val="24"/>
          <w:lang w:val="es-ES"/>
        </w:rPr>
        <w:t>UIT</w:t>
      </w:r>
      <w:proofErr w:type="spellEnd"/>
      <w:r>
        <w:rPr>
          <w:szCs w:val="24"/>
          <w:lang w:val="es-ES"/>
        </w:rPr>
        <w:t>-R 201</w:t>
      </w:r>
      <w:r w:rsidRPr="006345AC">
        <w:rPr>
          <w:szCs w:val="24"/>
          <w:lang w:val="es-ES"/>
        </w:rPr>
        <w:t>/</w:t>
      </w:r>
      <w:r>
        <w:rPr>
          <w:szCs w:val="24"/>
          <w:lang w:val="es-ES"/>
        </w:rPr>
        <w:t>4</w:t>
      </w:r>
      <w:r w:rsidRPr="006345AC">
        <w:rPr>
          <w:szCs w:val="24"/>
          <w:lang w:val="es-ES"/>
        </w:rPr>
        <w:t xml:space="preserve"> y </w:t>
      </w:r>
      <w:proofErr w:type="spellStart"/>
      <w:r w:rsidRPr="006345AC">
        <w:rPr>
          <w:szCs w:val="24"/>
          <w:lang w:val="es-ES"/>
        </w:rPr>
        <w:t>UIT</w:t>
      </w:r>
      <w:proofErr w:type="spellEnd"/>
      <w:r w:rsidRPr="006345AC">
        <w:rPr>
          <w:szCs w:val="24"/>
          <w:lang w:val="es-ES"/>
        </w:rPr>
        <w:t xml:space="preserve">-R </w:t>
      </w:r>
      <w:r>
        <w:rPr>
          <w:szCs w:val="24"/>
          <w:lang w:val="es-ES"/>
        </w:rPr>
        <w:t>118</w:t>
      </w:r>
      <w:r w:rsidRPr="006345AC">
        <w:rPr>
          <w:szCs w:val="24"/>
          <w:lang w:val="es-ES"/>
        </w:rPr>
        <w:t>/</w:t>
      </w:r>
      <w:r>
        <w:rPr>
          <w:szCs w:val="24"/>
          <w:lang w:val="es-ES"/>
        </w:rPr>
        <w:t>5</w:t>
      </w:r>
      <w:r>
        <w:rPr>
          <w:caps/>
          <w:lang w:val="es-ES_tradnl"/>
        </w:rPr>
        <w:t>)</w:t>
      </w:r>
    </w:p>
    <w:p w:rsidR="00C71E18" w:rsidRDefault="00C71E18" w:rsidP="006250C1">
      <w:pPr>
        <w:pStyle w:val="Recdate"/>
        <w:rPr>
          <w:lang w:val="es-ES_tradnl"/>
        </w:rPr>
      </w:pPr>
    </w:p>
    <w:p w:rsidR="006250C1" w:rsidRPr="006250C1" w:rsidRDefault="006250C1" w:rsidP="006250C1">
      <w:pPr>
        <w:pStyle w:val="Recdate"/>
        <w:rPr>
          <w:lang w:val="es-ES_tradnl"/>
        </w:rPr>
      </w:pPr>
      <w:r>
        <w:rPr>
          <w:lang w:val="es-ES_tradnl"/>
        </w:rPr>
        <w:t>(2000-2010)</w:t>
      </w:r>
    </w:p>
    <w:p w:rsidR="00C71E18" w:rsidRPr="000C178C" w:rsidRDefault="00C71E18" w:rsidP="00C71E18">
      <w:pPr>
        <w:rPr>
          <w:lang w:val="es-ES_tradnl"/>
        </w:rPr>
      </w:pPr>
    </w:p>
    <w:p w:rsidR="006250C1" w:rsidRPr="00B8162D" w:rsidRDefault="006250C1" w:rsidP="006250C1">
      <w:pPr>
        <w:pStyle w:val="HeadingSum"/>
      </w:pPr>
      <w:r>
        <w:t>Cometido</w:t>
      </w:r>
    </w:p>
    <w:p w:rsidR="006250C1" w:rsidRPr="00B8162D" w:rsidRDefault="006250C1" w:rsidP="006250C1">
      <w:pPr>
        <w:pStyle w:val="Summary"/>
      </w:pPr>
      <w:r>
        <w:t>En la presente Recomendación se facilita un índice analítico en el que se identifican diversas Recomendaciones del UIT-R en las que se abordan distintos aspectos de la compartición de frecuencias entre el</w:t>
      </w:r>
      <w:r w:rsidR="000C178C">
        <w:t xml:space="preserve"> servicio fijo y el servicio fijo por satélite </w:t>
      </w:r>
      <w:r>
        <w:t>(</w:t>
      </w:r>
      <w:proofErr w:type="spellStart"/>
      <w:r>
        <w:t>SMS</w:t>
      </w:r>
      <w:proofErr w:type="spellEnd"/>
      <w:r>
        <w:t>). También se clasifican las citadas Recomendaciones a fin de facilitar su aplicación.</w:t>
      </w:r>
    </w:p>
    <w:p w:rsidR="006250C1" w:rsidRPr="00BD27BE" w:rsidRDefault="006250C1" w:rsidP="006250C1">
      <w:pPr>
        <w:pStyle w:val="Normalaftertitle"/>
        <w:rPr>
          <w:lang w:val="es-ES_tradnl"/>
        </w:rPr>
      </w:pPr>
      <w:r w:rsidRPr="00BD27BE">
        <w:rPr>
          <w:lang w:val="es-ES_tradnl"/>
        </w:rPr>
        <w:t>La Asamblea de Radiocomunicaciones de la UIT,</w:t>
      </w:r>
    </w:p>
    <w:p w:rsidR="006250C1" w:rsidRPr="00BD27BE" w:rsidRDefault="006250C1" w:rsidP="006250C1">
      <w:pPr>
        <w:pStyle w:val="Call"/>
        <w:rPr>
          <w:lang w:val="es-ES_tradnl"/>
        </w:rPr>
      </w:pPr>
      <w:r w:rsidRPr="00BD27BE">
        <w:rPr>
          <w:lang w:val="es-ES_tradnl"/>
        </w:rPr>
        <w:t>considerando</w:t>
      </w:r>
    </w:p>
    <w:p w:rsidR="006250C1" w:rsidRPr="00BD27BE" w:rsidRDefault="006250C1" w:rsidP="006250C1">
      <w:pPr>
        <w:rPr>
          <w:lang w:val="es-ES_tradnl"/>
        </w:rPr>
      </w:pPr>
      <w:r w:rsidRPr="00BD27BE">
        <w:rPr>
          <w:lang w:val="es-ES_tradnl"/>
        </w:rPr>
        <w:t>a)</w:t>
      </w:r>
      <w:r w:rsidRPr="00BD27BE">
        <w:rPr>
          <w:lang w:val="es-ES_tradnl"/>
        </w:rPr>
        <w:tab/>
        <w:t>que hay atribuidos varios tramos de la gama de frecuencias 1</w:t>
      </w:r>
      <w:r w:rsidRPr="00BD27BE">
        <w:rPr>
          <w:lang w:val="es-ES_tradnl"/>
        </w:rPr>
        <w:noBreakHyphen/>
        <w:t>3 GHz al servicio fijo y que muchas administraciones continúan utilizando dicho servicio ampliamente;</w:t>
      </w:r>
    </w:p>
    <w:p w:rsidR="006250C1" w:rsidRPr="00BD27BE" w:rsidRDefault="006250C1" w:rsidP="006250C1">
      <w:pPr>
        <w:rPr>
          <w:lang w:val="es-ES_tradnl"/>
        </w:rPr>
      </w:pPr>
      <w:r w:rsidRPr="00BD27BE">
        <w:rPr>
          <w:lang w:val="es-ES_tradnl"/>
        </w:rPr>
        <w:t>b)</w:t>
      </w:r>
      <w:r w:rsidRPr="00BD27BE">
        <w:rPr>
          <w:lang w:val="es-ES_tradnl"/>
        </w:rPr>
        <w:tab/>
        <w:t xml:space="preserve">que las recientes conferencias mundiales de radiocomunicaciones han efectuado nuevas atribuciones al </w:t>
      </w:r>
      <w:proofErr w:type="spellStart"/>
      <w:r w:rsidRPr="00BD27BE">
        <w:rPr>
          <w:lang w:val="es-ES_tradnl"/>
        </w:rPr>
        <w:t>SMS</w:t>
      </w:r>
      <w:proofErr w:type="spellEnd"/>
      <w:r w:rsidRPr="00BD27BE">
        <w:rPr>
          <w:lang w:val="es-ES_tradnl"/>
        </w:rPr>
        <w:t xml:space="preserve"> en la gama de frecuencias 1</w:t>
      </w:r>
      <w:r w:rsidRPr="00BD27BE">
        <w:rPr>
          <w:lang w:val="es-ES_tradnl"/>
        </w:rPr>
        <w:noBreakHyphen/>
        <w:t>3 GHz;</w:t>
      </w:r>
    </w:p>
    <w:p w:rsidR="006250C1" w:rsidRPr="00BD27BE" w:rsidRDefault="006250C1" w:rsidP="006250C1">
      <w:pPr>
        <w:spacing w:line="0" w:lineRule="atLeast"/>
        <w:rPr>
          <w:lang w:val="es-ES_tradnl"/>
        </w:rPr>
      </w:pPr>
      <w:r w:rsidRPr="00BD27BE">
        <w:rPr>
          <w:lang w:val="es-ES_tradnl"/>
        </w:rPr>
        <w:t>c)</w:t>
      </w:r>
      <w:r w:rsidRPr="00BD27BE">
        <w:rPr>
          <w:lang w:val="es-ES_tradnl"/>
        </w:rPr>
        <w:tab/>
        <w:t xml:space="preserve">que la mayoría de las nuevas atribuciones al </w:t>
      </w:r>
      <w:proofErr w:type="spellStart"/>
      <w:r w:rsidRPr="00BD27BE">
        <w:rPr>
          <w:lang w:val="es-ES_tradnl"/>
        </w:rPr>
        <w:t>SMS</w:t>
      </w:r>
      <w:proofErr w:type="spellEnd"/>
      <w:r w:rsidRPr="00BD27BE">
        <w:rPr>
          <w:lang w:val="es-ES_tradnl"/>
        </w:rPr>
        <w:t xml:space="preserve"> en la gama de frecuencias 1</w:t>
      </w:r>
      <w:r w:rsidRPr="00BD27BE">
        <w:rPr>
          <w:lang w:val="es-ES_tradnl"/>
        </w:rPr>
        <w:noBreakHyphen/>
        <w:t>3 GHz se han efectuado en bandas de frecuencias que ya estaban atribuidas al servicio fijo;</w:t>
      </w:r>
    </w:p>
    <w:p w:rsidR="006250C1" w:rsidRPr="00BD27BE" w:rsidRDefault="006250C1" w:rsidP="006250C1">
      <w:pPr>
        <w:spacing w:line="0" w:lineRule="atLeast"/>
        <w:rPr>
          <w:lang w:val="es-ES_tradnl"/>
        </w:rPr>
      </w:pPr>
      <w:r w:rsidRPr="00BD27BE">
        <w:rPr>
          <w:lang w:val="es-ES_tradnl"/>
        </w:rPr>
        <w:t>d)</w:t>
      </w:r>
      <w:r w:rsidRPr="00BD27BE">
        <w:rPr>
          <w:lang w:val="es-ES_tradnl"/>
        </w:rPr>
        <w:tab/>
        <w:t xml:space="preserve">que hay numerosas Recomendaciones UIT-R relativas a los diversos aspectos de la compartición de frecuencias entre el servicio fijo y el </w:t>
      </w:r>
      <w:proofErr w:type="spellStart"/>
      <w:r w:rsidRPr="00BD27BE">
        <w:rPr>
          <w:lang w:val="es-ES_tradnl"/>
        </w:rPr>
        <w:t>SMS</w:t>
      </w:r>
      <w:proofErr w:type="spellEnd"/>
      <w:r w:rsidRPr="00BD27BE">
        <w:rPr>
          <w:lang w:val="es-ES_tradnl"/>
        </w:rPr>
        <w:t xml:space="preserve"> y que un índice analítico que identifique y clasifique estas Recomendaciones facilitará su aplicación;</w:t>
      </w:r>
    </w:p>
    <w:p w:rsidR="006250C1" w:rsidRPr="00BD27BE" w:rsidRDefault="006250C1" w:rsidP="006250C1">
      <w:pPr>
        <w:spacing w:line="0" w:lineRule="atLeast"/>
        <w:rPr>
          <w:lang w:val="es-ES_tradnl"/>
        </w:rPr>
      </w:pPr>
      <w:r w:rsidRPr="00BD27BE">
        <w:rPr>
          <w:lang w:val="es-ES_tradnl"/>
        </w:rPr>
        <w:t>e)</w:t>
      </w:r>
      <w:r w:rsidRPr="00BD27BE">
        <w:rPr>
          <w:lang w:val="es-ES_tradnl"/>
        </w:rPr>
        <w:tab/>
        <w:t xml:space="preserve">que conforme al </w:t>
      </w:r>
      <w:r>
        <w:rPr>
          <w:lang w:val="es-ES_tradnl"/>
        </w:rPr>
        <w:t>A</w:t>
      </w:r>
      <w:r w:rsidRPr="00BD27BE">
        <w:rPr>
          <w:lang w:val="es-ES_tradnl"/>
        </w:rPr>
        <w:t xml:space="preserve">rtículo 9 y el </w:t>
      </w:r>
      <w:r>
        <w:rPr>
          <w:lang w:val="es-ES_tradnl"/>
        </w:rPr>
        <w:t>A</w:t>
      </w:r>
      <w:r w:rsidRPr="00BD27BE">
        <w:rPr>
          <w:lang w:val="es-ES_tradnl"/>
        </w:rPr>
        <w:t xml:space="preserve">péndice 7 del </w:t>
      </w:r>
      <w:r>
        <w:rPr>
          <w:lang w:val="es-ES_tradnl"/>
        </w:rPr>
        <w:t>Reglamento de Radiocomunicaciones (</w:t>
      </w:r>
      <w:proofErr w:type="spellStart"/>
      <w:r>
        <w:rPr>
          <w:lang w:val="es-ES_tradnl"/>
        </w:rPr>
        <w:t>RR</w:t>
      </w:r>
      <w:proofErr w:type="spellEnd"/>
      <w:r>
        <w:rPr>
          <w:lang w:val="es-ES_tradnl"/>
        </w:rPr>
        <w:t>)</w:t>
      </w:r>
      <w:r w:rsidRPr="00BD27BE">
        <w:rPr>
          <w:lang w:val="es-ES_tradnl"/>
        </w:rPr>
        <w:t>, se determina una zona de coordinación para identificar las estaciones del servicio fijo que podrían afectar a la explotación de las estaciones terrenas móviles (</w:t>
      </w:r>
      <w:proofErr w:type="spellStart"/>
      <w:r w:rsidRPr="00BD27BE">
        <w:rPr>
          <w:lang w:val="es-ES_tradnl"/>
        </w:rPr>
        <w:t>ETM</w:t>
      </w:r>
      <w:proofErr w:type="spellEnd"/>
      <w:r w:rsidRPr="00BD27BE">
        <w:rPr>
          <w:lang w:val="es-ES_tradnl"/>
        </w:rPr>
        <w:t xml:space="preserve">) o resultar afectadas por ellas y que a lo largo de la coordinación puede ser necesario efectuar </w:t>
      </w:r>
      <w:r>
        <w:rPr>
          <w:lang w:val="es-ES_tradnl"/>
        </w:rPr>
        <w:t xml:space="preserve">diversos </w:t>
      </w:r>
      <w:r w:rsidRPr="00BD27BE">
        <w:rPr>
          <w:lang w:val="es-ES_tradnl"/>
        </w:rPr>
        <w:t>análisis para definir con más detalle el potencial de interferencia e identificar limitaciones de diseño y de explotación que puedan ser necesarias para resolver posibles dificultades;</w:t>
      </w:r>
    </w:p>
    <w:p w:rsidR="006250C1" w:rsidRPr="00BD27BE" w:rsidRDefault="006250C1" w:rsidP="006250C1">
      <w:pPr>
        <w:spacing w:line="0" w:lineRule="atLeast"/>
        <w:rPr>
          <w:lang w:val="es-ES_tradnl"/>
        </w:rPr>
      </w:pPr>
      <w:r w:rsidRPr="00BD27BE">
        <w:rPr>
          <w:lang w:val="es-ES_tradnl"/>
        </w:rPr>
        <w:t>f)</w:t>
      </w:r>
      <w:r w:rsidRPr="00BD27BE">
        <w:rPr>
          <w:lang w:val="es-ES_tradnl"/>
        </w:rPr>
        <w:tab/>
        <w:t xml:space="preserve">que para prevenir la interferencia entre las transmisiones del </w:t>
      </w:r>
      <w:proofErr w:type="spellStart"/>
      <w:r w:rsidRPr="00BD27BE">
        <w:rPr>
          <w:lang w:val="es-ES_tradnl"/>
        </w:rPr>
        <w:t>SMS</w:t>
      </w:r>
      <w:proofErr w:type="spellEnd"/>
      <w:r w:rsidRPr="00BD27BE">
        <w:rPr>
          <w:lang w:val="es-ES_tradnl"/>
        </w:rPr>
        <w:t xml:space="preserve"> (</w:t>
      </w:r>
      <w:proofErr w:type="spellStart"/>
      <w:r w:rsidRPr="00BD27BE">
        <w:rPr>
          <w:lang w:val="es-ES_tradnl"/>
        </w:rPr>
        <w:t>espacio</w:t>
      </w:r>
      <w:r w:rsidRPr="00BD27BE">
        <w:rPr>
          <w:lang w:val="es-ES_tradnl"/>
        </w:rPr>
        <w:noBreakHyphen/>
        <w:t>Tierra</w:t>
      </w:r>
      <w:proofErr w:type="spellEnd"/>
      <w:r w:rsidRPr="00BD27BE">
        <w:rPr>
          <w:lang w:val="es-ES_tradnl"/>
        </w:rPr>
        <w:t xml:space="preserve">) y las estaciones receptoras del servicio fijo, el </w:t>
      </w:r>
      <w:proofErr w:type="spellStart"/>
      <w:r w:rsidRPr="00BD27BE">
        <w:rPr>
          <w:lang w:val="es-ES_tradnl"/>
        </w:rPr>
        <w:t>RR</w:t>
      </w:r>
      <w:proofErr w:type="spellEnd"/>
      <w:r w:rsidRPr="00BD27BE">
        <w:rPr>
          <w:lang w:val="es-ES_tradnl"/>
        </w:rPr>
        <w:t xml:space="preserve"> especifica umbrales de densidad de flujo de potencia y de la degradación fraccionaria de la calidad de funcionamiento, así como una metodología específica del sistema (</w:t>
      </w:r>
      <w:r>
        <w:rPr>
          <w:lang w:val="es-ES_tradnl"/>
        </w:rPr>
        <w:t>A</w:t>
      </w:r>
      <w:r w:rsidRPr="00BD27BE">
        <w:rPr>
          <w:lang w:val="es-ES_tradnl"/>
        </w:rPr>
        <w:t>péndice 5) para determinar si se requiere la coordinación y si pueden requerirse análisis para definir el potencial de interferencia, y las limitaciones del diseño y la explotación que pudieran ser precisas para res</w:t>
      </w:r>
      <w:r w:rsidR="000C178C">
        <w:rPr>
          <w:lang w:val="es-ES_tradnl"/>
        </w:rPr>
        <w:t>olver las posibles dificultades,</w:t>
      </w:r>
    </w:p>
    <w:p w:rsidR="006250C1" w:rsidRPr="00BD27BE" w:rsidRDefault="006250C1" w:rsidP="006250C1">
      <w:pPr>
        <w:pStyle w:val="Call"/>
        <w:rPr>
          <w:lang w:val="es-ES_tradnl"/>
        </w:rPr>
      </w:pPr>
      <w:r w:rsidRPr="00BD27BE">
        <w:rPr>
          <w:lang w:val="es-ES_tradnl"/>
        </w:rPr>
        <w:lastRenderedPageBreak/>
        <w:t>reconociendo</w:t>
      </w:r>
    </w:p>
    <w:p w:rsidR="006250C1" w:rsidRPr="00BD27BE" w:rsidRDefault="006250C1" w:rsidP="006250C1">
      <w:pPr>
        <w:spacing w:line="0" w:lineRule="atLeast"/>
        <w:rPr>
          <w:lang w:val="es-ES_tradnl"/>
        </w:rPr>
      </w:pPr>
      <w:r w:rsidRPr="00BD27BE">
        <w:rPr>
          <w:lang w:val="es-ES_tradnl"/>
        </w:rPr>
        <w:t>a)</w:t>
      </w:r>
      <w:r w:rsidRPr="00BD27BE">
        <w:rPr>
          <w:lang w:val="es-ES_tradnl"/>
        </w:rPr>
        <w:tab/>
        <w:t xml:space="preserve">que los factores específicos y metodologías aplicados a lo largo de la coordinación </w:t>
      </w:r>
      <w:r>
        <w:rPr>
          <w:lang w:val="es-ES_tradnl"/>
        </w:rPr>
        <w:t xml:space="preserve">están sujetos al </w:t>
      </w:r>
      <w:r w:rsidRPr="00BD27BE">
        <w:rPr>
          <w:lang w:val="es-ES_tradnl"/>
        </w:rPr>
        <w:t>acuerdo entre las partes interesadas y que las Recomendaciones UIT-R pertinentes pretenden ofrecer una asesoría técnica imparcial que pueda facilitar el proceso de coordinación;</w:t>
      </w:r>
    </w:p>
    <w:p w:rsidR="006250C1" w:rsidRPr="00BD27BE" w:rsidRDefault="006250C1" w:rsidP="006250C1">
      <w:pPr>
        <w:spacing w:line="0" w:lineRule="atLeast"/>
        <w:rPr>
          <w:lang w:val="es-ES_tradnl"/>
        </w:rPr>
      </w:pPr>
      <w:r w:rsidRPr="00BD27BE">
        <w:rPr>
          <w:lang w:val="es-ES_tradnl"/>
        </w:rPr>
        <w:t>b)</w:t>
      </w:r>
      <w:r w:rsidRPr="00BD27BE">
        <w:rPr>
          <w:lang w:val="es-ES_tradnl"/>
        </w:rPr>
        <w:tab/>
        <w:t xml:space="preserve">que los aspectos técnicos de la coordinación de las asignaciones de frecuencias a los sistemas del servicio fijo y del </w:t>
      </w:r>
      <w:proofErr w:type="spellStart"/>
      <w:r w:rsidRPr="00BD27BE">
        <w:rPr>
          <w:lang w:val="es-ES_tradnl"/>
        </w:rPr>
        <w:t>SMS</w:t>
      </w:r>
      <w:proofErr w:type="spellEnd"/>
      <w:r w:rsidRPr="00BD27BE">
        <w:rPr>
          <w:lang w:val="es-ES_tradnl"/>
        </w:rPr>
        <w:t xml:space="preserve"> son complejos y pueden requerir la aplicación de análisis en los que se utiliza programas informáticos complicados;</w:t>
      </w:r>
    </w:p>
    <w:p w:rsidR="006250C1" w:rsidRPr="00BD27BE" w:rsidRDefault="006250C1" w:rsidP="006250C1">
      <w:pPr>
        <w:spacing w:line="0" w:lineRule="atLeast"/>
        <w:rPr>
          <w:lang w:val="es-ES_tradnl"/>
        </w:rPr>
      </w:pPr>
      <w:r w:rsidRPr="00BD27BE">
        <w:rPr>
          <w:lang w:val="es-ES_tradnl"/>
        </w:rPr>
        <w:t>c)</w:t>
      </w:r>
      <w:r w:rsidRPr="00BD27BE">
        <w:rPr>
          <w:lang w:val="es-ES_tradnl"/>
        </w:rPr>
        <w:tab/>
        <w:t xml:space="preserve">que la disponibilidad de </w:t>
      </w:r>
      <w:r>
        <w:rPr>
          <w:lang w:val="es-ES_tradnl"/>
        </w:rPr>
        <w:t xml:space="preserve">las </w:t>
      </w:r>
      <w:r w:rsidRPr="00BD27BE">
        <w:rPr>
          <w:lang w:val="es-ES_tradnl"/>
        </w:rPr>
        <w:t xml:space="preserve">Recomendaciones UIT-R pertinentes para la coordinación de las asignaciones de frecuencias del servicio fijo y del </w:t>
      </w:r>
      <w:proofErr w:type="spellStart"/>
      <w:r w:rsidRPr="00BD27BE">
        <w:rPr>
          <w:lang w:val="es-ES_tradnl"/>
        </w:rPr>
        <w:t>SMS</w:t>
      </w:r>
      <w:proofErr w:type="spellEnd"/>
      <w:r w:rsidRPr="00BD27BE">
        <w:rPr>
          <w:lang w:val="es-ES_tradnl"/>
        </w:rPr>
        <w:t xml:space="preserve"> puede ser especialmente provechosa para los países en desarrollo por lo que se refiere a </w:t>
      </w:r>
      <w:r>
        <w:rPr>
          <w:lang w:val="es-ES_tradnl"/>
        </w:rPr>
        <w:t xml:space="preserve">la protección de </w:t>
      </w:r>
      <w:r w:rsidRPr="00BD27BE">
        <w:rPr>
          <w:lang w:val="es-ES_tradnl"/>
        </w:rPr>
        <w:t>sus sistemas del servicio fijo, su introducción de sistemas del </w:t>
      </w:r>
      <w:proofErr w:type="spellStart"/>
      <w:r w:rsidRPr="00BD27BE">
        <w:rPr>
          <w:lang w:val="es-ES_tradnl"/>
        </w:rPr>
        <w:t>SMS</w:t>
      </w:r>
      <w:proofErr w:type="spellEnd"/>
      <w:r w:rsidRPr="00BD27BE">
        <w:rPr>
          <w:lang w:val="es-ES_tradnl"/>
        </w:rPr>
        <w:t xml:space="preserve"> en sus territorios y la introducción de sistemas del </w:t>
      </w:r>
      <w:proofErr w:type="spellStart"/>
      <w:r w:rsidRPr="00BD27BE">
        <w:rPr>
          <w:lang w:val="es-ES_tradnl"/>
        </w:rPr>
        <w:t>SMS</w:t>
      </w:r>
      <w:proofErr w:type="spellEnd"/>
      <w:r w:rsidRPr="00BD27BE">
        <w:rPr>
          <w:lang w:val="es-ES_tradnl"/>
        </w:rPr>
        <w:t xml:space="preserve"> en los países vecinos;</w:t>
      </w:r>
    </w:p>
    <w:p w:rsidR="006250C1" w:rsidRPr="00BD27BE" w:rsidRDefault="006250C1" w:rsidP="006250C1">
      <w:pPr>
        <w:spacing w:line="0" w:lineRule="atLeast"/>
        <w:rPr>
          <w:lang w:val="es-ES_tradnl"/>
        </w:rPr>
      </w:pPr>
      <w:r w:rsidRPr="00BD27BE">
        <w:rPr>
          <w:lang w:val="es-ES_tradnl"/>
        </w:rPr>
        <w:t>d)</w:t>
      </w:r>
      <w:r w:rsidRPr="00BD27BE">
        <w:rPr>
          <w:lang w:val="es-ES_tradnl"/>
        </w:rPr>
        <w:tab/>
        <w:t>que las administraciones están presentando a la Oficina de Radiocomunicaciones de la UIT programas infor</w:t>
      </w:r>
      <w:r w:rsidRPr="00BD27BE">
        <w:rPr>
          <w:lang w:val="es-ES_tradnl"/>
        </w:rPr>
        <w:softHyphen/>
        <w:t xml:space="preserve">máticos </w:t>
      </w:r>
      <w:r>
        <w:rPr>
          <w:lang w:val="es-ES_tradnl"/>
        </w:rPr>
        <w:t>que se han concebido</w:t>
      </w:r>
      <w:r w:rsidRPr="00BD27BE">
        <w:rPr>
          <w:lang w:val="es-ES_tradnl"/>
        </w:rPr>
        <w:t xml:space="preserve"> para facilitar la coordinación bilateral,</w:t>
      </w:r>
    </w:p>
    <w:p w:rsidR="006250C1" w:rsidRPr="00BD27BE" w:rsidRDefault="006250C1" w:rsidP="006250C1">
      <w:pPr>
        <w:pStyle w:val="Call"/>
        <w:rPr>
          <w:lang w:val="es-ES_tradnl"/>
        </w:rPr>
      </w:pPr>
      <w:r w:rsidRPr="00BD27BE">
        <w:rPr>
          <w:lang w:val="es-ES_tradnl"/>
        </w:rPr>
        <w:t>recomienda</w:t>
      </w:r>
    </w:p>
    <w:p w:rsidR="006250C1" w:rsidRPr="00BD27BE" w:rsidRDefault="006250C1" w:rsidP="006250C1">
      <w:pPr>
        <w:spacing w:line="0" w:lineRule="atLeast"/>
        <w:rPr>
          <w:lang w:val="es-ES_tradnl"/>
        </w:rPr>
      </w:pPr>
      <w:r w:rsidRPr="00BD27BE">
        <w:rPr>
          <w:b/>
          <w:bCs/>
          <w:lang w:val="es-ES_tradnl"/>
        </w:rPr>
        <w:t>1</w:t>
      </w:r>
      <w:r w:rsidRPr="00BD27BE">
        <w:rPr>
          <w:lang w:val="es-ES_tradnl"/>
        </w:rPr>
        <w:tab/>
        <w:t xml:space="preserve">que se tengan en cuenta las Recomendaciones UIT-R siguientes en la coordinación de las estaciones del servicio fijo con las estaciones </w:t>
      </w:r>
      <w:proofErr w:type="spellStart"/>
      <w:r w:rsidRPr="00BD27BE">
        <w:rPr>
          <w:lang w:val="es-ES_tradnl"/>
        </w:rPr>
        <w:t>ETM</w:t>
      </w:r>
      <w:proofErr w:type="spellEnd"/>
      <w:r w:rsidRPr="00BD27BE">
        <w:rPr>
          <w:lang w:val="es-ES_tradnl"/>
        </w:rPr>
        <w:t xml:space="preserve"> (véase la Nota 1):</w:t>
      </w:r>
    </w:p>
    <w:p w:rsidR="006250C1" w:rsidRDefault="00621477" w:rsidP="00621477">
      <w:pPr>
        <w:pStyle w:val="enumlev1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Recomendación </w:t>
      </w:r>
      <w:r w:rsidR="006250C1" w:rsidRPr="00BD27BE">
        <w:rPr>
          <w:lang w:val="es-ES_tradnl"/>
        </w:rPr>
        <w:t>UIT-R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M.1469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–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Metodología para evaluar las posibilidades de interferencia causada por las transmisiones del servicio móvil por satélite (</w:t>
      </w:r>
      <w:proofErr w:type="spellStart"/>
      <w:r w:rsidR="006250C1" w:rsidRPr="00BD27BE">
        <w:rPr>
          <w:lang w:val="es-ES_tradnl"/>
        </w:rPr>
        <w:t>SMS</w:t>
      </w:r>
      <w:proofErr w:type="spellEnd"/>
      <w:r w:rsidR="006250C1" w:rsidRPr="00BD27BE">
        <w:rPr>
          <w:lang w:val="es-ES_tradnl"/>
        </w:rPr>
        <w:t>) (</w:t>
      </w:r>
      <w:proofErr w:type="spellStart"/>
      <w:r w:rsidR="006250C1" w:rsidRPr="00BD27BE">
        <w:rPr>
          <w:lang w:val="es-ES_tradnl"/>
        </w:rPr>
        <w:t>Tierra</w:t>
      </w:r>
      <w:r w:rsidR="006250C1" w:rsidRPr="00BD27BE">
        <w:rPr>
          <w:lang w:val="es-ES_tradnl"/>
        </w:rPr>
        <w:noBreakHyphen/>
        <w:t>espacio</w:t>
      </w:r>
      <w:proofErr w:type="spellEnd"/>
      <w:r w:rsidR="006250C1" w:rsidRPr="00BD27BE">
        <w:rPr>
          <w:lang w:val="es-ES_tradnl"/>
        </w:rPr>
        <w:t>) con acceso múltiple por división en el tiempo/acceso múltiple por división en frecuencia (</w:t>
      </w:r>
      <w:proofErr w:type="spellStart"/>
      <w:r w:rsidR="006250C1" w:rsidRPr="00BD27BE">
        <w:rPr>
          <w:lang w:val="es-ES_tradnl"/>
        </w:rPr>
        <w:t>AMDT</w:t>
      </w:r>
      <w:proofErr w:type="spellEnd"/>
      <w:r w:rsidR="006250C1" w:rsidRPr="00BD27BE">
        <w:rPr>
          <w:lang w:val="es-ES_tradnl"/>
        </w:rPr>
        <w:t>/</w:t>
      </w:r>
      <w:proofErr w:type="spellStart"/>
      <w:r w:rsidR="006250C1" w:rsidRPr="00BD27BE">
        <w:rPr>
          <w:lang w:val="es-ES_tradnl"/>
        </w:rPr>
        <w:t>AMDF</w:t>
      </w:r>
      <w:proofErr w:type="spellEnd"/>
      <w:r w:rsidR="006250C1" w:rsidRPr="00BD27BE">
        <w:rPr>
          <w:lang w:val="es-ES_tradnl"/>
        </w:rPr>
        <w:t xml:space="preserve">) a los receptores del servicio fijo con visibilidad directa en la gama de </w:t>
      </w:r>
      <w:r w:rsidR="006250C1">
        <w:rPr>
          <w:lang w:val="es-ES_tradnl"/>
        </w:rPr>
        <w:t>frecuencias de 1-3</w:t>
      </w:r>
      <w:r w:rsidR="00C959B3">
        <w:rPr>
          <w:lang w:val="es-ES_tradnl"/>
        </w:rPr>
        <w:t xml:space="preserve"> GHz;</w:t>
      </w:r>
    </w:p>
    <w:p w:rsidR="006250C1" w:rsidRPr="00BD27BE" w:rsidRDefault="00621477" w:rsidP="00621477">
      <w:pPr>
        <w:pStyle w:val="enumlev1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Recomendación </w:t>
      </w:r>
      <w:r w:rsidR="006250C1" w:rsidRPr="00BD27BE">
        <w:rPr>
          <w:lang w:val="es-ES_tradnl"/>
        </w:rPr>
        <w:t>UIT-R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M.</w:t>
      </w:r>
      <w:r w:rsidR="006250C1">
        <w:rPr>
          <w:lang w:val="es-ES_tradnl"/>
        </w:rPr>
        <w:t>1474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–</w:t>
      </w:r>
      <w:r>
        <w:rPr>
          <w:lang w:val="es-ES_tradnl"/>
        </w:rPr>
        <w:t> </w:t>
      </w:r>
      <w:r w:rsidR="006250C1" w:rsidRPr="00B82895">
        <w:rPr>
          <w:lang w:val="es-ES_tradnl"/>
        </w:rPr>
        <w:t>Metodología para evaluar la repercusión de la interferencia causada por sistemas del servicio móvil por satélite (</w:t>
      </w:r>
      <w:proofErr w:type="spellStart"/>
      <w:r w:rsidR="006250C1" w:rsidRPr="00B82895">
        <w:rPr>
          <w:lang w:val="es-ES_tradnl"/>
        </w:rPr>
        <w:t>SMS</w:t>
      </w:r>
      <w:proofErr w:type="spellEnd"/>
      <w:r w:rsidR="006250C1" w:rsidRPr="00B82895">
        <w:rPr>
          <w:lang w:val="es-ES_tradnl"/>
        </w:rPr>
        <w:t>) con acceso múltiple por división en el tiempo/acceso múltiple por división en frecuencia (</w:t>
      </w:r>
      <w:proofErr w:type="spellStart"/>
      <w:r w:rsidR="006250C1" w:rsidRPr="00B82895">
        <w:rPr>
          <w:lang w:val="es-ES_tradnl"/>
        </w:rPr>
        <w:t>AMDT</w:t>
      </w:r>
      <w:proofErr w:type="spellEnd"/>
      <w:r w:rsidR="006250C1" w:rsidRPr="00B82895">
        <w:rPr>
          <w:lang w:val="es-ES_tradnl"/>
        </w:rPr>
        <w:t>/</w:t>
      </w:r>
      <w:proofErr w:type="spellStart"/>
      <w:r w:rsidR="006250C1" w:rsidRPr="00B82895">
        <w:rPr>
          <w:lang w:val="es-ES_tradnl"/>
        </w:rPr>
        <w:t>AMDF</w:t>
      </w:r>
      <w:proofErr w:type="spellEnd"/>
      <w:r w:rsidR="006250C1" w:rsidRPr="00B82895">
        <w:rPr>
          <w:lang w:val="es-ES_tradnl"/>
        </w:rPr>
        <w:t xml:space="preserve">) </w:t>
      </w:r>
      <w:r w:rsidR="006250C1">
        <w:rPr>
          <w:lang w:val="es-ES_tradnl"/>
        </w:rPr>
        <w:t xml:space="preserve">sobre la </w:t>
      </w:r>
      <w:r w:rsidR="006250C1" w:rsidRPr="00B82895">
        <w:rPr>
          <w:lang w:val="es-ES_tradnl"/>
        </w:rPr>
        <w:t xml:space="preserve">calidad de funcionamiento en la banda de base en receptores digitales del servicio fijo con visibilidad directa, basándose en las estadísticas de interferencia </w:t>
      </w:r>
      <w:r w:rsidR="006250C1">
        <w:rPr>
          <w:lang w:val="es-ES_tradnl"/>
        </w:rPr>
        <w:t>de</w:t>
      </w:r>
      <w:r w:rsidR="006250C1" w:rsidRPr="00B82895">
        <w:rPr>
          <w:lang w:val="es-ES_tradnl"/>
        </w:rPr>
        <w:t xml:space="preserve"> radiofrecuencia</w:t>
      </w:r>
      <w:r w:rsidR="006250C1">
        <w:rPr>
          <w:lang w:val="es-ES_tradnl"/>
        </w:rPr>
        <w:t xml:space="preserve"> en la gama de frecuencias de 1-3 GHz;</w:t>
      </w:r>
    </w:p>
    <w:p w:rsidR="006250C1" w:rsidRPr="00BD27BE" w:rsidRDefault="00621477" w:rsidP="00621477">
      <w:pPr>
        <w:pStyle w:val="enumlev1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Recomendación </w:t>
      </w:r>
      <w:r w:rsidR="006250C1" w:rsidRPr="00BD27BE">
        <w:rPr>
          <w:lang w:val="es-ES_tradnl"/>
        </w:rPr>
        <w:t>UIT-R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F.1245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–</w:t>
      </w:r>
      <w:r>
        <w:rPr>
          <w:lang w:val="es-ES_tradnl"/>
        </w:rPr>
        <w:t> </w:t>
      </w:r>
      <w:r w:rsidR="006250C1" w:rsidRPr="00BD27BE">
        <w:rPr>
          <w:lang w:val="es-ES_tradnl"/>
        </w:rPr>
        <w:t xml:space="preserve">Modelo matemático de diagramas de radiación media para antenas de sistemas de relevadores radioeléctricos punto a punto con visibilidad directa para aplicarlo en ciertos estudios de coordinación y en la evaluación de la interferencia en la gama de frecuencias de 1 GHz a unos </w:t>
      </w:r>
      <w:r w:rsidR="006250C1">
        <w:rPr>
          <w:lang w:val="es-ES_tradnl"/>
        </w:rPr>
        <w:t>7</w:t>
      </w:r>
      <w:r w:rsidR="006250C1" w:rsidRPr="00BD27BE">
        <w:rPr>
          <w:lang w:val="es-ES_tradnl"/>
        </w:rPr>
        <w:t>0 GHz;</w:t>
      </w:r>
    </w:p>
    <w:p w:rsidR="006250C1" w:rsidRPr="00BD27BE" w:rsidRDefault="006250C1" w:rsidP="006250C1">
      <w:pPr>
        <w:spacing w:line="0" w:lineRule="atLeast"/>
        <w:rPr>
          <w:lang w:val="es-ES_tradnl"/>
        </w:rPr>
      </w:pPr>
      <w:r w:rsidRPr="00BD27BE">
        <w:rPr>
          <w:b/>
          <w:bCs/>
          <w:lang w:val="es-ES_tradnl"/>
        </w:rPr>
        <w:t>2</w:t>
      </w:r>
      <w:r w:rsidRPr="00BD27BE">
        <w:rPr>
          <w:lang w:val="es-ES_tradnl"/>
        </w:rPr>
        <w:tab/>
        <w:t xml:space="preserve">que se tengan en cuenta las Recomendaciones UIT-R siguientes en la coordinación entre los sistemas del servicio fijo y los del </w:t>
      </w:r>
      <w:proofErr w:type="spellStart"/>
      <w:r w:rsidRPr="00BD27BE">
        <w:rPr>
          <w:lang w:val="es-ES_tradnl"/>
        </w:rPr>
        <w:t>SMS</w:t>
      </w:r>
      <w:proofErr w:type="spellEnd"/>
      <w:r w:rsidRPr="00BD27BE">
        <w:rPr>
          <w:lang w:val="es-ES_tradnl"/>
        </w:rPr>
        <w:t xml:space="preserve"> (</w:t>
      </w:r>
      <w:proofErr w:type="spellStart"/>
      <w:r w:rsidRPr="00BD27BE">
        <w:rPr>
          <w:lang w:val="es-ES_tradnl"/>
        </w:rPr>
        <w:t>espacio</w:t>
      </w:r>
      <w:r w:rsidRPr="00BD27BE">
        <w:rPr>
          <w:lang w:val="es-ES_tradnl"/>
        </w:rPr>
        <w:noBreakHyphen/>
        <w:t>Tierra</w:t>
      </w:r>
      <w:proofErr w:type="spellEnd"/>
      <w:r w:rsidRPr="00BD27BE">
        <w:rPr>
          <w:lang w:val="es-ES_tradnl"/>
        </w:rPr>
        <w:t>) (véase la Nota 1):</w:t>
      </w:r>
    </w:p>
    <w:p w:rsidR="006250C1" w:rsidRPr="00BD27BE" w:rsidRDefault="00621477" w:rsidP="00C959B3">
      <w:pPr>
        <w:pStyle w:val="enumlev1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Recomendación </w:t>
      </w:r>
      <w:r w:rsidR="006250C1" w:rsidRPr="00BD27BE">
        <w:rPr>
          <w:lang w:val="es-ES_tradnl"/>
        </w:rPr>
        <w:t>UIT-R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M.1141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–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Compartición en la gama de frecuencias 1</w:t>
      </w:r>
      <w:r w:rsidR="006250C1" w:rsidRPr="00BD27BE">
        <w:rPr>
          <w:lang w:val="es-ES_tradnl"/>
        </w:rPr>
        <w:noBreakHyphen/>
        <w:t>3 GHz entre las estaciones espaciales no geoestacionarias que operan en el servicio móvil por satélite y las estaciones del servicio fijo</w:t>
      </w:r>
      <w:r w:rsidR="00C959B3">
        <w:rPr>
          <w:lang w:val="es-ES_tradnl"/>
        </w:rPr>
        <w:t>;</w:t>
      </w:r>
    </w:p>
    <w:p w:rsidR="006250C1" w:rsidRPr="00BD27BE" w:rsidRDefault="00621477" w:rsidP="00C959B3">
      <w:pPr>
        <w:pStyle w:val="enumlev1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Recomendación </w:t>
      </w:r>
      <w:r w:rsidR="006250C1" w:rsidRPr="00BD27BE">
        <w:rPr>
          <w:lang w:val="es-ES_tradnl"/>
        </w:rPr>
        <w:t>UIT-R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M.1142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–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Compartición en la gama de frecuencias 1</w:t>
      </w:r>
      <w:r w:rsidR="006250C1" w:rsidRPr="00BD27BE">
        <w:rPr>
          <w:lang w:val="es-ES_tradnl"/>
        </w:rPr>
        <w:noBreakHyphen/>
        <w:t>3 GHz entre las estaciones espaciales geoestacionarias que operan en el servicio móvil por satélite y las estaciones del servicio fijo</w:t>
      </w:r>
      <w:r w:rsidR="00C959B3">
        <w:rPr>
          <w:lang w:val="es-ES_tradnl"/>
        </w:rPr>
        <w:t>;</w:t>
      </w:r>
    </w:p>
    <w:p w:rsidR="006250C1" w:rsidRPr="00BD27BE" w:rsidRDefault="00621477" w:rsidP="00C959B3">
      <w:pPr>
        <w:pStyle w:val="enumlev1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Recomendación </w:t>
      </w:r>
      <w:r w:rsidR="006250C1" w:rsidRPr="00BD27BE">
        <w:rPr>
          <w:lang w:val="es-ES_tradnl"/>
        </w:rPr>
        <w:t>UIT-R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M.1143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–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Metodología específica del sistema para la coordinación de estaciones espaciales no geoestacionarias (espacio-Tierra) que operan en el servicio móvil por satélite con el servicio fijo</w:t>
      </w:r>
      <w:r w:rsidR="00C959B3">
        <w:rPr>
          <w:lang w:val="es-ES_tradnl"/>
        </w:rPr>
        <w:t>;</w:t>
      </w:r>
    </w:p>
    <w:p w:rsidR="006250C1" w:rsidRPr="00BD27BE" w:rsidRDefault="00621477" w:rsidP="00C959B3">
      <w:pPr>
        <w:pStyle w:val="enumlev1"/>
        <w:keepLines/>
        <w:rPr>
          <w:lang w:val="es-ES_tradnl"/>
        </w:rPr>
      </w:pPr>
      <w:r>
        <w:rPr>
          <w:lang w:val="es-ES_tradnl"/>
        </w:rPr>
        <w:lastRenderedPageBreak/>
        <w:t>–</w:t>
      </w:r>
      <w:r>
        <w:rPr>
          <w:lang w:val="es-ES_tradnl"/>
        </w:rPr>
        <w:tab/>
        <w:t>Recomendación </w:t>
      </w:r>
      <w:r w:rsidR="006250C1" w:rsidRPr="00BD27BE">
        <w:rPr>
          <w:lang w:val="es-ES_tradnl"/>
        </w:rPr>
        <w:t>UIT-R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M.1319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–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Base de una metodología para evaluar la repercusión de la interferencia causada por un sistema de satélites del servicio móvil por satélite en órbita de satélites no geoestacionarios (</w:t>
      </w:r>
      <w:proofErr w:type="spellStart"/>
      <w:r w:rsidR="006250C1" w:rsidRPr="00BD27BE">
        <w:rPr>
          <w:lang w:val="es-ES_tradnl"/>
        </w:rPr>
        <w:t>SMS</w:t>
      </w:r>
      <w:proofErr w:type="spellEnd"/>
      <w:r w:rsidR="006250C1" w:rsidRPr="00BD27BE">
        <w:rPr>
          <w:lang w:val="es-ES_tradnl"/>
        </w:rPr>
        <w:t xml:space="preserve"> no </w:t>
      </w:r>
      <w:proofErr w:type="spellStart"/>
      <w:r w:rsidR="006250C1" w:rsidRPr="00BD27BE">
        <w:rPr>
          <w:lang w:val="es-ES_tradnl"/>
        </w:rPr>
        <w:t>OSG</w:t>
      </w:r>
      <w:proofErr w:type="spellEnd"/>
      <w:r w:rsidR="006250C1" w:rsidRPr="00BD27BE">
        <w:rPr>
          <w:lang w:val="es-ES_tradnl"/>
        </w:rPr>
        <w:t>) con acceso múltiple por división en tiempo/acceso múltiple por división en frecuencia (</w:t>
      </w:r>
      <w:proofErr w:type="spellStart"/>
      <w:r w:rsidR="006250C1" w:rsidRPr="00BD27BE">
        <w:rPr>
          <w:lang w:val="es-ES_tradnl"/>
        </w:rPr>
        <w:t>AMDT</w:t>
      </w:r>
      <w:proofErr w:type="spellEnd"/>
      <w:r w:rsidR="006250C1" w:rsidRPr="00BD27BE">
        <w:rPr>
          <w:lang w:val="es-ES_tradnl"/>
        </w:rPr>
        <w:t>/</w:t>
      </w:r>
      <w:proofErr w:type="spellStart"/>
      <w:r w:rsidR="006250C1" w:rsidRPr="00BD27BE">
        <w:rPr>
          <w:lang w:val="es-ES_tradnl"/>
        </w:rPr>
        <w:t>AMDF</w:t>
      </w:r>
      <w:proofErr w:type="spellEnd"/>
      <w:r w:rsidR="006250C1" w:rsidRPr="00BD27BE">
        <w:rPr>
          <w:lang w:val="es-ES_tradnl"/>
        </w:rPr>
        <w:t>) que funciona en la gama de </w:t>
      </w:r>
      <w:r w:rsidR="006250C1">
        <w:rPr>
          <w:lang w:val="es-ES_tradnl"/>
        </w:rPr>
        <w:t>frecuencias de 1-3</w:t>
      </w:r>
      <w:r w:rsidR="006250C1" w:rsidRPr="00BD27BE">
        <w:rPr>
          <w:lang w:val="es-ES_tradnl"/>
        </w:rPr>
        <w:t> GHz sobre la calidad de funcionamiento de los receptores del servicio fijo con visibilidad directa</w:t>
      </w:r>
      <w:r w:rsidR="00C959B3">
        <w:rPr>
          <w:lang w:val="es-ES_tradnl"/>
        </w:rPr>
        <w:t>;</w:t>
      </w:r>
    </w:p>
    <w:p w:rsidR="006250C1" w:rsidRPr="00BD27BE" w:rsidRDefault="00621477" w:rsidP="00C959B3">
      <w:pPr>
        <w:pStyle w:val="enumlev1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Recomendación </w:t>
      </w:r>
      <w:r w:rsidR="006250C1" w:rsidRPr="00BD27BE">
        <w:rPr>
          <w:lang w:val="es-ES_tradnl"/>
        </w:rPr>
        <w:t>UIT-R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F.1108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–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Determinación de los criterios para proteger los receptores del servicio fijo de las emisiones procedentes de estaciones espaciales situadas en órbitas de satélites no geoestacionarios y que funcionan en bandas de frecuencias compartidas</w:t>
      </w:r>
      <w:r w:rsidR="00C959B3">
        <w:rPr>
          <w:lang w:val="es-ES_tradnl"/>
        </w:rPr>
        <w:t>;</w:t>
      </w:r>
    </w:p>
    <w:p w:rsidR="006250C1" w:rsidRPr="00BD27BE" w:rsidRDefault="00621477" w:rsidP="00C959B3">
      <w:pPr>
        <w:pStyle w:val="enumlev1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Recomendación </w:t>
      </w:r>
      <w:r w:rsidR="006250C1" w:rsidRPr="00BD27BE">
        <w:rPr>
          <w:lang w:val="es-ES_tradnl"/>
        </w:rPr>
        <w:t>UIT-R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F.699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–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Diagramas de radiación de referencia de antenas de sistemas de radioenlaces con visibilidad directa para utilizarlos en los estudios de coordinación y en la evaluación de la interferencia en la gama de frecuencias de 1</w:t>
      </w:r>
      <w:r w:rsidR="006250C1">
        <w:rPr>
          <w:lang w:val="es-ES_tradnl"/>
        </w:rPr>
        <w:t>00</w:t>
      </w:r>
      <w:r w:rsidR="006250C1" w:rsidRPr="00BD27BE">
        <w:rPr>
          <w:lang w:val="es-ES_tradnl"/>
        </w:rPr>
        <w:t> </w:t>
      </w:r>
      <w:r w:rsidR="006250C1">
        <w:rPr>
          <w:lang w:val="es-ES_tradnl"/>
        </w:rPr>
        <w:t>M</w:t>
      </w:r>
      <w:r w:rsidR="006250C1" w:rsidRPr="00BD27BE">
        <w:rPr>
          <w:lang w:val="es-ES_tradnl"/>
        </w:rPr>
        <w:t xml:space="preserve">Hz a unos </w:t>
      </w:r>
      <w:r w:rsidR="006250C1">
        <w:rPr>
          <w:lang w:val="es-ES_tradnl"/>
        </w:rPr>
        <w:t>7</w:t>
      </w:r>
      <w:r w:rsidR="006250C1" w:rsidRPr="00BD27BE">
        <w:rPr>
          <w:lang w:val="es-ES_tradnl"/>
        </w:rPr>
        <w:t>0 GHz</w:t>
      </w:r>
      <w:r w:rsidR="00C959B3">
        <w:rPr>
          <w:lang w:val="es-ES_tradnl"/>
        </w:rPr>
        <w:t>;</w:t>
      </w:r>
    </w:p>
    <w:p w:rsidR="006250C1" w:rsidRPr="00BD27BE" w:rsidRDefault="00621477" w:rsidP="00C959B3">
      <w:pPr>
        <w:pStyle w:val="enumlev1"/>
        <w:rPr>
          <w:lang w:val="es-ES_tradnl"/>
        </w:rPr>
      </w:pPr>
      <w:bookmarkStart w:id="3" w:name="asunto"/>
      <w:bookmarkStart w:id="4" w:name="dsgno"/>
      <w:bookmarkEnd w:id="3"/>
      <w:bookmarkEnd w:id="4"/>
      <w:r>
        <w:rPr>
          <w:lang w:val="es-ES_tradnl"/>
        </w:rPr>
        <w:t>–</w:t>
      </w:r>
      <w:r>
        <w:rPr>
          <w:lang w:val="es-ES_tradnl"/>
        </w:rPr>
        <w:tab/>
        <w:t>Recomendación </w:t>
      </w:r>
      <w:r w:rsidR="006250C1" w:rsidRPr="00BD27BE">
        <w:rPr>
          <w:lang w:val="es-ES_tradnl"/>
        </w:rPr>
        <w:t>UIT-R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F.1245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–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Modelo matemático de diagramas de radiación media para antenas de sistemas de relevadores radioeléctricos punto a punto con visibilidad directa para aplicarlo en ciertos estudios de coordinación y en la evaluación de la interferencia en la gama de frecuencias de 1 GHz a unos </w:t>
      </w:r>
      <w:r w:rsidR="006250C1">
        <w:rPr>
          <w:lang w:val="es-ES_tradnl"/>
        </w:rPr>
        <w:t>7</w:t>
      </w:r>
      <w:r w:rsidR="006250C1" w:rsidRPr="00BD27BE">
        <w:rPr>
          <w:lang w:val="es-ES_tradnl"/>
        </w:rPr>
        <w:t>0 GHz</w:t>
      </w:r>
      <w:r w:rsidR="00C959B3">
        <w:rPr>
          <w:lang w:val="es-ES_tradnl"/>
        </w:rPr>
        <w:t>;</w:t>
      </w:r>
    </w:p>
    <w:p w:rsidR="006250C1" w:rsidRPr="00BD27BE" w:rsidRDefault="00621477" w:rsidP="00C959B3">
      <w:pPr>
        <w:pStyle w:val="enumlev1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Recomendación </w:t>
      </w:r>
      <w:r w:rsidR="006250C1" w:rsidRPr="00BD27BE">
        <w:rPr>
          <w:lang w:val="es-ES_tradnl"/>
        </w:rPr>
        <w:t>UIT-R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M.1472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–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Metodología para evaluar las repercusiones de la interferencia causada por sistemas del servicio móvil por satélite (</w:t>
      </w:r>
      <w:proofErr w:type="spellStart"/>
      <w:r w:rsidR="006250C1" w:rsidRPr="00BD27BE">
        <w:rPr>
          <w:lang w:val="es-ES_tradnl"/>
        </w:rPr>
        <w:t>SMS</w:t>
      </w:r>
      <w:proofErr w:type="spellEnd"/>
      <w:r w:rsidR="006250C1" w:rsidRPr="00BD27BE">
        <w:rPr>
          <w:lang w:val="es-ES_tradnl"/>
        </w:rPr>
        <w:t>) con acceso múltiple por división en el tiempo/acceso múltiple por división en frecuencia (</w:t>
      </w:r>
      <w:proofErr w:type="spellStart"/>
      <w:r w:rsidR="006250C1" w:rsidRPr="00BD27BE">
        <w:rPr>
          <w:lang w:val="es-ES_tradnl"/>
        </w:rPr>
        <w:t>AMDT</w:t>
      </w:r>
      <w:proofErr w:type="spellEnd"/>
      <w:r w:rsidR="006250C1" w:rsidRPr="00BD27BE">
        <w:rPr>
          <w:lang w:val="es-ES_tradnl"/>
        </w:rPr>
        <w:t>/</w:t>
      </w:r>
      <w:proofErr w:type="spellStart"/>
      <w:r w:rsidR="006250C1" w:rsidRPr="00BD27BE">
        <w:rPr>
          <w:lang w:val="es-ES_tradnl"/>
        </w:rPr>
        <w:t>AMDF</w:t>
      </w:r>
      <w:proofErr w:type="spellEnd"/>
      <w:r w:rsidR="006250C1" w:rsidRPr="00BD27BE">
        <w:rPr>
          <w:lang w:val="es-ES_tradnl"/>
        </w:rPr>
        <w:t xml:space="preserve">) que funcionan en la gama de </w:t>
      </w:r>
      <w:r w:rsidR="006250C1">
        <w:rPr>
          <w:lang w:val="es-ES_tradnl"/>
        </w:rPr>
        <w:t>frecuencias de 1-3</w:t>
      </w:r>
      <w:r w:rsidR="006250C1" w:rsidRPr="00BD27BE">
        <w:rPr>
          <w:lang w:val="es-ES_tradnl"/>
        </w:rPr>
        <w:t xml:space="preserve"> GHz sobre la calidad de funcionamiento en banda de base de los receptores de sistemas del servicio fijo con visibilidad directa analógicos con multiplexión por división de frecuencia/modulación de frecuencia (</w:t>
      </w:r>
      <w:proofErr w:type="spellStart"/>
      <w:r w:rsidR="006250C1" w:rsidRPr="00BD27BE">
        <w:rPr>
          <w:lang w:val="es-ES_tradnl"/>
        </w:rPr>
        <w:t>MDF</w:t>
      </w:r>
      <w:r w:rsidR="006250C1" w:rsidRPr="00BD27BE">
        <w:rPr>
          <w:lang w:val="es-ES_tradnl"/>
        </w:rPr>
        <w:noBreakHyphen/>
        <w:t>MF</w:t>
      </w:r>
      <w:proofErr w:type="spellEnd"/>
      <w:r w:rsidR="006250C1" w:rsidRPr="00BD27BE">
        <w:rPr>
          <w:lang w:val="es-ES_tradnl"/>
        </w:rPr>
        <w:t>)</w:t>
      </w:r>
      <w:r w:rsidR="00C959B3">
        <w:rPr>
          <w:lang w:val="es-ES_tradnl"/>
        </w:rPr>
        <w:t>;</w:t>
      </w:r>
    </w:p>
    <w:p w:rsidR="006250C1" w:rsidRPr="00BD27BE" w:rsidRDefault="006250C1" w:rsidP="00C959B3">
      <w:pPr>
        <w:pStyle w:val="enumlev1"/>
        <w:rPr>
          <w:lang w:val="es-ES_tradnl"/>
        </w:rPr>
      </w:pPr>
      <w:r w:rsidRPr="00BD27BE">
        <w:rPr>
          <w:lang w:val="es-ES_tradnl"/>
        </w:rPr>
        <w:t>–</w:t>
      </w:r>
      <w:r w:rsidRPr="00BD27BE">
        <w:rPr>
          <w:lang w:val="es-ES_tradnl"/>
        </w:rPr>
        <w:tab/>
        <w:t>Recomendación</w:t>
      </w:r>
      <w:r w:rsidR="00621477">
        <w:rPr>
          <w:lang w:val="es-ES_tradnl"/>
        </w:rPr>
        <w:t> </w:t>
      </w:r>
      <w:r w:rsidRPr="00BD27BE">
        <w:rPr>
          <w:lang w:val="es-ES_tradnl"/>
        </w:rPr>
        <w:t>UIT-R</w:t>
      </w:r>
      <w:r w:rsidR="00621477">
        <w:rPr>
          <w:lang w:val="es-ES_tradnl"/>
        </w:rPr>
        <w:t> </w:t>
      </w:r>
      <w:r w:rsidRPr="00BD27BE">
        <w:rPr>
          <w:lang w:val="es-ES_tradnl"/>
        </w:rPr>
        <w:t>M.1473</w:t>
      </w:r>
      <w:r w:rsidR="00621477">
        <w:rPr>
          <w:lang w:val="es-ES_tradnl"/>
        </w:rPr>
        <w:t> </w:t>
      </w:r>
      <w:r w:rsidRPr="00BD27BE">
        <w:rPr>
          <w:lang w:val="es-ES_tradnl"/>
        </w:rPr>
        <w:t>–</w:t>
      </w:r>
      <w:r w:rsidR="00621477">
        <w:rPr>
          <w:lang w:val="es-ES_tradnl"/>
        </w:rPr>
        <w:t> </w:t>
      </w:r>
      <w:r w:rsidRPr="00BD27BE">
        <w:rPr>
          <w:lang w:val="es-ES_tradnl"/>
        </w:rPr>
        <w:t>Metodología para evaluar las repercusiones de la interferencia causada por sistemas del servicio móvil por satélite (</w:t>
      </w:r>
      <w:proofErr w:type="spellStart"/>
      <w:r w:rsidRPr="00BD27BE">
        <w:rPr>
          <w:lang w:val="es-ES_tradnl"/>
        </w:rPr>
        <w:t>SMS</w:t>
      </w:r>
      <w:proofErr w:type="spellEnd"/>
      <w:r w:rsidRPr="00BD27BE">
        <w:rPr>
          <w:lang w:val="es-ES_tradnl"/>
        </w:rPr>
        <w:t>) con acceso múltiple por división en el tiempo/acceso múltiple por división en frecuencia (</w:t>
      </w:r>
      <w:proofErr w:type="spellStart"/>
      <w:r w:rsidRPr="00BD27BE">
        <w:rPr>
          <w:lang w:val="es-ES_tradnl"/>
        </w:rPr>
        <w:t>AMDT</w:t>
      </w:r>
      <w:proofErr w:type="spellEnd"/>
      <w:r w:rsidRPr="00BD27BE">
        <w:rPr>
          <w:lang w:val="es-ES_tradnl"/>
        </w:rPr>
        <w:t>/</w:t>
      </w:r>
      <w:proofErr w:type="spellStart"/>
      <w:r w:rsidRPr="00BD27BE">
        <w:rPr>
          <w:lang w:val="es-ES_tradnl"/>
        </w:rPr>
        <w:t>AMDF</w:t>
      </w:r>
      <w:proofErr w:type="spellEnd"/>
      <w:r w:rsidRPr="00BD27BE">
        <w:rPr>
          <w:lang w:val="es-ES_tradnl"/>
        </w:rPr>
        <w:t xml:space="preserve">) que funcionan en la gama de </w:t>
      </w:r>
      <w:r>
        <w:rPr>
          <w:lang w:val="es-ES_tradnl"/>
        </w:rPr>
        <w:t>frecuencias de 1-3</w:t>
      </w:r>
      <w:r w:rsidRPr="00BD27BE">
        <w:rPr>
          <w:lang w:val="es-ES_tradnl"/>
        </w:rPr>
        <w:t xml:space="preserve"> GHz sobre la calidad de funcionamiento en banda de base vídeo de los receptores analógicos TV/</w:t>
      </w:r>
      <w:proofErr w:type="spellStart"/>
      <w:r w:rsidRPr="00BD27BE">
        <w:rPr>
          <w:lang w:val="es-ES_tradnl"/>
        </w:rPr>
        <w:t>MF</w:t>
      </w:r>
      <w:proofErr w:type="spellEnd"/>
      <w:r w:rsidRPr="00BD27BE">
        <w:rPr>
          <w:lang w:val="es-ES_tradnl"/>
        </w:rPr>
        <w:t xml:space="preserve"> del servicio fijo con visibilidad directa</w:t>
      </w:r>
      <w:r w:rsidR="00C959B3">
        <w:rPr>
          <w:lang w:val="es-ES_tradnl"/>
        </w:rPr>
        <w:t>;</w:t>
      </w:r>
    </w:p>
    <w:p w:rsidR="006250C1" w:rsidRPr="00BD27BE" w:rsidRDefault="006250C1" w:rsidP="00621477">
      <w:pPr>
        <w:pStyle w:val="enumlev1"/>
        <w:rPr>
          <w:lang w:val="es-ES_tradnl"/>
        </w:rPr>
      </w:pPr>
      <w:r w:rsidRPr="00BD27BE">
        <w:rPr>
          <w:lang w:val="es-ES_tradnl"/>
        </w:rPr>
        <w:t>–</w:t>
      </w:r>
      <w:r w:rsidRPr="00BD27BE">
        <w:rPr>
          <w:lang w:val="es-ES_tradnl"/>
        </w:rPr>
        <w:tab/>
      </w:r>
      <w:r w:rsidR="00621477">
        <w:rPr>
          <w:lang w:val="es-ES_tradnl"/>
        </w:rPr>
        <w:t>Recomendación </w:t>
      </w:r>
      <w:r w:rsidR="000C178C" w:rsidRPr="00BD27BE">
        <w:rPr>
          <w:lang w:val="es-ES_tradnl"/>
        </w:rPr>
        <w:t>UIT-R</w:t>
      </w:r>
      <w:r w:rsidR="00621477">
        <w:rPr>
          <w:lang w:val="es-ES_tradnl"/>
        </w:rPr>
        <w:t> </w:t>
      </w:r>
      <w:r w:rsidR="000C178C" w:rsidRPr="00BD27BE">
        <w:rPr>
          <w:lang w:val="es-ES_tradnl"/>
        </w:rPr>
        <w:t>M.</w:t>
      </w:r>
      <w:r w:rsidR="000C178C">
        <w:rPr>
          <w:lang w:val="es-ES_tradnl"/>
        </w:rPr>
        <w:t>1474</w:t>
      </w:r>
      <w:r w:rsidR="00621477">
        <w:rPr>
          <w:lang w:val="es-ES_tradnl"/>
        </w:rPr>
        <w:t> </w:t>
      </w:r>
      <w:r w:rsidR="000C178C" w:rsidRPr="00BD27BE">
        <w:rPr>
          <w:lang w:val="es-ES_tradnl"/>
        </w:rPr>
        <w:t>–</w:t>
      </w:r>
      <w:r w:rsidR="00621477">
        <w:rPr>
          <w:lang w:val="es-ES_tradnl"/>
        </w:rPr>
        <w:t> </w:t>
      </w:r>
      <w:r w:rsidR="000C178C" w:rsidRPr="00B82895">
        <w:rPr>
          <w:lang w:val="es-ES_tradnl"/>
        </w:rPr>
        <w:t>Metodología para evaluar la repercusión de la interferencia causada por sistemas del servicio móvil por satélite (</w:t>
      </w:r>
      <w:proofErr w:type="spellStart"/>
      <w:r w:rsidR="000C178C" w:rsidRPr="00B82895">
        <w:rPr>
          <w:lang w:val="es-ES_tradnl"/>
        </w:rPr>
        <w:t>SMS</w:t>
      </w:r>
      <w:proofErr w:type="spellEnd"/>
      <w:r w:rsidR="000C178C" w:rsidRPr="00B82895">
        <w:rPr>
          <w:lang w:val="es-ES_tradnl"/>
        </w:rPr>
        <w:t>) con acceso múltiple por división en el tiempo/acceso múltiple por división en frecuencia (</w:t>
      </w:r>
      <w:proofErr w:type="spellStart"/>
      <w:r w:rsidR="000C178C" w:rsidRPr="00B82895">
        <w:rPr>
          <w:lang w:val="es-ES_tradnl"/>
        </w:rPr>
        <w:t>AMDT</w:t>
      </w:r>
      <w:proofErr w:type="spellEnd"/>
      <w:r w:rsidR="000C178C" w:rsidRPr="00B82895">
        <w:rPr>
          <w:lang w:val="es-ES_tradnl"/>
        </w:rPr>
        <w:t>/</w:t>
      </w:r>
      <w:proofErr w:type="spellStart"/>
      <w:r w:rsidR="000C178C" w:rsidRPr="00B82895">
        <w:rPr>
          <w:lang w:val="es-ES_tradnl"/>
        </w:rPr>
        <w:t>AMDF</w:t>
      </w:r>
      <w:proofErr w:type="spellEnd"/>
      <w:r w:rsidR="000C178C" w:rsidRPr="00B82895">
        <w:rPr>
          <w:lang w:val="es-ES_tradnl"/>
        </w:rPr>
        <w:t xml:space="preserve">) </w:t>
      </w:r>
      <w:r w:rsidR="000C178C">
        <w:rPr>
          <w:lang w:val="es-ES_tradnl"/>
        </w:rPr>
        <w:t xml:space="preserve">sobre la </w:t>
      </w:r>
      <w:r w:rsidR="000C178C" w:rsidRPr="00B82895">
        <w:rPr>
          <w:lang w:val="es-ES_tradnl"/>
        </w:rPr>
        <w:t xml:space="preserve">calidad de funcionamiento en la banda de base en receptores digitales del servicio fijo con visibilidad directa, basándose en las estadísticas de interferencia </w:t>
      </w:r>
      <w:r w:rsidR="000C178C">
        <w:rPr>
          <w:lang w:val="es-ES_tradnl"/>
        </w:rPr>
        <w:t>de</w:t>
      </w:r>
      <w:r w:rsidR="000C178C" w:rsidRPr="00B82895">
        <w:rPr>
          <w:lang w:val="es-ES_tradnl"/>
        </w:rPr>
        <w:t xml:space="preserve"> radiofrecuencia</w:t>
      </w:r>
      <w:r w:rsidR="000C178C">
        <w:rPr>
          <w:lang w:val="es-ES_tradnl"/>
        </w:rPr>
        <w:t xml:space="preserve"> en la gama de frecuencias de 1-3 GHz;</w:t>
      </w:r>
    </w:p>
    <w:p w:rsidR="006250C1" w:rsidRPr="00BD27BE" w:rsidRDefault="006250C1" w:rsidP="006250C1">
      <w:pPr>
        <w:spacing w:line="0" w:lineRule="atLeast"/>
        <w:rPr>
          <w:lang w:val="es-ES_tradnl"/>
        </w:rPr>
      </w:pPr>
      <w:r w:rsidRPr="00BD27BE">
        <w:rPr>
          <w:b/>
          <w:bCs/>
          <w:lang w:val="es-ES_tradnl"/>
        </w:rPr>
        <w:t>3</w:t>
      </w:r>
      <w:r w:rsidRPr="00BD27BE">
        <w:rPr>
          <w:lang w:val="es-ES_tradnl"/>
        </w:rPr>
        <w:tab/>
        <w:t>que se tengan en cuenta las Recomendaciones UIT-R siguientes en las evaluaciones del potencial de interferencia de los transmisores del servicio fijo en los receptores de estación espacial del </w:t>
      </w:r>
      <w:proofErr w:type="spellStart"/>
      <w:r w:rsidRPr="00BD27BE">
        <w:rPr>
          <w:lang w:val="es-ES_tradnl"/>
        </w:rPr>
        <w:t>SMS</w:t>
      </w:r>
      <w:proofErr w:type="spellEnd"/>
      <w:r w:rsidRPr="00BD27BE">
        <w:rPr>
          <w:lang w:val="es-ES_tradnl"/>
        </w:rPr>
        <w:t xml:space="preserve"> (véase la Nota 1):</w:t>
      </w:r>
    </w:p>
    <w:p w:rsidR="006250C1" w:rsidRPr="00BD27BE" w:rsidRDefault="00621477" w:rsidP="00C959B3">
      <w:pPr>
        <w:pStyle w:val="enumlev1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Recomendación </w:t>
      </w:r>
      <w:r w:rsidR="006250C1" w:rsidRPr="00BD27BE">
        <w:rPr>
          <w:lang w:val="es-ES_tradnl"/>
        </w:rPr>
        <w:t>UIT-R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M.1141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–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Compartición en la gama de frecuencias 1</w:t>
      </w:r>
      <w:r w:rsidR="006250C1" w:rsidRPr="00BD27BE">
        <w:rPr>
          <w:lang w:val="es-ES_tradnl"/>
        </w:rPr>
        <w:noBreakHyphen/>
        <w:t>3 GHz entre las estaciones espaciales no geoestacionarias que operan en el servicio móvil por satélite y las estaciones del servicio fijo</w:t>
      </w:r>
      <w:r w:rsidR="00C959B3">
        <w:rPr>
          <w:lang w:val="es-ES_tradnl"/>
        </w:rPr>
        <w:t>;</w:t>
      </w:r>
    </w:p>
    <w:p w:rsidR="006250C1" w:rsidRPr="00BD27BE" w:rsidRDefault="00621477" w:rsidP="00C959B3">
      <w:pPr>
        <w:pStyle w:val="enumlev1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Recomendación </w:t>
      </w:r>
      <w:r w:rsidR="006250C1" w:rsidRPr="00BD27BE">
        <w:rPr>
          <w:lang w:val="es-ES_tradnl"/>
        </w:rPr>
        <w:t>UIT-R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M.1142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–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Compartición en la gama de frecuencias 1</w:t>
      </w:r>
      <w:r w:rsidR="006250C1" w:rsidRPr="00BD27BE">
        <w:rPr>
          <w:lang w:val="es-ES_tradnl"/>
        </w:rPr>
        <w:noBreakHyphen/>
        <w:t>3 GHz entre las estaciones espaciales geoestacionarias que operan en el servicio móvil por satélite y las estaciones del servicio fijo</w:t>
      </w:r>
      <w:r w:rsidR="00C959B3">
        <w:rPr>
          <w:lang w:val="es-ES_tradnl"/>
        </w:rPr>
        <w:t>;</w:t>
      </w:r>
    </w:p>
    <w:p w:rsidR="006250C1" w:rsidRPr="00BD27BE" w:rsidRDefault="00621477" w:rsidP="00621477">
      <w:pPr>
        <w:pStyle w:val="enumlev1"/>
        <w:keepLines/>
        <w:rPr>
          <w:lang w:val="es-ES_tradnl"/>
        </w:rPr>
      </w:pPr>
      <w:r>
        <w:rPr>
          <w:lang w:val="es-ES_tradnl"/>
        </w:rPr>
        <w:lastRenderedPageBreak/>
        <w:t>–</w:t>
      </w:r>
      <w:r>
        <w:rPr>
          <w:lang w:val="es-ES_tradnl"/>
        </w:rPr>
        <w:tab/>
        <w:t>Recomendación </w:t>
      </w:r>
      <w:r w:rsidR="006250C1" w:rsidRPr="00BD27BE">
        <w:rPr>
          <w:lang w:val="es-ES_tradnl"/>
        </w:rPr>
        <w:t>UIT-R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F.699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–</w:t>
      </w:r>
      <w:r>
        <w:rPr>
          <w:lang w:val="es-ES_tradnl"/>
        </w:rPr>
        <w:t> </w:t>
      </w:r>
      <w:r w:rsidR="006250C1" w:rsidRPr="00BD27BE">
        <w:rPr>
          <w:lang w:val="es-ES_tradnl"/>
        </w:rPr>
        <w:t>Diagramas de radiación de referencia de antenas de sistemas de radioenlaces con visibilidad directa para utilizarlos en los estudios de coordinación y en la evaluación de la interferencia en la gama de frecuencias de</w:t>
      </w:r>
      <w:r>
        <w:rPr>
          <w:lang w:val="es-ES_tradnl"/>
        </w:rPr>
        <w:t xml:space="preserve"> </w:t>
      </w:r>
      <w:r w:rsidR="006250C1" w:rsidRPr="00BD27BE">
        <w:rPr>
          <w:lang w:val="es-ES_tradnl"/>
        </w:rPr>
        <w:t>1</w:t>
      </w:r>
      <w:r w:rsidR="006250C1">
        <w:rPr>
          <w:lang w:val="es-ES_tradnl"/>
        </w:rPr>
        <w:t>00</w:t>
      </w:r>
      <w:r w:rsidR="006250C1" w:rsidRPr="00BD27BE">
        <w:rPr>
          <w:lang w:val="es-ES_tradnl"/>
        </w:rPr>
        <w:t> </w:t>
      </w:r>
      <w:r w:rsidR="006250C1">
        <w:rPr>
          <w:lang w:val="es-ES_tradnl"/>
        </w:rPr>
        <w:t>M</w:t>
      </w:r>
      <w:r w:rsidR="006250C1" w:rsidRPr="00BD27BE">
        <w:rPr>
          <w:lang w:val="es-ES_tradnl"/>
        </w:rPr>
        <w:t>Hz a unos</w:t>
      </w:r>
      <w:r>
        <w:rPr>
          <w:lang w:val="es-ES_tradnl"/>
        </w:rPr>
        <w:t xml:space="preserve"> </w:t>
      </w:r>
      <w:r w:rsidR="006250C1">
        <w:rPr>
          <w:lang w:val="es-ES_tradnl"/>
        </w:rPr>
        <w:t>7</w:t>
      </w:r>
      <w:r w:rsidR="006250C1" w:rsidRPr="00BD27BE">
        <w:rPr>
          <w:lang w:val="es-ES_tradnl"/>
        </w:rPr>
        <w:t>0 GHz;</w:t>
      </w:r>
    </w:p>
    <w:p w:rsidR="006250C1" w:rsidRPr="00BD27BE" w:rsidRDefault="006250C1" w:rsidP="006250C1">
      <w:pPr>
        <w:rPr>
          <w:lang w:val="es-ES_tradnl"/>
        </w:rPr>
      </w:pPr>
      <w:r w:rsidRPr="00BD27BE">
        <w:rPr>
          <w:b/>
          <w:bCs/>
          <w:lang w:val="es-ES_tradnl"/>
        </w:rPr>
        <w:t>4</w:t>
      </w:r>
      <w:r w:rsidRPr="00BD27BE">
        <w:rPr>
          <w:lang w:val="es-ES_tradnl"/>
        </w:rPr>
        <w:tab/>
        <w:t>que al considerar la planificación de los sistemas del servicio fijo de las bandas 1</w:t>
      </w:r>
      <w:r w:rsidRPr="00BD27BE">
        <w:rPr>
          <w:rFonts w:ascii="Tms Rmn" w:hAnsi="Tms Rmn"/>
          <w:sz w:val="12"/>
          <w:lang w:val="es-ES_tradnl"/>
        </w:rPr>
        <w:t> </w:t>
      </w:r>
      <w:r w:rsidRPr="00BD27BE">
        <w:rPr>
          <w:lang w:val="es-ES_tradnl"/>
        </w:rPr>
        <w:t>980</w:t>
      </w:r>
      <w:r w:rsidRPr="00BD27BE">
        <w:rPr>
          <w:lang w:val="es-ES_tradnl"/>
        </w:rPr>
        <w:noBreakHyphen/>
        <w:t>2</w:t>
      </w:r>
      <w:r w:rsidRPr="00BD27BE">
        <w:rPr>
          <w:rFonts w:ascii="Tms Rmn" w:hAnsi="Tms Rmn"/>
          <w:sz w:val="12"/>
          <w:lang w:val="es-ES_tradnl"/>
        </w:rPr>
        <w:t> </w:t>
      </w:r>
      <w:r w:rsidRPr="00BD27BE">
        <w:rPr>
          <w:lang w:val="es-ES_tradnl"/>
        </w:rPr>
        <w:t>010 MHz y 2</w:t>
      </w:r>
      <w:r w:rsidRPr="00BD27BE">
        <w:rPr>
          <w:rFonts w:ascii="Tms Rmn" w:hAnsi="Tms Rmn"/>
          <w:sz w:val="12"/>
          <w:lang w:val="es-ES_tradnl"/>
        </w:rPr>
        <w:t> </w:t>
      </w:r>
      <w:r w:rsidRPr="00BD27BE">
        <w:rPr>
          <w:lang w:val="es-ES_tradnl"/>
        </w:rPr>
        <w:t>170</w:t>
      </w:r>
      <w:r w:rsidRPr="00BD27BE">
        <w:rPr>
          <w:lang w:val="es-ES_tradnl"/>
        </w:rPr>
        <w:noBreakHyphen/>
        <w:t>2</w:t>
      </w:r>
      <w:r w:rsidRPr="00BD27BE">
        <w:rPr>
          <w:rFonts w:ascii="Tms Rmn" w:hAnsi="Tms Rmn"/>
          <w:sz w:val="12"/>
          <w:lang w:val="es-ES_tradnl"/>
        </w:rPr>
        <w:t> </w:t>
      </w:r>
      <w:r w:rsidRPr="00BD27BE">
        <w:rPr>
          <w:lang w:val="es-ES_tradnl"/>
        </w:rPr>
        <w:t>200 MHz en las tres Regiones y 2</w:t>
      </w:r>
      <w:r w:rsidRPr="00BD27BE">
        <w:rPr>
          <w:rFonts w:ascii="Tms Rmn" w:hAnsi="Tms Rmn"/>
          <w:sz w:val="12"/>
          <w:lang w:val="es-ES_tradnl"/>
        </w:rPr>
        <w:t> </w:t>
      </w:r>
      <w:r w:rsidRPr="00BD27BE">
        <w:rPr>
          <w:lang w:val="es-ES_tradnl"/>
        </w:rPr>
        <w:t>010</w:t>
      </w:r>
      <w:r w:rsidRPr="00BD27BE">
        <w:rPr>
          <w:lang w:val="es-ES_tradnl"/>
        </w:rPr>
        <w:noBreakHyphen/>
        <w:t>2</w:t>
      </w:r>
      <w:r w:rsidRPr="00BD27BE">
        <w:rPr>
          <w:rFonts w:ascii="Tms Rmn" w:hAnsi="Tms Rmn"/>
          <w:sz w:val="12"/>
          <w:lang w:val="es-ES_tradnl"/>
        </w:rPr>
        <w:t> </w:t>
      </w:r>
      <w:r w:rsidRPr="00BD27BE">
        <w:rPr>
          <w:lang w:val="es-ES_tradnl"/>
        </w:rPr>
        <w:t>025 MHz y 2</w:t>
      </w:r>
      <w:r w:rsidRPr="00BD27BE">
        <w:rPr>
          <w:rFonts w:ascii="Tms Rmn" w:hAnsi="Tms Rmn"/>
          <w:sz w:val="12"/>
          <w:lang w:val="es-ES_tradnl"/>
        </w:rPr>
        <w:t> </w:t>
      </w:r>
      <w:r w:rsidRPr="00BD27BE">
        <w:rPr>
          <w:lang w:val="es-ES_tradnl"/>
        </w:rPr>
        <w:t>160</w:t>
      </w:r>
      <w:r w:rsidRPr="00BD27BE">
        <w:rPr>
          <w:lang w:val="es-ES_tradnl"/>
        </w:rPr>
        <w:noBreakHyphen/>
        <w:t>2</w:t>
      </w:r>
      <w:r w:rsidRPr="00BD27BE">
        <w:rPr>
          <w:rFonts w:ascii="Tms Rmn" w:hAnsi="Tms Rmn"/>
          <w:sz w:val="12"/>
          <w:lang w:val="es-ES_tradnl"/>
        </w:rPr>
        <w:t> </w:t>
      </w:r>
      <w:r w:rsidRPr="00BD27BE">
        <w:rPr>
          <w:lang w:val="es-ES_tradnl"/>
        </w:rPr>
        <w:t>170 MHz en la Región 2 se consideren las orientaciones técnicas y los instrumentos de planificación que ofrece la Recomendación </w:t>
      </w:r>
      <w:proofErr w:type="spellStart"/>
      <w:r w:rsidRPr="00BD27BE">
        <w:rPr>
          <w:lang w:val="es-ES_tradnl"/>
        </w:rPr>
        <w:t>UIT</w:t>
      </w:r>
      <w:r w:rsidRPr="00BD27BE">
        <w:rPr>
          <w:lang w:val="es-ES_tradnl"/>
        </w:rPr>
        <w:noBreakHyphen/>
        <w:t>R</w:t>
      </w:r>
      <w:proofErr w:type="spellEnd"/>
      <w:r w:rsidRPr="00BD27BE">
        <w:rPr>
          <w:lang w:val="es-ES_tradnl"/>
        </w:rPr>
        <w:t> F.1335.</w:t>
      </w:r>
    </w:p>
    <w:p w:rsidR="006250C1" w:rsidRDefault="006250C1" w:rsidP="00C71E18">
      <w:pPr>
        <w:rPr>
          <w:lang w:val="es-ES_tradnl"/>
        </w:rPr>
      </w:pPr>
      <w:r w:rsidRPr="00BD27BE">
        <w:rPr>
          <w:lang w:val="es-ES_tradnl"/>
        </w:rPr>
        <w:t>NOTA</w:t>
      </w:r>
      <w:r w:rsidR="00C71E18">
        <w:rPr>
          <w:lang w:val="es-ES_tradnl"/>
        </w:rPr>
        <w:t> </w:t>
      </w:r>
      <w:r w:rsidRPr="00BD27BE">
        <w:rPr>
          <w:lang w:val="es-ES_tradnl"/>
        </w:rPr>
        <w:t>1</w:t>
      </w:r>
      <w:r w:rsidR="00C71E18">
        <w:rPr>
          <w:lang w:val="es-ES_tradnl"/>
        </w:rPr>
        <w:t> </w:t>
      </w:r>
      <w:r w:rsidRPr="00BD27BE">
        <w:rPr>
          <w:lang w:val="es-ES_tradnl"/>
        </w:rPr>
        <w:t>–</w:t>
      </w:r>
      <w:r w:rsidR="00C71E18">
        <w:rPr>
          <w:lang w:val="es-ES_tradnl"/>
        </w:rPr>
        <w:t> </w:t>
      </w:r>
      <w:r w:rsidRPr="00BD27BE">
        <w:rPr>
          <w:lang w:val="es-ES_tradnl"/>
        </w:rPr>
        <w:t>Esta redacción se ampliará, según convenga, y debe considerarse el establecimiento de una clasificación más detallada de las Recomendaciones UIT-R incluidas en la lista.</w:t>
      </w:r>
    </w:p>
    <w:p w:rsidR="006250C1" w:rsidRDefault="006250C1" w:rsidP="006250C1">
      <w:pPr>
        <w:rPr>
          <w:lang w:val="es-ES_tradnl"/>
        </w:rPr>
      </w:pPr>
    </w:p>
    <w:p w:rsidR="00C71E18" w:rsidRDefault="00C71E18" w:rsidP="006250C1">
      <w:pPr>
        <w:rPr>
          <w:lang w:val="es-ES_tradnl"/>
        </w:rPr>
      </w:pPr>
    </w:p>
    <w:p w:rsidR="006250C1" w:rsidRPr="000C178C" w:rsidRDefault="006250C1" w:rsidP="006250C1">
      <w:pPr>
        <w:pStyle w:val="Line"/>
        <w:rPr>
          <w:lang w:val="es-ES_tradnl"/>
        </w:rPr>
      </w:pPr>
    </w:p>
    <w:sectPr w:rsidR="006250C1" w:rsidRPr="000C178C" w:rsidSect="00C71E18">
      <w:headerReference w:type="default" r:id="rId13"/>
      <w:pgSz w:w="11907" w:h="16834" w:code="9"/>
      <w:pgMar w:top="1418" w:right="1134" w:bottom="1134" w:left="1134" w:header="720" w:footer="482" w:gutter="0"/>
      <w:paperSrc w:first="7" w:other="7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7AEB" w:rsidRDefault="00A07AEB">
      <w:r>
        <w:separator/>
      </w:r>
    </w:p>
  </w:endnote>
  <w:endnote w:type="continuationSeparator" w:id="0">
    <w:p w:rsidR="00A07AEB" w:rsidRDefault="00A07A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7AEB" w:rsidRDefault="00A07AEB">
      <w:r>
        <w:separator/>
      </w:r>
    </w:p>
  </w:footnote>
  <w:footnote w:type="continuationSeparator" w:id="0">
    <w:p w:rsidR="00A07AEB" w:rsidRDefault="00A07AEB">
      <w:r>
        <w:continuationSeparator/>
      </w:r>
    </w:p>
  </w:footnote>
  <w:footnote w:id="1">
    <w:p w:rsidR="00F3791F" w:rsidRPr="000C178C" w:rsidRDefault="00F3791F" w:rsidP="00F3791F">
      <w:pPr>
        <w:pStyle w:val="FootnoteText"/>
        <w:rPr>
          <w:lang w:val="es-ES_tradnl"/>
        </w:rPr>
      </w:pPr>
      <w:r w:rsidRPr="000C178C">
        <w:rPr>
          <w:rStyle w:val="FootnoteReference"/>
          <w:lang w:val="es-ES_tradnl"/>
        </w:rPr>
        <w:t>*</w:t>
      </w:r>
      <w:r w:rsidRPr="000C178C">
        <w:rPr>
          <w:lang w:val="es-ES_tradnl"/>
        </w:rPr>
        <w:tab/>
        <w:t>Esta Recomendación debe señalarse a la atención de la Comisión de Estudio 5 de Radiocomunicaciones.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292" w:rsidRDefault="00042292">
    <w:pPr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292" w:rsidRDefault="006250C1" w:rsidP="00CB1354">
    <w:pPr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292" w:rsidRDefault="00893177" w:rsidP="001B395D">
    <w:pPr>
      <w:pStyle w:val="Header"/>
      <w:jc w:val="left"/>
    </w:pPr>
    <w:r>
      <w:rPr>
        <w:rStyle w:val="PageNumber"/>
        <w:b/>
        <w:bCs/>
      </w:rPr>
      <w:fldChar w:fldCharType="begin"/>
    </w:r>
    <w:r w:rsidR="00042292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959B3">
      <w:rPr>
        <w:rStyle w:val="PageNumber"/>
        <w:b/>
        <w:bCs/>
        <w:noProof/>
      </w:rPr>
      <w:t>4</w:t>
    </w:r>
    <w:r>
      <w:rPr>
        <w:rStyle w:val="PageNumber"/>
        <w:b/>
        <w:bCs/>
      </w:rPr>
      <w:fldChar w:fldCharType="end"/>
    </w:r>
    <w:r w:rsidR="00042292">
      <w:tab/>
    </w:r>
    <w:fldSimple w:instr=" DOCPROPERTY &quot;Header&quot; \* MERGEFORMAT ">
      <w:r w:rsidR="00C71E18">
        <w:rPr>
          <w:b/>
          <w:bCs/>
        </w:rPr>
        <w:t xml:space="preserve">Rec. </w:t>
      </w:r>
    </w:fldSimple>
    <w:r w:rsidR="00042292" w:rsidRPr="001B395D">
      <w:rPr>
        <w:b/>
        <w:bCs/>
      </w:rPr>
      <w:t xml:space="preserve"> </w:t>
    </w:r>
    <w:r w:rsidRPr="001B395D">
      <w:rPr>
        <w:b/>
        <w:bCs/>
      </w:rPr>
      <w:fldChar w:fldCharType="begin"/>
    </w:r>
    <w:r w:rsidR="00042292" w:rsidRPr="001B395D">
      <w:rPr>
        <w:b/>
        <w:bCs/>
      </w:rPr>
      <w:instrText>styleref href</w:instrText>
    </w:r>
    <w:r w:rsidRPr="001B395D">
      <w:rPr>
        <w:b/>
        <w:bCs/>
      </w:rPr>
      <w:fldChar w:fldCharType="separate"/>
    </w:r>
    <w:r w:rsidR="00C959B3">
      <w:rPr>
        <w:b/>
        <w:bCs/>
        <w:noProof/>
      </w:rPr>
      <w:t>UIT-R  M.1471-1</w:t>
    </w:r>
    <w:r w:rsidRPr="001B395D"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292" w:rsidRDefault="00042292">
    <w:r>
      <w:tab/>
    </w:r>
    <w:fldSimple w:instr=" DOCPROPERTY &quot;Header&quot; \* MERGEFORMAT ">
      <w:r w:rsidR="00C71E18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893177">
      <w:rPr>
        <w:b/>
        <w:bCs/>
      </w:rPr>
      <w:fldChar w:fldCharType="begin"/>
    </w:r>
    <w:r>
      <w:rPr>
        <w:b/>
        <w:bCs/>
      </w:rPr>
      <w:instrText>styleref href</w:instrText>
    </w:r>
    <w:r w:rsidR="00893177">
      <w:rPr>
        <w:b/>
        <w:bCs/>
      </w:rPr>
      <w:fldChar w:fldCharType="separate"/>
    </w:r>
    <w:r w:rsidR="00C71E18">
      <w:rPr>
        <w:b/>
        <w:bCs/>
        <w:noProof/>
      </w:rPr>
      <w:t>UIT-R  M.1471-1</w:t>
    </w:r>
    <w:r w:rsidR="00893177">
      <w:rPr>
        <w:b/>
        <w:bCs/>
      </w:rPr>
      <w:fldChar w:fldCharType="end"/>
    </w:r>
    <w:r>
      <w:tab/>
    </w:r>
    <w:r w:rsidR="00893177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893177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 w:rsidR="00893177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D68" w:rsidRPr="001B395D" w:rsidRDefault="00607D68" w:rsidP="001B395D">
    <w:pPr>
      <w:pStyle w:val="Header"/>
      <w:rPr>
        <w:b/>
        <w:bCs/>
      </w:rPr>
    </w:pPr>
    <w:r>
      <w:tab/>
    </w:r>
    <w:fldSimple w:instr=" DOCPROPERTY &quot;Header&quot; \* MERGEFORMAT ">
      <w:r w:rsidR="00C71E18">
        <w:rPr>
          <w:b/>
          <w:bCs/>
        </w:rPr>
        <w:t xml:space="preserve">Rec. </w:t>
      </w:r>
    </w:fldSimple>
    <w:r w:rsidRPr="001B395D">
      <w:rPr>
        <w:b/>
        <w:bCs/>
      </w:rPr>
      <w:t xml:space="preserve"> </w:t>
    </w:r>
    <w:r w:rsidR="00893177" w:rsidRPr="001B395D">
      <w:rPr>
        <w:b/>
        <w:bCs/>
      </w:rPr>
      <w:fldChar w:fldCharType="begin"/>
    </w:r>
    <w:r w:rsidRPr="001B395D">
      <w:rPr>
        <w:b/>
        <w:bCs/>
      </w:rPr>
      <w:instrText>styleref href</w:instrText>
    </w:r>
    <w:r w:rsidR="00893177" w:rsidRPr="001B395D">
      <w:rPr>
        <w:b/>
        <w:bCs/>
      </w:rPr>
      <w:fldChar w:fldCharType="separate"/>
    </w:r>
    <w:r w:rsidR="00C959B3">
      <w:rPr>
        <w:b/>
        <w:bCs/>
        <w:noProof/>
      </w:rPr>
      <w:t>UIT-R  M.1471-1</w:t>
    </w:r>
    <w:r w:rsidR="00893177" w:rsidRPr="001B395D">
      <w:rPr>
        <w:b/>
        <w:bCs/>
      </w:rPr>
      <w:fldChar w:fldCharType="end"/>
    </w:r>
    <w:r w:rsidRPr="001B395D">
      <w:rPr>
        <w:b/>
        <w:bCs/>
      </w:rPr>
      <w:tab/>
    </w:r>
    <w:r w:rsidR="00893177" w:rsidRPr="001B395D">
      <w:rPr>
        <w:rStyle w:val="PageNumber"/>
        <w:b/>
        <w:bCs/>
      </w:rPr>
      <w:fldChar w:fldCharType="begin"/>
    </w:r>
    <w:r w:rsidRPr="001B395D">
      <w:rPr>
        <w:rStyle w:val="PageNumber"/>
        <w:b/>
        <w:bCs/>
      </w:rPr>
      <w:instrText xml:space="preserve"> PAGE </w:instrText>
    </w:r>
    <w:r w:rsidR="00893177" w:rsidRPr="001B395D">
      <w:rPr>
        <w:rStyle w:val="PageNumber"/>
        <w:b/>
        <w:bCs/>
      </w:rPr>
      <w:fldChar w:fldCharType="separate"/>
    </w:r>
    <w:r w:rsidR="00C959B3">
      <w:rPr>
        <w:rStyle w:val="PageNumber"/>
        <w:b/>
        <w:bCs/>
        <w:noProof/>
      </w:rPr>
      <w:t>3</w:t>
    </w:r>
    <w:r w:rsidR="00893177" w:rsidRPr="001B395D">
      <w:rPr>
        <w:rStyle w:val="PageNumber"/>
        <w:b/>
        <w:bCs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SpellingErrors/>
  <w:hideGrammaticalErrors/>
  <w:activeWritingStyle w:appName="MSWord" w:lang="en-US" w:vendorID="64" w:dllVersion="131077" w:nlCheck="1" w:checkStyle="0"/>
  <w:proofState w:spelling="clean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042292"/>
    <w:rsid w:val="00042292"/>
    <w:rsid w:val="000C178C"/>
    <w:rsid w:val="001B26B3"/>
    <w:rsid w:val="001B395D"/>
    <w:rsid w:val="00232524"/>
    <w:rsid w:val="002D76C4"/>
    <w:rsid w:val="00410F5B"/>
    <w:rsid w:val="00607D68"/>
    <w:rsid w:val="00621477"/>
    <w:rsid w:val="006250C1"/>
    <w:rsid w:val="0076082A"/>
    <w:rsid w:val="00893177"/>
    <w:rsid w:val="00A07AEB"/>
    <w:rsid w:val="00A6617B"/>
    <w:rsid w:val="00AB0DC8"/>
    <w:rsid w:val="00B44E24"/>
    <w:rsid w:val="00C36A75"/>
    <w:rsid w:val="00C71E18"/>
    <w:rsid w:val="00C959B3"/>
    <w:rsid w:val="00CB1354"/>
    <w:rsid w:val="00D40CF6"/>
    <w:rsid w:val="00DF4176"/>
    <w:rsid w:val="00EE743D"/>
    <w:rsid w:val="00F3791F"/>
    <w:rsid w:val="00FD7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B395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1B395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B395D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B395D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B395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B395D"/>
    <w:pPr>
      <w:outlineLvl w:val="4"/>
    </w:pPr>
  </w:style>
  <w:style w:type="paragraph" w:styleId="Heading6">
    <w:name w:val="heading 6"/>
    <w:basedOn w:val="Heading4"/>
    <w:next w:val="Normal"/>
    <w:qFormat/>
    <w:rsid w:val="001B395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B395D"/>
    <w:pPr>
      <w:outlineLvl w:val="6"/>
    </w:pPr>
  </w:style>
  <w:style w:type="paragraph" w:styleId="Heading8">
    <w:name w:val="heading 8"/>
    <w:basedOn w:val="Heading6"/>
    <w:next w:val="Normal"/>
    <w:qFormat/>
    <w:rsid w:val="001B395D"/>
    <w:pPr>
      <w:outlineLvl w:val="7"/>
    </w:pPr>
  </w:style>
  <w:style w:type="paragraph" w:styleId="Heading9">
    <w:name w:val="heading 9"/>
    <w:basedOn w:val="Heading6"/>
    <w:next w:val="Normal"/>
    <w:qFormat/>
    <w:rsid w:val="001B395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B395D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1B395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B395D"/>
  </w:style>
  <w:style w:type="paragraph" w:customStyle="1" w:styleId="Headingb">
    <w:name w:val="Heading_b"/>
    <w:basedOn w:val="Heading3"/>
    <w:next w:val="Normal"/>
    <w:rsid w:val="001B395D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B395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B395D"/>
  </w:style>
  <w:style w:type="paragraph" w:customStyle="1" w:styleId="enumlev1">
    <w:name w:val="enumlev1"/>
    <w:basedOn w:val="Normal"/>
    <w:rsid w:val="001B395D"/>
    <w:pPr>
      <w:spacing w:before="80"/>
      <w:ind w:left="794" w:hanging="794"/>
    </w:pPr>
  </w:style>
  <w:style w:type="paragraph" w:customStyle="1" w:styleId="enumlev2">
    <w:name w:val="enumlev2"/>
    <w:basedOn w:val="enumlev1"/>
    <w:rsid w:val="001B395D"/>
    <w:pPr>
      <w:ind w:left="1191" w:hanging="397"/>
    </w:pPr>
  </w:style>
  <w:style w:type="paragraph" w:customStyle="1" w:styleId="enumlev3">
    <w:name w:val="enumlev3"/>
    <w:basedOn w:val="enumlev2"/>
    <w:rsid w:val="001B395D"/>
    <w:pPr>
      <w:ind w:left="1588"/>
    </w:pPr>
  </w:style>
  <w:style w:type="paragraph" w:customStyle="1" w:styleId="Normalaftertitle">
    <w:name w:val="Normal_after_title"/>
    <w:basedOn w:val="Normal"/>
    <w:next w:val="Normal"/>
    <w:rsid w:val="001B395D"/>
    <w:pPr>
      <w:spacing w:before="320"/>
    </w:pPr>
  </w:style>
  <w:style w:type="paragraph" w:customStyle="1" w:styleId="Note">
    <w:name w:val="Note"/>
    <w:basedOn w:val="Normal"/>
    <w:rsid w:val="001B395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1B395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1B395D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1B395D"/>
    <w:pPr>
      <w:jc w:val="center"/>
    </w:pPr>
  </w:style>
  <w:style w:type="paragraph" w:customStyle="1" w:styleId="Recdate">
    <w:name w:val="Rec_date"/>
    <w:basedOn w:val="Recref"/>
    <w:next w:val="Normalaftertitle"/>
    <w:rsid w:val="001B395D"/>
    <w:pPr>
      <w:jc w:val="right"/>
    </w:pPr>
  </w:style>
  <w:style w:type="paragraph" w:customStyle="1" w:styleId="AnnexNoTitle">
    <w:name w:val="Annex_NoTitle"/>
    <w:basedOn w:val="Normal"/>
    <w:next w:val="Normalaftertitle"/>
    <w:rsid w:val="001B395D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1B395D"/>
  </w:style>
  <w:style w:type="paragraph" w:customStyle="1" w:styleId="Tablefin">
    <w:name w:val="Table_fin"/>
    <w:basedOn w:val="Normal"/>
    <w:next w:val="Normal"/>
    <w:rsid w:val="001B395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B395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1B395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1B395D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B395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1B395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B395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B395D"/>
    <w:pPr>
      <w:ind w:left="794"/>
    </w:pPr>
  </w:style>
  <w:style w:type="paragraph" w:customStyle="1" w:styleId="Figurelegend">
    <w:name w:val="Figure_legend"/>
    <w:basedOn w:val="Normal"/>
    <w:rsid w:val="001B395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B395D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1B395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B395D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B395D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1B395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B395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B395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B395D"/>
    <w:rPr>
      <w:b/>
    </w:rPr>
  </w:style>
  <w:style w:type="paragraph" w:customStyle="1" w:styleId="Chaptitle">
    <w:name w:val="Chap_title"/>
    <w:basedOn w:val="Arttitle"/>
    <w:next w:val="Normalaftertitle"/>
    <w:rsid w:val="001B395D"/>
  </w:style>
  <w:style w:type="character" w:styleId="FootnoteReference">
    <w:name w:val="footnote reference"/>
    <w:basedOn w:val="DefaultParagraphFont"/>
    <w:semiHidden/>
    <w:rsid w:val="001B395D"/>
    <w:rPr>
      <w:position w:val="6"/>
      <w:sz w:val="18"/>
    </w:rPr>
  </w:style>
  <w:style w:type="paragraph" w:styleId="FootnoteText">
    <w:name w:val="footnote text"/>
    <w:basedOn w:val="Normal"/>
    <w:semiHidden/>
    <w:rsid w:val="001B395D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1B395D"/>
  </w:style>
  <w:style w:type="paragraph" w:styleId="Index2">
    <w:name w:val="index 2"/>
    <w:basedOn w:val="Normal"/>
    <w:next w:val="Normal"/>
    <w:semiHidden/>
    <w:rsid w:val="001B395D"/>
    <w:pPr>
      <w:ind w:left="283"/>
    </w:pPr>
  </w:style>
  <w:style w:type="paragraph" w:styleId="Index3">
    <w:name w:val="index 3"/>
    <w:basedOn w:val="Normal"/>
    <w:next w:val="Normal"/>
    <w:semiHidden/>
    <w:rsid w:val="001B395D"/>
    <w:pPr>
      <w:ind w:left="566"/>
    </w:pPr>
  </w:style>
  <w:style w:type="paragraph" w:styleId="IndexHeading">
    <w:name w:val="index heading"/>
    <w:basedOn w:val="Normal"/>
    <w:next w:val="Index1"/>
    <w:semiHidden/>
    <w:rsid w:val="001B395D"/>
  </w:style>
  <w:style w:type="paragraph" w:customStyle="1" w:styleId="Line">
    <w:name w:val="Line"/>
    <w:basedOn w:val="Normal"/>
    <w:next w:val="Normal"/>
    <w:rsid w:val="001B395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B395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B395D"/>
  </w:style>
  <w:style w:type="paragraph" w:customStyle="1" w:styleId="Partref">
    <w:name w:val="Part_ref"/>
    <w:basedOn w:val="Normal"/>
    <w:next w:val="Normal"/>
    <w:rsid w:val="001B395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B395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B395D"/>
  </w:style>
  <w:style w:type="paragraph" w:customStyle="1" w:styleId="QuestionNo">
    <w:name w:val="Question_No"/>
    <w:basedOn w:val="RecNo"/>
    <w:next w:val="Normal"/>
    <w:rsid w:val="001B395D"/>
  </w:style>
  <w:style w:type="paragraph" w:customStyle="1" w:styleId="Questionref">
    <w:name w:val="Question_ref"/>
    <w:basedOn w:val="Recref"/>
    <w:next w:val="Questiondate"/>
    <w:rsid w:val="001B395D"/>
  </w:style>
  <w:style w:type="paragraph" w:customStyle="1" w:styleId="Questiontitle">
    <w:name w:val="Question_title"/>
    <w:basedOn w:val="Normal"/>
    <w:next w:val="Questionref"/>
    <w:rsid w:val="001B395D"/>
  </w:style>
  <w:style w:type="paragraph" w:customStyle="1" w:styleId="Reftext">
    <w:name w:val="Ref_text"/>
    <w:basedOn w:val="Normal"/>
    <w:rsid w:val="001B395D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1B395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B395D"/>
  </w:style>
  <w:style w:type="paragraph" w:customStyle="1" w:styleId="RepNo">
    <w:name w:val="Rep_No"/>
    <w:basedOn w:val="RecNo"/>
    <w:next w:val="Reptitle"/>
    <w:rsid w:val="001B395D"/>
  </w:style>
  <w:style w:type="paragraph" w:customStyle="1" w:styleId="Repref">
    <w:name w:val="Rep_ref"/>
    <w:basedOn w:val="Recref"/>
    <w:next w:val="Repdate"/>
    <w:rsid w:val="001B395D"/>
  </w:style>
  <w:style w:type="paragraph" w:customStyle="1" w:styleId="Reptitle">
    <w:name w:val="Rep_title"/>
    <w:basedOn w:val="Rectitle"/>
    <w:next w:val="Repref"/>
    <w:rsid w:val="001B395D"/>
  </w:style>
  <w:style w:type="paragraph" w:customStyle="1" w:styleId="Resdate">
    <w:name w:val="Res_date"/>
    <w:basedOn w:val="Recdate"/>
    <w:next w:val="Normalaftertitle"/>
    <w:rsid w:val="001B395D"/>
  </w:style>
  <w:style w:type="paragraph" w:customStyle="1" w:styleId="ResNo">
    <w:name w:val="Res_No"/>
    <w:basedOn w:val="RecNo"/>
    <w:next w:val="Restitle"/>
    <w:rsid w:val="001B395D"/>
  </w:style>
  <w:style w:type="paragraph" w:customStyle="1" w:styleId="Resref">
    <w:name w:val="Res_ref"/>
    <w:basedOn w:val="Recref"/>
    <w:next w:val="Resdate"/>
    <w:rsid w:val="001B395D"/>
  </w:style>
  <w:style w:type="paragraph" w:customStyle="1" w:styleId="Restitle">
    <w:name w:val="Res_title"/>
    <w:basedOn w:val="Normal"/>
    <w:next w:val="Resref"/>
    <w:rsid w:val="001B395D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1B395D"/>
  </w:style>
  <w:style w:type="paragraph" w:customStyle="1" w:styleId="Sectiontitle">
    <w:name w:val="Section_title"/>
    <w:basedOn w:val="Normal"/>
    <w:next w:val="Normalaftertitle"/>
    <w:rsid w:val="001B395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B395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1B395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B395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B395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B395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B395D"/>
  </w:style>
  <w:style w:type="paragraph" w:styleId="TOC6">
    <w:name w:val="toc 6"/>
    <w:basedOn w:val="TOC4"/>
    <w:semiHidden/>
    <w:rsid w:val="001B395D"/>
  </w:style>
  <w:style w:type="paragraph" w:styleId="TOC7">
    <w:name w:val="toc 7"/>
    <w:basedOn w:val="TOC4"/>
    <w:semiHidden/>
    <w:rsid w:val="001B395D"/>
  </w:style>
  <w:style w:type="paragraph" w:styleId="TOC8">
    <w:name w:val="toc 8"/>
    <w:basedOn w:val="TOC4"/>
    <w:semiHidden/>
    <w:rsid w:val="001B395D"/>
  </w:style>
  <w:style w:type="paragraph" w:customStyle="1" w:styleId="Rectitle">
    <w:name w:val="Rec_title"/>
    <w:basedOn w:val="Normal"/>
    <w:next w:val="Recref"/>
    <w:rsid w:val="001B395D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1B395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B395D"/>
  </w:style>
  <w:style w:type="paragraph" w:customStyle="1" w:styleId="Figuretitle">
    <w:name w:val="Figure_title"/>
    <w:basedOn w:val="Normal"/>
    <w:next w:val="Figure"/>
    <w:rsid w:val="001B395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1B395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B395D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042292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1B395D"/>
    <w:pPr>
      <w:keepNext w:val="0"/>
      <w:spacing w:before="0" w:after="240"/>
    </w:pPr>
  </w:style>
  <w:style w:type="table" w:styleId="TableGrid">
    <w:name w:val="Table Grid"/>
    <w:basedOn w:val="TableNormal"/>
    <w:rsid w:val="0004229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itu.int/publ/R-REC/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37074-5210-48C0-A886-445B84B2E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37</TotalTime>
  <Pages>6</Pages>
  <Words>1892</Words>
  <Characters>10998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12865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M.1471-1* - Orientaciones para facilitar la coordinación y la utilización de las bandas de frecuencias compartidas entre el servicio móvil por satélite y el servicio fijo en la gama de frecuencias 1-3 GHz</dc:title>
  <dc:subject>Serie M = Servicios móviles, de radiodeterminación y de aficionados, incluidos los correspondientes servicios por satélite</dc:subject>
  <dc:creator>Oficina de Radiocomunicaciones del UIT (BR)</dc:creator>
  <cp:keywords>M,1471-1*</cp:keywords>
  <dc:description>Santosbo, 22/06/2010, MSB106309</dc:description>
  <cp:lastModifiedBy>martiner</cp:lastModifiedBy>
  <cp:revision>9</cp:revision>
  <cp:lastPrinted>2005-02-10T14:54:00Z</cp:lastPrinted>
  <dcterms:created xsi:type="dcterms:W3CDTF">2010-06-22T09:12:00Z</dcterms:created>
  <dcterms:modified xsi:type="dcterms:W3CDTF">2010-06-23T09:10:00Z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Santosbo</vt:lpwstr>
  </property>
  <property fmtid="{D5CDD505-2E9C-101B-9397-08002B2CF9AE}" pid="11" name="Date completed">
    <vt:lpwstr>22 June 2010</vt:lpwstr>
  </property>
</Properties>
</file>