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7B" w:rsidRDefault="00A6617B" w:rsidP="00A6617B">
      <w:pPr>
        <w:rPr>
          <w:lang w:val="en-US"/>
        </w:rPr>
      </w:pPr>
      <w:bookmarkStart w:id="0" w:name="_GoBack"/>
      <w:bookmarkEnd w:id="0"/>
    </w:p>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p w:rsidR="00B1212E" w:rsidRDefault="00B1212E" w:rsidP="00B1212E"/>
    <w:tbl>
      <w:tblPr>
        <w:tblW w:w="10089" w:type="dxa"/>
        <w:tblLook w:val="01E0" w:firstRow="1" w:lastRow="1" w:firstColumn="1" w:lastColumn="1" w:noHBand="0" w:noVBand="0"/>
      </w:tblPr>
      <w:tblGrid>
        <w:gridCol w:w="10089"/>
      </w:tblGrid>
      <w:tr w:rsidR="00B1212E" w:rsidRPr="00A443C2" w:rsidTr="009F6211">
        <w:tc>
          <w:tcPr>
            <w:tcW w:w="10089" w:type="dxa"/>
          </w:tcPr>
          <w:p w:rsidR="00B1212E" w:rsidRPr="00B033C8" w:rsidRDefault="00B1212E" w:rsidP="009F6211">
            <w:pPr>
              <w:spacing w:before="380" w:line="280" w:lineRule="exact"/>
              <w:jc w:val="right"/>
              <w:rPr>
                <w:rFonts w:ascii="Tahoma" w:hAnsi="Tahoma" w:cs="Tahoma"/>
                <w:b/>
                <w:bCs/>
                <w:iCs/>
                <w:color w:val="243285"/>
                <w:sz w:val="32"/>
                <w:szCs w:val="32"/>
                <w:lang w:val="en-US"/>
              </w:rPr>
            </w:pPr>
          </w:p>
          <w:p w:rsidR="00B1212E" w:rsidRPr="00A443C2" w:rsidRDefault="00B1212E" w:rsidP="009F6211">
            <w:pPr>
              <w:spacing w:before="380" w:line="280" w:lineRule="exact"/>
              <w:jc w:val="right"/>
              <w:rPr>
                <w:rFonts w:ascii="Tahoma" w:hAnsi="Tahoma" w:cs="Tahoma"/>
                <w:b/>
                <w:bCs/>
                <w:iCs/>
                <w:color w:val="243285"/>
                <w:sz w:val="36"/>
                <w:szCs w:val="36"/>
              </w:rPr>
            </w:pPr>
            <w:r w:rsidRPr="001E07C6">
              <w:rPr>
                <w:rFonts w:ascii="Tahoma" w:hAnsi="Tahoma" w:cs="Tahoma"/>
                <w:b/>
                <w:bCs/>
                <w:iCs/>
                <w:color w:val="243285"/>
                <w:sz w:val="36"/>
                <w:szCs w:val="36"/>
              </w:rPr>
              <w:t>Recommandation</w:t>
            </w:r>
            <w:r w:rsidRPr="00A443C2">
              <w:rPr>
                <w:rFonts w:ascii="Tahoma" w:hAnsi="Tahoma" w:cs="Tahoma"/>
                <w:b/>
                <w:bCs/>
                <w:iCs/>
                <w:color w:val="243285"/>
                <w:sz w:val="36"/>
                <w:szCs w:val="36"/>
              </w:rPr>
              <w:t xml:space="preserve">  UIT-R  M.</w:t>
            </w:r>
            <w:r>
              <w:rPr>
                <w:rFonts w:ascii="Tahoma" w:hAnsi="Tahoma" w:cs="Tahoma"/>
                <w:b/>
                <w:bCs/>
                <w:iCs/>
                <w:color w:val="243285"/>
                <w:sz w:val="36"/>
                <w:szCs w:val="36"/>
              </w:rPr>
              <w:t>1545</w:t>
            </w:r>
          </w:p>
          <w:p w:rsidR="00B1212E" w:rsidRPr="00A443C2" w:rsidRDefault="00B1212E" w:rsidP="0093280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w:t>
            </w:r>
            <w:r w:rsidR="0093280C">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p>
        </w:tc>
      </w:tr>
      <w:tr w:rsidR="00B1212E" w:rsidRPr="00F54FBD" w:rsidTr="009F6211">
        <w:tc>
          <w:tcPr>
            <w:tcW w:w="10089" w:type="dxa"/>
          </w:tcPr>
          <w:p w:rsidR="00B1212E" w:rsidRDefault="00B1212E" w:rsidP="009F6211">
            <w:pPr>
              <w:spacing w:before="80" w:line="500" w:lineRule="exact"/>
              <w:jc w:val="right"/>
              <w:rPr>
                <w:rFonts w:ascii="Tahoma" w:hAnsi="Tahoma" w:cs="Tahoma"/>
                <w:b/>
                <w:bCs/>
                <w:iCs/>
                <w:color w:val="243285"/>
                <w:sz w:val="44"/>
                <w:szCs w:val="44"/>
              </w:rPr>
            </w:pPr>
          </w:p>
          <w:p w:rsidR="00B1212E" w:rsidRPr="001E07C6" w:rsidRDefault="00CB5D1C" w:rsidP="00CB5D1C">
            <w:pPr>
              <w:spacing w:before="80" w:line="500" w:lineRule="exact"/>
              <w:jc w:val="right"/>
              <w:rPr>
                <w:rFonts w:ascii="Tahoma" w:hAnsi="Tahoma" w:cs="Tahoma"/>
                <w:b/>
                <w:bCs/>
                <w:iCs/>
                <w:color w:val="243285"/>
                <w:sz w:val="44"/>
                <w:szCs w:val="44"/>
              </w:rPr>
            </w:pPr>
            <w:r w:rsidRPr="001E07C6">
              <w:rPr>
                <w:rFonts w:ascii="Tahoma" w:hAnsi="Tahoma" w:cs="Tahoma"/>
                <w:b/>
                <w:bCs/>
                <w:color w:val="243285"/>
                <w:sz w:val="44"/>
                <w:szCs w:val="44"/>
              </w:rPr>
              <w:t>Application de l'incertitude de mesure</w:t>
            </w:r>
            <w:r w:rsidRPr="001E07C6">
              <w:rPr>
                <w:rFonts w:ascii="Tahoma" w:hAnsi="Tahoma" w:cs="Tahoma"/>
                <w:b/>
                <w:bCs/>
                <w:color w:val="243285"/>
                <w:sz w:val="44"/>
                <w:szCs w:val="44"/>
              </w:rPr>
              <w:br/>
              <w:t>aux limites d'essai pour la composante de Terre des télécommunications</w:t>
            </w:r>
            <w:r w:rsidRPr="001E07C6">
              <w:rPr>
                <w:rFonts w:ascii="Tahoma" w:hAnsi="Tahoma" w:cs="Tahoma"/>
                <w:b/>
                <w:bCs/>
                <w:color w:val="243285"/>
                <w:sz w:val="44"/>
                <w:szCs w:val="44"/>
              </w:rPr>
              <w:br/>
              <w:t>mobiles internationales-2000</w:t>
            </w:r>
          </w:p>
          <w:p w:rsidR="00B1212E" w:rsidRPr="00F54FBD" w:rsidRDefault="00B1212E" w:rsidP="009F6211">
            <w:pPr>
              <w:spacing w:before="80" w:line="500" w:lineRule="exact"/>
              <w:jc w:val="right"/>
              <w:rPr>
                <w:rFonts w:ascii="Tahoma" w:hAnsi="Tahoma" w:cs="Tahoma"/>
                <w:b/>
                <w:bCs/>
                <w:iCs/>
                <w:color w:val="243285"/>
                <w:sz w:val="44"/>
                <w:szCs w:val="44"/>
              </w:rPr>
            </w:pPr>
          </w:p>
        </w:tc>
      </w:tr>
      <w:tr w:rsidR="00B1212E" w:rsidRPr="00F54FBD" w:rsidTr="009F6211">
        <w:tc>
          <w:tcPr>
            <w:tcW w:w="10089" w:type="dxa"/>
          </w:tcPr>
          <w:p w:rsidR="00B1212E" w:rsidRPr="00F54FBD" w:rsidRDefault="00B1212E" w:rsidP="009F6211">
            <w:pPr>
              <w:spacing w:before="80" w:line="280" w:lineRule="exact"/>
              <w:ind w:right="640"/>
              <w:rPr>
                <w:rFonts w:ascii="Tahoma" w:hAnsi="Tahoma" w:cs="Tahoma"/>
                <w:b/>
                <w:bCs/>
                <w:iCs/>
                <w:color w:val="243285"/>
                <w:sz w:val="32"/>
                <w:szCs w:val="32"/>
              </w:rPr>
            </w:pPr>
          </w:p>
          <w:p w:rsidR="00B1212E" w:rsidRPr="00F54FBD" w:rsidRDefault="00B1212E" w:rsidP="009F6211">
            <w:pPr>
              <w:spacing w:before="80" w:line="280" w:lineRule="exact"/>
              <w:ind w:right="640"/>
              <w:rPr>
                <w:rFonts w:ascii="Tahoma" w:hAnsi="Tahoma" w:cs="Tahoma"/>
                <w:b/>
                <w:bCs/>
                <w:iCs/>
                <w:color w:val="243285"/>
                <w:sz w:val="32"/>
                <w:szCs w:val="32"/>
              </w:rPr>
            </w:pPr>
          </w:p>
          <w:p w:rsidR="00B1212E" w:rsidRPr="00F54FBD" w:rsidRDefault="00B1212E" w:rsidP="009F6211">
            <w:pPr>
              <w:spacing w:before="80" w:after="180" w:line="360" w:lineRule="exact"/>
              <w:ind w:right="720"/>
              <w:rPr>
                <w:rFonts w:ascii="Tahoma" w:hAnsi="Tahoma" w:cs="Tahoma"/>
                <w:b/>
                <w:bCs/>
                <w:iCs/>
                <w:color w:val="243285"/>
                <w:sz w:val="36"/>
                <w:szCs w:val="36"/>
              </w:rPr>
            </w:pPr>
          </w:p>
          <w:p w:rsidR="00B1212E" w:rsidRPr="00F54FBD" w:rsidRDefault="00B1212E" w:rsidP="009F621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B1212E" w:rsidRPr="00F54FBD" w:rsidRDefault="00B1212E" w:rsidP="009F621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B1212E" w:rsidRPr="00F54FBD" w:rsidRDefault="00B1212E" w:rsidP="00B1212E">
      <w:pPr>
        <w:spacing w:before="80"/>
        <w:rPr>
          <w:i/>
          <w:sz w:val="22"/>
        </w:rPr>
      </w:pPr>
    </w:p>
    <w:p w:rsidR="00B1212E" w:rsidRPr="00F54FBD" w:rsidRDefault="00B1212E" w:rsidP="00B1212E">
      <w:pPr>
        <w:spacing w:before="80"/>
        <w:rPr>
          <w:i/>
          <w:sz w:val="22"/>
        </w:rPr>
      </w:pPr>
    </w:p>
    <w:p w:rsidR="00B1212E" w:rsidRPr="00F54FBD" w:rsidRDefault="00B1212E" w:rsidP="00B1212E">
      <w:pPr>
        <w:spacing w:before="80"/>
        <w:rPr>
          <w:i/>
          <w:sz w:val="22"/>
        </w:rPr>
      </w:pPr>
    </w:p>
    <w:p w:rsidR="00B1212E" w:rsidRPr="00F54FBD" w:rsidRDefault="00B1212E" w:rsidP="00B1212E">
      <w:pPr>
        <w:spacing w:before="80"/>
        <w:rPr>
          <w:i/>
          <w:sz w:val="22"/>
        </w:rPr>
      </w:pPr>
    </w:p>
    <w:p w:rsidR="00B1212E" w:rsidRPr="00F54FBD" w:rsidRDefault="00B1212E" w:rsidP="00B1212E">
      <w:pPr>
        <w:spacing w:before="80"/>
        <w:rPr>
          <w:i/>
          <w:sz w:val="22"/>
        </w:rPr>
      </w:pPr>
    </w:p>
    <w:p w:rsidR="00B1212E" w:rsidRPr="00F54FBD" w:rsidRDefault="00B1212E" w:rsidP="00B1212E">
      <w:pPr>
        <w:spacing w:before="80"/>
        <w:rPr>
          <w:i/>
          <w:sz w:val="22"/>
        </w:rPr>
      </w:pPr>
    </w:p>
    <w:p w:rsidR="00B1212E" w:rsidRPr="00F54FBD" w:rsidRDefault="00B1212E" w:rsidP="00B1212E">
      <w:pPr>
        <w:pStyle w:val="Equation"/>
        <w:tabs>
          <w:tab w:val="clear" w:pos="4820"/>
          <w:tab w:val="clear" w:pos="9639"/>
          <w:tab w:val="left" w:pos="1191"/>
          <w:tab w:val="left" w:pos="1588"/>
          <w:tab w:val="left" w:pos="1985"/>
        </w:tabs>
        <w:rPr>
          <w:rFonts w:ascii="Palatino Linotype" w:hAnsi="Palatino Linotype"/>
        </w:rPr>
        <w:sectPr w:rsidR="00B1212E" w:rsidRPr="00F54FBD">
          <w:headerReference w:type="even" r:id="rId8"/>
          <w:headerReference w:type="default" r:id="rId9"/>
          <w:pgSz w:w="11907" w:h="16840" w:code="9"/>
          <w:pgMar w:top="1089" w:right="1089" w:bottom="284" w:left="1089" w:header="567" w:footer="284" w:gutter="0"/>
          <w:pgNumType w:start="1"/>
          <w:cols w:space="720"/>
        </w:sectPr>
      </w:pPr>
    </w:p>
    <w:p w:rsidR="00B1212E" w:rsidRPr="00F54FBD" w:rsidRDefault="00B1212E" w:rsidP="00B121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B1212E" w:rsidRPr="00F54FBD" w:rsidRDefault="00B1212E" w:rsidP="00B1212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1212E" w:rsidRPr="00F54FBD" w:rsidRDefault="00B1212E" w:rsidP="00B1212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1212E" w:rsidRPr="00E44CBB" w:rsidRDefault="00B1212E" w:rsidP="00B1212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1212E" w:rsidRPr="00E44CBB" w:rsidRDefault="00B1212E" w:rsidP="00B1212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1212E" w:rsidRPr="00737E52" w:rsidRDefault="00B1212E" w:rsidP="00B1212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212E" w:rsidRPr="009454F8" w:rsidTr="009F6211">
        <w:tc>
          <w:tcPr>
            <w:tcW w:w="9360" w:type="dxa"/>
            <w:gridSpan w:val="2"/>
          </w:tcPr>
          <w:p w:rsidR="00B1212E" w:rsidRPr="009454F8" w:rsidRDefault="00B1212E" w:rsidP="009F6211">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B1212E" w:rsidRPr="009454F8"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B1212E" w:rsidRPr="00036EE3" w:rsidTr="009F6211">
        <w:tc>
          <w:tcPr>
            <w:tcW w:w="1140" w:type="dxa"/>
          </w:tcPr>
          <w:p w:rsidR="00B1212E" w:rsidRPr="00614CC6" w:rsidRDefault="00B1212E" w:rsidP="009F6211">
            <w:pPr>
              <w:spacing w:before="90" w:after="100"/>
              <w:ind w:left="57"/>
              <w:rPr>
                <w:b/>
                <w:bCs/>
                <w:sz w:val="20"/>
                <w:lang w:val="en-US"/>
              </w:rPr>
            </w:pPr>
            <w:r w:rsidRPr="00614CC6">
              <w:rPr>
                <w:b/>
                <w:bCs/>
                <w:sz w:val="20"/>
                <w:lang w:val="en-US"/>
              </w:rPr>
              <w:t>Séries</w:t>
            </w:r>
          </w:p>
        </w:tc>
        <w:tc>
          <w:tcPr>
            <w:tcW w:w="8220" w:type="dxa"/>
          </w:tcPr>
          <w:p w:rsidR="00B1212E" w:rsidRPr="00614CC6"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BO</w:t>
            </w:r>
          </w:p>
        </w:tc>
        <w:tc>
          <w:tcPr>
            <w:tcW w:w="8220" w:type="dxa"/>
          </w:tcPr>
          <w:p w:rsidR="00B1212E" w:rsidRPr="00614CC6"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1212E" w:rsidRPr="009454F8"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BR</w:t>
            </w:r>
          </w:p>
        </w:tc>
        <w:tc>
          <w:tcPr>
            <w:tcW w:w="8220" w:type="dxa"/>
          </w:tcPr>
          <w:p w:rsidR="00B1212E" w:rsidRPr="00614CC6"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BS</w:t>
            </w:r>
          </w:p>
        </w:tc>
        <w:tc>
          <w:tcPr>
            <w:tcW w:w="8220" w:type="dxa"/>
          </w:tcPr>
          <w:p w:rsidR="00B1212E" w:rsidRPr="00614CC6"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1212E" w:rsidRPr="00ED2695" w:rsidTr="009F6211">
        <w:tc>
          <w:tcPr>
            <w:tcW w:w="1140" w:type="dxa"/>
            <w:shd w:val="clear" w:color="auto" w:fill="auto"/>
          </w:tcPr>
          <w:p w:rsidR="00B1212E" w:rsidRPr="00614CC6" w:rsidRDefault="00B1212E" w:rsidP="009F6211">
            <w:pPr>
              <w:spacing w:before="30" w:after="30"/>
              <w:ind w:left="57"/>
              <w:jc w:val="left"/>
              <w:rPr>
                <w:b/>
                <w:bCs/>
                <w:sz w:val="20"/>
                <w:lang w:val="en-US"/>
              </w:rPr>
            </w:pPr>
            <w:r w:rsidRPr="00614CC6">
              <w:rPr>
                <w:b/>
                <w:bCs/>
                <w:sz w:val="20"/>
                <w:lang w:val="en-US"/>
              </w:rPr>
              <w:t>BT</w:t>
            </w:r>
          </w:p>
        </w:tc>
        <w:tc>
          <w:tcPr>
            <w:tcW w:w="8220" w:type="dxa"/>
            <w:shd w:val="clear" w:color="auto" w:fill="auto"/>
          </w:tcPr>
          <w:p w:rsidR="00B1212E" w:rsidRPr="00614CC6"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1212E" w:rsidRPr="00036EE3" w:rsidTr="009F6211">
        <w:tc>
          <w:tcPr>
            <w:tcW w:w="1140" w:type="dxa"/>
            <w:shd w:val="clear" w:color="auto" w:fill="auto"/>
          </w:tcPr>
          <w:p w:rsidR="00B1212E" w:rsidRPr="00614CC6" w:rsidRDefault="00B1212E" w:rsidP="009F6211">
            <w:pPr>
              <w:spacing w:before="30" w:after="30"/>
              <w:ind w:left="57"/>
              <w:jc w:val="left"/>
              <w:rPr>
                <w:b/>
                <w:bCs/>
                <w:sz w:val="20"/>
                <w:lang w:val="fr-CH"/>
              </w:rPr>
            </w:pPr>
            <w:r w:rsidRPr="00614CC6">
              <w:rPr>
                <w:b/>
                <w:bCs/>
                <w:sz w:val="20"/>
                <w:lang w:val="fr-CH"/>
              </w:rPr>
              <w:t>F</w:t>
            </w:r>
          </w:p>
        </w:tc>
        <w:tc>
          <w:tcPr>
            <w:tcW w:w="8220" w:type="dxa"/>
            <w:shd w:val="clear" w:color="auto" w:fill="auto"/>
          </w:tcPr>
          <w:p w:rsidR="00B1212E" w:rsidRPr="00614CC6" w:rsidRDefault="00B1212E" w:rsidP="009F6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1212E" w:rsidRPr="00592F9F" w:rsidTr="009F6211">
        <w:tc>
          <w:tcPr>
            <w:tcW w:w="1140" w:type="dxa"/>
            <w:shd w:val="clear" w:color="auto" w:fill="F3F3F3"/>
          </w:tcPr>
          <w:p w:rsidR="00B1212E" w:rsidRPr="00592F9F" w:rsidRDefault="00B1212E" w:rsidP="009F6211">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B1212E" w:rsidRPr="00592F9F" w:rsidRDefault="00B1212E" w:rsidP="009F6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1212E" w:rsidRPr="00036EE3" w:rsidTr="009F6211">
        <w:tc>
          <w:tcPr>
            <w:tcW w:w="1140" w:type="dxa"/>
          </w:tcPr>
          <w:p w:rsidR="00B1212E" w:rsidRPr="00614CC6" w:rsidRDefault="00B1212E" w:rsidP="009F6211">
            <w:pPr>
              <w:spacing w:before="30" w:after="30"/>
              <w:ind w:left="57"/>
              <w:jc w:val="left"/>
              <w:rPr>
                <w:b/>
                <w:bCs/>
                <w:sz w:val="20"/>
                <w:lang w:val="fr-CH"/>
              </w:rPr>
            </w:pPr>
            <w:r w:rsidRPr="00614CC6">
              <w:rPr>
                <w:b/>
                <w:bCs/>
                <w:sz w:val="20"/>
                <w:lang w:val="fr-CH"/>
              </w:rPr>
              <w:t>P</w:t>
            </w:r>
          </w:p>
        </w:tc>
        <w:tc>
          <w:tcPr>
            <w:tcW w:w="8220" w:type="dxa"/>
          </w:tcPr>
          <w:p w:rsidR="00B1212E" w:rsidRPr="00614CC6" w:rsidRDefault="00B1212E" w:rsidP="009F6211">
            <w:pPr>
              <w:spacing w:before="30" w:after="30"/>
              <w:jc w:val="left"/>
              <w:rPr>
                <w:sz w:val="20"/>
                <w:lang w:val="fr-CH"/>
              </w:rPr>
            </w:pPr>
            <w:r w:rsidRPr="00614CC6">
              <w:rPr>
                <w:sz w:val="20"/>
              </w:rPr>
              <w:t>Propagation des ondes radioélectriques</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RA</w:t>
            </w:r>
          </w:p>
        </w:tc>
        <w:tc>
          <w:tcPr>
            <w:tcW w:w="8220" w:type="dxa"/>
          </w:tcPr>
          <w:p w:rsidR="00B1212E" w:rsidRPr="00614CC6" w:rsidRDefault="00B1212E" w:rsidP="009F6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RS</w:t>
            </w:r>
          </w:p>
        </w:tc>
        <w:tc>
          <w:tcPr>
            <w:tcW w:w="8220" w:type="dxa"/>
          </w:tcPr>
          <w:p w:rsidR="00B1212E" w:rsidRPr="00614CC6" w:rsidRDefault="00B1212E" w:rsidP="009F6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S</w:t>
            </w:r>
          </w:p>
        </w:tc>
        <w:tc>
          <w:tcPr>
            <w:tcW w:w="8220" w:type="dxa"/>
          </w:tcPr>
          <w:p w:rsidR="00B1212E" w:rsidRPr="00614CC6" w:rsidRDefault="00B1212E" w:rsidP="009F6211">
            <w:pPr>
              <w:spacing w:before="30" w:after="30"/>
              <w:jc w:val="left"/>
              <w:rPr>
                <w:sz w:val="20"/>
                <w:lang w:val="en-US"/>
              </w:rPr>
            </w:pPr>
            <w:r w:rsidRPr="00614CC6">
              <w:rPr>
                <w:sz w:val="20"/>
              </w:rPr>
              <w:t>Service fixe par satellite</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SA</w:t>
            </w:r>
          </w:p>
        </w:tc>
        <w:tc>
          <w:tcPr>
            <w:tcW w:w="8220" w:type="dxa"/>
          </w:tcPr>
          <w:p w:rsidR="00B1212E" w:rsidRPr="00614CC6" w:rsidRDefault="00B1212E" w:rsidP="009F6211">
            <w:pPr>
              <w:spacing w:before="30" w:after="30"/>
              <w:jc w:val="left"/>
              <w:rPr>
                <w:sz w:val="20"/>
                <w:lang w:val="en-US"/>
              </w:rPr>
            </w:pPr>
            <w:r w:rsidRPr="00614CC6">
              <w:rPr>
                <w:sz w:val="20"/>
              </w:rPr>
              <w:t>Applications spatiales et météorologie</w:t>
            </w:r>
          </w:p>
        </w:tc>
      </w:tr>
      <w:tr w:rsidR="00B1212E" w:rsidRPr="00614CC6"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SF</w:t>
            </w:r>
          </w:p>
        </w:tc>
        <w:tc>
          <w:tcPr>
            <w:tcW w:w="8220" w:type="dxa"/>
          </w:tcPr>
          <w:p w:rsidR="00B1212E" w:rsidRPr="00614CC6" w:rsidRDefault="00B1212E" w:rsidP="009F6211">
            <w:pPr>
              <w:spacing w:before="30" w:after="30"/>
              <w:jc w:val="left"/>
              <w:rPr>
                <w:sz w:val="20"/>
              </w:rPr>
            </w:pPr>
            <w:r w:rsidRPr="00614CC6">
              <w:rPr>
                <w:sz w:val="20"/>
              </w:rPr>
              <w:t>Partage des fréquences et coordination entre les systèmes du service fixe par satellite et du service fixe</w:t>
            </w:r>
          </w:p>
        </w:tc>
      </w:tr>
      <w:tr w:rsidR="00B1212E" w:rsidRPr="00036EE3" w:rsidTr="009F6211">
        <w:tc>
          <w:tcPr>
            <w:tcW w:w="1140" w:type="dxa"/>
            <w:shd w:val="clear" w:color="auto" w:fill="auto"/>
          </w:tcPr>
          <w:p w:rsidR="00B1212E" w:rsidRPr="00592F9F" w:rsidRDefault="00B1212E" w:rsidP="009F6211">
            <w:pPr>
              <w:spacing w:before="30" w:after="30"/>
              <w:ind w:left="57"/>
              <w:jc w:val="left"/>
              <w:rPr>
                <w:b/>
                <w:bCs/>
                <w:sz w:val="20"/>
                <w:lang w:val="en-US"/>
              </w:rPr>
            </w:pPr>
            <w:r w:rsidRPr="00592F9F">
              <w:rPr>
                <w:b/>
                <w:bCs/>
                <w:sz w:val="20"/>
                <w:lang w:val="en-US"/>
              </w:rPr>
              <w:t>SM</w:t>
            </w:r>
          </w:p>
        </w:tc>
        <w:tc>
          <w:tcPr>
            <w:tcW w:w="8220" w:type="dxa"/>
            <w:shd w:val="clear" w:color="auto" w:fill="auto"/>
          </w:tcPr>
          <w:p w:rsidR="00B1212E" w:rsidRPr="00592F9F" w:rsidRDefault="00B1212E" w:rsidP="009F6211">
            <w:pPr>
              <w:spacing w:before="30" w:after="30"/>
              <w:jc w:val="left"/>
              <w:rPr>
                <w:sz w:val="20"/>
                <w:lang w:val="en-US"/>
              </w:rPr>
            </w:pPr>
            <w:r w:rsidRPr="00592F9F">
              <w:rPr>
                <w:sz w:val="20"/>
              </w:rPr>
              <w:t>Gestion du spectre</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SNG</w:t>
            </w:r>
          </w:p>
        </w:tc>
        <w:tc>
          <w:tcPr>
            <w:tcW w:w="8220" w:type="dxa"/>
          </w:tcPr>
          <w:p w:rsidR="00B1212E" w:rsidRPr="00614CC6" w:rsidRDefault="00B1212E" w:rsidP="009F6211">
            <w:pPr>
              <w:spacing w:before="30" w:after="30"/>
              <w:jc w:val="left"/>
              <w:rPr>
                <w:sz w:val="20"/>
                <w:lang w:val="en-US"/>
              </w:rPr>
            </w:pPr>
            <w:r w:rsidRPr="00614CC6">
              <w:rPr>
                <w:sz w:val="20"/>
              </w:rPr>
              <w:t>Reportage d'actualités par satellite</w:t>
            </w:r>
          </w:p>
        </w:tc>
      </w:tr>
      <w:tr w:rsidR="00B1212E" w:rsidRPr="00614CC6"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TF</w:t>
            </w:r>
          </w:p>
        </w:tc>
        <w:tc>
          <w:tcPr>
            <w:tcW w:w="8220" w:type="dxa"/>
          </w:tcPr>
          <w:p w:rsidR="00B1212E" w:rsidRPr="00614CC6" w:rsidRDefault="00B1212E" w:rsidP="009F6211">
            <w:pPr>
              <w:spacing w:before="30" w:after="30"/>
              <w:jc w:val="left"/>
              <w:rPr>
                <w:sz w:val="20"/>
              </w:rPr>
            </w:pPr>
            <w:r w:rsidRPr="00614CC6">
              <w:rPr>
                <w:sz w:val="20"/>
              </w:rPr>
              <w:t>Emissions de fréquences étalon et de signaux horaires</w:t>
            </w:r>
          </w:p>
        </w:tc>
      </w:tr>
      <w:tr w:rsidR="00B1212E" w:rsidRPr="00036EE3" w:rsidTr="009F6211">
        <w:tc>
          <w:tcPr>
            <w:tcW w:w="1140" w:type="dxa"/>
          </w:tcPr>
          <w:p w:rsidR="00B1212E" w:rsidRPr="00614CC6" w:rsidRDefault="00B1212E" w:rsidP="009F6211">
            <w:pPr>
              <w:spacing w:before="30" w:after="30"/>
              <w:ind w:left="57"/>
              <w:jc w:val="left"/>
              <w:rPr>
                <w:b/>
                <w:bCs/>
                <w:sz w:val="20"/>
                <w:lang w:val="en-US"/>
              </w:rPr>
            </w:pPr>
            <w:r w:rsidRPr="00614CC6">
              <w:rPr>
                <w:b/>
                <w:bCs/>
                <w:sz w:val="20"/>
                <w:lang w:val="en-US"/>
              </w:rPr>
              <w:t>V</w:t>
            </w:r>
          </w:p>
        </w:tc>
        <w:tc>
          <w:tcPr>
            <w:tcW w:w="8220" w:type="dxa"/>
          </w:tcPr>
          <w:p w:rsidR="00B1212E" w:rsidRPr="00614CC6" w:rsidRDefault="00B1212E" w:rsidP="009F6211">
            <w:pPr>
              <w:spacing w:before="30" w:after="140"/>
              <w:jc w:val="left"/>
              <w:rPr>
                <w:sz w:val="20"/>
                <w:lang w:val="en-US"/>
              </w:rPr>
            </w:pPr>
            <w:r w:rsidRPr="00614CC6">
              <w:rPr>
                <w:sz w:val="20"/>
              </w:rPr>
              <w:t>Vocabulaire et sujets associés</w:t>
            </w:r>
          </w:p>
        </w:tc>
      </w:tr>
    </w:tbl>
    <w:p w:rsidR="00B1212E" w:rsidRPr="00036EE3" w:rsidRDefault="00B1212E" w:rsidP="00B1212E">
      <w:pPr>
        <w:spacing w:before="0"/>
        <w:jc w:val="center"/>
        <w:rPr>
          <w:sz w:val="20"/>
          <w:lang w:val="en-US"/>
        </w:rPr>
      </w:pPr>
    </w:p>
    <w:p w:rsidR="00B1212E" w:rsidRPr="00036EE3" w:rsidRDefault="00B1212E" w:rsidP="00B1212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212E" w:rsidRPr="00756B4D" w:rsidTr="009F6211">
        <w:tc>
          <w:tcPr>
            <w:tcW w:w="9360" w:type="dxa"/>
          </w:tcPr>
          <w:p w:rsidR="00B1212E" w:rsidRPr="00756B4D" w:rsidRDefault="00B1212E" w:rsidP="009F621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1212E" w:rsidRPr="00756B4D" w:rsidRDefault="00B1212E" w:rsidP="00B1212E">
      <w:pPr>
        <w:spacing w:before="0"/>
        <w:jc w:val="center"/>
        <w:rPr>
          <w:sz w:val="22"/>
        </w:rPr>
      </w:pPr>
    </w:p>
    <w:p w:rsidR="00B1212E" w:rsidRPr="00614CC6" w:rsidRDefault="00B1212E" w:rsidP="00B1212E">
      <w:pPr>
        <w:spacing w:before="100"/>
        <w:jc w:val="right"/>
        <w:rPr>
          <w:i/>
          <w:iCs/>
          <w:sz w:val="20"/>
        </w:rPr>
      </w:pPr>
      <w:r w:rsidRPr="00614CC6">
        <w:rPr>
          <w:i/>
          <w:iCs/>
          <w:sz w:val="20"/>
        </w:rPr>
        <w:t>Publication électronique</w:t>
      </w:r>
    </w:p>
    <w:p w:rsidR="00B1212E" w:rsidRPr="00614CC6" w:rsidRDefault="00B1212E" w:rsidP="00CB5D1C">
      <w:pPr>
        <w:spacing w:before="0"/>
        <w:jc w:val="right"/>
        <w:rPr>
          <w:sz w:val="20"/>
        </w:rPr>
      </w:pPr>
      <w:r w:rsidRPr="00614CC6">
        <w:rPr>
          <w:sz w:val="20"/>
        </w:rPr>
        <w:t>Genève, 20</w:t>
      </w:r>
      <w:r>
        <w:rPr>
          <w:sz w:val="20"/>
        </w:rPr>
        <w:t>1</w:t>
      </w:r>
      <w:r w:rsidR="00CB5D1C">
        <w:rPr>
          <w:sz w:val="20"/>
        </w:rPr>
        <w:t>1</w:t>
      </w:r>
    </w:p>
    <w:p w:rsidR="00B1212E" w:rsidRPr="00614CC6" w:rsidRDefault="00B1212E" w:rsidP="00CB5D1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B5D1C">
        <w:rPr>
          <w:sz w:val="20"/>
        </w:rPr>
        <w:t>1</w:t>
      </w:r>
    </w:p>
    <w:p w:rsidR="00B1212E" w:rsidRPr="00614CC6" w:rsidRDefault="00B1212E" w:rsidP="00B1212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1212E" w:rsidRPr="00614CC6" w:rsidRDefault="00B1212E" w:rsidP="00B1212E">
      <w:pPr>
        <w:spacing w:before="160"/>
        <w:rPr>
          <w:i/>
          <w:sz w:val="20"/>
          <w:highlight w:val="yellow"/>
        </w:rPr>
        <w:sectPr w:rsidR="00B1212E"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85BBB" w:rsidRDefault="00985BBB" w:rsidP="00CB5D1C">
      <w:pPr>
        <w:pStyle w:val="RecNo"/>
        <w:spacing w:before="0"/>
      </w:pPr>
      <w:bookmarkStart w:id="3" w:name="irecnoe"/>
      <w:bookmarkEnd w:id="3"/>
      <w:r>
        <w:lastRenderedPageBreak/>
        <w:t xml:space="preserve">RECOMMANDATION  </w:t>
      </w:r>
      <w:r>
        <w:rPr>
          <w:rStyle w:val="href"/>
        </w:rPr>
        <w:t>UIT-R  M.1545</w:t>
      </w:r>
      <w:r>
        <w:rPr>
          <w:rStyle w:val="FootnoteReference"/>
        </w:rPr>
        <w:footnoteReference w:customMarkFollows="1" w:id="1"/>
        <w:t>*</w:t>
      </w:r>
      <w:r>
        <w:t>,</w:t>
      </w:r>
      <w:r>
        <w:rPr>
          <w:vertAlign w:val="superscript"/>
        </w:rPr>
        <w:t xml:space="preserve"> </w:t>
      </w:r>
      <w:r>
        <w:rPr>
          <w:rStyle w:val="FootnoteReference"/>
        </w:rPr>
        <w:footnoteReference w:customMarkFollows="1" w:id="2"/>
        <w:t>**</w:t>
      </w:r>
    </w:p>
    <w:p w:rsidR="00985BBB" w:rsidRDefault="00985BBB" w:rsidP="00985BBB">
      <w:pPr>
        <w:pStyle w:val="Rectitle"/>
      </w:pPr>
      <w:bookmarkStart w:id="4" w:name="Pre_title"/>
      <w:r>
        <w:t>Application de l'incertitude de mesure aux limites d'essai pour la composante de Terre des télécommunications mobiles internationales-2000</w:t>
      </w:r>
      <w:bookmarkEnd w:id="4"/>
    </w:p>
    <w:p w:rsidR="00985BBB" w:rsidRDefault="00985BBB" w:rsidP="00985BBB">
      <w:pPr>
        <w:pStyle w:val="Recref"/>
      </w:pPr>
      <w:bookmarkStart w:id="5" w:name="Related_Questions"/>
      <w:r>
        <w:t>(Question UIT-R 229/8)</w:t>
      </w:r>
      <w:bookmarkEnd w:id="5"/>
    </w:p>
    <w:p w:rsidR="00985BBB" w:rsidRDefault="00985BBB" w:rsidP="00985BBB">
      <w:pPr>
        <w:pStyle w:val="Recdate"/>
      </w:pPr>
      <w:bookmarkStart w:id="6" w:name="Revision_history"/>
    </w:p>
    <w:p w:rsidR="00985BBB" w:rsidRDefault="00985BBB" w:rsidP="00985BBB">
      <w:pPr>
        <w:pStyle w:val="Recdate"/>
      </w:pPr>
      <w:r>
        <w:t>(2001)</w:t>
      </w:r>
      <w:bookmarkEnd w:id="6"/>
    </w:p>
    <w:p w:rsidR="00985BBB" w:rsidRPr="008673DB" w:rsidRDefault="00985BBB" w:rsidP="00985BBB"/>
    <w:p w:rsidR="00985BBB" w:rsidRPr="0093280C" w:rsidRDefault="00985BBB" w:rsidP="00CB5D1C">
      <w:pPr>
        <w:pStyle w:val="HeadingSum"/>
        <w:rPr>
          <w:lang w:val="fr-CH"/>
        </w:rPr>
      </w:pPr>
      <w:r w:rsidRPr="0093280C">
        <w:rPr>
          <w:lang w:val="fr-CH"/>
        </w:rPr>
        <w:t>Domaine d'application</w:t>
      </w:r>
    </w:p>
    <w:p w:rsidR="00985BBB" w:rsidRPr="0093280C" w:rsidRDefault="00985BBB" w:rsidP="00CB5D1C">
      <w:pPr>
        <w:pStyle w:val="Summary"/>
        <w:rPr>
          <w:lang w:val="fr-CH"/>
        </w:rPr>
      </w:pPr>
      <w:r w:rsidRPr="0093280C">
        <w:rPr>
          <w:lang w:val="fr-CH"/>
        </w:rPr>
        <w:t>La présente Recommandation décrit l'application de l'incertitude de mesure aux limites d'essai pour les essais de conformité des dispositifs destinés à la composante de Terre des IMT-2000. Conformément à la pratique adoptée dans l'industrie, il est recommandé d'appliquer le principe du risque partagé à tous les essais et d'évaluer au cas par cas le degré d'assouplissement des limites de la spécification de base.</w:t>
      </w:r>
    </w:p>
    <w:p w:rsidR="00985BBB" w:rsidRDefault="00985BBB" w:rsidP="00985BBB">
      <w:pPr>
        <w:pStyle w:val="Normalaftertitle"/>
        <w:spacing w:before="240"/>
      </w:pPr>
      <w:r>
        <w:t>L'Assemblée des radiocommunications de l'UIT,</w:t>
      </w:r>
    </w:p>
    <w:p w:rsidR="00985BBB" w:rsidRDefault="00985BBB" w:rsidP="00985BBB">
      <w:pPr>
        <w:pStyle w:val="Call"/>
      </w:pPr>
      <w:proofErr w:type="gramStart"/>
      <w:r>
        <w:t>considérant</w:t>
      </w:r>
      <w:proofErr w:type="gramEnd"/>
    </w:p>
    <w:p w:rsidR="00985BBB" w:rsidRDefault="00985BBB" w:rsidP="00985BBB">
      <w:pPr>
        <w:spacing w:before="80"/>
      </w:pPr>
      <w:r>
        <w:t>a)</w:t>
      </w:r>
      <w:r>
        <w:tab/>
        <w:t>que la Recommandation UIT-R M.1457 expose les spécifications détaillées des interfaces radioélectriques des télécommunications mobiles internationales-2000 (IMT-2000);</w:t>
      </w:r>
    </w:p>
    <w:p w:rsidR="00985BBB" w:rsidRDefault="00985BBB" w:rsidP="00985BBB">
      <w:pPr>
        <w:spacing w:before="80"/>
      </w:pPr>
      <w:r>
        <w:t>b)</w:t>
      </w:r>
      <w:r>
        <w:tab/>
        <w:t>qu'il est raisonnable de prévoir, dans la pratique, une certaine incertitude de mesure au niveau de la méthode, de l'équipement et du banc de mesure lorsqu'un dispositif est mis à l'essai du point de vue de la réglementation;</w:t>
      </w:r>
    </w:p>
    <w:p w:rsidR="00985BBB" w:rsidRDefault="00985BBB" w:rsidP="00985BBB">
      <w:pPr>
        <w:spacing w:before="80"/>
      </w:pPr>
      <w:r>
        <w:t>c)</w:t>
      </w:r>
      <w:r>
        <w:tab/>
        <w:t>qu'un dispositif fabriqué dans un pays et soumis à un essai de conformité sur la base de la réglementation de ce pays peut n'être pas bien accepté par les instances de réglementation d'un autre pays non pas en raison de lacunes effectives au niveau de l'équipement mais en raison d'une divergence des approches adoptées en ce qui concerne l'incertitude de mesure;</w:t>
      </w:r>
    </w:p>
    <w:p w:rsidR="00985BBB" w:rsidRDefault="00985BBB" w:rsidP="00985BBB">
      <w:pPr>
        <w:spacing w:before="80"/>
      </w:pPr>
      <w:r>
        <w:t>d)</w:t>
      </w:r>
      <w:r>
        <w:tab/>
        <w:t>qu'il importe au plus haut point de définir une approche commune universelle, d'une part pour le traitement de l'incertitude de mesure lors de la définition des limites d'essai et d'autre part, en ce qui concerne les modalités de prise en compte de ce traitement dans les diverses spécifications;</w:t>
      </w:r>
    </w:p>
    <w:p w:rsidR="00985BBB" w:rsidRDefault="00985BBB" w:rsidP="00985BBB">
      <w:pPr>
        <w:spacing w:before="80"/>
        <w:rPr>
          <w:lang w:val="fr-CH"/>
        </w:rPr>
      </w:pPr>
      <w:r>
        <w:rPr>
          <w:lang w:val="fr-CH"/>
        </w:rPr>
        <w:t>e)</w:t>
      </w:r>
      <w:r>
        <w:rPr>
          <w:lang w:val="fr-CH"/>
        </w:rPr>
        <w:tab/>
        <w:t>que sur le plan technique, lorsqu'il est possible de définir raisonnablement l'incertitude de mesure, les trois méthodes citées ci-après donnent des résultats identiques:</w:t>
      </w:r>
    </w:p>
    <w:p w:rsidR="00985BBB" w:rsidRDefault="00985BBB" w:rsidP="00985BBB">
      <w:pPr>
        <w:pStyle w:val="enumlev1"/>
        <w:tabs>
          <w:tab w:val="left" w:pos="2977"/>
        </w:tabs>
        <w:spacing w:before="40"/>
        <w:rPr>
          <w:lang w:val="fr-CH"/>
        </w:rPr>
      </w:pPr>
      <w:r>
        <w:rPr>
          <w:lang w:val="fr-CH"/>
        </w:rPr>
        <w:t>–</w:t>
      </w:r>
      <w:r>
        <w:rPr>
          <w:lang w:val="fr-CH"/>
        </w:rPr>
        <w:tab/>
        <w:t xml:space="preserve">principe du «non-rejet d'un bon dispositif mis à l'essai (DUT, </w:t>
      </w:r>
      <w:r>
        <w:rPr>
          <w:i/>
          <w:iCs/>
          <w:lang w:val="fr-CH"/>
        </w:rPr>
        <w:t>device under test</w:t>
      </w:r>
      <w:r>
        <w:rPr>
          <w:lang w:val="fr-CH"/>
        </w:rPr>
        <w:t>)», appliqué à une limite d'essai correspondant à la valeur de base spécifiée, avec définition séparée de la valeur de base spécifiée et de l'incertitude de mesure (voir l'Annexe 1, Fig. 1);</w:t>
      </w:r>
    </w:p>
    <w:p w:rsidR="00985BBB" w:rsidRDefault="00985BBB" w:rsidP="00985BBB">
      <w:pPr>
        <w:pStyle w:val="enumlev1"/>
        <w:tabs>
          <w:tab w:val="left" w:pos="2977"/>
        </w:tabs>
        <w:spacing w:before="40"/>
        <w:rPr>
          <w:lang w:val="fr-CH"/>
        </w:rPr>
      </w:pPr>
      <w:r>
        <w:rPr>
          <w:lang w:val="fr-CH"/>
        </w:rPr>
        <w:t>–</w:t>
      </w:r>
      <w:r>
        <w:rPr>
          <w:lang w:val="fr-CH"/>
        </w:rPr>
        <w:tab/>
        <w:t>principe du «risque partagé», appliqué à une limite d'essai définie par assouplissement de la valeur de base spécifiée (c'est-à-dire par la prise en compte de l'incertitude de mesure), lorsque la valeur de base spécifiée et l'incertitude de mesure sont définies séparément (voir l'Annexe 1, Fig. 2);</w:t>
      </w:r>
    </w:p>
    <w:p w:rsidR="00985BBB" w:rsidRDefault="00985BBB" w:rsidP="00985BBB">
      <w:pPr>
        <w:pStyle w:val="enumlev1"/>
        <w:tabs>
          <w:tab w:val="left" w:pos="2977"/>
        </w:tabs>
        <w:spacing w:before="40"/>
        <w:rPr>
          <w:lang w:val="fr-CH"/>
        </w:rPr>
      </w:pPr>
      <w:r>
        <w:rPr>
          <w:lang w:val="fr-CH"/>
        </w:rPr>
        <w:lastRenderedPageBreak/>
        <w:t>–</w:t>
      </w:r>
      <w:r>
        <w:rPr>
          <w:lang w:val="fr-CH"/>
        </w:rPr>
        <w:tab/>
        <w:t>principe du «risque partagé», appliqué à une limite d'essai correspondant à la valeur de base spécifiée, l'incertitude de mesure étant déjà prise en compte (voir l'Annexe 1, Fig. 3),</w:t>
      </w:r>
    </w:p>
    <w:p w:rsidR="00985BBB" w:rsidRDefault="00985BBB" w:rsidP="00985BBB">
      <w:pPr>
        <w:pStyle w:val="Call"/>
        <w:rPr>
          <w:lang w:val="fr-CH"/>
        </w:rPr>
      </w:pPr>
      <w:proofErr w:type="gramStart"/>
      <w:r>
        <w:rPr>
          <w:lang w:val="fr-CH"/>
        </w:rPr>
        <w:t>recommande</w:t>
      </w:r>
      <w:proofErr w:type="gramEnd"/>
    </w:p>
    <w:p w:rsidR="00985BBB" w:rsidRDefault="00985BBB" w:rsidP="00985BBB">
      <w:pPr>
        <w:spacing w:before="80"/>
        <w:rPr>
          <w:lang w:val="fr-CH"/>
        </w:rPr>
      </w:pPr>
      <w:r>
        <w:rPr>
          <w:b/>
          <w:lang w:val="fr-CH"/>
        </w:rPr>
        <w:t>1</w:t>
      </w:r>
      <w:r>
        <w:rPr>
          <w:lang w:val="fr-CH"/>
        </w:rPr>
        <w:tab/>
        <w:t>de définir l'incertitude de mesure maximale admissible appliquée aux limites d'essai, comme une valeur unique et cohérente, utilisable avec une méthode de mesure, ou plusieurs méthodes de mesure combinées, et un type d'équipement de mesure, ou plusieurs types d'équipement de mesure combinés, pour les essais de conformité des dispositifs destinés à la composante de Terre des IMT-2000</w:t>
      </w:r>
      <w:r>
        <w:rPr>
          <w:rFonts w:hint="eastAsia"/>
          <w:lang w:val="fr-CH"/>
        </w:rPr>
        <w:t>;</w:t>
      </w:r>
    </w:p>
    <w:p w:rsidR="00985BBB" w:rsidRDefault="00985BBB" w:rsidP="00985BBB">
      <w:pPr>
        <w:spacing w:before="80"/>
        <w:rPr>
          <w:lang w:val="fr-CH"/>
        </w:rPr>
      </w:pPr>
      <w:r>
        <w:rPr>
          <w:b/>
          <w:lang w:val="fr-CH"/>
        </w:rPr>
        <w:t>2</w:t>
      </w:r>
      <w:r>
        <w:rPr>
          <w:lang w:val="fr-CH"/>
        </w:rPr>
        <w:tab/>
        <w:t>pour suivre la pratique adoptée dans l'industrie, d'appliquer le principe du risque partagé à tous les essais et, éventuellement, de décider d'assouplir la tolérance applicable à la valeur de base spécifiée, le degré d'assouplissement étant alors évalué au cas par cas compte tenu de différents facteurs, tels que l'incertitude de mesure du système à l'essai (incertitude caractérisant l'équipement d'essai, défaut d'adaptation technique, etc.) et de l'importance relative d'une tolérance zéro au niveau de la qualité de fonctionnement du système;</w:t>
      </w:r>
    </w:p>
    <w:p w:rsidR="00985BBB" w:rsidRDefault="00985BBB" w:rsidP="00985BBB">
      <w:pPr>
        <w:spacing w:before="80"/>
        <w:rPr>
          <w:lang w:val="fr-CH"/>
        </w:rPr>
      </w:pPr>
      <w:r>
        <w:rPr>
          <w:b/>
          <w:lang w:val="fr-CH"/>
        </w:rPr>
        <w:t>3</w:t>
      </w:r>
      <w:r>
        <w:rPr>
          <w:lang w:val="fr-CH"/>
        </w:rPr>
        <w:tab/>
        <w:t>de préciser clairement où la valeur d'assouplissement est spécifiée;</w:t>
      </w:r>
    </w:p>
    <w:p w:rsidR="00985BBB" w:rsidRDefault="00985BBB" w:rsidP="00985BBB">
      <w:pPr>
        <w:spacing w:before="80"/>
        <w:rPr>
          <w:lang w:val="fr-CH"/>
        </w:rPr>
      </w:pPr>
      <w:r>
        <w:rPr>
          <w:b/>
          <w:lang w:val="fr-CH"/>
        </w:rPr>
        <w:t>4</w:t>
      </w:r>
      <w:r>
        <w:rPr>
          <w:lang w:val="fr-CH"/>
        </w:rPr>
        <w:tab/>
        <w:t>lorsque l'incertitude de mesure ne peut pas être raisonnablement et clairement définie, d'appliquer le principe du «risque partagé» à la valeur de base spécifiée, sans assouplissement</w:t>
      </w:r>
      <w:r>
        <w:rPr>
          <w:rFonts w:hint="eastAsia"/>
          <w:lang w:val="fr-CH"/>
        </w:rPr>
        <w:t>.</w:t>
      </w:r>
    </w:p>
    <w:p w:rsidR="00985BBB" w:rsidRDefault="00985BBB" w:rsidP="00054F69">
      <w:pPr>
        <w:pStyle w:val="Note"/>
        <w:rPr>
          <w:lang w:val="fr-CH"/>
        </w:rPr>
      </w:pPr>
      <w:r>
        <w:rPr>
          <w:lang w:val="fr-CH"/>
        </w:rPr>
        <w:t>NOTE 1 – Définitions applicables à la présente Recommandation:</w:t>
      </w:r>
    </w:p>
    <w:p w:rsidR="00985BBB" w:rsidRDefault="00985BBB" w:rsidP="00985BBB">
      <w:pPr>
        <w:rPr>
          <w:lang w:val="fr-CH"/>
        </w:rPr>
      </w:pPr>
      <w:r>
        <w:rPr>
          <w:bCs/>
          <w:i/>
          <w:iCs/>
          <w:lang w:val="fr-CH"/>
        </w:rPr>
        <w:t>Incertitude de mesure</w:t>
      </w:r>
      <w:r>
        <w:rPr>
          <w:rFonts w:hint="eastAsia"/>
          <w:bCs/>
          <w:i/>
          <w:iCs/>
          <w:lang w:val="fr-CH"/>
        </w:rPr>
        <w:t>:</w:t>
      </w:r>
      <w:r>
        <w:rPr>
          <w:rFonts w:hint="eastAsia"/>
          <w:lang w:val="fr-CH"/>
        </w:rPr>
        <w:t xml:space="preserve"> </w:t>
      </w:r>
      <w:r>
        <w:rPr>
          <w:lang w:val="fr-CH"/>
        </w:rPr>
        <w:t>erreur de mesure découlant de la ou des méthodes combinées de mesure et de l'équipement ou des équipements de mesure utilisés pour les essais de conformité du dispositif considéré.</w:t>
      </w:r>
    </w:p>
    <w:p w:rsidR="00985BBB" w:rsidRDefault="00985BBB" w:rsidP="00985BBB">
      <w:pPr>
        <w:rPr>
          <w:lang w:val="fr-CH"/>
        </w:rPr>
      </w:pPr>
      <w:r>
        <w:rPr>
          <w:i/>
          <w:iCs/>
          <w:lang w:val="fr-CH"/>
        </w:rPr>
        <w:t>Valeur de base spécifiée</w:t>
      </w:r>
      <w:r>
        <w:rPr>
          <w:rFonts w:hint="eastAsia"/>
          <w:i/>
          <w:iCs/>
          <w:lang w:val="fr-CH"/>
        </w:rPr>
        <w:t>:</w:t>
      </w:r>
      <w:r>
        <w:rPr>
          <w:rFonts w:hint="eastAsia"/>
          <w:bCs/>
          <w:lang w:val="fr-CH"/>
        </w:rPr>
        <w:t xml:space="preserve"> </w:t>
      </w:r>
      <w:r>
        <w:rPr>
          <w:lang w:val="fr-CH"/>
        </w:rPr>
        <w:t>valeur définie dans la spécification de base.</w:t>
      </w:r>
    </w:p>
    <w:p w:rsidR="00985BBB" w:rsidRDefault="00985BBB" w:rsidP="00985BBB">
      <w:pPr>
        <w:rPr>
          <w:lang w:val="fr-CH" w:eastAsia="ja-JP"/>
        </w:rPr>
      </w:pPr>
      <w:r>
        <w:rPr>
          <w:bCs/>
          <w:i/>
          <w:iCs/>
          <w:lang w:val="fr-CH"/>
        </w:rPr>
        <w:t>Limite d'essai</w:t>
      </w:r>
      <w:r>
        <w:rPr>
          <w:rFonts w:hint="eastAsia"/>
          <w:bCs/>
          <w:i/>
          <w:iCs/>
          <w:lang w:val="fr-CH"/>
        </w:rPr>
        <w:t>:</w:t>
      </w:r>
      <w:r>
        <w:rPr>
          <w:rFonts w:hint="eastAsia"/>
          <w:bCs/>
          <w:lang w:val="fr-CH"/>
        </w:rPr>
        <w:t xml:space="preserve"> </w:t>
      </w:r>
      <w:r>
        <w:rPr>
          <w:lang w:val="fr-CH"/>
        </w:rPr>
        <w:t>limite du domaine d'essai de conformité; cette limite peut correspondre exactement à la valeur de base spécifiée, ou encore être moins rigoureuse ou plus rigoureuse que cette dernière.</w:t>
      </w:r>
    </w:p>
    <w:p w:rsidR="00985BBB" w:rsidRDefault="00985BBB" w:rsidP="00985BBB">
      <w:pPr>
        <w:rPr>
          <w:bCs/>
          <w:lang w:val="fr-CH"/>
        </w:rPr>
      </w:pPr>
      <w:r>
        <w:rPr>
          <w:bCs/>
          <w:i/>
          <w:iCs/>
          <w:lang w:val="fr-CH"/>
        </w:rPr>
        <w:t>Principe de «non-rejet d'un bon DUT»</w:t>
      </w:r>
      <w:r>
        <w:rPr>
          <w:rFonts w:hint="eastAsia"/>
          <w:bCs/>
          <w:i/>
          <w:iCs/>
          <w:lang w:val="fr-CH"/>
        </w:rPr>
        <w:t>:</w:t>
      </w:r>
      <w:r>
        <w:rPr>
          <w:rFonts w:hint="eastAsia"/>
          <w:bCs/>
          <w:lang w:val="fr-CH"/>
        </w:rPr>
        <w:t xml:space="preserve"> </w:t>
      </w:r>
      <w:r>
        <w:rPr>
          <w:bCs/>
          <w:lang w:val="fr-CH"/>
        </w:rPr>
        <w:t>consiste à comparer les résultats des mesures aux limites d'essai, puis à accepter les dérives jusqu'aux valeurs couvrant l'incertitude de mesure (en d'autres termes, on considère que le DUT est conforme lorsque le résultat de la mesure est compris dans la marge définie par les limites d'essai, additionnée d'une tolérance prenant en compte les incertitudes de mesure).</w:t>
      </w:r>
    </w:p>
    <w:p w:rsidR="00985BBB" w:rsidRDefault="00985BBB" w:rsidP="00985BBB">
      <w:pPr>
        <w:rPr>
          <w:lang w:val="fr-CH"/>
        </w:rPr>
      </w:pPr>
      <w:r>
        <w:rPr>
          <w:i/>
          <w:iCs/>
          <w:lang w:val="fr-CH"/>
        </w:rPr>
        <w:t>Principe du «risque partagé»</w:t>
      </w:r>
      <w:r>
        <w:rPr>
          <w:rFonts w:hint="eastAsia"/>
          <w:i/>
          <w:iCs/>
          <w:lang w:val="fr-CH"/>
        </w:rPr>
        <w:t>:</w:t>
      </w:r>
      <w:r>
        <w:rPr>
          <w:rFonts w:hint="eastAsia"/>
          <w:bCs/>
          <w:lang w:val="fr-CH"/>
        </w:rPr>
        <w:t xml:space="preserve"> </w:t>
      </w:r>
      <w:r>
        <w:rPr>
          <w:lang w:val="fr-CH"/>
        </w:rPr>
        <w:t>on compare les résultats des mesures aux limites d'essai (en d'autres termes, on considère que le DUT est conforme si le résultat de la mesure est compris dans l'enveloppe des limites d'essai).</w:t>
      </w:r>
    </w:p>
    <w:p w:rsidR="00985BBB" w:rsidRDefault="00985BBB" w:rsidP="00985BBB">
      <w:pPr>
        <w:pStyle w:val="AnnexNoTitle"/>
        <w:rPr>
          <w:lang w:val="fr-CH"/>
        </w:rPr>
      </w:pPr>
      <w:r>
        <w:rPr>
          <w:rFonts w:hint="eastAsia"/>
          <w:lang w:val="fr-CH" w:eastAsia="ja-JP"/>
        </w:rPr>
        <w:lastRenderedPageBreak/>
        <w:t>A</w:t>
      </w:r>
      <w:r>
        <w:rPr>
          <w:lang w:val="fr-CH" w:eastAsia="ja-JP"/>
        </w:rPr>
        <w:t>nnexe  1</w:t>
      </w:r>
      <w:r w:rsidRPr="00A326D9">
        <w:rPr>
          <w:rStyle w:val="FootnoteReference"/>
          <w:b w:val="0"/>
          <w:bCs/>
          <w:lang w:val="fr-CH" w:eastAsia="ja-JP"/>
        </w:rPr>
        <w:footnoteReference w:customMarkFollows="1" w:id="3"/>
        <w:t>1</w:t>
      </w:r>
      <w:r>
        <w:rPr>
          <w:lang w:val="fr-CH" w:eastAsia="ja-JP"/>
        </w:rPr>
        <w:br/>
      </w:r>
      <w:r>
        <w:rPr>
          <w:lang w:val="fr-CH" w:eastAsia="ja-JP"/>
        </w:rPr>
        <w:br/>
      </w:r>
      <w:r>
        <w:rPr>
          <w:rFonts w:hint="eastAsia"/>
          <w:lang w:val="fr-CH"/>
        </w:rPr>
        <w:t>Ex</w:t>
      </w:r>
      <w:r>
        <w:rPr>
          <w:lang w:val="fr-CH"/>
        </w:rPr>
        <w:t>emples d'application des principes de «non-rejet d'un bon DUT» et de «risque partagé» pour deux critères donnés</w:t>
      </w:r>
    </w:p>
    <w:p w:rsidR="00985BBB" w:rsidRDefault="00985BBB" w:rsidP="00054F69">
      <w:pPr>
        <w:pStyle w:val="FigureNo"/>
      </w:pPr>
      <w:r>
        <w:rPr>
          <w:noProof/>
          <w:lang w:val="en-US" w:eastAsia="zh-CN"/>
        </w:rPr>
        <w:drawing>
          <wp:inline distT="0" distB="0" distL="0" distR="0" wp14:anchorId="36676204" wp14:editId="372813F6">
            <wp:extent cx="4476750" cy="31146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114675"/>
                    </a:xfrm>
                    <a:prstGeom prst="rect">
                      <a:avLst/>
                    </a:prstGeom>
                    <a:noFill/>
                    <a:ln>
                      <a:noFill/>
                    </a:ln>
                  </pic:spPr>
                </pic:pic>
              </a:graphicData>
            </a:graphic>
          </wp:inline>
        </w:drawing>
      </w:r>
    </w:p>
    <w:p w:rsidR="00985BBB" w:rsidRDefault="00985BBB" w:rsidP="00054F69">
      <w:pPr>
        <w:pStyle w:val="FigureNo"/>
      </w:pPr>
      <w:r w:rsidRPr="00054F69">
        <w:rPr>
          <w:noProof/>
          <w:lang w:val="en-US" w:eastAsia="zh-CN"/>
        </w:rPr>
        <w:drawing>
          <wp:inline distT="0" distB="0" distL="0" distR="0" wp14:anchorId="6F4119F3" wp14:editId="2F8D7FDB">
            <wp:extent cx="466725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276600"/>
                    </a:xfrm>
                    <a:prstGeom prst="rect">
                      <a:avLst/>
                    </a:prstGeom>
                    <a:noFill/>
                    <a:ln>
                      <a:noFill/>
                    </a:ln>
                  </pic:spPr>
                </pic:pic>
              </a:graphicData>
            </a:graphic>
          </wp:inline>
        </w:drawing>
      </w:r>
    </w:p>
    <w:p w:rsidR="00985BBB" w:rsidRDefault="00985BBB" w:rsidP="00985BBB">
      <w:pPr>
        <w:pStyle w:val="FigureNo"/>
      </w:pPr>
      <w:r>
        <w:br w:type="page"/>
      </w:r>
      <w:r>
        <w:rPr>
          <w:noProof/>
          <w:lang w:val="en-US" w:eastAsia="zh-CN"/>
        </w:rPr>
        <w:lastRenderedPageBreak/>
        <w:drawing>
          <wp:inline distT="0" distB="0" distL="0" distR="0" wp14:anchorId="6806F96A" wp14:editId="6E9B4619">
            <wp:extent cx="4238625" cy="3171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3171825"/>
                    </a:xfrm>
                    <a:prstGeom prst="rect">
                      <a:avLst/>
                    </a:prstGeom>
                    <a:noFill/>
                    <a:ln>
                      <a:noFill/>
                    </a:ln>
                  </pic:spPr>
                </pic:pic>
              </a:graphicData>
            </a:graphic>
          </wp:inline>
        </w:drawing>
      </w:r>
    </w:p>
    <w:p w:rsidR="00985BBB" w:rsidRDefault="00985BBB" w:rsidP="00985BBB">
      <w:pPr>
        <w:rPr>
          <w:lang w:val="en-US"/>
        </w:rPr>
      </w:pPr>
    </w:p>
    <w:p w:rsidR="00985BBB" w:rsidRDefault="00985BBB" w:rsidP="00985BBB">
      <w:pPr>
        <w:rPr>
          <w:lang w:val="en-US"/>
        </w:rPr>
      </w:pPr>
    </w:p>
    <w:p w:rsidR="00985BBB" w:rsidRDefault="00985BBB" w:rsidP="00985BBB">
      <w:pPr>
        <w:pStyle w:val="Line"/>
      </w:pPr>
    </w:p>
    <w:sectPr w:rsidR="00985BBB" w:rsidSect="00C22A89">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5F0" w:rsidRDefault="006055F0">
      <w:r>
        <w:separator/>
      </w:r>
    </w:p>
  </w:endnote>
  <w:endnote w:type="continuationSeparator" w:id="0">
    <w:p w:rsidR="006055F0" w:rsidRDefault="00605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5F0" w:rsidRDefault="006055F0">
      <w:r>
        <w:separator/>
      </w:r>
    </w:p>
  </w:footnote>
  <w:footnote w:type="continuationSeparator" w:id="0">
    <w:p w:rsidR="006055F0" w:rsidRDefault="006055F0">
      <w:r>
        <w:continuationSeparator/>
      </w:r>
    </w:p>
  </w:footnote>
  <w:footnote w:id="1">
    <w:p w:rsidR="00985BBB" w:rsidRDefault="00985BBB" w:rsidP="00985BBB">
      <w:pPr>
        <w:pStyle w:val="FootnoteText"/>
      </w:pPr>
      <w:r>
        <w:rPr>
          <w:rStyle w:val="FootnoteReference"/>
        </w:rPr>
        <w:t>*</w:t>
      </w:r>
      <w:r>
        <w:tab/>
        <w:t>La présente Recommandation doit être portée à l'attention de la Commission d'études 1 des radiocommunications.</w:t>
      </w:r>
    </w:p>
  </w:footnote>
  <w:footnote w:id="2">
    <w:p w:rsidR="00985BBB" w:rsidRPr="00514D77" w:rsidRDefault="00985BBB" w:rsidP="00985BBB">
      <w:pPr>
        <w:pStyle w:val="FootnoteText"/>
        <w:rPr>
          <w:lang w:val="fr-CH"/>
        </w:rPr>
      </w:pPr>
      <w:r>
        <w:rPr>
          <w:rStyle w:val="FootnoteReference"/>
        </w:rPr>
        <w:t>**</w:t>
      </w:r>
      <w:r>
        <w:t xml:space="preserve"> </w:t>
      </w:r>
      <w:r>
        <w:rPr>
          <w:lang w:val="fr-CH"/>
        </w:rPr>
        <w:tab/>
        <w:t>La Commission d'études 5 des radiocommunications a apporté des modifications de forme à la présente Recommandation en novembre 2010.</w:t>
      </w:r>
    </w:p>
  </w:footnote>
  <w:footnote w:id="3">
    <w:p w:rsidR="00985BBB" w:rsidRDefault="00985BBB" w:rsidP="00985BBB">
      <w:pPr>
        <w:pStyle w:val="FootnoteText"/>
      </w:pPr>
      <w:r>
        <w:rPr>
          <w:rStyle w:val="FootnoteReference"/>
        </w:rPr>
        <w:t>1</w:t>
      </w:r>
      <w:r>
        <w:tab/>
        <w:t>Le niveau de confiance n'est pas pris en compte dans la présente Recommendation.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2E" w:rsidRDefault="00B121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2E" w:rsidRDefault="00B1212E" w:rsidP="00C668C8">
    <w:pPr>
      <w:pStyle w:val="Header"/>
      <w:ind w:right="360" w:firstLine="360"/>
    </w:pPr>
    <w:r>
      <w:rPr>
        <w:noProof/>
        <w:lang w:val="en-US" w:eastAsia="zh-CN"/>
      </w:rPr>
      <w:drawing>
        <wp:anchor distT="0" distB="0" distL="114300" distR="114300" simplePos="0" relativeHeight="251659264" behindDoc="1" locked="0" layoutInCell="1" allowOverlap="1" wp14:anchorId="6E2ECF17" wp14:editId="14CB8D6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2E" w:rsidRPr="00837CB5" w:rsidRDefault="00B1212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E07C6">
      <w:rPr>
        <w:rStyle w:val="PageNumber"/>
        <w:b/>
        <w:bCs/>
        <w:noProof/>
      </w:rPr>
      <w:t>ii</w:t>
    </w:r>
    <w:r>
      <w:rPr>
        <w:rStyle w:val="PageNumber"/>
        <w:b/>
        <w:bCs/>
      </w:rPr>
      <w:fldChar w:fldCharType="end"/>
    </w:r>
    <w:r w:rsidRPr="00837CB5">
      <w:tab/>
    </w:r>
    <w:r w:rsidR="001E07C6">
      <w:fldChar w:fldCharType="begin"/>
    </w:r>
    <w:r w:rsidR="001E07C6">
      <w:instrText xml:space="preserve"> DOCPROPERTY "Header" \* MERGEFORMAT </w:instrText>
    </w:r>
    <w:r w:rsidR="001E07C6">
      <w:fldChar w:fldCharType="separate"/>
    </w:r>
    <w:r w:rsidR="00C22A89" w:rsidRPr="00C22A89">
      <w:rPr>
        <w:b/>
        <w:bCs/>
      </w:rPr>
      <w:t xml:space="preserve">Rec. </w:t>
    </w:r>
    <w:r w:rsidR="001E07C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E07C6">
      <w:rPr>
        <w:b/>
        <w:bCs/>
        <w:noProof/>
      </w:rPr>
      <w:t>UIT-R  M.1545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2E" w:rsidRDefault="00B1212E">
    <w:pPr>
      <w:pStyle w:val="Header"/>
    </w:pPr>
    <w:r>
      <w:tab/>
    </w:r>
    <w:r w:rsidR="001E07C6">
      <w:fldChar w:fldCharType="begin"/>
    </w:r>
    <w:r w:rsidR="001E07C6">
      <w:instrText xml:space="preserve"> DOCPROPERTY "Header" \* MERGEFORMAT </w:instrText>
    </w:r>
    <w:r w:rsidR="001E07C6">
      <w:fldChar w:fldCharType="separate"/>
    </w:r>
    <w:r w:rsidR="00C22A89" w:rsidRPr="00C22A89">
      <w:rPr>
        <w:b/>
        <w:bCs/>
      </w:rPr>
      <w:t xml:space="preserve">Rec. </w:t>
    </w:r>
    <w:r w:rsidR="001E07C6">
      <w:rPr>
        <w:b/>
        <w:bCs/>
      </w:rPr>
      <w:fldChar w:fldCharType="end"/>
    </w:r>
    <w:r>
      <w:rPr>
        <w:b/>
        <w:bCs/>
      </w:rPr>
      <w:t xml:space="preserve"> </w:t>
    </w:r>
    <w:r>
      <w:rPr>
        <w:b/>
        <w:bCs/>
      </w:rPr>
      <w:fldChar w:fldCharType="begin"/>
    </w:r>
    <w:r>
      <w:rPr>
        <w:b/>
        <w:bCs/>
      </w:rPr>
      <w:instrText>styleref href</w:instrText>
    </w:r>
    <w:r>
      <w:rPr>
        <w:b/>
        <w:bCs/>
      </w:rPr>
      <w:fldChar w:fldCharType="separate"/>
    </w:r>
    <w:r w:rsidR="00C22A89">
      <w:rPr>
        <w:b/>
        <w:bCs/>
        <w:noProof/>
      </w:rPr>
      <w:t>UIT-R  M.1545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07C6">
      <w:rPr>
        <w:rStyle w:val="PageNumber"/>
        <w:b/>
        <w:bCs/>
        <w:noProof/>
        <w:lang w:val="en-US"/>
      </w:rPr>
      <w:t>4</w:t>
    </w:r>
    <w:r>
      <w:rPr>
        <w:rStyle w:val="PageNumber"/>
        <w:b/>
        <w:bCs/>
      </w:rPr>
      <w:fldChar w:fldCharType="end"/>
    </w:r>
    <w:r>
      <w:rPr>
        <w:lang w:val="en-US"/>
      </w:rPr>
      <w:tab/>
    </w:r>
    <w:r w:rsidR="001E07C6">
      <w:fldChar w:fldCharType="begin"/>
    </w:r>
    <w:r w:rsidR="001E07C6">
      <w:instrText xml:space="preserve"> DOCPROPERTY "Header" \* MERGEFORMAT </w:instrText>
    </w:r>
    <w:r w:rsidR="001E07C6">
      <w:fldChar w:fldCharType="separate"/>
    </w:r>
    <w:r w:rsidR="00C22A89" w:rsidRPr="00C22A89">
      <w:rPr>
        <w:b/>
        <w:bCs/>
        <w:lang w:val="en-US"/>
      </w:rPr>
      <w:t xml:space="preserve">Rec. </w:t>
    </w:r>
    <w:r w:rsidR="001E07C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E07C6">
      <w:rPr>
        <w:b/>
        <w:bCs/>
        <w:noProof/>
      </w:rPr>
      <w:t>UIT-R  M.1545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1E07C6">
      <w:fldChar w:fldCharType="begin"/>
    </w:r>
    <w:r w:rsidR="001E07C6">
      <w:instrText xml:space="preserve"> DOCPROPERTY "Header" \* MERGEFORMAT </w:instrText>
    </w:r>
    <w:r w:rsidR="001E07C6">
      <w:fldChar w:fldCharType="separate"/>
    </w:r>
    <w:r w:rsidR="00C22A89" w:rsidRPr="00C22A89">
      <w:rPr>
        <w:b/>
        <w:bCs/>
      </w:rPr>
      <w:t xml:space="preserve">Rec. </w:t>
    </w:r>
    <w:r w:rsidR="001E07C6">
      <w:rPr>
        <w:b/>
        <w:bCs/>
      </w:rPr>
      <w:fldChar w:fldCharType="end"/>
    </w:r>
    <w:r>
      <w:rPr>
        <w:b/>
        <w:bCs/>
      </w:rPr>
      <w:t xml:space="preserve"> </w:t>
    </w:r>
    <w:r>
      <w:rPr>
        <w:b/>
        <w:bCs/>
      </w:rPr>
      <w:fldChar w:fldCharType="begin"/>
    </w:r>
    <w:r>
      <w:rPr>
        <w:b/>
        <w:bCs/>
      </w:rPr>
      <w:instrText>styleref href</w:instrText>
    </w:r>
    <w:r>
      <w:rPr>
        <w:b/>
        <w:bCs/>
      </w:rPr>
      <w:fldChar w:fldCharType="separate"/>
    </w:r>
    <w:r w:rsidR="001E07C6">
      <w:rPr>
        <w:b/>
        <w:bCs/>
        <w:noProof/>
      </w:rPr>
      <w:t>UIT-R  M.1545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07C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5F0"/>
    <w:rsid w:val="00054F69"/>
    <w:rsid w:val="001E07C6"/>
    <w:rsid w:val="00217EBF"/>
    <w:rsid w:val="002D76C4"/>
    <w:rsid w:val="006055F0"/>
    <w:rsid w:val="00607D68"/>
    <w:rsid w:val="007468DA"/>
    <w:rsid w:val="0093280C"/>
    <w:rsid w:val="00985BBB"/>
    <w:rsid w:val="00A6617B"/>
    <w:rsid w:val="00AB0DC8"/>
    <w:rsid w:val="00B1212E"/>
    <w:rsid w:val="00B44E24"/>
    <w:rsid w:val="00C22A89"/>
    <w:rsid w:val="00CB5D1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121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12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66BB-FCFA-4988-B7B1-DDBDEB59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6</Pages>
  <Words>1179</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8</cp:revision>
  <cp:lastPrinted>2005-02-10T15:54:00Z</cp:lastPrinted>
  <dcterms:created xsi:type="dcterms:W3CDTF">2011-04-26T08:57:00Z</dcterms:created>
  <dcterms:modified xsi:type="dcterms:W3CDTF">2011-05-26T13:11:00Z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