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CEB" w:rsidRDefault="00C35CEB" w:rsidP="00C35CEB">
      <w:bookmarkStart w:id="0" w:name="_GoBack"/>
      <w:bookmarkEnd w:id="0"/>
    </w:p>
    <w:p w:rsidR="00C35CEB" w:rsidRDefault="00C35CEB" w:rsidP="00C35CEB"/>
    <w:p w:rsidR="00C35CEB" w:rsidRDefault="00C35CEB" w:rsidP="00C35CEB"/>
    <w:p w:rsidR="00C35CEB" w:rsidRDefault="00C35CEB" w:rsidP="00C35CEB"/>
    <w:p w:rsidR="00C35CEB" w:rsidRDefault="00C35CEB" w:rsidP="00C35CEB"/>
    <w:p w:rsidR="00C35CEB" w:rsidRDefault="00C35CEB" w:rsidP="00C35CEB"/>
    <w:p w:rsidR="00C35CEB" w:rsidRDefault="00C35CEB" w:rsidP="00C35CEB"/>
    <w:p w:rsidR="00C35CEB" w:rsidRDefault="00C35CEB" w:rsidP="00C35CEB"/>
    <w:p w:rsidR="00C35CEB" w:rsidRDefault="00C35CEB" w:rsidP="00C35CEB"/>
    <w:tbl>
      <w:tblPr>
        <w:tblW w:w="10089" w:type="dxa"/>
        <w:tblLook w:val="01E0" w:firstRow="1" w:lastRow="1" w:firstColumn="1" w:lastColumn="1" w:noHBand="0" w:noVBand="0"/>
      </w:tblPr>
      <w:tblGrid>
        <w:gridCol w:w="10089"/>
      </w:tblGrid>
      <w:tr w:rsidR="00C35CEB" w:rsidRPr="00A443C2" w:rsidTr="00E530B5">
        <w:tc>
          <w:tcPr>
            <w:tcW w:w="10089" w:type="dxa"/>
          </w:tcPr>
          <w:p w:rsidR="00C35CEB" w:rsidRPr="00B033C8" w:rsidRDefault="00C35CEB" w:rsidP="00E530B5">
            <w:pPr>
              <w:spacing w:before="380" w:line="280" w:lineRule="exact"/>
              <w:jc w:val="right"/>
              <w:rPr>
                <w:rFonts w:ascii="Tahoma" w:hAnsi="Tahoma" w:cs="Tahoma"/>
                <w:b/>
                <w:bCs/>
                <w:iCs/>
                <w:color w:val="243285"/>
                <w:sz w:val="32"/>
                <w:szCs w:val="32"/>
                <w:lang w:val="en-US"/>
              </w:rPr>
            </w:pPr>
          </w:p>
          <w:p w:rsidR="00C35CEB" w:rsidRPr="00A443C2" w:rsidRDefault="00C35CEB" w:rsidP="00C35CE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1579-2</w:t>
            </w:r>
          </w:p>
          <w:p w:rsidR="00C35CEB" w:rsidRPr="00A443C2" w:rsidRDefault="00C35CEB" w:rsidP="00C2583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C25830">
              <w:rPr>
                <w:rFonts w:ascii="Tahoma" w:hAnsi="Tahoma" w:cs="Tahoma"/>
                <w:b/>
                <w:bCs/>
                <w:iCs/>
                <w:color w:val="243285"/>
                <w:szCs w:val="24"/>
              </w:rPr>
              <w:t>01</w:t>
            </w:r>
            <w:r>
              <w:rPr>
                <w:rFonts w:ascii="Tahoma" w:hAnsi="Tahoma" w:cs="Tahoma"/>
                <w:b/>
                <w:bCs/>
                <w:iCs/>
                <w:color w:val="243285"/>
                <w:szCs w:val="24"/>
              </w:rPr>
              <w:t>/</w:t>
            </w:r>
            <w:r w:rsidR="00C25830">
              <w:rPr>
                <w:rFonts w:ascii="Tahoma" w:hAnsi="Tahoma" w:cs="Tahoma"/>
                <w:b/>
                <w:bCs/>
                <w:iCs/>
                <w:color w:val="243285"/>
                <w:szCs w:val="24"/>
              </w:rPr>
              <w:t>2015</w:t>
            </w:r>
            <w:r w:rsidRPr="00A443C2">
              <w:rPr>
                <w:rFonts w:ascii="Tahoma" w:hAnsi="Tahoma" w:cs="Tahoma"/>
                <w:b/>
                <w:bCs/>
                <w:iCs/>
                <w:color w:val="243285"/>
                <w:szCs w:val="24"/>
              </w:rPr>
              <w:t>)</w:t>
            </w:r>
          </w:p>
        </w:tc>
      </w:tr>
      <w:tr w:rsidR="00C35CEB" w:rsidRPr="00F54FBD" w:rsidTr="00E530B5">
        <w:trPr>
          <w:trHeight w:val="4629"/>
        </w:trPr>
        <w:tc>
          <w:tcPr>
            <w:tcW w:w="10089" w:type="dxa"/>
          </w:tcPr>
          <w:p w:rsidR="00C35CEB" w:rsidRDefault="00C35CEB" w:rsidP="00E530B5">
            <w:pPr>
              <w:spacing w:before="80" w:line="500" w:lineRule="exact"/>
              <w:jc w:val="right"/>
              <w:rPr>
                <w:rFonts w:ascii="Tahoma" w:hAnsi="Tahoma" w:cs="Tahoma"/>
                <w:b/>
                <w:bCs/>
                <w:iCs/>
                <w:color w:val="243285"/>
                <w:sz w:val="44"/>
                <w:szCs w:val="44"/>
              </w:rPr>
            </w:pPr>
          </w:p>
          <w:p w:rsidR="00C35CEB" w:rsidRDefault="00C35CEB" w:rsidP="00C35CEB">
            <w:pPr>
              <w:spacing w:before="80" w:line="500" w:lineRule="exact"/>
              <w:jc w:val="right"/>
              <w:rPr>
                <w:rFonts w:ascii="Tahoma" w:hAnsi="Tahoma" w:cs="Tahoma"/>
                <w:b/>
                <w:bCs/>
                <w:iCs/>
                <w:color w:val="243285"/>
                <w:sz w:val="44"/>
                <w:szCs w:val="44"/>
              </w:rPr>
            </w:pPr>
            <w:r w:rsidRPr="00C35CEB">
              <w:rPr>
                <w:rFonts w:ascii="Tahoma" w:hAnsi="Tahoma" w:cs="Tahoma"/>
                <w:b/>
                <w:bCs/>
                <w:iCs/>
                <w:color w:val="243285"/>
                <w:sz w:val="44"/>
                <w:szCs w:val="44"/>
              </w:rPr>
              <w:t xml:space="preserve">Circulation mondiale des </w:t>
            </w:r>
            <w:r>
              <w:rPr>
                <w:rFonts w:ascii="Tahoma" w:hAnsi="Tahoma" w:cs="Tahoma"/>
                <w:b/>
                <w:bCs/>
                <w:iCs/>
                <w:color w:val="243285"/>
                <w:sz w:val="44"/>
                <w:szCs w:val="44"/>
              </w:rPr>
              <w:br/>
            </w:r>
            <w:r w:rsidRPr="00C35CEB">
              <w:rPr>
                <w:rFonts w:ascii="Tahoma" w:hAnsi="Tahoma" w:cs="Tahoma"/>
                <w:b/>
                <w:bCs/>
                <w:iCs/>
                <w:color w:val="243285"/>
                <w:sz w:val="44"/>
                <w:szCs w:val="44"/>
              </w:rPr>
              <w:t>terminaux de Terre des IMT</w:t>
            </w:r>
          </w:p>
          <w:p w:rsidR="00C35CEB" w:rsidRPr="00F54FBD" w:rsidRDefault="00C35CEB" w:rsidP="00E530B5">
            <w:pPr>
              <w:spacing w:before="80" w:line="500" w:lineRule="exact"/>
              <w:jc w:val="right"/>
              <w:rPr>
                <w:rFonts w:ascii="Tahoma" w:hAnsi="Tahoma" w:cs="Tahoma"/>
                <w:b/>
                <w:bCs/>
                <w:iCs/>
                <w:color w:val="243285"/>
                <w:sz w:val="44"/>
                <w:szCs w:val="44"/>
              </w:rPr>
            </w:pPr>
          </w:p>
        </w:tc>
      </w:tr>
      <w:tr w:rsidR="00C35CEB" w:rsidRPr="00F54FBD" w:rsidTr="00E530B5">
        <w:tc>
          <w:tcPr>
            <w:tcW w:w="10089" w:type="dxa"/>
          </w:tcPr>
          <w:p w:rsidR="00C35CEB" w:rsidRPr="00F54FBD" w:rsidRDefault="00C35CEB" w:rsidP="00E530B5">
            <w:pPr>
              <w:spacing w:before="80" w:line="280" w:lineRule="exact"/>
              <w:ind w:right="640"/>
              <w:rPr>
                <w:rFonts w:ascii="Tahoma" w:hAnsi="Tahoma" w:cs="Tahoma"/>
                <w:b/>
                <w:bCs/>
                <w:iCs/>
                <w:color w:val="243285"/>
                <w:sz w:val="32"/>
                <w:szCs w:val="32"/>
              </w:rPr>
            </w:pPr>
          </w:p>
          <w:p w:rsidR="00C35CEB" w:rsidRPr="00F54FBD" w:rsidRDefault="00C35CEB" w:rsidP="00E530B5">
            <w:pPr>
              <w:spacing w:before="80" w:line="280" w:lineRule="exact"/>
              <w:ind w:right="640"/>
              <w:rPr>
                <w:rFonts w:ascii="Tahoma" w:hAnsi="Tahoma" w:cs="Tahoma"/>
                <w:b/>
                <w:bCs/>
                <w:iCs/>
                <w:color w:val="243285"/>
                <w:sz w:val="32"/>
                <w:szCs w:val="32"/>
              </w:rPr>
            </w:pPr>
          </w:p>
          <w:p w:rsidR="00C35CEB" w:rsidRPr="00F54FBD" w:rsidRDefault="00C35CEB" w:rsidP="00E530B5">
            <w:pPr>
              <w:spacing w:before="80" w:after="180" w:line="360" w:lineRule="exact"/>
              <w:ind w:right="720"/>
              <w:rPr>
                <w:rFonts w:ascii="Tahoma" w:hAnsi="Tahoma" w:cs="Tahoma"/>
                <w:b/>
                <w:bCs/>
                <w:iCs/>
                <w:color w:val="243285"/>
                <w:sz w:val="36"/>
                <w:szCs w:val="36"/>
              </w:rPr>
            </w:pPr>
          </w:p>
          <w:p w:rsidR="00C35CEB" w:rsidRPr="00F54FBD" w:rsidRDefault="00C35CEB" w:rsidP="00E530B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C35CEB" w:rsidRPr="00F54FBD" w:rsidRDefault="00C35CEB" w:rsidP="00E530B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C35CEB" w:rsidRPr="00F54FBD" w:rsidRDefault="00C35CEB" w:rsidP="00C35CEB">
      <w:pPr>
        <w:spacing w:before="80"/>
        <w:rPr>
          <w:i/>
          <w:sz w:val="22"/>
        </w:rPr>
      </w:pPr>
    </w:p>
    <w:p w:rsidR="00C35CEB" w:rsidRPr="00F54FBD" w:rsidRDefault="00C35CEB" w:rsidP="00C35CEB">
      <w:pPr>
        <w:spacing w:before="80"/>
        <w:rPr>
          <w:i/>
          <w:sz w:val="22"/>
        </w:rPr>
      </w:pPr>
    </w:p>
    <w:p w:rsidR="00C35CEB" w:rsidRPr="00F54FBD" w:rsidRDefault="00C35CEB" w:rsidP="00C35CEB">
      <w:pPr>
        <w:spacing w:before="80"/>
        <w:rPr>
          <w:i/>
          <w:sz w:val="22"/>
        </w:rPr>
      </w:pPr>
    </w:p>
    <w:p w:rsidR="00C35CEB" w:rsidRPr="00F54FBD" w:rsidRDefault="00C35CEB" w:rsidP="00C35CEB">
      <w:pPr>
        <w:spacing w:before="80"/>
        <w:rPr>
          <w:i/>
          <w:sz w:val="22"/>
        </w:rPr>
      </w:pPr>
    </w:p>
    <w:p w:rsidR="00C35CEB" w:rsidRPr="00F54FBD" w:rsidRDefault="00C35CEB" w:rsidP="00C35CEB">
      <w:pPr>
        <w:pStyle w:val="Equation"/>
        <w:tabs>
          <w:tab w:val="clear" w:pos="4820"/>
          <w:tab w:val="clear" w:pos="9639"/>
          <w:tab w:val="left" w:pos="1191"/>
          <w:tab w:val="left" w:pos="1588"/>
          <w:tab w:val="left" w:pos="1985"/>
        </w:tabs>
        <w:rPr>
          <w:rFonts w:ascii="Palatino Linotype" w:hAnsi="Palatino Linotype"/>
        </w:rPr>
        <w:sectPr w:rsidR="00C35CEB" w:rsidRPr="00F54FBD">
          <w:headerReference w:type="even" r:id="rId6"/>
          <w:headerReference w:type="default" r:id="rId7"/>
          <w:pgSz w:w="11907" w:h="16840" w:code="9"/>
          <w:pgMar w:top="1089" w:right="1089" w:bottom="284" w:left="1089" w:header="567" w:footer="284" w:gutter="0"/>
          <w:pgNumType w:start="1"/>
          <w:cols w:space="720"/>
        </w:sectPr>
      </w:pPr>
    </w:p>
    <w:p w:rsidR="00C35CEB" w:rsidRPr="00F54FBD" w:rsidRDefault="00C35CEB" w:rsidP="00C35C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35CEB" w:rsidRPr="00F54FBD" w:rsidRDefault="00C35CEB" w:rsidP="00C35CE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35CEB" w:rsidRPr="00F54FBD" w:rsidRDefault="00C35CEB" w:rsidP="00C35CE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35CEB" w:rsidRPr="00E44CBB" w:rsidRDefault="00C35CEB" w:rsidP="00C35CE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35CEB" w:rsidRPr="00E44CBB" w:rsidRDefault="00C35CEB" w:rsidP="00C35CE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35CEB" w:rsidRPr="00C95B6F" w:rsidRDefault="00C35CEB" w:rsidP="00C35CE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35CEB" w:rsidRPr="009454F8" w:rsidTr="00E530B5">
        <w:tc>
          <w:tcPr>
            <w:tcW w:w="9360" w:type="dxa"/>
            <w:gridSpan w:val="2"/>
          </w:tcPr>
          <w:p w:rsidR="00C35CEB" w:rsidRPr="009454F8" w:rsidRDefault="00C35CEB" w:rsidP="00E530B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35CEB" w:rsidRPr="009454F8" w:rsidRDefault="00C35CEB" w:rsidP="00E53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C35CEB" w:rsidRPr="00036EE3" w:rsidTr="00E530B5">
        <w:tc>
          <w:tcPr>
            <w:tcW w:w="1140" w:type="dxa"/>
          </w:tcPr>
          <w:p w:rsidR="00C35CEB" w:rsidRPr="00614CC6" w:rsidRDefault="00C35CEB" w:rsidP="00E530B5">
            <w:pPr>
              <w:spacing w:before="90" w:after="100"/>
              <w:ind w:left="57"/>
              <w:rPr>
                <w:b/>
                <w:bCs/>
                <w:sz w:val="20"/>
                <w:lang w:val="en-US"/>
              </w:rPr>
            </w:pPr>
            <w:r w:rsidRPr="00614CC6">
              <w:rPr>
                <w:b/>
                <w:bCs/>
                <w:sz w:val="20"/>
                <w:lang w:val="en-US"/>
              </w:rPr>
              <w:t>Séries</w:t>
            </w:r>
          </w:p>
        </w:tc>
        <w:tc>
          <w:tcPr>
            <w:tcW w:w="8220" w:type="dxa"/>
          </w:tcPr>
          <w:p w:rsidR="00C35CEB" w:rsidRPr="00614CC6" w:rsidRDefault="00C35CEB" w:rsidP="00E53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35CEB" w:rsidRPr="00036EE3" w:rsidTr="00E530B5">
        <w:tc>
          <w:tcPr>
            <w:tcW w:w="1140" w:type="dxa"/>
          </w:tcPr>
          <w:p w:rsidR="00C35CEB" w:rsidRPr="00614CC6" w:rsidRDefault="00C35CEB" w:rsidP="00E530B5">
            <w:pPr>
              <w:spacing w:before="30" w:after="30"/>
              <w:ind w:left="57"/>
              <w:jc w:val="left"/>
              <w:rPr>
                <w:b/>
                <w:bCs/>
                <w:sz w:val="20"/>
                <w:lang w:val="en-US"/>
              </w:rPr>
            </w:pPr>
            <w:r w:rsidRPr="00614CC6">
              <w:rPr>
                <w:b/>
                <w:bCs/>
                <w:sz w:val="20"/>
                <w:lang w:val="en-US"/>
              </w:rPr>
              <w:t>BO</w:t>
            </w:r>
          </w:p>
        </w:tc>
        <w:tc>
          <w:tcPr>
            <w:tcW w:w="8220" w:type="dxa"/>
          </w:tcPr>
          <w:p w:rsidR="00C35CEB" w:rsidRPr="00614CC6" w:rsidRDefault="00C35CEB" w:rsidP="00E53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C35CEB" w:rsidRPr="009454F8" w:rsidTr="00E530B5">
        <w:tc>
          <w:tcPr>
            <w:tcW w:w="1140" w:type="dxa"/>
          </w:tcPr>
          <w:p w:rsidR="00C35CEB" w:rsidRPr="00614CC6" w:rsidRDefault="00C35CEB" w:rsidP="00E530B5">
            <w:pPr>
              <w:spacing w:before="30" w:after="30"/>
              <w:ind w:left="57"/>
              <w:jc w:val="left"/>
              <w:rPr>
                <w:b/>
                <w:bCs/>
                <w:sz w:val="20"/>
                <w:lang w:val="en-US"/>
              </w:rPr>
            </w:pPr>
            <w:r w:rsidRPr="00614CC6">
              <w:rPr>
                <w:b/>
                <w:bCs/>
                <w:sz w:val="20"/>
                <w:lang w:val="en-US"/>
              </w:rPr>
              <w:t>BR</w:t>
            </w:r>
          </w:p>
        </w:tc>
        <w:tc>
          <w:tcPr>
            <w:tcW w:w="8220" w:type="dxa"/>
          </w:tcPr>
          <w:p w:rsidR="00C35CEB" w:rsidRPr="00614CC6" w:rsidRDefault="00C35CEB" w:rsidP="00E53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35CEB" w:rsidRPr="00036EE3" w:rsidTr="00E530B5">
        <w:tc>
          <w:tcPr>
            <w:tcW w:w="1140" w:type="dxa"/>
          </w:tcPr>
          <w:p w:rsidR="00C35CEB" w:rsidRPr="00614CC6" w:rsidRDefault="00C35CEB" w:rsidP="00E530B5">
            <w:pPr>
              <w:spacing w:before="30" w:after="30"/>
              <w:ind w:left="57"/>
              <w:jc w:val="left"/>
              <w:rPr>
                <w:b/>
                <w:bCs/>
                <w:sz w:val="20"/>
                <w:lang w:val="en-US"/>
              </w:rPr>
            </w:pPr>
            <w:r w:rsidRPr="00614CC6">
              <w:rPr>
                <w:b/>
                <w:bCs/>
                <w:sz w:val="20"/>
                <w:lang w:val="en-US"/>
              </w:rPr>
              <w:t>BS</w:t>
            </w:r>
          </w:p>
        </w:tc>
        <w:tc>
          <w:tcPr>
            <w:tcW w:w="8220" w:type="dxa"/>
          </w:tcPr>
          <w:p w:rsidR="00C35CEB" w:rsidRPr="00614CC6" w:rsidRDefault="00C35CEB" w:rsidP="00E53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C35CEB" w:rsidRPr="00ED2695" w:rsidTr="00E530B5">
        <w:tc>
          <w:tcPr>
            <w:tcW w:w="1140" w:type="dxa"/>
            <w:shd w:val="clear" w:color="auto" w:fill="auto"/>
          </w:tcPr>
          <w:p w:rsidR="00C35CEB" w:rsidRPr="00614CC6" w:rsidRDefault="00C35CEB" w:rsidP="00E530B5">
            <w:pPr>
              <w:spacing w:before="30" w:after="30"/>
              <w:ind w:left="57"/>
              <w:jc w:val="left"/>
              <w:rPr>
                <w:b/>
                <w:bCs/>
                <w:sz w:val="20"/>
                <w:lang w:val="en-US"/>
              </w:rPr>
            </w:pPr>
            <w:r w:rsidRPr="00614CC6">
              <w:rPr>
                <w:b/>
                <w:bCs/>
                <w:sz w:val="20"/>
                <w:lang w:val="en-US"/>
              </w:rPr>
              <w:t>BT</w:t>
            </w:r>
          </w:p>
        </w:tc>
        <w:tc>
          <w:tcPr>
            <w:tcW w:w="8220" w:type="dxa"/>
            <w:shd w:val="clear" w:color="auto" w:fill="auto"/>
          </w:tcPr>
          <w:p w:rsidR="00C35CEB" w:rsidRPr="00614CC6" w:rsidRDefault="00C35CEB" w:rsidP="00E53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35CEB" w:rsidRPr="00036EE3" w:rsidTr="00E530B5">
        <w:tc>
          <w:tcPr>
            <w:tcW w:w="1140" w:type="dxa"/>
            <w:shd w:val="clear" w:color="auto" w:fill="auto"/>
          </w:tcPr>
          <w:p w:rsidR="00C35CEB" w:rsidRPr="00614CC6" w:rsidRDefault="00C35CEB" w:rsidP="00E530B5">
            <w:pPr>
              <w:spacing w:before="30" w:after="30"/>
              <w:ind w:left="57"/>
              <w:jc w:val="left"/>
              <w:rPr>
                <w:b/>
                <w:bCs/>
                <w:sz w:val="20"/>
                <w:lang w:val="fr-CH"/>
              </w:rPr>
            </w:pPr>
            <w:r w:rsidRPr="00614CC6">
              <w:rPr>
                <w:b/>
                <w:bCs/>
                <w:sz w:val="20"/>
                <w:lang w:val="fr-CH"/>
              </w:rPr>
              <w:t>F</w:t>
            </w:r>
          </w:p>
        </w:tc>
        <w:tc>
          <w:tcPr>
            <w:tcW w:w="8220" w:type="dxa"/>
            <w:shd w:val="clear" w:color="auto" w:fill="auto"/>
          </w:tcPr>
          <w:p w:rsidR="00C35CEB" w:rsidRPr="00614CC6" w:rsidRDefault="00C35CEB" w:rsidP="00E530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35CEB" w:rsidRPr="00592F9F" w:rsidTr="00E530B5">
        <w:tc>
          <w:tcPr>
            <w:tcW w:w="1140" w:type="dxa"/>
            <w:shd w:val="clear" w:color="auto" w:fill="F3F3F3"/>
          </w:tcPr>
          <w:p w:rsidR="00C35CEB" w:rsidRPr="00592F9F" w:rsidRDefault="00C35CEB" w:rsidP="00E530B5">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C35CEB" w:rsidRPr="00592F9F" w:rsidRDefault="00C35CEB" w:rsidP="00E530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C35CEB" w:rsidRPr="00036EE3" w:rsidTr="00E530B5">
        <w:tc>
          <w:tcPr>
            <w:tcW w:w="1140" w:type="dxa"/>
          </w:tcPr>
          <w:p w:rsidR="00C35CEB" w:rsidRPr="00614CC6" w:rsidRDefault="00C35CEB" w:rsidP="00E530B5">
            <w:pPr>
              <w:spacing w:before="30" w:after="30"/>
              <w:ind w:left="57"/>
              <w:jc w:val="left"/>
              <w:rPr>
                <w:b/>
                <w:bCs/>
                <w:sz w:val="20"/>
                <w:lang w:val="fr-CH"/>
              </w:rPr>
            </w:pPr>
            <w:r w:rsidRPr="00614CC6">
              <w:rPr>
                <w:b/>
                <w:bCs/>
                <w:sz w:val="20"/>
                <w:lang w:val="fr-CH"/>
              </w:rPr>
              <w:t>P</w:t>
            </w:r>
          </w:p>
        </w:tc>
        <w:tc>
          <w:tcPr>
            <w:tcW w:w="8220" w:type="dxa"/>
          </w:tcPr>
          <w:p w:rsidR="00C35CEB" w:rsidRPr="00614CC6" w:rsidRDefault="00C35CEB" w:rsidP="00E530B5">
            <w:pPr>
              <w:spacing w:before="30" w:after="30"/>
              <w:jc w:val="left"/>
              <w:rPr>
                <w:sz w:val="20"/>
                <w:lang w:val="fr-CH"/>
              </w:rPr>
            </w:pPr>
            <w:r w:rsidRPr="00614CC6">
              <w:rPr>
                <w:sz w:val="20"/>
              </w:rPr>
              <w:t>Propagation des ondes radioélectriques</w:t>
            </w:r>
          </w:p>
        </w:tc>
      </w:tr>
      <w:tr w:rsidR="00C35CEB" w:rsidRPr="00036EE3" w:rsidTr="00E530B5">
        <w:tc>
          <w:tcPr>
            <w:tcW w:w="1140" w:type="dxa"/>
          </w:tcPr>
          <w:p w:rsidR="00C35CEB" w:rsidRPr="00614CC6" w:rsidRDefault="00C35CEB" w:rsidP="00E530B5">
            <w:pPr>
              <w:spacing w:before="30" w:after="30"/>
              <w:ind w:left="57"/>
              <w:jc w:val="left"/>
              <w:rPr>
                <w:b/>
                <w:bCs/>
                <w:sz w:val="20"/>
                <w:lang w:val="en-US"/>
              </w:rPr>
            </w:pPr>
            <w:r w:rsidRPr="00614CC6">
              <w:rPr>
                <w:b/>
                <w:bCs/>
                <w:sz w:val="20"/>
                <w:lang w:val="en-US"/>
              </w:rPr>
              <w:t>RA</w:t>
            </w:r>
          </w:p>
        </w:tc>
        <w:tc>
          <w:tcPr>
            <w:tcW w:w="8220" w:type="dxa"/>
          </w:tcPr>
          <w:p w:rsidR="00C35CEB" w:rsidRPr="00614CC6" w:rsidRDefault="00C35CEB" w:rsidP="00E530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35CEB" w:rsidRPr="00036EE3" w:rsidTr="00E530B5">
        <w:tc>
          <w:tcPr>
            <w:tcW w:w="1140" w:type="dxa"/>
          </w:tcPr>
          <w:p w:rsidR="00C35CEB" w:rsidRPr="00614CC6" w:rsidRDefault="00C35CEB" w:rsidP="00E530B5">
            <w:pPr>
              <w:spacing w:before="30" w:after="30"/>
              <w:ind w:left="57"/>
              <w:jc w:val="left"/>
              <w:rPr>
                <w:b/>
                <w:bCs/>
                <w:sz w:val="20"/>
                <w:lang w:val="en-US"/>
              </w:rPr>
            </w:pPr>
            <w:r w:rsidRPr="00614CC6">
              <w:rPr>
                <w:b/>
                <w:bCs/>
                <w:sz w:val="20"/>
                <w:lang w:val="en-US"/>
              </w:rPr>
              <w:t>RS</w:t>
            </w:r>
          </w:p>
        </w:tc>
        <w:tc>
          <w:tcPr>
            <w:tcW w:w="8220" w:type="dxa"/>
          </w:tcPr>
          <w:p w:rsidR="00C35CEB" w:rsidRPr="00614CC6" w:rsidRDefault="00C35CEB" w:rsidP="00E530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35CEB" w:rsidRPr="00036EE3" w:rsidTr="00E530B5">
        <w:tc>
          <w:tcPr>
            <w:tcW w:w="1140" w:type="dxa"/>
          </w:tcPr>
          <w:p w:rsidR="00C35CEB" w:rsidRPr="00614CC6" w:rsidRDefault="00C35CEB" w:rsidP="00E530B5">
            <w:pPr>
              <w:spacing w:before="30" w:after="30"/>
              <w:ind w:left="57"/>
              <w:jc w:val="left"/>
              <w:rPr>
                <w:b/>
                <w:bCs/>
                <w:sz w:val="20"/>
                <w:lang w:val="en-US"/>
              </w:rPr>
            </w:pPr>
            <w:r w:rsidRPr="00614CC6">
              <w:rPr>
                <w:b/>
                <w:bCs/>
                <w:sz w:val="20"/>
                <w:lang w:val="en-US"/>
              </w:rPr>
              <w:t>S</w:t>
            </w:r>
          </w:p>
        </w:tc>
        <w:tc>
          <w:tcPr>
            <w:tcW w:w="8220" w:type="dxa"/>
          </w:tcPr>
          <w:p w:rsidR="00C35CEB" w:rsidRPr="00614CC6" w:rsidRDefault="00C35CEB" w:rsidP="00E530B5">
            <w:pPr>
              <w:spacing w:before="30" w:after="30"/>
              <w:jc w:val="left"/>
              <w:rPr>
                <w:sz w:val="20"/>
                <w:lang w:val="en-US"/>
              </w:rPr>
            </w:pPr>
            <w:r w:rsidRPr="00614CC6">
              <w:rPr>
                <w:sz w:val="20"/>
              </w:rPr>
              <w:t>Service fixe par satellite</w:t>
            </w:r>
          </w:p>
        </w:tc>
      </w:tr>
      <w:tr w:rsidR="00C35CEB" w:rsidRPr="00036EE3" w:rsidTr="00E530B5">
        <w:tc>
          <w:tcPr>
            <w:tcW w:w="1140" w:type="dxa"/>
          </w:tcPr>
          <w:p w:rsidR="00C35CEB" w:rsidRPr="00614CC6" w:rsidRDefault="00C35CEB" w:rsidP="00E530B5">
            <w:pPr>
              <w:spacing w:before="30" w:after="30"/>
              <w:ind w:left="57"/>
              <w:jc w:val="left"/>
              <w:rPr>
                <w:b/>
                <w:bCs/>
                <w:sz w:val="20"/>
                <w:lang w:val="en-US"/>
              </w:rPr>
            </w:pPr>
            <w:r w:rsidRPr="00614CC6">
              <w:rPr>
                <w:b/>
                <w:bCs/>
                <w:sz w:val="20"/>
                <w:lang w:val="en-US"/>
              </w:rPr>
              <w:t>SA</w:t>
            </w:r>
          </w:p>
        </w:tc>
        <w:tc>
          <w:tcPr>
            <w:tcW w:w="8220" w:type="dxa"/>
          </w:tcPr>
          <w:p w:rsidR="00C35CEB" w:rsidRPr="00614CC6" w:rsidRDefault="00C35CEB" w:rsidP="00E530B5">
            <w:pPr>
              <w:spacing w:before="30" w:after="30"/>
              <w:jc w:val="left"/>
              <w:rPr>
                <w:sz w:val="20"/>
                <w:lang w:val="en-US"/>
              </w:rPr>
            </w:pPr>
            <w:r w:rsidRPr="00614CC6">
              <w:rPr>
                <w:sz w:val="20"/>
              </w:rPr>
              <w:t>Applications spatiales et météorologie</w:t>
            </w:r>
          </w:p>
        </w:tc>
      </w:tr>
      <w:tr w:rsidR="00C35CEB" w:rsidRPr="00614CC6" w:rsidTr="00E530B5">
        <w:tc>
          <w:tcPr>
            <w:tcW w:w="1140" w:type="dxa"/>
          </w:tcPr>
          <w:p w:rsidR="00C35CEB" w:rsidRPr="00614CC6" w:rsidRDefault="00C35CEB" w:rsidP="00E530B5">
            <w:pPr>
              <w:spacing w:before="30" w:after="30"/>
              <w:ind w:left="57"/>
              <w:jc w:val="left"/>
              <w:rPr>
                <w:b/>
                <w:bCs/>
                <w:sz w:val="20"/>
                <w:lang w:val="en-US"/>
              </w:rPr>
            </w:pPr>
            <w:r w:rsidRPr="00614CC6">
              <w:rPr>
                <w:b/>
                <w:bCs/>
                <w:sz w:val="20"/>
                <w:lang w:val="en-US"/>
              </w:rPr>
              <w:t>SF</w:t>
            </w:r>
          </w:p>
        </w:tc>
        <w:tc>
          <w:tcPr>
            <w:tcW w:w="8220" w:type="dxa"/>
          </w:tcPr>
          <w:p w:rsidR="00C35CEB" w:rsidRPr="00614CC6" w:rsidRDefault="00C35CEB" w:rsidP="00E530B5">
            <w:pPr>
              <w:spacing w:before="30" w:after="30"/>
              <w:jc w:val="left"/>
              <w:rPr>
                <w:sz w:val="20"/>
              </w:rPr>
            </w:pPr>
            <w:r w:rsidRPr="00614CC6">
              <w:rPr>
                <w:sz w:val="20"/>
              </w:rPr>
              <w:t>Partage des fréquences et coordination entre les systèmes du service fixe par satellite et du service fixe</w:t>
            </w:r>
          </w:p>
        </w:tc>
      </w:tr>
      <w:tr w:rsidR="00C35CEB" w:rsidRPr="00036EE3" w:rsidTr="00E530B5">
        <w:tc>
          <w:tcPr>
            <w:tcW w:w="1140" w:type="dxa"/>
            <w:shd w:val="clear" w:color="auto" w:fill="auto"/>
          </w:tcPr>
          <w:p w:rsidR="00C35CEB" w:rsidRPr="00592F9F" w:rsidRDefault="00C35CEB" w:rsidP="00E530B5">
            <w:pPr>
              <w:spacing w:before="30" w:after="30"/>
              <w:ind w:left="57"/>
              <w:jc w:val="left"/>
              <w:rPr>
                <w:b/>
                <w:bCs/>
                <w:sz w:val="20"/>
                <w:lang w:val="en-US"/>
              </w:rPr>
            </w:pPr>
            <w:r w:rsidRPr="00592F9F">
              <w:rPr>
                <w:b/>
                <w:bCs/>
                <w:sz w:val="20"/>
                <w:lang w:val="en-US"/>
              </w:rPr>
              <w:t>SM</w:t>
            </w:r>
          </w:p>
        </w:tc>
        <w:tc>
          <w:tcPr>
            <w:tcW w:w="8220" w:type="dxa"/>
            <w:shd w:val="clear" w:color="auto" w:fill="auto"/>
          </w:tcPr>
          <w:p w:rsidR="00C35CEB" w:rsidRPr="00592F9F" w:rsidRDefault="00C35CEB" w:rsidP="00E530B5">
            <w:pPr>
              <w:spacing w:before="30" w:after="30"/>
              <w:jc w:val="left"/>
              <w:rPr>
                <w:sz w:val="20"/>
                <w:lang w:val="en-US"/>
              </w:rPr>
            </w:pPr>
            <w:r w:rsidRPr="00592F9F">
              <w:rPr>
                <w:sz w:val="20"/>
              </w:rPr>
              <w:t>Gestion du spectre</w:t>
            </w:r>
          </w:p>
        </w:tc>
      </w:tr>
      <w:tr w:rsidR="00C35CEB" w:rsidRPr="00036EE3" w:rsidTr="00E530B5">
        <w:tc>
          <w:tcPr>
            <w:tcW w:w="1140" w:type="dxa"/>
          </w:tcPr>
          <w:p w:rsidR="00C35CEB" w:rsidRPr="00614CC6" w:rsidRDefault="00C35CEB" w:rsidP="00E530B5">
            <w:pPr>
              <w:spacing w:before="30" w:after="30"/>
              <w:ind w:left="57"/>
              <w:jc w:val="left"/>
              <w:rPr>
                <w:b/>
                <w:bCs/>
                <w:sz w:val="20"/>
                <w:lang w:val="en-US"/>
              </w:rPr>
            </w:pPr>
            <w:r w:rsidRPr="00614CC6">
              <w:rPr>
                <w:b/>
                <w:bCs/>
                <w:sz w:val="20"/>
                <w:lang w:val="en-US"/>
              </w:rPr>
              <w:t>SNG</w:t>
            </w:r>
          </w:p>
        </w:tc>
        <w:tc>
          <w:tcPr>
            <w:tcW w:w="8220" w:type="dxa"/>
          </w:tcPr>
          <w:p w:rsidR="00C35CEB" w:rsidRPr="00614CC6" w:rsidRDefault="00C35CEB" w:rsidP="00E530B5">
            <w:pPr>
              <w:spacing w:before="30" w:after="30"/>
              <w:jc w:val="left"/>
              <w:rPr>
                <w:sz w:val="20"/>
                <w:lang w:val="en-US"/>
              </w:rPr>
            </w:pPr>
            <w:r w:rsidRPr="00614CC6">
              <w:rPr>
                <w:sz w:val="20"/>
              </w:rPr>
              <w:t>Reportage d'actualités par satellite</w:t>
            </w:r>
          </w:p>
        </w:tc>
      </w:tr>
      <w:tr w:rsidR="00C35CEB" w:rsidRPr="00614CC6" w:rsidTr="00E530B5">
        <w:tc>
          <w:tcPr>
            <w:tcW w:w="1140" w:type="dxa"/>
          </w:tcPr>
          <w:p w:rsidR="00C35CEB" w:rsidRPr="00614CC6" w:rsidRDefault="00C35CEB" w:rsidP="00E530B5">
            <w:pPr>
              <w:spacing w:before="30" w:after="30"/>
              <w:ind w:left="57"/>
              <w:jc w:val="left"/>
              <w:rPr>
                <w:b/>
                <w:bCs/>
                <w:sz w:val="20"/>
                <w:lang w:val="en-US"/>
              </w:rPr>
            </w:pPr>
            <w:r w:rsidRPr="00614CC6">
              <w:rPr>
                <w:b/>
                <w:bCs/>
                <w:sz w:val="20"/>
                <w:lang w:val="en-US"/>
              </w:rPr>
              <w:t>TF</w:t>
            </w:r>
          </w:p>
        </w:tc>
        <w:tc>
          <w:tcPr>
            <w:tcW w:w="8220" w:type="dxa"/>
          </w:tcPr>
          <w:p w:rsidR="00C35CEB" w:rsidRPr="00614CC6" w:rsidRDefault="00C35CEB" w:rsidP="00E530B5">
            <w:pPr>
              <w:spacing w:before="30" w:after="30"/>
              <w:jc w:val="left"/>
              <w:rPr>
                <w:sz w:val="20"/>
              </w:rPr>
            </w:pPr>
            <w:r w:rsidRPr="00614CC6">
              <w:rPr>
                <w:sz w:val="20"/>
              </w:rPr>
              <w:t>Emissions de fréquences étalon et de signaux horaires</w:t>
            </w:r>
          </w:p>
        </w:tc>
      </w:tr>
      <w:tr w:rsidR="00C35CEB" w:rsidRPr="00036EE3" w:rsidTr="00E530B5">
        <w:tc>
          <w:tcPr>
            <w:tcW w:w="1140" w:type="dxa"/>
          </w:tcPr>
          <w:p w:rsidR="00C35CEB" w:rsidRPr="00614CC6" w:rsidRDefault="00C35CEB" w:rsidP="00E530B5">
            <w:pPr>
              <w:spacing w:before="30" w:after="30"/>
              <w:ind w:left="57"/>
              <w:jc w:val="left"/>
              <w:rPr>
                <w:b/>
                <w:bCs/>
                <w:sz w:val="20"/>
                <w:lang w:val="en-US"/>
              </w:rPr>
            </w:pPr>
            <w:r w:rsidRPr="00614CC6">
              <w:rPr>
                <w:b/>
                <w:bCs/>
                <w:sz w:val="20"/>
                <w:lang w:val="en-US"/>
              </w:rPr>
              <w:t>V</w:t>
            </w:r>
          </w:p>
        </w:tc>
        <w:tc>
          <w:tcPr>
            <w:tcW w:w="8220" w:type="dxa"/>
          </w:tcPr>
          <w:p w:rsidR="00C35CEB" w:rsidRPr="00614CC6" w:rsidRDefault="00C35CEB" w:rsidP="00E530B5">
            <w:pPr>
              <w:spacing w:before="30" w:after="140"/>
              <w:jc w:val="left"/>
              <w:rPr>
                <w:sz w:val="20"/>
                <w:lang w:val="en-US"/>
              </w:rPr>
            </w:pPr>
            <w:r w:rsidRPr="00614CC6">
              <w:rPr>
                <w:sz w:val="20"/>
              </w:rPr>
              <w:t>Vocabulaire et sujets associés</w:t>
            </w:r>
          </w:p>
        </w:tc>
      </w:tr>
    </w:tbl>
    <w:p w:rsidR="00C35CEB" w:rsidRPr="00036EE3" w:rsidRDefault="00C35CEB" w:rsidP="00C35CEB">
      <w:pPr>
        <w:spacing w:before="0"/>
        <w:jc w:val="center"/>
        <w:rPr>
          <w:sz w:val="20"/>
          <w:lang w:val="en-US"/>
        </w:rPr>
      </w:pPr>
    </w:p>
    <w:p w:rsidR="00C35CEB" w:rsidRPr="00036EE3" w:rsidRDefault="00C35CEB" w:rsidP="00C35CE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35CEB" w:rsidRPr="00756B4D" w:rsidTr="00E530B5">
        <w:tc>
          <w:tcPr>
            <w:tcW w:w="9360" w:type="dxa"/>
          </w:tcPr>
          <w:p w:rsidR="00C35CEB" w:rsidRPr="00756B4D" w:rsidRDefault="00C35CEB" w:rsidP="00E530B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35CEB" w:rsidRPr="00756B4D" w:rsidRDefault="00C35CEB" w:rsidP="00C35CEB">
      <w:pPr>
        <w:spacing w:before="0"/>
        <w:jc w:val="center"/>
        <w:rPr>
          <w:sz w:val="22"/>
        </w:rPr>
      </w:pPr>
    </w:p>
    <w:p w:rsidR="00C35CEB" w:rsidRPr="00614CC6" w:rsidRDefault="00C35CEB" w:rsidP="00C35CEB">
      <w:pPr>
        <w:spacing w:before="100"/>
        <w:jc w:val="right"/>
        <w:rPr>
          <w:i/>
          <w:iCs/>
          <w:sz w:val="20"/>
        </w:rPr>
      </w:pPr>
      <w:r w:rsidRPr="00614CC6">
        <w:rPr>
          <w:i/>
          <w:iCs/>
          <w:sz w:val="20"/>
        </w:rPr>
        <w:t>Publication électronique</w:t>
      </w:r>
    </w:p>
    <w:p w:rsidR="00C35CEB" w:rsidRPr="00614CC6" w:rsidRDefault="00C35CEB" w:rsidP="00C35CEB">
      <w:pPr>
        <w:spacing w:before="0"/>
        <w:jc w:val="right"/>
        <w:rPr>
          <w:sz w:val="20"/>
        </w:rPr>
      </w:pPr>
      <w:r w:rsidRPr="00614CC6">
        <w:rPr>
          <w:sz w:val="20"/>
        </w:rPr>
        <w:t>Genève, 20</w:t>
      </w:r>
      <w:r>
        <w:rPr>
          <w:sz w:val="20"/>
        </w:rPr>
        <w:t>1</w:t>
      </w:r>
      <w:r w:rsidR="00C25830">
        <w:rPr>
          <w:sz w:val="20"/>
        </w:rPr>
        <w:t>5</w:t>
      </w:r>
    </w:p>
    <w:p w:rsidR="00C35CEB" w:rsidRPr="00614CC6" w:rsidRDefault="00C35CEB" w:rsidP="00C25830">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C25830">
        <w:rPr>
          <w:sz w:val="20"/>
        </w:rPr>
        <w:t>5</w:t>
      </w:r>
    </w:p>
    <w:p w:rsidR="00C35CEB" w:rsidRPr="00614CC6" w:rsidRDefault="00C35CEB" w:rsidP="00C35CE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35CEB" w:rsidRPr="00614CC6" w:rsidRDefault="00C35CEB" w:rsidP="00C35CEB">
      <w:pPr>
        <w:spacing w:before="160"/>
        <w:rPr>
          <w:i/>
          <w:sz w:val="20"/>
          <w:highlight w:val="yellow"/>
        </w:rPr>
        <w:sectPr w:rsidR="00C35CEB"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C35CEB" w:rsidRDefault="00C35CEB" w:rsidP="00C35CEB">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Pr>
          <w:rStyle w:val="href"/>
        </w:rPr>
        <w:t>1579-2</w:t>
      </w:r>
    </w:p>
    <w:p w:rsidR="00A6617B" w:rsidRPr="00C35CEB" w:rsidRDefault="00C35CEB" w:rsidP="00C25830">
      <w:pPr>
        <w:pStyle w:val="Rectitle"/>
        <w:rPr>
          <w:lang w:val="fr-CH"/>
        </w:rPr>
      </w:pPr>
      <w:r w:rsidRPr="00C35CEB">
        <w:rPr>
          <w:lang w:val="fr-CH"/>
        </w:rPr>
        <w:t>Circulation mondiale des terminaux de Terre des IMT</w:t>
      </w:r>
    </w:p>
    <w:p w:rsidR="00C35CEB" w:rsidRPr="00225B32" w:rsidRDefault="00C35CEB" w:rsidP="00C35CEB">
      <w:pPr>
        <w:pStyle w:val="Questionref"/>
      </w:pPr>
      <w:r w:rsidRPr="00225B32">
        <w:rPr>
          <w:lang w:val="fr-CH"/>
        </w:rPr>
        <w:t>(Question UIT-R 229</w:t>
      </w:r>
      <w:r w:rsidRPr="00225B32">
        <w:rPr>
          <w:lang w:val="fr-CH" w:eastAsia="ja-JP"/>
        </w:rPr>
        <w:t>-3/5</w:t>
      </w:r>
      <w:r w:rsidRPr="00225B32">
        <w:rPr>
          <w:lang w:val="fr-CH"/>
        </w:rPr>
        <w:t>)</w:t>
      </w:r>
    </w:p>
    <w:p w:rsidR="00C35CEB" w:rsidRPr="00225B32" w:rsidRDefault="00C35CEB" w:rsidP="00C35CEB">
      <w:pPr>
        <w:jc w:val="right"/>
      </w:pPr>
      <w:r w:rsidRPr="00225B32">
        <w:rPr>
          <w:lang w:val="fr-CH"/>
        </w:rPr>
        <w:t>(2002-2012-2015)</w:t>
      </w:r>
    </w:p>
    <w:p w:rsidR="00C35CEB" w:rsidRPr="00225B32" w:rsidRDefault="00C35CEB" w:rsidP="00C25830">
      <w:pPr>
        <w:pStyle w:val="HeadingSum"/>
      </w:pPr>
      <w:r w:rsidRPr="00225B32">
        <w:t>Domaine d'application</w:t>
      </w:r>
    </w:p>
    <w:p w:rsidR="00C35CEB" w:rsidRPr="00225B32" w:rsidRDefault="00C35CEB" w:rsidP="00C25830">
      <w:pPr>
        <w:pStyle w:val="Summary"/>
      </w:pPr>
      <w:r w:rsidRPr="00225B32">
        <w:t>Il est reconnu que l'Organisation mondiale des douanes (OMD) a élaboré la Convention d'Istanbul et la Convention douanière relative à l'importation temporaire de matériel professionnel, qui s'appliquent aux terminaux IMT. La présente Recommandation a pour objet d'établir les bases techniques de la circulation mondiale des terminaux de Terre des IMT et de faire en sorte que ces terminaux ne causent pas de brouillages préjudiciables dans les pays visités:</w:t>
      </w:r>
    </w:p>
    <w:p w:rsidR="00C35CEB" w:rsidRPr="00225B32" w:rsidRDefault="00C35CEB" w:rsidP="00C25830">
      <w:pPr>
        <w:pStyle w:val="Summary"/>
        <w:ind w:left="794" w:hanging="794"/>
      </w:pPr>
      <w:r w:rsidRPr="00225B32">
        <w:t>–</w:t>
      </w:r>
      <w:r w:rsidRPr="00225B32">
        <w:tab/>
        <w:t>en respectant les spécifications des interfaces radioélectriques de Terre des IMT-2000 et des IMT évoluées; et</w:t>
      </w:r>
    </w:p>
    <w:p w:rsidR="00C35CEB" w:rsidRPr="00225B32" w:rsidRDefault="00C35CEB" w:rsidP="00C25830">
      <w:pPr>
        <w:pStyle w:val="Summary"/>
        <w:ind w:left="794" w:hanging="794"/>
      </w:pPr>
      <w:r w:rsidRPr="00225B32">
        <w:t>–</w:t>
      </w:r>
      <w:r w:rsidRPr="00225B32">
        <w:tab/>
        <w:t>en respectant les limites applicables aux rayonnements non désirés pour les interfaces radioélectriques de Terre des IMT-2000 et des IMT évoluées.</w:t>
      </w:r>
    </w:p>
    <w:p w:rsidR="00C35CEB" w:rsidRPr="00225B32" w:rsidRDefault="00C35CEB" w:rsidP="00C35CEB">
      <w:pPr>
        <w:pStyle w:val="headingb0"/>
        <w:rPr>
          <w:lang w:val="fr-CH" w:eastAsia="ja-JP"/>
        </w:rPr>
      </w:pPr>
      <w:r w:rsidRPr="00225B32">
        <w:rPr>
          <w:lang w:val="fr-CH"/>
        </w:rPr>
        <w:t>Mots-clés</w:t>
      </w:r>
    </w:p>
    <w:p w:rsidR="00C35CEB" w:rsidRPr="00225B32" w:rsidRDefault="00C35CEB" w:rsidP="00C35CEB">
      <w:pPr>
        <w:rPr>
          <w:lang w:val="fr-CH" w:eastAsia="ja-JP"/>
        </w:rPr>
      </w:pPr>
      <w:r w:rsidRPr="00225B32">
        <w:rPr>
          <w:lang w:val="fr-CH" w:eastAsia="ja-JP"/>
        </w:rPr>
        <w:t>IMT-2000, IMT évoluées, terminaux de Terre.</w:t>
      </w:r>
    </w:p>
    <w:p w:rsidR="00C35CEB" w:rsidRPr="00225B32" w:rsidRDefault="00C35CEB" w:rsidP="00C35CEB">
      <w:pPr>
        <w:pStyle w:val="Normalaftertitle"/>
        <w:rPr>
          <w:rFonts w:eastAsia="MS Mincho"/>
          <w:lang w:val="fr-CH" w:eastAsia="ja-JP"/>
        </w:rPr>
      </w:pPr>
      <w:r w:rsidRPr="00225B32">
        <w:rPr>
          <w:lang w:val="fr-CH"/>
        </w:rPr>
        <w:t>L'Assemblée des radiocommunications de l'UIT,</w:t>
      </w:r>
    </w:p>
    <w:p w:rsidR="00C35CEB" w:rsidRPr="00225B32" w:rsidRDefault="00C35CEB" w:rsidP="00C35CEB">
      <w:pPr>
        <w:pStyle w:val="Call"/>
        <w:rPr>
          <w:lang w:val="fr-CH"/>
        </w:rPr>
      </w:pPr>
      <w:r w:rsidRPr="00225B32">
        <w:rPr>
          <w:lang w:val="fr-CH"/>
        </w:rPr>
        <w:t>considérant</w:t>
      </w:r>
    </w:p>
    <w:p w:rsidR="00C35CEB" w:rsidRPr="00225B32" w:rsidRDefault="00C35CEB" w:rsidP="00C35CEB">
      <w:pPr>
        <w:rPr>
          <w:lang w:val="fr-CH"/>
        </w:rPr>
      </w:pPr>
      <w:r w:rsidRPr="00225B32">
        <w:rPr>
          <w:i/>
          <w:iCs/>
          <w:lang w:val="fr-CH"/>
        </w:rPr>
        <w:t>a)</w:t>
      </w:r>
      <w:r w:rsidRPr="00225B32">
        <w:rPr>
          <w:lang w:val="fr-CH"/>
        </w:rPr>
        <w:tab/>
        <w:t xml:space="preserve">que le terme </w:t>
      </w:r>
      <w:r>
        <w:rPr>
          <w:lang w:val="fr-CH"/>
        </w:rPr>
        <w:t>«</w:t>
      </w:r>
      <w:r w:rsidRPr="00225B32">
        <w:rPr>
          <w:lang w:val="fr-CH"/>
        </w:rPr>
        <w:t>télécommunications mobiles internationales</w:t>
      </w:r>
      <w:r>
        <w:rPr>
          <w:lang w:val="fr-CH"/>
        </w:rPr>
        <w:t>»</w:t>
      </w:r>
      <w:r w:rsidRPr="00225B32">
        <w:rPr>
          <w:lang w:val="fr-CH"/>
        </w:rPr>
        <w:t xml:space="preserve"> (IMT) englobe à la fois les</w:t>
      </w:r>
      <w:r>
        <w:rPr>
          <w:lang w:val="fr-CH"/>
        </w:rPr>
        <w:t> </w:t>
      </w:r>
      <w:r w:rsidRPr="00225B32">
        <w:rPr>
          <w:lang w:val="fr-CH"/>
        </w:rPr>
        <w:t>IMT-2000 et les IMT évoluées, comme indiqué dans la Résolution UIT-R 56;</w:t>
      </w:r>
    </w:p>
    <w:p w:rsidR="00C35CEB" w:rsidRPr="00225B32" w:rsidRDefault="00C35CEB" w:rsidP="00C35CEB">
      <w:pPr>
        <w:rPr>
          <w:lang w:val="fr-CH"/>
        </w:rPr>
      </w:pPr>
      <w:r w:rsidRPr="00225B32">
        <w:rPr>
          <w:i/>
          <w:iCs/>
          <w:lang w:val="fr-CH"/>
        </w:rPr>
        <w:t>abis)</w:t>
      </w:r>
      <w:r w:rsidRPr="00225B32">
        <w:rPr>
          <w:i/>
          <w:iCs/>
          <w:lang w:val="fr-CH"/>
        </w:rPr>
        <w:tab/>
      </w:r>
      <w:r w:rsidRPr="00225B32">
        <w:t>que la circulation mondiale des terminaux correspond, pour les utilisateurs, au droit d'emporter leurs terminaux personnels lors de déplacements dans d'autres pays et à la capacité de les utiliser lorsque cela est possible;</w:t>
      </w:r>
    </w:p>
    <w:p w:rsidR="00C35CEB" w:rsidRPr="00225B32" w:rsidRDefault="00C35CEB" w:rsidP="00C35CEB">
      <w:r w:rsidRPr="00BC663A">
        <w:rPr>
          <w:i/>
          <w:iCs/>
        </w:rPr>
        <w:t>b)</w:t>
      </w:r>
      <w:r w:rsidRPr="00225B32">
        <w:tab/>
        <w:t>que les communications mobiles continuent de se développer très rapidement parallèlement à la croissance exponentielle de l'Internet, conférant des avantages sociaux et économiques à tous les pays et à toutes les populations du monde en offrant la possibilité de disposer de télécommunications évoluées en tout point du globe;</w:t>
      </w:r>
    </w:p>
    <w:p w:rsidR="00C35CEB" w:rsidRPr="00225B32" w:rsidRDefault="00C35CEB" w:rsidP="00C35CEB">
      <w:r w:rsidRPr="00225B32">
        <w:rPr>
          <w:i/>
          <w:iCs/>
        </w:rPr>
        <w:t>c)</w:t>
      </w:r>
      <w:r w:rsidRPr="00225B32">
        <w:tab/>
        <w:t>que l'UIT, avec les autorités de réglementation nationales</w:t>
      </w:r>
      <w:r>
        <w:t xml:space="preserve"> et le secteur privé, a déployé </w:t>
      </w:r>
      <w:r w:rsidRPr="00225B32">
        <w:t>des efforts considérables en vue d'introduire des systèmes de communication large bande mobiles IMT;</w:t>
      </w:r>
    </w:p>
    <w:p w:rsidR="00C35CEB" w:rsidRPr="00225B32" w:rsidRDefault="00C35CEB" w:rsidP="00C35CEB">
      <w:r w:rsidRPr="00225B32">
        <w:rPr>
          <w:i/>
          <w:iCs/>
        </w:rPr>
        <w:t>d)</w:t>
      </w:r>
      <w:r w:rsidRPr="00225B32">
        <w:tab/>
        <w:t>que, pour être assurée dans de bonnes conditions, la mise en place de ces systèmes doit avoir notamment pour effet d'offrir aux utilisateurs la possibilité d'emporter leurs terminaux avec eux dans leurs déplacements d'un pays à l'autre et d'utiliser ces terminaux, lorsque l'opérateur du réseau considéré l'accepte et assure la connexion nécessaire, dans des réseaux IMT autres que les réseaux de leurs pays d'origine, ou simplement de les emporter avec eux même s'ils n'ont pas la possibilité de les utiliser;</w:t>
      </w:r>
    </w:p>
    <w:p w:rsidR="00C35CEB" w:rsidRPr="00225B32" w:rsidRDefault="00C35CEB" w:rsidP="00C35CEB">
      <w:r w:rsidRPr="00225B32">
        <w:rPr>
          <w:i/>
          <w:iCs/>
        </w:rPr>
        <w:t>e)</w:t>
      </w:r>
      <w:r w:rsidRPr="00225B32">
        <w:tab/>
        <w:t>qu'une telle circulation mondiale se traduira par des avantages évidents pour les utilisateurs si ces derniers ont la possibilité d'utiliser leurs terminaux dans tout pays où le service est disponible;</w:t>
      </w:r>
    </w:p>
    <w:p w:rsidR="00C35CEB" w:rsidRPr="00225B32" w:rsidRDefault="00C35CEB" w:rsidP="00C35CEB">
      <w:r w:rsidRPr="00225B32">
        <w:rPr>
          <w:i/>
          <w:iCs/>
        </w:rPr>
        <w:t>f)</w:t>
      </w:r>
      <w:r w:rsidRPr="00225B32">
        <w:tab/>
        <w:t>qu'une telle circulation mondiale sera avantageuse pour les opérateurs, dont les recettes augmenteront en conséquence;</w:t>
      </w:r>
    </w:p>
    <w:p w:rsidR="00C35CEB" w:rsidRPr="00225B32" w:rsidRDefault="00C35CEB" w:rsidP="00C35CEB">
      <w:r w:rsidRPr="00225B32">
        <w:rPr>
          <w:i/>
          <w:iCs/>
        </w:rPr>
        <w:t>g)</w:t>
      </w:r>
      <w:r w:rsidRPr="00225B32">
        <w:tab/>
        <w:t>qu'une telle circulation mondiale sera par ailleurs intéressante pour les administrations nationales, puisqu'elle se traduira, sur le plan économique, par une rentabilisation optimale des systèmes IMT et permettra aux services multimédias mobiles de contribuer à la croissance;</w:t>
      </w:r>
    </w:p>
    <w:p w:rsidR="00C35CEB" w:rsidRPr="00225B32" w:rsidRDefault="00C35CEB" w:rsidP="00C35CEB">
      <w:r w:rsidRPr="00225B32">
        <w:rPr>
          <w:i/>
          <w:iCs/>
        </w:rPr>
        <w:lastRenderedPageBreak/>
        <w:t>h)</w:t>
      </w:r>
      <w:r w:rsidRPr="00225B32">
        <w:tab/>
        <w:t>que les terminaux IMT peuvent offrir divers «modes», ou différentes interfaces radioélectriques, dont certains ne seront pas nécessairement pris en charge dans tous les pays;</w:t>
      </w:r>
    </w:p>
    <w:p w:rsidR="00C35CEB" w:rsidRPr="00225B32" w:rsidRDefault="00C35CEB" w:rsidP="00C35CEB">
      <w:r w:rsidRPr="00225B32">
        <w:rPr>
          <w:i/>
          <w:iCs/>
        </w:rPr>
        <w:t>i)</w:t>
      </w:r>
      <w:r w:rsidRPr="00225B32">
        <w:tab/>
        <w:t>que certains terminaux multimodes pourront offrir des modes non prévus dans les systèmes IMT;</w:t>
      </w:r>
    </w:p>
    <w:p w:rsidR="00C35CEB" w:rsidRPr="00225B32" w:rsidRDefault="00C35CEB" w:rsidP="00C35CEB">
      <w:pPr>
        <w:rPr>
          <w:lang w:val="fr-CH"/>
        </w:rPr>
      </w:pPr>
      <w:r w:rsidRPr="00225B32">
        <w:rPr>
          <w:i/>
          <w:iCs/>
          <w:lang w:val="fr-CH"/>
        </w:rPr>
        <w:t>j)</w:t>
      </w:r>
      <w:r w:rsidRPr="00225B32">
        <w:rPr>
          <w:lang w:val="fr-CH"/>
        </w:rPr>
        <w:tab/>
        <w:t>que les utilisateurs souhaiteront, et pourront avoir besoin d'emporter leurs terminaux avec eux même lorsqu'ils ne peuvent pas les utiliser;</w:t>
      </w:r>
    </w:p>
    <w:p w:rsidR="00C35CEB" w:rsidRPr="00225B32" w:rsidRDefault="00C35CEB" w:rsidP="00C35CEB">
      <w:pPr>
        <w:rPr>
          <w:lang w:val="fr-CH"/>
        </w:rPr>
      </w:pPr>
      <w:r w:rsidRPr="00225B32">
        <w:rPr>
          <w:i/>
          <w:iCs/>
          <w:lang w:val="fr-CH"/>
        </w:rPr>
        <w:t>k)</w:t>
      </w:r>
      <w:r w:rsidRPr="00225B32">
        <w:rPr>
          <w:lang w:val="fr-CH"/>
        </w:rPr>
        <w:tab/>
        <w:t>que l'une des principales conditions à respecter dans le cas d'une circulation mondiale est que les terminaux n'occasionnent aucun brouillage préjudiciable dans les pays où ils sont utilisés;</w:t>
      </w:r>
    </w:p>
    <w:p w:rsidR="00C35CEB" w:rsidRPr="00225B32" w:rsidRDefault="00C35CEB" w:rsidP="00C35CEB">
      <w:pPr>
        <w:rPr>
          <w:lang w:val="fr-CH"/>
        </w:rPr>
      </w:pPr>
      <w:r w:rsidRPr="00225B32">
        <w:rPr>
          <w:i/>
          <w:iCs/>
          <w:lang w:val="fr-CH"/>
        </w:rPr>
        <w:t>l)</w:t>
      </w:r>
      <w:r w:rsidRPr="00225B32">
        <w:rPr>
          <w:lang w:val="fr-CH"/>
        </w:rPr>
        <w:tab/>
        <w:t>que l'un des moyens permettant de respecter la condition précitée consiste à faire en sorte que le terminal n'émette pas avant d'avoir reçu un signal d'un réseau acceptable avec lequel il peut communiquer (principe de réception avant émission), mais qu'il peut exister d'autres moyens techniques de respecter cette condition fondamentale;</w:t>
      </w:r>
    </w:p>
    <w:p w:rsidR="00C35CEB" w:rsidRPr="00225B32" w:rsidRDefault="00C35CEB" w:rsidP="00C35CEB">
      <w:pPr>
        <w:rPr>
          <w:lang w:val="fr-CH"/>
        </w:rPr>
      </w:pPr>
      <w:r w:rsidRPr="00225B32">
        <w:rPr>
          <w:i/>
          <w:iCs/>
          <w:lang w:val="fr-CH"/>
        </w:rPr>
        <w:t>m)</w:t>
      </w:r>
      <w:r w:rsidRPr="00225B32">
        <w:rPr>
          <w:lang w:val="fr-CH"/>
        </w:rPr>
        <w:tab/>
        <w:t>que, dans la majorité des pays, la circulation mondiale ne constitue pas actuellement un problème pour les terminaux de systèmes mondiaux;</w:t>
      </w:r>
    </w:p>
    <w:p w:rsidR="00C35CEB" w:rsidRPr="00225B32" w:rsidRDefault="00C35CEB" w:rsidP="00C35CEB">
      <w:pPr>
        <w:rPr>
          <w:lang w:val="fr-CH"/>
        </w:rPr>
      </w:pPr>
      <w:r w:rsidRPr="00225B32">
        <w:rPr>
          <w:i/>
          <w:iCs/>
          <w:lang w:val="fr-CH"/>
        </w:rPr>
        <w:t>n)</w:t>
      </w:r>
      <w:r w:rsidRPr="00225B32">
        <w:rPr>
          <w:lang w:val="fr-CH"/>
        </w:rPr>
        <w:tab/>
        <w:t>que les techniques IMT offrent aux opérateurs de réseau la possibilité d'identifier le type d'équipement terminal raccordé à leurs réseaux;</w:t>
      </w:r>
    </w:p>
    <w:p w:rsidR="00C35CEB" w:rsidRPr="00225B32" w:rsidRDefault="00C35CEB" w:rsidP="00C35CEB">
      <w:pPr>
        <w:rPr>
          <w:lang w:val="fr-CH"/>
        </w:rPr>
      </w:pPr>
      <w:r w:rsidRPr="00225B32">
        <w:rPr>
          <w:i/>
          <w:iCs/>
          <w:lang w:val="fr-CH"/>
        </w:rPr>
        <w:t>o)</w:t>
      </w:r>
      <w:r w:rsidRPr="00225B32">
        <w:rPr>
          <w:lang w:val="fr-CH"/>
        </w:rPr>
        <w:tab/>
        <w:t>que les terminaux IMT actuels et/ou futurs sont dotés ou seront dotés d'un dispositif, par exemple de communication électronique de l'identité de l'équipement, permettant de répondre aux impératifs techniques et commerciaux et donnant la possibilité de conférer à ces équipements des identités uniques;</w:t>
      </w:r>
    </w:p>
    <w:p w:rsidR="00C35CEB" w:rsidRPr="00225B32" w:rsidRDefault="00C35CEB" w:rsidP="00C35CEB">
      <w:pPr>
        <w:rPr>
          <w:lang w:val="fr-CH"/>
        </w:rPr>
      </w:pPr>
      <w:r w:rsidRPr="00225B32">
        <w:rPr>
          <w:i/>
          <w:iCs/>
          <w:lang w:val="fr-CH"/>
        </w:rPr>
        <w:t>p)</w:t>
      </w:r>
      <w:r w:rsidRPr="00225B32">
        <w:rPr>
          <w:lang w:val="fr-CH"/>
        </w:rPr>
        <w:tab/>
        <w:t>que ce type d'information d'identification électronique des équipements est d'ores et déjà accessible, si nécessaire, aux opérateurs de réseau et aux administrations;</w:t>
      </w:r>
    </w:p>
    <w:p w:rsidR="00C35CEB" w:rsidRPr="00225B32" w:rsidRDefault="00C35CEB" w:rsidP="00C35CEB">
      <w:pPr>
        <w:rPr>
          <w:lang w:val="fr-CH"/>
        </w:rPr>
      </w:pPr>
      <w:r w:rsidRPr="00225B32">
        <w:rPr>
          <w:i/>
          <w:iCs/>
          <w:lang w:val="fr-CH"/>
        </w:rPr>
        <w:t>q)</w:t>
      </w:r>
      <w:r w:rsidRPr="00225B32">
        <w:rPr>
          <w:lang w:val="fr-CH"/>
        </w:rPr>
        <w:tab/>
        <w:t>que, pour la circulation mondiale, il n'est prévu d'apposer sur les équipements aucun marquage supplémentaire qui compléterait ces informations d'identification électroniques,</w:t>
      </w:r>
    </w:p>
    <w:p w:rsidR="00C35CEB" w:rsidRPr="00225B32" w:rsidRDefault="00C35CEB" w:rsidP="00C35CEB">
      <w:pPr>
        <w:pStyle w:val="Call"/>
        <w:rPr>
          <w:lang w:val="fr-CH"/>
        </w:rPr>
      </w:pPr>
      <w:r w:rsidRPr="00225B32">
        <w:rPr>
          <w:lang w:val="fr-CH"/>
        </w:rPr>
        <w:t>considérant en outre</w:t>
      </w:r>
    </w:p>
    <w:p w:rsidR="00C35CEB" w:rsidRPr="00225B32" w:rsidRDefault="00C35CEB" w:rsidP="00C35CEB">
      <w:pPr>
        <w:rPr>
          <w:lang w:val="fr-CH"/>
        </w:rPr>
      </w:pPr>
      <w:r w:rsidRPr="00225B32">
        <w:rPr>
          <w:i/>
          <w:iCs/>
          <w:lang w:val="fr-CH"/>
        </w:rPr>
        <w:t>a)</w:t>
      </w:r>
      <w:r w:rsidRPr="00225B32">
        <w:rPr>
          <w:lang w:val="fr-CH"/>
        </w:rPr>
        <w:tab/>
        <w:t>que l'utilisation personnelle des terminaux IMT dans un pays visité ne doit être subordonnée ni à la détention d'une licence individuelle ni à une quelconque procédure de réglementation spécifique;</w:t>
      </w:r>
    </w:p>
    <w:p w:rsidR="00C35CEB" w:rsidRPr="00225B32" w:rsidRDefault="00C35CEB" w:rsidP="00C35CEB">
      <w:pPr>
        <w:rPr>
          <w:lang w:val="fr-CH"/>
        </w:rPr>
      </w:pPr>
      <w:r w:rsidRPr="00225B32">
        <w:rPr>
          <w:i/>
          <w:iCs/>
          <w:lang w:val="fr-CH"/>
        </w:rPr>
        <w:t>b)</w:t>
      </w:r>
      <w:r w:rsidRPr="00225B32">
        <w:rPr>
          <w:lang w:val="fr-CH"/>
        </w:rPr>
        <w:tab/>
        <w:t>qu'il convient que les administrations nationales consultent les autorités appropriées, notamment douanières, pour exempter les terminaux IMT de tous droits de douane ou droits officiels dans les cas d'utilisation personnelle par des visiteurs;</w:t>
      </w:r>
    </w:p>
    <w:p w:rsidR="00C35CEB" w:rsidRPr="00225B32" w:rsidRDefault="00C35CEB" w:rsidP="00C35CEB">
      <w:pPr>
        <w:rPr>
          <w:lang w:val="fr-CH"/>
        </w:rPr>
      </w:pPr>
      <w:r w:rsidRPr="00225B32">
        <w:rPr>
          <w:i/>
          <w:iCs/>
          <w:lang w:val="fr-CH"/>
        </w:rPr>
        <w:t>c)</w:t>
      </w:r>
      <w:r w:rsidRPr="00225B32">
        <w:rPr>
          <w:lang w:val="fr-CH"/>
        </w:rPr>
        <w:tab/>
        <w:t>que les autorités nationales et régionales devraient par ailleurs procéder aux études et, en fonction des besoins, aux activités de coopération nécessaires pour supprimer tout obstacle entravant la circulation mondiale des terminaux IMT dans toutes les parties du monde,</w:t>
      </w:r>
    </w:p>
    <w:p w:rsidR="00C35CEB" w:rsidRPr="00225B32" w:rsidRDefault="00C35CEB" w:rsidP="00C35CEB">
      <w:pPr>
        <w:pStyle w:val="Call"/>
        <w:rPr>
          <w:lang w:val="fr-CH"/>
        </w:rPr>
      </w:pPr>
      <w:r w:rsidRPr="00225B32">
        <w:rPr>
          <w:lang w:val="fr-CH"/>
        </w:rPr>
        <w:t>reconnaissant</w:t>
      </w:r>
    </w:p>
    <w:p w:rsidR="00C35CEB" w:rsidRPr="00225B32" w:rsidRDefault="00C35CEB" w:rsidP="00C35CEB">
      <w:pPr>
        <w:rPr>
          <w:lang w:val="fr-CH"/>
        </w:rPr>
      </w:pPr>
      <w:r w:rsidRPr="00225B32">
        <w:rPr>
          <w:i/>
          <w:iCs/>
          <w:lang w:val="fr-CH"/>
        </w:rPr>
        <w:t>a)</w:t>
      </w:r>
      <w:r w:rsidRPr="00225B32">
        <w:rPr>
          <w:lang w:val="fr-CH"/>
        </w:rPr>
        <w:tab/>
        <w:t>que l'Organisation mondiale des douanes (OMD) a élaboré deux accords internationaux applicables aux terminaux IMT:</w:t>
      </w:r>
    </w:p>
    <w:p w:rsidR="00C35CEB" w:rsidRPr="00225B32" w:rsidRDefault="00C35CEB" w:rsidP="00C35CEB">
      <w:pPr>
        <w:pStyle w:val="enumlev1"/>
        <w:rPr>
          <w:lang w:val="fr-CH"/>
        </w:rPr>
      </w:pPr>
      <w:r w:rsidRPr="00225B32">
        <w:rPr>
          <w:lang w:val="fr-CH"/>
        </w:rPr>
        <w:sym w:font="Symbol" w:char="F02D"/>
      </w:r>
      <w:r w:rsidRPr="00225B32">
        <w:rPr>
          <w:lang w:val="fr-CH"/>
        </w:rPr>
        <w:tab/>
        <w:t>la Convention d'Istanbul, aux termes de laquelle les pays sont tenus de supprimer les droits de douane sur les effets personnels et les équipements professionnels des visiteurs;</w:t>
      </w:r>
    </w:p>
    <w:p w:rsidR="00C35CEB" w:rsidRPr="00225B32" w:rsidRDefault="00C35CEB" w:rsidP="00C35CEB">
      <w:pPr>
        <w:pStyle w:val="enumlev1"/>
        <w:rPr>
          <w:lang w:val="fr-CH"/>
        </w:rPr>
      </w:pPr>
      <w:r w:rsidRPr="00225B32">
        <w:rPr>
          <w:lang w:val="fr-CH"/>
        </w:rPr>
        <w:sym w:font="Symbol" w:char="F02D"/>
      </w:r>
      <w:r w:rsidRPr="00225B32">
        <w:rPr>
          <w:lang w:val="fr-CH"/>
        </w:rPr>
        <w:tab/>
        <w:t>la Convention douanière relative à l'importation temporaire de matériel professionnel, qui exempte de droits de douane tous les équipements à l'usage professionnel des journalistes, médecins, travailleurs de l'humanitaire, hommes d'affaires, etc.;</w:t>
      </w:r>
    </w:p>
    <w:p w:rsidR="00C35CEB" w:rsidRPr="00225B32" w:rsidRDefault="00C35CEB" w:rsidP="00C35CEB">
      <w:pPr>
        <w:rPr>
          <w:lang w:val="fr-CH"/>
        </w:rPr>
      </w:pPr>
      <w:r w:rsidRPr="00225B32">
        <w:rPr>
          <w:i/>
          <w:iCs/>
          <w:lang w:val="fr-CH"/>
        </w:rPr>
        <w:lastRenderedPageBreak/>
        <w:t>b)</w:t>
      </w:r>
      <w:r w:rsidRPr="00225B32">
        <w:rPr>
          <w:lang w:val="fr-CH"/>
        </w:rPr>
        <w:tab/>
        <w:t>que l'Accord sur les technologies de l'information (ATI) de l'Organisation mondiale du commerce (OMC) a pour objet d'éliminer les droits d'importation sur tous les équipements techniques informationnels et notamment sur les terminaux radioélectriques;</w:t>
      </w:r>
    </w:p>
    <w:p w:rsidR="00C35CEB" w:rsidRPr="00225B32" w:rsidRDefault="00C35CEB" w:rsidP="00C35CEB">
      <w:pPr>
        <w:rPr>
          <w:lang w:val="fr-CH"/>
        </w:rPr>
      </w:pPr>
      <w:r w:rsidRPr="00225B32">
        <w:rPr>
          <w:i/>
          <w:iCs/>
          <w:lang w:val="fr-CH"/>
        </w:rPr>
        <w:t>c)</w:t>
      </w:r>
      <w:r w:rsidRPr="00225B32">
        <w:rPr>
          <w:lang w:val="fr-CH"/>
        </w:rPr>
        <w:tab/>
        <w:t>que la circulation et l'utilisation mondiales des terminaux doivent être conformes au droit et à la réglementation des pays visités, d'où la nécessité d'une collaboration internationale entre les instances de réglementation;</w:t>
      </w:r>
    </w:p>
    <w:p w:rsidR="00C35CEB" w:rsidRPr="00225B32" w:rsidRDefault="00C35CEB" w:rsidP="00C35CEB">
      <w:pPr>
        <w:rPr>
          <w:lang w:val="fr-CH"/>
        </w:rPr>
      </w:pPr>
      <w:r w:rsidRPr="00225B32">
        <w:rPr>
          <w:i/>
          <w:iCs/>
          <w:lang w:val="fr-CH"/>
        </w:rPr>
        <w:t>d)</w:t>
      </w:r>
      <w:r w:rsidRPr="00225B32">
        <w:rPr>
          <w:lang w:val="fr-CH"/>
        </w:rPr>
        <w:tab/>
        <w:t>que la circulation mondiale dépendra également de moyens, non visés dans la présente Recommandation, pouvant être adoptés pour assurer l'intégrité et l'interopérabilité des réseaux et la qualité du service pour l'utilisateur final;</w:t>
      </w:r>
    </w:p>
    <w:p w:rsidR="00C35CEB" w:rsidRPr="00225B32" w:rsidRDefault="00C35CEB" w:rsidP="00C35CEB">
      <w:pPr>
        <w:rPr>
          <w:lang w:val="fr-CH"/>
        </w:rPr>
      </w:pPr>
      <w:r w:rsidRPr="00225B32">
        <w:rPr>
          <w:i/>
          <w:iCs/>
          <w:lang w:val="fr-CH"/>
        </w:rPr>
        <w:t>e)</w:t>
      </w:r>
      <w:r w:rsidRPr="00225B32">
        <w:rPr>
          <w:lang w:val="fr-CH"/>
        </w:rPr>
        <w:tab/>
        <w:t>que les dispositions administratives prises pour la circulation mondiale risquent d'alourdir la réglementation, ce qu'il conviendra d'éviter soigneusement lorsqu'il s'agira de mettre au point les arrangements relatifs à la circulation, qui doivent en tout état de cause avoir pour objet de simplifier la réglementation existante et non pas de la rendre plus complexe;</w:t>
      </w:r>
    </w:p>
    <w:p w:rsidR="00C35CEB" w:rsidRPr="00225B32" w:rsidRDefault="00C35CEB" w:rsidP="00C35CEB">
      <w:pPr>
        <w:rPr>
          <w:lang w:val="fr-CH"/>
        </w:rPr>
      </w:pPr>
      <w:r w:rsidRPr="00225B32">
        <w:rPr>
          <w:i/>
          <w:iCs/>
          <w:lang w:val="fr-CH"/>
        </w:rPr>
        <w:t>f)</w:t>
      </w:r>
      <w:r w:rsidRPr="00225B32">
        <w:rPr>
          <w:lang w:val="fr-CH"/>
        </w:rPr>
        <w:tab/>
        <w:t>que la procédure de commercialisation des équipements pourra comporter un marquage, sur une base nationale ou régionale,</w:t>
      </w:r>
    </w:p>
    <w:p w:rsidR="00C35CEB" w:rsidRPr="00225B32" w:rsidRDefault="00C35CEB" w:rsidP="00C35CEB">
      <w:pPr>
        <w:pStyle w:val="Call"/>
        <w:rPr>
          <w:lang w:val="fr-CH"/>
        </w:rPr>
      </w:pPr>
      <w:r w:rsidRPr="00225B32">
        <w:rPr>
          <w:lang w:val="fr-CH"/>
        </w:rPr>
        <w:t>recommande</w:t>
      </w:r>
    </w:p>
    <w:p w:rsidR="00C35CEB" w:rsidRPr="00225B32" w:rsidRDefault="00C35CEB" w:rsidP="00C35CEB">
      <w:pPr>
        <w:rPr>
          <w:lang w:val="fr-CH"/>
        </w:rPr>
      </w:pPr>
      <w:r w:rsidRPr="00225B32">
        <w:rPr>
          <w:b/>
          <w:bCs/>
          <w:lang w:val="fr-CH"/>
        </w:rPr>
        <w:t>1</w:t>
      </w:r>
      <w:r w:rsidRPr="00225B32">
        <w:rPr>
          <w:lang w:val="fr-CH"/>
        </w:rPr>
        <w:tab/>
        <w:t>pour établir les bases techniques de la circulation mond</w:t>
      </w:r>
      <w:r>
        <w:rPr>
          <w:lang w:val="fr-CH"/>
        </w:rPr>
        <w:t>iale des terminaux de Terre des </w:t>
      </w:r>
      <w:r w:rsidRPr="00225B32">
        <w:rPr>
          <w:lang w:val="fr-CH"/>
        </w:rPr>
        <w:t xml:space="preserve">IMT, de faire en sorte que ces terminaux satisfassent à l'obligation de ne pas causer de brouillages préjudiciables dans les pays visités en remplissant l'une des conditions ci-après ou </w:t>
      </w:r>
      <w:r>
        <w:rPr>
          <w:lang w:val="fr-CH"/>
        </w:rPr>
        <w:t>les </w:t>
      </w:r>
      <w:r w:rsidRPr="00225B32">
        <w:rPr>
          <w:lang w:val="fr-CH"/>
        </w:rPr>
        <w:t>deux:</w:t>
      </w:r>
    </w:p>
    <w:p w:rsidR="00C35CEB" w:rsidRPr="00225B32" w:rsidRDefault="00C35CEB" w:rsidP="000624A9">
      <w:pPr>
        <w:pStyle w:val="enumlev1"/>
        <w:rPr>
          <w:lang w:val="fr-CH"/>
        </w:rPr>
      </w:pPr>
      <w:r w:rsidRPr="00225B32">
        <w:rPr>
          <w:lang w:val="fr-CH"/>
        </w:rPr>
        <w:sym w:font="Symbol" w:char="F02D"/>
      </w:r>
      <w:r w:rsidRPr="00225B32">
        <w:rPr>
          <w:lang w:val="fr-CH"/>
        </w:rPr>
        <w:tab/>
        <w:t>respect des normes IMT-2000 mentionnées dans la Recommandation UIT</w:t>
      </w:r>
      <w:r w:rsidRPr="00225B32">
        <w:rPr>
          <w:lang w:val="fr-CH"/>
        </w:rPr>
        <w:noBreakHyphen/>
        <w:t>R M.1457 et des limites applicables aux rayonnements non désirés, spécifiées dans la Recommandation UIT</w:t>
      </w:r>
      <w:r w:rsidR="000624A9">
        <w:rPr>
          <w:lang w:val="fr-CH"/>
        </w:rPr>
        <w:noBreakHyphen/>
      </w:r>
      <w:r w:rsidRPr="00225B32">
        <w:rPr>
          <w:lang w:val="fr-CH"/>
        </w:rPr>
        <w:t>R M.1581, lorsque ces terminaux fonctionnent comme des terminaux de Terre des IMT-2000;</w:t>
      </w:r>
    </w:p>
    <w:p w:rsidR="00C35CEB" w:rsidRPr="00225B32" w:rsidRDefault="00C35CEB" w:rsidP="00C35CEB">
      <w:pPr>
        <w:pStyle w:val="enumlev1"/>
        <w:rPr>
          <w:lang w:val="fr-CH"/>
        </w:rPr>
      </w:pPr>
      <w:r w:rsidRPr="00225B32">
        <w:rPr>
          <w:lang w:val="fr-CH"/>
        </w:rPr>
        <w:sym w:font="Symbol" w:char="F02D"/>
      </w:r>
      <w:r w:rsidRPr="00225B32">
        <w:rPr>
          <w:lang w:val="fr-CH"/>
        </w:rPr>
        <w:tab/>
        <w:t>respect des normes IMT évoluées mentionnées dans la Recommandation UIT</w:t>
      </w:r>
      <w:r w:rsidRPr="00225B32">
        <w:rPr>
          <w:lang w:val="fr-CH"/>
        </w:rPr>
        <w:noBreakHyphen/>
        <w:t>R M.2012 et des limites applicables aux rayonnements non désirés, spécifiées dans la Recommandation UIT-R M.2071, lorsque ces terminaux fonctionnent comme des terminaux de Terre des IMT évoluées;</w:t>
      </w:r>
    </w:p>
    <w:p w:rsidR="00C35CEB" w:rsidRPr="00225B32" w:rsidRDefault="00C35CEB" w:rsidP="00C35CEB">
      <w:pPr>
        <w:keepNext/>
        <w:keepLines/>
        <w:rPr>
          <w:lang w:val="fr-CH"/>
        </w:rPr>
      </w:pPr>
      <w:r w:rsidRPr="00225B32">
        <w:rPr>
          <w:b/>
          <w:bCs/>
          <w:lang w:val="fr-CH"/>
        </w:rPr>
        <w:t>2</w:t>
      </w:r>
      <w:r w:rsidRPr="00225B32">
        <w:rPr>
          <w:lang w:val="fr-CH"/>
        </w:rPr>
        <w:tab/>
        <w:t>de faire en sorte que les terminaux fonctionnent en mode «réception avant émission» ou, lorsque cela est possible, d'adopter d'autres moyens techniques pour éviter les brouillages préjudiciables;</w:t>
      </w:r>
    </w:p>
    <w:p w:rsidR="00C35CEB" w:rsidRDefault="00C35CEB" w:rsidP="00C35CEB">
      <w:pPr>
        <w:rPr>
          <w:lang w:val="fr-CH"/>
        </w:rPr>
      </w:pPr>
      <w:r w:rsidRPr="00225B32">
        <w:rPr>
          <w:b/>
          <w:bCs/>
          <w:lang w:val="fr-CH"/>
        </w:rPr>
        <w:t>3</w:t>
      </w:r>
      <w:r w:rsidRPr="00225B32">
        <w:rPr>
          <w:lang w:val="fr-CH"/>
        </w:rPr>
        <w:tab/>
        <w:t xml:space="preserve">qu'en cas de détection d'un dérangement qui pourrait occasionner des brouillages préjudiciables, de faire en sorte que les équipements IMT soient conçus conformément au point 1 du </w:t>
      </w:r>
      <w:r w:rsidRPr="00225B32">
        <w:rPr>
          <w:i/>
          <w:iCs/>
          <w:lang w:val="fr-CH"/>
        </w:rPr>
        <w:t>recommande</w:t>
      </w:r>
      <w:r w:rsidRPr="00225B32">
        <w:rPr>
          <w:lang w:val="fr-CH"/>
        </w:rPr>
        <w:t>.</w:t>
      </w:r>
    </w:p>
    <w:p w:rsidR="00C35CEB" w:rsidRDefault="00C35CEB" w:rsidP="00C35CEB">
      <w:pPr>
        <w:rPr>
          <w:lang w:val="fr-CH"/>
        </w:rPr>
      </w:pPr>
    </w:p>
    <w:p w:rsidR="00C35CEB" w:rsidRPr="00C35CEB" w:rsidRDefault="00C35CEB" w:rsidP="00C35CEB">
      <w:pPr>
        <w:pStyle w:val="Line"/>
      </w:pPr>
    </w:p>
    <w:sectPr w:rsidR="00C35CEB" w:rsidRPr="00C35CEB" w:rsidSect="00C25830">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CEB" w:rsidRDefault="00C35CEB">
      <w:r>
        <w:separator/>
      </w:r>
    </w:p>
  </w:endnote>
  <w:endnote w:type="continuationSeparator" w:id="0">
    <w:p w:rsidR="00C35CEB" w:rsidRDefault="00C35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CEB" w:rsidRDefault="00C35CEB">
      <w:r>
        <w:separator/>
      </w:r>
    </w:p>
  </w:footnote>
  <w:footnote w:type="continuationSeparator" w:id="0">
    <w:p w:rsidR="00C35CEB" w:rsidRDefault="00C35C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CEB" w:rsidRDefault="00C35CE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CEB" w:rsidRDefault="00C35CEB" w:rsidP="00C668C8">
    <w:pPr>
      <w:pStyle w:val="Header"/>
      <w:ind w:right="360" w:firstLine="360"/>
    </w:pPr>
    <w:r>
      <w:rPr>
        <w:noProof/>
        <w:lang w:val="en-US" w:eastAsia="zh-CN"/>
      </w:rPr>
      <w:drawing>
        <wp:anchor distT="0" distB="0" distL="114300" distR="114300" simplePos="0" relativeHeight="251660288" behindDoc="0" locked="0" layoutInCell="1" allowOverlap="1" wp14:anchorId="549C250A" wp14:editId="0545E4DA">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6569281B" wp14:editId="0E34746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CEB" w:rsidRPr="00837CB5" w:rsidRDefault="00C35CEB"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1161F">
      <w:rPr>
        <w:rStyle w:val="PageNumber"/>
        <w:b/>
        <w:bCs/>
        <w:noProof/>
      </w:rPr>
      <w:t>ii</w:t>
    </w:r>
    <w:r>
      <w:rPr>
        <w:rStyle w:val="PageNumber"/>
        <w:b/>
        <w:bCs/>
      </w:rPr>
      <w:fldChar w:fldCharType="end"/>
    </w:r>
    <w:r w:rsidRPr="00837CB5">
      <w:tab/>
    </w:r>
    <w:fldSimple w:instr=" DOCPROPERTY &quot;Header&quot; \* MERGEFORMAT ">
      <w:r w:rsidR="0041161F" w:rsidRPr="0041161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161F">
      <w:rPr>
        <w:b/>
        <w:bCs/>
        <w:noProof/>
      </w:rPr>
      <w:t>UIT-R  M.1579-2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CEB" w:rsidRDefault="00C35CEB" w:rsidP="00A163D3">
    <w:pPr>
      <w:pStyle w:val="Header"/>
    </w:pPr>
    <w:r>
      <w:tab/>
    </w:r>
    <w:fldSimple w:instr=" DOCPROPERTY &quot;Header&quot; \* MERGEFORMAT ">
      <w:r w:rsidR="0041161F" w:rsidRPr="0041161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161F">
      <w:rPr>
        <w:b/>
        <w:bCs/>
        <w:noProof/>
      </w:rPr>
      <w:t>UIT-R  M.1579-2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161F">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1161F" w:rsidRPr="0041161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1161F">
      <w:rPr>
        <w:b/>
        <w:bCs/>
        <w:noProof/>
      </w:rPr>
      <w:t>UIT-R  M.1579-2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41161F" w:rsidRPr="0041161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161F">
      <w:rPr>
        <w:b/>
        <w:bCs/>
        <w:noProof/>
      </w:rPr>
      <w:t>UIT-R  M.1579-2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161F">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CEB"/>
    <w:rsid w:val="000624A9"/>
    <w:rsid w:val="00217EBF"/>
    <w:rsid w:val="00242AEE"/>
    <w:rsid w:val="002D76C4"/>
    <w:rsid w:val="0041161F"/>
    <w:rsid w:val="0052529D"/>
    <w:rsid w:val="00607D68"/>
    <w:rsid w:val="007468DA"/>
    <w:rsid w:val="00780362"/>
    <w:rsid w:val="009E00A8"/>
    <w:rsid w:val="00A6617B"/>
    <w:rsid w:val="00AB0DC8"/>
    <w:rsid w:val="00B44E24"/>
    <w:rsid w:val="00C25830"/>
    <w:rsid w:val="00C35CEB"/>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6C92E3B-1644-4766-BB68-4CD3AD421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C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C25830"/>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35CEB"/>
    <w:rPr>
      <w:b/>
      <w:sz w:val="24"/>
      <w:lang w:val="fr-FR" w:eastAsia="en-US"/>
    </w:rPr>
  </w:style>
  <w:style w:type="character" w:customStyle="1" w:styleId="HeaderChar">
    <w:name w:val="Header Char"/>
    <w:basedOn w:val="DefaultParagraphFont"/>
    <w:link w:val="Header"/>
    <w:rsid w:val="00C35CEB"/>
    <w:rPr>
      <w:sz w:val="24"/>
      <w:lang w:val="fr-FR" w:eastAsia="en-US"/>
    </w:rPr>
  </w:style>
  <w:style w:type="character" w:styleId="Hyperlink">
    <w:name w:val="Hyperlink"/>
    <w:basedOn w:val="DefaultParagraphFont"/>
    <w:rsid w:val="00C35CEB"/>
    <w:rPr>
      <w:color w:val="0000FF"/>
      <w:u w:val="single"/>
    </w:rPr>
  </w:style>
  <w:style w:type="character" w:customStyle="1" w:styleId="enumlev1Char">
    <w:name w:val="enumlev1 Char"/>
    <w:basedOn w:val="DefaultParagraphFont"/>
    <w:link w:val="enumlev1"/>
    <w:rsid w:val="00C35CEB"/>
    <w:rPr>
      <w:sz w:val="24"/>
      <w:lang w:val="fr-FR" w:eastAsia="en-US"/>
    </w:rPr>
  </w:style>
  <w:style w:type="character" w:customStyle="1" w:styleId="NormalaftertitleChar">
    <w:name w:val="Normal_after_title Char"/>
    <w:basedOn w:val="DefaultParagraphFont"/>
    <w:link w:val="Normalaftertitle"/>
    <w:uiPriority w:val="99"/>
    <w:locked/>
    <w:rsid w:val="00C35CEB"/>
    <w:rPr>
      <w:sz w:val="24"/>
      <w:lang w:val="fr-FR" w:eastAsia="en-US"/>
    </w:rPr>
  </w:style>
  <w:style w:type="character" w:customStyle="1" w:styleId="CallChar">
    <w:name w:val="Call Char"/>
    <w:basedOn w:val="DefaultParagraphFont"/>
    <w:link w:val="Call"/>
    <w:locked/>
    <w:rsid w:val="00C35CEB"/>
    <w:rPr>
      <w:i/>
      <w:sz w:val="24"/>
      <w:lang w:val="fr-FR" w:eastAsia="en-US"/>
    </w:rPr>
  </w:style>
  <w:style w:type="paragraph" w:customStyle="1" w:styleId="headingb0">
    <w:name w:val="heading_b"/>
    <w:basedOn w:val="Heading3"/>
    <w:next w:val="Normal"/>
    <w:rsid w:val="00C35CE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TotalTime>
  <Pages>1</Pages>
  <Words>1644</Words>
  <Characters>9864</Characters>
  <Application>Microsoft Office Word</Application>
  <DocSecurity>0</DocSecurity>
  <Lines>704</Lines>
  <Paragraphs>311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Politique en matière de droits de propriété intellectuelle (IPR)</vt:lpstr>
    </vt:vector>
  </TitlesOfParts>
  <Manager/>
  <Company>ITU</Company>
  <LinksUpToDate>false</LinksUpToDate>
  <CharactersWithSpaces>11197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2015-12-14T08:05:00Z</cp:lastPrinted>
  <dcterms:created xsi:type="dcterms:W3CDTF">2015-12-14T07:21:00Z</dcterms:created>
  <dcterms:modified xsi:type="dcterms:W3CDTF">2015-12-14T08:06:00Z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