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6432D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6432DE">
              <w:rPr>
                <w:rFonts w:ascii="Tahoma" w:hAnsi="Tahoma" w:cs="Tahoma"/>
                <w:b/>
                <w:bCs/>
                <w:iCs/>
                <w:color w:val="243285"/>
                <w:sz w:val="36"/>
                <w:szCs w:val="36"/>
              </w:rPr>
              <w:t>1827-1</w:t>
            </w:r>
          </w:p>
          <w:p w:rsidR="00FE79FE" w:rsidRPr="00A443C2" w:rsidRDefault="00FE79FE" w:rsidP="00581C1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81C13">
              <w:rPr>
                <w:rFonts w:ascii="Tahoma" w:hAnsi="Tahoma" w:cs="Tahoma"/>
                <w:b/>
                <w:bCs/>
                <w:iCs/>
                <w:color w:val="243285"/>
                <w:szCs w:val="24"/>
              </w:rPr>
              <w:t>01</w:t>
            </w:r>
            <w:r w:rsidR="00397AD0">
              <w:rPr>
                <w:rFonts w:ascii="Tahoma" w:hAnsi="Tahoma" w:cs="Tahoma"/>
                <w:b/>
                <w:bCs/>
                <w:iCs/>
                <w:color w:val="243285"/>
                <w:szCs w:val="24"/>
              </w:rPr>
              <w:t>/</w:t>
            </w:r>
            <w:r w:rsidR="00581C13">
              <w:rPr>
                <w:rFonts w:ascii="Tahoma" w:hAnsi="Tahoma" w:cs="Tahoma"/>
                <w:b/>
                <w:bCs/>
                <w:iCs/>
                <w:color w:val="243285"/>
                <w:szCs w:val="24"/>
              </w:rPr>
              <w:t>2015</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A163D3" w:rsidRPr="00F54FBD" w:rsidRDefault="00C84F86" w:rsidP="00C84F86">
            <w:pPr>
              <w:spacing w:before="80" w:line="500" w:lineRule="exact"/>
              <w:jc w:val="right"/>
              <w:rPr>
                <w:rFonts w:ascii="Tahoma" w:hAnsi="Tahoma" w:cs="Tahoma"/>
                <w:b/>
                <w:bCs/>
                <w:iCs/>
                <w:color w:val="243285"/>
                <w:sz w:val="44"/>
                <w:szCs w:val="44"/>
              </w:rPr>
            </w:pPr>
            <w:r w:rsidRPr="00C84F86">
              <w:rPr>
                <w:rFonts w:ascii="Tahoma" w:hAnsi="Tahoma" w:cs="Tahoma"/>
                <w:b/>
                <w:bCs/>
                <w:iCs/>
                <w:color w:val="243285"/>
                <w:sz w:val="44"/>
                <w:szCs w:val="44"/>
              </w:rPr>
              <w:t xml:space="preserve">Lignes directrices relatives aux prescriptions techniques et opérationnelles applicables aux stations du service mobile aéronautique (R) limité aux applications de surface </w:t>
            </w:r>
            <w:r w:rsidR="006432DE">
              <w:rPr>
                <w:rFonts w:ascii="Tahoma" w:hAnsi="Tahoma" w:cs="Tahoma"/>
                <w:b/>
                <w:bCs/>
                <w:iCs/>
                <w:color w:val="243285"/>
                <w:sz w:val="44"/>
                <w:szCs w:val="44"/>
              </w:rPr>
              <w:br/>
            </w:r>
            <w:r w:rsidRPr="00C84F86">
              <w:rPr>
                <w:rFonts w:ascii="Tahoma" w:hAnsi="Tahoma" w:cs="Tahoma"/>
                <w:b/>
                <w:bCs/>
                <w:iCs/>
                <w:color w:val="243285"/>
                <w:sz w:val="44"/>
                <w:szCs w:val="44"/>
              </w:rPr>
              <w:t xml:space="preserve">dans les aéroports dans la bande de </w:t>
            </w:r>
            <w:r w:rsidRPr="00C84F86">
              <w:rPr>
                <w:rFonts w:ascii="Tahoma" w:hAnsi="Tahoma" w:cs="Tahoma"/>
                <w:b/>
                <w:bCs/>
                <w:iCs/>
                <w:color w:val="243285"/>
                <w:sz w:val="44"/>
                <w:szCs w:val="44"/>
              </w:rPr>
              <w:br/>
              <w:t>fréquences 5 091-5 150 MHz</w:t>
            </w: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FA3A21">
        <w:rPr>
          <w:sz w:val="20"/>
        </w:rPr>
        <w:t>6</w:t>
      </w:r>
    </w:p>
    <w:p w:rsidR="00F54FBD" w:rsidRPr="00614CC6" w:rsidRDefault="00F54FBD" w:rsidP="0050584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FA3A21">
        <w:rPr>
          <w:sz w:val="20"/>
        </w:rPr>
        <w:t>6</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812C4" w:rsidRPr="008F4448" w:rsidRDefault="00756B4D" w:rsidP="0010798A">
      <w:pPr>
        <w:pStyle w:val="RecNo"/>
        <w:spacing w:before="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10798A" w:rsidRPr="000033C3">
        <w:rPr>
          <w:rStyle w:val="href"/>
        </w:rPr>
        <w:t>1827</w:t>
      </w:r>
      <w:r w:rsidR="0010798A">
        <w:rPr>
          <w:rStyle w:val="href"/>
        </w:rPr>
        <w:t>-1</w:t>
      </w:r>
    </w:p>
    <w:p w:rsidR="0010798A" w:rsidRPr="0010798A" w:rsidRDefault="0010798A" w:rsidP="00E614F4">
      <w:pPr>
        <w:pStyle w:val="Rectitle"/>
      </w:pPr>
      <w:r w:rsidRPr="0010798A">
        <w:t xml:space="preserve">Lignes directrices relatives aux prescriptions techniques et opérationnelles applicables aux stations du service mobile aéronautique (R) limité aux applications de surface dans les aéroports dans la bande de </w:t>
      </w:r>
      <w:r w:rsidRPr="0010798A">
        <w:br/>
        <w:t>fréquences 5 091-5 150 MHz</w:t>
      </w:r>
    </w:p>
    <w:p w:rsidR="0010798A" w:rsidRPr="0010798A" w:rsidRDefault="0010798A" w:rsidP="00CD7D79">
      <w:pPr>
        <w:pStyle w:val="Recdate"/>
      </w:pPr>
      <w:r w:rsidRPr="0010798A">
        <w:t>(2007-2015)</w:t>
      </w:r>
    </w:p>
    <w:p w:rsidR="0010798A" w:rsidRPr="006432DE" w:rsidRDefault="0010798A" w:rsidP="0015421E">
      <w:pPr>
        <w:pStyle w:val="HeadingSum"/>
        <w:rPr>
          <w:lang w:val="fr-CH"/>
        </w:rPr>
      </w:pPr>
      <w:r w:rsidRPr="006432DE">
        <w:rPr>
          <w:lang w:val="fr-CH"/>
        </w:rPr>
        <w:t>Champ d'application</w:t>
      </w:r>
    </w:p>
    <w:p w:rsidR="0010798A" w:rsidRPr="006432DE" w:rsidRDefault="0010798A" w:rsidP="0015421E">
      <w:pPr>
        <w:pStyle w:val="Summary"/>
        <w:rPr>
          <w:lang w:val="fr-CH"/>
        </w:rPr>
      </w:pPr>
      <w:r w:rsidRPr="006432DE">
        <w:rPr>
          <w:lang w:val="fr-CH"/>
        </w:rPr>
        <w:t>La présente Recommandation expose les prescriptions techniques et opérationnelles applicables aux stations du service mobile aéronautique (le long des routes) (SMA(R)) limité aux applications de surface dans les aéroports dans la bande de fréquences 5 091-5 150 MHz, devant être utilisées par les administrations comme lignes directrices dans la formulation des prescriptions de conformité des stations appelées à être utilisées dans le monde.</w:t>
      </w:r>
    </w:p>
    <w:p w:rsidR="0010798A" w:rsidRPr="0010798A" w:rsidRDefault="0010798A" w:rsidP="0015421E">
      <w:pPr>
        <w:pStyle w:val="Headingb"/>
        <w:rPr>
          <w:lang w:val="fr-CH"/>
        </w:rPr>
      </w:pPr>
      <w:r w:rsidRPr="0010798A">
        <w:rPr>
          <w:lang w:val="fr-CH"/>
        </w:rPr>
        <w:t>Mots clés</w:t>
      </w:r>
    </w:p>
    <w:p w:rsidR="0010798A" w:rsidRPr="0010798A" w:rsidRDefault="0010798A" w:rsidP="0015421E">
      <w:pPr>
        <w:rPr>
          <w:lang w:val="fr-CH"/>
        </w:rPr>
      </w:pPr>
      <w:r w:rsidRPr="0010798A">
        <w:rPr>
          <w:lang w:val="fr-CH"/>
        </w:rPr>
        <w:t>SMA(R), SFS, aéroport, conformité.</w:t>
      </w:r>
    </w:p>
    <w:p w:rsidR="0010798A" w:rsidRPr="0010798A" w:rsidRDefault="0010798A" w:rsidP="0015421E">
      <w:pPr>
        <w:pStyle w:val="Headingb"/>
        <w:rPr>
          <w:lang w:val="fr-CH"/>
        </w:rPr>
      </w:pPr>
      <w:r w:rsidRPr="0010798A">
        <w:rPr>
          <w:lang w:val="fr-CH"/>
        </w:rPr>
        <w:t>Abréviations/Glossaires</w:t>
      </w:r>
    </w:p>
    <w:p w:rsidR="006432DE" w:rsidRPr="0010798A" w:rsidRDefault="006432DE" w:rsidP="006432DE">
      <w:pPr>
        <w:rPr>
          <w:bCs/>
          <w:lang w:val="fr-CH"/>
        </w:rPr>
      </w:pPr>
      <w:r w:rsidRPr="0010798A">
        <w:rPr>
          <w:lang w:val="fr-CH"/>
        </w:rPr>
        <w:t>SFS</w:t>
      </w:r>
      <w:r>
        <w:rPr>
          <w:lang w:val="fr-CH"/>
        </w:rPr>
        <w:tab/>
      </w:r>
      <w:r w:rsidRPr="0010798A">
        <w:rPr>
          <w:lang w:val="fr-CH"/>
        </w:rPr>
        <w:tab/>
        <w:t>Service fixe par satellite</w:t>
      </w:r>
    </w:p>
    <w:p w:rsidR="0010798A" w:rsidRPr="0010798A" w:rsidRDefault="0010798A" w:rsidP="0015421E">
      <w:pPr>
        <w:rPr>
          <w:lang w:val="fr-CH"/>
        </w:rPr>
      </w:pPr>
      <w:r w:rsidRPr="0010798A">
        <w:rPr>
          <w:lang w:val="fr-CH"/>
        </w:rPr>
        <w:t>SMA(R)</w:t>
      </w:r>
      <w:r w:rsidRPr="0010798A">
        <w:rPr>
          <w:lang w:val="fr-CH"/>
        </w:rPr>
        <w:tab/>
        <w:t>Service mobile aéronautique (route)</w:t>
      </w:r>
    </w:p>
    <w:p w:rsidR="0010798A" w:rsidRPr="0010798A" w:rsidRDefault="0010798A" w:rsidP="0015421E">
      <w:pPr>
        <w:rPr>
          <w:lang w:val="fr-CH"/>
        </w:rPr>
      </w:pPr>
      <w:r w:rsidRPr="0010798A">
        <w:rPr>
          <w:lang w:val="fr-CH"/>
        </w:rPr>
        <w:t>SRNA</w:t>
      </w:r>
      <w:r w:rsidRPr="0010798A">
        <w:rPr>
          <w:lang w:val="fr-CH"/>
        </w:rPr>
        <w:tab/>
      </w:r>
      <w:r w:rsidR="006432DE">
        <w:rPr>
          <w:lang w:val="fr-CH"/>
        </w:rPr>
        <w:tab/>
      </w:r>
      <w:r w:rsidRPr="0010798A">
        <w:rPr>
          <w:lang w:val="fr-CH"/>
        </w:rPr>
        <w:t>Service de radionavigation aéronautique</w:t>
      </w:r>
    </w:p>
    <w:p w:rsidR="0010798A" w:rsidRPr="0010798A" w:rsidRDefault="0010798A" w:rsidP="00843C86">
      <w:pPr>
        <w:pStyle w:val="Normalaftertitle"/>
      </w:pPr>
      <w:r w:rsidRPr="0010798A">
        <w:t>L'Assemblée des radiocommunications de l'UIT,</w:t>
      </w:r>
    </w:p>
    <w:p w:rsidR="0010798A" w:rsidRPr="0010798A" w:rsidRDefault="0010798A" w:rsidP="00843C86">
      <w:pPr>
        <w:pStyle w:val="Call"/>
      </w:pPr>
      <w:r w:rsidRPr="0010798A">
        <w:t>considérant</w:t>
      </w:r>
    </w:p>
    <w:p w:rsidR="0010798A" w:rsidRPr="0010798A" w:rsidRDefault="0010798A" w:rsidP="00F65231">
      <w:r w:rsidRPr="0010798A">
        <w:rPr>
          <w:i/>
          <w:iCs/>
        </w:rPr>
        <w:t>a)</w:t>
      </w:r>
      <w:r w:rsidRPr="0010798A">
        <w:tab/>
        <w:t>que les stations aéronautiques sont utilisées dans le monde entier, à l'échelle nationale, régionale et internationale;</w:t>
      </w:r>
    </w:p>
    <w:p w:rsidR="0010798A" w:rsidRPr="0010798A" w:rsidRDefault="0010798A" w:rsidP="00F65231">
      <w:r w:rsidRPr="0010798A">
        <w:rPr>
          <w:i/>
          <w:iCs/>
        </w:rPr>
        <w:t>b)</w:t>
      </w:r>
      <w:r w:rsidRPr="0010798A">
        <w:tab/>
        <w:t xml:space="preserve">que la circulation des stations aéronautiques est généralement régie par divers règlements et règles nationaux et internationaux, relatifs notamment à une conformité satisfaisante aux normes techniques et pratiques d'exploitation établies par </w:t>
      </w:r>
      <w:r w:rsidRPr="0010798A">
        <w:rPr>
          <w:lang w:val="fr-CH"/>
        </w:rPr>
        <w:t>l'Organisation de l'aviation civile internationale</w:t>
      </w:r>
      <w:r w:rsidRPr="0010798A">
        <w:t>;</w:t>
      </w:r>
    </w:p>
    <w:p w:rsidR="0010798A" w:rsidRPr="0010798A" w:rsidRDefault="0010798A" w:rsidP="00F65231">
      <w:r w:rsidRPr="0010798A">
        <w:rPr>
          <w:i/>
          <w:iCs/>
        </w:rPr>
        <w:t>c)</w:t>
      </w:r>
      <w:r w:rsidRPr="0010798A">
        <w:tab/>
        <w:t>qu'il est nécessaire d'identifier les prescriptions techniques et opérationnelles relatives à la vérification de conformité des stations aéronautiques;</w:t>
      </w:r>
    </w:p>
    <w:p w:rsidR="0010798A" w:rsidRPr="0010798A" w:rsidRDefault="0010798A" w:rsidP="00F65231">
      <w:r w:rsidRPr="0010798A">
        <w:rPr>
          <w:i/>
          <w:iCs/>
        </w:rPr>
        <w:t>d)</w:t>
      </w:r>
      <w:r w:rsidRPr="0010798A">
        <w:tab/>
        <w:t>que l'identification de prescriptions techniques et opérationnelles relatives aux stations aéronautiques permettrait de disposer d'une base technique commune pour faciliter les essais de conformité des stations aéronautiques par les diverses instances nationales, régionales et internationales et l'élaboration d'accords de reconnaissance mutuelle relatifs à la conformité des stations aéronautiques;</w:t>
      </w:r>
    </w:p>
    <w:p w:rsidR="0010798A" w:rsidRPr="0010798A" w:rsidRDefault="0010798A" w:rsidP="00F65231">
      <w:r w:rsidRPr="0010798A">
        <w:rPr>
          <w:i/>
          <w:iCs/>
        </w:rPr>
        <w:t>e)</w:t>
      </w:r>
      <w:r w:rsidRPr="0010798A">
        <w:tab/>
        <w:t>que les prescriptions techniques et opérationnelles doivent refléter un compromis acceptable entre la complexité des équipements de radiocommunication et la nécessité d'utiliser le spectre des fréquences radioélectriques avec efficacité,</w:t>
      </w:r>
    </w:p>
    <w:p w:rsidR="0010798A" w:rsidRPr="0010798A" w:rsidRDefault="0010798A" w:rsidP="00843C86">
      <w:pPr>
        <w:pStyle w:val="Call"/>
      </w:pPr>
      <w:r w:rsidRPr="0010798A">
        <w:t>considérant en outre</w:t>
      </w:r>
    </w:p>
    <w:p w:rsidR="0010798A" w:rsidRPr="0010798A" w:rsidRDefault="0010798A" w:rsidP="007E2CAC">
      <w:r w:rsidRPr="0010798A">
        <w:rPr>
          <w:i/>
          <w:iCs/>
        </w:rPr>
        <w:t>a)</w:t>
      </w:r>
      <w:r w:rsidRPr="0010798A">
        <w:tab/>
        <w:t>qu'il est nécessaire d'assurer la protection intégrale de tous les services assurés à titre primaire dans la bande 5 091</w:t>
      </w:r>
      <w:r w:rsidRPr="0010798A">
        <w:noBreakHyphen/>
        <w:t>5 150 MHz;</w:t>
      </w:r>
    </w:p>
    <w:p w:rsidR="0010798A" w:rsidRPr="0010798A" w:rsidRDefault="0010798A" w:rsidP="00AA1215">
      <w:r w:rsidRPr="0010798A">
        <w:rPr>
          <w:i/>
          <w:iCs/>
        </w:rPr>
        <w:lastRenderedPageBreak/>
        <w:t>b)</w:t>
      </w:r>
      <w:r w:rsidRPr="0010798A">
        <w:tab/>
        <w:t xml:space="preserve">que les résultats des études menées conformément à la Résolution </w:t>
      </w:r>
      <w:r w:rsidRPr="0010798A">
        <w:rPr>
          <w:b/>
          <w:bCs/>
        </w:rPr>
        <w:t>414 (Rév.CMR-03)</w:t>
      </w:r>
      <w:r w:rsidRPr="0010798A">
        <w:t xml:space="preserve"> ont établi la faisabilité d'utiliser la bande de fréquences 5 091-5 150 MHz dans le service SMA(R) limité aux applications de surface dans les aéroports à titre primaire dans certaines conditions;</w:t>
      </w:r>
    </w:p>
    <w:p w:rsidR="0010798A" w:rsidRPr="0010798A" w:rsidRDefault="0010798A" w:rsidP="00AA1215">
      <w:r w:rsidRPr="0010798A">
        <w:rPr>
          <w:i/>
          <w:iCs/>
        </w:rPr>
        <w:t>c)</w:t>
      </w:r>
      <w:r w:rsidRPr="0010798A">
        <w:tab/>
        <w:t>que les prescriptions techniques et opérationnelles identifiées par l'UIT-R pour les stations aéronautiques fonctionnant dans la bande de fréquences 5 091</w:t>
      </w:r>
      <w:r w:rsidRPr="0010798A">
        <w:noBreakHyphen/>
        <w:t>5 150 MHz doivent être telles qu'aucun brouillage inacceptable ne puisse être occasionné à d'autres services;</w:t>
      </w:r>
    </w:p>
    <w:p w:rsidR="0010798A" w:rsidRPr="0010798A" w:rsidRDefault="0010798A" w:rsidP="00AA1215">
      <w:r w:rsidRPr="0010798A">
        <w:rPr>
          <w:i/>
          <w:iCs/>
        </w:rPr>
        <w:t>d)</w:t>
      </w:r>
      <w:r w:rsidRPr="0010798A">
        <w:tab/>
        <w:t>que les caractéristiques techniques et opérationnelles doivent être constamment mesurables et contrôlables et avec précision,</w:t>
      </w:r>
    </w:p>
    <w:p w:rsidR="0010798A" w:rsidRPr="0010798A" w:rsidRDefault="0010798A" w:rsidP="00843C86">
      <w:pPr>
        <w:pStyle w:val="Call"/>
      </w:pPr>
      <w:r w:rsidRPr="0010798A">
        <w:t>reconnaissant</w:t>
      </w:r>
    </w:p>
    <w:p w:rsidR="0010798A" w:rsidRPr="0010798A" w:rsidRDefault="0010798A" w:rsidP="00961A25">
      <w:r w:rsidRPr="0010798A">
        <w:rPr>
          <w:i/>
          <w:iCs/>
        </w:rPr>
        <w:t>a)</w:t>
      </w:r>
      <w:r w:rsidRPr="0010798A">
        <w:tab/>
        <w:t>que la bande de fréquences 5 000</w:t>
      </w:r>
      <w:r w:rsidRPr="0010798A">
        <w:noBreakHyphen/>
        <w:t xml:space="preserve">5 250 MHz est attribuée au service de radionavigation aéronautique </w:t>
      </w:r>
      <w:r w:rsidRPr="0010798A">
        <w:rPr>
          <w:lang w:val="fr-CH"/>
        </w:rPr>
        <w:t xml:space="preserve">(SRNA) </w:t>
      </w:r>
      <w:r w:rsidRPr="0010798A">
        <w:t>à titre primaire;</w:t>
      </w:r>
    </w:p>
    <w:p w:rsidR="0010798A" w:rsidRPr="0010798A" w:rsidRDefault="0010798A" w:rsidP="00961A25">
      <w:pPr>
        <w:rPr>
          <w:lang w:val="fr-CH"/>
        </w:rPr>
      </w:pPr>
      <w:r w:rsidRPr="0010798A">
        <w:rPr>
          <w:i/>
          <w:iCs/>
        </w:rPr>
        <w:t>b)</w:t>
      </w:r>
      <w:r w:rsidRPr="0010798A">
        <w:tab/>
        <w:t>que la bande de fréquences 5 030</w:t>
      </w:r>
      <w:r w:rsidRPr="0010798A">
        <w:noBreakHyphen/>
        <w:t>5 150 MHz est destinée à être utilisée pour l'exploitation du système international normalisé d'atterrissage aux hyperfréquences de guidage de précision pour l'approche et l'atterrissage.</w:t>
      </w:r>
      <w:r w:rsidRPr="0010798A">
        <w:rPr>
          <w:lang w:val="fr-CH"/>
        </w:rPr>
        <w:t xml:space="preserve"> La bande de fréquences 5 091-5 150 MHz est également utilisée par le SFS pour les liaisons de connexion des systèmes à satellites non géostationnaires du service mobile par satellite. </w:t>
      </w:r>
      <w:r w:rsidRPr="0010798A">
        <w:t>Les prescriptions</w:t>
      </w:r>
      <w:r w:rsidRPr="0010798A">
        <w:rPr>
          <w:lang w:val="fr-CH"/>
        </w:rPr>
        <w:t xml:space="preserve"> du système international normalisé d'atterrissage aux hyperfréquences </w:t>
      </w:r>
      <w:r w:rsidRPr="0010798A">
        <w:t>ont priorité sur toutes les autres utilisations de la bande</w:t>
      </w:r>
      <w:r w:rsidRPr="0010798A">
        <w:rPr>
          <w:lang w:val="fr-CH"/>
        </w:rPr>
        <w:t xml:space="preserve"> 5 030-5 091 MHz</w:t>
      </w:r>
      <w:r w:rsidRPr="0010798A">
        <w:t xml:space="preserve">, aux termes du numéro </w:t>
      </w:r>
      <w:r w:rsidRPr="0010798A">
        <w:rPr>
          <w:b/>
          <w:bCs/>
        </w:rPr>
        <w:t>5.444</w:t>
      </w:r>
      <w:r w:rsidRPr="0010798A">
        <w:t xml:space="preserve"> du </w:t>
      </w:r>
      <w:r w:rsidRPr="0010798A">
        <w:rPr>
          <w:lang w:val="fr-CH"/>
        </w:rPr>
        <w:t>Règlement des radiocommunications,</w:t>
      </w:r>
    </w:p>
    <w:p w:rsidR="0010798A" w:rsidRPr="0010798A" w:rsidRDefault="0010798A" w:rsidP="00843C86">
      <w:pPr>
        <w:pStyle w:val="Call"/>
        <w:rPr>
          <w:lang w:val="fr-CH"/>
        </w:rPr>
      </w:pPr>
      <w:r w:rsidRPr="0010798A">
        <w:rPr>
          <w:lang w:val="fr-CH"/>
        </w:rPr>
        <w:t>recommande</w:t>
      </w:r>
    </w:p>
    <w:p w:rsidR="0010798A" w:rsidRPr="0010798A" w:rsidRDefault="0010798A" w:rsidP="00496B13">
      <w:pPr>
        <w:rPr>
          <w:lang w:val="fr-CH"/>
        </w:rPr>
      </w:pPr>
      <w:r w:rsidRPr="0010798A">
        <w:rPr>
          <w:b/>
          <w:lang w:val="fr-CH"/>
        </w:rPr>
        <w:t>1</w:t>
      </w:r>
      <w:r w:rsidRPr="0010798A">
        <w:rPr>
          <w:b/>
          <w:lang w:val="fr-CH"/>
        </w:rPr>
        <w:tab/>
      </w:r>
      <w:r w:rsidRPr="0010798A">
        <w:rPr>
          <w:lang w:val="fr-CH"/>
        </w:rPr>
        <w:t xml:space="preserve">que les prescriptions techniques et opérationnelles applicables aux stations du SMA(R) limité aux applications de surface dans les aéroports dans la </w:t>
      </w:r>
      <w:r w:rsidRPr="0010798A">
        <w:t>bande de fréquences 5 091</w:t>
      </w:r>
      <w:r w:rsidRPr="0010798A">
        <w:noBreakHyphen/>
        <w:t xml:space="preserve">5 150 MHz exposées dans l'Annexe 1 soient utilisées par les administrations comme lignes directrices pour assurer la compatibilité avec </w:t>
      </w:r>
      <w:r w:rsidRPr="0010798A">
        <w:rPr>
          <w:lang w:val="fr-CH"/>
        </w:rPr>
        <w:t>le service fixe par satellite (SFS)</w:t>
      </w:r>
      <w:r w:rsidR="00496B13">
        <w:rPr>
          <w:lang w:val="fr-CH"/>
        </w:rPr>
        <w:t>;</w:t>
      </w:r>
    </w:p>
    <w:p w:rsidR="0010798A" w:rsidRPr="0010798A" w:rsidRDefault="0010798A" w:rsidP="00472A31">
      <w:pPr>
        <w:rPr>
          <w:lang w:val="fr-CH"/>
        </w:rPr>
      </w:pPr>
      <w:r w:rsidRPr="0010798A">
        <w:rPr>
          <w:b/>
          <w:lang w:val="fr-CH"/>
        </w:rPr>
        <w:t>2</w:t>
      </w:r>
      <w:r w:rsidRPr="0010798A">
        <w:rPr>
          <w:vertAlign w:val="subscript"/>
          <w:lang w:val="fr-CH"/>
        </w:rPr>
        <w:tab/>
      </w:r>
      <w:r w:rsidRPr="0010798A">
        <w:rPr>
          <w:lang w:val="fr-CH"/>
        </w:rPr>
        <w:t>de considérer que la Note suivante fait partie de la présente Recommandation.</w:t>
      </w:r>
    </w:p>
    <w:p w:rsidR="0010798A" w:rsidRDefault="0010798A" w:rsidP="00472A31">
      <w:pPr>
        <w:rPr>
          <w:lang w:val="fr-CH"/>
        </w:rPr>
      </w:pPr>
      <w:r w:rsidRPr="0010798A">
        <w:rPr>
          <w:lang w:val="fr-CH"/>
        </w:rPr>
        <w:t>NOTE ‒</w:t>
      </w:r>
      <w:r w:rsidRPr="0010798A">
        <w:rPr>
          <w:sz w:val="28"/>
          <w:szCs w:val="28"/>
          <w:lang w:val="fr-CH"/>
        </w:rPr>
        <w:t xml:space="preserve"> </w:t>
      </w:r>
      <w:r w:rsidRPr="0010798A">
        <w:rPr>
          <w:szCs w:val="24"/>
          <w:lang w:val="fr-CH"/>
        </w:rPr>
        <w:t xml:space="preserve">Etant donné que d'autres limites pourraient être acceptables et que toutes les prescriptions essentielles ne figurent pas dans la présente Recommandation, il est nécessaire de mener des études complémentaires, notamment en ce qui concerne la méthode de la répartition souple du rapport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 xml:space="preserve">s </w:t>
      </w:r>
      <w:r w:rsidRPr="0010798A">
        <w:rPr>
          <w:lang w:val="fr-CH"/>
        </w:rPr>
        <w:t xml:space="preserve">utilisée dans la présente Recommandation. </w:t>
      </w:r>
    </w:p>
    <w:p w:rsidR="00326FA8" w:rsidRDefault="00326FA8" w:rsidP="00472A31">
      <w:pPr>
        <w:rPr>
          <w:lang w:val="fr-CH"/>
        </w:rPr>
      </w:pPr>
    </w:p>
    <w:p w:rsidR="00326FA8" w:rsidRPr="0010798A" w:rsidRDefault="00326FA8" w:rsidP="00472A31">
      <w:pPr>
        <w:rPr>
          <w:lang w:val="fr-CH"/>
        </w:rPr>
      </w:pPr>
    </w:p>
    <w:p w:rsidR="0010798A" w:rsidRPr="0010798A" w:rsidRDefault="0010798A" w:rsidP="00326FA8">
      <w:pPr>
        <w:pStyle w:val="AnnexNoTitle"/>
        <w:rPr>
          <w:lang w:val="fr-CH"/>
        </w:rPr>
      </w:pPr>
      <w:r w:rsidRPr="0010798A">
        <w:rPr>
          <w:lang w:val="fr-CH"/>
        </w:rPr>
        <w:t>Annexe 1</w:t>
      </w:r>
      <w:r w:rsidRPr="0010798A">
        <w:rPr>
          <w:lang w:val="fr-CH"/>
        </w:rPr>
        <w:br/>
      </w:r>
      <w:r w:rsidRPr="0010798A">
        <w:rPr>
          <w:lang w:val="fr-CH"/>
        </w:rPr>
        <w:br/>
        <w:t xml:space="preserve">Principales prescriptions relatives à la compatibilité avec les réseaux </w:t>
      </w:r>
      <w:r w:rsidRPr="0010798A">
        <w:rPr>
          <w:lang w:val="fr-CH"/>
        </w:rPr>
        <w:br/>
        <w:t xml:space="preserve">du service fixe par satellite dans la </w:t>
      </w:r>
      <w:r w:rsidRPr="0010798A">
        <w:t xml:space="preserve">bande de </w:t>
      </w:r>
      <w:r w:rsidRPr="0010798A">
        <w:br/>
        <w:t>fréquences 5 091</w:t>
      </w:r>
      <w:r w:rsidRPr="0010798A">
        <w:noBreakHyphen/>
        <w:t>5 150 MHz</w:t>
      </w:r>
    </w:p>
    <w:p w:rsidR="0010798A" w:rsidRPr="0010798A" w:rsidRDefault="0010798A" w:rsidP="00544AD3">
      <w:pPr>
        <w:pStyle w:val="Normalaftertitle"/>
      </w:pPr>
      <w:r w:rsidRPr="0010798A">
        <w:t>Le Tableau 1 résume les caractéristiques des récepteurs du SFS prises comme hypothèses dans les analyses qui suivent.</w:t>
      </w:r>
    </w:p>
    <w:p w:rsidR="0010798A" w:rsidRPr="0010798A" w:rsidRDefault="0010798A" w:rsidP="00F04702">
      <w:pPr>
        <w:pStyle w:val="TableNo"/>
      </w:pPr>
      <w:r w:rsidRPr="0010798A">
        <w:lastRenderedPageBreak/>
        <w:t>TABLEAU 1</w:t>
      </w:r>
    </w:p>
    <w:p w:rsidR="0010798A" w:rsidRPr="0010798A" w:rsidRDefault="0010798A" w:rsidP="00FA444D">
      <w:pPr>
        <w:pStyle w:val="Tabletitle"/>
      </w:pPr>
      <w:r w:rsidRPr="0010798A">
        <w:t xml:space="preserve">Valeurs de paramètre utilisées dans les calculs de brouillage </w:t>
      </w:r>
      <w:r w:rsidRPr="0010798A">
        <w:br/>
        <w:t>dans le service par satellite</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03"/>
        <w:gridCol w:w="1701"/>
        <w:gridCol w:w="1701"/>
      </w:tblGrid>
      <w:tr w:rsidR="0010798A" w:rsidRPr="0010798A" w:rsidTr="00BC336F">
        <w:trPr>
          <w:jc w:val="center"/>
        </w:trPr>
        <w:tc>
          <w:tcPr>
            <w:tcW w:w="5103" w:type="dxa"/>
          </w:tcPr>
          <w:p w:rsidR="0010798A" w:rsidRPr="0010798A" w:rsidRDefault="0010798A" w:rsidP="00FA444D">
            <w:pPr>
              <w:pStyle w:val="Tablehead"/>
            </w:pPr>
            <w:r w:rsidRPr="0010798A">
              <w:t>Paramètre</w:t>
            </w:r>
          </w:p>
        </w:tc>
        <w:tc>
          <w:tcPr>
            <w:tcW w:w="1701" w:type="dxa"/>
          </w:tcPr>
          <w:p w:rsidR="0010798A" w:rsidRPr="0010798A" w:rsidRDefault="0010798A" w:rsidP="00FA444D">
            <w:pPr>
              <w:pStyle w:val="Tablehead"/>
            </w:pPr>
            <w:r w:rsidRPr="0010798A">
              <w:t>Unité</w:t>
            </w:r>
          </w:p>
        </w:tc>
        <w:tc>
          <w:tcPr>
            <w:tcW w:w="1701" w:type="dxa"/>
          </w:tcPr>
          <w:p w:rsidR="0010798A" w:rsidRPr="0010798A" w:rsidRDefault="0010798A" w:rsidP="00FA444D">
            <w:pPr>
              <w:pStyle w:val="Tablehead"/>
            </w:pPr>
            <w:r w:rsidRPr="0010798A">
              <w:t>HIBLEO-4 FL</w:t>
            </w:r>
          </w:p>
        </w:tc>
      </w:tr>
      <w:tr w:rsidR="0010798A" w:rsidRPr="0010798A" w:rsidTr="00BC336F">
        <w:trPr>
          <w:jc w:val="center"/>
        </w:trPr>
        <w:tc>
          <w:tcPr>
            <w:tcW w:w="5103" w:type="dxa"/>
          </w:tcPr>
          <w:p w:rsidR="0010798A" w:rsidRPr="0010798A" w:rsidRDefault="0010798A" w:rsidP="00FA444D">
            <w:pPr>
              <w:pStyle w:val="Tabletext"/>
            </w:pPr>
            <w:r w:rsidRPr="0010798A">
              <w:t xml:space="preserve">Température de bruit du récepteur du satellite, </w:t>
            </w:r>
            <w:r w:rsidRPr="0010798A">
              <w:rPr>
                <w:i/>
                <w:iCs/>
              </w:rPr>
              <w:t>T</w:t>
            </w:r>
            <w:r w:rsidRPr="0010798A">
              <w:t xml:space="preserve"> </w:t>
            </w:r>
          </w:p>
        </w:tc>
        <w:tc>
          <w:tcPr>
            <w:tcW w:w="1701" w:type="dxa"/>
          </w:tcPr>
          <w:p w:rsidR="0010798A" w:rsidRPr="0010798A" w:rsidRDefault="0010798A" w:rsidP="00FA444D">
            <w:pPr>
              <w:pStyle w:val="Tabletext"/>
              <w:jc w:val="center"/>
            </w:pPr>
            <w:r w:rsidRPr="0010798A">
              <w:t>K</w:t>
            </w:r>
          </w:p>
        </w:tc>
        <w:tc>
          <w:tcPr>
            <w:tcW w:w="1701" w:type="dxa"/>
          </w:tcPr>
          <w:p w:rsidR="0010798A" w:rsidRPr="0010798A" w:rsidRDefault="0010798A" w:rsidP="00FA444D">
            <w:pPr>
              <w:pStyle w:val="Tabletext"/>
              <w:jc w:val="center"/>
            </w:pPr>
            <w:r w:rsidRPr="0010798A">
              <w:t>550</w:t>
            </w:r>
          </w:p>
        </w:tc>
      </w:tr>
      <w:tr w:rsidR="0010798A" w:rsidRPr="0010798A" w:rsidTr="00BC336F">
        <w:trPr>
          <w:jc w:val="center"/>
        </w:trPr>
        <w:tc>
          <w:tcPr>
            <w:tcW w:w="5103" w:type="dxa"/>
          </w:tcPr>
          <w:p w:rsidR="0010798A" w:rsidRPr="0010798A" w:rsidRDefault="0010798A" w:rsidP="00FA444D">
            <w:pPr>
              <w:pStyle w:val="Tabletext"/>
            </w:pPr>
            <w:r w:rsidRPr="0010798A">
              <w:t xml:space="preserve">Surface effective de l'antenne à 5 120 MHz </w:t>
            </w:r>
          </w:p>
        </w:tc>
        <w:tc>
          <w:tcPr>
            <w:tcW w:w="1701" w:type="dxa"/>
          </w:tcPr>
          <w:p w:rsidR="0010798A" w:rsidRPr="0010798A" w:rsidRDefault="0010798A" w:rsidP="00FA444D">
            <w:pPr>
              <w:pStyle w:val="Tabletext"/>
              <w:jc w:val="center"/>
            </w:pPr>
            <w:r w:rsidRPr="0010798A">
              <w:t>dB(m</w:t>
            </w:r>
            <w:r w:rsidRPr="0010798A">
              <w:rPr>
                <w:vertAlign w:val="superscript"/>
              </w:rPr>
              <w:t>2</w:t>
            </w:r>
            <w:r w:rsidRPr="0010798A">
              <w:t>)</w:t>
            </w:r>
          </w:p>
        </w:tc>
        <w:tc>
          <w:tcPr>
            <w:tcW w:w="1701" w:type="dxa"/>
          </w:tcPr>
          <w:p w:rsidR="0010798A" w:rsidRPr="0010798A" w:rsidRDefault="0010798A" w:rsidP="00FA444D">
            <w:pPr>
              <w:pStyle w:val="Tabletext"/>
              <w:jc w:val="center"/>
            </w:pPr>
            <w:r w:rsidRPr="0010798A">
              <w:t>–35,6</w:t>
            </w:r>
          </w:p>
        </w:tc>
      </w:tr>
      <w:tr w:rsidR="0010798A" w:rsidRPr="0010798A" w:rsidTr="00BC336F">
        <w:trPr>
          <w:jc w:val="center"/>
        </w:trPr>
        <w:tc>
          <w:tcPr>
            <w:tcW w:w="5103" w:type="dxa"/>
          </w:tcPr>
          <w:p w:rsidR="0010798A" w:rsidRPr="0010798A" w:rsidRDefault="0010798A" w:rsidP="00FA444D">
            <w:pPr>
              <w:pStyle w:val="Tabletext"/>
            </w:pPr>
            <w:r w:rsidRPr="0010798A">
              <w:t xml:space="preserve">Discrimination de polarisation </w:t>
            </w:r>
            <w:r w:rsidRPr="00496B13">
              <w:rPr>
                <w:i/>
                <w:iCs/>
              </w:rPr>
              <w:t>L</w:t>
            </w:r>
            <w:r w:rsidRPr="0010798A">
              <w:rPr>
                <w:i/>
                <w:iCs/>
                <w:vertAlign w:val="subscript"/>
              </w:rPr>
              <w:t>p</w:t>
            </w:r>
            <w:r w:rsidRPr="0010798A">
              <w:t xml:space="preserve"> </w:t>
            </w:r>
          </w:p>
        </w:tc>
        <w:tc>
          <w:tcPr>
            <w:tcW w:w="1701" w:type="dxa"/>
          </w:tcPr>
          <w:p w:rsidR="0010798A" w:rsidRPr="0010798A" w:rsidRDefault="0010798A" w:rsidP="00FA444D">
            <w:pPr>
              <w:pStyle w:val="Tabletext"/>
              <w:jc w:val="center"/>
            </w:pPr>
            <w:r w:rsidRPr="0010798A">
              <w:t>dB</w:t>
            </w:r>
          </w:p>
        </w:tc>
        <w:tc>
          <w:tcPr>
            <w:tcW w:w="1701" w:type="dxa"/>
          </w:tcPr>
          <w:p w:rsidR="0010798A" w:rsidRPr="0010798A" w:rsidRDefault="0010798A" w:rsidP="00FA444D">
            <w:pPr>
              <w:pStyle w:val="Tabletext"/>
              <w:jc w:val="center"/>
            </w:pPr>
            <w:r w:rsidRPr="0010798A">
              <w:t>1</w:t>
            </w:r>
          </w:p>
        </w:tc>
      </w:tr>
      <w:tr w:rsidR="0010798A" w:rsidRPr="0010798A" w:rsidTr="00BC336F">
        <w:trPr>
          <w:jc w:val="center"/>
        </w:trPr>
        <w:tc>
          <w:tcPr>
            <w:tcW w:w="5103" w:type="dxa"/>
          </w:tcPr>
          <w:p w:rsidR="0010798A" w:rsidRPr="0010798A" w:rsidRDefault="0010798A" w:rsidP="00FA444D">
            <w:pPr>
              <w:pStyle w:val="Tabletext"/>
            </w:pPr>
            <w:r w:rsidRPr="0010798A">
              <w:t xml:space="preserve">Affaiblissement dans la ligne d'alimentation </w:t>
            </w:r>
            <w:r w:rsidRPr="00496B13">
              <w:rPr>
                <w:i/>
                <w:iCs/>
              </w:rPr>
              <w:t>L</w:t>
            </w:r>
            <w:r w:rsidRPr="0010798A">
              <w:rPr>
                <w:i/>
                <w:iCs/>
                <w:vertAlign w:val="subscript"/>
              </w:rPr>
              <w:t>feed</w:t>
            </w:r>
            <w:r w:rsidRPr="0010798A">
              <w:t xml:space="preserve"> </w:t>
            </w:r>
          </w:p>
        </w:tc>
        <w:tc>
          <w:tcPr>
            <w:tcW w:w="1701" w:type="dxa"/>
          </w:tcPr>
          <w:p w:rsidR="0010798A" w:rsidRPr="0010798A" w:rsidRDefault="0010798A" w:rsidP="00FA444D">
            <w:pPr>
              <w:pStyle w:val="Tabletext"/>
              <w:jc w:val="center"/>
            </w:pPr>
            <w:r w:rsidRPr="0010798A">
              <w:t>dB</w:t>
            </w:r>
          </w:p>
        </w:tc>
        <w:tc>
          <w:tcPr>
            <w:tcW w:w="1701" w:type="dxa"/>
          </w:tcPr>
          <w:p w:rsidR="0010798A" w:rsidRPr="0010798A" w:rsidRDefault="0010798A" w:rsidP="00FA444D">
            <w:pPr>
              <w:pStyle w:val="Tabletext"/>
              <w:jc w:val="center"/>
            </w:pPr>
            <w:r w:rsidRPr="0010798A">
              <w:t>2,9</w:t>
            </w:r>
          </w:p>
        </w:tc>
      </w:tr>
      <w:tr w:rsidR="0010798A" w:rsidRPr="0010798A" w:rsidTr="00BC336F">
        <w:trPr>
          <w:jc w:val="center"/>
        </w:trPr>
        <w:tc>
          <w:tcPr>
            <w:tcW w:w="5103" w:type="dxa"/>
          </w:tcPr>
          <w:p w:rsidR="0010798A" w:rsidRPr="0010798A" w:rsidRDefault="0010798A" w:rsidP="00FA444D">
            <w:pPr>
              <w:pStyle w:val="Tabletext"/>
            </w:pPr>
            <w:r w:rsidRPr="0010798A">
              <w:t xml:space="preserve">Largeur de bande de réception de satellite B </w:t>
            </w:r>
          </w:p>
        </w:tc>
        <w:tc>
          <w:tcPr>
            <w:tcW w:w="1701" w:type="dxa"/>
          </w:tcPr>
          <w:p w:rsidR="0010798A" w:rsidRPr="0010798A" w:rsidRDefault="0010798A" w:rsidP="00FA444D">
            <w:pPr>
              <w:pStyle w:val="Tabletext"/>
              <w:jc w:val="center"/>
            </w:pPr>
            <w:r w:rsidRPr="0010798A">
              <w:t>MHz</w:t>
            </w:r>
          </w:p>
        </w:tc>
        <w:tc>
          <w:tcPr>
            <w:tcW w:w="1701" w:type="dxa"/>
          </w:tcPr>
          <w:p w:rsidR="0010798A" w:rsidRPr="0010798A" w:rsidRDefault="0010798A" w:rsidP="00FA444D">
            <w:pPr>
              <w:pStyle w:val="Tabletext"/>
              <w:jc w:val="center"/>
            </w:pPr>
            <w:r w:rsidRPr="0010798A">
              <w:t>1,23</w:t>
            </w:r>
          </w:p>
        </w:tc>
      </w:tr>
      <w:tr w:rsidR="0010798A" w:rsidRPr="0010798A" w:rsidTr="00BC336F">
        <w:trPr>
          <w:jc w:val="center"/>
        </w:trPr>
        <w:tc>
          <w:tcPr>
            <w:tcW w:w="5103" w:type="dxa"/>
          </w:tcPr>
          <w:p w:rsidR="0010798A" w:rsidRPr="0010798A" w:rsidRDefault="0010798A" w:rsidP="00FA444D">
            <w:pPr>
              <w:pStyle w:val="Tabletext"/>
            </w:pPr>
            <w:r w:rsidRPr="0010798A">
              <w:t xml:space="preserve">Gain de l'antenne de réception du satellite </w:t>
            </w:r>
            <w:r w:rsidRPr="00496B13">
              <w:rPr>
                <w:i/>
                <w:iCs/>
              </w:rPr>
              <w:t>G</w:t>
            </w:r>
            <w:r w:rsidRPr="0010798A">
              <w:rPr>
                <w:i/>
                <w:iCs/>
                <w:szCs w:val="22"/>
                <w:vertAlign w:val="subscript"/>
              </w:rPr>
              <w:t>r</w:t>
            </w:r>
            <w:r w:rsidRPr="0010798A">
              <w:rPr>
                <w:szCs w:val="22"/>
              </w:rPr>
              <w:t xml:space="preserve"> </w:t>
            </w:r>
          </w:p>
        </w:tc>
        <w:tc>
          <w:tcPr>
            <w:tcW w:w="1701" w:type="dxa"/>
          </w:tcPr>
          <w:p w:rsidR="0010798A" w:rsidRPr="0010798A" w:rsidRDefault="0010798A" w:rsidP="00FA444D">
            <w:pPr>
              <w:pStyle w:val="Tabletext"/>
              <w:jc w:val="center"/>
            </w:pPr>
            <w:r w:rsidRPr="0010798A">
              <w:t>dBi</w:t>
            </w:r>
          </w:p>
        </w:tc>
        <w:tc>
          <w:tcPr>
            <w:tcW w:w="1701" w:type="dxa"/>
          </w:tcPr>
          <w:p w:rsidR="0010798A" w:rsidRPr="0010798A" w:rsidRDefault="0010798A" w:rsidP="00FA444D">
            <w:pPr>
              <w:pStyle w:val="Tabletext"/>
              <w:jc w:val="center"/>
            </w:pPr>
            <w:r w:rsidRPr="0010798A">
              <w:t>4</w:t>
            </w:r>
          </w:p>
        </w:tc>
      </w:tr>
    </w:tbl>
    <w:p w:rsidR="0010798A" w:rsidRPr="0010798A" w:rsidRDefault="0010798A" w:rsidP="0010798A">
      <w:pPr>
        <w:tabs>
          <w:tab w:val="clear" w:pos="794"/>
          <w:tab w:val="clear" w:pos="1191"/>
          <w:tab w:val="clear" w:pos="1588"/>
          <w:tab w:val="clear" w:pos="1985"/>
          <w:tab w:val="left" w:pos="1134"/>
          <w:tab w:val="left" w:pos="1871"/>
          <w:tab w:val="left" w:pos="2268"/>
        </w:tabs>
        <w:spacing w:before="0"/>
        <w:jc w:val="left"/>
        <w:rPr>
          <w:sz w:val="2"/>
          <w:szCs w:val="2"/>
          <w:lang w:val="en-GB"/>
        </w:rPr>
      </w:pPr>
    </w:p>
    <w:p w:rsidR="00FA444D" w:rsidRDefault="00FA444D" w:rsidP="00FA444D">
      <w:pPr>
        <w:pStyle w:val="Tablefin"/>
      </w:pPr>
    </w:p>
    <w:p w:rsidR="0010798A" w:rsidRPr="0010798A" w:rsidRDefault="0010798A" w:rsidP="00CC0DF1">
      <w:pPr>
        <w:pStyle w:val="Note"/>
      </w:pPr>
      <w:r w:rsidRPr="0010798A">
        <w:t xml:space="preserve">NOTE – On suppose que les limites de puissance surfacique définies ci-après sont respectées dans des conditions de propagation en espace libre. </w:t>
      </w:r>
    </w:p>
    <w:p w:rsidR="0010798A" w:rsidRPr="0010798A" w:rsidRDefault="0010798A" w:rsidP="003E72B1">
      <w:pPr>
        <w:pStyle w:val="Headingb"/>
        <w:rPr>
          <w:lang w:val="fr-CH"/>
        </w:rPr>
      </w:pPr>
      <w:r w:rsidRPr="0010798A">
        <w:t xml:space="preserve">Prescriptions concernant le </w:t>
      </w:r>
      <w:r w:rsidRPr="0010798A">
        <w:rPr>
          <w:lang w:val="fr-CH"/>
        </w:rPr>
        <w:t>service mobile aéronautique (route)</w:t>
      </w:r>
    </w:p>
    <w:p w:rsidR="0010798A" w:rsidRPr="0010798A" w:rsidRDefault="0010798A" w:rsidP="003E72B1">
      <w:r w:rsidRPr="0010798A">
        <w:t>Les prescriptions exposées ci-après représentent des lignes directrices techniques que les administrations utiliseront pour établir les prescriptions de conformité applicables aux stations utilisées à l'échelle mondiale. D'autres limites pourront être acceptables, mais un complément d'étude est requis en l'occurrence.</w:t>
      </w:r>
    </w:p>
    <w:p w:rsidR="0010798A" w:rsidRPr="0010798A" w:rsidRDefault="0010798A" w:rsidP="003E72B1">
      <w:pPr>
        <w:rPr>
          <w:lang w:val="fr-CH"/>
        </w:rPr>
      </w:pPr>
      <w:r w:rsidRPr="0010798A">
        <w:t xml:space="preserve">La puissance surfacique définie dans la présente section offre l'assurance que l'augmentation de la température de bruit du satellite du SFS résultant de l'exploitation du SMA(R) </w:t>
      </w:r>
      <w:r w:rsidRPr="0010798A">
        <w:rPr>
          <w:lang w:val="fr-CH"/>
        </w:rPr>
        <w:t>dans la bande de fréquences 5 091-5 150 MHz (c'est-à-dire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SMA(R)</w:t>
      </w:r>
      <w:r w:rsidRPr="0010798A">
        <w:rPr>
          <w:lang w:val="fr-CH"/>
        </w:rPr>
        <w:t xml:space="preserve">) </w:t>
      </w:r>
      <w:r w:rsidRPr="0010798A">
        <w:t>ne dépasse pas la plus élevée des deux valeurs suivantes</w:t>
      </w:r>
      <w:r w:rsidRPr="0010798A">
        <w:rPr>
          <w:lang w:val="fr-CH"/>
        </w:rPr>
        <w:t>:</w:t>
      </w:r>
    </w:p>
    <w:p w:rsidR="0010798A" w:rsidRPr="0010798A" w:rsidRDefault="0010798A" w:rsidP="00FE3090">
      <w:pPr>
        <w:pStyle w:val="enumlev1"/>
        <w:rPr>
          <w:lang w:val="fr-CH"/>
        </w:rPr>
      </w:pPr>
      <w:r w:rsidRPr="0010798A">
        <w:rPr>
          <w:lang w:val="fr-CH"/>
        </w:rPr>
        <w:t>1)</w:t>
      </w:r>
      <w:r w:rsidRPr="0010798A">
        <w:rPr>
          <w:lang w:val="fr-CH"/>
        </w:rPr>
        <w:tab/>
        <w:t>2%</w:t>
      </w:r>
    </w:p>
    <w:p w:rsidR="0010798A" w:rsidRPr="0010798A" w:rsidRDefault="0010798A" w:rsidP="00FE3090">
      <w:pPr>
        <w:pStyle w:val="enumlev1"/>
        <w:rPr>
          <w:lang w:val="fr-CH"/>
        </w:rPr>
      </w:pPr>
      <w:r w:rsidRPr="0010798A">
        <w:rPr>
          <w:lang w:val="fr-CH"/>
        </w:rPr>
        <w:t>2)</w:t>
      </w:r>
      <w:r w:rsidRPr="0010798A">
        <w:rPr>
          <w:lang w:val="fr-CH"/>
        </w:rPr>
        <w:tab/>
        <w:t>5% –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SNRA</w:t>
      </w:r>
    </w:p>
    <w:p w:rsidR="0010798A" w:rsidRPr="0010798A" w:rsidRDefault="0010798A" w:rsidP="002D3809">
      <w:pPr>
        <w:rPr>
          <w:lang w:val="fr-CH"/>
        </w:rPr>
      </w:pPr>
      <w:r w:rsidRPr="0010798A">
        <w:rPr>
          <w:lang w:val="fr-CH"/>
        </w:rPr>
        <w:t>où:</w:t>
      </w:r>
    </w:p>
    <w:p w:rsidR="0010798A" w:rsidRPr="006432DE" w:rsidRDefault="0010798A" w:rsidP="002D3809">
      <w:pPr>
        <w:pStyle w:val="Equationlegend"/>
        <w:rPr>
          <w:lang w:val="fr-CH"/>
        </w:rPr>
      </w:pPr>
      <w:r w:rsidRPr="006432DE">
        <w:rPr>
          <w:lang w:val="fr-CH"/>
        </w:rPr>
        <w:tab/>
        <w:t>(</w:t>
      </w:r>
      <w:r w:rsidRPr="0010798A">
        <w:sym w:font="Symbol" w:char="F044"/>
      </w:r>
      <w:r w:rsidRPr="006432DE">
        <w:rPr>
          <w:i/>
          <w:iCs/>
          <w:lang w:val="fr-CH"/>
        </w:rPr>
        <w:t>T</w:t>
      </w:r>
      <w:r w:rsidRPr="006432DE">
        <w:rPr>
          <w:i/>
          <w:iCs/>
          <w:vertAlign w:val="subscript"/>
          <w:lang w:val="fr-CH"/>
        </w:rPr>
        <w:t>s</w:t>
      </w:r>
      <w:r w:rsidRPr="006432DE">
        <w:rPr>
          <w:lang w:val="fr-CH"/>
        </w:rPr>
        <w:t>/</w:t>
      </w:r>
      <w:r w:rsidRPr="006432DE">
        <w:rPr>
          <w:i/>
          <w:iCs/>
          <w:lang w:val="fr-CH"/>
        </w:rPr>
        <w:t>T</w:t>
      </w:r>
      <w:r w:rsidRPr="006432DE">
        <w:rPr>
          <w:i/>
          <w:iCs/>
          <w:vertAlign w:val="subscript"/>
          <w:lang w:val="fr-CH"/>
        </w:rPr>
        <w:t>s</w:t>
      </w:r>
      <w:r w:rsidRPr="006432DE">
        <w:rPr>
          <w:lang w:val="fr-CH"/>
        </w:rPr>
        <w:t>)</w:t>
      </w:r>
      <w:r w:rsidRPr="006432DE">
        <w:rPr>
          <w:vertAlign w:val="subscript"/>
          <w:lang w:val="fr-CH"/>
        </w:rPr>
        <w:t>SRNA</w:t>
      </w:r>
      <w:r w:rsidRPr="006432DE">
        <w:rPr>
          <w:lang w:val="fr-CH"/>
        </w:rPr>
        <w:t>:</w:t>
      </w:r>
      <w:r w:rsidRPr="006432DE">
        <w:rPr>
          <w:lang w:val="fr-CH"/>
        </w:rPr>
        <w:tab/>
        <w:t>est l'accroissement de la température de bruit résultant de l'exploitation du SRNA dans la même bande.</w:t>
      </w:r>
    </w:p>
    <w:p w:rsidR="0010798A" w:rsidRPr="0010798A" w:rsidRDefault="0010798A" w:rsidP="00496B13">
      <w:pPr>
        <w:rPr>
          <w:highlight w:val="cyan"/>
          <w:lang w:val="fr-CH"/>
        </w:rPr>
      </w:pPr>
      <w:r w:rsidRPr="0010798A">
        <w:rPr>
          <w:lang w:val="fr-CH"/>
        </w:rPr>
        <w:t>Trois exemples de ce calcul sont donnés ci-après. Dans le premier exemple, on suppose que le résultat de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SRNA</w:t>
      </w:r>
      <w:r w:rsidRPr="0010798A">
        <w:rPr>
          <w:lang w:val="fr-CH"/>
        </w:rPr>
        <w:t xml:space="preserve"> est égal 3%. Dans le deuxième, on suppose que la bande n'est pas utilisée par le SRNA. Dans le troisième exemple, on suppose que la valeur de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 xml:space="preserve"> SRNA </w:t>
      </w:r>
      <w:r w:rsidRPr="0010798A">
        <w:rPr>
          <w:lang w:val="fr-CH"/>
        </w:rPr>
        <w:t>est supérieure à 3%. Dans cette méthode, on suppose que 250</w:t>
      </w:r>
      <w:r w:rsidRPr="0010798A">
        <w:rPr>
          <w:position w:val="6"/>
          <w:sz w:val="18"/>
          <w:lang w:val="fr-CH"/>
        </w:rPr>
        <w:t>2</w:t>
      </w:r>
      <w:r w:rsidRPr="0010798A">
        <w:rPr>
          <w:lang w:val="fr-CH"/>
        </w:rPr>
        <w:t xml:space="preserve"> émetteurs du SMA(R) fonctionnant simultanément dans un même canal sont situés dans le champ de vision du satellite du SFS.</w:t>
      </w:r>
    </w:p>
    <w:p w:rsidR="0010798A" w:rsidRPr="0010798A" w:rsidRDefault="0010798A" w:rsidP="002D3809">
      <w:pPr>
        <w:pStyle w:val="Headingb"/>
        <w:rPr>
          <w:lang w:val="fr-CH"/>
        </w:rPr>
      </w:pPr>
      <w:r w:rsidRPr="0010798A">
        <w:rPr>
          <w:lang w:val="fr-CH"/>
        </w:rPr>
        <w:t>Exemple 1: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SRNA</w:t>
      </w:r>
      <w:r w:rsidRPr="0010798A">
        <w:rPr>
          <w:lang w:val="fr-CH"/>
        </w:rPr>
        <w:t xml:space="preserve"> = 3%</w:t>
      </w:r>
    </w:p>
    <w:p w:rsidR="0010798A" w:rsidRPr="0010798A" w:rsidRDefault="0010798A" w:rsidP="00496B13">
      <w:pPr>
        <w:rPr>
          <w:lang w:val="fr-CH"/>
        </w:rPr>
      </w:pPr>
      <w:r w:rsidRPr="0010798A">
        <w:rPr>
          <w:lang w:val="fr-CH"/>
        </w:rPr>
        <w:t>Dans ce cas, 5% –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SRNA</w:t>
      </w:r>
      <w:r w:rsidRPr="0010798A">
        <w:rPr>
          <w:lang w:val="fr-CH"/>
        </w:rPr>
        <w:t xml:space="preserve"> est égal à 2%. Par conséquent,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 xml:space="preserve">SMA(R) </w:t>
      </w:r>
      <w:r w:rsidRPr="0010798A">
        <w:rPr>
          <w:lang w:val="fr-CH"/>
        </w:rPr>
        <w:t xml:space="preserve">= 2%, c'est-à-dire </w:t>
      </w:r>
      <w:r w:rsidR="00496B13">
        <w:rPr>
          <w:lang w:val="fr-CH"/>
        </w:rPr>
        <w:t>−</w:t>
      </w:r>
      <w:r w:rsidRPr="0010798A">
        <w:rPr>
          <w:lang w:val="fr-CH"/>
        </w:rPr>
        <w:t>17 dB.</w:t>
      </w:r>
    </w:p>
    <w:p w:rsidR="0010798A" w:rsidRPr="0010798A" w:rsidRDefault="0010798A" w:rsidP="002D3809">
      <w:r w:rsidRPr="0010798A">
        <w:t xml:space="preserve">Le système du SFS présentant par hypothèse les caractéristiques indiquées dans le Tableau 1, le niveau de brouillage composite maximal tolérable à l'entrée du récepteur, </w:t>
      </w:r>
      <w:r w:rsidRPr="0010798A">
        <w:rPr>
          <w:i/>
          <w:iCs/>
        </w:rPr>
        <w:t>I</w:t>
      </w:r>
      <w:r w:rsidRPr="0010798A">
        <w:rPr>
          <w:rFonts w:ascii="(Utiliser une police de caractè" w:hAnsi="(Utiliser une police de caractè"/>
          <w:i/>
          <w:iCs/>
          <w:szCs w:val="24"/>
          <w:vertAlign w:val="subscript"/>
        </w:rPr>
        <w:t>Agg-Rec</w:t>
      </w:r>
      <w:r w:rsidRPr="0010798A">
        <w:t>, s'écrit:</w:t>
      </w:r>
    </w:p>
    <w:p w:rsidR="0010798A" w:rsidRPr="0010798A" w:rsidRDefault="0010798A" w:rsidP="0010798A">
      <w:pPr>
        <w:keepNext/>
        <w:keepLines/>
        <w:tabs>
          <w:tab w:val="clear" w:pos="794"/>
          <w:tab w:val="clear" w:pos="1191"/>
          <w:tab w:val="clear" w:pos="1588"/>
          <w:tab w:val="clear" w:pos="1985"/>
          <w:tab w:val="left" w:pos="1134"/>
          <w:tab w:val="left" w:pos="1871"/>
          <w:tab w:val="left" w:pos="2268"/>
        </w:tabs>
        <w:spacing w:before="0"/>
        <w:jc w:val="left"/>
        <w:rPr>
          <w:sz w:val="16"/>
        </w:rPr>
      </w:pPr>
    </w:p>
    <w:p w:rsidR="0010798A" w:rsidRPr="0010798A" w:rsidRDefault="0010798A" w:rsidP="002D3809">
      <w:pPr>
        <w:pStyle w:val="Equation"/>
      </w:pPr>
      <w:r w:rsidRPr="0010798A">
        <w:tab/>
      </w:r>
      <w:r w:rsidRPr="0010798A">
        <w:tab/>
      </w:r>
      <w:r w:rsidRPr="0010798A">
        <w:object w:dxaOrig="49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0.5pt" o:ole="">
            <v:imagedata r:id="rId13" o:title=""/>
          </v:shape>
          <o:OLEObject Type="Embed" ProgID="Equation.3" ShapeID="_x0000_i1025" DrawAspect="Content" ObjectID="_1514720166" r:id="rId14"/>
        </w:object>
      </w:r>
    </w:p>
    <w:p w:rsidR="0010798A" w:rsidRPr="0010798A" w:rsidRDefault="0010798A" w:rsidP="0010798A">
      <w:pPr>
        <w:keepNext/>
        <w:keepLines/>
        <w:tabs>
          <w:tab w:val="clear" w:pos="794"/>
          <w:tab w:val="clear" w:pos="1191"/>
          <w:tab w:val="clear" w:pos="1588"/>
          <w:tab w:val="clear" w:pos="1985"/>
          <w:tab w:val="left" w:pos="1134"/>
          <w:tab w:val="left" w:pos="1871"/>
          <w:tab w:val="left" w:pos="2268"/>
        </w:tabs>
        <w:spacing w:before="0"/>
        <w:jc w:val="left"/>
        <w:rPr>
          <w:sz w:val="16"/>
          <w:lang w:val="en-GB"/>
        </w:rPr>
      </w:pPr>
    </w:p>
    <w:p w:rsidR="0010798A" w:rsidRPr="0010798A" w:rsidRDefault="0010798A" w:rsidP="0047543B">
      <w:r w:rsidRPr="0010798A">
        <w:t>où:</w:t>
      </w:r>
    </w:p>
    <w:p w:rsidR="0010798A" w:rsidRPr="006432DE" w:rsidRDefault="0010798A" w:rsidP="00567667">
      <w:pPr>
        <w:pStyle w:val="Equationlegend"/>
        <w:rPr>
          <w:lang w:val="fr-CH"/>
        </w:rPr>
      </w:pPr>
      <w:r w:rsidRPr="006432DE">
        <w:rPr>
          <w:lang w:val="fr-CH"/>
        </w:rPr>
        <w:tab/>
      </w:r>
      <w:r w:rsidRPr="006432DE">
        <w:rPr>
          <w:i/>
          <w:iCs/>
          <w:lang w:val="fr-CH"/>
        </w:rPr>
        <w:t>K</w:t>
      </w:r>
      <w:r w:rsidRPr="006432DE">
        <w:rPr>
          <w:lang w:val="fr-CH"/>
        </w:rPr>
        <w:t>:</w:t>
      </w:r>
      <w:r w:rsidRPr="006432DE">
        <w:rPr>
          <w:lang w:val="fr-CH"/>
        </w:rPr>
        <w:tab/>
        <w:t>constante de Boltzmann (1,38 × 10</w:t>
      </w:r>
      <w:r w:rsidRPr="006432DE">
        <w:rPr>
          <w:vertAlign w:val="superscript"/>
          <w:lang w:val="fr-CH"/>
        </w:rPr>
        <w:t>–23</w:t>
      </w:r>
      <w:r w:rsidRPr="006432DE">
        <w:rPr>
          <w:lang w:val="fr-CH"/>
        </w:rPr>
        <w:t xml:space="preserve"> J/K)</w:t>
      </w:r>
    </w:p>
    <w:p w:rsidR="0010798A" w:rsidRPr="006432DE" w:rsidRDefault="0010798A" w:rsidP="00567667">
      <w:pPr>
        <w:pStyle w:val="Equationlegend"/>
        <w:rPr>
          <w:lang w:val="fr-CH"/>
        </w:rPr>
      </w:pPr>
      <w:r w:rsidRPr="006432DE">
        <w:rPr>
          <w:lang w:val="fr-CH"/>
        </w:rPr>
        <w:lastRenderedPageBreak/>
        <w:tab/>
      </w:r>
      <w:r w:rsidRPr="006432DE">
        <w:rPr>
          <w:i/>
          <w:iCs/>
          <w:lang w:val="fr-CH"/>
        </w:rPr>
        <w:t>T</w:t>
      </w:r>
      <w:r w:rsidRPr="006432DE">
        <w:rPr>
          <w:lang w:val="fr-CH"/>
        </w:rPr>
        <w:t>:</w:t>
      </w:r>
      <w:r w:rsidRPr="006432DE">
        <w:rPr>
          <w:lang w:val="fr-CH"/>
        </w:rPr>
        <w:tab/>
        <w:t>température du bruit du récepteur (K)</w:t>
      </w:r>
    </w:p>
    <w:p w:rsidR="0010798A" w:rsidRPr="006432DE" w:rsidRDefault="0010798A" w:rsidP="00567667">
      <w:pPr>
        <w:pStyle w:val="Equationlegend"/>
        <w:rPr>
          <w:lang w:val="fr-CH"/>
        </w:rPr>
      </w:pPr>
      <w:r w:rsidRPr="006432DE">
        <w:rPr>
          <w:lang w:val="fr-CH"/>
        </w:rPr>
        <w:tab/>
      </w:r>
      <w:r w:rsidRPr="006432DE">
        <w:rPr>
          <w:i/>
          <w:iCs/>
          <w:lang w:val="fr-CH"/>
        </w:rPr>
        <w:t>B</w:t>
      </w:r>
      <w:r w:rsidRPr="006432DE">
        <w:rPr>
          <w:lang w:val="fr-CH"/>
        </w:rPr>
        <w:t>:</w:t>
      </w:r>
      <w:r w:rsidRPr="006432DE">
        <w:rPr>
          <w:lang w:val="fr-CH"/>
        </w:rPr>
        <w:tab/>
        <w:t>largeur de bande du récepteur (Hz).</w:t>
      </w:r>
    </w:p>
    <w:p w:rsidR="0010798A" w:rsidRPr="0010798A" w:rsidRDefault="0010798A" w:rsidP="00B20DFE">
      <w:r w:rsidRPr="0010798A">
        <w:t>Ainsi, à la borne de l'antenne de réception du satellite, le niveau maximal de la puissance surfacique produite par un émetteur SMA(R) est de:</w:t>
      </w:r>
    </w:p>
    <w:p w:rsidR="0010798A" w:rsidRPr="0010798A" w:rsidRDefault="0010798A" w:rsidP="0010798A">
      <w:pPr>
        <w:keepNext/>
        <w:keepLines/>
        <w:tabs>
          <w:tab w:val="clear" w:pos="794"/>
          <w:tab w:val="clear" w:pos="1191"/>
          <w:tab w:val="clear" w:pos="1588"/>
          <w:tab w:val="clear" w:pos="1985"/>
          <w:tab w:val="left" w:pos="1134"/>
          <w:tab w:val="left" w:pos="1871"/>
          <w:tab w:val="left" w:pos="2268"/>
        </w:tabs>
        <w:spacing w:before="0"/>
        <w:jc w:val="left"/>
        <w:rPr>
          <w:sz w:val="16"/>
        </w:rPr>
      </w:pPr>
    </w:p>
    <w:p w:rsidR="0010798A" w:rsidRPr="0010798A" w:rsidRDefault="0010798A" w:rsidP="00B20DFE">
      <w:pPr>
        <w:pStyle w:val="Equation"/>
      </w:pPr>
      <w:r w:rsidRPr="0010798A">
        <w:tab/>
      </w:r>
      <w:r w:rsidRPr="0010798A">
        <w:tab/>
      </w:r>
      <w:r w:rsidRPr="0010798A">
        <w:object w:dxaOrig="6340" w:dyaOrig="1520">
          <v:shape id="_x0000_i1026" type="#_x0000_t75" style="width:317.5pt;height:75pt" o:ole="">
            <v:imagedata r:id="rId15" o:title=""/>
          </v:shape>
          <o:OLEObject Type="Embed" ProgID="Equation.3" ShapeID="_x0000_i1026" DrawAspect="Content" ObjectID="_1514720167" r:id="rId16"/>
        </w:object>
      </w:r>
    </w:p>
    <w:p w:rsidR="0010798A" w:rsidRPr="0010798A" w:rsidRDefault="0010798A" w:rsidP="00B20DFE">
      <w:r w:rsidRPr="0010798A">
        <w:t>où:</w:t>
      </w:r>
    </w:p>
    <w:p w:rsidR="0010798A" w:rsidRPr="006432DE" w:rsidRDefault="0010798A" w:rsidP="00D73DDF">
      <w:pPr>
        <w:pStyle w:val="Equationlegend"/>
        <w:rPr>
          <w:lang w:val="fr-CH"/>
        </w:rPr>
      </w:pPr>
      <w:r w:rsidRPr="006432DE">
        <w:rPr>
          <w:lang w:val="fr-CH"/>
        </w:rPr>
        <w:tab/>
      </w:r>
      <w:r w:rsidRPr="006432DE">
        <w:rPr>
          <w:i/>
          <w:iCs/>
          <w:lang w:val="fr-CH"/>
        </w:rPr>
        <w:t>Gr</w:t>
      </w:r>
      <w:r w:rsidRPr="006432DE">
        <w:rPr>
          <w:lang w:val="fr-CH"/>
        </w:rPr>
        <w:t>:</w:t>
      </w:r>
      <w:r w:rsidRPr="006432DE">
        <w:rPr>
          <w:lang w:val="fr-CH"/>
        </w:rPr>
        <w:tab/>
        <w:t>gain d'antenne de réception du SFS</w:t>
      </w:r>
    </w:p>
    <w:p w:rsidR="0010798A" w:rsidRPr="006432DE" w:rsidRDefault="0010798A" w:rsidP="00D73DDF">
      <w:pPr>
        <w:pStyle w:val="Equationlegend"/>
        <w:rPr>
          <w:lang w:val="fr-CH"/>
        </w:rPr>
      </w:pPr>
      <w:r w:rsidRPr="006432DE">
        <w:rPr>
          <w:lang w:val="fr-CH"/>
        </w:rPr>
        <w:tab/>
        <w:t xml:space="preserve">250: </w:t>
      </w:r>
      <w:r w:rsidRPr="006432DE">
        <w:rPr>
          <w:lang w:val="fr-CH"/>
        </w:rPr>
        <w:tab/>
        <w:t>nombre maximum de stations du SMA(R) émettant simultanément dans la largeur de bande du récepteur du SFS.</w:t>
      </w:r>
    </w:p>
    <w:p w:rsidR="0010798A" w:rsidRPr="0010798A" w:rsidRDefault="0010798A" w:rsidP="0073706A">
      <w:pPr>
        <w:pStyle w:val="Headingb"/>
      </w:pPr>
      <w:r w:rsidRPr="0010798A">
        <w:t>Exemple 2: (</w:t>
      </w:r>
      <w:r w:rsidRPr="0010798A">
        <w:sym w:font="Symbol" w:char="F044"/>
      </w:r>
      <w:r w:rsidRPr="0010798A">
        <w:rPr>
          <w:i/>
          <w:iCs/>
        </w:rPr>
        <w:t>T</w:t>
      </w:r>
      <w:r w:rsidRPr="0010798A">
        <w:rPr>
          <w:i/>
          <w:iCs/>
          <w:vertAlign w:val="subscript"/>
        </w:rPr>
        <w:t>s</w:t>
      </w:r>
      <w:r w:rsidRPr="0010798A">
        <w:t>/</w:t>
      </w:r>
      <w:r w:rsidRPr="0010798A">
        <w:rPr>
          <w:i/>
          <w:iCs/>
        </w:rPr>
        <w:t>T</w:t>
      </w:r>
      <w:r w:rsidRPr="0010798A">
        <w:rPr>
          <w:i/>
          <w:iCs/>
          <w:vertAlign w:val="subscript"/>
        </w:rPr>
        <w:t>s</w:t>
      </w:r>
      <w:r w:rsidRPr="0010798A">
        <w:t>)</w:t>
      </w:r>
      <w:r w:rsidRPr="0010798A">
        <w:rPr>
          <w:vertAlign w:val="subscript"/>
          <w:lang w:val="fr-CH"/>
        </w:rPr>
        <w:t>SRNA</w:t>
      </w:r>
      <w:r w:rsidRPr="0010798A">
        <w:t xml:space="preserve"> = 0</w:t>
      </w:r>
    </w:p>
    <w:p w:rsidR="0010798A" w:rsidRPr="0010798A" w:rsidRDefault="0010798A" w:rsidP="0073706A">
      <w:r w:rsidRPr="0010798A">
        <w:rPr>
          <w:lang w:val="fr-CH"/>
        </w:rPr>
        <w:t>Dans ce cas</w:t>
      </w:r>
      <w:r w:rsidRPr="0010798A">
        <w:t>, 5% – (</w:t>
      </w:r>
      <w:r w:rsidRPr="0010798A">
        <w:sym w:font="Symbol" w:char="F044"/>
      </w:r>
      <w:r w:rsidRPr="0010798A">
        <w:rPr>
          <w:i/>
          <w:iCs/>
        </w:rPr>
        <w:t>T</w:t>
      </w:r>
      <w:r w:rsidRPr="0010798A">
        <w:rPr>
          <w:i/>
          <w:iCs/>
          <w:vertAlign w:val="subscript"/>
        </w:rPr>
        <w:t>s</w:t>
      </w:r>
      <w:r w:rsidRPr="0010798A">
        <w:t>/</w:t>
      </w:r>
      <w:r w:rsidRPr="0010798A">
        <w:rPr>
          <w:i/>
          <w:iCs/>
        </w:rPr>
        <w:t>T</w:t>
      </w:r>
      <w:r w:rsidRPr="0010798A">
        <w:rPr>
          <w:i/>
          <w:iCs/>
          <w:vertAlign w:val="subscript"/>
        </w:rPr>
        <w:t>s</w:t>
      </w:r>
      <w:r w:rsidRPr="0010798A">
        <w:t>)</w:t>
      </w:r>
      <w:r w:rsidRPr="0010798A">
        <w:rPr>
          <w:vertAlign w:val="subscript"/>
        </w:rPr>
        <w:t>SRNA</w:t>
      </w:r>
      <w:r w:rsidRPr="0010798A">
        <w:t xml:space="preserve"> est égal à 5%, ce qui est supérieur à 2%. Par conséquent, (</w:t>
      </w:r>
      <w:r w:rsidRPr="0010798A">
        <w:sym w:font="Symbol" w:char="F044"/>
      </w:r>
      <w:r w:rsidRPr="0010798A">
        <w:rPr>
          <w:i/>
          <w:iCs/>
        </w:rPr>
        <w:t>T</w:t>
      </w:r>
      <w:r w:rsidRPr="0010798A">
        <w:rPr>
          <w:i/>
          <w:iCs/>
          <w:vertAlign w:val="subscript"/>
        </w:rPr>
        <w:t>s</w:t>
      </w:r>
      <w:r w:rsidRPr="0010798A">
        <w:t>/</w:t>
      </w:r>
      <w:r w:rsidRPr="0010798A">
        <w:rPr>
          <w:i/>
          <w:iCs/>
        </w:rPr>
        <w:t>T</w:t>
      </w:r>
      <w:r w:rsidRPr="0010798A">
        <w:rPr>
          <w:i/>
          <w:iCs/>
          <w:vertAlign w:val="subscript"/>
        </w:rPr>
        <w:t>s</w:t>
      </w:r>
      <w:r w:rsidRPr="0010798A">
        <w:t>)</w:t>
      </w:r>
      <w:r w:rsidRPr="0010798A">
        <w:rPr>
          <w:vertAlign w:val="subscript"/>
        </w:rPr>
        <w:t xml:space="preserve">SMA(R) </w:t>
      </w:r>
      <w:r w:rsidRPr="0010798A">
        <w:t xml:space="preserve">= 5%, c'est-à-dire –13 dB. </w:t>
      </w:r>
    </w:p>
    <w:p w:rsidR="0010798A" w:rsidRPr="0010798A" w:rsidRDefault="0010798A" w:rsidP="008C5A8C">
      <w:pPr>
        <w:rPr>
          <w:rFonts w:eastAsia="MS Mincho"/>
          <w:sz w:val="16"/>
          <w:lang w:val="fr-CH"/>
        </w:rPr>
      </w:pPr>
      <w:r w:rsidRPr="0010798A">
        <w:rPr>
          <w:lang w:val="fr-CH"/>
        </w:rPr>
        <w:t>D'où:</w:t>
      </w:r>
    </w:p>
    <w:p w:rsidR="0010798A" w:rsidRPr="0010798A" w:rsidRDefault="0010798A" w:rsidP="00A835A0">
      <w:pPr>
        <w:pStyle w:val="Equation"/>
      </w:pPr>
      <w:r w:rsidRPr="0010798A">
        <w:rPr>
          <w:lang w:val="fr-CH"/>
        </w:rPr>
        <w:tab/>
      </w:r>
      <w:r w:rsidRPr="0010798A">
        <w:rPr>
          <w:lang w:val="fr-CH"/>
        </w:rPr>
        <w:tab/>
      </w:r>
      <w:r w:rsidRPr="0010798A">
        <w:object w:dxaOrig="4940" w:dyaOrig="380">
          <v:shape id="_x0000_i1027" type="#_x0000_t75" style="width:247.5pt;height:18.5pt" o:ole="">
            <v:imagedata r:id="rId17" o:title=""/>
          </v:shape>
          <o:OLEObject Type="Embed" ProgID="Equation.3" ShapeID="_x0000_i1027" DrawAspect="Content" ObjectID="_1514720168" r:id="rId18"/>
        </w:object>
      </w:r>
    </w:p>
    <w:p w:rsidR="0010798A" w:rsidRPr="0010798A" w:rsidRDefault="0010798A" w:rsidP="00FC1C42">
      <w:r w:rsidRPr="0010798A">
        <w:t>Ainsi, à l'entrée de l'antenne de réception du satellite, le niveau de puissance surfacique maximal produit</w:t>
      </w:r>
      <w:r w:rsidR="00496B13">
        <w:t>e</w:t>
      </w:r>
      <w:r w:rsidRPr="0010798A">
        <w:t xml:space="preserve"> par un émetteur SMA(R) est de:</w:t>
      </w:r>
    </w:p>
    <w:p w:rsidR="0010798A" w:rsidRPr="0010798A" w:rsidRDefault="0010798A" w:rsidP="00A835A0">
      <w:pPr>
        <w:pStyle w:val="Equation"/>
        <w:rPr>
          <w:rFonts w:eastAsia="Calibri"/>
          <w:iCs/>
          <w:color w:val="000000"/>
          <w:lang w:val="en-US"/>
        </w:rPr>
      </w:pPr>
      <w:r w:rsidRPr="0010798A">
        <w:rPr>
          <w:rFonts w:eastAsia="Calibri"/>
          <w:lang w:val="fr-CH"/>
        </w:rPr>
        <w:tab/>
      </w:r>
      <w:r w:rsidRPr="0010798A">
        <w:rPr>
          <w:rFonts w:eastAsia="Calibri"/>
          <w:lang w:val="fr-CH"/>
        </w:rPr>
        <w:tab/>
      </w:r>
      <w:r w:rsidRPr="00A835A0">
        <w:object w:dxaOrig="6240" w:dyaOrig="1440">
          <v:shape id="_x0000_i1028" type="#_x0000_t75" style="width:313.5pt;height:74.5pt" o:ole="">
            <v:imagedata r:id="rId19" o:title=""/>
          </v:shape>
          <o:OLEObject Type="Embed" ProgID="Equation.3" ShapeID="_x0000_i1028" DrawAspect="Content" ObjectID="_1514720169" r:id="rId20"/>
        </w:object>
      </w:r>
    </w:p>
    <w:p w:rsidR="0010798A" w:rsidRPr="0010798A" w:rsidRDefault="0010798A" w:rsidP="00FC1C42">
      <w:pPr>
        <w:pStyle w:val="Headingb"/>
        <w:rPr>
          <w:lang w:val="fr-CH"/>
        </w:rPr>
      </w:pPr>
      <w:r w:rsidRPr="0010798A">
        <w:rPr>
          <w:lang w:val="fr-CH"/>
        </w:rPr>
        <w:t>Exemple 3: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SRNA</w:t>
      </w:r>
      <w:r w:rsidRPr="0010798A">
        <w:rPr>
          <w:lang w:val="fr-CH"/>
        </w:rPr>
        <w:t xml:space="preserve"> &gt; 3%</w:t>
      </w:r>
    </w:p>
    <w:p w:rsidR="0010798A" w:rsidRDefault="0010798A" w:rsidP="00FC1C42">
      <w:pPr>
        <w:rPr>
          <w:lang w:val="fr-CH"/>
        </w:rPr>
      </w:pPr>
      <w:r w:rsidRPr="0010798A">
        <w:rPr>
          <w:lang w:val="fr-CH"/>
        </w:rPr>
        <w:t>Dans ce cas, 5% –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SRNA</w:t>
      </w:r>
      <w:r w:rsidRPr="0010798A">
        <w:rPr>
          <w:lang w:val="fr-CH"/>
        </w:rPr>
        <w:t xml:space="preserve"> est inférieur à 2%. Par conséquent, (</w:t>
      </w:r>
      <w:r w:rsidRPr="0010798A">
        <w:sym w:font="Symbol" w:char="F044"/>
      </w:r>
      <w:r w:rsidRPr="0010798A">
        <w:rPr>
          <w:i/>
          <w:iCs/>
          <w:lang w:val="fr-CH"/>
        </w:rPr>
        <w:t>T</w:t>
      </w:r>
      <w:r w:rsidRPr="0010798A">
        <w:rPr>
          <w:i/>
          <w:iCs/>
          <w:vertAlign w:val="subscript"/>
          <w:lang w:val="fr-CH"/>
        </w:rPr>
        <w:t>s</w:t>
      </w:r>
      <w:r w:rsidRPr="0010798A">
        <w:rPr>
          <w:lang w:val="fr-CH"/>
        </w:rPr>
        <w:t>/</w:t>
      </w:r>
      <w:r w:rsidRPr="0010798A">
        <w:rPr>
          <w:i/>
          <w:iCs/>
          <w:lang w:val="fr-CH"/>
        </w:rPr>
        <w:t>T</w:t>
      </w:r>
      <w:r w:rsidRPr="0010798A">
        <w:rPr>
          <w:i/>
          <w:iCs/>
          <w:vertAlign w:val="subscript"/>
          <w:lang w:val="fr-CH"/>
        </w:rPr>
        <w:t>s</w:t>
      </w:r>
      <w:r w:rsidRPr="0010798A">
        <w:rPr>
          <w:lang w:val="fr-CH"/>
        </w:rPr>
        <w:t>)</w:t>
      </w:r>
      <w:r w:rsidRPr="0010798A">
        <w:rPr>
          <w:vertAlign w:val="subscript"/>
          <w:lang w:val="fr-CH"/>
        </w:rPr>
        <w:t xml:space="preserve">SMA(R) </w:t>
      </w:r>
      <w:r w:rsidRPr="00496B13">
        <w:rPr>
          <w:bCs/>
          <w:lang w:val="fr-CH"/>
        </w:rPr>
        <w:t>=</w:t>
      </w:r>
      <w:r w:rsidRPr="0010798A">
        <w:rPr>
          <w:b/>
          <w:lang w:val="fr-CH"/>
        </w:rPr>
        <w:t xml:space="preserve"> </w:t>
      </w:r>
      <w:r w:rsidRPr="0010798A">
        <w:rPr>
          <w:lang w:val="fr-CH"/>
        </w:rPr>
        <w:t xml:space="preserve">2%, c'est-à-dire –17 dB, comme dans l'Exemple 1; on obtient la même valeur de </w:t>
      </w:r>
      <w:r w:rsidRPr="0010798A">
        <w:rPr>
          <w:i/>
          <w:iCs/>
          <w:lang w:val="fr-CH"/>
        </w:rPr>
        <w:t>pfd</w:t>
      </w:r>
      <w:r w:rsidRPr="0010798A">
        <w:rPr>
          <w:i/>
          <w:iCs/>
          <w:vertAlign w:val="subscript"/>
          <w:lang w:val="fr-CH"/>
        </w:rPr>
        <w:t>Max</w:t>
      </w:r>
      <w:r w:rsidRPr="0010798A">
        <w:rPr>
          <w:lang w:val="fr-CH"/>
        </w:rPr>
        <w:t xml:space="preserve"> que dans l'Exemple 1.</w:t>
      </w:r>
    </w:p>
    <w:p w:rsidR="00496B13" w:rsidRDefault="00496B13" w:rsidP="00FC1C42">
      <w:pPr>
        <w:rPr>
          <w:lang w:val="fr-CH"/>
        </w:rPr>
      </w:pPr>
    </w:p>
    <w:p w:rsidR="00496B13" w:rsidRPr="0010798A" w:rsidRDefault="00496B13" w:rsidP="00FC1C42">
      <w:pPr>
        <w:rPr>
          <w:lang w:val="fr-CH"/>
        </w:rPr>
      </w:pPr>
    </w:p>
    <w:p w:rsidR="0010798A" w:rsidRPr="006432DE" w:rsidRDefault="0010798A" w:rsidP="00D45C41">
      <w:pPr>
        <w:pStyle w:val="Line"/>
        <w:rPr>
          <w:lang w:val="fr-CH"/>
        </w:rPr>
      </w:pPr>
    </w:p>
    <w:sectPr w:rsidR="0010798A" w:rsidRPr="006432DE" w:rsidSect="0030473F">
      <w:headerReference w:type="default" r:id="rId21"/>
      <w:headerReference w:type="first" r:id="rId22"/>
      <w:pgSz w:w="11907" w:h="16834" w:code="9"/>
      <w:pgMar w:top="1418" w:right="1134" w:bottom="1134" w:left="1134" w:header="720" w:footer="482"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B2DA1" w:rsidP="00C668C8">
    <w:pPr>
      <w:pStyle w:val="Header"/>
      <w:ind w:right="360" w:firstLine="360"/>
    </w:pPr>
    <w:r>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8F444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019FF">
      <w:rPr>
        <w:rStyle w:val="PageNumber"/>
        <w:b/>
        <w:bCs/>
        <w:noProof/>
      </w:rPr>
      <w:t>4</w:t>
    </w:r>
    <w:r>
      <w:rPr>
        <w:rStyle w:val="PageNumber"/>
        <w:b/>
        <w:bCs/>
      </w:rPr>
      <w:fldChar w:fldCharType="end"/>
    </w:r>
    <w:r w:rsidRPr="00837CB5">
      <w:tab/>
    </w:r>
    <w:fldSimple w:instr=" DOCPROPERTY &quot;Header&quot; \* MERGEFORMAT ">
      <w:r w:rsidR="002019FF" w:rsidRPr="002019F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019FF">
      <w:rPr>
        <w:b/>
        <w:bCs/>
        <w:noProof/>
      </w:rPr>
      <w:t>UIT-R  M.1827-1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3F" w:rsidRPr="00FC42AF" w:rsidRDefault="0030473F" w:rsidP="0030473F">
    <w:pPr>
      <w:tabs>
        <w:tab w:val="clear" w:pos="794"/>
        <w:tab w:val="clear" w:pos="1191"/>
        <w:tab w:val="clear" w:pos="1588"/>
        <w:tab w:val="clear" w:pos="1985"/>
        <w:tab w:val="center" w:pos="4848"/>
        <w:tab w:val="center" w:pos="9696"/>
      </w:tabs>
      <w:jc w:val="left"/>
    </w:pPr>
    <w:r w:rsidRPr="00FC42AF">
      <w:tab/>
    </w:r>
    <w:r w:rsidR="002019FF">
      <w:fldChar w:fldCharType="begin"/>
    </w:r>
    <w:r w:rsidR="002019FF">
      <w:instrText xml:space="preserve"> DOCPROPERTY "Header" \* MERGEFORMAT </w:instrText>
    </w:r>
    <w:r w:rsidR="002019FF">
      <w:fldChar w:fldCharType="separate"/>
    </w:r>
    <w:r w:rsidR="002019FF" w:rsidRPr="002019FF">
      <w:rPr>
        <w:b/>
        <w:bCs/>
      </w:rPr>
      <w:t xml:space="preserve">Rec. </w:t>
    </w:r>
    <w:r w:rsidR="002019F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019FF">
      <w:rPr>
        <w:b/>
        <w:bCs/>
        <w:noProof/>
      </w:rPr>
      <w:t>UIT-R  M.1827-1</w:t>
    </w:r>
    <w:r>
      <w:rPr>
        <w:b/>
        <w:bCs/>
      </w:rPr>
      <w:fldChar w:fldCharType="end"/>
    </w:r>
    <w:r>
      <w:rPr>
        <w:b/>
        <w:bCs/>
      </w:rPr>
      <w:t>1827-1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p w:rsidR="00A443C2" w:rsidRPr="0030473F" w:rsidRDefault="00A443C2" w:rsidP="003047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3F" w:rsidRPr="008F4448" w:rsidRDefault="0030473F" w:rsidP="008F4448">
    <w:pPr>
      <w:tabs>
        <w:tab w:val="clear" w:pos="794"/>
        <w:tab w:val="clear" w:pos="1191"/>
        <w:tab w:val="clear" w:pos="1588"/>
        <w:tab w:val="clear" w:pos="1985"/>
        <w:tab w:val="center" w:pos="4848"/>
        <w:tab w:val="center" w:pos="9696"/>
      </w:tabs>
      <w:jc w:val="left"/>
      <w:rPr>
        <w:rFonts w:ascii="Times New Roman Bold" w:hAnsi="Times New Roman Bold" w:cs="Times New Roman Bold"/>
        <w:color w:val="000000" w:themeColor="text1"/>
      </w:rPr>
    </w:pPr>
    <w:r w:rsidRPr="008F4448">
      <w:rPr>
        <w:rFonts w:ascii="Times New Roman Bold" w:hAnsi="Times New Roman Bold" w:cs="Times New Roman Bold"/>
        <w:b/>
        <w:bCs/>
        <w:color w:val="000000" w:themeColor="text1"/>
      </w:rPr>
      <w:tab/>
    </w:r>
    <w:r w:rsidR="002019FF">
      <w:fldChar w:fldCharType="begin"/>
    </w:r>
    <w:r w:rsidR="002019FF">
      <w:instrText xml:space="preserve"> DOCPROPERTY "Header" \* MERGEFORMAT </w:instrText>
    </w:r>
    <w:r w:rsidR="002019FF">
      <w:fldChar w:fldCharType="separate"/>
    </w:r>
    <w:r w:rsidR="002019FF" w:rsidRPr="002019FF">
      <w:rPr>
        <w:b/>
        <w:bCs/>
      </w:rPr>
      <w:t xml:space="preserve">Rec. </w:t>
    </w:r>
    <w:r w:rsidR="002019FF">
      <w:rPr>
        <w:b/>
        <w:bCs/>
      </w:rPr>
      <w:fldChar w:fldCharType="end"/>
    </w:r>
    <w:r w:rsidR="008F4448">
      <w:rPr>
        <w:b/>
        <w:bCs/>
      </w:rPr>
      <w:t xml:space="preserve"> </w:t>
    </w:r>
    <w:r w:rsidR="008F4448">
      <w:rPr>
        <w:b/>
        <w:bCs/>
      </w:rPr>
      <w:fldChar w:fldCharType="begin"/>
    </w:r>
    <w:r w:rsidR="008F4448" w:rsidRPr="00837CB5">
      <w:rPr>
        <w:b/>
        <w:bCs/>
      </w:rPr>
      <w:instrText>styleref href</w:instrText>
    </w:r>
    <w:r w:rsidR="008F4448">
      <w:rPr>
        <w:b/>
        <w:bCs/>
      </w:rPr>
      <w:fldChar w:fldCharType="separate"/>
    </w:r>
    <w:r w:rsidR="002019FF">
      <w:rPr>
        <w:b/>
        <w:bCs/>
        <w:noProof/>
      </w:rPr>
      <w:t>UIT-R  M.1827-1</w:t>
    </w:r>
    <w:r w:rsidR="008F4448">
      <w:rPr>
        <w:b/>
        <w:bCs/>
      </w:rPr>
      <w:fldChar w:fldCharType="end"/>
    </w:r>
    <w:r w:rsidRPr="008F4448">
      <w:rPr>
        <w:rFonts w:ascii="Times New Roman Bold" w:hAnsi="Times New Roman Bold" w:cs="Times New Roman Bold"/>
        <w:b/>
        <w:bCs/>
        <w:color w:val="000000" w:themeColor="text1"/>
      </w:rPr>
      <w:tab/>
    </w:r>
    <w:r w:rsidRPr="008F4448">
      <w:rPr>
        <w:rStyle w:val="PageNumber"/>
        <w:rFonts w:ascii="Times New Roman Bold" w:hAnsi="Times New Roman Bold" w:cs="Times New Roman Bold"/>
        <w:b/>
        <w:bCs/>
        <w:color w:val="000000" w:themeColor="text1"/>
      </w:rPr>
      <w:fldChar w:fldCharType="begin"/>
    </w:r>
    <w:r w:rsidRPr="008F4448">
      <w:rPr>
        <w:rStyle w:val="PageNumber"/>
        <w:rFonts w:ascii="Times New Roman Bold" w:hAnsi="Times New Roman Bold" w:cs="Times New Roman Bold"/>
        <w:b/>
        <w:bCs/>
        <w:color w:val="000000" w:themeColor="text1"/>
      </w:rPr>
      <w:instrText xml:space="preserve"> PAGE </w:instrText>
    </w:r>
    <w:r w:rsidRPr="008F4448">
      <w:rPr>
        <w:rStyle w:val="PageNumber"/>
        <w:rFonts w:ascii="Times New Roman Bold" w:hAnsi="Times New Roman Bold" w:cs="Times New Roman Bold"/>
        <w:b/>
        <w:bCs/>
        <w:color w:val="000000" w:themeColor="text1"/>
      </w:rPr>
      <w:fldChar w:fldCharType="separate"/>
    </w:r>
    <w:r w:rsidR="002019FF">
      <w:rPr>
        <w:rStyle w:val="PageNumber"/>
        <w:rFonts w:ascii="Times New Roman Bold" w:hAnsi="Times New Roman Bold" w:cs="Times New Roman Bold"/>
        <w:b/>
        <w:bCs/>
        <w:noProof/>
        <w:color w:val="000000" w:themeColor="text1"/>
      </w:rPr>
      <w:t>3</w:t>
    </w:r>
    <w:r w:rsidRPr="008F4448">
      <w:rPr>
        <w:rStyle w:val="PageNumber"/>
        <w:rFonts w:ascii="Times New Roman Bold" w:hAnsi="Times New Roman Bold" w:cs="Times New Roman Bold"/>
        <w:b/>
        <w:bCs/>
        <w:color w:val="000000" w:themeColor="text1"/>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48" w:rsidRDefault="008F4448" w:rsidP="008F4448">
    <w:pPr>
      <w:pStyle w:val="Header"/>
      <w:jc w:val="left"/>
    </w:pPr>
    <w:r w:rsidRPr="00837CB5">
      <w:tab/>
    </w:r>
    <w:r w:rsidR="002019FF">
      <w:fldChar w:fldCharType="begin"/>
    </w:r>
    <w:r w:rsidR="002019FF">
      <w:instrText xml:space="preserve"> DOCPROPERTY "Header" \* MERGEFORMAT </w:instrText>
    </w:r>
    <w:r w:rsidR="002019FF">
      <w:fldChar w:fldCharType="separate"/>
    </w:r>
    <w:r w:rsidR="002019FF" w:rsidRPr="002019FF">
      <w:rPr>
        <w:b/>
        <w:bCs/>
      </w:rPr>
      <w:t xml:space="preserve">Rec. </w:t>
    </w:r>
    <w:r w:rsidR="002019F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019FF">
      <w:rPr>
        <w:b/>
        <w:bCs/>
        <w:noProof/>
      </w:rPr>
      <w:t>UIT-R  M.1827-1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2019F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72484"/>
    <w:rsid w:val="00076BD8"/>
    <w:rsid w:val="00096612"/>
    <w:rsid w:val="000A0A78"/>
    <w:rsid w:val="000B7683"/>
    <w:rsid w:val="00102934"/>
    <w:rsid w:val="0010798A"/>
    <w:rsid w:val="00123FD5"/>
    <w:rsid w:val="00125B6D"/>
    <w:rsid w:val="00126AF2"/>
    <w:rsid w:val="00147110"/>
    <w:rsid w:val="0015421E"/>
    <w:rsid w:val="00155A9E"/>
    <w:rsid w:val="001671C8"/>
    <w:rsid w:val="001777F2"/>
    <w:rsid w:val="002019FF"/>
    <w:rsid w:val="00202D10"/>
    <w:rsid w:val="002058CE"/>
    <w:rsid w:val="002165F1"/>
    <w:rsid w:val="00227626"/>
    <w:rsid w:val="00261CA3"/>
    <w:rsid w:val="00276D21"/>
    <w:rsid w:val="00296D7F"/>
    <w:rsid w:val="002A22E5"/>
    <w:rsid w:val="002B3CF6"/>
    <w:rsid w:val="002C768A"/>
    <w:rsid w:val="002D3809"/>
    <w:rsid w:val="002D76C4"/>
    <w:rsid w:val="0030473F"/>
    <w:rsid w:val="00326FA8"/>
    <w:rsid w:val="00363367"/>
    <w:rsid w:val="00397AD0"/>
    <w:rsid w:val="003E0582"/>
    <w:rsid w:val="003E72B1"/>
    <w:rsid w:val="00420DFD"/>
    <w:rsid w:val="00422AE4"/>
    <w:rsid w:val="00470E28"/>
    <w:rsid w:val="00472A31"/>
    <w:rsid w:val="0047543B"/>
    <w:rsid w:val="004934C5"/>
    <w:rsid w:val="00496B13"/>
    <w:rsid w:val="004A4D65"/>
    <w:rsid w:val="00505840"/>
    <w:rsid w:val="005258F8"/>
    <w:rsid w:val="00530208"/>
    <w:rsid w:val="00544AD3"/>
    <w:rsid w:val="00556548"/>
    <w:rsid w:val="00567667"/>
    <w:rsid w:val="00567DC0"/>
    <w:rsid w:val="00581C13"/>
    <w:rsid w:val="00586EF8"/>
    <w:rsid w:val="0059088A"/>
    <w:rsid w:val="00592F9F"/>
    <w:rsid w:val="00593B96"/>
    <w:rsid w:val="005B49AB"/>
    <w:rsid w:val="005B50E7"/>
    <w:rsid w:val="005B65B9"/>
    <w:rsid w:val="005D26DA"/>
    <w:rsid w:val="005E6DCC"/>
    <w:rsid w:val="005E7B4F"/>
    <w:rsid w:val="0060611D"/>
    <w:rsid w:val="00607D68"/>
    <w:rsid w:val="006149B1"/>
    <w:rsid w:val="00614CC6"/>
    <w:rsid w:val="006432DE"/>
    <w:rsid w:val="00647E80"/>
    <w:rsid w:val="00654D8A"/>
    <w:rsid w:val="00680D2B"/>
    <w:rsid w:val="006812C4"/>
    <w:rsid w:val="00681B32"/>
    <w:rsid w:val="006941FB"/>
    <w:rsid w:val="006C7827"/>
    <w:rsid w:val="006E2037"/>
    <w:rsid w:val="006F154D"/>
    <w:rsid w:val="00712870"/>
    <w:rsid w:val="00731BD8"/>
    <w:rsid w:val="0073706A"/>
    <w:rsid w:val="00743D85"/>
    <w:rsid w:val="00753CF4"/>
    <w:rsid w:val="007565CC"/>
    <w:rsid w:val="00756B4D"/>
    <w:rsid w:val="00763B9A"/>
    <w:rsid w:val="00770FC7"/>
    <w:rsid w:val="00776E56"/>
    <w:rsid w:val="007A308E"/>
    <w:rsid w:val="007A6AA8"/>
    <w:rsid w:val="007E2CAC"/>
    <w:rsid w:val="008310C9"/>
    <w:rsid w:val="00837CB5"/>
    <w:rsid w:val="00843C86"/>
    <w:rsid w:val="00872472"/>
    <w:rsid w:val="008C5A8C"/>
    <w:rsid w:val="008C7848"/>
    <w:rsid w:val="008F4448"/>
    <w:rsid w:val="008F5522"/>
    <w:rsid w:val="00917AF2"/>
    <w:rsid w:val="0092418A"/>
    <w:rsid w:val="00934ED7"/>
    <w:rsid w:val="009454F8"/>
    <w:rsid w:val="009543C3"/>
    <w:rsid w:val="00961A25"/>
    <w:rsid w:val="00966E1B"/>
    <w:rsid w:val="00986A9C"/>
    <w:rsid w:val="00987C75"/>
    <w:rsid w:val="009B5551"/>
    <w:rsid w:val="009D27CD"/>
    <w:rsid w:val="009F2C9D"/>
    <w:rsid w:val="009F2D2C"/>
    <w:rsid w:val="00A163D3"/>
    <w:rsid w:val="00A443C2"/>
    <w:rsid w:val="00A52DB0"/>
    <w:rsid w:val="00A6617B"/>
    <w:rsid w:val="00A71FE5"/>
    <w:rsid w:val="00A835A0"/>
    <w:rsid w:val="00A9087C"/>
    <w:rsid w:val="00AA1215"/>
    <w:rsid w:val="00AA3AD8"/>
    <w:rsid w:val="00AB0DC8"/>
    <w:rsid w:val="00AB2DA1"/>
    <w:rsid w:val="00AB52D1"/>
    <w:rsid w:val="00AD267B"/>
    <w:rsid w:val="00B033C8"/>
    <w:rsid w:val="00B1316B"/>
    <w:rsid w:val="00B20DFE"/>
    <w:rsid w:val="00B33425"/>
    <w:rsid w:val="00B44E24"/>
    <w:rsid w:val="00B54ECC"/>
    <w:rsid w:val="00B714F3"/>
    <w:rsid w:val="00BC0651"/>
    <w:rsid w:val="00BC5D77"/>
    <w:rsid w:val="00BF487A"/>
    <w:rsid w:val="00C362C3"/>
    <w:rsid w:val="00C37C23"/>
    <w:rsid w:val="00C46BD9"/>
    <w:rsid w:val="00C55258"/>
    <w:rsid w:val="00C63468"/>
    <w:rsid w:val="00C668C8"/>
    <w:rsid w:val="00C73560"/>
    <w:rsid w:val="00C84F86"/>
    <w:rsid w:val="00C854EA"/>
    <w:rsid w:val="00C95B6F"/>
    <w:rsid w:val="00CB0F14"/>
    <w:rsid w:val="00CC0DF1"/>
    <w:rsid w:val="00CD659B"/>
    <w:rsid w:val="00CD7D79"/>
    <w:rsid w:val="00CD7DC8"/>
    <w:rsid w:val="00D017C0"/>
    <w:rsid w:val="00D31EB8"/>
    <w:rsid w:val="00D45C41"/>
    <w:rsid w:val="00D70C4E"/>
    <w:rsid w:val="00D73DDF"/>
    <w:rsid w:val="00DB2AF0"/>
    <w:rsid w:val="00DF4176"/>
    <w:rsid w:val="00E02402"/>
    <w:rsid w:val="00E17240"/>
    <w:rsid w:val="00E44C45"/>
    <w:rsid w:val="00E44CBB"/>
    <w:rsid w:val="00E614F4"/>
    <w:rsid w:val="00EA6E8E"/>
    <w:rsid w:val="00EB0974"/>
    <w:rsid w:val="00EE57AA"/>
    <w:rsid w:val="00F04702"/>
    <w:rsid w:val="00F30C9B"/>
    <w:rsid w:val="00F316C4"/>
    <w:rsid w:val="00F336CC"/>
    <w:rsid w:val="00F354B1"/>
    <w:rsid w:val="00F54FBD"/>
    <w:rsid w:val="00F65231"/>
    <w:rsid w:val="00FA3A21"/>
    <w:rsid w:val="00FA444D"/>
    <w:rsid w:val="00FB0E4E"/>
    <w:rsid w:val="00FC1C42"/>
    <w:rsid w:val="00FE309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QPUB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QPUBF.dotm</Template>
  <TotalTime>82</TotalTime>
  <Pages>1</Pages>
  <Words>1739</Words>
  <Characters>9483</Characters>
  <Application>Microsoft Office Word</Application>
  <DocSecurity>0</DocSecurity>
  <Lines>338</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11112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53</cp:revision>
  <cp:lastPrinted>2016-01-19T13:41:00Z</cp:lastPrinted>
  <dcterms:created xsi:type="dcterms:W3CDTF">2016-01-15T09:45:00Z</dcterms:created>
  <dcterms:modified xsi:type="dcterms:W3CDTF">2016-01-19T13:43:00Z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