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p w:rsidR="00042292" w:rsidRPr="00BC5877" w:rsidRDefault="00042292" w:rsidP="00BC5877">
      <w:pPr>
        <w:rPr>
          <w:lang w:val="es-ES_tradnl"/>
        </w:rPr>
      </w:pPr>
    </w:p>
    <w:tbl>
      <w:tblPr>
        <w:tblW w:w="10089" w:type="dxa"/>
        <w:tblLook w:val="01E0"/>
      </w:tblPr>
      <w:tblGrid>
        <w:gridCol w:w="10089"/>
      </w:tblGrid>
      <w:tr w:rsidR="00042292" w:rsidRPr="00BC5877" w:rsidTr="00A07AEB">
        <w:tc>
          <w:tcPr>
            <w:tcW w:w="10089" w:type="dxa"/>
          </w:tcPr>
          <w:p w:rsidR="00042292" w:rsidRPr="00BC5877" w:rsidRDefault="00042292" w:rsidP="00BC587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BC5877" w:rsidRDefault="00042292" w:rsidP="00BC5877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Recomendación</w:t>
            </w:r>
            <w:r w:rsidR="005354FC"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UIT-R</w:t>
            </w:r>
            <w:r w:rsidR="005354FC"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 xml:space="preserve"> 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M.</w:t>
            </w:r>
            <w:r w:rsidR="003639DC"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1854</w:t>
            </w:r>
          </w:p>
          <w:p w:rsidR="00042292" w:rsidRPr="00BC5877" w:rsidRDefault="00042292" w:rsidP="00BC5877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</w:pPr>
            <w:r w:rsidRPr="00BC58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(</w:t>
            </w:r>
            <w:r w:rsidR="003639DC" w:rsidRPr="00BC58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01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/</w:t>
            </w:r>
            <w:r w:rsidR="003639DC" w:rsidRPr="00BC58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2010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Cs w:val="24"/>
                <w:lang w:val="es-ES_tradnl"/>
              </w:rPr>
              <w:t>)</w:t>
            </w:r>
          </w:p>
        </w:tc>
      </w:tr>
      <w:tr w:rsidR="00042292" w:rsidRPr="00BE5A6D" w:rsidTr="00A07AEB">
        <w:tc>
          <w:tcPr>
            <w:tcW w:w="10089" w:type="dxa"/>
          </w:tcPr>
          <w:p w:rsidR="00042292" w:rsidRPr="00BC5877" w:rsidRDefault="00042292" w:rsidP="00BC58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  <w:p w:rsidR="00042292" w:rsidRPr="00BC5877" w:rsidRDefault="003639DC" w:rsidP="00BC58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Utilización del servicio móvil por satélite</w:t>
            </w:r>
            <w:r w:rsidR="007602F4" w:rsidRPr="00BC58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para respuesta y socorro</w:t>
            </w:r>
            <w:r w:rsidR="007602F4" w:rsidRPr="00BC58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br/>
              <w:t xml:space="preserve">en caso 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  <w:t>de catástrofe</w:t>
            </w:r>
          </w:p>
          <w:p w:rsidR="00042292" w:rsidRPr="00BC5877" w:rsidRDefault="00042292" w:rsidP="00BC5877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es-ES_tradnl"/>
              </w:rPr>
            </w:pPr>
          </w:p>
        </w:tc>
      </w:tr>
      <w:tr w:rsidR="00042292" w:rsidRPr="00BE5A6D" w:rsidTr="00A07AEB">
        <w:tc>
          <w:tcPr>
            <w:tcW w:w="10089" w:type="dxa"/>
          </w:tcPr>
          <w:p w:rsidR="00042292" w:rsidRPr="00BC5877" w:rsidRDefault="00042292" w:rsidP="00BC587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BC5877" w:rsidRDefault="00042292" w:rsidP="00BC5877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es-ES_tradnl"/>
              </w:rPr>
            </w:pPr>
          </w:p>
          <w:p w:rsidR="00042292" w:rsidRPr="00BC5877" w:rsidRDefault="00042292" w:rsidP="00BC5877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</w:p>
          <w:p w:rsidR="00042292" w:rsidRPr="00BC5877" w:rsidRDefault="00042292" w:rsidP="00BC5877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Serie M</w:t>
            </w:r>
          </w:p>
          <w:p w:rsidR="00042292" w:rsidRPr="00BC5877" w:rsidRDefault="00042292" w:rsidP="00BC5877">
            <w:pPr>
              <w:spacing w:before="80" w:line="42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</w:pP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Servicios móviles, de radiodeterminación,</w:t>
            </w:r>
            <w:r w:rsidR="00410F5B"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t>de aficionados y otros servicios</w:t>
            </w:r>
            <w:r w:rsidRPr="00BC587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es-ES_tradnl"/>
              </w:rPr>
              <w:br/>
              <w:t>por satélite conexos</w:t>
            </w:r>
          </w:p>
        </w:tc>
      </w:tr>
    </w:tbl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spacing w:before="80"/>
        <w:rPr>
          <w:i/>
          <w:sz w:val="22"/>
          <w:lang w:val="es-ES_tradnl"/>
        </w:rPr>
      </w:pPr>
    </w:p>
    <w:p w:rsidR="00042292" w:rsidRPr="00BC5877" w:rsidRDefault="00042292" w:rsidP="00BC5877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es-ES_tradnl"/>
        </w:rPr>
        <w:sectPr w:rsidR="00042292" w:rsidRPr="00BC5877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042292" w:rsidRPr="00BC5877" w:rsidRDefault="00042292" w:rsidP="00BC5877">
      <w:pPr>
        <w:pStyle w:val="Tablehead"/>
        <w:tabs>
          <w:tab w:val="clear" w:pos="284"/>
          <w:tab w:val="clear" w:pos="567"/>
          <w:tab w:val="clear" w:pos="851"/>
          <w:tab w:val="clear" w:pos="1134"/>
          <w:tab w:val="clear" w:pos="1418"/>
          <w:tab w:val="clear" w:pos="1701"/>
          <w:tab w:val="clear" w:pos="2268"/>
          <w:tab w:val="clear" w:pos="2552"/>
          <w:tab w:val="clear" w:pos="2835"/>
          <w:tab w:val="clear" w:pos="3119"/>
          <w:tab w:val="clear" w:pos="3402"/>
          <w:tab w:val="clear" w:pos="3686"/>
          <w:tab w:val="clear" w:pos="3969"/>
          <w:tab w:val="left" w:pos="794"/>
          <w:tab w:val="left" w:pos="1191"/>
          <w:tab w:val="left" w:pos="1588"/>
        </w:tabs>
        <w:spacing w:before="200" w:after="0"/>
        <w:rPr>
          <w:bCs/>
          <w:sz w:val="24"/>
          <w:szCs w:val="24"/>
          <w:lang w:val="es-ES_tradnl"/>
        </w:rPr>
      </w:pPr>
      <w:bookmarkStart w:id="0" w:name="c2tope"/>
      <w:bookmarkEnd w:id="0"/>
      <w:r w:rsidRPr="00BC5877">
        <w:rPr>
          <w:bCs/>
          <w:sz w:val="24"/>
          <w:szCs w:val="24"/>
          <w:lang w:val="es-ES_tradnl"/>
        </w:rPr>
        <w:lastRenderedPageBreak/>
        <w:t>Prólogo</w:t>
      </w:r>
    </w:p>
    <w:p w:rsidR="00042292" w:rsidRPr="00BC5877" w:rsidRDefault="00042292" w:rsidP="00BC5877">
      <w:pPr>
        <w:spacing w:before="180"/>
        <w:rPr>
          <w:sz w:val="20"/>
          <w:lang w:val="es-ES_tradnl"/>
        </w:rPr>
      </w:pPr>
      <w:r w:rsidRPr="00BC5877">
        <w:rPr>
          <w:sz w:val="20"/>
          <w:lang w:val="es-ES_tradnl"/>
        </w:rPr>
        <w:t>El Sector de Radiocomunicaciones tiene como cometido garantizar la utilización racional, equitativa, eficaz y económica del espectro de frecuencias radioeléctricas por todos los servicios de radiocomunicaciones, incluidos los servicios por satélite, y realizar, sin limitación de gamas de frecuencias, estudios que sirvan de base para la adopción de las Recomendaciones UIT-R.</w:t>
      </w:r>
    </w:p>
    <w:p w:rsidR="00042292" w:rsidRPr="00BC5877" w:rsidRDefault="00042292" w:rsidP="00BC5877">
      <w:pPr>
        <w:rPr>
          <w:sz w:val="20"/>
          <w:lang w:val="es-ES_tradnl"/>
        </w:rPr>
      </w:pPr>
      <w:r w:rsidRPr="00BC5877">
        <w:rPr>
          <w:sz w:val="20"/>
          <w:lang w:val="es-ES_tradnl"/>
        </w:rPr>
        <w:t>Las Conferencias Mundiales y Regionales de Radiocomunicaciones y las Asambleas de Radiocomunicaciones, con la colaboración de las Comisiones de Estudio, cumplen las funciones reglamentarias y políticas del Sector de Radiocomunicaciones.</w:t>
      </w:r>
    </w:p>
    <w:p w:rsidR="00042292" w:rsidRPr="00BC5877" w:rsidRDefault="00042292" w:rsidP="00BC5877">
      <w:pPr>
        <w:pStyle w:val="Heading1"/>
        <w:spacing w:before="340"/>
        <w:jc w:val="center"/>
        <w:rPr>
          <w:szCs w:val="24"/>
          <w:lang w:val="es-ES_tradnl"/>
        </w:rPr>
      </w:pPr>
      <w:r w:rsidRPr="00BC5877">
        <w:rPr>
          <w:lang w:val="es-ES_tradnl"/>
        </w:rPr>
        <w:t>Política sobre Derechos de Propiedad Intelectual</w:t>
      </w:r>
      <w:r w:rsidRPr="00BC5877">
        <w:rPr>
          <w:szCs w:val="24"/>
          <w:lang w:val="es-ES_tradnl"/>
        </w:rPr>
        <w:t xml:space="preserve"> (IPR)</w:t>
      </w:r>
    </w:p>
    <w:p w:rsidR="00042292" w:rsidRPr="00BC5877" w:rsidRDefault="00042292" w:rsidP="00BC5877">
      <w:pPr>
        <w:spacing w:before="180"/>
        <w:rPr>
          <w:sz w:val="20"/>
          <w:lang w:val="es-ES_tradnl"/>
        </w:rPr>
      </w:pPr>
      <w:r w:rsidRPr="00BC5877">
        <w:rPr>
          <w:sz w:val="20"/>
          <w:lang w:val="es-ES_tradnl"/>
        </w:rPr>
        <w:t>La política del UIT</w:t>
      </w:r>
      <w:r w:rsidRPr="00BC5877">
        <w:rPr>
          <w:sz w:val="20"/>
          <w:lang w:val="es-ES_tradnl"/>
        </w:rPr>
        <w:noBreakHyphen/>
        <w:t>R sobre Derechos de Propiedad Intelectual se describe en la Política Común de Patentes UIT</w:t>
      </w:r>
      <w:r w:rsidRPr="00BC5877">
        <w:rPr>
          <w:sz w:val="20"/>
          <w:lang w:val="es-ES_tradnl"/>
        </w:rPr>
        <w:noBreakHyphen/>
        <w:t>T/UIT</w:t>
      </w:r>
      <w:r w:rsidRPr="00BC5877">
        <w:rPr>
          <w:sz w:val="20"/>
          <w:lang w:val="es-ES_tradnl"/>
        </w:rPr>
        <w:noBreakHyphen/>
        <w:t>R/ISO/CEI a la que se hace referencia en el Anexo 1 a la Resolución UIT</w:t>
      </w:r>
      <w:r w:rsidRPr="00BC5877">
        <w:rPr>
          <w:sz w:val="20"/>
          <w:lang w:val="es-ES_tradnl"/>
        </w:rPr>
        <w:noBreakHyphen/>
        <w:t xml:space="preserve">R 1. Los formularios que deben utilizarse en la declaración sobre patentes y utilización de patentes por los titulares de las mismas figuran en la dirección web </w:t>
      </w:r>
      <w:hyperlink r:id="rId10" w:history="1">
        <w:r w:rsidRPr="00BC5877">
          <w:rPr>
            <w:rStyle w:val="Hyperlink"/>
            <w:sz w:val="20"/>
            <w:lang w:val="es-ES_tradnl"/>
          </w:rPr>
          <w:t>http://www.itu.int/ITU-R/go/patents/es</w:t>
        </w:r>
      </w:hyperlink>
      <w:r w:rsidRPr="00BC5877">
        <w:rPr>
          <w:sz w:val="20"/>
          <w:lang w:val="es-ES_tradnl"/>
        </w:rPr>
        <w:t>, donde también aparecen las Directrices para la implementación de la Política Común de Patentes UIT</w:t>
      </w:r>
      <w:r w:rsidRPr="00BC5877">
        <w:rPr>
          <w:sz w:val="20"/>
          <w:lang w:val="es-ES_tradnl"/>
        </w:rPr>
        <w:noBreakHyphen/>
        <w:t>T/UIT</w:t>
      </w:r>
      <w:r w:rsidRPr="00BC5877">
        <w:rPr>
          <w:sz w:val="20"/>
          <w:lang w:val="es-ES_tradnl"/>
        </w:rPr>
        <w:noBreakHyphen/>
        <w:t>R/ISO/CEI y la base de datos sobre información de patentes del UIT</w:t>
      </w:r>
      <w:r w:rsidRPr="00BC5877">
        <w:rPr>
          <w:sz w:val="20"/>
          <w:lang w:val="es-ES_tradnl"/>
        </w:rPr>
        <w:noBreakHyphen/>
        <w:t>R sobre este asunto.</w:t>
      </w:r>
    </w:p>
    <w:p w:rsidR="00042292" w:rsidRPr="00BC5877" w:rsidRDefault="00042292" w:rsidP="00BC5877">
      <w:pPr>
        <w:spacing w:before="0"/>
        <w:jc w:val="center"/>
        <w:rPr>
          <w:sz w:val="22"/>
          <w:lang w:val="es-ES_tradnl"/>
        </w:rPr>
      </w:pPr>
    </w:p>
    <w:p w:rsidR="00042292" w:rsidRPr="00BC5877" w:rsidRDefault="00042292" w:rsidP="00BC5877">
      <w:pPr>
        <w:spacing w:before="0"/>
        <w:jc w:val="center"/>
        <w:rPr>
          <w:sz w:val="22"/>
          <w:lang w:val="es-ES_tradnl"/>
        </w:rPr>
      </w:pPr>
    </w:p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000"/>
      </w:tblPr>
      <w:tblGrid>
        <w:gridCol w:w="1140"/>
        <w:gridCol w:w="8220"/>
      </w:tblGrid>
      <w:tr w:rsidR="00042292" w:rsidRPr="00BE5A6D" w:rsidTr="00CB1354">
        <w:tc>
          <w:tcPr>
            <w:tcW w:w="9360" w:type="dxa"/>
            <w:gridSpan w:val="2"/>
          </w:tcPr>
          <w:p w:rsidR="00042292" w:rsidRPr="00BC5877" w:rsidRDefault="00042292" w:rsidP="00BC5877">
            <w:pPr>
              <w:pStyle w:val="Chaptitle"/>
              <w:keepLines w:val="0"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spacing w:before="140"/>
              <w:textAlignment w:val="auto"/>
              <w:rPr>
                <w:sz w:val="22"/>
                <w:szCs w:val="22"/>
                <w:lang w:val="es-ES_tradnl"/>
              </w:rPr>
            </w:pPr>
            <w:r w:rsidRPr="00BC5877">
              <w:rPr>
                <w:sz w:val="22"/>
                <w:szCs w:val="22"/>
                <w:lang w:val="es-ES_tradnl"/>
              </w:rPr>
              <w:t xml:space="preserve">Series de las Recomendaciones UIT-R </w:t>
            </w:r>
          </w:p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60"/>
              <w:rPr>
                <w:bCs/>
                <w:sz w:val="18"/>
                <w:szCs w:val="18"/>
                <w:lang w:val="es-ES_tradnl"/>
              </w:rPr>
            </w:pPr>
            <w:r w:rsidRPr="00BC5877">
              <w:rPr>
                <w:b w:val="0"/>
                <w:sz w:val="18"/>
                <w:szCs w:val="18"/>
                <w:lang w:val="es-ES_tradnl"/>
              </w:rPr>
              <w:t xml:space="preserve">(También disponible en línea en </w:t>
            </w:r>
            <w:hyperlink r:id="rId11" w:history="1">
              <w:r w:rsidRPr="00BC5877">
                <w:rPr>
                  <w:rStyle w:val="Hyperlink"/>
                  <w:b w:val="0"/>
                  <w:bCs/>
                  <w:sz w:val="18"/>
                  <w:szCs w:val="18"/>
                  <w:lang w:val="es-ES_tradnl"/>
                </w:rPr>
                <w:t>http://www.itu.int/publ/R-REC/es</w:t>
              </w:r>
            </w:hyperlink>
            <w:r w:rsidRPr="00BC5877">
              <w:rPr>
                <w:b w:val="0"/>
                <w:bCs/>
                <w:sz w:val="18"/>
                <w:szCs w:val="18"/>
                <w:lang w:val="es-ES_tradnl"/>
              </w:rPr>
              <w:t>)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180" w:after="100"/>
              <w:ind w:left="57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Series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120" w:after="100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Título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BO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BC5877">
              <w:rPr>
                <w:b w:val="0"/>
                <w:bCs/>
                <w:sz w:val="20"/>
                <w:lang w:val="es-ES_tradnl"/>
              </w:rPr>
              <w:t>Distribución por satélite</w:t>
            </w:r>
          </w:p>
        </w:tc>
      </w:tr>
      <w:tr w:rsidR="00042292" w:rsidRPr="00BE5A6D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BR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BC5877">
              <w:rPr>
                <w:b w:val="0"/>
                <w:bCs/>
                <w:sz w:val="20"/>
                <w:lang w:val="es-ES_tradnl"/>
              </w:rPr>
              <w:t>Registro para producción, archivo y reproducción; películas en televisión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BS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BC5877">
              <w:rPr>
                <w:b w:val="0"/>
                <w:bCs/>
                <w:sz w:val="20"/>
                <w:lang w:val="es-ES_tradnl"/>
              </w:rPr>
              <w:t>Servicio de radiodifusión sonora</w:t>
            </w:r>
          </w:p>
        </w:tc>
      </w:tr>
      <w:tr w:rsidR="00042292" w:rsidRPr="00BC5877" w:rsidTr="00CB1354">
        <w:tc>
          <w:tcPr>
            <w:tcW w:w="1140" w:type="dxa"/>
            <w:shd w:val="clear" w:color="auto" w:fill="auto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BT</w:t>
            </w:r>
          </w:p>
        </w:tc>
        <w:tc>
          <w:tcPr>
            <w:tcW w:w="8220" w:type="dxa"/>
            <w:shd w:val="clear" w:color="auto" w:fill="auto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 w:val="0"/>
                <w:bCs/>
                <w:sz w:val="20"/>
                <w:lang w:val="es-ES_tradnl"/>
              </w:rPr>
            </w:pPr>
            <w:r w:rsidRPr="00BC5877">
              <w:rPr>
                <w:b w:val="0"/>
                <w:bCs/>
                <w:sz w:val="20"/>
                <w:lang w:val="es-ES_tradnl"/>
              </w:rPr>
              <w:t>Servicio de radiodifusión (televisión)</w:t>
            </w:r>
          </w:p>
        </w:tc>
      </w:tr>
      <w:tr w:rsidR="00042292" w:rsidRPr="00BC5877" w:rsidTr="00CB1354">
        <w:tc>
          <w:tcPr>
            <w:tcW w:w="1140" w:type="dxa"/>
            <w:shd w:val="clear" w:color="auto" w:fill="auto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F</w:t>
            </w:r>
          </w:p>
        </w:tc>
        <w:tc>
          <w:tcPr>
            <w:tcW w:w="8220" w:type="dxa"/>
            <w:shd w:val="clear" w:color="auto" w:fill="auto"/>
          </w:tcPr>
          <w:p w:rsidR="00042292" w:rsidRPr="00BC5877" w:rsidRDefault="00042292" w:rsidP="00BC587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Servicio fijo</w:t>
            </w:r>
          </w:p>
        </w:tc>
      </w:tr>
      <w:tr w:rsidR="00042292" w:rsidRPr="00BE5A6D" w:rsidTr="00CB1354">
        <w:tc>
          <w:tcPr>
            <w:tcW w:w="1140" w:type="dxa"/>
            <w:shd w:val="clear" w:color="auto" w:fill="F3F3F3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color w:val="000080"/>
                <w:sz w:val="20"/>
                <w:lang w:val="es-ES_tradnl"/>
              </w:rPr>
            </w:pPr>
            <w:r w:rsidRPr="00BC5877">
              <w:rPr>
                <w:b/>
                <w:bCs/>
                <w:color w:val="000080"/>
                <w:sz w:val="20"/>
                <w:lang w:val="es-ES_tradnl"/>
              </w:rPr>
              <w:t>M</w:t>
            </w:r>
          </w:p>
        </w:tc>
        <w:tc>
          <w:tcPr>
            <w:tcW w:w="8220" w:type="dxa"/>
            <w:shd w:val="clear" w:color="auto" w:fill="F3F3F3"/>
          </w:tcPr>
          <w:p w:rsidR="00042292" w:rsidRPr="00BC5877" w:rsidRDefault="00042292" w:rsidP="00BC5877">
            <w:pPr>
              <w:pStyle w:val="Tablehead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jc w:val="left"/>
              <w:rPr>
                <w:bCs/>
                <w:color w:val="000080"/>
                <w:sz w:val="20"/>
                <w:lang w:val="es-ES_tradnl"/>
              </w:rPr>
            </w:pPr>
            <w:r w:rsidRPr="00BC5877">
              <w:rPr>
                <w:bCs/>
                <w:color w:val="000080"/>
                <w:sz w:val="20"/>
                <w:lang w:val="es-ES_tradnl"/>
              </w:rPr>
              <w:t>Servicios móviles, de radiodeterminación, de aficionados y otros servicios por satélite conexos</w:t>
            </w:r>
          </w:p>
        </w:tc>
      </w:tr>
      <w:tr w:rsidR="00042292" w:rsidRPr="00BE5A6D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P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Propagación de las ondas radioeléctricas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RA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Radio astronomía</w:t>
            </w:r>
          </w:p>
        </w:tc>
      </w:tr>
      <w:tr w:rsidR="00042292" w:rsidRPr="00BE5A6D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RS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794"/>
                <w:tab w:val="left" w:pos="1191"/>
                <w:tab w:val="left" w:pos="1588"/>
              </w:tabs>
              <w:spacing w:before="30" w:after="30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Sistemas de detección a distancia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Servicio fijo por satélite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SA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Aplicaciones espaciales y meteorología</w:t>
            </w:r>
          </w:p>
        </w:tc>
      </w:tr>
      <w:tr w:rsidR="00042292" w:rsidRPr="00BE5A6D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SF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Compartición de frecuencias y coordinación entre los sistemas del servicio fijo por satélite y del servicio fijo</w:t>
            </w:r>
          </w:p>
        </w:tc>
      </w:tr>
      <w:tr w:rsidR="00042292" w:rsidRPr="00BC5877" w:rsidTr="00CB1354">
        <w:tc>
          <w:tcPr>
            <w:tcW w:w="1140" w:type="dxa"/>
            <w:shd w:val="clear" w:color="auto" w:fill="auto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SM</w:t>
            </w:r>
          </w:p>
        </w:tc>
        <w:tc>
          <w:tcPr>
            <w:tcW w:w="8220" w:type="dxa"/>
            <w:shd w:val="clear" w:color="auto" w:fill="auto"/>
          </w:tcPr>
          <w:p w:rsidR="00042292" w:rsidRPr="00BC5877" w:rsidRDefault="00042292" w:rsidP="00BC5877">
            <w:pPr>
              <w:spacing w:before="30" w:after="30"/>
              <w:jc w:val="left"/>
              <w:rPr>
                <w:sz w:val="20"/>
                <w:lang w:val="es-ES_tradnl"/>
              </w:rPr>
            </w:pPr>
            <w:r w:rsidRPr="00BC5877">
              <w:rPr>
                <w:sz w:val="20"/>
                <w:lang w:val="es-ES_tradnl"/>
              </w:rPr>
              <w:t>Gestión del espectro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SNG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Periodismo electrónico por satélite</w:t>
            </w:r>
          </w:p>
        </w:tc>
      </w:tr>
      <w:tr w:rsidR="00042292" w:rsidRPr="00BE5A6D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TF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3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Emisiones de frecuencias patrón y señales horarias</w:t>
            </w:r>
          </w:p>
        </w:tc>
      </w:tr>
      <w:tr w:rsidR="00042292" w:rsidRPr="00BC5877" w:rsidTr="00CB1354">
        <w:tc>
          <w:tcPr>
            <w:tcW w:w="1140" w:type="dxa"/>
          </w:tcPr>
          <w:p w:rsidR="00042292" w:rsidRPr="00BC5877" w:rsidRDefault="00042292" w:rsidP="00BC5877">
            <w:pPr>
              <w:spacing w:before="30" w:after="30"/>
              <w:ind w:left="57"/>
              <w:jc w:val="left"/>
              <w:rPr>
                <w:b/>
                <w:bCs/>
                <w:sz w:val="20"/>
                <w:lang w:val="es-ES_tradnl"/>
              </w:rPr>
            </w:pPr>
            <w:r w:rsidRPr="00BC5877">
              <w:rPr>
                <w:b/>
                <w:bCs/>
                <w:sz w:val="20"/>
                <w:lang w:val="es-ES_tradnl"/>
              </w:rPr>
              <w:t>V</w:t>
            </w:r>
          </w:p>
        </w:tc>
        <w:tc>
          <w:tcPr>
            <w:tcW w:w="8220" w:type="dxa"/>
          </w:tcPr>
          <w:p w:rsidR="00042292" w:rsidRPr="00BC5877" w:rsidRDefault="00042292" w:rsidP="00BC5877">
            <w:pPr>
              <w:spacing w:before="30" w:after="140"/>
              <w:jc w:val="left"/>
              <w:rPr>
                <w:bCs/>
                <w:sz w:val="20"/>
                <w:lang w:val="es-ES_tradnl"/>
              </w:rPr>
            </w:pPr>
            <w:r w:rsidRPr="00BC5877">
              <w:rPr>
                <w:bCs/>
                <w:sz w:val="20"/>
                <w:lang w:val="es-ES_tradnl"/>
              </w:rPr>
              <w:t>Vocabulario y cuestiones afines</w:t>
            </w:r>
          </w:p>
        </w:tc>
      </w:tr>
    </w:tbl>
    <w:p w:rsidR="00042292" w:rsidRPr="00BC5877" w:rsidRDefault="00042292" w:rsidP="00BC5877">
      <w:pPr>
        <w:spacing w:before="0" w:after="140"/>
        <w:jc w:val="center"/>
        <w:rPr>
          <w:sz w:val="20"/>
          <w:lang w:val="es-ES_tradnl"/>
        </w:rPr>
      </w:pPr>
    </w:p>
    <w:tbl>
      <w:tblPr>
        <w:tblpPr w:leftFromText="180" w:rightFromText="180" w:vertAnchor="text" w:tblpX="-5771" w:tblpY="-4031"/>
        <w:tblW w:w="0" w:type="auto"/>
        <w:tblLook w:val="0000"/>
      </w:tblPr>
      <w:tblGrid>
        <w:gridCol w:w="720"/>
      </w:tblGrid>
      <w:tr w:rsidR="00042292" w:rsidRPr="00BC5877" w:rsidTr="00CB1354">
        <w:tc>
          <w:tcPr>
            <w:tcW w:w="720" w:type="dxa"/>
          </w:tcPr>
          <w:p w:rsidR="00042292" w:rsidRPr="00BC5877" w:rsidRDefault="00042292" w:rsidP="00BC5877">
            <w:pPr>
              <w:spacing w:before="0"/>
              <w:jc w:val="center"/>
              <w:rPr>
                <w:sz w:val="22"/>
                <w:lang w:val="es-ES_tradnl"/>
              </w:rPr>
            </w:pPr>
          </w:p>
        </w:tc>
      </w:tr>
    </w:tbl>
    <w:tbl>
      <w:tblPr>
        <w:tblW w:w="0" w:type="auto"/>
        <w:tblInd w:w="288" w:type="dxa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/>
      </w:tblPr>
      <w:tblGrid>
        <w:gridCol w:w="9360"/>
      </w:tblGrid>
      <w:tr w:rsidR="00042292" w:rsidRPr="00BE5A6D" w:rsidTr="00A07AEB">
        <w:tc>
          <w:tcPr>
            <w:tcW w:w="9360" w:type="dxa"/>
          </w:tcPr>
          <w:p w:rsidR="00042292" w:rsidRPr="00BC5877" w:rsidRDefault="005354FC" w:rsidP="00BC5877">
            <w:pPr>
              <w:spacing w:before="92" w:after="92"/>
              <w:jc w:val="left"/>
              <w:rPr>
                <w:i/>
                <w:iCs/>
                <w:sz w:val="20"/>
                <w:lang w:val="es-ES_tradnl"/>
              </w:rPr>
            </w:pPr>
            <w:r w:rsidRPr="00BC5877">
              <w:rPr>
                <w:b/>
                <w:bCs/>
                <w:i/>
                <w:iCs/>
                <w:sz w:val="20"/>
                <w:lang w:val="es-ES_tradnl"/>
              </w:rPr>
              <w:t xml:space="preserve">    </w:t>
            </w:r>
            <w:r w:rsidR="00042292" w:rsidRPr="00BC5877">
              <w:rPr>
                <w:b/>
                <w:bCs/>
                <w:i/>
                <w:iCs/>
                <w:sz w:val="20"/>
                <w:lang w:val="es-ES_tradnl"/>
              </w:rPr>
              <w:t xml:space="preserve"> Nota</w:t>
            </w:r>
            <w:r w:rsidR="00042292" w:rsidRPr="00BC5877">
              <w:rPr>
                <w:i/>
                <w:iCs/>
                <w:sz w:val="20"/>
                <w:lang w:val="es-ES_tradnl"/>
              </w:rPr>
              <w:t xml:space="preserve">: Esta Recomendación UIT-R fue aprobada en inglés conforme al procedimiento detallado en la </w:t>
            </w:r>
            <w:r w:rsidR="00042292" w:rsidRPr="00BC5877">
              <w:rPr>
                <w:i/>
                <w:iCs/>
                <w:sz w:val="20"/>
                <w:lang w:val="es-ES_tradnl"/>
              </w:rPr>
              <w:br/>
            </w:r>
            <w:r w:rsidRPr="00BC5877">
              <w:rPr>
                <w:i/>
                <w:iCs/>
                <w:sz w:val="20"/>
                <w:lang w:val="es-ES_tradnl"/>
              </w:rPr>
              <w:t xml:space="preserve">    </w:t>
            </w:r>
            <w:r w:rsidR="00042292" w:rsidRPr="00BC5877">
              <w:rPr>
                <w:i/>
                <w:iCs/>
                <w:sz w:val="20"/>
                <w:lang w:val="es-ES_tradnl"/>
              </w:rPr>
              <w:t>Resolución UIT-R 1.</w:t>
            </w:r>
          </w:p>
        </w:tc>
      </w:tr>
    </w:tbl>
    <w:p w:rsidR="00042292" w:rsidRPr="00BC5877" w:rsidRDefault="00042292" w:rsidP="00BC5877">
      <w:pPr>
        <w:spacing w:before="0"/>
        <w:jc w:val="center"/>
        <w:rPr>
          <w:sz w:val="22"/>
          <w:lang w:val="es-ES_tradnl"/>
        </w:rPr>
      </w:pPr>
    </w:p>
    <w:p w:rsidR="00042292" w:rsidRPr="00BC5877" w:rsidRDefault="00042292" w:rsidP="00BC5877">
      <w:pPr>
        <w:spacing w:before="60"/>
        <w:jc w:val="right"/>
        <w:rPr>
          <w:i/>
          <w:iCs/>
          <w:sz w:val="20"/>
          <w:lang w:val="es-ES_tradnl"/>
        </w:rPr>
      </w:pPr>
      <w:r w:rsidRPr="00BC5877">
        <w:rPr>
          <w:i/>
          <w:iCs/>
          <w:sz w:val="20"/>
          <w:lang w:val="es-ES_tradnl"/>
        </w:rPr>
        <w:t>Publicación electrónica</w:t>
      </w:r>
    </w:p>
    <w:p w:rsidR="00042292" w:rsidRPr="00BC5877" w:rsidRDefault="00042292" w:rsidP="00BC5877">
      <w:pPr>
        <w:spacing w:before="0" w:after="40"/>
        <w:jc w:val="right"/>
        <w:rPr>
          <w:sz w:val="20"/>
          <w:lang w:val="es-ES_tradnl"/>
        </w:rPr>
      </w:pPr>
      <w:r w:rsidRPr="00BC5877">
        <w:rPr>
          <w:sz w:val="20"/>
          <w:lang w:val="es-ES_tradnl"/>
        </w:rPr>
        <w:t>Ginebra, 20</w:t>
      </w:r>
      <w:r w:rsidR="001B26B3" w:rsidRPr="00BC5877">
        <w:rPr>
          <w:sz w:val="20"/>
          <w:lang w:val="es-ES_tradnl"/>
        </w:rPr>
        <w:t>10</w:t>
      </w:r>
    </w:p>
    <w:p w:rsidR="00042292" w:rsidRPr="00BC5877" w:rsidRDefault="00042292" w:rsidP="00BC5877">
      <w:pPr>
        <w:spacing w:before="0"/>
        <w:jc w:val="center"/>
        <w:rPr>
          <w:sz w:val="22"/>
          <w:lang w:val="es-ES_tradnl"/>
        </w:rPr>
      </w:pPr>
    </w:p>
    <w:p w:rsidR="00042292" w:rsidRPr="00BC5877" w:rsidRDefault="00042292" w:rsidP="00BC5877">
      <w:pPr>
        <w:spacing w:before="0"/>
        <w:jc w:val="center"/>
        <w:rPr>
          <w:sz w:val="20"/>
          <w:lang w:val="es-ES_tradnl"/>
        </w:rPr>
      </w:pPr>
      <w:r w:rsidRPr="00BC5877">
        <w:rPr>
          <w:sz w:val="20"/>
          <w:lang w:val="es-ES_tradnl"/>
        </w:rPr>
        <w:sym w:font="Symbol" w:char="F0E3"/>
      </w:r>
      <w:r w:rsidRPr="00BC5877">
        <w:rPr>
          <w:sz w:val="20"/>
          <w:lang w:val="es-ES_tradnl"/>
        </w:rPr>
        <w:t xml:space="preserve"> UIT </w:t>
      </w:r>
      <w:bookmarkStart w:id="1" w:name="iiannee"/>
      <w:bookmarkEnd w:id="1"/>
      <w:r w:rsidRPr="00BC5877">
        <w:rPr>
          <w:sz w:val="20"/>
          <w:lang w:val="es-ES_tradnl"/>
        </w:rPr>
        <w:t>20</w:t>
      </w:r>
      <w:r w:rsidR="001B26B3" w:rsidRPr="00BC5877">
        <w:rPr>
          <w:sz w:val="20"/>
          <w:lang w:val="es-ES_tradnl"/>
        </w:rPr>
        <w:t>10</w:t>
      </w:r>
    </w:p>
    <w:p w:rsidR="00042292" w:rsidRPr="00BC5877" w:rsidRDefault="00042292" w:rsidP="00BC5877">
      <w:pPr>
        <w:spacing w:before="80"/>
        <w:rPr>
          <w:sz w:val="18"/>
          <w:szCs w:val="18"/>
          <w:lang w:val="es-ES_tradnl"/>
        </w:rPr>
      </w:pPr>
      <w:r w:rsidRPr="00BC5877">
        <w:rPr>
          <w:sz w:val="18"/>
          <w:szCs w:val="18"/>
          <w:lang w:val="es-ES_tradnl"/>
        </w:rPr>
        <w:t>Reservados todos los derechos. Ninguna parte de esta publicación puede reproducirse por ningún procedimiento sin previa autorización escrita por parte de la UIT.</w:t>
      </w:r>
    </w:p>
    <w:p w:rsidR="00042292" w:rsidRPr="00BC5877" w:rsidRDefault="00042292" w:rsidP="00BC5877">
      <w:pPr>
        <w:spacing w:before="160"/>
        <w:rPr>
          <w:i/>
          <w:sz w:val="20"/>
          <w:highlight w:val="yellow"/>
          <w:lang w:val="es-ES_tradnl"/>
        </w:rPr>
        <w:sectPr w:rsidR="00042292" w:rsidRPr="00BC5877" w:rsidSect="00CB1354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gNumType w:fmt="lowerRoman" w:start="2"/>
          <w:cols w:space="720"/>
        </w:sectPr>
      </w:pPr>
    </w:p>
    <w:p w:rsidR="003639DC" w:rsidRPr="00BC5877" w:rsidRDefault="003639DC" w:rsidP="00BC5877">
      <w:pPr>
        <w:pStyle w:val="RecNo"/>
        <w:spacing w:before="0"/>
        <w:rPr>
          <w:lang w:val="es-ES_tradnl"/>
        </w:rPr>
      </w:pPr>
      <w:bookmarkStart w:id="2" w:name="irecnoe"/>
      <w:bookmarkEnd w:id="2"/>
      <w:r w:rsidRPr="00BC5877">
        <w:rPr>
          <w:lang w:val="es-ES_tradnl"/>
        </w:rPr>
        <w:lastRenderedPageBreak/>
        <w:t>RECOMENDACIÓN</w:t>
      </w:r>
      <w:r w:rsidR="005354FC" w:rsidRPr="00BC5877">
        <w:rPr>
          <w:lang w:val="es-ES_tradnl"/>
        </w:rPr>
        <w:t xml:space="preserve">  </w:t>
      </w:r>
      <w:r w:rsidRPr="00BC5877">
        <w:rPr>
          <w:rStyle w:val="href"/>
          <w:lang w:val="es-ES_tradnl"/>
        </w:rPr>
        <w:t>UIT-R</w:t>
      </w:r>
      <w:r w:rsidR="005354FC" w:rsidRPr="00BC5877">
        <w:rPr>
          <w:rStyle w:val="href"/>
          <w:lang w:val="es-ES_tradnl"/>
        </w:rPr>
        <w:t xml:space="preserve">  </w:t>
      </w:r>
      <w:r w:rsidRPr="00BC5877">
        <w:rPr>
          <w:rStyle w:val="href"/>
          <w:lang w:val="es-ES_tradnl"/>
        </w:rPr>
        <w:t>M.1854</w:t>
      </w:r>
    </w:p>
    <w:p w:rsidR="00042292" w:rsidRPr="00BC5877" w:rsidRDefault="003639DC" w:rsidP="00BC5877">
      <w:pPr>
        <w:pStyle w:val="Rectitle"/>
        <w:rPr>
          <w:bCs/>
          <w:lang w:val="es-ES_tradnl"/>
        </w:rPr>
      </w:pPr>
      <w:r w:rsidRPr="00BC5877">
        <w:rPr>
          <w:bCs/>
          <w:lang w:val="es-ES_tradnl"/>
        </w:rPr>
        <w:t>Utilización del servicio móvil por satélite para respuesta</w:t>
      </w:r>
      <w:r w:rsidRPr="00BC5877">
        <w:rPr>
          <w:bCs/>
          <w:lang w:val="es-ES_tradnl"/>
        </w:rPr>
        <w:br/>
        <w:t>y socorro en caso de catástrofe</w:t>
      </w:r>
    </w:p>
    <w:p w:rsidR="003639DC" w:rsidRDefault="003639DC" w:rsidP="00BC5877">
      <w:pPr>
        <w:pStyle w:val="Recref"/>
        <w:rPr>
          <w:lang w:val="es-ES_tradnl"/>
        </w:rPr>
      </w:pPr>
      <w:r w:rsidRPr="00BC5877">
        <w:rPr>
          <w:lang w:val="es-ES_tradnl"/>
        </w:rPr>
        <w:t>(Cuestiones UIT-R 286/4 y 227/4)</w:t>
      </w:r>
    </w:p>
    <w:p w:rsidR="000961A9" w:rsidRPr="00BE5A6D" w:rsidRDefault="000961A9" w:rsidP="000961A9">
      <w:pPr>
        <w:pStyle w:val="Blanc"/>
        <w:rPr>
          <w:lang w:val="es-ES_tradnl"/>
        </w:rPr>
      </w:pPr>
    </w:p>
    <w:p w:rsidR="003639DC" w:rsidRDefault="003639DC" w:rsidP="00BC5877">
      <w:pPr>
        <w:pStyle w:val="Recdate"/>
        <w:rPr>
          <w:lang w:val="es-ES_tradnl"/>
        </w:rPr>
      </w:pPr>
      <w:r w:rsidRPr="00BC5877">
        <w:rPr>
          <w:lang w:val="es-ES_tradnl"/>
        </w:rPr>
        <w:t>(2010)</w:t>
      </w:r>
    </w:p>
    <w:p w:rsidR="000961A9" w:rsidRPr="00BE5A6D" w:rsidRDefault="000961A9" w:rsidP="000961A9">
      <w:pPr>
        <w:pStyle w:val="Blanc"/>
        <w:rPr>
          <w:lang w:val="es-ES_tradnl"/>
        </w:rPr>
      </w:pPr>
    </w:p>
    <w:p w:rsidR="003639DC" w:rsidRPr="00BC5877" w:rsidRDefault="009B20C7" w:rsidP="000961A9">
      <w:pPr>
        <w:pStyle w:val="HeadingSum"/>
      </w:pPr>
      <w:r w:rsidRPr="00BC5877">
        <w:t>Cometido</w:t>
      </w:r>
    </w:p>
    <w:p w:rsidR="003639DC" w:rsidRPr="00BC5877" w:rsidRDefault="003639DC" w:rsidP="00BC5877">
      <w:pPr>
        <w:pStyle w:val="Summary"/>
      </w:pPr>
      <w:r w:rsidRPr="00BC5877">
        <w:t>Esta Recomendación contiene información sobre la gama de frecuencias utilizada por los sistemas del servicio móvil por satélite (SMS) que los Estados Miembros podrían identificar para telecomunicaciones de alerta temprana y socorro en caso de catástrofe, de conformidad con las Resoluciones UIT-R 53 (AR-07), UIT-R 55 (AR-07), 644 (Rev.</w:t>
      </w:r>
      <w:r w:rsidR="007602F4" w:rsidRPr="00BC5877">
        <w:t> </w:t>
      </w:r>
      <w:r w:rsidRPr="00BC5877">
        <w:t>CMR-07), 646 (CMR-03) y 647 (CMR-07).</w:t>
      </w:r>
    </w:p>
    <w:p w:rsidR="003639DC" w:rsidRPr="00BC5877" w:rsidRDefault="003639DC" w:rsidP="000961A9">
      <w:pPr>
        <w:pStyle w:val="Normalaftertitle"/>
        <w:rPr>
          <w:lang w:val="es-ES_tradnl"/>
        </w:rPr>
      </w:pPr>
      <w:r w:rsidRPr="00BC5877">
        <w:rPr>
          <w:lang w:val="es-ES_tradnl"/>
        </w:rPr>
        <w:t>La Asamble</w:t>
      </w:r>
      <w:r w:rsidR="00D07986" w:rsidRPr="00BC5877">
        <w:rPr>
          <w:lang w:val="es-ES_tradnl"/>
        </w:rPr>
        <w:t>a</w:t>
      </w:r>
      <w:r w:rsidRPr="00BC5877">
        <w:rPr>
          <w:lang w:val="es-ES_tradnl"/>
        </w:rPr>
        <w:t xml:space="preserve"> de Radiocomunicaciones de la UIT,</w:t>
      </w:r>
    </w:p>
    <w:p w:rsidR="003639DC" w:rsidRPr="00BC5877" w:rsidRDefault="003639DC" w:rsidP="00BC5877">
      <w:pPr>
        <w:pStyle w:val="Call"/>
        <w:rPr>
          <w:lang w:val="es-ES_tradnl"/>
        </w:rPr>
      </w:pPr>
      <w:r w:rsidRPr="00BC5877">
        <w:rPr>
          <w:lang w:val="es-ES_tradnl"/>
        </w:rPr>
        <w:t>considerando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a)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el efecto característico de las catástrofes es la pérdida de la infraestructura local de telecomunicaciones terrenales;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b)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no se puede predecir el lugar y el momento en los cuales ocurren las catástrofes;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c)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 xml:space="preserve">que gracias a su independencia de la infraestructura local, su cobertura de zona amplia y su facilidad de despliegue, los servicios móviles por satélite (SMS) pueden proporcionar un medio inmediato de telecomunicación para </w:t>
      </w:r>
      <w:r w:rsidR="00D07986" w:rsidRPr="00BC5877">
        <w:rPr>
          <w:lang w:val="es-ES_tradnl"/>
        </w:rPr>
        <w:t xml:space="preserve">ayudar a </w:t>
      </w:r>
      <w:r w:rsidR="003639DC" w:rsidRPr="00BC5877">
        <w:rPr>
          <w:lang w:val="es-ES_tradnl"/>
        </w:rPr>
        <w:t xml:space="preserve">ponerse en contacto con el público y facilitar las operaciones de </w:t>
      </w:r>
      <w:r w:rsidR="00D07986" w:rsidRPr="00BC5877">
        <w:rPr>
          <w:lang w:val="es-ES_tradnl"/>
        </w:rPr>
        <w:t>socorro</w:t>
      </w:r>
      <w:r w:rsidR="003639DC" w:rsidRPr="00BC5877">
        <w:rPr>
          <w:lang w:val="es-ES_tradnl"/>
        </w:rPr>
        <w:t>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d)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el despliegue fiable y rápido de equipos de telecomunicaciones es esencial para las operaciones de socorro en caso de catástrofe natural y situaciones de emergencia similares;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e)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la imprevisibilidad del lugar y el momento en el que ocurrirá una catástrofe exige la planificación previa del espectro y el equipo</w:t>
      </w:r>
      <w:r w:rsidR="00D07986" w:rsidRPr="00BC5877">
        <w:rPr>
          <w:lang w:val="es-ES_tradnl"/>
        </w:rPr>
        <w:t xml:space="preserve"> que se han de utilizar</w:t>
      </w:r>
      <w:r w:rsidR="003639DC" w:rsidRPr="00BC5877">
        <w:rPr>
          <w:lang w:val="es-ES_tradnl"/>
        </w:rPr>
        <w:t>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f)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los terminales móviles de satélite y sus equipos auxiliares pueden desplegarse de manera ubicua y en ocasiones pueden ser la única solución posible con el fin de prestar servicios de telecomunicaciones de emergencia para operaciones de socorro, y que se puede necesitar la autorización de las administraciones en relación con el espectro que se ha de utilizar;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lang w:val="es-ES_tradnl"/>
        </w:rPr>
        <w:t>g)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tales equipos pueden desempeñar una diversidad de funciones, con inclusión, entre otras, de las comunicaciones de voz y datos, presentación de informes en el terreno, compilación de datos, información sobre la posición y transmisión de imágenes</w:t>
      </w:r>
      <w:r w:rsidR="00135AB4" w:rsidRPr="00BC5877">
        <w:rPr>
          <w:lang w:val="es-ES_tradnl"/>
        </w:rPr>
        <w:t>,</w:t>
      </w:r>
    </w:p>
    <w:p w:rsidR="003639DC" w:rsidRPr="00BC5877" w:rsidRDefault="003639DC" w:rsidP="00BC5877">
      <w:pPr>
        <w:pStyle w:val="Call"/>
        <w:rPr>
          <w:lang w:val="es-ES_tradnl"/>
        </w:rPr>
      </w:pPr>
      <w:r w:rsidRPr="00BC5877">
        <w:rPr>
          <w:lang w:val="es-ES_tradnl"/>
        </w:rPr>
        <w:t>reconociendo</w:t>
      </w:r>
    </w:p>
    <w:p w:rsidR="003639DC" w:rsidRPr="00BC5877" w:rsidRDefault="003F6708" w:rsidP="00500E12">
      <w:pPr>
        <w:rPr>
          <w:rFonts w:eastAsiaTheme="minorEastAsia"/>
          <w:lang w:val="es-ES_tradnl" w:eastAsia="zh-CN"/>
        </w:rPr>
      </w:pPr>
      <w:r w:rsidRPr="00BC5877">
        <w:rPr>
          <w:lang w:val="es-ES_tradnl"/>
        </w:rPr>
        <w:t>a)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en la Resolución</w:t>
      </w:r>
      <w:r w:rsidR="00500E12">
        <w:rPr>
          <w:lang w:val="es-ES_tradnl"/>
        </w:rPr>
        <w:t> </w:t>
      </w:r>
      <w:r w:rsidR="003639DC" w:rsidRPr="00BC5877">
        <w:rPr>
          <w:lang w:val="es-ES_tradnl"/>
        </w:rPr>
        <w:t>136 (Antalya, 2006) de la Conferencia de Plenipotenciarios</w:t>
      </w:r>
      <w:r w:rsidR="00D07986" w:rsidRPr="00BC5877">
        <w:rPr>
          <w:lang w:val="es-ES_tradnl"/>
        </w:rPr>
        <w:t>,</w:t>
      </w:r>
      <w:r w:rsidR="003639DC" w:rsidRPr="00BC5877">
        <w:rPr>
          <w:lang w:val="es-ES_tradnl"/>
        </w:rPr>
        <w:t xml:space="preserve"> sobre </w:t>
      </w:r>
      <w:r w:rsidR="00D07986" w:rsidRPr="00BC5877">
        <w:rPr>
          <w:rFonts w:eastAsiaTheme="minorEastAsia"/>
          <w:lang w:val="es-ES_tradnl" w:eastAsia="zh-CN"/>
        </w:rPr>
        <w:t>u</w:t>
      </w:r>
      <w:r w:rsidR="003639DC" w:rsidRPr="00BC5877">
        <w:rPr>
          <w:rFonts w:eastAsiaTheme="minorEastAsia"/>
          <w:lang w:val="es-ES_tradnl" w:eastAsia="zh-CN"/>
        </w:rPr>
        <w:t>tilización de las telecomunicaciones/tecnologías de la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información y la comunicación en el control y la gestión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de situaciones de emergencia y catástrofes para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la alerta temprana, la prevención, la disminución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de los efectos de las catástrofes y las operaciones de socorro</w:t>
      </w:r>
      <w:r w:rsidR="00D07986" w:rsidRPr="00BC5877">
        <w:rPr>
          <w:rFonts w:eastAsiaTheme="minorEastAsia"/>
          <w:lang w:val="es-ES_tradnl" w:eastAsia="zh-CN"/>
        </w:rPr>
        <w:t>,</w:t>
      </w:r>
      <w:r w:rsidR="003639DC" w:rsidRPr="00BC5877">
        <w:rPr>
          <w:rFonts w:eastAsiaTheme="minorEastAsia"/>
          <w:lang w:val="es-ES_tradnl" w:eastAsia="zh-CN"/>
        </w:rPr>
        <w:t xml:space="preserve"> se resuelve principalmente encomendar a los Directores de las Oficinas:</w:t>
      </w:r>
    </w:p>
    <w:p w:rsidR="003639DC" w:rsidRPr="00BC5877" w:rsidRDefault="003F6708" w:rsidP="00BC5877">
      <w:pPr>
        <w:pStyle w:val="enumlev1"/>
        <w:rPr>
          <w:rFonts w:eastAsiaTheme="minorEastAsia"/>
          <w:lang w:val="es-ES_tradnl" w:eastAsia="zh-CN"/>
        </w:rPr>
      </w:pPr>
      <w:r w:rsidRPr="00BC5877">
        <w:rPr>
          <w:rFonts w:eastAsiaTheme="minorEastAsia"/>
          <w:lang w:val="es-ES_tradnl" w:eastAsia="zh-CN"/>
        </w:rPr>
        <w:t>–</w:t>
      </w:r>
      <w:r w:rsidRPr="00BC5877">
        <w:rPr>
          <w:rFonts w:eastAsiaTheme="minorEastAsia"/>
          <w:lang w:val="es-ES_tradnl" w:eastAsia="zh-CN"/>
        </w:rPr>
        <w:tab/>
      </w:r>
      <w:r w:rsidR="003639DC" w:rsidRPr="00BC5877">
        <w:rPr>
          <w:rFonts w:eastAsiaTheme="minorEastAsia"/>
          <w:lang w:val="es-ES_tradnl" w:eastAsia="zh-CN"/>
        </w:rPr>
        <w:t>que prosigan sus estudios técnicos sobre la aplicación técnica y operativa, según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proceda, de soluciones avanzadas que atiendan a las necesidades de la protección civil y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las telecomunicaciones/TIC</w:t>
      </w:r>
      <w:r w:rsidR="00D07986" w:rsidRPr="00BC5877">
        <w:rPr>
          <w:rFonts w:eastAsiaTheme="minorEastAsia"/>
          <w:lang w:val="es-ES_tradnl" w:eastAsia="zh-CN"/>
        </w:rPr>
        <w:t xml:space="preserve"> para operaciones de socorro en caso de catástrofe</w:t>
      </w:r>
      <w:r w:rsidR="003639DC" w:rsidRPr="00BC5877">
        <w:rPr>
          <w:rFonts w:eastAsiaTheme="minorEastAsia"/>
          <w:lang w:val="es-ES_tradnl" w:eastAsia="zh-CN"/>
        </w:rPr>
        <w:t>;</w:t>
      </w:r>
    </w:p>
    <w:p w:rsidR="003639DC" w:rsidRPr="00BC5877" w:rsidRDefault="003F6708" w:rsidP="00BC5877">
      <w:pPr>
        <w:pStyle w:val="enumlev1"/>
        <w:rPr>
          <w:rFonts w:eastAsiaTheme="minorEastAsia"/>
          <w:lang w:val="es-ES_tradnl" w:eastAsia="zh-CN"/>
        </w:rPr>
      </w:pPr>
      <w:r w:rsidRPr="00BC5877">
        <w:rPr>
          <w:rFonts w:eastAsiaTheme="minorEastAsia"/>
          <w:lang w:val="es-ES_tradnl" w:eastAsia="zh-CN"/>
        </w:rPr>
        <w:lastRenderedPageBreak/>
        <w:t>–</w:t>
      </w:r>
      <w:r w:rsidRPr="00BC5877">
        <w:rPr>
          <w:rFonts w:eastAsiaTheme="minorEastAsia"/>
          <w:lang w:val="es-ES_tradnl" w:eastAsia="zh-CN"/>
        </w:rPr>
        <w:tab/>
      </w:r>
      <w:r w:rsidR="003639DC" w:rsidRPr="00BC5877">
        <w:rPr>
          <w:rFonts w:eastAsiaTheme="minorEastAsia"/>
          <w:lang w:val="es-ES_tradnl" w:eastAsia="zh-CN"/>
        </w:rPr>
        <w:t>que respalden la creación de sistemas de alerta temprana, de disminución de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los efectos de las catástrofes y de socorro robustos, completos y para todo tipo de</w:t>
      </w:r>
      <w:r w:rsidRPr="00BC5877">
        <w:rPr>
          <w:rFonts w:eastAsiaTheme="minorEastAsia"/>
          <w:lang w:val="es-ES_tradnl" w:eastAsia="zh-CN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>emergencias, a escala nacional, regional e internacional;</w:t>
      </w:r>
    </w:p>
    <w:p w:rsidR="003639DC" w:rsidRPr="00BC5877" w:rsidRDefault="003F6708" w:rsidP="00BC5877">
      <w:pPr>
        <w:rPr>
          <w:lang w:val="es-ES_tradnl"/>
        </w:rPr>
      </w:pPr>
      <w:r w:rsidRPr="00BC5877">
        <w:rPr>
          <w:rFonts w:eastAsiaTheme="minorEastAsia"/>
          <w:szCs w:val="28"/>
          <w:lang w:val="es-ES_tradnl" w:eastAsia="zh-CN"/>
        </w:rPr>
        <w:t>b)</w:t>
      </w:r>
      <w:r w:rsidRPr="00BC5877">
        <w:rPr>
          <w:rFonts w:eastAsiaTheme="minorEastAsia"/>
          <w:szCs w:val="28"/>
          <w:lang w:val="es-ES_tradnl" w:eastAsia="zh-CN"/>
        </w:rPr>
        <w:tab/>
      </w:r>
      <w:r w:rsidR="003639DC" w:rsidRPr="00BC5877">
        <w:rPr>
          <w:rFonts w:eastAsiaTheme="minorEastAsia"/>
          <w:szCs w:val="28"/>
          <w:lang w:val="es-ES_tradnl" w:eastAsia="zh-CN"/>
        </w:rPr>
        <w:t>que en la Resolución UIT-R 53 (AR-2007)</w:t>
      </w:r>
      <w:r w:rsidR="00D07986" w:rsidRPr="00BC5877">
        <w:rPr>
          <w:rFonts w:eastAsiaTheme="minorEastAsia"/>
          <w:szCs w:val="28"/>
          <w:lang w:val="es-ES_tradnl" w:eastAsia="zh-CN"/>
        </w:rPr>
        <w:t>,</w:t>
      </w:r>
      <w:r w:rsidR="003639DC" w:rsidRPr="00BC5877">
        <w:rPr>
          <w:rFonts w:eastAsiaTheme="minorEastAsia"/>
          <w:szCs w:val="28"/>
          <w:lang w:val="es-ES_tradnl" w:eastAsia="zh-CN"/>
        </w:rPr>
        <w:t xml:space="preserve"> sobre </w:t>
      </w:r>
      <w:bookmarkStart w:id="3" w:name="_Toc180535250"/>
      <w:r w:rsidR="00D07986" w:rsidRPr="00BC5877">
        <w:rPr>
          <w:lang w:val="es-ES_tradnl"/>
        </w:rPr>
        <w:t>u</w:t>
      </w:r>
      <w:r w:rsidR="003639DC" w:rsidRPr="00BC5877">
        <w:rPr>
          <w:lang w:val="es-ES_tradnl"/>
        </w:rPr>
        <w:t>tilización de las radiocomunicaciones para la respuesta y las operaciones</w:t>
      </w:r>
      <w:r w:rsidRPr="00BC5877">
        <w:rPr>
          <w:lang w:val="es-ES_tradnl"/>
        </w:rPr>
        <w:t xml:space="preserve"> </w:t>
      </w:r>
      <w:r w:rsidR="003639DC" w:rsidRPr="00BC5877">
        <w:rPr>
          <w:lang w:val="es-ES_tradnl"/>
        </w:rPr>
        <w:t>de socorro en caso de catástrofe</w:t>
      </w:r>
      <w:bookmarkEnd w:id="3"/>
      <w:r w:rsidR="00D07986" w:rsidRPr="00BC5877">
        <w:rPr>
          <w:lang w:val="es-ES_tradnl"/>
        </w:rPr>
        <w:t>,</w:t>
      </w:r>
      <w:r w:rsidRPr="00BC5877">
        <w:rPr>
          <w:lang w:val="es-ES_tradnl"/>
        </w:rPr>
        <w:t xml:space="preserve"> </w:t>
      </w:r>
      <w:r w:rsidR="003639DC" w:rsidRPr="00BC5877">
        <w:rPr>
          <w:lang w:val="es-ES_tradnl"/>
        </w:rPr>
        <w:t xml:space="preserve">se resuelve </w:t>
      </w:r>
      <w:r w:rsidR="005354FC" w:rsidRPr="00BC5877">
        <w:rPr>
          <w:rFonts w:eastAsiaTheme="minorEastAsia"/>
          <w:sz w:val="28"/>
          <w:szCs w:val="28"/>
          <w:lang w:val="es-ES_tradnl" w:eastAsia="zh-CN"/>
        </w:rPr>
        <w:t>«</w:t>
      </w:r>
      <w:r w:rsidR="003639DC" w:rsidRPr="00BC5877">
        <w:rPr>
          <w:lang w:val="es-ES_tradnl"/>
        </w:rPr>
        <w:t>que, teniendo en cuenta la importancia que reviste la utilización eficaz del espectro radioeléctrico para establecer las radiocomunicaciones en situaciones de catástrofe, las Comisiones de Estudio del</w:t>
      </w:r>
      <w:r w:rsidR="00D07986" w:rsidRPr="00BC5877">
        <w:rPr>
          <w:lang w:val="es-ES_tradnl"/>
        </w:rPr>
        <w:t xml:space="preserve"> </w:t>
      </w:r>
      <w:r w:rsidR="003639DC" w:rsidRPr="00BC5877">
        <w:rPr>
          <w:lang w:val="es-ES_tradnl"/>
        </w:rPr>
        <w:t>UIT</w:t>
      </w:r>
      <w:r w:rsidR="003639DC" w:rsidRPr="00BC5877">
        <w:rPr>
          <w:lang w:val="es-ES_tradnl"/>
        </w:rPr>
        <w:noBreakHyphen/>
        <w:t>R competentes emprendan estudios y elaboren directrices en relación con la gestión de las radiocomunicaciones para la predicción, detección, reducción de los efectos y operaciones de socorro en casos de catástrofe, en cooperación con el resto de la UIT y con organizaciones ajenas a la Unión</w:t>
      </w:r>
      <w:r w:rsidR="005354FC" w:rsidRPr="00BC5877">
        <w:rPr>
          <w:lang w:val="es-ES_tradnl"/>
        </w:rPr>
        <w:t>»</w:t>
      </w:r>
      <w:r w:rsidR="003639DC" w:rsidRPr="00BC5877">
        <w:rPr>
          <w:lang w:val="es-ES_tradnl"/>
        </w:rPr>
        <w:t>;</w:t>
      </w:r>
    </w:p>
    <w:p w:rsidR="003639DC" w:rsidRPr="00BC5877" w:rsidRDefault="003F6708" w:rsidP="00500E12">
      <w:pPr>
        <w:rPr>
          <w:b/>
          <w:bCs/>
          <w:lang w:val="es-ES_tradnl"/>
        </w:rPr>
      </w:pPr>
      <w:r w:rsidRPr="00BC5877">
        <w:rPr>
          <w:lang w:val="es-ES_tradnl"/>
        </w:rPr>
        <w:t>c)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en la Resolución UIT-R</w:t>
      </w:r>
      <w:r w:rsidR="00500E12">
        <w:rPr>
          <w:lang w:val="es-ES_tradnl"/>
        </w:rPr>
        <w:t> </w:t>
      </w:r>
      <w:r w:rsidR="003639DC" w:rsidRPr="00BC5877">
        <w:rPr>
          <w:lang w:val="es-ES_tradnl"/>
        </w:rPr>
        <w:t>55 (AR-2007)</w:t>
      </w:r>
      <w:r w:rsidR="00D07986" w:rsidRPr="00BC5877">
        <w:rPr>
          <w:lang w:val="es-ES_tradnl"/>
        </w:rPr>
        <w:t>,</w:t>
      </w:r>
      <w:r w:rsidR="003639DC" w:rsidRPr="00BC5877">
        <w:rPr>
          <w:lang w:val="es-ES_tradnl"/>
        </w:rPr>
        <w:t xml:space="preserve"> sobre </w:t>
      </w:r>
      <w:bookmarkStart w:id="4" w:name="_Toc180535254"/>
      <w:r w:rsidR="00D07986" w:rsidRPr="00BC5877">
        <w:rPr>
          <w:lang w:val="es-ES_tradnl"/>
        </w:rPr>
        <w:t>e</w:t>
      </w:r>
      <w:r w:rsidR="003639DC" w:rsidRPr="00BC5877">
        <w:rPr>
          <w:lang w:val="es-ES_tradnl"/>
        </w:rPr>
        <w:t>studios del UIT-R sobre predicción, detección, mitigación de los efectos de las catástrofes y operaciones de socorro</w:t>
      </w:r>
      <w:bookmarkEnd w:id="4"/>
      <w:r w:rsidR="00D07986" w:rsidRPr="00BC5877">
        <w:rPr>
          <w:lang w:val="es-ES_tradnl"/>
        </w:rPr>
        <w:t>,</w:t>
      </w:r>
      <w:r w:rsidR="003639DC" w:rsidRPr="00BC5877">
        <w:rPr>
          <w:lang w:val="es-ES_tradnl"/>
        </w:rPr>
        <w:t xml:space="preserve"> </w:t>
      </w:r>
      <w:r w:rsidR="003639DC" w:rsidRPr="00BC5877">
        <w:rPr>
          <w:bCs/>
          <w:lang w:val="es-ES_tradnl"/>
        </w:rPr>
        <w:t xml:space="preserve">se resuelve invitar </w:t>
      </w:r>
      <w:r w:rsidR="003639DC" w:rsidRPr="00BC5877">
        <w:rPr>
          <w:lang w:val="es-ES_tradnl"/>
        </w:rPr>
        <w:t xml:space="preserve">a </w:t>
      </w:r>
      <w:r w:rsidR="00D07986" w:rsidRPr="00BC5877">
        <w:rPr>
          <w:lang w:val="es-ES_tradnl"/>
        </w:rPr>
        <w:t xml:space="preserve">todas </w:t>
      </w:r>
      <w:r w:rsidR="003639DC" w:rsidRPr="00BC5877">
        <w:rPr>
          <w:lang w:val="es-ES_tradnl"/>
        </w:rPr>
        <w:t xml:space="preserve">las Comisiones de Estudio que tomen en consideración el ámbito de los estudios y actividades en curso indicados en el Anexo 1 </w:t>
      </w:r>
      <w:r w:rsidR="003639DC" w:rsidRPr="00BC5877">
        <w:rPr>
          <w:bCs/>
          <w:lang w:val="es-ES_tradnl"/>
        </w:rPr>
        <w:t xml:space="preserve">a dicha Resolución, sobre la base del ámbito de competencia claro de cada Comisión de Estudio antes de la Asamblea de Radiocomunicaciones </w:t>
      </w:r>
      <w:r w:rsidR="00875951" w:rsidRPr="00875951">
        <w:rPr>
          <w:bCs/>
          <w:lang w:val="es-ES_tradnl"/>
        </w:rPr>
        <w:t>–</w:t>
      </w:r>
      <w:r w:rsidR="00875951">
        <w:rPr>
          <w:b/>
          <w:bCs/>
          <w:lang w:val="es-ES_tradnl"/>
        </w:rPr>
        <w:t> </w:t>
      </w:r>
      <w:r w:rsidR="003639DC" w:rsidRPr="00BC5877">
        <w:rPr>
          <w:bCs/>
          <w:lang w:val="es-ES_tradnl"/>
        </w:rPr>
        <w:t>en particular las anteriores Comisiones de Estudio CE</w:t>
      </w:r>
      <w:r w:rsidR="00875951">
        <w:rPr>
          <w:bCs/>
          <w:lang w:val="es-ES_tradnl"/>
        </w:rPr>
        <w:t> </w:t>
      </w:r>
      <w:r w:rsidR="003639DC" w:rsidRPr="00BC5877">
        <w:rPr>
          <w:bCs/>
          <w:lang w:val="es-ES_tradnl"/>
        </w:rPr>
        <w:t>4 y CE</w:t>
      </w:r>
      <w:r w:rsidR="00875951">
        <w:rPr>
          <w:bCs/>
          <w:lang w:val="es-ES_tradnl"/>
        </w:rPr>
        <w:t> </w:t>
      </w:r>
      <w:r w:rsidR="003639DC" w:rsidRPr="00BC5877">
        <w:rPr>
          <w:bCs/>
          <w:lang w:val="es-ES_tradnl"/>
        </w:rPr>
        <w:t>8</w:t>
      </w:r>
      <w:r w:rsidR="00875951">
        <w:rPr>
          <w:bCs/>
          <w:lang w:val="es-ES_tradnl"/>
        </w:rPr>
        <w:t> </w:t>
      </w:r>
      <w:r w:rsidR="00875951" w:rsidRPr="00875951">
        <w:rPr>
          <w:bCs/>
          <w:lang w:val="es-ES_tradnl"/>
        </w:rPr>
        <w:t>–</w:t>
      </w:r>
      <w:r w:rsidR="003639DC" w:rsidRPr="00BC5877">
        <w:rPr>
          <w:bCs/>
          <w:lang w:val="es-ES_tradnl"/>
        </w:rPr>
        <w:t xml:space="preserve"> en relación con el SFS y el SMS, tal como se solicita en las Cuestiones UIT-R 286/4 (anterior UIT-R 209-3/8) y UIT-R 227/4 (anterior UIT</w:t>
      </w:r>
      <w:r w:rsidR="00875951">
        <w:rPr>
          <w:bCs/>
          <w:lang w:val="es-ES_tradnl"/>
        </w:rPr>
        <w:noBreakHyphen/>
      </w:r>
      <w:r w:rsidR="003639DC" w:rsidRPr="00BC5877">
        <w:rPr>
          <w:bCs/>
          <w:lang w:val="es-ES_tradnl"/>
        </w:rPr>
        <w:t>R</w:t>
      </w:r>
      <w:r w:rsidR="00875951">
        <w:rPr>
          <w:bCs/>
          <w:lang w:val="es-ES_tradnl"/>
        </w:rPr>
        <w:t> </w:t>
      </w:r>
      <w:r w:rsidR="003639DC" w:rsidRPr="00BC5877">
        <w:rPr>
          <w:bCs/>
          <w:lang w:val="es-ES_tradnl"/>
        </w:rPr>
        <w:t>227/8);</w:t>
      </w:r>
    </w:p>
    <w:p w:rsidR="003639DC" w:rsidRPr="00BC5877" w:rsidRDefault="002F0578" w:rsidP="00500E12">
      <w:pPr>
        <w:rPr>
          <w:rFonts w:eastAsiaTheme="minorEastAsia"/>
          <w:lang w:val="es-ES_tradnl" w:eastAsia="zh-CN"/>
        </w:rPr>
      </w:pPr>
      <w:r w:rsidRPr="00BC5877">
        <w:rPr>
          <w:lang w:val="es-ES_tradnl"/>
        </w:rPr>
        <w:t>d)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en la Resolución</w:t>
      </w:r>
      <w:r w:rsidR="00500E12">
        <w:rPr>
          <w:lang w:val="es-ES_tradnl"/>
        </w:rPr>
        <w:t> </w:t>
      </w:r>
      <w:r w:rsidR="003639DC" w:rsidRPr="00BC5877">
        <w:rPr>
          <w:lang w:val="es-ES_tradnl"/>
        </w:rPr>
        <w:t xml:space="preserve">644 (Rev. CMR-07) sobre </w:t>
      </w:r>
      <w:r w:rsidR="00D07986" w:rsidRPr="00BC5877">
        <w:rPr>
          <w:rFonts w:eastAsiaTheme="minorEastAsia"/>
          <w:lang w:val="es-ES_tradnl" w:eastAsia="zh-CN"/>
        </w:rPr>
        <w:t>r</w:t>
      </w:r>
      <w:r w:rsidR="003639DC" w:rsidRPr="00BC5877">
        <w:rPr>
          <w:rFonts w:eastAsiaTheme="minorEastAsia"/>
          <w:lang w:val="es-ES_tradnl" w:eastAsia="zh-CN"/>
        </w:rPr>
        <w:t xml:space="preserve">ecursos de radiocomunicaciones para la alerta temprana, la mitigación de los efectos de las catástrofes y las operaciones de socorro, y en la Resolución 647 (CMR-07) sobre </w:t>
      </w:r>
      <w:r w:rsidR="00D07986" w:rsidRPr="00BC5877">
        <w:rPr>
          <w:rFonts w:eastAsiaTheme="minorEastAsia"/>
          <w:lang w:val="es-ES_tradnl" w:eastAsia="zh-CN"/>
        </w:rPr>
        <w:t>d</w:t>
      </w:r>
      <w:r w:rsidR="003639DC" w:rsidRPr="00BC5877">
        <w:rPr>
          <w:rFonts w:eastAsiaTheme="minorEastAsia"/>
          <w:lang w:val="es-ES_tradnl" w:eastAsia="zh-CN"/>
        </w:rPr>
        <w:t xml:space="preserve">irectrices sobre gestión del espectro para radiocomunicaciones de emergencia y operaciones de socorro en caso de catástrofe se aclaran los objetivos del Sector de Radiocomunicaciones de la UIT (UIT-R) y la labor que ha de realizar dicho Sector en relación con esas Resoluciones, para acelerar los estudios, evitar duplicaciones y colaborar con los asociados pertinentes en ese ámbito (véase </w:t>
      </w:r>
      <w:hyperlink r:id="rId14" w:history="1">
        <w:r w:rsidR="0044419C" w:rsidRPr="00BC5877">
          <w:rPr>
            <w:rStyle w:val="Hyperlink"/>
            <w:szCs w:val="24"/>
            <w:lang w:val="es-ES_tradnl"/>
          </w:rPr>
          <w:t>http://www.itu.int/ITU-R/space/res647/index.asp</w:t>
        </w:r>
      </w:hyperlink>
      <w:r w:rsidR="003639DC" w:rsidRPr="00BC5877">
        <w:rPr>
          <w:rFonts w:eastAsiaTheme="minorEastAsia"/>
          <w:lang w:val="es-ES_tradnl" w:eastAsia="zh-CN"/>
        </w:rPr>
        <w:t>);</w:t>
      </w:r>
    </w:p>
    <w:p w:rsidR="003639DC" w:rsidRPr="00BC5877" w:rsidRDefault="002F0578" w:rsidP="00BC5877">
      <w:pPr>
        <w:rPr>
          <w:rFonts w:eastAsiaTheme="minorEastAsia"/>
          <w:lang w:val="es-ES_tradnl" w:eastAsia="zh-CN"/>
        </w:rPr>
      </w:pPr>
      <w:r w:rsidRPr="00BC5877">
        <w:rPr>
          <w:lang w:val="es-ES_tradnl"/>
        </w:rPr>
        <w:t>e)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el Foro Mundial de la UIT sobre utilización eficaz de las telecomunicaciones/TIC para la gestión de catástrofes y el Grupo Especial de Coordinación de las</w:t>
      </w:r>
      <w:r w:rsidRPr="00BC5877">
        <w:rPr>
          <w:lang w:val="es-ES_tradnl"/>
        </w:rPr>
        <w:t xml:space="preserve"> </w:t>
      </w:r>
      <w:r w:rsidR="003639DC" w:rsidRPr="00BC5877">
        <w:rPr>
          <w:rFonts w:eastAsiaTheme="minorEastAsia"/>
          <w:lang w:val="es-ES_tradnl" w:eastAsia="zh-CN"/>
        </w:rPr>
        <w:t xml:space="preserve">Telecomunicaciones para Operaciones de Socorro en Casos de Catástrofe (PCP-TDR), </w:t>
      </w:r>
      <w:r w:rsidR="0044419C" w:rsidRPr="00BC5877">
        <w:rPr>
          <w:rFonts w:eastAsiaTheme="minorEastAsia"/>
          <w:lang w:val="es-ES_tradnl" w:eastAsia="zh-CN"/>
        </w:rPr>
        <w:t xml:space="preserve">insta a las administraciones a </w:t>
      </w:r>
      <w:r w:rsidR="003639DC" w:rsidRPr="00BC5877">
        <w:rPr>
          <w:rFonts w:eastAsiaTheme="minorEastAsia"/>
          <w:lang w:val="es-ES_tradnl" w:eastAsia="zh-CN"/>
        </w:rPr>
        <w:t>centr</w:t>
      </w:r>
      <w:r w:rsidR="0044419C" w:rsidRPr="00BC5877">
        <w:rPr>
          <w:rFonts w:eastAsiaTheme="minorEastAsia"/>
          <w:lang w:val="es-ES_tradnl" w:eastAsia="zh-CN"/>
        </w:rPr>
        <w:t>arse</w:t>
      </w:r>
      <w:r w:rsidR="003639DC" w:rsidRPr="00BC5877">
        <w:rPr>
          <w:rFonts w:eastAsiaTheme="minorEastAsia"/>
          <w:lang w:val="es-ES_tradnl" w:eastAsia="zh-CN"/>
        </w:rPr>
        <w:t xml:space="preserve"> en la identificación de bandas/gamas de frecuencias mundiales y/o regionales para situaciones de emergencia y operaciones de socorro al efectuar su planificación nacional</w:t>
      </w:r>
      <w:r w:rsidR="0044419C" w:rsidRPr="00BC5877">
        <w:rPr>
          <w:rFonts w:eastAsiaTheme="minorEastAsia"/>
          <w:lang w:val="es-ES_tradnl" w:eastAsia="zh-CN"/>
        </w:rPr>
        <w:t>,</w:t>
      </w:r>
      <w:r w:rsidR="003639DC" w:rsidRPr="00BC5877">
        <w:rPr>
          <w:rFonts w:eastAsiaTheme="minorEastAsia"/>
          <w:lang w:val="es-ES_tradnl" w:eastAsia="zh-CN"/>
        </w:rPr>
        <w:t xml:space="preserve"> y </w:t>
      </w:r>
      <w:r w:rsidR="0044419C" w:rsidRPr="00BC5877">
        <w:rPr>
          <w:rFonts w:eastAsiaTheme="minorEastAsia"/>
          <w:lang w:val="es-ES_tradnl" w:eastAsia="zh-CN"/>
        </w:rPr>
        <w:t xml:space="preserve">a </w:t>
      </w:r>
      <w:r w:rsidR="003639DC" w:rsidRPr="00BC5877">
        <w:rPr>
          <w:rFonts w:eastAsiaTheme="minorEastAsia"/>
          <w:lang w:val="es-ES_tradnl" w:eastAsia="zh-CN"/>
        </w:rPr>
        <w:t>transmit</w:t>
      </w:r>
      <w:r w:rsidR="0044419C" w:rsidRPr="00BC5877">
        <w:rPr>
          <w:rFonts w:eastAsiaTheme="minorEastAsia"/>
          <w:lang w:val="es-ES_tradnl" w:eastAsia="zh-CN"/>
        </w:rPr>
        <w:t>ir</w:t>
      </w:r>
      <w:r w:rsidR="003639DC" w:rsidRPr="00BC5877">
        <w:rPr>
          <w:rFonts w:eastAsiaTheme="minorEastAsia"/>
          <w:lang w:val="es-ES_tradnl" w:eastAsia="zh-CN"/>
        </w:rPr>
        <w:t xml:space="preserve"> esa información a la Oficina, además de invitar al UIT-R a realizar los estudios necesarios, y con carácter urgente, con el fin de promover el establecimiento de directrices adecuadas sobre gestión del espectro en situaciones de emergencia y operaciones de socorro en caso de catástrofe;</w:t>
      </w:r>
    </w:p>
    <w:p w:rsidR="003639DC" w:rsidRPr="00BC5877" w:rsidRDefault="002F0578" w:rsidP="00BC5877">
      <w:pPr>
        <w:rPr>
          <w:b/>
          <w:bCs/>
          <w:lang w:val="es-ES_tradnl"/>
        </w:rPr>
      </w:pPr>
      <w:r w:rsidRPr="00BC5877">
        <w:rPr>
          <w:lang w:val="es-ES_tradnl"/>
        </w:rPr>
        <w:t>f)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la adopción en octubre de 2007 por el UIT-T de la Recomendación UIT-T X.1303 sobre el Protocolo de Alerta Común (CAP1.1) y su implementación, que es un formato sencillo y general para intercambiar alertas públicas y alertas de emergencia contra todo peligro por todo tipo de red;</w:t>
      </w:r>
    </w:p>
    <w:p w:rsidR="003639DC" w:rsidRPr="00BC5877" w:rsidRDefault="002F0578" w:rsidP="00500E12">
      <w:pPr>
        <w:rPr>
          <w:i/>
          <w:iCs/>
          <w:lang w:val="es-ES_tradnl"/>
        </w:rPr>
      </w:pPr>
      <w:r w:rsidRPr="00BC5877">
        <w:rPr>
          <w:lang w:val="es-ES_tradnl"/>
        </w:rPr>
        <w:t>g)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los resultados satisfactorios obtenidos por el Foro Mundial de la UIT sobre utilización eficaz de las telecomunicaciones/TIC para la gestión de catástrofes:</w:t>
      </w:r>
      <w:r w:rsidR="005354FC" w:rsidRPr="00BC5877">
        <w:rPr>
          <w:lang w:val="es-ES_tradnl"/>
        </w:rPr>
        <w:t xml:space="preserve"> </w:t>
      </w:r>
      <w:r w:rsidR="003639DC" w:rsidRPr="00BC5877">
        <w:rPr>
          <w:lang w:val="es-ES_tradnl"/>
        </w:rPr>
        <w:t>Salvar Vidas, que tuvo lugar en Ginebra del 10 al 12 de diciembre de 2007 y dio lugar a la adopción de dos importantes iniciativas, a saber</w:t>
      </w:r>
      <w:r w:rsidR="0044419C" w:rsidRPr="00BC5877">
        <w:rPr>
          <w:lang w:val="es-ES_tradnl"/>
        </w:rPr>
        <w:t>;</w:t>
      </w:r>
      <w:r w:rsidR="005354FC" w:rsidRPr="00BC5877">
        <w:rPr>
          <w:lang w:val="es-ES_tradnl"/>
        </w:rPr>
        <w:t xml:space="preserve"> </w:t>
      </w:r>
      <w:r w:rsidR="003639DC" w:rsidRPr="00BC5877">
        <w:rPr>
          <w:lang w:val="es-ES_tradnl"/>
        </w:rPr>
        <w:t>el marco de cooperación de la UIT en situaciones de emergencia (IFCE) y la Red de voluntarios de la UIT para telecomunicaciones de emergencia (VET), así como el establecimiento por el Secretario General de la UIT de un Grupo de Expertos</w:t>
      </w:r>
      <w:r w:rsidR="00645B9C" w:rsidRPr="00BC5877">
        <w:rPr>
          <w:lang w:val="es-ES_tradnl"/>
        </w:rPr>
        <w:t xml:space="preserve"> de alto nivel sobre telecomunicaciones de emergencia </w:t>
      </w:r>
      <w:r w:rsidR="003639DC" w:rsidRPr="00BC5877">
        <w:rPr>
          <w:lang w:val="es-ES_tradnl"/>
        </w:rPr>
        <w:t>(para mayores detalles, véase el Compendio de los trabajos de la</w:t>
      </w:r>
      <w:r w:rsidR="00500E12">
        <w:rPr>
          <w:lang w:val="es-ES_tradnl"/>
        </w:rPr>
        <w:t> </w:t>
      </w:r>
      <w:r w:rsidR="003639DC" w:rsidRPr="00BC5877">
        <w:rPr>
          <w:lang w:val="es-ES_tradnl"/>
        </w:rPr>
        <w:t xml:space="preserve">UIT en materia de telecomunicaciones de emergencia, edición de 2007), </w:t>
      </w:r>
      <w:r w:rsidR="0044419C" w:rsidRPr="00BC5877">
        <w:rPr>
          <w:lang w:val="es-ES_tradnl"/>
        </w:rPr>
        <w:t>a tenor del cual</w:t>
      </w:r>
      <w:r w:rsidR="003639DC" w:rsidRPr="00BC5877">
        <w:rPr>
          <w:lang w:val="es-ES_tradnl"/>
        </w:rPr>
        <w:t xml:space="preserve"> la UIT y los asociados pertinentes también firmaron cierto número de memoranda de entendimiento y acuerdos de asociación bilaterales, con inclusión de cuatro operadores de satélite/proveedores de servicio </w:t>
      </w:r>
      <w:r w:rsidR="003639DC" w:rsidRPr="00BC5877">
        <w:rPr>
          <w:lang w:val="es-ES_tradnl"/>
        </w:rPr>
        <w:lastRenderedPageBreak/>
        <w:t>(TerreStar, Iridium, ICO Global y Vizada), además de dos operadores que firmaron dichos acuerdos antes de que se celebrase ese Foro Mundial (Inmarsat y Thuraya)</w:t>
      </w:r>
      <w:r w:rsidR="00135AB4" w:rsidRPr="00BC5877">
        <w:rPr>
          <w:lang w:val="es-ES_tradnl"/>
        </w:rPr>
        <w:t>,</w:t>
      </w:r>
    </w:p>
    <w:p w:rsidR="003639DC" w:rsidRPr="00BC5877" w:rsidRDefault="003639DC" w:rsidP="00BC5877">
      <w:pPr>
        <w:pStyle w:val="Call"/>
        <w:rPr>
          <w:lang w:val="es-ES_tradnl"/>
        </w:rPr>
      </w:pPr>
      <w:r w:rsidRPr="00BC5877">
        <w:rPr>
          <w:lang w:val="es-ES_tradnl"/>
        </w:rPr>
        <w:t>observando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a)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en el Manual del servicio móvil por satélite del UIT-R se describen detalladamente las características, los aspectos operacionales y las consideraciones relativas al despliegue del segmento terrenal de los sistemas del SMS;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b)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varios operadores de sistemas del SMS ya han proporcionado una asistencia muy útil en la esfera de la gestión y el socorro en casos de catástrofe, con inclusión del suministro de equipos y tiempo de comunicación, en el marco de acuerdos de asociación con la UIT;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c)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el Informe UIT-R M.2149 contiene algunos ejemplos de sistemas del SMS capaces de proporcionar telecomunicaciones en situaciones de catástrofe;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d)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 xml:space="preserve">que existen acuerdos entre la UIT y proveedores de servicio/operadores de satélites del SMS sobre la utilización de los sistemas del SMS para telecomunicaciones relacionadas con catástrofes (véase </w:t>
      </w:r>
      <w:hyperlink r:id="rId15" w:history="1">
        <w:r w:rsidR="0044419C" w:rsidRPr="00BC5877">
          <w:rPr>
            <w:rStyle w:val="Hyperlink"/>
            <w:lang w:val="es-ES_tradnl"/>
          </w:rPr>
          <w:t>http://www.itu.int/ITU-D/emergencytelecoms/partnerships.html</w:t>
        </w:r>
      </w:hyperlink>
      <w:r w:rsidR="003639DC" w:rsidRPr="00BC5877">
        <w:rPr>
          <w:lang w:val="es-ES_tradnl"/>
        </w:rPr>
        <w:t>);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e)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la Recomendación UIT-R S.1001 contiene información sobre la utilización de sistemas del servicio fijo por satélite en casos de catástrofe natural y situaciones de emergencia similares para la alerta y las operaciones de socorro;</w:t>
      </w:r>
    </w:p>
    <w:p w:rsidR="003639DC" w:rsidRPr="00BC5877" w:rsidRDefault="00DB1202" w:rsidP="00BC5877">
      <w:pPr>
        <w:rPr>
          <w:lang w:val="es-ES_tradnl"/>
        </w:rPr>
      </w:pPr>
      <w:r w:rsidRPr="00BC5877">
        <w:rPr>
          <w:lang w:val="es-ES_tradnl"/>
        </w:rPr>
        <w:t>f)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las actividades de la Oficina de Desarrollo de las Telecomunicaciones (BDT) de la UIT, en su calidad de coordinadora, entre las secretarías de la UIT, de la gestión y las actividades en el terreno de telecomunicaciones por satélite en situaciones de catástrofe y emergencia,</w:t>
      </w:r>
    </w:p>
    <w:p w:rsidR="003639DC" w:rsidRPr="00BC5877" w:rsidRDefault="003639DC" w:rsidP="00BC5877">
      <w:pPr>
        <w:pStyle w:val="Call"/>
        <w:rPr>
          <w:lang w:val="es-ES_tradnl"/>
        </w:rPr>
      </w:pPr>
      <w:r w:rsidRPr="00BC5877">
        <w:rPr>
          <w:lang w:val="es-ES_tradnl"/>
        </w:rPr>
        <w:t xml:space="preserve">recomienda </w:t>
      </w:r>
    </w:p>
    <w:p w:rsidR="003639DC" w:rsidRPr="00BC5877" w:rsidRDefault="00AA4112" w:rsidP="00BC5877">
      <w:pPr>
        <w:rPr>
          <w:lang w:val="es-ES_tradnl"/>
        </w:rPr>
      </w:pPr>
      <w:r w:rsidRPr="00BC5877">
        <w:rPr>
          <w:b/>
          <w:bCs/>
          <w:lang w:val="es-ES_tradnl"/>
        </w:rPr>
        <w:t>1</w:t>
      </w:r>
      <w:r w:rsidRPr="00BC5877">
        <w:rPr>
          <w:lang w:val="es-ES_tradnl"/>
        </w:rPr>
        <w:tab/>
      </w:r>
      <w:r w:rsidR="003639DC" w:rsidRPr="00BC5877">
        <w:rPr>
          <w:lang w:val="es-ES_tradnl"/>
        </w:rPr>
        <w:t>que se aliente a las administraciones a considerar bandas/gamas de frecuencias, a escala mundial y regional, para operaciones de emergencia y socorro, al efectuar su planificación nacional como se indica en el siguiente Cuadro</w:t>
      </w:r>
      <w:r w:rsidR="007602F4" w:rsidRPr="00BC5877">
        <w:rPr>
          <w:lang w:val="es-ES_tradnl"/>
        </w:rPr>
        <w:t> </w:t>
      </w:r>
      <w:r w:rsidR="003639DC" w:rsidRPr="00BC5877">
        <w:rPr>
          <w:lang w:val="es-ES_tradnl"/>
        </w:rPr>
        <w:t>1, y a transmitir esa información a la Oficina de Radiocomunicaciones, en cumplimiento de la Resolución 647 (CMR-07);</w:t>
      </w:r>
    </w:p>
    <w:p w:rsidR="003639DC" w:rsidRPr="00BC5877" w:rsidRDefault="003639DC" w:rsidP="00BC5877">
      <w:pPr>
        <w:pStyle w:val="TableNo"/>
        <w:rPr>
          <w:lang w:val="es-ES_tradnl"/>
        </w:rPr>
      </w:pPr>
      <w:r w:rsidRPr="00BC5877">
        <w:rPr>
          <w:lang w:val="es-ES_tradnl"/>
        </w:rPr>
        <w:t>CUADRO 1</w:t>
      </w:r>
    </w:p>
    <w:tbl>
      <w:tblPr>
        <w:tblW w:w="0" w:type="auto"/>
        <w:jc w:val="center"/>
        <w:tblLayout w:type="fixed"/>
        <w:tblLook w:val="0000"/>
      </w:tblPr>
      <w:tblGrid>
        <w:gridCol w:w="2211"/>
        <w:gridCol w:w="1020"/>
        <w:gridCol w:w="2098"/>
        <w:gridCol w:w="1134"/>
        <w:gridCol w:w="1020"/>
        <w:gridCol w:w="1134"/>
        <w:gridCol w:w="1022"/>
      </w:tblGrid>
      <w:tr w:rsidR="000961A9" w:rsidRPr="00BC5877" w:rsidTr="000961A9">
        <w:trPr>
          <w:trHeight w:val="305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61A9" w:rsidRPr="00BC5877" w:rsidRDefault="000961A9" w:rsidP="000961A9">
            <w:pPr>
              <w:pStyle w:val="Tablehead"/>
              <w:rPr>
                <w:rFonts w:eastAsia="SimSun"/>
                <w:lang w:val="es-ES_tradnl"/>
              </w:rPr>
            </w:pP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61A9" w:rsidRPr="00BC5877" w:rsidRDefault="000961A9" w:rsidP="000961A9">
            <w:pPr>
              <w:pStyle w:val="Tablehead"/>
              <w:rPr>
                <w:rFonts w:eastAsia="SimSun"/>
                <w:lang w:val="es-ES_tradnl"/>
              </w:rPr>
            </w:pP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61A9" w:rsidRPr="00BC5877" w:rsidRDefault="000961A9" w:rsidP="000961A9">
            <w:pPr>
              <w:pStyle w:val="Tablehead"/>
              <w:rPr>
                <w:rFonts w:eastAsia="SimSun"/>
                <w:lang w:val="es-ES_tradnl"/>
              </w:rPr>
            </w:pPr>
          </w:p>
        </w:tc>
        <w:tc>
          <w:tcPr>
            <w:tcW w:w="21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61A9" w:rsidRPr="00BC5877" w:rsidRDefault="000961A9" w:rsidP="000961A9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Enlace descendente</w:t>
            </w:r>
            <w:r w:rsidRPr="00BC5877">
              <w:rPr>
                <w:lang w:val="es-ES_tradnl"/>
              </w:rPr>
              <w:br/>
              <w:t>(MHz)</w:t>
            </w:r>
            <w:r w:rsidRPr="00BC5877">
              <w:rPr>
                <w:rFonts w:ascii="Times New Roman Bold" w:hAnsi="Times New Roman Bold"/>
                <w:vertAlign w:val="superscript"/>
                <w:lang w:val="es-ES_tradnl"/>
              </w:rPr>
              <w:t>(2)</w:t>
            </w:r>
          </w:p>
        </w:tc>
        <w:tc>
          <w:tcPr>
            <w:tcW w:w="215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0961A9" w:rsidRPr="00BC5877" w:rsidRDefault="000961A9" w:rsidP="000961A9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Enlace ascendente</w:t>
            </w:r>
            <w:r w:rsidRPr="00BC5877">
              <w:rPr>
                <w:lang w:val="es-ES_tradnl"/>
              </w:rPr>
              <w:br/>
              <w:t>(MHz)</w:t>
            </w:r>
            <w:r w:rsidRPr="00BC5877">
              <w:rPr>
                <w:rFonts w:ascii="Times New Roman Bold" w:hAnsi="Times New Roman Bold"/>
                <w:vertAlign w:val="superscript"/>
                <w:lang w:val="es-ES_tradnl"/>
              </w:rPr>
              <w:t>(2)</w:t>
            </w:r>
          </w:p>
        </w:tc>
      </w:tr>
      <w:tr w:rsidR="00DB1202" w:rsidRPr="00BC5877" w:rsidTr="000961A9">
        <w:trPr>
          <w:trHeight w:val="305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Sistema</w:t>
            </w:r>
            <w:r w:rsidRPr="00BC5877">
              <w:rPr>
                <w:vertAlign w:val="superscript"/>
                <w:lang w:val="es-ES_tradnl" w:eastAsia="ja-JP"/>
              </w:rPr>
              <w:t>(1)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Tipo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Zona de servicio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Desde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Hasta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Desde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head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Hasta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ACeS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Partes de la Región 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1 525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1 559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1 660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AUSSAT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smartTag w:uri="urn:schemas-microsoft-com:office:smarttags" w:element="country-region">
              <w:smartTag w:uri="urn:schemas-microsoft-com:office:smarttags" w:element="place">
                <w:r w:rsidRPr="00BC5877">
                  <w:rPr>
                    <w:lang w:val="es-ES_tradnl"/>
                  </w:rPr>
                  <w:t>Australia</w:t>
                </w:r>
              </w:smartTag>
            </w:smartTag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1 545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1 559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1 646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1 660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 xml:space="preserve">DBSD </w:t>
            </w:r>
            <w:smartTag w:uri="urn:schemas-microsoft-com:office:smarttags" w:element="place">
              <w:r w:rsidRPr="00BC5877">
                <w:rPr>
                  <w:lang w:val="es-ES_tradnl"/>
                </w:rPr>
                <w:t>North America</w:t>
              </w:r>
            </w:smartTag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América del Norte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2 180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2 190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2 010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2 020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Globalstar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No-OSG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Mundial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2 483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2 500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1 610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1 621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35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Inmarsat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Mundial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1 525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1 559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1660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Iridium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No-OSG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Mundial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1 617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775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1 617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775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SkyTerra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bookmarkStart w:id="5" w:name="OLE_LINK1"/>
            <w:r w:rsidRPr="00BC5877">
              <w:rPr>
                <w:lang w:val="es-ES_tradnl"/>
              </w:rPr>
              <w:t>América Central y del Norte</w:t>
            </w:r>
            <w:bookmarkEnd w:id="5"/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1 525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1 559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1 660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 xml:space="preserve">Terrestar 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América del Norte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2 190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2 200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2 000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2 010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</w:tr>
      <w:tr w:rsidR="00DB1202" w:rsidRPr="00BC5877" w:rsidTr="000961A9">
        <w:trPr>
          <w:trHeight w:val="334"/>
          <w:jc w:val="center"/>
        </w:trPr>
        <w:tc>
          <w:tcPr>
            <w:tcW w:w="2211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Thuraya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OSG</w:t>
            </w:r>
          </w:p>
        </w:tc>
        <w:tc>
          <w:tcPr>
            <w:tcW w:w="209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left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Regiones 1 y 3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1 525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1 559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0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1 626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  <w:tc>
          <w:tcPr>
            <w:tcW w:w="102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3639DC" w:rsidRPr="00BC5877" w:rsidRDefault="003639DC" w:rsidP="00BC5877">
            <w:pPr>
              <w:pStyle w:val="Tabletext"/>
              <w:jc w:val="center"/>
              <w:rPr>
                <w:rFonts w:eastAsia="SimSun"/>
                <w:lang w:val="es-ES_tradnl"/>
              </w:rPr>
            </w:pPr>
            <w:r w:rsidRPr="00BC5877">
              <w:rPr>
                <w:lang w:val="es-ES_tradnl"/>
              </w:rPr>
              <w:t>1 660</w:t>
            </w:r>
            <w:r w:rsidR="00BC5877" w:rsidRPr="00BC5877">
              <w:rPr>
                <w:lang w:val="es-ES_tradnl"/>
              </w:rPr>
              <w:t>,</w:t>
            </w:r>
            <w:r w:rsidRPr="00BC5877">
              <w:rPr>
                <w:lang w:val="es-ES_tradnl"/>
              </w:rPr>
              <w:t>5</w:t>
            </w:r>
          </w:p>
        </w:tc>
      </w:tr>
      <w:tr w:rsidR="003639DC" w:rsidRPr="00BE5A6D" w:rsidTr="000961A9">
        <w:trPr>
          <w:trHeight w:val="334"/>
          <w:jc w:val="center"/>
        </w:trPr>
        <w:tc>
          <w:tcPr>
            <w:tcW w:w="9639" w:type="dxa"/>
            <w:gridSpan w:val="7"/>
            <w:tcBorders>
              <w:top w:val="single" w:sz="4" w:space="0" w:color="auto"/>
            </w:tcBorders>
          </w:tcPr>
          <w:p w:rsidR="003639DC" w:rsidRPr="00BC5877" w:rsidRDefault="003639DC" w:rsidP="00BC5877">
            <w:pPr>
              <w:pStyle w:val="TableLegendNote"/>
              <w:rPr>
                <w:rFonts w:eastAsia="MS Mincho"/>
                <w:lang w:val="es-ES_tradnl"/>
              </w:rPr>
            </w:pPr>
            <w:r w:rsidRPr="00BC5877">
              <w:rPr>
                <w:lang w:val="es-ES_tradnl"/>
              </w:rPr>
              <w:t>NOTA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1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–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Para mayores detalles sobre estos sistemas del SMS, tenga a bien remitirse al Informe ITU</w:t>
            </w:r>
            <w:r w:rsidR="00DB1202" w:rsidRPr="00BC5877">
              <w:rPr>
                <w:lang w:val="es-ES_tradnl"/>
              </w:rPr>
              <w:noBreakHyphen/>
            </w:r>
            <w:r w:rsidRPr="00BC5877">
              <w:rPr>
                <w:lang w:val="es-ES_tradnl"/>
              </w:rPr>
              <w:t>R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M.2149.</w:t>
            </w:r>
          </w:p>
          <w:p w:rsidR="003639DC" w:rsidRPr="00BC5877" w:rsidRDefault="003639DC" w:rsidP="00BC5877">
            <w:pPr>
              <w:pStyle w:val="TableLegendNote"/>
              <w:rPr>
                <w:lang w:val="es-ES_tradnl"/>
              </w:rPr>
            </w:pPr>
            <w:r w:rsidRPr="00BC5877">
              <w:rPr>
                <w:lang w:val="es-ES_tradnl"/>
              </w:rPr>
              <w:t>NOTA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2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–</w:t>
            </w:r>
            <w:r w:rsidR="00DB1202" w:rsidRPr="00BC5877">
              <w:rPr>
                <w:lang w:val="es-ES_tradnl"/>
              </w:rPr>
              <w:t> </w:t>
            </w:r>
            <w:r w:rsidRPr="00BC5877">
              <w:rPr>
                <w:lang w:val="es-ES_tradnl"/>
              </w:rPr>
              <w:t>En el futuro podría haber otros sistemas del SMS, en éstas u otras bandas de frecuencias.</w:t>
            </w:r>
          </w:p>
        </w:tc>
      </w:tr>
    </w:tbl>
    <w:p w:rsidR="003639DC" w:rsidRPr="000961A9" w:rsidRDefault="003639DC" w:rsidP="00BC5877">
      <w:pPr>
        <w:pStyle w:val="Tablefin"/>
        <w:rPr>
          <w:sz w:val="12"/>
          <w:lang w:val="es-ES_tradnl"/>
        </w:rPr>
      </w:pPr>
    </w:p>
    <w:p w:rsidR="00AA4112" w:rsidRPr="00BC5877" w:rsidRDefault="00AA4112" w:rsidP="00BC5877">
      <w:pPr>
        <w:rPr>
          <w:lang w:val="es-ES_tradnl"/>
        </w:rPr>
      </w:pPr>
      <w:r w:rsidRPr="00BC5877">
        <w:rPr>
          <w:b/>
          <w:bCs/>
          <w:lang w:val="es-ES_tradnl"/>
        </w:rPr>
        <w:lastRenderedPageBreak/>
        <w:t>2</w:t>
      </w:r>
      <w:r w:rsidRPr="00BC5877">
        <w:rPr>
          <w:lang w:val="es-ES_tradnl"/>
        </w:rPr>
        <w:tab/>
        <w:t>que se invite a los operadores de sistemas del SMS a utilizar el protocolo de alerta común (CAP1.1) que se describe en la Recomendación UIT-T X.1303 y a mantenerse al corriente de la evolución en este ámbito;</w:t>
      </w:r>
    </w:p>
    <w:p w:rsidR="00AA4112" w:rsidRPr="00BC5877" w:rsidRDefault="00AA4112" w:rsidP="00BC5877">
      <w:pPr>
        <w:rPr>
          <w:lang w:val="es-ES_tradnl"/>
        </w:rPr>
      </w:pPr>
      <w:r w:rsidRPr="00BC5877">
        <w:rPr>
          <w:b/>
          <w:bCs/>
          <w:lang w:val="es-ES_tradnl"/>
        </w:rPr>
        <w:t>3</w:t>
      </w:r>
      <w:r w:rsidRPr="00BC5877">
        <w:rPr>
          <w:lang w:val="es-ES_tradnl"/>
        </w:rPr>
        <w:tab/>
        <w:t xml:space="preserve">que las administraciones y los operadores/proveedores de servicios SMS deben planificar previamente la utilización de capacidades del SMS para emergencias y operaciones de socorro en casos de catástrofe, para garantizar la rápida disponibilidad de servicios SMS en caso de catástrofe, teniendo en cuenta las Resoluciones mencionadas en el </w:t>
      </w:r>
      <w:r w:rsidR="00BC5877">
        <w:rPr>
          <w:i/>
          <w:iCs/>
          <w:lang w:val="es-ES_tradnl"/>
        </w:rPr>
        <w:t>reconociendo</w:t>
      </w:r>
      <w:r w:rsidRPr="00BC5877">
        <w:rPr>
          <w:i/>
          <w:iCs/>
          <w:lang w:val="es-ES_tradnl"/>
        </w:rPr>
        <w:t xml:space="preserve"> </w:t>
      </w:r>
      <w:r w:rsidRPr="00BC5877">
        <w:rPr>
          <w:lang w:val="es-ES_tradnl"/>
        </w:rPr>
        <w:t>d)</w:t>
      </w:r>
      <w:r w:rsidRPr="00BC5877">
        <w:rPr>
          <w:i/>
          <w:iCs/>
          <w:lang w:val="es-ES_tradnl"/>
        </w:rPr>
        <w:t>:</w:t>
      </w:r>
    </w:p>
    <w:p w:rsidR="00AA4112" w:rsidRPr="00BC5877" w:rsidRDefault="00AA4112" w:rsidP="00BC5877">
      <w:pPr>
        <w:rPr>
          <w:lang w:val="es-ES_tradnl"/>
        </w:rPr>
      </w:pPr>
      <w:r w:rsidRPr="00BC5877">
        <w:rPr>
          <w:b/>
          <w:bCs/>
          <w:lang w:val="es-ES_tradnl"/>
        </w:rPr>
        <w:t>4</w:t>
      </w:r>
      <w:r w:rsidRPr="00BC5877">
        <w:rPr>
          <w:lang w:val="es-ES_tradnl"/>
        </w:rPr>
        <w:tab/>
        <w:t>que se aliente a los operadores de sistemas del SMS a continuar trabajando con la UIT en relación con las situaciones de emergencia y las operaciones de socorro en caso de catástrofe.</w:t>
      </w:r>
    </w:p>
    <w:p w:rsidR="003639DC" w:rsidRPr="00BC5877" w:rsidRDefault="003639DC" w:rsidP="00BC5877">
      <w:pPr>
        <w:rPr>
          <w:lang w:val="es-ES_tradnl"/>
        </w:rPr>
      </w:pPr>
    </w:p>
    <w:p w:rsidR="003639DC" w:rsidRPr="00BC5877" w:rsidRDefault="003639DC" w:rsidP="00BC5877">
      <w:pPr>
        <w:rPr>
          <w:lang w:val="es-ES_tradnl"/>
        </w:rPr>
      </w:pPr>
    </w:p>
    <w:p w:rsidR="003639DC" w:rsidRPr="00BC5877" w:rsidRDefault="003639DC" w:rsidP="00BC5877">
      <w:pPr>
        <w:pStyle w:val="Line"/>
        <w:rPr>
          <w:lang w:val="es-ES_tradnl"/>
        </w:rPr>
      </w:pPr>
    </w:p>
    <w:sectPr w:rsidR="003639DC" w:rsidRPr="00BC5877" w:rsidSect="00042292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aperSrc w:first="15" w:other="15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961A9" w:rsidRDefault="000961A9">
      <w:r>
        <w:separator/>
      </w:r>
    </w:p>
  </w:endnote>
  <w:endnote w:type="continuationSeparator" w:id="0">
    <w:p w:rsidR="000961A9" w:rsidRDefault="000961A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宋体">
    <w:altName w:val="Times New Roman"/>
    <w:panose1 w:val="00000000000000000000"/>
    <w:charset w:val="4D"/>
    <w:family w:val="roman"/>
    <w:notTrueType/>
    <w:pitch w:val="default"/>
    <w:sig w:usb0="00000000" w:usb1="0A02889C" w:usb2="00000015" w:usb3="0D07859C" w:csb0="3D78AF95" w:csb1="0D07862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961A9" w:rsidRDefault="000961A9">
      <w:r>
        <w:separator/>
      </w:r>
    </w:p>
  </w:footnote>
  <w:footnote w:type="continuationSeparator" w:id="0">
    <w:p w:rsidR="000961A9" w:rsidRDefault="000961A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Default="000961A9">
    <w:pPr>
      <w:ind w:right="360"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Default="000961A9" w:rsidP="00CB1354">
    <w:pPr>
      <w:ind w:right="360" w:firstLine="360"/>
    </w:pPr>
    <w:r>
      <w:rPr>
        <w:noProof/>
        <w:lang w:val="en-US" w:eastAsia="zh-CN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92060" cy="10760075"/>
          <wp:effectExtent l="19050" t="0" r="8890" b="0"/>
          <wp:wrapNone/>
          <wp:docPr id="1" name="Picture 1" descr="rec_S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c_S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92060" cy="107600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Default="007C6AC5" w:rsidP="005354FC">
    <w:pPr>
      <w:pStyle w:val="Header"/>
      <w:jc w:val="left"/>
    </w:pPr>
    <w:r>
      <w:rPr>
        <w:rStyle w:val="PageNumber"/>
        <w:b/>
        <w:bCs/>
      </w:rPr>
      <w:fldChar w:fldCharType="begin"/>
    </w:r>
    <w:r w:rsidR="000961A9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5A6D">
      <w:rPr>
        <w:rStyle w:val="PageNumber"/>
        <w:b/>
        <w:bCs/>
        <w:noProof/>
      </w:rPr>
      <w:t>ii</w:t>
    </w:r>
    <w:r>
      <w:rPr>
        <w:rStyle w:val="PageNumber"/>
        <w:b/>
        <w:bCs/>
      </w:rPr>
      <w:fldChar w:fldCharType="end"/>
    </w:r>
    <w:r w:rsidR="000961A9">
      <w:tab/>
    </w:r>
    <w:fldSimple w:instr=" DOCPROPERTY &quot;Header&quot; \* MERGEFORMAT ">
      <w:r w:rsidR="00500E12" w:rsidRPr="00500E12">
        <w:rPr>
          <w:b/>
          <w:bCs/>
        </w:rPr>
        <w:t xml:space="preserve">Rec. </w:t>
      </w:r>
    </w:fldSimple>
    <w:r w:rsidR="000961A9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961A9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BE5A6D">
      <w:rPr>
        <w:b/>
        <w:bCs/>
        <w:noProof/>
      </w:rPr>
      <w:t>UIT-R  M.1854</w:t>
    </w:r>
    <w:r w:rsidRPr="001B395D">
      <w:rPr>
        <w:b/>
        <w:bCs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Default="000961A9">
    <w:r>
      <w:tab/>
    </w:r>
    <w:fldSimple w:instr=" DOCPROPERTY &quot;Header&quot; \* MERGEFORMAT ">
      <w:r w:rsidR="00500E12" w:rsidRPr="00500E12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 w:rsidR="007C6AC5">
      <w:rPr>
        <w:b/>
        <w:bCs/>
      </w:rPr>
      <w:fldChar w:fldCharType="begin"/>
    </w:r>
    <w:r>
      <w:rPr>
        <w:b/>
        <w:bCs/>
      </w:rPr>
      <w:instrText>styleref href</w:instrText>
    </w:r>
    <w:r w:rsidR="007C6AC5">
      <w:rPr>
        <w:b/>
        <w:bCs/>
      </w:rPr>
      <w:fldChar w:fldCharType="separate"/>
    </w:r>
    <w:r w:rsidR="00500E12">
      <w:rPr>
        <w:b/>
        <w:bCs/>
        <w:noProof/>
      </w:rPr>
      <w:t>UIT-R  M.1854</w:t>
    </w:r>
    <w:r w:rsidR="007C6AC5">
      <w:rPr>
        <w:b/>
        <w:bCs/>
      </w:rPr>
      <w:fldChar w:fldCharType="end"/>
    </w:r>
    <w:r>
      <w:tab/>
    </w:r>
    <w:r w:rsidR="007C6AC5"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 w:rsidR="007C6AC5">
      <w:rPr>
        <w:rStyle w:val="PageNumber"/>
        <w:b/>
        <w:bCs/>
      </w:rPr>
      <w:fldChar w:fldCharType="separate"/>
    </w:r>
    <w:r>
      <w:rPr>
        <w:rStyle w:val="PageNumber"/>
        <w:b/>
        <w:bCs/>
        <w:noProof/>
      </w:rPr>
      <w:t>3</w:t>
    </w:r>
    <w:r w:rsidR="007C6AC5">
      <w:rPr>
        <w:rStyle w:val="PageNumber"/>
        <w:b/>
        <w:bCs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Default="007C6AC5" w:rsidP="001B395D">
    <w:pPr>
      <w:pStyle w:val="Header"/>
      <w:jc w:val="left"/>
    </w:pPr>
    <w:r>
      <w:rPr>
        <w:rStyle w:val="PageNumber"/>
        <w:b/>
        <w:bCs/>
      </w:rPr>
      <w:fldChar w:fldCharType="begin"/>
    </w:r>
    <w:r w:rsidR="000961A9"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BE5A6D">
      <w:rPr>
        <w:rStyle w:val="PageNumber"/>
        <w:b/>
        <w:bCs/>
        <w:noProof/>
      </w:rPr>
      <w:t>4</w:t>
    </w:r>
    <w:r>
      <w:rPr>
        <w:rStyle w:val="PageNumber"/>
        <w:b/>
        <w:bCs/>
      </w:rPr>
      <w:fldChar w:fldCharType="end"/>
    </w:r>
    <w:r w:rsidR="000961A9">
      <w:tab/>
    </w:r>
    <w:fldSimple w:instr=" DOCPROPERTY &quot;Header&quot; \* MERGEFORMAT ">
      <w:r w:rsidR="00500E12" w:rsidRPr="00500E12">
        <w:rPr>
          <w:b/>
          <w:bCs/>
        </w:rPr>
        <w:t xml:space="preserve">Rec. </w:t>
      </w:r>
    </w:fldSimple>
    <w:r w:rsidR="000961A9" w:rsidRPr="001B395D">
      <w:rPr>
        <w:b/>
        <w:bCs/>
      </w:rPr>
      <w:t xml:space="preserve"> </w:t>
    </w:r>
    <w:r w:rsidRPr="001B395D">
      <w:rPr>
        <w:b/>
        <w:bCs/>
      </w:rPr>
      <w:fldChar w:fldCharType="begin"/>
    </w:r>
    <w:r w:rsidR="000961A9" w:rsidRPr="001B395D">
      <w:rPr>
        <w:b/>
        <w:bCs/>
      </w:rPr>
      <w:instrText>styleref href</w:instrText>
    </w:r>
    <w:r w:rsidRPr="001B395D">
      <w:rPr>
        <w:b/>
        <w:bCs/>
      </w:rPr>
      <w:fldChar w:fldCharType="separate"/>
    </w:r>
    <w:r w:rsidR="00BE5A6D">
      <w:rPr>
        <w:b/>
        <w:bCs/>
        <w:noProof/>
      </w:rPr>
      <w:t>UIT-R  M.1854</w:t>
    </w:r>
    <w:r w:rsidRPr="001B395D">
      <w:rPr>
        <w:b/>
        <w:bCs/>
      </w:rPr>
      <w:fldChar w:fldCharType="end"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61A9" w:rsidRPr="001B395D" w:rsidRDefault="000961A9" w:rsidP="001B395D">
    <w:pPr>
      <w:pStyle w:val="Header"/>
      <w:rPr>
        <w:b/>
        <w:bCs/>
      </w:rPr>
    </w:pPr>
    <w:r>
      <w:tab/>
    </w:r>
    <w:fldSimple w:instr=" DOCPROPERTY &quot;Header&quot; \* MERGEFORMAT ">
      <w:r w:rsidR="00500E12" w:rsidRPr="00500E12">
        <w:rPr>
          <w:b/>
          <w:bCs/>
        </w:rPr>
        <w:t xml:space="preserve">Rec. </w:t>
      </w:r>
    </w:fldSimple>
    <w:r w:rsidRPr="001B395D">
      <w:rPr>
        <w:b/>
        <w:bCs/>
      </w:rPr>
      <w:t xml:space="preserve"> </w:t>
    </w:r>
    <w:r w:rsidR="007C6AC5" w:rsidRPr="001B395D">
      <w:rPr>
        <w:b/>
        <w:bCs/>
      </w:rPr>
      <w:fldChar w:fldCharType="begin"/>
    </w:r>
    <w:r w:rsidRPr="001B395D">
      <w:rPr>
        <w:b/>
        <w:bCs/>
      </w:rPr>
      <w:instrText>styleref href</w:instrText>
    </w:r>
    <w:r w:rsidR="007C6AC5" w:rsidRPr="001B395D">
      <w:rPr>
        <w:b/>
        <w:bCs/>
      </w:rPr>
      <w:fldChar w:fldCharType="separate"/>
    </w:r>
    <w:r w:rsidR="00BE5A6D">
      <w:rPr>
        <w:b/>
        <w:bCs/>
        <w:noProof/>
      </w:rPr>
      <w:t>UIT-R  M.1854</w:t>
    </w:r>
    <w:r w:rsidR="007C6AC5" w:rsidRPr="001B395D">
      <w:rPr>
        <w:b/>
        <w:bCs/>
      </w:rPr>
      <w:fldChar w:fldCharType="end"/>
    </w:r>
    <w:r w:rsidRPr="001B395D">
      <w:rPr>
        <w:b/>
        <w:bCs/>
      </w:rPr>
      <w:tab/>
    </w:r>
    <w:r w:rsidR="007C6AC5" w:rsidRPr="001B395D">
      <w:rPr>
        <w:rStyle w:val="PageNumber"/>
        <w:b/>
        <w:bCs/>
      </w:rPr>
      <w:fldChar w:fldCharType="begin"/>
    </w:r>
    <w:r w:rsidRPr="001B395D">
      <w:rPr>
        <w:rStyle w:val="PageNumber"/>
        <w:b/>
        <w:bCs/>
      </w:rPr>
      <w:instrText xml:space="preserve"> PAGE </w:instrText>
    </w:r>
    <w:r w:rsidR="007C6AC5" w:rsidRPr="001B395D">
      <w:rPr>
        <w:rStyle w:val="PageNumber"/>
        <w:b/>
        <w:bCs/>
      </w:rPr>
      <w:fldChar w:fldCharType="separate"/>
    </w:r>
    <w:r w:rsidR="00BE5A6D">
      <w:rPr>
        <w:rStyle w:val="PageNumber"/>
        <w:b/>
        <w:bCs/>
        <w:noProof/>
      </w:rPr>
      <w:t>3</w:t>
    </w:r>
    <w:r w:rsidR="007C6AC5" w:rsidRPr="001B395D">
      <w:rPr>
        <w:rStyle w:val="PageNumber"/>
        <w:b/>
        <w:b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DC4749"/>
    <w:multiLevelType w:val="hybridMultilevel"/>
    <w:tmpl w:val="B2446EB6"/>
    <w:lvl w:ilvl="0" w:tplc="7E3089DE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312B1D"/>
    <w:multiLevelType w:val="hybridMultilevel"/>
    <w:tmpl w:val="81F4FB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F92B7F"/>
    <w:multiLevelType w:val="hybridMultilevel"/>
    <w:tmpl w:val="65D63EA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F7182E"/>
    <w:multiLevelType w:val="hybridMultilevel"/>
    <w:tmpl w:val="6C1A8E7E"/>
    <w:lvl w:ilvl="0" w:tplc="DBDC13DE">
      <w:start w:val="1"/>
      <w:numFmt w:val="bullet"/>
      <w:lvlText w:val="-"/>
      <w:lvlJc w:val="left"/>
      <w:pPr>
        <w:ind w:left="720" w:hanging="360"/>
      </w:pPr>
      <w:rPr>
        <w:rFonts w:ascii="TimesNewRoman" w:eastAsiaTheme="minorEastAsia" w:hAnsi="TimesNewRoman" w:cs="TimesNew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AD0D4C"/>
    <w:multiLevelType w:val="hybridMultilevel"/>
    <w:tmpl w:val="69CE5A0A"/>
    <w:lvl w:ilvl="0" w:tplc="0AACD63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hideSpellingErrors/>
  <w:hideGrammaticalErrors/>
  <w:activeWritingStyle w:appName="MSWord" w:lang="en-US" w:vendorID="64" w:dllVersion="131077" w:nlCheck="1" w:checkStyle="0"/>
  <w:activeWritingStyle w:appName="MSWord" w:lang="es-ES_tradnl" w:vendorID="64" w:dllVersion="131078" w:nlCheck="1" w:checkStyle="1"/>
  <w:attachedTemplate r:id="rId1"/>
  <w:stylePaneFormatFilter w:val="3F01"/>
  <w:defaultTabStop w:val="720"/>
  <w:evenAndOddHeaders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042292"/>
    <w:rsid w:val="00042292"/>
    <w:rsid w:val="000961A9"/>
    <w:rsid w:val="00135AB4"/>
    <w:rsid w:val="00195997"/>
    <w:rsid w:val="001B26B3"/>
    <w:rsid w:val="001B395D"/>
    <w:rsid w:val="002D76C4"/>
    <w:rsid w:val="002F0578"/>
    <w:rsid w:val="003639DC"/>
    <w:rsid w:val="003F6708"/>
    <w:rsid w:val="00410F5B"/>
    <w:rsid w:val="0044419C"/>
    <w:rsid w:val="00500E12"/>
    <w:rsid w:val="005354FC"/>
    <w:rsid w:val="00607D68"/>
    <w:rsid w:val="00645B9C"/>
    <w:rsid w:val="007602F4"/>
    <w:rsid w:val="0076082A"/>
    <w:rsid w:val="007C6AC5"/>
    <w:rsid w:val="00875951"/>
    <w:rsid w:val="009622B6"/>
    <w:rsid w:val="009942CE"/>
    <w:rsid w:val="009B20C7"/>
    <w:rsid w:val="00A07AEB"/>
    <w:rsid w:val="00A6617B"/>
    <w:rsid w:val="00AA4112"/>
    <w:rsid w:val="00AB0A13"/>
    <w:rsid w:val="00AB0DC8"/>
    <w:rsid w:val="00B44E24"/>
    <w:rsid w:val="00BC5877"/>
    <w:rsid w:val="00BE5A6D"/>
    <w:rsid w:val="00C36A75"/>
    <w:rsid w:val="00C47D13"/>
    <w:rsid w:val="00C8202E"/>
    <w:rsid w:val="00CB1354"/>
    <w:rsid w:val="00D07986"/>
    <w:rsid w:val="00DB1202"/>
    <w:rsid w:val="00DF4176"/>
    <w:rsid w:val="00E76CF5"/>
    <w:rsid w:val="00EE743D"/>
    <w:rsid w:val="00FD7CE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50"/>
    <o:shapelayout v:ext="edit">
      <o:idmap v:ext="edit" data="2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A411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4"/>
      <w:lang w:val="fr-FR" w:eastAsia="en-US"/>
    </w:rPr>
  </w:style>
  <w:style w:type="paragraph" w:styleId="Heading1">
    <w:name w:val="heading 1"/>
    <w:basedOn w:val="Normal"/>
    <w:next w:val="Normal"/>
    <w:qFormat/>
    <w:rsid w:val="00AA411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AA411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AA411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AA411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AA4112"/>
    <w:pPr>
      <w:outlineLvl w:val="4"/>
    </w:pPr>
  </w:style>
  <w:style w:type="paragraph" w:styleId="Heading6">
    <w:name w:val="heading 6"/>
    <w:basedOn w:val="Heading4"/>
    <w:next w:val="Normal"/>
    <w:qFormat/>
    <w:rsid w:val="00AA411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AA4112"/>
    <w:pPr>
      <w:outlineLvl w:val="6"/>
    </w:pPr>
  </w:style>
  <w:style w:type="paragraph" w:styleId="Heading8">
    <w:name w:val="heading 8"/>
    <w:basedOn w:val="Heading6"/>
    <w:next w:val="Normal"/>
    <w:qFormat/>
    <w:rsid w:val="00AA4112"/>
    <w:pPr>
      <w:outlineLvl w:val="7"/>
    </w:pPr>
  </w:style>
  <w:style w:type="paragraph" w:styleId="Heading9">
    <w:name w:val="heading 9"/>
    <w:basedOn w:val="Heading6"/>
    <w:next w:val="Normal"/>
    <w:qFormat/>
    <w:rsid w:val="00AA411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A411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rsid w:val="00AA411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rsid w:val="00AA4112"/>
  </w:style>
  <w:style w:type="paragraph" w:customStyle="1" w:styleId="Headingb">
    <w:name w:val="Heading_b"/>
    <w:basedOn w:val="Heading3"/>
    <w:next w:val="Normal"/>
    <w:rsid w:val="00AA411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AA411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AA4112"/>
  </w:style>
  <w:style w:type="paragraph" w:customStyle="1" w:styleId="enumlev1">
    <w:name w:val="enumlev1"/>
    <w:basedOn w:val="Normal"/>
    <w:rsid w:val="00AA4112"/>
    <w:pPr>
      <w:spacing w:before="80"/>
      <w:ind w:left="794" w:hanging="794"/>
    </w:pPr>
  </w:style>
  <w:style w:type="paragraph" w:customStyle="1" w:styleId="enumlev2">
    <w:name w:val="enumlev2"/>
    <w:basedOn w:val="enumlev1"/>
    <w:rsid w:val="00AA4112"/>
    <w:pPr>
      <w:ind w:left="1191" w:hanging="397"/>
    </w:pPr>
  </w:style>
  <w:style w:type="paragraph" w:customStyle="1" w:styleId="enumlev3">
    <w:name w:val="enumlev3"/>
    <w:basedOn w:val="enumlev2"/>
    <w:rsid w:val="00AA4112"/>
    <w:pPr>
      <w:ind w:left="1588"/>
    </w:pPr>
  </w:style>
  <w:style w:type="paragraph" w:customStyle="1" w:styleId="Normalaftertitle">
    <w:name w:val="Normal_after_title"/>
    <w:basedOn w:val="Normal"/>
    <w:next w:val="Normal"/>
    <w:rsid w:val="00AA4112"/>
    <w:pPr>
      <w:spacing w:before="320"/>
    </w:pPr>
  </w:style>
  <w:style w:type="paragraph" w:customStyle="1" w:styleId="Note">
    <w:name w:val="Note"/>
    <w:basedOn w:val="Normal"/>
    <w:rsid w:val="00AA411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2"/>
    </w:rPr>
  </w:style>
  <w:style w:type="paragraph" w:customStyle="1" w:styleId="RecNo">
    <w:name w:val="Rec_No"/>
    <w:basedOn w:val="Normal"/>
    <w:next w:val="Rectitle"/>
    <w:rsid w:val="00AA41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8"/>
    </w:rPr>
  </w:style>
  <w:style w:type="paragraph" w:customStyle="1" w:styleId="HeadingSum">
    <w:name w:val="Heading_Sum"/>
    <w:basedOn w:val="Headingb"/>
    <w:next w:val="Normal"/>
    <w:rsid w:val="00AA4112"/>
    <w:pPr>
      <w:spacing w:before="240"/>
    </w:pPr>
    <w:rPr>
      <w:sz w:val="22"/>
      <w:lang w:val="es-ES_tradnl"/>
    </w:rPr>
  </w:style>
  <w:style w:type="paragraph" w:customStyle="1" w:styleId="Recref">
    <w:name w:val="Rec_ref"/>
    <w:basedOn w:val="Normal"/>
    <w:next w:val="Recdate"/>
    <w:rsid w:val="00AA4112"/>
    <w:pPr>
      <w:jc w:val="center"/>
    </w:pPr>
  </w:style>
  <w:style w:type="paragraph" w:customStyle="1" w:styleId="Recdate">
    <w:name w:val="Rec_date"/>
    <w:basedOn w:val="Recref"/>
    <w:next w:val="Normalaftertitle"/>
    <w:rsid w:val="00AA4112"/>
    <w:pPr>
      <w:jc w:val="right"/>
    </w:pPr>
  </w:style>
  <w:style w:type="paragraph" w:customStyle="1" w:styleId="AnnexNoTitle">
    <w:name w:val="Annex_NoTitle"/>
    <w:basedOn w:val="Normal"/>
    <w:next w:val="Normalaftertitle"/>
    <w:rsid w:val="00AA4112"/>
    <w:pPr>
      <w:keepNext/>
      <w:keepLines/>
      <w:spacing w:before="480" w:after="80"/>
      <w:jc w:val="center"/>
    </w:pPr>
    <w:rPr>
      <w:b/>
      <w:sz w:val="28"/>
    </w:rPr>
  </w:style>
  <w:style w:type="paragraph" w:customStyle="1" w:styleId="AppendixNoTitle">
    <w:name w:val="Appendix_NoTitle"/>
    <w:basedOn w:val="AnnexNoTitle"/>
    <w:next w:val="Normal"/>
    <w:rsid w:val="00AA4112"/>
  </w:style>
  <w:style w:type="paragraph" w:customStyle="1" w:styleId="Tablefin">
    <w:name w:val="Table_fin"/>
    <w:basedOn w:val="Normal"/>
    <w:next w:val="Normal"/>
    <w:rsid w:val="00AA411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AA411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2"/>
    </w:rPr>
  </w:style>
  <w:style w:type="paragraph" w:customStyle="1" w:styleId="Tablelegend">
    <w:name w:val="Table_legend"/>
    <w:basedOn w:val="Normal"/>
    <w:rsid w:val="00AA41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2"/>
    </w:rPr>
  </w:style>
  <w:style w:type="paragraph" w:customStyle="1" w:styleId="TableNo">
    <w:name w:val="Table_No"/>
    <w:basedOn w:val="Normal"/>
    <w:next w:val="Normal"/>
    <w:link w:val="TableNo0"/>
    <w:rsid w:val="00AA411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AA411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2"/>
    </w:rPr>
  </w:style>
  <w:style w:type="paragraph" w:customStyle="1" w:styleId="Equation">
    <w:name w:val="Equation"/>
    <w:basedOn w:val="Normal"/>
    <w:rsid w:val="00AA411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AA411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AA4112"/>
    <w:pPr>
      <w:ind w:left="794"/>
    </w:pPr>
  </w:style>
  <w:style w:type="paragraph" w:customStyle="1" w:styleId="Figurelegend">
    <w:name w:val="Figure_legend"/>
    <w:basedOn w:val="Normal"/>
    <w:rsid w:val="00AA41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AA411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tocpart">
    <w:name w:val="tocpart"/>
    <w:basedOn w:val="Normal"/>
    <w:rsid w:val="00AA411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AA4112"/>
    <w:pPr>
      <w:keepNext/>
      <w:keepLines/>
      <w:spacing w:before="480"/>
      <w:jc w:val="center"/>
    </w:pPr>
    <w:rPr>
      <w:sz w:val="28"/>
    </w:rPr>
  </w:style>
  <w:style w:type="paragraph" w:customStyle="1" w:styleId="Arttitle">
    <w:name w:val="Art_title"/>
    <w:basedOn w:val="Normal"/>
    <w:next w:val="Normalaftertitle"/>
    <w:rsid w:val="00AA4112"/>
    <w:pPr>
      <w:keepNext/>
      <w:keepLines/>
      <w:spacing w:before="240"/>
      <w:jc w:val="center"/>
    </w:pPr>
    <w:rPr>
      <w:b/>
      <w:sz w:val="28"/>
    </w:rPr>
  </w:style>
  <w:style w:type="paragraph" w:customStyle="1" w:styleId="Blanc">
    <w:name w:val="Blanc"/>
    <w:basedOn w:val="Normal"/>
    <w:next w:val="Tabletext"/>
    <w:rsid w:val="00AA41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AA411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AA4112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AA4112"/>
    <w:rPr>
      <w:b/>
    </w:rPr>
  </w:style>
  <w:style w:type="paragraph" w:customStyle="1" w:styleId="Chaptitle">
    <w:name w:val="Chap_title"/>
    <w:basedOn w:val="Arttitle"/>
    <w:next w:val="Normalaftertitle"/>
    <w:rsid w:val="00AA4112"/>
  </w:style>
  <w:style w:type="character" w:styleId="FootnoteReference">
    <w:name w:val="footnote reference"/>
    <w:basedOn w:val="DefaultParagraphFont"/>
    <w:semiHidden/>
    <w:rsid w:val="00AA4112"/>
    <w:rPr>
      <w:position w:val="6"/>
      <w:sz w:val="18"/>
    </w:rPr>
  </w:style>
  <w:style w:type="paragraph" w:styleId="FootnoteText">
    <w:name w:val="footnote text"/>
    <w:basedOn w:val="Normal"/>
    <w:semiHidden/>
    <w:rsid w:val="00AA4112"/>
    <w:pPr>
      <w:keepLines/>
      <w:tabs>
        <w:tab w:val="left" w:pos="255"/>
      </w:tabs>
      <w:ind w:left="255" w:hanging="255"/>
    </w:pPr>
    <w:rPr>
      <w:sz w:val="22"/>
    </w:rPr>
  </w:style>
  <w:style w:type="paragraph" w:styleId="Index1">
    <w:name w:val="index 1"/>
    <w:basedOn w:val="Normal"/>
    <w:next w:val="Normal"/>
    <w:semiHidden/>
    <w:rsid w:val="00AA4112"/>
  </w:style>
  <w:style w:type="paragraph" w:styleId="Index2">
    <w:name w:val="index 2"/>
    <w:basedOn w:val="Normal"/>
    <w:next w:val="Normal"/>
    <w:semiHidden/>
    <w:rsid w:val="00AA4112"/>
    <w:pPr>
      <w:ind w:left="283"/>
    </w:pPr>
  </w:style>
  <w:style w:type="paragraph" w:styleId="Index3">
    <w:name w:val="index 3"/>
    <w:basedOn w:val="Normal"/>
    <w:next w:val="Normal"/>
    <w:semiHidden/>
    <w:rsid w:val="00AA4112"/>
    <w:pPr>
      <w:ind w:left="566"/>
    </w:pPr>
  </w:style>
  <w:style w:type="paragraph" w:styleId="IndexHeading">
    <w:name w:val="index heading"/>
    <w:basedOn w:val="Normal"/>
    <w:next w:val="Index1"/>
    <w:semiHidden/>
    <w:rsid w:val="00AA4112"/>
  </w:style>
  <w:style w:type="paragraph" w:customStyle="1" w:styleId="Line">
    <w:name w:val="Line"/>
    <w:basedOn w:val="Normal"/>
    <w:next w:val="Normal"/>
    <w:rsid w:val="00AA411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AA411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AA4112"/>
  </w:style>
  <w:style w:type="paragraph" w:customStyle="1" w:styleId="Partref">
    <w:name w:val="Part_ref"/>
    <w:basedOn w:val="Normal"/>
    <w:next w:val="Normal"/>
    <w:rsid w:val="00AA411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AA41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Questiondate">
    <w:name w:val="Question_date"/>
    <w:basedOn w:val="Recdate"/>
    <w:next w:val="Normalaftertitle"/>
    <w:rsid w:val="00AA4112"/>
  </w:style>
  <w:style w:type="paragraph" w:customStyle="1" w:styleId="QuestionNo">
    <w:name w:val="Question_No"/>
    <w:basedOn w:val="RecNo"/>
    <w:next w:val="Normal"/>
    <w:rsid w:val="00AA4112"/>
  </w:style>
  <w:style w:type="paragraph" w:customStyle="1" w:styleId="Questionref">
    <w:name w:val="Question_ref"/>
    <w:basedOn w:val="Recref"/>
    <w:next w:val="Questiondate"/>
    <w:rsid w:val="00AA4112"/>
  </w:style>
  <w:style w:type="paragraph" w:customStyle="1" w:styleId="Questiontitle">
    <w:name w:val="Question_title"/>
    <w:basedOn w:val="Normal"/>
    <w:next w:val="Questionref"/>
    <w:rsid w:val="00AA4112"/>
  </w:style>
  <w:style w:type="paragraph" w:customStyle="1" w:styleId="Reftext">
    <w:name w:val="Ref_text"/>
    <w:basedOn w:val="Normal"/>
    <w:rsid w:val="00AA4112"/>
    <w:pPr>
      <w:ind w:left="794" w:hanging="794"/>
    </w:pPr>
    <w:rPr>
      <w:sz w:val="22"/>
    </w:rPr>
  </w:style>
  <w:style w:type="paragraph" w:customStyle="1" w:styleId="Reftitle">
    <w:name w:val="Ref_title"/>
    <w:basedOn w:val="Normal"/>
    <w:next w:val="Reftext"/>
    <w:rsid w:val="00AA411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8"/>
    </w:rPr>
  </w:style>
  <w:style w:type="paragraph" w:customStyle="1" w:styleId="Repdate">
    <w:name w:val="Rep_date"/>
    <w:basedOn w:val="Recdate"/>
    <w:next w:val="Normal"/>
    <w:rsid w:val="00AA4112"/>
  </w:style>
  <w:style w:type="paragraph" w:customStyle="1" w:styleId="RepNo">
    <w:name w:val="Rep_No"/>
    <w:basedOn w:val="RecNo"/>
    <w:next w:val="Reptitle"/>
    <w:rsid w:val="00AA4112"/>
  </w:style>
  <w:style w:type="paragraph" w:customStyle="1" w:styleId="Repref">
    <w:name w:val="Rep_ref"/>
    <w:basedOn w:val="Recref"/>
    <w:next w:val="Repdate"/>
    <w:rsid w:val="00AA4112"/>
  </w:style>
  <w:style w:type="paragraph" w:customStyle="1" w:styleId="Reptitle">
    <w:name w:val="Rep_title"/>
    <w:basedOn w:val="Rectitle"/>
    <w:next w:val="Repref"/>
    <w:rsid w:val="00AA4112"/>
  </w:style>
  <w:style w:type="paragraph" w:customStyle="1" w:styleId="Resdate">
    <w:name w:val="Res_date"/>
    <w:basedOn w:val="Recdate"/>
    <w:next w:val="Normalaftertitle"/>
    <w:rsid w:val="00AA4112"/>
  </w:style>
  <w:style w:type="paragraph" w:customStyle="1" w:styleId="ResNo">
    <w:name w:val="Res_No"/>
    <w:basedOn w:val="RecNo"/>
    <w:next w:val="Restitle"/>
    <w:rsid w:val="00AA4112"/>
  </w:style>
  <w:style w:type="paragraph" w:customStyle="1" w:styleId="Resref">
    <w:name w:val="Res_ref"/>
    <w:basedOn w:val="Recref"/>
    <w:next w:val="Resdate"/>
    <w:rsid w:val="00AA4112"/>
  </w:style>
  <w:style w:type="paragraph" w:customStyle="1" w:styleId="Restitle">
    <w:name w:val="Res_title"/>
    <w:basedOn w:val="Normal"/>
    <w:next w:val="Resref"/>
    <w:rsid w:val="00AA4112"/>
    <w:pPr>
      <w:spacing w:before="240"/>
      <w:jc w:val="center"/>
    </w:pPr>
    <w:rPr>
      <w:b/>
      <w:sz w:val="28"/>
    </w:rPr>
  </w:style>
  <w:style w:type="paragraph" w:customStyle="1" w:styleId="SectionNo">
    <w:name w:val="Section_No"/>
    <w:basedOn w:val="Normal"/>
    <w:next w:val="Normal"/>
    <w:rsid w:val="00AA4112"/>
  </w:style>
  <w:style w:type="paragraph" w:customStyle="1" w:styleId="Sectiontitle">
    <w:name w:val="Section_title"/>
    <w:basedOn w:val="Normal"/>
    <w:next w:val="Normalaftertitle"/>
    <w:rsid w:val="00AA411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8"/>
    </w:rPr>
  </w:style>
  <w:style w:type="paragraph" w:customStyle="1" w:styleId="toc0">
    <w:name w:val="toc 0"/>
    <w:basedOn w:val="Normal"/>
    <w:next w:val="TOC1"/>
    <w:rsid w:val="00AA411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AA411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AA411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AA411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AA411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AA4112"/>
  </w:style>
  <w:style w:type="paragraph" w:styleId="TOC6">
    <w:name w:val="toc 6"/>
    <w:basedOn w:val="TOC4"/>
    <w:semiHidden/>
    <w:rsid w:val="00AA4112"/>
  </w:style>
  <w:style w:type="paragraph" w:styleId="TOC7">
    <w:name w:val="toc 7"/>
    <w:basedOn w:val="TOC4"/>
    <w:semiHidden/>
    <w:rsid w:val="00AA4112"/>
  </w:style>
  <w:style w:type="paragraph" w:styleId="TOC8">
    <w:name w:val="toc 8"/>
    <w:basedOn w:val="TOC4"/>
    <w:semiHidden/>
    <w:rsid w:val="00AA4112"/>
  </w:style>
  <w:style w:type="paragraph" w:customStyle="1" w:styleId="Rectitle">
    <w:name w:val="Rec_title"/>
    <w:basedOn w:val="Normal"/>
    <w:next w:val="Recref"/>
    <w:rsid w:val="00AA4112"/>
    <w:pPr>
      <w:keepNext/>
      <w:keepLines/>
      <w:spacing w:before="240"/>
      <w:jc w:val="center"/>
    </w:pPr>
    <w:rPr>
      <w:b/>
      <w:sz w:val="28"/>
    </w:rPr>
  </w:style>
  <w:style w:type="paragraph" w:customStyle="1" w:styleId="Annexref">
    <w:name w:val="Annex_ref"/>
    <w:basedOn w:val="Normal"/>
    <w:next w:val="Normalaftertitle"/>
    <w:rsid w:val="00AA411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AA4112"/>
  </w:style>
  <w:style w:type="paragraph" w:customStyle="1" w:styleId="Figuretitle">
    <w:name w:val="Figure_title"/>
    <w:basedOn w:val="Normal"/>
    <w:next w:val="Figure"/>
    <w:rsid w:val="00AA411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Tabletitle">
    <w:name w:val="Table_title"/>
    <w:basedOn w:val="Normal"/>
    <w:next w:val="Tablehead"/>
    <w:rsid w:val="00AA411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AA4112"/>
    <w:pPr>
      <w:spacing w:after="480"/>
    </w:pPr>
    <w:rPr>
      <w:sz w:val="22"/>
      <w:lang w:val="es-ES_tradnl"/>
    </w:rPr>
  </w:style>
  <w:style w:type="character" w:styleId="Hyperlink">
    <w:name w:val="Hyperlink"/>
    <w:basedOn w:val="DefaultParagraphFont"/>
    <w:rsid w:val="00042292"/>
    <w:rPr>
      <w:color w:val="0000FF"/>
      <w:u w:val="single"/>
    </w:rPr>
  </w:style>
  <w:style w:type="paragraph" w:customStyle="1" w:styleId="Figure">
    <w:name w:val="Figure"/>
    <w:basedOn w:val="FigureNo"/>
    <w:next w:val="Normal"/>
    <w:rsid w:val="00AA4112"/>
    <w:pPr>
      <w:keepNext w:val="0"/>
      <w:spacing w:before="0" w:after="240"/>
    </w:pPr>
  </w:style>
  <w:style w:type="table" w:styleId="TableGrid">
    <w:name w:val="Table Grid"/>
    <w:basedOn w:val="TableNormal"/>
    <w:rsid w:val="0004229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3639DC"/>
    <w:pPr>
      <w:ind w:left="720"/>
      <w:contextualSpacing/>
    </w:pPr>
  </w:style>
  <w:style w:type="character" w:customStyle="1" w:styleId="TableNo0">
    <w:name w:val="Table_No Знак"/>
    <w:basedOn w:val="DefaultParagraphFont"/>
    <w:link w:val="TableNo"/>
    <w:locked/>
    <w:rsid w:val="003639DC"/>
    <w:rPr>
      <w:sz w:val="24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AA4112"/>
    <w:pPr>
      <w:ind w:left="-85" w:firstLine="0"/>
    </w:pPr>
    <w:rPr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s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tu.int/ITU-D/emergencytelecoms/partnerships.html" TargetMode="External"/><Relationship Id="rId10" Type="http://schemas.openxmlformats.org/officeDocument/2006/relationships/hyperlink" Target="http://www.itu.int/ITU-R/go/patents/es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yperlink" Target="http://www.itu.int/ITU-R/space/res647/index.asp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antosbo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45E268-9E1C-47A1-84DF-E5A020CADC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175</TotalTime>
  <Pages>6</Pages>
  <Words>2039</Words>
  <Characters>11569</Characters>
  <Application>Microsoft Office Word</Application>
  <DocSecurity>0</DocSecurity>
  <Lines>1156</Lines>
  <Paragraphs>485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RECOMENDACIÓN  UIT-R  M.1854 - Utilización del servicio móvil por satélite para respuesta y socorro en caso de catástrofe</vt:lpstr>
    </vt:vector>
  </TitlesOfParts>
  <Manager/>
  <Company>ITU</Company>
  <LinksUpToDate>false</LinksUpToDate>
  <CharactersWithSpaces>13123</CharactersWithSpaces>
  <SharedDoc>false</SharedDoc>
  <HLinks>
    <vt:vector size="12" baseType="variant">
      <vt:variant>
        <vt:i4>196692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http://www.itu.int/publ/R-REC/es</vt:lpwstr>
      </vt:variant>
      <vt:variant>
        <vt:lpwstr/>
      </vt:variant>
      <vt:variant>
        <vt:i4>2097198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http://www.itu.int/ITU-R/go/patents/es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RECOMENDACIÓN  UIT-R  M.1854 - Utilización del servicio móvil por satélite para respuesta y socorro en caso de catástrofe</dc:title>
  <dc:subject>Serie M = Servicios móviles, de radiodeterminación y de aficionados, incluidos los correspondientes servicios por satélite</dc:subject>
  <dc:creator>Oficina de Radiocomunicaciones del UIT (BR)</dc:creator>
  <cp:keywords>M,1854</cp:keywords>
  <dc:description>Santosbo, 25/06/2010, MSB106309</dc:description>
  <cp:lastModifiedBy>martiner</cp:lastModifiedBy>
  <cp:revision>17</cp:revision>
  <cp:lastPrinted>2005-02-10T14:54:00Z</cp:lastPrinted>
  <dcterms:created xsi:type="dcterms:W3CDTF">2010-06-24T14:11:00Z</dcterms:created>
  <dcterms:modified xsi:type="dcterms:W3CDTF">2010-06-25T12:54:00Z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Spanish</vt:lpwstr>
  </property>
  <property fmtid="{D5CDD505-2E9C-101B-9397-08002B2CF9AE}" pid="10" name="Typist">
    <vt:lpwstr>Santosbo</vt:lpwstr>
  </property>
  <property fmtid="{D5CDD505-2E9C-101B-9397-08002B2CF9AE}" pid="11" name="Date completed">
    <vt:lpwstr>25 June 2010</vt:lpwstr>
  </property>
</Properties>
</file>