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A65" w:rsidRPr="00575CB8" w:rsidRDefault="00E34A65" w:rsidP="00E34A65">
      <w:pPr>
        <w:rPr>
          <w:lang w:val="en-US"/>
        </w:rPr>
      </w:pPr>
    </w:p>
    <w:p w:rsidR="00E34A65" w:rsidRDefault="00E34A65" w:rsidP="00E34A65"/>
    <w:p w:rsidR="00E34A65" w:rsidRDefault="00E34A65" w:rsidP="00E34A65"/>
    <w:p w:rsidR="00E34A65" w:rsidRDefault="00E34A65" w:rsidP="00E34A65"/>
    <w:p w:rsidR="00E34A65" w:rsidRDefault="00E34A65" w:rsidP="00E34A65"/>
    <w:p w:rsidR="00E34A65" w:rsidRDefault="00E34A65" w:rsidP="00E34A65"/>
    <w:p w:rsidR="00E34A65" w:rsidRDefault="00E34A65" w:rsidP="00E34A65"/>
    <w:p w:rsidR="00E34A65" w:rsidRDefault="00E34A65" w:rsidP="00E34A65"/>
    <w:p w:rsidR="00E34A65" w:rsidRDefault="00E34A65" w:rsidP="00E34A65"/>
    <w:p w:rsidR="00E34A65" w:rsidRDefault="00E34A65" w:rsidP="00E34A65"/>
    <w:tbl>
      <w:tblPr>
        <w:tblW w:w="10089" w:type="dxa"/>
        <w:tblLook w:val="01E0" w:firstRow="1" w:lastRow="1" w:firstColumn="1" w:lastColumn="1" w:noHBand="0" w:noVBand="0"/>
      </w:tblPr>
      <w:tblGrid>
        <w:gridCol w:w="10089"/>
      </w:tblGrid>
      <w:tr w:rsidR="00E34A65" w:rsidRPr="00F91385" w:rsidTr="00022AA4">
        <w:tc>
          <w:tcPr>
            <w:tcW w:w="10089" w:type="dxa"/>
          </w:tcPr>
          <w:p w:rsidR="00E34A65" w:rsidRPr="00A07AEB" w:rsidRDefault="00E34A65" w:rsidP="00022AA4">
            <w:pPr>
              <w:spacing w:before="380" w:line="280" w:lineRule="exact"/>
              <w:jc w:val="right"/>
              <w:rPr>
                <w:rFonts w:ascii="Tahoma" w:hAnsi="Tahoma" w:cs="Tahoma"/>
                <w:b/>
                <w:bCs/>
                <w:iCs/>
                <w:color w:val="243285"/>
                <w:sz w:val="32"/>
                <w:szCs w:val="32"/>
                <w:lang w:val="en-US"/>
              </w:rPr>
            </w:pPr>
          </w:p>
          <w:p w:rsidR="00E34A65" w:rsidRPr="00A07AEB" w:rsidRDefault="00E34A65" w:rsidP="00741AF0">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Pr>
                <w:rFonts w:ascii="Tahoma" w:hAnsi="Tahoma" w:cs="Tahoma"/>
                <w:b/>
                <w:bCs/>
                <w:iCs/>
                <w:color w:val="243285"/>
                <w:sz w:val="36"/>
                <w:szCs w:val="36"/>
                <w:lang w:val="es-ES_tradnl"/>
              </w:rPr>
              <w:t>190</w:t>
            </w:r>
            <w:r w:rsidR="00741AF0">
              <w:rPr>
                <w:rFonts w:ascii="Tahoma" w:hAnsi="Tahoma" w:cs="Tahoma"/>
                <w:b/>
                <w:bCs/>
                <w:iCs/>
                <w:color w:val="243285"/>
                <w:sz w:val="36"/>
                <w:szCs w:val="36"/>
                <w:lang w:val="es-ES_tradnl"/>
              </w:rPr>
              <w:t>1</w:t>
            </w:r>
          </w:p>
          <w:p w:rsidR="00E34A65" w:rsidRPr="00A07AEB" w:rsidRDefault="00E34A65" w:rsidP="00E34A65">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01</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2012</w:t>
            </w:r>
            <w:r w:rsidRPr="00A07AEB">
              <w:rPr>
                <w:rFonts w:ascii="Tahoma" w:hAnsi="Tahoma" w:cs="Tahoma"/>
                <w:b/>
                <w:bCs/>
                <w:iCs/>
                <w:color w:val="243285"/>
                <w:szCs w:val="24"/>
                <w:lang w:val="es-ES_tradnl"/>
              </w:rPr>
              <w:t>)</w:t>
            </w:r>
          </w:p>
        </w:tc>
      </w:tr>
      <w:tr w:rsidR="00E34A65" w:rsidRPr="00A07AEB" w:rsidTr="00022AA4">
        <w:tc>
          <w:tcPr>
            <w:tcW w:w="10089" w:type="dxa"/>
          </w:tcPr>
          <w:p w:rsidR="00E34A65" w:rsidRPr="00A07AEB" w:rsidRDefault="00E34A65" w:rsidP="00022AA4">
            <w:pPr>
              <w:spacing w:before="80" w:line="500" w:lineRule="exact"/>
              <w:jc w:val="right"/>
              <w:rPr>
                <w:rFonts w:ascii="Tahoma" w:hAnsi="Tahoma" w:cs="Tahoma"/>
                <w:b/>
                <w:bCs/>
                <w:iCs/>
                <w:color w:val="243285"/>
                <w:sz w:val="44"/>
                <w:szCs w:val="44"/>
                <w:lang w:val="es-ES_tradnl"/>
              </w:rPr>
            </w:pPr>
          </w:p>
          <w:p w:rsidR="00E34A65" w:rsidRPr="00A07AEB" w:rsidRDefault="00741AF0" w:rsidP="00741AF0">
            <w:pPr>
              <w:spacing w:before="0" w:line="500" w:lineRule="exact"/>
              <w:jc w:val="right"/>
              <w:rPr>
                <w:rFonts w:ascii="Tahoma" w:hAnsi="Tahoma" w:cs="Tahoma"/>
                <w:b/>
                <w:bCs/>
                <w:iCs/>
                <w:color w:val="243285"/>
                <w:sz w:val="44"/>
                <w:szCs w:val="44"/>
                <w:lang w:val="es-ES_tradnl"/>
              </w:rPr>
            </w:pPr>
            <w:r w:rsidRPr="001444A7">
              <w:rPr>
                <w:rFonts w:ascii="Tahoma" w:hAnsi="Tahoma" w:cs="Tahoma"/>
                <w:b/>
                <w:bCs/>
                <w:color w:val="243285"/>
                <w:sz w:val="44"/>
                <w:szCs w:val="44"/>
                <w:lang w:val="es-ES_tradnl"/>
              </w:rPr>
              <w:t>Directrices sobre Recomendaciones</w:t>
            </w:r>
            <w:r>
              <w:rPr>
                <w:rFonts w:ascii="Tahoma" w:hAnsi="Tahoma" w:cs="Tahoma"/>
                <w:b/>
                <w:bCs/>
                <w:color w:val="243285"/>
                <w:sz w:val="44"/>
                <w:szCs w:val="44"/>
                <w:lang w:val="es-ES_tradnl"/>
              </w:rPr>
              <w:br/>
            </w:r>
            <w:r w:rsidRPr="001444A7">
              <w:rPr>
                <w:rFonts w:ascii="Tahoma" w:hAnsi="Tahoma" w:cs="Tahoma"/>
                <w:b/>
                <w:bCs/>
                <w:color w:val="243285"/>
                <w:sz w:val="44"/>
                <w:szCs w:val="44"/>
                <w:lang w:val="es-ES_tradnl"/>
              </w:rPr>
              <w:t>del UIT</w:t>
            </w:r>
            <w:r w:rsidRPr="001444A7">
              <w:rPr>
                <w:rFonts w:ascii="Tahoma" w:hAnsi="Tahoma" w:cs="Tahoma"/>
                <w:b/>
                <w:bCs/>
                <w:color w:val="243285"/>
                <w:sz w:val="44"/>
                <w:szCs w:val="44"/>
                <w:lang w:val="es-ES_tradnl"/>
              </w:rPr>
              <w:noBreakHyphen/>
              <w:t>R relativas a sistemas y redes</w:t>
            </w:r>
            <w:r>
              <w:rPr>
                <w:rFonts w:ascii="Tahoma" w:hAnsi="Tahoma" w:cs="Tahoma"/>
                <w:b/>
                <w:bCs/>
                <w:color w:val="243285"/>
                <w:sz w:val="44"/>
                <w:szCs w:val="44"/>
                <w:lang w:val="es-ES_tradnl"/>
              </w:rPr>
              <w:br/>
            </w:r>
            <w:r w:rsidRPr="001444A7">
              <w:rPr>
                <w:rFonts w:ascii="Tahoma" w:hAnsi="Tahoma" w:cs="Tahoma"/>
                <w:b/>
                <w:bCs/>
                <w:color w:val="243285"/>
                <w:sz w:val="44"/>
                <w:szCs w:val="44"/>
                <w:lang w:val="es-ES_tradnl"/>
              </w:rPr>
              <w:t>del servicio de radionavegación por</w:t>
            </w:r>
            <w:r>
              <w:rPr>
                <w:rFonts w:ascii="Tahoma" w:hAnsi="Tahoma" w:cs="Tahoma"/>
                <w:b/>
                <w:bCs/>
                <w:color w:val="243285"/>
                <w:sz w:val="44"/>
                <w:szCs w:val="44"/>
                <w:lang w:val="es-ES_tradnl"/>
              </w:rPr>
              <w:br/>
            </w:r>
            <w:r w:rsidRPr="001444A7">
              <w:rPr>
                <w:rFonts w:ascii="Tahoma" w:hAnsi="Tahoma" w:cs="Tahoma"/>
                <w:b/>
                <w:bCs/>
                <w:color w:val="243285"/>
                <w:sz w:val="44"/>
                <w:szCs w:val="44"/>
                <w:lang w:val="es-ES_tradnl"/>
              </w:rPr>
              <w:t>satélite que funcionan en las bandas</w:t>
            </w:r>
            <w:r>
              <w:rPr>
                <w:rFonts w:ascii="Tahoma" w:hAnsi="Tahoma" w:cs="Tahoma"/>
                <w:b/>
                <w:bCs/>
                <w:color w:val="243285"/>
                <w:sz w:val="44"/>
                <w:szCs w:val="44"/>
                <w:lang w:val="es-ES_tradnl"/>
              </w:rPr>
              <w:br/>
            </w:r>
            <w:r w:rsidRPr="001444A7">
              <w:rPr>
                <w:rFonts w:ascii="Tahoma" w:hAnsi="Tahoma" w:cs="Tahoma"/>
                <w:b/>
                <w:bCs/>
                <w:color w:val="243285"/>
                <w:sz w:val="44"/>
                <w:szCs w:val="44"/>
                <w:lang w:val="es-ES_tradnl"/>
              </w:rPr>
              <w:t>de frecuencias 1 </w:t>
            </w:r>
            <w:r>
              <w:rPr>
                <w:rFonts w:ascii="Tahoma" w:hAnsi="Tahoma" w:cs="Tahoma"/>
                <w:b/>
                <w:bCs/>
                <w:color w:val="243285"/>
                <w:sz w:val="44"/>
                <w:szCs w:val="44"/>
                <w:lang w:val="es-ES_tradnl"/>
              </w:rPr>
              <w:t>164</w:t>
            </w:r>
            <w:r>
              <w:rPr>
                <w:rFonts w:ascii="Tahoma" w:hAnsi="Tahoma" w:cs="Tahoma"/>
                <w:b/>
                <w:bCs/>
                <w:color w:val="243285"/>
                <w:sz w:val="44"/>
                <w:szCs w:val="44"/>
                <w:lang w:val="es-ES_tradnl"/>
              </w:rPr>
              <w:noBreakHyphen/>
              <w:t>1 215 MHz, 1 </w:t>
            </w:r>
            <w:r w:rsidRPr="001444A7">
              <w:rPr>
                <w:rFonts w:ascii="Tahoma" w:hAnsi="Tahoma" w:cs="Tahoma"/>
                <w:b/>
                <w:bCs/>
                <w:color w:val="243285"/>
                <w:sz w:val="44"/>
                <w:szCs w:val="44"/>
                <w:lang w:val="es-ES_tradnl"/>
              </w:rPr>
              <w:t>215</w:t>
            </w:r>
            <w:r w:rsidRPr="001444A7">
              <w:rPr>
                <w:rFonts w:ascii="Tahoma" w:hAnsi="Tahoma" w:cs="Tahoma"/>
                <w:b/>
                <w:bCs/>
                <w:color w:val="243285"/>
                <w:sz w:val="44"/>
                <w:szCs w:val="44"/>
                <w:lang w:val="es-ES_tradnl"/>
              </w:rPr>
              <w:noBreakHyphen/>
              <w:t>1</w:t>
            </w:r>
            <w:r>
              <w:rPr>
                <w:rFonts w:ascii="Tahoma" w:hAnsi="Tahoma" w:cs="Tahoma"/>
                <w:b/>
                <w:bCs/>
                <w:color w:val="243285"/>
                <w:sz w:val="44"/>
                <w:szCs w:val="44"/>
                <w:lang w:val="es-ES_tradnl"/>
              </w:rPr>
              <w:t> </w:t>
            </w:r>
            <w:r w:rsidRPr="001444A7">
              <w:rPr>
                <w:rFonts w:ascii="Tahoma" w:hAnsi="Tahoma" w:cs="Tahoma"/>
                <w:b/>
                <w:bCs/>
                <w:color w:val="243285"/>
                <w:sz w:val="44"/>
                <w:szCs w:val="44"/>
                <w:lang w:val="es-ES_tradnl"/>
              </w:rPr>
              <w:t>300 MHz, 1 559</w:t>
            </w:r>
            <w:r w:rsidRPr="001444A7">
              <w:rPr>
                <w:rFonts w:ascii="Tahoma" w:hAnsi="Tahoma" w:cs="Tahoma"/>
                <w:b/>
                <w:bCs/>
                <w:color w:val="243285"/>
                <w:sz w:val="44"/>
                <w:szCs w:val="44"/>
                <w:lang w:val="es-ES_tradnl"/>
              </w:rPr>
              <w:noBreakHyphen/>
              <w:t>1 610 MHz, 5 000</w:t>
            </w:r>
            <w:r w:rsidRPr="001444A7">
              <w:rPr>
                <w:rFonts w:ascii="Tahoma" w:hAnsi="Tahoma" w:cs="Tahoma"/>
                <w:b/>
                <w:bCs/>
                <w:color w:val="243285"/>
                <w:sz w:val="44"/>
                <w:szCs w:val="44"/>
                <w:lang w:val="es-ES_tradnl"/>
              </w:rPr>
              <w:noBreakHyphen/>
              <w:t>5 010 MHz y 5 010</w:t>
            </w:r>
            <w:r w:rsidRPr="001444A7">
              <w:rPr>
                <w:rFonts w:ascii="Tahoma" w:hAnsi="Tahoma" w:cs="Tahoma"/>
                <w:b/>
                <w:bCs/>
                <w:color w:val="243285"/>
                <w:sz w:val="44"/>
                <w:szCs w:val="44"/>
                <w:lang w:val="es-ES_tradnl"/>
              </w:rPr>
              <w:noBreakHyphen/>
              <w:t>5 030 MHz</w:t>
            </w:r>
          </w:p>
          <w:p w:rsidR="00E34A65" w:rsidRPr="00A07AEB" w:rsidRDefault="00E34A65" w:rsidP="00022AA4">
            <w:pPr>
              <w:spacing w:before="80" w:line="500" w:lineRule="exact"/>
              <w:jc w:val="right"/>
              <w:rPr>
                <w:rFonts w:ascii="Tahoma" w:hAnsi="Tahoma" w:cs="Tahoma"/>
                <w:b/>
                <w:bCs/>
                <w:iCs/>
                <w:color w:val="243285"/>
                <w:sz w:val="44"/>
                <w:szCs w:val="44"/>
                <w:lang w:val="es-ES_tradnl"/>
              </w:rPr>
            </w:pPr>
          </w:p>
        </w:tc>
      </w:tr>
      <w:tr w:rsidR="00E34A65" w:rsidRPr="00F91385" w:rsidTr="00022AA4">
        <w:tc>
          <w:tcPr>
            <w:tcW w:w="10089" w:type="dxa"/>
          </w:tcPr>
          <w:p w:rsidR="00E34A65" w:rsidRPr="00A07AEB" w:rsidRDefault="00E34A65" w:rsidP="00022AA4">
            <w:pPr>
              <w:spacing w:before="80" w:line="280" w:lineRule="exact"/>
              <w:ind w:right="640"/>
              <w:rPr>
                <w:rFonts w:ascii="Tahoma" w:hAnsi="Tahoma" w:cs="Tahoma"/>
                <w:b/>
                <w:bCs/>
                <w:iCs/>
                <w:color w:val="243285"/>
                <w:sz w:val="32"/>
                <w:szCs w:val="32"/>
                <w:lang w:val="es-ES_tradnl"/>
              </w:rPr>
            </w:pPr>
          </w:p>
          <w:p w:rsidR="00E34A65" w:rsidRPr="00A07AEB" w:rsidRDefault="00E34A65" w:rsidP="00022AA4">
            <w:pPr>
              <w:spacing w:before="80" w:line="280" w:lineRule="exact"/>
              <w:ind w:right="640"/>
              <w:rPr>
                <w:rFonts w:ascii="Tahoma" w:hAnsi="Tahoma" w:cs="Tahoma"/>
                <w:b/>
                <w:bCs/>
                <w:iCs/>
                <w:color w:val="243285"/>
                <w:sz w:val="32"/>
                <w:szCs w:val="32"/>
                <w:lang w:val="es-ES_tradnl"/>
              </w:rPr>
            </w:pPr>
          </w:p>
          <w:p w:rsidR="00E34A65" w:rsidRPr="00A07AEB" w:rsidRDefault="00E34A65" w:rsidP="00022AA4">
            <w:pPr>
              <w:spacing w:before="80" w:after="180" w:line="360" w:lineRule="exact"/>
              <w:ind w:right="720"/>
              <w:rPr>
                <w:rFonts w:ascii="Tahoma" w:hAnsi="Tahoma" w:cs="Tahoma"/>
                <w:b/>
                <w:bCs/>
                <w:iCs/>
                <w:color w:val="243285"/>
                <w:sz w:val="36"/>
                <w:szCs w:val="36"/>
                <w:lang w:val="es-ES_tradnl"/>
              </w:rPr>
            </w:pPr>
          </w:p>
          <w:p w:rsidR="00E34A65" w:rsidRPr="00A07AEB" w:rsidRDefault="00E34A65" w:rsidP="00022AA4">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E34A65" w:rsidRPr="00A07AEB" w:rsidRDefault="00E34A65" w:rsidP="00E53666">
            <w:pPr>
              <w:spacing w:before="80" w:line="3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E34A65" w:rsidRPr="0026666F" w:rsidRDefault="00E34A65" w:rsidP="00E34A65">
      <w:pPr>
        <w:spacing w:before="80"/>
        <w:rPr>
          <w:i/>
          <w:sz w:val="22"/>
          <w:lang w:val="es-ES_tradnl"/>
        </w:rPr>
      </w:pPr>
    </w:p>
    <w:p w:rsidR="00E34A65" w:rsidRPr="0026666F" w:rsidRDefault="00E34A65" w:rsidP="00E34A65">
      <w:pPr>
        <w:spacing w:before="80"/>
        <w:rPr>
          <w:i/>
          <w:sz w:val="22"/>
          <w:lang w:val="es-ES_tradnl"/>
        </w:rPr>
      </w:pPr>
    </w:p>
    <w:p w:rsidR="00E34A65" w:rsidRPr="0026666F" w:rsidRDefault="00E34A65" w:rsidP="00E34A65">
      <w:pPr>
        <w:spacing w:before="80"/>
        <w:rPr>
          <w:i/>
          <w:sz w:val="22"/>
          <w:lang w:val="es-ES_tradnl"/>
        </w:rPr>
      </w:pPr>
    </w:p>
    <w:p w:rsidR="00E34A65" w:rsidRPr="0026666F" w:rsidRDefault="00E34A65" w:rsidP="00E34A65">
      <w:pPr>
        <w:spacing w:before="80"/>
        <w:rPr>
          <w:i/>
          <w:sz w:val="22"/>
          <w:lang w:val="es-ES_tradnl"/>
        </w:rPr>
      </w:pPr>
    </w:p>
    <w:p w:rsidR="00E34A65" w:rsidRPr="0026666F" w:rsidRDefault="00E34A65" w:rsidP="00E34A65">
      <w:pPr>
        <w:spacing w:before="80"/>
        <w:rPr>
          <w:i/>
          <w:sz w:val="22"/>
          <w:lang w:val="es-ES_tradnl"/>
        </w:rPr>
      </w:pPr>
    </w:p>
    <w:p w:rsidR="00E34A65" w:rsidRPr="0026666F" w:rsidRDefault="00E34A65" w:rsidP="00E34A65">
      <w:pPr>
        <w:spacing w:before="80"/>
        <w:rPr>
          <w:i/>
          <w:sz w:val="22"/>
          <w:lang w:val="es-ES_tradnl"/>
        </w:rPr>
      </w:pPr>
    </w:p>
    <w:p w:rsidR="00E34A65" w:rsidRPr="0026666F" w:rsidRDefault="00E34A65" w:rsidP="00E34A65">
      <w:pPr>
        <w:pStyle w:val="Equation"/>
        <w:tabs>
          <w:tab w:val="clear" w:pos="4820"/>
          <w:tab w:val="clear" w:pos="9639"/>
          <w:tab w:val="left" w:pos="1191"/>
          <w:tab w:val="left" w:pos="1588"/>
          <w:tab w:val="left" w:pos="1985"/>
        </w:tabs>
        <w:rPr>
          <w:rFonts w:ascii="Palatino Linotype" w:hAnsi="Palatino Linotype"/>
          <w:lang w:val="es-ES_tradnl"/>
        </w:rPr>
        <w:sectPr w:rsidR="00E34A65" w:rsidRPr="0026666F">
          <w:headerReference w:type="even" r:id="rId9"/>
          <w:headerReference w:type="default" r:id="rId10"/>
          <w:pgSz w:w="11907" w:h="16840" w:code="9"/>
          <w:pgMar w:top="1089" w:right="1089" w:bottom="284" w:left="1089" w:header="567" w:footer="284" w:gutter="0"/>
          <w:pgNumType w:start="1"/>
          <w:cols w:space="720"/>
        </w:sectPr>
      </w:pPr>
    </w:p>
    <w:p w:rsidR="00E34A65" w:rsidRPr="006C718C" w:rsidRDefault="00E34A65" w:rsidP="00E34A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E34A65" w:rsidRPr="006C718C" w:rsidRDefault="00E34A65" w:rsidP="00E34A65">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34A65" w:rsidRPr="006C718C" w:rsidRDefault="00E34A65" w:rsidP="00E34A65">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34A65" w:rsidRPr="00021E8A" w:rsidRDefault="00E34A65" w:rsidP="00E34A65">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34A65" w:rsidRPr="00021E8A" w:rsidRDefault="00E34A65" w:rsidP="00E34A65">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34A65" w:rsidRPr="007C36CA" w:rsidRDefault="00E34A65" w:rsidP="00E34A65">
      <w:pPr>
        <w:spacing w:before="0"/>
        <w:jc w:val="center"/>
        <w:rPr>
          <w:sz w:val="22"/>
          <w:lang w:val="es-ES_tradnl"/>
        </w:rPr>
      </w:pPr>
    </w:p>
    <w:p w:rsidR="00E34A65" w:rsidRPr="007C36CA" w:rsidRDefault="00E34A65" w:rsidP="00E34A6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34A65" w:rsidRPr="00F91385" w:rsidTr="00022AA4">
        <w:tc>
          <w:tcPr>
            <w:tcW w:w="9360" w:type="dxa"/>
            <w:gridSpan w:val="2"/>
          </w:tcPr>
          <w:p w:rsidR="00E34A65" w:rsidRPr="00021E8A" w:rsidRDefault="00E34A65" w:rsidP="00022AA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34A65" w:rsidRPr="00763D08" w:rsidRDefault="00E34A65" w:rsidP="00022A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Pr>
                  <w:rStyle w:val="Hyperlink"/>
                  <w:b w:val="0"/>
                  <w:bCs/>
                  <w:sz w:val="18"/>
                  <w:szCs w:val="18"/>
                  <w:lang w:val="es-ES_tradnl"/>
                </w:rPr>
                <w:t>http://www.itu.int/publ/R-REC/es</w:t>
              </w:r>
            </w:hyperlink>
            <w:r w:rsidRPr="00763D08">
              <w:rPr>
                <w:b w:val="0"/>
                <w:bCs/>
                <w:sz w:val="18"/>
                <w:szCs w:val="18"/>
                <w:lang w:val="es-ES_tradnl"/>
              </w:rPr>
              <w:t>)</w:t>
            </w:r>
          </w:p>
        </w:tc>
      </w:tr>
      <w:tr w:rsidR="00E34A65" w:rsidRPr="00036EE3" w:rsidTr="00022AA4">
        <w:tc>
          <w:tcPr>
            <w:tcW w:w="1140" w:type="dxa"/>
          </w:tcPr>
          <w:p w:rsidR="00E34A65" w:rsidRPr="00036EE3" w:rsidRDefault="00E34A65" w:rsidP="00022AA4">
            <w:pPr>
              <w:spacing w:before="180" w:after="100"/>
              <w:ind w:left="57"/>
              <w:rPr>
                <w:b/>
                <w:bCs/>
                <w:sz w:val="20"/>
                <w:lang w:val="en-US"/>
              </w:rPr>
            </w:pPr>
            <w:r w:rsidRPr="00036EE3">
              <w:rPr>
                <w:b/>
                <w:bCs/>
                <w:sz w:val="20"/>
                <w:lang w:val="en-US"/>
              </w:rPr>
              <w:t>Series</w:t>
            </w:r>
          </w:p>
        </w:tc>
        <w:tc>
          <w:tcPr>
            <w:tcW w:w="8220" w:type="dxa"/>
          </w:tcPr>
          <w:p w:rsidR="00E34A65" w:rsidRPr="00036EE3" w:rsidRDefault="00E34A65" w:rsidP="00022A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34A65" w:rsidRPr="00036EE3"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BO</w:t>
            </w:r>
          </w:p>
        </w:tc>
        <w:tc>
          <w:tcPr>
            <w:tcW w:w="8220" w:type="dxa"/>
          </w:tcPr>
          <w:p w:rsidR="00E34A65" w:rsidRPr="00021E8A" w:rsidRDefault="00E34A65" w:rsidP="00022A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E34A65" w:rsidRPr="00F91385"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BR</w:t>
            </w:r>
          </w:p>
        </w:tc>
        <w:tc>
          <w:tcPr>
            <w:tcW w:w="8220" w:type="dxa"/>
          </w:tcPr>
          <w:p w:rsidR="00E34A65" w:rsidRPr="00021E8A" w:rsidRDefault="00E34A65" w:rsidP="00022A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E34A65" w:rsidRPr="00036EE3"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BS</w:t>
            </w:r>
          </w:p>
        </w:tc>
        <w:tc>
          <w:tcPr>
            <w:tcW w:w="8220" w:type="dxa"/>
          </w:tcPr>
          <w:p w:rsidR="00E34A65" w:rsidRPr="00021E8A" w:rsidRDefault="00E34A65" w:rsidP="00022A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E34A65" w:rsidRPr="00ED2695" w:rsidTr="00022AA4">
        <w:tc>
          <w:tcPr>
            <w:tcW w:w="1140" w:type="dxa"/>
            <w:shd w:val="clear" w:color="auto" w:fill="auto"/>
          </w:tcPr>
          <w:p w:rsidR="00E34A65" w:rsidRPr="00ED2695" w:rsidRDefault="00E34A65" w:rsidP="00022AA4">
            <w:pPr>
              <w:spacing w:before="30" w:after="30"/>
              <w:ind w:left="57"/>
              <w:jc w:val="left"/>
              <w:rPr>
                <w:b/>
                <w:bCs/>
                <w:sz w:val="20"/>
                <w:lang w:val="en-US"/>
              </w:rPr>
            </w:pPr>
            <w:r w:rsidRPr="00ED2695">
              <w:rPr>
                <w:b/>
                <w:bCs/>
                <w:sz w:val="20"/>
                <w:lang w:val="en-US"/>
              </w:rPr>
              <w:t>BT</w:t>
            </w:r>
          </w:p>
        </w:tc>
        <w:tc>
          <w:tcPr>
            <w:tcW w:w="8220" w:type="dxa"/>
            <w:shd w:val="clear" w:color="auto" w:fill="auto"/>
          </w:tcPr>
          <w:p w:rsidR="00E34A65" w:rsidRPr="00021E8A" w:rsidRDefault="00E34A65" w:rsidP="00022A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E34A65" w:rsidRPr="00036EE3" w:rsidTr="00022AA4">
        <w:tc>
          <w:tcPr>
            <w:tcW w:w="1140" w:type="dxa"/>
            <w:shd w:val="clear" w:color="auto" w:fill="auto"/>
          </w:tcPr>
          <w:p w:rsidR="00E34A65" w:rsidRPr="00036EE3" w:rsidRDefault="00E34A65" w:rsidP="00022AA4">
            <w:pPr>
              <w:spacing w:before="30" w:after="30"/>
              <w:ind w:left="57"/>
              <w:jc w:val="left"/>
              <w:rPr>
                <w:b/>
                <w:bCs/>
                <w:sz w:val="20"/>
                <w:lang w:val="fr-CH"/>
              </w:rPr>
            </w:pPr>
            <w:r w:rsidRPr="00036EE3">
              <w:rPr>
                <w:b/>
                <w:bCs/>
                <w:sz w:val="20"/>
                <w:lang w:val="fr-CH"/>
              </w:rPr>
              <w:t>F</w:t>
            </w:r>
          </w:p>
        </w:tc>
        <w:tc>
          <w:tcPr>
            <w:tcW w:w="8220" w:type="dxa"/>
            <w:shd w:val="clear" w:color="auto" w:fill="auto"/>
          </w:tcPr>
          <w:p w:rsidR="00E34A65" w:rsidRPr="00021E8A" w:rsidRDefault="00E34A65" w:rsidP="00022AA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E34A65" w:rsidRPr="00F91385" w:rsidTr="00022AA4">
        <w:tc>
          <w:tcPr>
            <w:tcW w:w="1140" w:type="dxa"/>
            <w:shd w:val="clear" w:color="auto" w:fill="F3F3F3"/>
          </w:tcPr>
          <w:p w:rsidR="00E34A65" w:rsidRPr="001240BC" w:rsidRDefault="00E34A65" w:rsidP="00022AA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E34A65" w:rsidRPr="001240BC" w:rsidRDefault="00E34A65" w:rsidP="00022A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E34A65" w:rsidRPr="00F91385" w:rsidTr="00022AA4">
        <w:tc>
          <w:tcPr>
            <w:tcW w:w="1140" w:type="dxa"/>
          </w:tcPr>
          <w:p w:rsidR="00E34A65" w:rsidRPr="00036EE3" w:rsidRDefault="00E34A65" w:rsidP="00022AA4">
            <w:pPr>
              <w:spacing w:before="30" w:after="30"/>
              <w:ind w:left="57"/>
              <w:jc w:val="left"/>
              <w:rPr>
                <w:b/>
                <w:bCs/>
                <w:sz w:val="20"/>
                <w:lang w:val="fr-CH"/>
              </w:rPr>
            </w:pPr>
            <w:r w:rsidRPr="00036EE3">
              <w:rPr>
                <w:b/>
                <w:bCs/>
                <w:sz w:val="20"/>
                <w:lang w:val="fr-CH"/>
              </w:rPr>
              <w:t>P</w:t>
            </w:r>
          </w:p>
        </w:tc>
        <w:tc>
          <w:tcPr>
            <w:tcW w:w="8220" w:type="dxa"/>
          </w:tcPr>
          <w:p w:rsidR="00E34A65" w:rsidRPr="00021E8A" w:rsidRDefault="00E34A65" w:rsidP="00022AA4">
            <w:pPr>
              <w:spacing w:before="30" w:after="30"/>
              <w:jc w:val="left"/>
              <w:rPr>
                <w:bCs/>
                <w:sz w:val="20"/>
                <w:lang w:val="es-ES_tradnl"/>
              </w:rPr>
            </w:pPr>
            <w:r w:rsidRPr="00021E8A">
              <w:rPr>
                <w:bCs/>
                <w:sz w:val="20"/>
                <w:lang w:val="es-ES_tradnl"/>
              </w:rPr>
              <w:t>Propagación de las ondas radioeléctricas</w:t>
            </w:r>
          </w:p>
        </w:tc>
      </w:tr>
      <w:tr w:rsidR="00E34A65" w:rsidRPr="00036EE3"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RA</w:t>
            </w:r>
          </w:p>
        </w:tc>
        <w:tc>
          <w:tcPr>
            <w:tcW w:w="8220" w:type="dxa"/>
          </w:tcPr>
          <w:p w:rsidR="00E34A65" w:rsidRPr="00021E8A" w:rsidRDefault="00E34A65" w:rsidP="00022AA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E34A65" w:rsidRPr="00F91385"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RS</w:t>
            </w:r>
          </w:p>
        </w:tc>
        <w:tc>
          <w:tcPr>
            <w:tcW w:w="8220" w:type="dxa"/>
          </w:tcPr>
          <w:p w:rsidR="00E34A65" w:rsidRPr="00021E8A" w:rsidRDefault="00E34A65" w:rsidP="00022AA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34A65" w:rsidRPr="00036EE3"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S</w:t>
            </w:r>
          </w:p>
        </w:tc>
        <w:tc>
          <w:tcPr>
            <w:tcW w:w="8220" w:type="dxa"/>
          </w:tcPr>
          <w:p w:rsidR="00E34A65" w:rsidRPr="00021E8A" w:rsidRDefault="00E34A65" w:rsidP="00022AA4">
            <w:pPr>
              <w:spacing w:before="30" w:after="30"/>
              <w:jc w:val="left"/>
              <w:rPr>
                <w:bCs/>
                <w:sz w:val="20"/>
                <w:lang w:val="en-US"/>
              </w:rPr>
            </w:pPr>
            <w:r w:rsidRPr="00021E8A">
              <w:rPr>
                <w:bCs/>
                <w:sz w:val="20"/>
              </w:rPr>
              <w:t>Servicio fijo por satélite</w:t>
            </w:r>
          </w:p>
        </w:tc>
      </w:tr>
      <w:tr w:rsidR="00E34A65" w:rsidRPr="00036EE3"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SA</w:t>
            </w:r>
          </w:p>
        </w:tc>
        <w:tc>
          <w:tcPr>
            <w:tcW w:w="8220" w:type="dxa"/>
          </w:tcPr>
          <w:p w:rsidR="00E34A65" w:rsidRPr="00021E8A" w:rsidRDefault="00E34A65" w:rsidP="00022AA4">
            <w:pPr>
              <w:spacing w:before="30" w:after="30"/>
              <w:jc w:val="left"/>
              <w:rPr>
                <w:bCs/>
                <w:sz w:val="20"/>
                <w:lang w:val="en-US"/>
              </w:rPr>
            </w:pPr>
            <w:r w:rsidRPr="00021E8A">
              <w:rPr>
                <w:bCs/>
                <w:sz w:val="20"/>
              </w:rPr>
              <w:t>Aplicaciones espaciales y meteorología</w:t>
            </w:r>
          </w:p>
        </w:tc>
      </w:tr>
      <w:tr w:rsidR="00E34A65" w:rsidRPr="00F91385"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SF</w:t>
            </w:r>
          </w:p>
        </w:tc>
        <w:tc>
          <w:tcPr>
            <w:tcW w:w="8220" w:type="dxa"/>
          </w:tcPr>
          <w:p w:rsidR="00E34A65" w:rsidRPr="00021E8A" w:rsidRDefault="00E34A65" w:rsidP="00022AA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34A65" w:rsidRPr="00036EE3" w:rsidTr="00022AA4">
        <w:tc>
          <w:tcPr>
            <w:tcW w:w="1140" w:type="dxa"/>
            <w:shd w:val="clear" w:color="auto" w:fill="auto"/>
          </w:tcPr>
          <w:p w:rsidR="00E34A65" w:rsidRPr="001240BC" w:rsidRDefault="00E34A65" w:rsidP="00022AA4">
            <w:pPr>
              <w:spacing w:before="30" w:after="30"/>
              <w:ind w:left="57"/>
              <w:jc w:val="left"/>
              <w:rPr>
                <w:b/>
                <w:bCs/>
                <w:sz w:val="20"/>
                <w:lang w:val="en-US"/>
              </w:rPr>
            </w:pPr>
            <w:r w:rsidRPr="001240BC">
              <w:rPr>
                <w:b/>
                <w:bCs/>
                <w:sz w:val="20"/>
                <w:lang w:val="en-US"/>
              </w:rPr>
              <w:t>SM</w:t>
            </w:r>
          </w:p>
        </w:tc>
        <w:tc>
          <w:tcPr>
            <w:tcW w:w="8220" w:type="dxa"/>
            <w:shd w:val="clear" w:color="auto" w:fill="auto"/>
          </w:tcPr>
          <w:p w:rsidR="00E34A65" w:rsidRPr="001240BC" w:rsidRDefault="00E34A65" w:rsidP="00022AA4">
            <w:pPr>
              <w:spacing w:before="30" w:after="30"/>
              <w:jc w:val="left"/>
              <w:rPr>
                <w:sz w:val="20"/>
                <w:lang w:val="en-US"/>
              </w:rPr>
            </w:pPr>
            <w:r w:rsidRPr="001240BC">
              <w:rPr>
                <w:sz w:val="20"/>
              </w:rPr>
              <w:t>Gestión del espectro</w:t>
            </w:r>
          </w:p>
        </w:tc>
      </w:tr>
      <w:tr w:rsidR="00E34A65" w:rsidRPr="00036EE3"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SNG</w:t>
            </w:r>
          </w:p>
        </w:tc>
        <w:tc>
          <w:tcPr>
            <w:tcW w:w="8220" w:type="dxa"/>
          </w:tcPr>
          <w:p w:rsidR="00E34A65" w:rsidRPr="00021E8A" w:rsidRDefault="00E34A65" w:rsidP="00022AA4">
            <w:pPr>
              <w:spacing w:before="30" w:after="30"/>
              <w:jc w:val="left"/>
              <w:rPr>
                <w:bCs/>
                <w:sz w:val="20"/>
                <w:lang w:val="en-US"/>
              </w:rPr>
            </w:pPr>
            <w:r w:rsidRPr="00021E8A">
              <w:rPr>
                <w:bCs/>
                <w:sz w:val="20"/>
              </w:rPr>
              <w:t>Periodismo electrónico por satélite</w:t>
            </w:r>
          </w:p>
        </w:tc>
      </w:tr>
      <w:tr w:rsidR="00E34A65" w:rsidRPr="00F91385"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TF</w:t>
            </w:r>
          </w:p>
        </w:tc>
        <w:tc>
          <w:tcPr>
            <w:tcW w:w="8220" w:type="dxa"/>
          </w:tcPr>
          <w:p w:rsidR="00E34A65" w:rsidRPr="00021E8A" w:rsidRDefault="00E34A65" w:rsidP="00022AA4">
            <w:pPr>
              <w:spacing w:before="30" w:after="30"/>
              <w:jc w:val="left"/>
              <w:rPr>
                <w:bCs/>
                <w:sz w:val="20"/>
                <w:lang w:val="es-ES_tradnl"/>
              </w:rPr>
            </w:pPr>
            <w:r w:rsidRPr="00021E8A">
              <w:rPr>
                <w:bCs/>
                <w:sz w:val="20"/>
                <w:lang w:val="es-ES_tradnl"/>
              </w:rPr>
              <w:t>Emisiones de frecuencias patrón y señales horarias</w:t>
            </w:r>
          </w:p>
        </w:tc>
      </w:tr>
      <w:tr w:rsidR="00E34A65" w:rsidRPr="00036EE3"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V</w:t>
            </w:r>
          </w:p>
        </w:tc>
        <w:tc>
          <w:tcPr>
            <w:tcW w:w="8220" w:type="dxa"/>
          </w:tcPr>
          <w:p w:rsidR="00E34A65" w:rsidRPr="00021E8A" w:rsidRDefault="00E34A65" w:rsidP="00022AA4">
            <w:pPr>
              <w:spacing w:before="30" w:after="140"/>
              <w:jc w:val="left"/>
              <w:rPr>
                <w:bCs/>
                <w:sz w:val="20"/>
                <w:lang w:val="en-US"/>
              </w:rPr>
            </w:pPr>
            <w:r w:rsidRPr="00021E8A">
              <w:rPr>
                <w:bCs/>
                <w:sz w:val="20"/>
              </w:rPr>
              <w:t>Vocabulario y cuestiones afines</w:t>
            </w:r>
          </w:p>
        </w:tc>
      </w:tr>
    </w:tbl>
    <w:p w:rsidR="00E34A65" w:rsidRPr="00036EE3" w:rsidRDefault="00E34A65" w:rsidP="00E34A65">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34A65" w:rsidTr="00022AA4">
        <w:tc>
          <w:tcPr>
            <w:tcW w:w="720" w:type="dxa"/>
          </w:tcPr>
          <w:p w:rsidR="00E34A65" w:rsidRDefault="00E34A65" w:rsidP="00022AA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34A65" w:rsidRPr="00F91385" w:rsidTr="00022AA4">
        <w:tc>
          <w:tcPr>
            <w:tcW w:w="9360" w:type="dxa"/>
          </w:tcPr>
          <w:p w:rsidR="00E34A65" w:rsidRPr="00A07AEB" w:rsidRDefault="00E34A65" w:rsidP="00022AA4">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E34A65" w:rsidRPr="00763D08" w:rsidRDefault="00E34A65" w:rsidP="00E34A65">
      <w:pPr>
        <w:spacing w:before="0"/>
        <w:jc w:val="center"/>
        <w:rPr>
          <w:sz w:val="22"/>
          <w:lang w:val="es-ES_tradnl"/>
        </w:rPr>
      </w:pPr>
    </w:p>
    <w:p w:rsidR="00E34A65" w:rsidRPr="00763D08" w:rsidRDefault="00E34A65" w:rsidP="00E34A65">
      <w:pPr>
        <w:spacing w:before="60"/>
        <w:jc w:val="right"/>
        <w:rPr>
          <w:i/>
          <w:iCs/>
          <w:sz w:val="20"/>
          <w:lang w:val="es-ES_tradnl"/>
        </w:rPr>
      </w:pPr>
      <w:r w:rsidRPr="00763D08">
        <w:rPr>
          <w:i/>
          <w:iCs/>
          <w:sz w:val="20"/>
          <w:lang w:val="es-ES_tradnl"/>
        </w:rPr>
        <w:t>Publicación electrónica</w:t>
      </w:r>
    </w:p>
    <w:p w:rsidR="00E34A65" w:rsidRPr="00763D08" w:rsidRDefault="00E34A65" w:rsidP="00E34A65">
      <w:pPr>
        <w:spacing w:before="0" w:after="40"/>
        <w:jc w:val="right"/>
        <w:rPr>
          <w:sz w:val="20"/>
          <w:lang w:val="es-ES_tradnl"/>
        </w:rPr>
      </w:pPr>
      <w:r w:rsidRPr="00763D08">
        <w:rPr>
          <w:sz w:val="20"/>
          <w:lang w:val="es-ES_tradnl"/>
        </w:rPr>
        <w:t>Ginebra, 20</w:t>
      </w:r>
      <w:r>
        <w:rPr>
          <w:sz w:val="20"/>
          <w:lang w:val="es-ES_tradnl"/>
        </w:rPr>
        <w:t>12</w:t>
      </w:r>
    </w:p>
    <w:p w:rsidR="00E34A65" w:rsidRPr="00763D08" w:rsidRDefault="00E34A65" w:rsidP="00E34A65">
      <w:pPr>
        <w:spacing w:before="0"/>
        <w:jc w:val="center"/>
        <w:rPr>
          <w:sz w:val="22"/>
          <w:lang w:val="es-ES_tradnl"/>
        </w:rPr>
      </w:pPr>
    </w:p>
    <w:p w:rsidR="00E34A65" w:rsidRPr="00763D08" w:rsidRDefault="00E34A65" w:rsidP="00E34A6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12</w:t>
      </w:r>
    </w:p>
    <w:p w:rsidR="00E34A65" w:rsidRPr="006C718C" w:rsidRDefault="00E34A65" w:rsidP="00E34A65">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34A65" w:rsidRPr="006C718C" w:rsidRDefault="00E34A65" w:rsidP="00E34A65">
      <w:pPr>
        <w:spacing w:before="160"/>
        <w:rPr>
          <w:i/>
          <w:sz w:val="20"/>
          <w:highlight w:val="yellow"/>
          <w:lang w:val="es-ES_tradnl"/>
        </w:rPr>
        <w:sectPr w:rsidR="00E34A65" w:rsidRPr="006C718C" w:rsidSect="00022AA4">
          <w:headerReference w:type="even" r:id="rId13"/>
          <w:headerReference w:type="default" r:id="rId14"/>
          <w:pgSz w:w="11907" w:h="16834" w:code="9"/>
          <w:pgMar w:top="1418" w:right="1134" w:bottom="1134" w:left="1134" w:header="720" w:footer="482" w:gutter="0"/>
          <w:pgNumType w:fmt="lowerRoman" w:start="2"/>
          <w:cols w:space="720"/>
        </w:sectPr>
      </w:pPr>
    </w:p>
    <w:p w:rsidR="00E34A65" w:rsidRPr="00411C44" w:rsidRDefault="00E34A65" w:rsidP="00741AF0">
      <w:pPr>
        <w:pStyle w:val="RecNo"/>
        <w:spacing w:before="0"/>
      </w:pPr>
      <w:bookmarkStart w:id="2" w:name="irecnoe"/>
      <w:bookmarkEnd w:id="2"/>
      <w:r w:rsidRPr="00763D08">
        <w:rPr>
          <w:lang w:val="es-ES_tradnl"/>
        </w:rPr>
        <w:lastRenderedPageBreak/>
        <w:t xml:space="preserve">RECOMENDACIÓN  </w:t>
      </w:r>
      <w:r w:rsidRPr="00763D08">
        <w:rPr>
          <w:rStyle w:val="href"/>
          <w:lang w:val="es-ES_tradnl"/>
        </w:rPr>
        <w:t>UIT-R  M.1</w:t>
      </w:r>
      <w:r>
        <w:rPr>
          <w:rStyle w:val="href"/>
          <w:lang w:val="es-ES_tradnl"/>
        </w:rPr>
        <w:t>90</w:t>
      </w:r>
      <w:r w:rsidR="00741AF0">
        <w:rPr>
          <w:rStyle w:val="href"/>
          <w:lang w:val="es-ES_tradnl"/>
        </w:rPr>
        <w:t>1</w:t>
      </w:r>
    </w:p>
    <w:p w:rsidR="00E34A65" w:rsidRDefault="00741AF0" w:rsidP="00F12E1F">
      <w:pPr>
        <w:pStyle w:val="Rectitle"/>
        <w:rPr>
          <w:lang w:val="es-ES_tradnl"/>
        </w:rPr>
      </w:pPr>
      <w:r w:rsidRPr="001444A7">
        <w:rPr>
          <w:lang w:val="es-ES_tradnl"/>
        </w:rPr>
        <w:t>Directrices sobre Recomendaciones del UIT</w:t>
      </w:r>
      <w:r w:rsidRPr="001444A7">
        <w:rPr>
          <w:lang w:val="es-ES_tradnl"/>
        </w:rPr>
        <w:noBreakHyphen/>
        <w:t>R relativas a sistemas y</w:t>
      </w:r>
      <w:r w:rsidR="00F12E1F">
        <w:rPr>
          <w:lang w:val="es-ES_tradnl"/>
        </w:rPr>
        <w:br/>
      </w:r>
      <w:r w:rsidRPr="001444A7">
        <w:rPr>
          <w:lang w:val="es-ES_tradnl"/>
        </w:rPr>
        <w:t>redes</w:t>
      </w:r>
      <w:r w:rsidR="00F12E1F">
        <w:rPr>
          <w:lang w:val="es-ES_tradnl"/>
        </w:rPr>
        <w:t xml:space="preserve"> </w:t>
      </w:r>
      <w:r w:rsidRPr="001444A7">
        <w:rPr>
          <w:lang w:val="es-ES_tradnl"/>
        </w:rPr>
        <w:t>del servicio de radionavegación por satélite que funcionan en</w:t>
      </w:r>
      <w:r w:rsidR="00F12E1F">
        <w:rPr>
          <w:lang w:val="es-ES_tradnl"/>
        </w:rPr>
        <w:br/>
      </w:r>
      <w:r w:rsidRPr="001444A7">
        <w:rPr>
          <w:lang w:val="es-ES_tradnl"/>
        </w:rPr>
        <w:t>la</w:t>
      </w:r>
      <w:r>
        <w:rPr>
          <w:lang w:val="es-ES_tradnl"/>
        </w:rPr>
        <w:t>s bandas</w:t>
      </w:r>
      <w:r w:rsidR="00F12E1F">
        <w:rPr>
          <w:lang w:val="es-ES_tradnl"/>
        </w:rPr>
        <w:t xml:space="preserve"> </w:t>
      </w:r>
      <w:r>
        <w:rPr>
          <w:lang w:val="es-ES_tradnl"/>
        </w:rPr>
        <w:t>de frecuencias 1 164</w:t>
      </w:r>
      <w:r>
        <w:rPr>
          <w:lang w:val="es-ES_tradnl"/>
        </w:rPr>
        <w:noBreakHyphen/>
        <w:t>1 215 MHz, 1 215</w:t>
      </w:r>
      <w:r>
        <w:rPr>
          <w:lang w:val="es-ES_tradnl"/>
        </w:rPr>
        <w:noBreakHyphen/>
        <w:t>1 300 MHz,</w:t>
      </w:r>
      <w:r w:rsidR="00F12E1F">
        <w:rPr>
          <w:lang w:val="es-ES_tradnl"/>
        </w:rPr>
        <w:br/>
      </w:r>
      <w:r>
        <w:rPr>
          <w:lang w:val="es-ES_tradnl"/>
        </w:rPr>
        <w:t>1 559</w:t>
      </w:r>
      <w:r>
        <w:rPr>
          <w:lang w:val="es-ES_tradnl"/>
        </w:rPr>
        <w:noBreakHyphen/>
        <w:t>1 </w:t>
      </w:r>
      <w:r w:rsidRPr="001444A7">
        <w:rPr>
          <w:lang w:val="es-ES_tradnl"/>
        </w:rPr>
        <w:t>610 MHz, 5 000</w:t>
      </w:r>
      <w:r w:rsidRPr="001444A7">
        <w:rPr>
          <w:lang w:val="es-ES_tradnl"/>
        </w:rPr>
        <w:noBreakHyphen/>
        <w:t>5 010 MHz y 5 010</w:t>
      </w:r>
      <w:r w:rsidRPr="001444A7">
        <w:rPr>
          <w:lang w:val="es-ES_tradnl"/>
        </w:rPr>
        <w:noBreakHyphen/>
        <w:t>5 030 MHz</w:t>
      </w:r>
    </w:p>
    <w:p w:rsidR="00E34A65" w:rsidRDefault="00E34A65" w:rsidP="00E34A65">
      <w:pPr>
        <w:pStyle w:val="Recref"/>
        <w:rPr>
          <w:lang w:val="es-ES_tradnl"/>
        </w:rPr>
      </w:pPr>
      <w:r w:rsidRPr="003F2F6E">
        <w:rPr>
          <w:lang w:val="es-ES_tradnl"/>
        </w:rPr>
        <w:t>(Cuestiones UIT</w:t>
      </w:r>
      <w:r w:rsidRPr="003F2F6E">
        <w:rPr>
          <w:lang w:val="es-ES_tradnl"/>
        </w:rPr>
        <w:noBreakHyphen/>
        <w:t>R 217</w:t>
      </w:r>
      <w:r w:rsidR="000A3349">
        <w:rPr>
          <w:lang w:val="es-ES_tradnl"/>
        </w:rPr>
        <w:t>-2</w:t>
      </w:r>
      <w:r w:rsidRPr="003F2F6E">
        <w:rPr>
          <w:lang w:val="es-ES_tradnl"/>
        </w:rPr>
        <w:t>/4 y UIT</w:t>
      </w:r>
      <w:r w:rsidRPr="003F2F6E">
        <w:rPr>
          <w:lang w:val="es-ES_tradnl"/>
        </w:rPr>
        <w:noBreakHyphen/>
        <w:t>R 288/4)</w:t>
      </w:r>
    </w:p>
    <w:p w:rsidR="00E34A65" w:rsidRPr="003F2F6E" w:rsidRDefault="00E34A65" w:rsidP="00E34A65">
      <w:pPr>
        <w:pStyle w:val="Recdate"/>
        <w:rPr>
          <w:lang w:val="es-ES_tradnl"/>
        </w:rPr>
      </w:pPr>
      <w:r w:rsidRPr="003F2F6E">
        <w:rPr>
          <w:lang w:val="es-ES_tradnl"/>
        </w:rPr>
        <w:t>(20</w:t>
      </w:r>
      <w:r>
        <w:rPr>
          <w:lang w:val="es-ES_tradnl"/>
        </w:rPr>
        <w:t>12</w:t>
      </w:r>
      <w:r w:rsidRPr="003F2F6E">
        <w:rPr>
          <w:lang w:val="es-ES_tradnl"/>
        </w:rPr>
        <w:t>)</w:t>
      </w:r>
    </w:p>
    <w:p w:rsidR="00E34A65" w:rsidRDefault="00E34A65" w:rsidP="00E34A65">
      <w:pPr>
        <w:pStyle w:val="HeadingSum"/>
      </w:pPr>
      <w:r w:rsidRPr="00BD252C">
        <w:t>Cometido</w:t>
      </w:r>
    </w:p>
    <w:p w:rsidR="00E34A65" w:rsidRPr="00E34A65" w:rsidRDefault="00741AF0" w:rsidP="009C25B9">
      <w:pPr>
        <w:pStyle w:val="Summary"/>
      </w:pPr>
      <w:r w:rsidRPr="001444A7">
        <w:t xml:space="preserve">El objeto de esta nueva Recomendación es proporcionar orientación </w:t>
      </w:r>
      <w:r w:rsidRPr="001444A7">
        <w:rPr>
          <w:color w:val="1F497D"/>
        </w:rPr>
        <w:t xml:space="preserve">sobre </w:t>
      </w:r>
      <w:r w:rsidRPr="001444A7">
        <w:t>Recomendaciones UIT-R relativas a las características técnicas y los criterios de protección de las estaciones terrenas receptoras del servicio de radionavegación por satélite (SRNS) y las características de las estaciones espaciales transmisoras del SRNS que funcionan o se ha planificado que funcionen en las bandas de frecuencias 1</w:t>
      </w:r>
      <w:r w:rsidR="009C25B9">
        <w:t> </w:t>
      </w:r>
      <w:r w:rsidRPr="001444A7">
        <w:t>164</w:t>
      </w:r>
      <w:r w:rsidRPr="001444A7">
        <w:noBreakHyphen/>
        <w:t>1</w:t>
      </w:r>
      <w:r w:rsidR="009C25B9">
        <w:t> </w:t>
      </w:r>
      <w:r w:rsidRPr="001444A7">
        <w:t>215</w:t>
      </w:r>
      <w:r w:rsidR="009C25B9">
        <w:t> </w:t>
      </w:r>
      <w:r w:rsidRPr="001444A7">
        <w:t>MHz, 1</w:t>
      </w:r>
      <w:r w:rsidR="009C25B9">
        <w:t> </w:t>
      </w:r>
      <w:r w:rsidRPr="001444A7">
        <w:t>215</w:t>
      </w:r>
      <w:r w:rsidR="009C25B9">
        <w:t>-</w:t>
      </w:r>
      <w:r w:rsidRPr="001444A7">
        <w:t>1</w:t>
      </w:r>
      <w:r w:rsidR="009C25B9">
        <w:t> </w:t>
      </w:r>
      <w:r w:rsidRPr="001444A7">
        <w:t>300</w:t>
      </w:r>
      <w:r w:rsidR="009C25B9">
        <w:t> </w:t>
      </w:r>
      <w:r w:rsidRPr="001444A7">
        <w:t>MHz, 1 559</w:t>
      </w:r>
      <w:r w:rsidRPr="001444A7">
        <w:noBreakHyphen/>
        <w:t>1</w:t>
      </w:r>
      <w:r w:rsidR="009C25B9">
        <w:t> </w:t>
      </w:r>
      <w:r w:rsidRPr="001444A7">
        <w:t>610 MHz, 5</w:t>
      </w:r>
      <w:r w:rsidR="009C25B9">
        <w:t> </w:t>
      </w:r>
      <w:r w:rsidRPr="001444A7">
        <w:t>000</w:t>
      </w:r>
      <w:r w:rsidRPr="001444A7">
        <w:noBreakHyphen/>
        <w:t>5</w:t>
      </w:r>
      <w:r w:rsidR="009C25B9">
        <w:t> </w:t>
      </w:r>
      <w:r w:rsidRPr="001444A7">
        <w:t>010 MHz y 5 010</w:t>
      </w:r>
      <w:r w:rsidRPr="001444A7">
        <w:noBreakHyphen/>
        <w:t>5</w:t>
      </w:r>
      <w:r>
        <w:t> </w:t>
      </w:r>
      <w:r w:rsidRPr="001444A7">
        <w:t>030</w:t>
      </w:r>
      <w:r w:rsidR="009C25B9">
        <w:t> </w:t>
      </w:r>
      <w:r w:rsidRPr="001444A7">
        <w:t xml:space="preserve">MHz. Además, esta Recomendación ofrece un breve resumen </w:t>
      </w:r>
      <w:r w:rsidRPr="00BA5116">
        <w:t>de esas</w:t>
      </w:r>
      <w:r w:rsidRPr="001444A7">
        <w:t xml:space="preserve"> Recomendaciones.</w:t>
      </w:r>
    </w:p>
    <w:p w:rsidR="00E34A65" w:rsidRPr="006A4754" w:rsidRDefault="00E34A65" w:rsidP="00E34A65">
      <w:pPr>
        <w:pStyle w:val="Normalaftertitle"/>
        <w:rPr>
          <w:lang w:val="es-ES_tradnl"/>
        </w:rPr>
      </w:pPr>
      <w:r w:rsidRPr="006A4754">
        <w:rPr>
          <w:lang w:val="es-ES_tradnl"/>
        </w:rPr>
        <w:t>La Asamblea de Radiocomunicaciones de la UIT,</w:t>
      </w:r>
    </w:p>
    <w:p w:rsidR="00E34A65" w:rsidRPr="006A4754" w:rsidRDefault="00E34A65" w:rsidP="00E34A65">
      <w:pPr>
        <w:pStyle w:val="Call"/>
        <w:rPr>
          <w:lang w:val="es-ES_tradnl"/>
        </w:rPr>
      </w:pPr>
      <w:r w:rsidRPr="006A4754">
        <w:rPr>
          <w:lang w:val="es-ES_tradnl"/>
        </w:rPr>
        <w:t>considerando</w:t>
      </w:r>
    </w:p>
    <w:p w:rsidR="000A3349" w:rsidRDefault="000A3349" w:rsidP="000A3349">
      <w:pPr>
        <w:pStyle w:val="Tablefin"/>
        <w:rPr>
          <w:lang w:val="es-ES_tradnl"/>
        </w:rPr>
      </w:pPr>
    </w:p>
    <w:p w:rsidR="00741AF0" w:rsidRPr="001444A7" w:rsidRDefault="00BF46DC" w:rsidP="00BF46DC">
      <w:pPr>
        <w:rPr>
          <w:lang w:val="es-ES_tradnl"/>
        </w:rPr>
      </w:pPr>
      <w:r>
        <w:rPr>
          <w:lang w:val="es-ES_tradnl"/>
        </w:rPr>
        <w:t>a)</w:t>
      </w:r>
      <w:r>
        <w:rPr>
          <w:lang w:val="es-ES_tradnl"/>
        </w:rPr>
        <w:tab/>
      </w:r>
      <w:r w:rsidR="00741AF0" w:rsidRPr="001444A7">
        <w:rPr>
          <w:lang w:val="es-ES_tradnl"/>
        </w:rPr>
        <w:t>que los sistemas y redes del servicio de radionavegación por satélite (SRNS) proporcionan en todo el mundo información precisa para numerosas aplicaciones de determinación de la posición, navegación y temporización, incluidos los aspectos de seguridad para algunas bandas de frecuencia y bajo ciertas circunstancias y aplicaciones;</w:t>
      </w:r>
    </w:p>
    <w:p w:rsidR="00741AF0" w:rsidRPr="001444A7" w:rsidRDefault="00BF46DC" w:rsidP="00BF46DC">
      <w:pPr>
        <w:rPr>
          <w:lang w:val="es-ES_tradnl"/>
        </w:rPr>
      </w:pPr>
      <w:r>
        <w:rPr>
          <w:lang w:val="es-ES_tradnl"/>
        </w:rPr>
        <w:t>b)</w:t>
      </w:r>
      <w:r>
        <w:rPr>
          <w:lang w:val="es-ES_tradnl"/>
        </w:rPr>
        <w:tab/>
      </w:r>
      <w:r w:rsidR="00741AF0" w:rsidRPr="001444A7">
        <w:rPr>
          <w:lang w:val="es-ES_tradnl"/>
        </w:rPr>
        <w:t>que existen varios sistemas y redes en funcionamiento y planificados en el SRNS;</w:t>
      </w:r>
    </w:p>
    <w:p w:rsidR="00741AF0" w:rsidRPr="001444A7" w:rsidRDefault="00BF46DC" w:rsidP="00BF46DC">
      <w:pPr>
        <w:rPr>
          <w:lang w:val="es-ES_tradnl"/>
        </w:rPr>
      </w:pPr>
      <w:r>
        <w:rPr>
          <w:lang w:val="es-ES_tradnl"/>
        </w:rPr>
        <w:t>c)</w:t>
      </w:r>
      <w:r>
        <w:rPr>
          <w:lang w:val="es-ES_tradnl"/>
        </w:rPr>
        <w:tab/>
      </w:r>
      <w:r w:rsidR="00741AF0" w:rsidRPr="001444A7">
        <w:rPr>
          <w:lang w:val="es-ES_tradnl"/>
        </w:rPr>
        <w:t>que toda estación terrena equipada adecuadamente puede recibir información de navegación procedente de sistemas y redes del SRNS en todo el mundo,</w:t>
      </w:r>
    </w:p>
    <w:p w:rsidR="00741AF0" w:rsidRPr="001444A7" w:rsidRDefault="00741AF0" w:rsidP="00741AF0">
      <w:pPr>
        <w:pStyle w:val="Call"/>
        <w:rPr>
          <w:lang w:val="es-ES_tradnl"/>
        </w:rPr>
      </w:pPr>
      <w:r w:rsidRPr="001444A7">
        <w:rPr>
          <w:lang w:val="es-ES_tradnl"/>
        </w:rPr>
        <w:t>observando</w:t>
      </w:r>
    </w:p>
    <w:p w:rsidR="00741AF0" w:rsidRPr="001444A7" w:rsidRDefault="00BF46DC" w:rsidP="00BF46DC">
      <w:pPr>
        <w:rPr>
          <w:lang w:val="es-ES_tradnl"/>
        </w:rPr>
      </w:pPr>
      <w:r>
        <w:rPr>
          <w:lang w:val="es-ES_tradnl"/>
        </w:rPr>
        <w:t>a)</w:t>
      </w:r>
      <w:r>
        <w:rPr>
          <w:lang w:val="es-ES_tradnl"/>
        </w:rPr>
        <w:tab/>
      </w:r>
      <w:r w:rsidR="00741AF0" w:rsidRPr="001444A7">
        <w:rPr>
          <w:lang w:val="es-ES_tradnl"/>
        </w:rPr>
        <w:t>que las Recomen</w:t>
      </w:r>
      <w:r w:rsidR="00741AF0">
        <w:rPr>
          <w:lang w:val="es-ES_tradnl"/>
        </w:rPr>
        <w:t>daciones UIT-R M.1902, UIT-R M.1905, UIT-R M.1903 y UIT-R M.</w:t>
      </w:r>
      <w:r w:rsidR="00741AF0" w:rsidRPr="001444A7">
        <w:rPr>
          <w:lang w:val="es-ES_tradnl"/>
        </w:rPr>
        <w:t>1904 proporcionan las características técnicas y de funcionamiento, y los criterios de protección de los receptores de los sistemas y redes (espacio-Tierra y espacio-espac</w:t>
      </w:r>
      <w:r w:rsidR="00741AF0">
        <w:rPr>
          <w:lang w:val="es-ES_tradnl"/>
        </w:rPr>
        <w:t>io) del SRNS en las bandas 1 164</w:t>
      </w:r>
      <w:r w:rsidR="00741AF0">
        <w:rPr>
          <w:lang w:val="es-ES_tradnl"/>
        </w:rPr>
        <w:noBreakHyphen/>
      </w:r>
      <w:r w:rsidR="00741AF0" w:rsidRPr="001444A7">
        <w:rPr>
          <w:lang w:val="es-ES_tradnl"/>
        </w:rPr>
        <w:t>1</w:t>
      </w:r>
      <w:r w:rsidR="00741AF0">
        <w:rPr>
          <w:lang w:val="es-ES_tradnl"/>
        </w:rPr>
        <w:t> </w:t>
      </w:r>
      <w:r w:rsidR="00741AF0" w:rsidRPr="001444A7">
        <w:rPr>
          <w:lang w:val="es-ES_tradnl"/>
        </w:rPr>
        <w:t>215 MHz, 1</w:t>
      </w:r>
      <w:r w:rsidR="00741AF0">
        <w:rPr>
          <w:lang w:val="es-ES_tradnl"/>
        </w:rPr>
        <w:t> </w:t>
      </w:r>
      <w:r w:rsidR="00741AF0" w:rsidRPr="001444A7">
        <w:rPr>
          <w:lang w:val="es-ES_tradnl"/>
        </w:rPr>
        <w:t>215-1</w:t>
      </w:r>
      <w:r w:rsidR="00741AF0">
        <w:rPr>
          <w:lang w:val="es-ES_tradnl"/>
        </w:rPr>
        <w:t> </w:t>
      </w:r>
      <w:r w:rsidR="00741AF0" w:rsidRPr="001444A7">
        <w:rPr>
          <w:lang w:val="es-ES_tradnl"/>
        </w:rPr>
        <w:t>300 MHz y 1</w:t>
      </w:r>
      <w:r w:rsidR="00741AF0">
        <w:rPr>
          <w:lang w:val="es-ES_tradnl"/>
        </w:rPr>
        <w:t> </w:t>
      </w:r>
      <w:r w:rsidR="00741AF0" w:rsidRPr="001444A7">
        <w:rPr>
          <w:lang w:val="es-ES_tradnl"/>
        </w:rPr>
        <w:t>559-1</w:t>
      </w:r>
      <w:r w:rsidR="00741AF0">
        <w:rPr>
          <w:lang w:val="es-ES_tradnl"/>
        </w:rPr>
        <w:t> </w:t>
      </w:r>
      <w:r w:rsidR="00741AF0" w:rsidRPr="001444A7">
        <w:rPr>
          <w:lang w:val="es-ES_tradnl"/>
        </w:rPr>
        <w:t>610 MHz;</w:t>
      </w:r>
    </w:p>
    <w:p w:rsidR="00741AF0" w:rsidRPr="001444A7" w:rsidRDefault="00BF46DC" w:rsidP="00BF46DC">
      <w:pPr>
        <w:rPr>
          <w:lang w:val="es-ES_tradnl"/>
        </w:rPr>
      </w:pPr>
      <w:r>
        <w:rPr>
          <w:lang w:val="es-ES_tradnl"/>
        </w:rPr>
        <w:t>b)</w:t>
      </w:r>
      <w:r>
        <w:rPr>
          <w:lang w:val="es-ES_tradnl"/>
        </w:rPr>
        <w:tab/>
      </w:r>
      <w:r w:rsidR="00741AF0" w:rsidRPr="001444A7">
        <w:rPr>
          <w:lang w:val="es-ES_tradnl"/>
        </w:rPr>
        <w:t>que en la Recomendación UIT-R M.1906 aparecen las características técnicas y de funcionamiento así como los criterios de protección de las estaciones espaciales receptoras y las características de las estaciones terrenas transmisoras del SRNS (Tierra-espacio) que funcionan en la banda 5</w:t>
      </w:r>
      <w:r w:rsidR="00741AF0">
        <w:rPr>
          <w:lang w:val="es-ES_tradnl"/>
        </w:rPr>
        <w:t> </w:t>
      </w:r>
      <w:r w:rsidR="00741AF0" w:rsidRPr="001444A7">
        <w:rPr>
          <w:lang w:val="es-ES_tradnl"/>
        </w:rPr>
        <w:t>000-5</w:t>
      </w:r>
      <w:r w:rsidR="00741AF0">
        <w:rPr>
          <w:lang w:val="es-ES_tradnl"/>
        </w:rPr>
        <w:t> </w:t>
      </w:r>
      <w:r w:rsidR="00741AF0" w:rsidRPr="001444A7">
        <w:rPr>
          <w:lang w:val="es-ES_tradnl"/>
        </w:rPr>
        <w:t>010 MHz;</w:t>
      </w:r>
    </w:p>
    <w:p w:rsidR="00741AF0" w:rsidRPr="00E9149B" w:rsidRDefault="00BF46DC" w:rsidP="00BF46DC">
      <w:pPr>
        <w:rPr>
          <w:lang w:val="es-ES_tradnl"/>
        </w:rPr>
      </w:pPr>
      <w:r>
        <w:rPr>
          <w:lang w:val="es-ES_tradnl"/>
        </w:rPr>
        <w:t>c)</w:t>
      </w:r>
      <w:r>
        <w:rPr>
          <w:lang w:val="es-ES_tradnl"/>
        </w:rPr>
        <w:tab/>
      </w:r>
      <w:r w:rsidR="00741AF0" w:rsidRPr="001444A7">
        <w:rPr>
          <w:lang w:val="es-ES_tradnl"/>
        </w:rPr>
        <w:t xml:space="preserve">que la Recomendación UIT-R M.1787 presenta descripciones técnicas de los sistemas y redes del SRNS (espacio-Tierra y espacio-espacio) y las características técnicas de las estaciones espaciales transmisoras que funcionan en las bandas </w:t>
      </w:r>
      <w:r w:rsidR="00741AF0" w:rsidRPr="00E9149B">
        <w:rPr>
          <w:lang w:val="es-ES_tradnl"/>
        </w:rPr>
        <w:t>1 164-1 215 MHz, 1 215-1 300 MHz y 1 559</w:t>
      </w:r>
      <w:r w:rsidR="00741AF0" w:rsidRPr="00E9149B">
        <w:rPr>
          <w:lang w:val="es-ES_tradnl"/>
        </w:rPr>
        <w:noBreakHyphen/>
        <w:t>1 610 MHz;</w:t>
      </w:r>
    </w:p>
    <w:p w:rsidR="00741AF0" w:rsidRPr="00150507" w:rsidRDefault="00BF46DC" w:rsidP="00BF46DC">
      <w:pPr>
        <w:rPr>
          <w:lang w:val="es-ES_tradnl"/>
        </w:rPr>
      </w:pPr>
      <w:r>
        <w:rPr>
          <w:lang w:val="es-ES_tradnl"/>
        </w:rPr>
        <w:t>d)</w:t>
      </w:r>
      <w:r>
        <w:rPr>
          <w:lang w:val="es-ES_tradnl"/>
        </w:rPr>
        <w:tab/>
      </w:r>
      <w:r w:rsidR="00741AF0" w:rsidRPr="001444A7">
        <w:rPr>
          <w:lang w:val="es-ES_tradnl"/>
        </w:rPr>
        <w:t xml:space="preserve">que la Recomendación UIT-R M.1318 indica un modelo para evaluar la interferencia causada por fuentes medioambientales en los receptores del SRNS que funcionan en las bandas </w:t>
      </w:r>
      <w:r w:rsidR="00741AF0" w:rsidRPr="00150507">
        <w:rPr>
          <w:lang w:val="es-ES_tradnl"/>
        </w:rPr>
        <w:t>1 164-1 215 MHz, 1 215</w:t>
      </w:r>
      <w:r w:rsidR="00741AF0" w:rsidRPr="00150507">
        <w:rPr>
          <w:lang w:val="es-ES_tradnl"/>
        </w:rPr>
        <w:noBreakHyphen/>
        <w:t>1 300 MHz, 1 559-1 610 MHz y 5 010-5 030 MHz;</w:t>
      </w:r>
    </w:p>
    <w:p w:rsidR="00741AF0" w:rsidRPr="001444A7" w:rsidRDefault="00BF46DC" w:rsidP="00BF46DC">
      <w:pPr>
        <w:rPr>
          <w:lang w:val="es-ES_tradnl"/>
        </w:rPr>
      </w:pPr>
      <w:r>
        <w:rPr>
          <w:lang w:val="es-ES_tradnl"/>
        </w:rPr>
        <w:t>e)</w:t>
      </w:r>
      <w:r>
        <w:rPr>
          <w:lang w:val="es-ES_tradnl"/>
        </w:rPr>
        <w:tab/>
      </w:r>
      <w:r w:rsidR="00741AF0" w:rsidRPr="001444A7">
        <w:rPr>
          <w:lang w:val="es-ES_tradnl"/>
        </w:rPr>
        <w:t>que la Recomendación UIT-R M.1831 presenta un método para estimar la interferencia entre sistemas del SRNS que debe utilizarse en la coordinación entre sistemas y redes del SRNS,</w:t>
      </w:r>
    </w:p>
    <w:p w:rsidR="00741AF0" w:rsidRPr="001444A7" w:rsidRDefault="00741AF0" w:rsidP="00741AF0">
      <w:pPr>
        <w:pStyle w:val="Call"/>
        <w:rPr>
          <w:lang w:val="es-ES_tradnl"/>
        </w:rPr>
      </w:pPr>
      <w:r w:rsidRPr="001444A7">
        <w:rPr>
          <w:lang w:val="es-ES_tradnl"/>
        </w:rPr>
        <w:lastRenderedPageBreak/>
        <w:t>observando además</w:t>
      </w:r>
    </w:p>
    <w:p w:rsidR="00741AF0" w:rsidRPr="001444A7" w:rsidRDefault="00741AF0" w:rsidP="00BF46DC">
      <w:pPr>
        <w:rPr>
          <w:lang w:val="es-ES_tradnl"/>
        </w:rPr>
      </w:pPr>
      <w:r w:rsidRPr="001444A7">
        <w:rPr>
          <w:lang w:val="es-ES_tradnl"/>
        </w:rPr>
        <w:t>que el UIT-R esta elaborando una recomendación que proporcione las características técnicas y los criterios de protección de las estaciones terrenas receptoras y las características de las estaciones espaciales transmisoras del SRNS (espacio-Tierra) que funcionan en la banda de frecuencias 5</w:t>
      </w:r>
      <w:r>
        <w:rPr>
          <w:lang w:val="es-ES_tradnl"/>
        </w:rPr>
        <w:t> </w:t>
      </w:r>
      <w:r w:rsidRPr="001444A7">
        <w:rPr>
          <w:lang w:val="es-ES_tradnl"/>
        </w:rPr>
        <w:t>010</w:t>
      </w:r>
      <w:r w:rsidRPr="001444A7">
        <w:rPr>
          <w:lang w:val="es-ES_tradnl"/>
        </w:rPr>
        <w:noBreakHyphen/>
        <w:t>5</w:t>
      </w:r>
      <w:r>
        <w:rPr>
          <w:lang w:val="es-ES_tradnl"/>
        </w:rPr>
        <w:t> </w:t>
      </w:r>
      <w:r w:rsidRPr="001444A7">
        <w:rPr>
          <w:lang w:val="es-ES_tradnl"/>
        </w:rPr>
        <w:t>030 MHz,</w:t>
      </w:r>
    </w:p>
    <w:p w:rsidR="00741AF0" w:rsidRPr="001444A7" w:rsidRDefault="00741AF0" w:rsidP="00741AF0">
      <w:pPr>
        <w:pStyle w:val="Call"/>
        <w:rPr>
          <w:lang w:val="es-ES_tradnl"/>
        </w:rPr>
      </w:pPr>
      <w:r w:rsidRPr="001444A7">
        <w:rPr>
          <w:lang w:val="es-ES_tradnl"/>
        </w:rPr>
        <w:t>recomienda</w:t>
      </w:r>
    </w:p>
    <w:p w:rsidR="00741AF0" w:rsidRDefault="00741AF0" w:rsidP="00792113">
      <w:pPr>
        <w:rPr>
          <w:lang w:val="es-ES_tradnl"/>
        </w:rPr>
      </w:pPr>
      <w:r w:rsidRPr="001444A7">
        <w:rPr>
          <w:lang w:val="es-ES_tradnl"/>
        </w:rPr>
        <w:t>1</w:t>
      </w:r>
      <w:r w:rsidRPr="001444A7">
        <w:rPr>
          <w:lang w:val="es-ES_tradnl"/>
        </w:rPr>
        <w:tab/>
        <w:t>que se utilice el material que aparece en el Anexo</w:t>
      </w:r>
      <w:r w:rsidR="00792113">
        <w:rPr>
          <w:lang w:val="es-ES_tradnl"/>
        </w:rPr>
        <w:t> </w:t>
      </w:r>
      <w:r w:rsidRPr="001444A7">
        <w:rPr>
          <w:lang w:val="es-ES_tradnl"/>
        </w:rPr>
        <w:t xml:space="preserve">1 como directrices sobre Recomendaciones UIT-R asociadas con sistemas y redes del SRNS que funcionan en las bandas </w:t>
      </w:r>
      <w:r w:rsidRPr="00150507">
        <w:rPr>
          <w:lang w:val="es-ES_tradnl"/>
        </w:rPr>
        <w:t>1 164-1 215 MHz, 1 215</w:t>
      </w:r>
      <w:r w:rsidRPr="00150507">
        <w:rPr>
          <w:lang w:val="es-ES_tradnl"/>
        </w:rPr>
        <w:noBreakHyphen/>
        <w:t>1 300 MHz, 1 559-1 610 MHz, 5 000-5 010 MHz y 5 010-5 030 MHz.</w:t>
      </w:r>
    </w:p>
    <w:p w:rsidR="00BF46DC" w:rsidRDefault="00BF46DC" w:rsidP="00BF46DC">
      <w:pPr>
        <w:rPr>
          <w:lang w:val="es-ES_tradnl"/>
        </w:rPr>
      </w:pPr>
    </w:p>
    <w:p w:rsidR="00BF46DC" w:rsidRDefault="00BF46DC" w:rsidP="00BF46DC">
      <w:pPr>
        <w:rPr>
          <w:lang w:val="es-ES_tradnl"/>
        </w:rPr>
      </w:pPr>
    </w:p>
    <w:p w:rsidR="00BF46DC" w:rsidRPr="001444A7" w:rsidRDefault="00BF46DC" w:rsidP="00BF46DC">
      <w:pPr>
        <w:rPr>
          <w:lang w:val="es-ES_tradnl"/>
        </w:rPr>
      </w:pPr>
    </w:p>
    <w:p w:rsidR="00741AF0" w:rsidRPr="001444A7" w:rsidRDefault="00741AF0" w:rsidP="00741AF0">
      <w:pPr>
        <w:pStyle w:val="AnnexNoTitle"/>
        <w:rPr>
          <w:lang w:val="es-ES_tradnl"/>
        </w:rPr>
      </w:pPr>
      <w:r w:rsidRPr="001444A7">
        <w:rPr>
          <w:lang w:val="es-ES_tradnl"/>
        </w:rPr>
        <w:t>Anexo 1</w:t>
      </w:r>
    </w:p>
    <w:p w:rsidR="00741AF0" w:rsidRPr="001444A7" w:rsidRDefault="00741AF0" w:rsidP="00741AF0">
      <w:pPr>
        <w:pStyle w:val="Heading1"/>
        <w:rPr>
          <w:lang w:val="es-ES_tradnl"/>
        </w:rPr>
      </w:pPr>
      <w:r w:rsidRPr="001444A7">
        <w:rPr>
          <w:lang w:val="es-ES_tradnl"/>
        </w:rPr>
        <w:t>1</w:t>
      </w:r>
      <w:r w:rsidRPr="001444A7">
        <w:rPr>
          <w:lang w:val="es-ES_tradnl"/>
        </w:rPr>
        <w:tab/>
        <w:t>Descripción de las recomendaciones relativas al SRNS</w:t>
      </w:r>
    </w:p>
    <w:p w:rsidR="00741AF0" w:rsidRPr="001444A7" w:rsidRDefault="00741AF0" w:rsidP="00A43745">
      <w:pPr>
        <w:rPr>
          <w:lang w:val="es-ES_tradnl"/>
        </w:rPr>
      </w:pPr>
      <w:r w:rsidRPr="001444A7">
        <w:rPr>
          <w:lang w:val="es-ES_tradnl"/>
        </w:rPr>
        <w:t>En el Cuadro</w:t>
      </w:r>
      <w:r w:rsidR="00D8677A">
        <w:rPr>
          <w:lang w:val="es-ES_tradnl"/>
        </w:rPr>
        <w:t> </w:t>
      </w:r>
      <w:r w:rsidRPr="001444A7">
        <w:rPr>
          <w:lang w:val="es-ES_tradnl"/>
        </w:rPr>
        <w:t>1 aparecen las Recomendaciones UIT-R que proporcionan las características técnicas y los criterios de protección de los sistemas y redes del SRNS. Cuando se considera un sistema del SRNS en particular, algunas Recomendaciones ofrecen detalles sobre ese sistema en un anexo separado mientras que otras cuentan con un anexo común.</w:t>
      </w:r>
    </w:p>
    <w:p w:rsidR="00FA55E2" w:rsidRPr="00FA55E2" w:rsidRDefault="00FA55E2" w:rsidP="00FA55E2">
      <w:pPr>
        <w:pStyle w:val="Blanc"/>
      </w:pPr>
    </w:p>
    <w:p w:rsidR="00741AF0" w:rsidRPr="001444A7" w:rsidRDefault="00741AF0" w:rsidP="00741AF0">
      <w:pPr>
        <w:pStyle w:val="TableNo"/>
        <w:rPr>
          <w:lang w:val="es-ES_tradnl"/>
        </w:rPr>
      </w:pPr>
      <w:r w:rsidRPr="001444A7">
        <w:rPr>
          <w:lang w:val="es-ES_tradnl"/>
        </w:rPr>
        <w:t>CUADRO 1</w:t>
      </w:r>
    </w:p>
    <w:p w:rsidR="00741AF0" w:rsidRDefault="00741AF0" w:rsidP="00BF46DC">
      <w:pPr>
        <w:pStyle w:val="Tabletitle"/>
        <w:rPr>
          <w:lang w:val="es-ES_tradnl"/>
        </w:rPr>
      </w:pPr>
      <w:r w:rsidRPr="001444A7">
        <w:rPr>
          <w:lang w:val="es-ES_tradnl"/>
        </w:rPr>
        <w:t>Recomendaciones UIT-R sobre características del sistema y criterios de protección</w:t>
      </w:r>
      <w:r w:rsidR="00BF46DC">
        <w:rPr>
          <w:lang w:val="es-ES_tradnl"/>
        </w:rPr>
        <w:br/>
      </w:r>
      <w:r w:rsidRPr="001444A7">
        <w:rPr>
          <w:lang w:val="es-ES_tradnl"/>
        </w:rPr>
        <w:t>del SRNS en las bandas 1 164-1 215 MHz, 1 215-1 300 MHz,</w:t>
      </w:r>
      <w:r w:rsidR="00BF46DC">
        <w:rPr>
          <w:lang w:val="es-ES_tradnl"/>
        </w:rPr>
        <w:br/>
      </w:r>
      <w:r w:rsidRPr="001444A7">
        <w:rPr>
          <w:lang w:val="es-ES_tradnl"/>
        </w:rPr>
        <w:t>1 559-1 610 MHz y 5 000-5 010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1418"/>
        <w:gridCol w:w="1587"/>
        <w:gridCol w:w="5272"/>
      </w:tblGrid>
      <w:tr w:rsidR="00741AF0" w:rsidRPr="001444A7" w:rsidTr="00792113">
        <w:trPr>
          <w:jc w:val="center"/>
        </w:trPr>
        <w:tc>
          <w:tcPr>
            <w:tcW w:w="1361" w:type="dxa"/>
            <w:tcBorders>
              <w:top w:val="single" w:sz="4" w:space="0" w:color="auto"/>
              <w:left w:val="single" w:sz="4" w:space="0" w:color="auto"/>
              <w:bottom w:val="single" w:sz="4" w:space="0" w:color="auto"/>
              <w:right w:val="single" w:sz="4" w:space="0" w:color="auto"/>
            </w:tcBorders>
            <w:vAlign w:val="center"/>
          </w:tcPr>
          <w:p w:rsidR="00741AF0" w:rsidRPr="000E3305" w:rsidRDefault="00741AF0" w:rsidP="00BF46DC">
            <w:pPr>
              <w:pStyle w:val="Tablehead"/>
            </w:pPr>
            <w:r w:rsidRPr="000E3305">
              <w:t>Rec. UIT</w:t>
            </w:r>
            <w:r w:rsidRPr="000E3305">
              <w:noBreakHyphen/>
              <w:t>R</w:t>
            </w:r>
          </w:p>
        </w:tc>
        <w:tc>
          <w:tcPr>
            <w:tcW w:w="1418" w:type="dxa"/>
            <w:tcBorders>
              <w:top w:val="single" w:sz="4" w:space="0" w:color="auto"/>
              <w:left w:val="single" w:sz="4" w:space="0" w:color="auto"/>
              <w:bottom w:val="single" w:sz="4" w:space="0" w:color="auto"/>
              <w:right w:val="single" w:sz="4" w:space="0" w:color="auto"/>
            </w:tcBorders>
            <w:vAlign w:val="center"/>
          </w:tcPr>
          <w:p w:rsidR="00741AF0" w:rsidRPr="000E3305" w:rsidRDefault="00741AF0" w:rsidP="00BF46DC">
            <w:pPr>
              <w:pStyle w:val="Tablehead"/>
            </w:pPr>
            <w:r w:rsidRPr="000E3305">
              <w:t>Bandas</w:t>
            </w:r>
            <w:r w:rsidRPr="000E3305">
              <w:br/>
              <w:t>(MHz)</w:t>
            </w:r>
          </w:p>
        </w:tc>
        <w:tc>
          <w:tcPr>
            <w:tcW w:w="1587" w:type="dxa"/>
            <w:tcBorders>
              <w:top w:val="single" w:sz="4" w:space="0" w:color="auto"/>
              <w:left w:val="single" w:sz="4" w:space="0" w:color="auto"/>
              <w:bottom w:val="single" w:sz="4" w:space="0" w:color="auto"/>
              <w:right w:val="single" w:sz="4" w:space="0" w:color="auto"/>
            </w:tcBorders>
            <w:vAlign w:val="center"/>
          </w:tcPr>
          <w:p w:rsidR="00741AF0" w:rsidRPr="000E3305" w:rsidRDefault="00741AF0" w:rsidP="00BF46DC">
            <w:pPr>
              <w:pStyle w:val="Tablehead"/>
            </w:pPr>
            <w:r w:rsidRPr="000E3305">
              <w:t>Tipos de estaciones</w:t>
            </w:r>
          </w:p>
        </w:tc>
        <w:tc>
          <w:tcPr>
            <w:tcW w:w="5272" w:type="dxa"/>
            <w:tcBorders>
              <w:top w:val="single" w:sz="4" w:space="0" w:color="auto"/>
              <w:left w:val="single" w:sz="4" w:space="0" w:color="auto"/>
              <w:bottom w:val="single" w:sz="4" w:space="0" w:color="auto"/>
              <w:right w:val="single" w:sz="4" w:space="0" w:color="auto"/>
            </w:tcBorders>
            <w:vAlign w:val="center"/>
          </w:tcPr>
          <w:p w:rsidR="00741AF0" w:rsidRPr="000E3305" w:rsidRDefault="00741AF0" w:rsidP="00BF46DC">
            <w:pPr>
              <w:pStyle w:val="Tablehead"/>
            </w:pPr>
            <w:r w:rsidRPr="000E3305">
              <w:t>Contenido</w:t>
            </w:r>
          </w:p>
        </w:tc>
      </w:tr>
      <w:tr w:rsidR="00741AF0" w:rsidRPr="00BA5116" w:rsidTr="00792113">
        <w:trPr>
          <w:jc w:val="center"/>
        </w:trPr>
        <w:tc>
          <w:tcPr>
            <w:tcW w:w="1361" w:type="dxa"/>
            <w:tcBorders>
              <w:top w:val="single" w:sz="4" w:space="0" w:color="auto"/>
              <w:left w:val="single" w:sz="4" w:space="0" w:color="auto"/>
              <w:bottom w:val="single" w:sz="4" w:space="0" w:color="auto"/>
              <w:right w:val="single" w:sz="4" w:space="0" w:color="auto"/>
            </w:tcBorders>
          </w:tcPr>
          <w:p w:rsidR="00741AF0" w:rsidRPr="000E3305" w:rsidRDefault="00741AF0" w:rsidP="00BF46DC">
            <w:pPr>
              <w:pStyle w:val="Tabletext"/>
              <w:jc w:val="left"/>
            </w:pPr>
            <w:r w:rsidRPr="000E3305">
              <w:t>M.1905</w:t>
            </w:r>
          </w:p>
        </w:tc>
        <w:tc>
          <w:tcPr>
            <w:tcW w:w="1418" w:type="dxa"/>
            <w:tcBorders>
              <w:top w:val="single" w:sz="4" w:space="0" w:color="auto"/>
              <w:left w:val="single" w:sz="4" w:space="0" w:color="auto"/>
              <w:bottom w:val="single" w:sz="4" w:space="0" w:color="auto"/>
              <w:right w:val="single" w:sz="4" w:space="0" w:color="auto"/>
            </w:tcBorders>
          </w:tcPr>
          <w:p w:rsidR="00741AF0" w:rsidRPr="000E3305" w:rsidRDefault="00741AF0" w:rsidP="00BF46DC">
            <w:pPr>
              <w:pStyle w:val="Tabletext"/>
              <w:jc w:val="center"/>
            </w:pPr>
            <w:r w:rsidRPr="000E3305">
              <w:t>1 164-1 215</w:t>
            </w:r>
          </w:p>
        </w:tc>
        <w:tc>
          <w:tcPr>
            <w:tcW w:w="1587" w:type="dxa"/>
            <w:tcBorders>
              <w:top w:val="single" w:sz="4" w:space="0" w:color="auto"/>
              <w:left w:val="single" w:sz="4" w:space="0" w:color="auto"/>
              <w:bottom w:val="single" w:sz="4" w:space="0" w:color="auto"/>
              <w:right w:val="single" w:sz="4" w:space="0" w:color="auto"/>
            </w:tcBorders>
          </w:tcPr>
          <w:p w:rsidR="00741AF0" w:rsidRPr="001444A7" w:rsidRDefault="00741AF0" w:rsidP="00BF46DC">
            <w:pPr>
              <w:pStyle w:val="Tabletext"/>
              <w:jc w:val="center"/>
              <w:rPr>
                <w:lang w:val="es-ES_tradnl"/>
              </w:rPr>
            </w:pPr>
            <w:r w:rsidRPr="000E3305">
              <w:rPr>
                <w:lang w:val="en-US"/>
              </w:rPr>
              <w:t>Receptor de usuario</w:t>
            </w:r>
          </w:p>
        </w:tc>
        <w:tc>
          <w:tcPr>
            <w:tcW w:w="5272" w:type="dxa"/>
            <w:tcBorders>
              <w:top w:val="single" w:sz="4" w:space="0" w:color="auto"/>
              <w:left w:val="single" w:sz="4" w:space="0" w:color="auto"/>
              <w:bottom w:val="single" w:sz="4" w:space="0" w:color="auto"/>
              <w:right w:val="single" w:sz="4" w:space="0" w:color="auto"/>
            </w:tcBorders>
          </w:tcPr>
          <w:p w:rsidR="00741AF0" w:rsidRPr="001444A7" w:rsidRDefault="00741AF0" w:rsidP="00BF46DC">
            <w:pPr>
              <w:pStyle w:val="Tabletext"/>
              <w:jc w:val="left"/>
              <w:rPr>
                <w:lang w:val="es-ES_tradnl"/>
              </w:rPr>
            </w:pPr>
            <w:r w:rsidRPr="000E3305">
              <w:rPr>
                <w:lang w:val="en-US"/>
              </w:rPr>
              <w:t>Características del receptor de usuario de SRNS en la banda 1 164-1 215 MHz y sus criterios de protección</w:t>
            </w:r>
          </w:p>
        </w:tc>
      </w:tr>
      <w:tr w:rsidR="00741AF0" w:rsidRPr="00BA5116" w:rsidTr="00792113">
        <w:trPr>
          <w:jc w:val="center"/>
        </w:trPr>
        <w:tc>
          <w:tcPr>
            <w:tcW w:w="1361" w:type="dxa"/>
            <w:tcBorders>
              <w:top w:val="single" w:sz="4" w:space="0" w:color="auto"/>
              <w:left w:val="single" w:sz="4" w:space="0" w:color="auto"/>
              <w:bottom w:val="single" w:sz="4" w:space="0" w:color="auto"/>
              <w:right w:val="single" w:sz="4" w:space="0" w:color="auto"/>
            </w:tcBorders>
          </w:tcPr>
          <w:p w:rsidR="00741AF0" w:rsidRPr="000E3305" w:rsidRDefault="00741AF0" w:rsidP="00BF46DC">
            <w:pPr>
              <w:pStyle w:val="Tabletext"/>
              <w:jc w:val="left"/>
            </w:pPr>
            <w:r w:rsidRPr="000E3305">
              <w:t>M.1902</w:t>
            </w:r>
          </w:p>
        </w:tc>
        <w:tc>
          <w:tcPr>
            <w:tcW w:w="1418" w:type="dxa"/>
            <w:tcBorders>
              <w:top w:val="single" w:sz="4" w:space="0" w:color="auto"/>
              <w:left w:val="single" w:sz="4" w:space="0" w:color="auto"/>
              <w:bottom w:val="single" w:sz="4" w:space="0" w:color="auto"/>
              <w:right w:val="single" w:sz="4" w:space="0" w:color="auto"/>
            </w:tcBorders>
          </w:tcPr>
          <w:p w:rsidR="00741AF0" w:rsidRPr="000E3305" w:rsidRDefault="00741AF0" w:rsidP="00BF46DC">
            <w:pPr>
              <w:pStyle w:val="Tabletext"/>
              <w:jc w:val="center"/>
            </w:pPr>
            <w:r w:rsidRPr="000E3305">
              <w:t>1 215-1 300</w:t>
            </w:r>
          </w:p>
        </w:tc>
        <w:tc>
          <w:tcPr>
            <w:tcW w:w="1587" w:type="dxa"/>
            <w:tcBorders>
              <w:top w:val="single" w:sz="4" w:space="0" w:color="auto"/>
              <w:left w:val="single" w:sz="4" w:space="0" w:color="auto"/>
              <w:bottom w:val="single" w:sz="4" w:space="0" w:color="auto"/>
              <w:right w:val="single" w:sz="4" w:space="0" w:color="auto"/>
            </w:tcBorders>
          </w:tcPr>
          <w:p w:rsidR="00741AF0" w:rsidRPr="001444A7" w:rsidRDefault="00741AF0" w:rsidP="00BF46DC">
            <w:pPr>
              <w:pStyle w:val="Tabletext"/>
              <w:jc w:val="center"/>
              <w:rPr>
                <w:lang w:val="es-ES_tradnl"/>
              </w:rPr>
            </w:pPr>
            <w:r w:rsidRPr="000E3305">
              <w:rPr>
                <w:lang w:val="en-US"/>
              </w:rPr>
              <w:t>Receptor de usuario</w:t>
            </w:r>
          </w:p>
        </w:tc>
        <w:tc>
          <w:tcPr>
            <w:tcW w:w="5272" w:type="dxa"/>
            <w:tcBorders>
              <w:top w:val="single" w:sz="4" w:space="0" w:color="auto"/>
              <w:left w:val="single" w:sz="4" w:space="0" w:color="auto"/>
              <w:bottom w:val="single" w:sz="4" w:space="0" w:color="auto"/>
              <w:right w:val="single" w:sz="4" w:space="0" w:color="auto"/>
            </w:tcBorders>
          </w:tcPr>
          <w:p w:rsidR="00741AF0" w:rsidRPr="000E3305" w:rsidRDefault="00741AF0" w:rsidP="00BF46DC">
            <w:pPr>
              <w:pStyle w:val="Tabletext"/>
              <w:jc w:val="left"/>
              <w:rPr>
                <w:lang w:val="en-US"/>
              </w:rPr>
            </w:pPr>
            <w:r w:rsidRPr="000E3305">
              <w:rPr>
                <w:lang w:val="en-US"/>
              </w:rPr>
              <w:t>Características del receptor de usuario de SRNS en la banda 1 215-1 300 MHz y sus criterios de protección</w:t>
            </w:r>
          </w:p>
        </w:tc>
      </w:tr>
      <w:tr w:rsidR="00741AF0" w:rsidRPr="00BA5116" w:rsidTr="00792113">
        <w:trPr>
          <w:jc w:val="center"/>
        </w:trPr>
        <w:tc>
          <w:tcPr>
            <w:tcW w:w="1361" w:type="dxa"/>
            <w:tcBorders>
              <w:top w:val="single" w:sz="4" w:space="0" w:color="auto"/>
              <w:left w:val="single" w:sz="4" w:space="0" w:color="auto"/>
              <w:bottom w:val="single" w:sz="4" w:space="0" w:color="auto"/>
              <w:right w:val="single" w:sz="4" w:space="0" w:color="auto"/>
            </w:tcBorders>
          </w:tcPr>
          <w:p w:rsidR="00741AF0" w:rsidRPr="000E3305" w:rsidRDefault="00741AF0" w:rsidP="00BF46DC">
            <w:pPr>
              <w:pStyle w:val="Tabletext"/>
              <w:jc w:val="left"/>
            </w:pPr>
            <w:r w:rsidRPr="000E3305">
              <w:t>M.1903</w:t>
            </w:r>
          </w:p>
        </w:tc>
        <w:tc>
          <w:tcPr>
            <w:tcW w:w="1418" w:type="dxa"/>
            <w:tcBorders>
              <w:top w:val="single" w:sz="4" w:space="0" w:color="auto"/>
              <w:left w:val="single" w:sz="4" w:space="0" w:color="auto"/>
              <w:bottom w:val="single" w:sz="4" w:space="0" w:color="auto"/>
              <w:right w:val="single" w:sz="4" w:space="0" w:color="auto"/>
            </w:tcBorders>
          </w:tcPr>
          <w:p w:rsidR="00741AF0" w:rsidRPr="000E3305" w:rsidRDefault="00741AF0" w:rsidP="00BF46DC">
            <w:pPr>
              <w:pStyle w:val="Tabletext"/>
              <w:jc w:val="center"/>
            </w:pPr>
            <w:r w:rsidRPr="000E3305">
              <w:t>1 559-1 610</w:t>
            </w:r>
          </w:p>
        </w:tc>
        <w:tc>
          <w:tcPr>
            <w:tcW w:w="1587" w:type="dxa"/>
            <w:tcBorders>
              <w:top w:val="single" w:sz="4" w:space="0" w:color="auto"/>
              <w:left w:val="single" w:sz="4" w:space="0" w:color="auto"/>
              <w:bottom w:val="single" w:sz="4" w:space="0" w:color="auto"/>
              <w:right w:val="single" w:sz="4" w:space="0" w:color="auto"/>
            </w:tcBorders>
          </w:tcPr>
          <w:p w:rsidR="00741AF0" w:rsidRPr="001444A7" w:rsidRDefault="00741AF0" w:rsidP="00BF46DC">
            <w:pPr>
              <w:pStyle w:val="Tabletext"/>
              <w:jc w:val="center"/>
              <w:rPr>
                <w:lang w:val="es-ES_tradnl"/>
              </w:rPr>
            </w:pPr>
            <w:r w:rsidRPr="000E3305">
              <w:rPr>
                <w:lang w:val="en-US"/>
              </w:rPr>
              <w:t>Receptor de usuario</w:t>
            </w:r>
          </w:p>
        </w:tc>
        <w:tc>
          <w:tcPr>
            <w:tcW w:w="5272" w:type="dxa"/>
            <w:tcBorders>
              <w:top w:val="single" w:sz="4" w:space="0" w:color="auto"/>
              <w:left w:val="single" w:sz="4" w:space="0" w:color="auto"/>
              <w:bottom w:val="single" w:sz="4" w:space="0" w:color="auto"/>
              <w:right w:val="single" w:sz="4" w:space="0" w:color="auto"/>
            </w:tcBorders>
          </w:tcPr>
          <w:p w:rsidR="00741AF0" w:rsidRPr="001444A7" w:rsidRDefault="00741AF0" w:rsidP="00BF46DC">
            <w:pPr>
              <w:pStyle w:val="Tabletext"/>
              <w:jc w:val="left"/>
              <w:rPr>
                <w:lang w:val="es-ES_tradnl"/>
              </w:rPr>
            </w:pPr>
            <w:r w:rsidRPr="000E3305">
              <w:rPr>
                <w:lang w:val="en-US"/>
              </w:rPr>
              <w:t>Características del receptor de usuario de SRNS en la banda 1 559-1 610 MHz y sus criterios de protección</w:t>
            </w:r>
            <w:r w:rsidRPr="001444A7">
              <w:rPr>
                <w:lang w:val="es-ES_tradnl"/>
              </w:rPr>
              <w:t xml:space="preserve"> </w:t>
            </w:r>
          </w:p>
        </w:tc>
      </w:tr>
      <w:tr w:rsidR="00741AF0" w:rsidRPr="00BA5116" w:rsidTr="00792113">
        <w:trPr>
          <w:jc w:val="center"/>
        </w:trPr>
        <w:tc>
          <w:tcPr>
            <w:tcW w:w="1361" w:type="dxa"/>
            <w:tcBorders>
              <w:top w:val="single" w:sz="4" w:space="0" w:color="auto"/>
              <w:left w:val="single" w:sz="4" w:space="0" w:color="auto"/>
              <w:bottom w:val="single" w:sz="4" w:space="0" w:color="auto"/>
              <w:right w:val="single" w:sz="4" w:space="0" w:color="auto"/>
            </w:tcBorders>
          </w:tcPr>
          <w:p w:rsidR="00741AF0" w:rsidRPr="000E3305" w:rsidRDefault="00741AF0" w:rsidP="00BF46DC">
            <w:pPr>
              <w:pStyle w:val="Tabletext"/>
              <w:jc w:val="left"/>
            </w:pPr>
            <w:r w:rsidRPr="000E3305">
              <w:t>M.1906</w:t>
            </w:r>
          </w:p>
        </w:tc>
        <w:tc>
          <w:tcPr>
            <w:tcW w:w="1418" w:type="dxa"/>
            <w:tcBorders>
              <w:top w:val="single" w:sz="4" w:space="0" w:color="auto"/>
              <w:left w:val="single" w:sz="4" w:space="0" w:color="auto"/>
              <w:bottom w:val="single" w:sz="4" w:space="0" w:color="auto"/>
              <w:right w:val="single" w:sz="4" w:space="0" w:color="auto"/>
            </w:tcBorders>
          </w:tcPr>
          <w:p w:rsidR="00741AF0" w:rsidRPr="000E3305" w:rsidRDefault="00741AF0" w:rsidP="00BF46DC">
            <w:pPr>
              <w:pStyle w:val="Tabletext"/>
              <w:jc w:val="center"/>
            </w:pPr>
            <w:r w:rsidRPr="000E3305">
              <w:t>5 000-5 010</w:t>
            </w:r>
          </w:p>
        </w:tc>
        <w:tc>
          <w:tcPr>
            <w:tcW w:w="1587" w:type="dxa"/>
            <w:tcBorders>
              <w:top w:val="single" w:sz="4" w:space="0" w:color="auto"/>
              <w:left w:val="single" w:sz="4" w:space="0" w:color="auto"/>
              <w:bottom w:val="single" w:sz="4" w:space="0" w:color="auto"/>
              <w:right w:val="single" w:sz="4" w:space="0" w:color="auto"/>
            </w:tcBorders>
          </w:tcPr>
          <w:p w:rsidR="00741AF0" w:rsidRPr="001444A7" w:rsidRDefault="00741AF0" w:rsidP="00BF46DC">
            <w:pPr>
              <w:pStyle w:val="Tabletext"/>
              <w:jc w:val="center"/>
              <w:rPr>
                <w:lang w:val="es-ES_tradnl"/>
              </w:rPr>
            </w:pPr>
            <w:r w:rsidRPr="000E3305">
              <w:rPr>
                <w:lang w:val="en-US"/>
              </w:rPr>
              <w:t>Receptor de satélite</w:t>
            </w:r>
          </w:p>
        </w:tc>
        <w:tc>
          <w:tcPr>
            <w:tcW w:w="5272" w:type="dxa"/>
            <w:tcBorders>
              <w:top w:val="single" w:sz="4" w:space="0" w:color="auto"/>
              <w:left w:val="single" w:sz="4" w:space="0" w:color="auto"/>
              <w:bottom w:val="single" w:sz="4" w:space="0" w:color="auto"/>
              <w:right w:val="single" w:sz="4" w:space="0" w:color="auto"/>
            </w:tcBorders>
          </w:tcPr>
          <w:p w:rsidR="00741AF0" w:rsidRPr="001444A7" w:rsidRDefault="00741AF0" w:rsidP="00BF46DC">
            <w:pPr>
              <w:pStyle w:val="Tabletext"/>
              <w:jc w:val="left"/>
              <w:rPr>
                <w:lang w:val="es-ES_tradnl"/>
              </w:rPr>
            </w:pPr>
            <w:r w:rsidRPr="000E3305">
              <w:rPr>
                <w:lang w:val="en-US"/>
              </w:rPr>
              <w:t>Características del receptor de satélite del SRNS en la banda 5 000</w:t>
            </w:r>
            <w:r w:rsidRPr="000E3305">
              <w:rPr>
                <w:lang w:val="en-US"/>
              </w:rPr>
              <w:noBreakHyphen/>
              <w:t>5 010 MHz y sus criterios de protección</w:t>
            </w:r>
          </w:p>
        </w:tc>
      </w:tr>
      <w:tr w:rsidR="00741AF0" w:rsidRPr="00BA5116" w:rsidTr="00792113">
        <w:trPr>
          <w:jc w:val="center"/>
        </w:trPr>
        <w:tc>
          <w:tcPr>
            <w:tcW w:w="1361" w:type="dxa"/>
            <w:tcBorders>
              <w:top w:val="single" w:sz="4" w:space="0" w:color="auto"/>
              <w:left w:val="single" w:sz="4" w:space="0" w:color="auto"/>
              <w:bottom w:val="single" w:sz="4" w:space="0" w:color="auto"/>
              <w:right w:val="single" w:sz="4" w:space="0" w:color="auto"/>
            </w:tcBorders>
          </w:tcPr>
          <w:p w:rsidR="00741AF0" w:rsidRPr="000E3305" w:rsidRDefault="00741AF0" w:rsidP="00BF46DC">
            <w:pPr>
              <w:pStyle w:val="Tabletext"/>
              <w:jc w:val="left"/>
            </w:pPr>
            <w:r w:rsidRPr="000E3305">
              <w:t>M.1904</w:t>
            </w:r>
          </w:p>
        </w:tc>
        <w:tc>
          <w:tcPr>
            <w:tcW w:w="1418" w:type="dxa"/>
            <w:tcBorders>
              <w:top w:val="single" w:sz="4" w:space="0" w:color="auto"/>
              <w:left w:val="single" w:sz="4" w:space="0" w:color="auto"/>
              <w:bottom w:val="single" w:sz="4" w:space="0" w:color="auto"/>
              <w:right w:val="single" w:sz="4" w:space="0" w:color="auto"/>
            </w:tcBorders>
          </w:tcPr>
          <w:p w:rsidR="00741AF0" w:rsidRPr="000E3305" w:rsidRDefault="00741AF0" w:rsidP="00BF46DC">
            <w:pPr>
              <w:pStyle w:val="Tabletext"/>
              <w:jc w:val="center"/>
            </w:pPr>
            <w:r w:rsidRPr="000E3305">
              <w:t>1 164-1 215</w:t>
            </w:r>
            <w:r w:rsidRPr="000E3305">
              <w:br/>
              <w:t>1 215-1 300</w:t>
            </w:r>
            <w:r w:rsidRPr="000E3305">
              <w:br/>
              <w:t>1 559-1 610</w:t>
            </w:r>
          </w:p>
        </w:tc>
        <w:tc>
          <w:tcPr>
            <w:tcW w:w="1587" w:type="dxa"/>
            <w:tcBorders>
              <w:top w:val="single" w:sz="4" w:space="0" w:color="auto"/>
              <w:left w:val="single" w:sz="4" w:space="0" w:color="auto"/>
              <w:bottom w:val="single" w:sz="4" w:space="0" w:color="auto"/>
              <w:right w:val="single" w:sz="4" w:space="0" w:color="auto"/>
            </w:tcBorders>
          </w:tcPr>
          <w:p w:rsidR="00741AF0" w:rsidRPr="001444A7" w:rsidRDefault="00741AF0" w:rsidP="00BF46DC">
            <w:pPr>
              <w:pStyle w:val="Tabletext"/>
              <w:jc w:val="center"/>
              <w:rPr>
                <w:lang w:val="es-ES_tradnl"/>
              </w:rPr>
            </w:pPr>
            <w:r w:rsidRPr="000E3305">
              <w:rPr>
                <w:lang w:val="en-US"/>
              </w:rPr>
              <w:t>Receptor de usuario a bordo de un vehículo espacial</w:t>
            </w:r>
          </w:p>
        </w:tc>
        <w:tc>
          <w:tcPr>
            <w:tcW w:w="5272" w:type="dxa"/>
            <w:tcBorders>
              <w:top w:val="single" w:sz="4" w:space="0" w:color="auto"/>
              <w:left w:val="single" w:sz="4" w:space="0" w:color="auto"/>
              <w:bottom w:val="single" w:sz="4" w:space="0" w:color="auto"/>
              <w:right w:val="single" w:sz="4" w:space="0" w:color="auto"/>
            </w:tcBorders>
          </w:tcPr>
          <w:p w:rsidR="00741AF0" w:rsidRPr="001444A7" w:rsidRDefault="00741AF0" w:rsidP="00BF46DC">
            <w:pPr>
              <w:pStyle w:val="Tabletext"/>
              <w:jc w:val="left"/>
              <w:rPr>
                <w:lang w:val="es-ES_tradnl"/>
              </w:rPr>
            </w:pPr>
            <w:r w:rsidRPr="000E3305">
              <w:rPr>
                <w:lang w:val="en-US"/>
              </w:rPr>
              <w:t>Características técnicas de los receptores espacio-espacio de los sistemas del SRNS existentes y planificado en las bandas 1 164-1 215 MHz, 1 215-1 300 MHz y 1 559</w:t>
            </w:r>
            <w:r w:rsidRPr="000E3305">
              <w:rPr>
                <w:lang w:val="en-US"/>
              </w:rPr>
              <w:noBreakHyphen/>
              <w:t>1 610 MHz y sus criterios de protección</w:t>
            </w:r>
          </w:p>
        </w:tc>
      </w:tr>
      <w:tr w:rsidR="00741AF0" w:rsidRPr="00BA5116" w:rsidTr="00792113">
        <w:trPr>
          <w:jc w:val="center"/>
        </w:trPr>
        <w:tc>
          <w:tcPr>
            <w:tcW w:w="1361" w:type="dxa"/>
            <w:tcBorders>
              <w:top w:val="single" w:sz="4" w:space="0" w:color="auto"/>
              <w:left w:val="single" w:sz="4" w:space="0" w:color="auto"/>
              <w:bottom w:val="single" w:sz="4" w:space="0" w:color="auto"/>
              <w:right w:val="single" w:sz="4" w:space="0" w:color="auto"/>
            </w:tcBorders>
          </w:tcPr>
          <w:p w:rsidR="00741AF0" w:rsidRPr="000E3305" w:rsidRDefault="00741AF0" w:rsidP="00BF46DC">
            <w:pPr>
              <w:pStyle w:val="Tabletext"/>
              <w:jc w:val="left"/>
            </w:pPr>
            <w:r w:rsidRPr="000E3305">
              <w:t>M.1787</w:t>
            </w:r>
          </w:p>
        </w:tc>
        <w:tc>
          <w:tcPr>
            <w:tcW w:w="1418" w:type="dxa"/>
            <w:tcBorders>
              <w:top w:val="single" w:sz="4" w:space="0" w:color="auto"/>
              <w:left w:val="single" w:sz="4" w:space="0" w:color="auto"/>
              <w:bottom w:val="single" w:sz="4" w:space="0" w:color="auto"/>
              <w:right w:val="single" w:sz="4" w:space="0" w:color="auto"/>
            </w:tcBorders>
          </w:tcPr>
          <w:p w:rsidR="00741AF0" w:rsidRPr="000E3305" w:rsidRDefault="00741AF0" w:rsidP="00BF46DC">
            <w:pPr>
              <w:pStyle w:val="Tabletext"/>
              <w:jc w:val="center"/>
            </w:pPr>
            <w:r w:rsidRPr="000E3305">
              <w:t>1 164-1 215</w:t>
            </w:r>
            <w:r w:rsidRPr="000E3305">
              <w:br/>
              <w:t>1 215-1 300</w:t>
            </w:r>
            <w:r w:rsidRPr="000E3305">
              <w:br/>
              <w:t>1 559-1 610</w:t>
            </w:r>
          </w:p>
        </w:tc>
        <w:tc>
          <w:tcPr>
            <w:tcW w:w="1587" w:type="dxa"/>
            <w:tcBorders>
              <w:top w:val="single" w:sz="4" w:space="0" w:color="auto"/>
              <w:left w:val="single" w:sz="4" w:space="0" w:color="auto"/>
              <w:bottom w:val="single" w:sz="4" w:space="0" w:color="auto"/>
              <w:right w:val="single" w:sz="4" w:space="0" w:color="auto"/>
            </w:tcBorders>
          </w:tcPr>
          <w:p w:rsidR="00741AF0" w:rsidRPr="000E3305" w:rsidRDefault="00741AF0" w:rsidP="00BF46DC">
            <w:pPr>
              <w:pStyle w:val="Tabletext"/>
              <w:jc w:val="center"/>
              <w:rPr>
                <w:lang w:val="en-US"/>
              </w:rPr>
            </w:pPr>
            <w:r w:rsidRPr="000E3305">
              <w:rPr>
                <w:lang w:val="en-US"/>
              </w:rPr>
              <w:t>transmisor de satélite</w:t>
            </w:r>
          </w:p>
        </w:tc>
        <w:tc>
          <w:tcPr>
            <w:tcW w:w="5272" w:type="dxa"/>
            <w:tcBorders>
              <w:top w:val="single" w:sz="4" w:space="0" w:color="auto"/>
              <w:left w:val="single" w:sz="4" w:space="0" w:color="auto"/>
              <w:bottom w:val="single" w:sz="4" w:space="0" w:color="auto"/>
              <w:right w:val="single" w:sz="4" w:space="0" w:color="auto"/>
            </w:tcBorders>
          </w:tcPr>
          <w:p w:rsidR="00741AF0" w:rsidRPr="001444A7" w:rsidRDefault="00741AF0" w:rsidP="00BF46DC">
            <w:pPr>
              <w:pStyle w:val="Tabletext"/>
              <w:jc w:val="left"/>
              <w:rPr>
                <w:lang w:val="es-ES_tradnl"/>
              </w:rPr>
            </w:pPr>
            <w:r w:rsidRPr="000E3305">
              <w:rPr>
                <w:lang w:val="es-ES"/>
              </w:rPr>
              <w:t>Características de las señales de navegación transmitidas del SRNS en la</w:t>
            </w:r>
            <w:r w:rsidR="00394D23">
              <w:rPr>
                <w:lang w:val="es-ES"/>
              </w:rPr>
              <w:t>s bandas 1 164-1 215 MHz, 1 215-</w:t>
            </w:r>
            <w:r w:rsidRPr="000E3305">
              <w:rPr>
                <w:lang w:val="es-ES"/>
              </w:rPr>
              <w:t>1 300 MHz y 1 559</w:t>
            </w:r>
            <w:r w:rsidRPr="000E3305">
              <w:rPr>
                <w:lang w:val="es-ES"/>
              </w:rPr>
              <w:noBreakHyphen/>
              <w:t>1 610 MHz</w:t>
            </w:r>
          </w:p>
        </w:tc>
      </w:tr>
    </w:tbl>
    <w:p w:rsidR="00BF46DC" w:rsidRDefault="00BF46DC" w:rsidP="00BF46DC">
      <w:pPr>
        <w:pStyle w:val="Tablefin"/>
      </w:pPr>
    </w:p>
    <w:p w:rsidR="00741AF0" w:rsidRPr="001444A7" w:rsidRDefault="00741AF0" w:rsidP="00BF46DC">
      <w:pPr>
        <w:keepNext/>
        <w:keepLines/>
        <w:jc w:val="left"/>
        <w:rPr>
          <w:lang w:val="es-ES_tradnl"/>
        </w:rPr>
      </w:pPr>
      <w:r w:rsidRPr="001444A7">
        <w:rPr>
          <w:lang w:val="es-ES_tradnl"/>
        </w:rPr>
        <w:lastRenderedPageBreak/>
        <w:t>En el Cuadro 2 aparecen las Recomendaciones UIT-R que proporcionan modelos para:</w:t>
      </w:r>
    </w:p>
    <w:p w:rsidR="00741AF0" w:rsidRPr="001444A7" w:rsidRDefault="00D8677A" w:rsidP="00D8677A">
      <w:pPr>
        <w:pStyle w:val="enumlev1"/>
        <w:rPr>
          <w:lang w:val="es-ES_tradnl"/>
        </w:rPr>
      </w:pPr>
      <w:r>
        <w:rPr>
          <w:lang w:val="es-ES_tradnl"/>
        </w:rPr>
        <w:t>1)</w:t>
      </w:r>
      <w:r>
        <w:rPr>
          <w:lang w:val="es-ES_tradnl"/>
        </w:rPr>
        <w:tab/>
      </w:r>
      <w:r w:rsidR="00741AF0" w:rsidRPr="001444A7">
        <w:rPr>
          <w:lang w:val="es-ES_tradnl"/>
        </w:rPr>
        <w:t>evaluar la interferencia continua causada a los receptores del SRNS por fuentes radioeléctricas no pertenecientes al SRNS, y</w:t>
      </w:r>
    </w:p>
    <w:p w:rsidR="00741AF0" w:rsidRPr="001444A7" w:rsidRDefault="00D8677A" w:rsidP="00D8677A">
      <w:pPr>
        <w:pStyle w:val="enumlev1"/>
        <w:rPr>
          <w:lang w:val="es-ES_tradnl"/>
        </w:rPr>
      </w:pPr>
      <w:r>
        <w:rPr>
          <w:lang w:val="es-ES_tradnl"/>
        </w:rPr>
        <w:t>2)</w:t>
      </w:r>
      <w:r>
        <w:rPr>
          <w:lang w:val="es-ES_tradnl"/>
        </w:rPr>
        <w:tab/>
      </w:r>
      <w:r w:rsidR="00741AF0" w:rsidRPr="001444A7">
        <w:rPr>
          <w:lang w:val="es-ES_tradnl"/>
        </w:rPr>
        <w:t>evaluar la interferencia al SRNS entre sistemas a fin de coo</w:t>
      </w:r>
      <w:r w:rsidR="00741AF0">
        <w:rPr>
          <w:lang w:val="es-ES_tradnl"/>
        </w:rPr>
        <w:t>rdinar los sistemas y redes del </w:t>
      </w:r>
      <w:r w:rsidR="00741AF0" w:rsidRPr="001444A7">
        <w:rPr>
          <w:lang w:val="es-ES_tradnl"/>
        </w:rPr>
        <w:t>SRNS.</w:t>
      </w:r>
    </w:p>
    <w:p w:rsidR="00FA55E2" w:rsidRPr="00FA55E2" w:rsidRDefault="00FA55E2" w:rsidP="00FA55E2"/>
    <w:p w:rsidR="00741AF0" w:rsidRPr="001444A7" w:rsidRDefault="00741AF0" w:rsidP="00741AF0">
      <w:pPr>
        <w:pStyle w:val="TableNo"/>
        <w:rPr>
          <w:lang w:val="es-ES_tradnl"/>
        </w:rPr>
      </w:pPr>
      <w:r w:rsidRPr="001444A7">
        <w:rPr>
          <w:lang w:val="es-ES_tradnl"/>
        </w:rPr>
        <w:t>CUADRO 2</w:t>
      </w:r>
    </w:p>
    <w:p w:rsidR="00741AF0" w:rsidRDefault="00741AF0" w:rsidP="00741AF0">
      <w:pPr>
        <w:pStyle w:val="Tabletitle"/>
        <w:rPr>
          <w:lang w:val="es-ES_tradnl"/>
        </w:rPr>
      </w:pPr>
      <w:r w:rsidRPr="001444A7">
        <w:rPr>
          <w:lang w:val="es-ES_tradnl"/>
        </w:rPr>
        <w:t>Recomendaciones UIT-R sobre métodos en el SRNS para evaluar la interferencia</w:t>
      </w:r>
      <w:r>
        <w:rPr>
          <w:lang w:val="es-ES_tradnl"/>
        </w:rPr>
        <w:br/>
      </w:r>
      <w:r w:rsidRPr="001444A7">
        <w:rPr>
          <w:lang w:val="es-ES_tradnl"/>
        </w:rPr>
        <w:t>causada a sistemas del SRNS en las bandas 1 164-1 215 MHz,</w:t>
      </w:r>
      <w:r>
        <w:rPr>
          <w:lang w:val="es-ES_tradnl"/>
        </w:rPr>
        <w:br/>
      </w:r>
      <w:r w:rsidRPr="001444A7">
        <w:rPr>
          <w:lang w:val="es-ES_tradnl"/>
        </w:rPr>
        <w:t>1 215-1 300 MHz, 1 559</w:t>
      </w:r>
      <w:r w:rsidRPr="001444A7">
        <w:rPr>
          <w:lang w:val="es-ES_tradnl"/>
        </w:rPr>
        <w:noBreakHyphen/>
        <w:t>1 610 MHz y 5 010-5 030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1474"/>
        <w:gridCol w:w="1361"/>
        <w:gridCol w:w="5329"/>
      </w:tblGrid>
      <w:tr w:rsidR="00741AF0" w:rsidRPr="001444A7" w:rsidTr="00D8677A">
        <w:trPr>
          <w:jc w:val="center"/>
        </w:trPr>
        <w:tc>
          <w:tcPr>
            <w:tcW w:w="1474" w:type="dxa"/>
            <w:tcBorders>
              <w:top w:val="single" w:sz="4" w:space="0" w:color="auto"/>
              <w:left w:val="single" w:sz="4" w:space="0" w:color="auto"/>
              <w:bottom w:val="single" w:sz="4" w:space="0" w:color="auto"/>
              <w:right w:val="single" w:sz="4" w:space="0" w:color="auto"/>
            </w:tcBorders>
            <w:vAlign w:val="center"/>
          </w:tcPr>
          <w:p w:rsidR="00741AF0" w:rsidRPr="000E3305" w:rsidRDefault="00741AF0" w:rsidP="00BF46DC">
            <w:pPr>
              <w:pStyle w:val="Tablehead"/>
              <w:rPr>
                <w:lang w:val="en-US"/>
              </w:rPr>
            </w:pPr>
            <w:r w:rsidRPr="000E3305">
              <w:rPr>
                <w:lang w:val="en-US"/>
              </w:rPr>
              <w:t>Rec. UIT</w:t>
            </w:r>
            <w:r w:rsidRPr="000E3305">
              <w:rPr>
                <w:lang w:val="en-US"/>
              </w:rPr>
              <w:noBreakHyphen/>
              <w:t>R</w:t>
            </w:r>
          </w:p>
        </w:tc>
        <w:tc>
          <w:tcPr>
            <w:tcW w:w="1474" w:type="dxa"/>
            <w:tcBorders>
              <w:top w:val="single" w:sz="4" w:space="0" w:color="auto"/>
              <w:left w:val="single" w:sz="4" w:space="0" w:color="auto"/>
              <w:bottom w:val="single" w:sz="4" w:space="0" w:color="auto"/>
              <w:right w:val="single" w:sz="4" w:space="0" w:color="auto"/>
            </w:tcBorders>
            <w:vAlign w:val="center"/>
          </w:tcPr>
          <w:p w:rsidR="00741AF0" w:rsidRPr="000E3305" w:rsidRDefault="00741AF0" w:rsidP="00BF46DC">
            <w:pPr>
              <w:pStyle w:val="Tablehead"/>
              <w:rPr>
                <w:lang w:val="en-US"/>
              </w:rPr>
            </w:pPr>
            <w:r w:rsidRPr="000E3305">
              <w:rPr>
                <w:lang w:val="en-US"/>
              </w:rPr>
              <w:t>Bandas</w:t>
            </w:r>
            <w:r w:rsidRPr="000E3305">
              <w:rPr>
                <w:lang w:val="en-US"/>
              </w:rPr>
              <w:br/>
              <w:t>(MHz)</w:t>
            </w:r>
          </w:p>
        </w:tc>
        <w:tc>
          <w:tcPr>
            <w:tcW w:w="1361" w:type="dxa"/>
            <w:tcBorders>
              <w:top w:val="single" w:sz="4" w:space="0" w:color="auto"/>
              <w:left w:val="single" w:sz="4" w:space="0" w:color="auto"/>
              <w:bottom w:val="single" w:sz="4" w:space="0" w:color="auto"/>
              <w:right w:val="single" w:sz="4" w:space="0" w:color="auto"/>
            </w:tcBorders>
            <w:vAlign w:val="center"/>
          </w:tcPr>
          <w:p w:rsidR="00741AF0" w:rsidRPr="000E3305" w:rsidRDefault="00741AF0" w:rsidP="00BF46DC">
            <w:pPr>
              <w:pStyle w:val="Tablehead"/>
              <w:rPr>
                <w:lang w:val="en-US"/>
              </w:rPr>
            </w:pPr>
            <w:r w:rsidRPr="000E3305">
              <w:rPr>
                <w:lang w:val="en-US"/>
              </w:rPr>
              <w:t>Tipos de estaciones</w:t>
            </w:r>
          </w:p>
        </w:tc>
        <w:tc>
          <w:tcPr>
            <w:tcW w:w="5329" w:type="dxa"/>
            <w:tcBorders>
              <w:top w:val="single" w:sz="4" w:space="0" w:color="auto"/>
              <w:left w:val="single" w:sz="4" w:space="0" w:color="auto"/>
              <w:bottom w:val="single" w:sz="4" w:space="0" w:color="auto"/>
              <w:right w:val="single" w:sz="4" w:space="0" w:color="auto"/>
            </w:tcBorders>
            <w:vAlign w:val="center"/>
          </w:tcPr>
          <w:p w:rsidR="00741AF0" w:rsidRPr="000E3305" w:rsidRDefault="00741AF0" w:rsidP="00BF46DC">
            <w:pPr>
              <w:pStyle w:val="Tablehead"/>
              <w:rPr>
                <w:lang w:val="en-US"/>
              </w:rPr>
            </w:pPr>
            <w:r w:rsidRPr="000E3305">
              <w:rPr>
                <w:lang w:val="en-US"/>
              </w:rPr>
              <w:t>Contenido</w:t>
            </w:r>
          </w:p>
        </w:tc>
      </w:tr>
      <w:tr w:rsidR="00741AF0" w:rsidRPr="00BA5116" w:rsidTr="00D8677A">
        <w:trPr>
          <w:jc w:val="center"/>
        </w:trPr>
        <w:tc>
          <w:tcPr>
            <w:tcW w:w="1474" w:type="dxa"/>
            <w:tcBorders>
              <w:top w:val="single" w:sz="4" w:space="0" w:color="auto"/>
              <w:left w:val="single" w:sz="4" w:space="0" w:color="auto"/>
              <w:bottom w:val="single" w:sz="4" w:space="0" w:color="auto"/>
              <w:right w:val="single" w:sz="4" w:space="0" w:color="auto"/>
            </w:tcBorders>
          </w:tcPr>
          <w:p w:rsidR="00741AF0" w:rsidRPr="001444A7" w:rsidRDefault="00741AF0" w:rsidP="00D8677A">
            <w:pPr>
              <w:pStyle w:val="Tabletext"/>
              <w:rPr>
                <w:lang w:val="es-ES_tradnl"/>
              </w:rPr>
            </w:pPr>
            <w:r w:rsidRPr="000E3305">
              <w:rPr>
                <w:lang w:val="en-US"/>
              </w:rPr>
              <w:t>M.1318</w:t>
            </w:r>
          </w:p>
        </w:tc>
        <w:tc>
          <w:tcPr>
            <w:tcW w:w="1474" w:type="dxa"/>
            <w:tcBorders>
              <w:top w:val="single" w:sz="4" w:space="0" w:color="auto"/>
              <w:left w:val="single" w:sz="4" w:space="0" w:color="auto"/>
              <w:bottom w:val="single" w:sz="4" w:space="0" w:color="auto"/>
              <w:right w:val="single" w:sz="4" w:space="0" w:color="auto"/>
            </w:tcBorders>
          </w:tcPr>
          <w:p w:rsidR="00741AF0" w:rsidRPr="001444A7" w:rsidRDefault="00741AF0" w:rsidP="00D8677A">
            <w:pPr>
              <w:pStyle w:val="Tabletext"/>
              <w:jc w:val="center"/>
              <w:rPr>
                <w:lang w:val="es-ES_tradnl"/>
              </w:rPr>
            </w:pPr>
            <w:r w:rsidRPr="000E3305">
              <w:rPr>
                <w:lang w:val="en-US"/>
              </w:rPr>
              <w:t>1 164-1 215</w:t>
            </w:r>
            <w:r w:rsidRPr="000E3305">
              <w:rPr>
                <w:lang w:val="en-US"/>
              </w:rPr>
              <w:br/>
              <w:t xml:space="preserve">1 215-1 300 </w:t>
            </w:r>
            <w:r w:rsidRPr="000E3305">
              <w:rPr>
                <w:lang w:val="en-US"/>
              </w:rPr>
              <w:br/>
              <w:t>1 559-1 610</w:t>
            </w:r>
            <w:r w:rsidRPr="000E3305">
              <w:rPr>
                <w:lang w:val="en-US"/>
              </w:rPr>
              <w:br/>
              <w:t>5 010-5 030</w:t>
            </w:r>
          </w:p>
        </w:tc>
        <w:tc>
          <w:tcPr>
            <w:tcW w:w="1361" w:type="dxa"/>
            <w:tcBorders>
              <w:top w:val="single" w:sz="4" w:space="0" w:color="auto"/>
              <w:left w:val="single" w:sz="4" w:space="0" w:color="auto"/>
              <w:bottom w:val="single" w:sz="4" w:space="0" w:color="auto"/>
              <w:right w:val="single" w:sz="4" w:space="0" w:color="auto"/>
            </w:tcBorders>
          </w:tcPr>
          <w:p w:rsidR="00741AF0" w:rsidRPr="000E3305" w:rsidRDefault="00741AF0" w:rsidP="00D8677A">
            <w:pPr>
              <w:pStyle w:val="Tabletext"/>
              <w:jc w:val="center"/>
              <w:rPr>
                <w:lang w:val="en-US"/>
              </w:rPr>
            </w:pPr>
            <w:r w:rsidRPr="000E3305">
              <w:rPr>
                <w:lang w:val="en-US"/>
              </w:rPr>
              <w:t>Todas</w:t>
            </w:r>
          </w:p>
        </w:tc>
        <w:tc>
          <w:tcPr>
            <w:tcW w:w="5329" w:type="dxa"/>
            <w:tcBorders>
              <w:top w:val="single" w:sz="4" w:space="0" w:color="auto"/>
              <w:left w:val="single" w:sz="4" w:space="0" w:color="auto"/>
              <w:bottom w:val="single" w:sz="4" w:space="0" w:color="auto"/>
              <w:right w:val="single" w:sz="4" w:space="0" w:color="auto"/>
            </w:tcBorders>
          </w:tcPr>
          <w:p w:rsidR="00741AF0" w:rsidRPr="00602BAC" w:rsidRDefault="00741AF0" w:rsidP="00D8677A">
            <w:pPr>
              <w:pStyle w:val="Tabletext"/>
              <w:rPr>
                <w:lang w:val="es-ES_tradnl"/>
              </w:rPr>
            </w:pPr>
            <w:r w:rsidRPr="000E3305">
              <w:rPr>
                <w:lang w:val="en-US"/>
              </w:rPr>
              <w:t>Modelo de evaluación de la interferencia continua para sistemas y redes del SRNS que funcionan en las bandas 1 164-1 215 MHz, 1 215-1 300 MHz, 1 559-1 610 MHz y 5 010-5 030 MHz</w:t>
            </w:r>
            <w:r w:rsidRPr="00602BAC">
              <w:rPr>
                <w:lang w:val="es-ES"/>
              </w:rPr>
              <w:t xml:space="preserve"> </w:t>
            </w:r>
          </w:p>
        </w:tc>
      </w:tr>
      <w:tr w:rsidR="00741AF0" w:rsidRPr="00BA5116" w:rsidTr="00D8677A">
        <w:trPr>
          <w:jc w:val="center"/>
        </w:trPr>
        <w:tc>
          <w:tcPr>
            <w:tcW w:w="1474" w:type="dxa"/>
            <w:tcBorders>
              <w:top w:val="single" w:sz="4" w:space="0" w:color="auto"/>
              <w:left w:val="single" w:sz="4" w:space="0" w:color="auto"/>
              <w:bottom w:val="single" w:sz="4" w:space="0" w:color="auto"/>
              <w:right w:val="single" w:sz="4" w:space="0" w:color="auto"/>
            </w:tcBorders>
          </w:tcPr>
          <w:p w:rsidR="00741AF0" w:rsidRPr="000E3305" w:rsidRDefault="00741AF0" w:rsidP="00D8677A">
            <w:pPr>
              <w:pStyle w:val="Tabletext"/>
              <w:rPr>
                <w:lang w:val="en-US"/>
              </w:rPr>
            </w:pPr>
            <w:r w:rsidRPr="000E3305">
              <w:rPr>
                <w:lang w:val="en-US"/>
              </w:rPr>
              <w:t>M.1831</w:t>
            </w:r>
          </w:p>
        </w:tc>
        <w:tc>
          <w:tcPr>
            <w:tcW w:w="1474" w:type="dxa"/>
            <w:tcBorders>
              <w:top w:val="single" w:sz="4" w:space="0" w:color="auto"/>
              <w:left w:val="single" w:sz="4" w:space="0" w:color="auto"/>
              <w:bottom w:val="single" w:sz="4" w:space="0" w:color="auto"/>
              <w:right w:val="single" w:sz="4" w:space="0" w:color="auto"/>
            </w:tcBorders>
          </w:tcPr>
          <w:p w:rsidR="00741AF0" w:rsidRPr="001444A7" w:rsidRDefault="00741AF0" w:rsidP="00D8677A">
            <w:pPr>
              <w:pStyle w:val="Tabletext"/>
              <w:jc w:val="center"/>
              <w:rPr>
                <w:lang w:val="es-ES_tradnl"/>
              </w:rPr>
            </w:pPr>
            <w:r w:rsidRPr="000E3305">
              <w:rPr>
                <w:lang w:val="en-US"/>
              </w:rPr>
              <w:t xml:space="preserve">1 164-1 215 </w:t>
            </w:r>
            <w:r w:rsidRPr="000E3305">
              <w:rPr>
                <w:lang w:val="en-US"/>
              </w:rPr>
              <w:br/>
              <w:t xml:space="preserve">1 215-1 300 </w:t>
            </w:r>
            <w:r w:rsidRPr="000E3305">
              <w:rPr>
                <w:lang w:val="en-US"/>
              </w:rPr>
              <w:br/>
              <w:t xml:space="preserve">1 559-1 610 </w:t>
            </w:r>
            <w:r w:rsidRPr="000E3305">
              <w:rPr>
                <w:lang w:val="en-US"/>
              </w:rPr>
              <w:br/>
              <w:t>5 010-5 030</w:t>
            </w:r>
          </w:p>
        </w:tc>
        <w:tc>
          <w:tcPr>
            <w:tcW w:w="1361" w:type="dxa"/>
            <w:tcBorders>
              <w:top w:val="single" w:sz="4" w:space="0" w:color="auto"/>
              <w:left w:val="single" w:sz="4" w:space="0" w:color="auto"/>
              <w:bottom w:val="single" w:sz="4" w:space="0" w:color="auto"/>
              <w:right w:val="single" w:sz="4" w:space="0" w:color="auto"/>
            </w:tcBorders>
          </w:tcPr>
          <w:p w:rsidR="00741AF0" w:rsidRPr="000E3305" w:rsidRDefault="00741AF0" w:rsidP="00D8677A">
            <w:pPr>
              <w:pStyle w:val="Tabletext"/>
              <w:jc w:val="center"/>
              <w:rPr>
                <w:lang w:val="en-US"/>
              </w:rPr>
            </w:pPr>
            <w:r w:rsidRPr="000E3305">
              <w:rPr>
                <w:lang w:val="en-US"/>
              </w:rPr>
              <w:t>Todas</w:t>
            </w:r>
          </w:p>
        </w:tc>
        <w:tc>
          <w:tcPr>
            <w:tcW w:w="5329" w:type="dxa"/>
            <w:tcBorders>
              <w:top w:val="single" w:sz="4" w:space="0" w:color="auto"/>
              <w:left w:val="single" w:sz="4" w:space="0" w:color="auto"/>
              <w:bottom w:val="single" w:sz="4" w:space="0" w:color="auto"/>
              <w:right w:val="single" w:sz="4" w:space="0" w:color="auto"/>
            </w:tcBorders>
          </w:tcPr>
          <w:p w:rsidR="00741AF0" w:rsidRPr="00602BAC" w:rsidRDefault="00741AF0" w:rsidP="00D8677A">
            <w:pPr>
              <w:pStyle w:val="Tabletext"/>
              <w:rPr>
                <w:lang w:val="es-ES"/>
              </w:rPr>
            </w:pPr>
            <w:r w:rsidRPr="000E3305">
              <w:rPr>
                <w:lang w:val="en-US"/>
              </w:rPr>
              <w:t>Metodología para estimar la interferencia entre sistemas del SRNS utilizada en la coordinación entre sistemas y redes del SRNS</w:t>
            </w:r>
          </w:p>
        </w:tc>
      </w:tr>
    </w:tbl>
    <w:p w:rsidR="00BF46DC" w:rsidRDefault="00BF46DC" w:rsidP="00BF46DC">
      <w:pPr>
        <w:pStyle w:val="Tablefin"/>
      </w:pPr>
    </w:p>
    <w:p w:rsidR="00FA55E2" w:rsidRDefault="00FA55E2" w:rsidP="00FA55E2">
      <w:pPr>
        <w:rPr>
          <w:lang w:val="es-ES_tradnl"/>
        </w:rPr>
      </w:pPr>
    </w:p>
    <w:p w:rsidR="00741AF0" w:rsidRPr="001444A7" w:rsidRDefault="00741AF0" w:rsidP="00741AF0">
      <w:pPr>
        <w:pStyle w:val="Heading1"/>
        <w:rPr>
          <w:lang w:val="es-ES_tradnl"/>
        </w:rPr>
      </w:pPr>
      <w:r w:rsidRPr="001444A7">
        <w:rPr>
          <w:lang w:val="es-ES_tradnl"/>
        </w:rPr>
        <w:t>2</w:t>
      </w:r>
      <w:r w:rsidRPr="001444A7">
        <w:rPr>
          <w:lang w:val="es-ES_tradnl"/>
        </w:rPr>
        <w:tab/>
      </w:r>
      <w:r>
        <w:rPr>
          <w:lang w:val="es-ES_tradnl"/>
        </w:rPr>
        <w:t>P</w:t>
      </w:r>
      <w:r w:rsidRPr="001444A7">
        <w:rPr>
          <w:lang w:val="es-ES_tradnl"/>
        </w:rPr>
        <w:t>arámetros relativos a la evaluación de la interferencia causada a los sistemas del SRNS</w:t>
      </w:r>
    </w:p>
    <w:p w:rsidR="00741AF0" w:rsidRDefault="00741AF0" w:rsidP="00BF46DC">
      <w:pPr>
        <w:rPr>
          <w:lang w:val="es-ES_tradnl"/>
        </w:rPr>
      </w:pPr>
      <w:r w:rsidRPr="001444A7">
        <w:rPr>
          <w:lang w:val="es-ES_tradnl"/>
        </w:rPr>
        <w:t>En el Cuadro</w:t>
      </w:r>
      <w:r w:rsidR="00BF46DC">
        <w:rPr>
          <w:lang w:val="es-ES_tradnl"/>
        </w:rPr>
        <w:t> </w:t>
      </w:r>
      <w:r w:rsidRPr="001444A7">
        <w:rPr>
          <w:lang w:val="es-ES_tradnl"/>
        </w:rPr>
        <w:t>3 figuran los parámetros de los sistemas del SRNS pertinentes para evaluar la interferencia procedente de fuentes radioeléctricas distintas del SRNS. Algunos parámetros de la señal del SRNS no se muestran pero están contenidos en la Recomendación UIT-R M. 1787</w:t>
      </w:r>
      <w:r>
        <w:rPr>
          <w:lang w:val="es-ES_tradnl"/>
        </w:rPr>
        <w:t>.</w:t>
      </w:r>
    </w:p>
    <w:p w:rsidR="00A43745" w:rsidRPr="001444A7" w:rsidRDefault="00A43745" w:rsidP="00BF46DC">
      <w:pPr>
        <w:rPr>
          <w:lang w:val="es-ES_tradnl"/>
        </w:rPr>
      </w:pPr>
    </w:p>
    <w:p w:rsidR="00741AF0" w:rsidRPr="001444A7" w:rsidRDefault="00741AF0" w:rsidP="00741AF0">
      <w:pPr>
        <w:pStyle w:val="TableNo"/>
        <w:rPr>
          <w:lang w:val="es-ES_tradnl"/>
        </w:rPr>
      </w:pPr>
      <w:r w:rsidRPr="001444A7">
        <w:rPr>
          <w:lang w:val="es-ES_tradnl"/>
        </w:rPr>
        <w:lastRenderedPageBreak/>
        <w:t>CUADRO 3</w:t>
      </w:r>
    </w:p>
    <w:p w:rsidR="00741AF0" w:rsidRDefault="00741AF0" w:rsidP="00FA55E2">
      <w:pPr>
        <w:keepNext/>
        <w:spacing w:before="0" w:after="120"/>
        <w:jc w:val="center"/>
        <w:rPr>
          <w:b/>
          <w:lang w:val="es-ES_tradnl"/>
        </w:rPr>
      </w:pPr>
      <w:r w:rsidRPr="001444A7">
        <w:rPr>
          <w:b/>
          <w:lang w:val="es-ES_tradnl"/>
        </w:rPr>
        <w:t xml:space="preserve">Descripción </w:t>
      </w:r>
      <w:r w:rsidR="00114C2C" w:rsidRPr="001444A7">
        <w:rPr>
          <w:b/>
          <w:lang w:val="es-ES_tradnl"/>
        </w:rPr>
        <w:t xml:space="preserve">de </w:t>
      </w:r>
      <w:r w:rsidRPr="001444A7">
        <w:rPr>
          <w:b/>
          <w:lang w:val="es-ES_tradnl"/>
        </w:rPr>
        <w:t>los parámetros del SRNS relativos a las Recomend</w:t>
      </w:r>
      <w:r>
        <w:rPr>
          <w:b/>
          <w:lang w:val="es-ES_tradnl"/>
        </w:rPr>
        <w:t>aciones</w:t>
      </w:r>
      <w:r w:rsidR="00FA55E2">
        <w:rPr>
          <w:b/>
          <w:lang w:val="es-ES_tradnl"/>
        </w:rPr>
        <w:br/>
      </w:r>
      <w:r>
        <w:rPr>
          <w:b/>
          <w:lang w:val="es-ES_tradnl"/>
        </w:rPr>
        <w:t>UIT-R M.1905,</w:t>
      </w:r>
      <w:r w:rsidR="00FA55E2">
        <w:rPr>
          <w:b/>
          <w:lang w:val="es-ES_tradnl"/>
        </w:rPr>
        <w:t xml:space="preserve"> </w:t>
      </w:r>
      <w:r>
        <w:rPr>
          <w:b/>
          <w:lang w:val="es-ES_tradnl"/>
        </w:rPr>
        <w:t>UIT-R M.</w:t>
      </w:r>
      <w:r w:rsidRPr="001444A7">
        <w:rPr>
          <w:b/>
          <w:lang w:val="es-ES_tradnl"/>
        </w:rPr>
        <w:t>1902, UIT-R M.1903 y UIT-R M.1904</w:t>
      </w:r>
      <w:r w:rsidR="00FA55E2">
        <w:rPr>
          <w:b/>
          <w:lang w:val="es-ES_tradnl"/>
        </w:rPr>
        <w:br/>
      </w:r>
      <w:r w:rsidRPr="001444A7">
        <w:rPr>
          <w:b/>
          <w:lang w:val="es-ES_tradnl"/>
        </w:rPr>
        <w:t>(véanse las Notas 2 y 3)</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8"/>
        <w:gridCol w:w="6690"/>
      </w:tblGrid>
      <w:tr w:rsidR="00741AF0" w:rsidRPr="00BA5116" w:rsidTr="00F760D8">
        <w:trPr>
          <w:cantSplit/>
          <w:jc w:val="center"/>
        </w:trPr>
        <w:tc>
          <w:tcPr>
            <w:tcW w:w="2948" w:type="dxa"/>
            <w:vAlign w:val="center"/>
          </w:tcPr>
          <w:p w:rsidR="00741AF0" w:rsidRPr="00781CED" w:rsidRDefault="00741AF0" w:rsidP="00BF46DC">
            <w:pPr>
              <w:pStyle w:val="Tablehead"/>
              <w:rPr>
                <w:lang w:val="en-US"/>
              </w:rPr>
            </w:pPr>
            <w:r w:rsidRPr="00781CED">
              <w:rPr>
                <w:lang w:val="en-US"/>
              </w:rPr>
              <w:t xml:space="preserve">Parámetro </w:t>
            </w:r>
          </w:p>
        </w:tc>
        <w:tc>
          <w:tcPr>
            <w:tcW w:w="6690" w:type="dxa"/>
            <w:vAlign w:val="center"/>
          </w:tcPr>
          <w:p w:rsidR="00741AF0" w:rsidRPr="00781CED" w:rsidRDefault="00741AF0" w:rsidP="00BF46DC">
            <w:pPr>
              <w:pStyle w:val="Tablehead"/>
              <w:rPr>
                <w:lang w:val="en-US"/>
              </w:rPr>
            </w:pPr>
            <w:r w:rsidRPr="00781CED">
              <w:rPr>
                <w:lang w:val="en-US"/>
              </w:rPr>
              <w:t xml:space="preserve">Descripción de los parámetros del SRNS </w:t>
            </w:r>
          </w:p>
        </w:tc>
      </w:tr>
      <w:tr w:rsidR="00741AF0" w:rsidRPr="00BA5116" w:rsidTr="00F760D8">
        <w:trPr>
          <w:cantSplit/>
          <w:jc w:val="center"/>
        </w:trPr>
        <w:tc>
          <w:tcPr>
            <w:tcW w:w="2948" w:type="dxa"/>
          </w:tcPr>
          <w:p w:rsidR="00741AF0" w:rsidRPr="001444A7" w:rsidRDefault="00741AF0" w:rsidP="00FA55E2">
            <w:pPr>
              <w:pStyle w:val="Tabletext"/>
              <w:keepNext/>
              <w:keepLines/>
              <w:jc w:val="left"/>
              <w:rPr>
                <w:rFonts w:eastAsia="MS PGothic"/>
                <w:lang w:val="es-ES_tradnl"/>
              </w:rPr>
            </w:pPr>
            <w:r w:rsidRPr="00BA5116">
              <w:rPr>
                <w:rFonts w:eastAsia="MS PGothic"/>
                <w:lang w:val="es-ES"/>
              </w:rPr>
              <w:t>Gama de frecuencias de la señal (MHz)</w:t>
            </w:r>
          </w:p>
        </w:tc>
        <w:tc>
          <w:tcPr>
            <w:tcW w:w="6690" w:type="dxa"/>
          </w:tcPr>
          <w:p w:rsidR="00741AF0" w:rsidRDefault="00741AF0" w:rsidP="00A43745">
            <w:pPr>
              <w:pStyle w:val="Tabletext"/>
              <w:keepNext/>
              <w:keepLines/>
              <w:jc w:val="left"/>
              <w:rPr>
                <w:rFonts w:eastAsia="MS PGothic"/>
                <w:lang w:val="es-ES"/>
              </w:rPr>
            </w:pPr>
            <w:r w:rsidRPr="00BA5116">
              <w:rPr>
                <w:rFonts w:eastAsia="MS PGothic"/>
                <w:lang w:val="es-ES"/>
              </w:rPr>
              <w:t>Gama de frecuencias de la señal del SRNS de interés. Para sistemas con AMDC: frecuencia portadora ± la mitad de la anchura de banda de la señal (a menos que se indique otra cosa); para sistemas con AMDF: frecuencia de base</w:t>
            </w:r>
            <w:r w:rsidR="004F0A18">
              <w:rPr>
                <w:rFonts w:eastAsia="MS PGothic"/>
                <w:lang w:val="es-ES"/>
              </w:rPr>
              <w:t xml:space="preserve"> </w:t>
            </w:r>
            <w:r w:rsidRPr="00BA5116">
              <w:rPr>
                <w:rFonts w:eastAsia="MS PGothic"/>
                <w:lang w:val="es-ES"/>
              </w:rPr>
              <w:t>+ (número de canal </w:t>
            </w:r>
            <w:r w:rsidRPr="004F0A18">
              <w:rPr>
                <w:rFonts w:eastAsia="MS PGothic"/>
              </w:rPr>
              <w:t>*</w:t>
            </w:r>
            <w:r w:rsidRPr="00BA5116">
              <w:rPr>
                <w:rFonts w:eastAsia="MS PGothic"/>
                <w:lang w:val="es-ES"/>
              </w:rPr>
              <w:t> separación de canales) ± la mitad</w:t>
            </w:r>
            <w:r w:rsidR="00A43745">
              <w:rPr>
                <w:rFonts w:eastAsia="MS PGothic"/>
                <w:lang w:val="es-ES"/>
              </w:rPr>
              <w:t> </w:t>
            </w:r>
            <w:r w:rsidRPr="00BA5116">
              <w:rPr>
                <w:rFonts w:eastAsia="MS PGothic"/>
                <w:lang w:val="es-ES"/>
              </w:rPr>
              <w:t>de la anchura de banda de la señal.</w:t>
            </w:r>
          </w:p>
          <w:p w:rsidR="00741AF0" w:rsidRPr="00E1670D" w:rsidRDefault="00741AF0" w:rsidP="00FA55E2">
            <w:pPr>
              <w:pStyle w:val="Tabletext"/>
              <w:keepNext/>
              <w:keepLines/>
              <w:jc w:val="left"/>
              <w:rPr>
                <w:rFonts w:eastAsia="MS PGothic"/>
                <w:lang w:val="es-ES"/>
              </w:rPr>
            </w:pPr>
            <w:r>
              <w:rPr>
                <w:rFonts w:eastAsia="MS PGothic"/>
                <w:lang w:val="es-ES"/>
              </w:rPr>
              <w:t>También debe indicarse la gama de números de canal.</w:t>
            </w:r>
          </w:p>
        </w:tc>
      </w:tr>
      <w:tr w:rsidR="00741AF0" w:rsidRPr="00BA5116" w:rsidTr="00F760D8">
        <w:trPr>
          <w:cantSplit/>
          <w:jc w:val="center"/>
        </w:trPr>
        <w:tc>
          <w:tcPr>
            <w:tcW w:w="2948" w:type="dxa"/>
          </w:tcPr>
          <w:p w:rsidR="00741AF0" w:rsidRPr="001444A7" w:rsidRDefault="00741AF0" w:rsidP="00FA55E2">
            <w:pPr>
              <w:pStyle w:val="Tabletext"/>
              <w:keepNext/>
              <w:keepLines/>
              <w:jc w:val="left"/>
              <w:rPr>
                <w:rFonts w:eastAsia="MS PGothic"/>
                <w:lang w:val="es-ES_tradnl"/>
              </w:rPr>
            </w:pPr>
            <w:r w:rsidRPr="00BA5116">
              <w:rPr>
                <w:rFonts w:eastAsia="MS PGothic"/>
                <w:lang w:val="es-ES"/>
              </w:rPr>
              <w:t>Máxima ganancia de la antena del receptor en el hemisferio superior (dBi)</w:t>
            </w:r>
          </w:p>
        </w:tc>
        <w:tc>
          <w:tcPr>
            <w:tcW w:w="6690" w:type="dxa"/>
          </w:tcPr>
          <w:p w:rsidR="00741AF0" w:rsidRPr="00BA5116" w:rsidRDefault="00741AF0" w:rsidP="00FA55E2">
            <w:pPr>
              <w:pStyle w:val="Tabletext"/>
              <w:keepNext/>
              <w:keepLines/>
              <w:jc w:val="left"/>
              <w:rPr>
                <w:rFonts w:eastAsia="MS PGothic"/>
                <w:lang w:val="es-ES"/>
              </w:rPr>
            </w:pPr>
            <w:r w:rsidRPr="00BA5116">
              <w:rPr>
                <w:rFonts w:eastAsia="MS PGothic"/>
                <w:lang w:val="es-ES"/>
              </w:rPr>
              <w:t>Máxima ganancia de la antena del receptor en el hemisferio superior con la polarización especificada.</w:t>
            </w:r>
          </w:p>
        </w:tc>
      </w:tr>
      <w:tr w:rsidR="00741AF0" w:rsidRPr="00BA5116" w:rsidTr="00F760D8">
        <w:trPr>
          <w:cantSplit/>
          <w:jc w:val="center"/>
        </w:trPr>
        <w:tc>
          <w:tcPr>
            <w:tcW w:w="2948" w:type="dxa"/>
          </w:tcPr>
          <w:p w:rsidR="00741AF0" w:rsidRPr="00B9667B" w:rsidRDefault="00741AF0" w:rsidP="00FA55E2">
            <w:pPr>
              <w:pStyle w:val="Tabletext"/>
              <w:keepNext/>
              <w:keepLines/>
              <w:jc w:val="left"/>
              <w:rPr>
                <w:rFonts w:eastAsia="MS PGothic"/>
                <w:lang w:val="es-ES"/>
              </w:rPr>
            </w:pPr>
            <w:r w:rsidRPr="00BA5116">
              <w:rPr>
                <w:rFonts w:eastAsia="MS PGothic"/>
                <w:lang w:val="es-ES"/>
              </w:rPr>
              <w:t>Máxima ganancia de la antena del receptor en el hemisferio inferior (dBi)</w:t>
            </w:r>
          </w:p>
        </w:tc>
        <w:tc>
          <w:tcPr>
            <w:tcW w:w="6690" w:type="dxa"/>
          </w:tcPr>
          <w:p w:rsidR="00741AF0" w:rsidRPr="001444A7" w:rsidRDefault="00741AF0" w:rsidP="00FA55E2">
            <w:pPr>
              <w:pStyle w:val="Tabletext"/>
              <w:keepNext/>
              <w:keepLines/>
              <w:jc w:val="left"/>
              <w:rPr>
                <w:rFonts w:eastAsia="MS PGothic"/>
                <w:lang w:val="es-ES_tradnl"/>
              </w:rPr>
            </w:pPr>
            <w:r w:rsidRPr="00BA5116">
              <w:rPr>
                <w:rFonts w:eastAsia="MS PGothic"/>
                <w:lang w:val="es-ES"/>
              </w:rPr>
              <w:t>Máxima ganancia de la antena del receptor en el hemisferio inferior con la polarización especificada.</w:t>
            </w:r>
          </w:p>
        </w:tc>
      </w:tr>
      <w:tr w:rsidR="00741AF0" w:rsidRPr="00BA5116" w:rsidTr="00F760D8">
        <w:trPr>
          <w:cantSplit/>
          <w:jc w:val="center"/>
        </w:trPr>
        <w:tc>
          <w:tcPr>
            <w:tcW w:w="2948" w:type="dxa"/>
          </w:tcPr>
          <w:p w:rsidR="00741AF0" w:rsidRPr="001444A7" w:rsidRDefault="00741AF0" w:rsidP="00A43745">
            <w:pPr>
              <w:pStyle w:val="Tabletext"/>
              <w:keepNext/>
              <w:keepLines/>
              <w:jc w:val="left"/>
              <w:rPr>
                <w:rFonts w:eastAsia="MS PGothic"/>
                <w:lang w:val="es-ES_tradnl"/>
              </w:rPr>
            </w:pPr>
            <w:r w:rsidRPr="00BA5116">
              <w:rPr>
                <w:rFonts w:eastAsia="MS PGothic"/>
                <w:lang w:val="es-ES"/>
              </w:rPr>
              <w:t>Anchura de banda a 3 dB del</w:t>
            </w:r>
            <w:r w:rsidR="00A43745">
              <w:rPr>
                <w:rFonts w:eastAsia="MS PGothic"/>
                <w:lang w:val="es-ES"/>
              </w:rPr>
              <w:t> </w:t>
            </w:r>
            <w:r w:rsidRPr="00BA5116">
              <w:rPr>
                <w:rFonts w:eastAsia="MS PGothic"/>
                <w:lang w:val="es-ES"/>
              </w:rPr>
              <w:t>filtro de RF (MHz)</w:t>
            </w:r>
          </w:p>
        </w:tc>
        <w:tc>
          <w:tcPr>
            <w:tcW w:w="6690" w:type="dxa"/>
          </w:tcPr>
          <w:p w:rsidR="00741AF0" w:rsidRPr="00B04B3F" w:rsidRDefault="00741AF0" w:rsidP="00A43745">
            <w:pPr>
              <w:pStyle w:val="Tabletext"/>
              <w:keepNext/>
              <w:keepLines/>
              <w:jc w:val="left"/>
              <w:rPr>
                <w:rFonts w:eastAsia="MS PGothic"/>
                <w:lang w:val="es-ES"/>
              </w:rPr>
            </w:pPr>
            <w:r w:rsidRPr="00BA5116">
              <w:rPr>
                <w:rFonts w:eastAsia="MS PGothic"/>
                <w:lang w:val="es-ES"/>
              </w:rPr>
              <w:t>Anchura de banda entre puntos a 3 dB por debajo del filtro pasobanda de</w:t>
            </w:r>
            <w:r w:rsidR="00A43745">
              <w:rPr>
                <w:rFonts w:eastAsia="MS PGothic"/>
                <w:lang w:val="es-ES"/>
              </w:rPr>
              <w:t> </w:t>
            </w:r>
            <w:r w:rsidRPr="00BA5116">
              <w:rPr>
                <w:rFonts w:eastAsia="MS PGothic"/>
                <w:lang w:val="es-ES"/>
              </w:rPr>
              <w:t>RF del extremo frontal del receptor.</w:t>
            </w:r>
          </w:p>
        </w:tc>
      </w:tr>
      <w:tr w:rsidR="00741AF0" w:rsidRPr="00BA5116" w:rsidTr="00F760D8">
        <w:trPr>
          <w:cantSplit/>
          <w:jc w:val="center"/>
        </w:trPr>
        <w:tc>
          <w:tcPr>
            <w:tcW w:w="2948" w:type="dxa"/>
          </w:tcPr>
          <w:p w:rsidR="00741AF0" w:rsidRPr="001444A7" w:rsidRDefault="00741AF0" w:rsidP="00A43745">
            <w:pPr>
              <w:pStyle w:val="Tabletext"/>
              <w:keepNext/>
              <w:keepLines/>
              <w:jc w:val="left"/>
              <w:rPr>
                <w:rFonts w:eastAsia="MS PGothic"/>
                <w:lang w:val="es-ES_tradnl"/>
              </w:rPr>
            </w:pPr>
            <w:r w:rsidRPr="00BA5116">
              <w:rPr>
                <w:rFonts w:eastAsia="MS PGothic"/>
                <w:lang w:val="es-ES"/>
              </w:rPr>
              <w:t>Anchura de banda a 3 dB del</w:t>
            </w:r>
            <w:r w:rsidR="00F760D8">
              <w:rPr>
                <w:rFonts w:eastAsia="MS PGothic"/>
                <w:lang w:val="es-ES"/>
              </w:rPr>
              <w:t xml:space="preserve"> </w:t>
            </w:r>
            <w:r w:rsidRPr="00BA5116">
              <w:rPr>
                <w:rFonts w:eastAsia="MS PGothic"/>
                <w:lang w:val="es-ES"/>
              </w:rPr>
              <w:t>filtro de Precorrelación (MHz</w:t>
            </w:r>
            <w:r w:rsidR="00F760D8">
              <w:rPr>
                <w:rFonts w:eastAsia="MS PGothic"/>
                <w:lang w:val="es-ES"/>
              </w:rPr>
              <w:t>)</w:t>
            </w:r>
          </w:p>
        </w:tc>
        <w:tc>
          <w:tcPr>
            <w:tcW w:w="6690" w:type="dxa"/>
          </w:tcPr>
          <w:p w:rsidR="00741AF0" w:rsidRPr="00B04B3F" w:rsidRDefault="00741AF0" w:rsidP="00A43745">
            <w:pPr>
              <w:pStyle w:val="Tabletext"/>
              <w:keepNext/>
              <w:keepLines/>
              <w:jc w:val="left"/>
              <w:rPr>
                <w:rFonts w:eastAsia="MS PGothic"/>
                <w:lang w:val="es-ES_tradnl"/>
              </w:rPr>
            </w:pPr>
            <w:r w:rsidRPr="00BA5116">
              <w:rPr>
                <w:rFonts w:eastAsia="MS PGothic"/>
                <w:lang w:val="es-ES"/>
              </w:rPr>
              <w:t>Anchura de banda entre puntos a 3 dB por debajo del filtro pasobanda de</w:t>
            </w:r>
            <w:r w:rsidR="00A43745">
              <w:rPr>
                <w:rFonts w:eastAsia="MS PGothic"/>
                <w:lang w:val="es-ES"/>
              </w:rPr>
              <w:t> </w:t>
            </w:r>
            <w:r w:rsidRPr="00BA5116">
              <w:rPr>
                <w:rFonts w:eastAsia="MS PGothic"/>
                <w:lang w:val="es-ES"/>
              </w:rPr>
              <w:t>FI del receptor (inmediatamente antes del correlador).</w:t>
            </w:r>
          </w:p>
        </w:tc>
      </w:tr>
      <w:tr w:rsidR="00741AF0" w:rsidRPr="00BA5116" w:rsidTr="00F760D8">
        <w:trPr>
          <w:cantSplit/>
          <w:jc w:val="center"/>
        </w:trPr>
        <w:tc>
          <w:tcPr>
            <w:tcW w:w="2948" w:type="dxa"/>
          </w:tcPr>
          <w:p w:rsidR="00741AF0" w:rsidRPr="00B9667B" w:rsidRDefault="00741AF0" w:rsidP="00D8677A">
            <w:pPr>
              <w:pStyle w:val="Tabletext"/>
              <w:jc w:val="left"/>
              <w:rPr>
                <w:rFonts w:eastAsia="MS PGothic"/>
                <w:lang w:val="es-ES_tradnl"/>
              </w:rPr>
            </w:pPr>
            <w:r w:rsidRPr="00BA5116">
              <w:rPr>
                <w:rFonts w:eastAsia="MS PGothic"/>
                <w:lang w:val="es-ES"/>
              </w:rPr>
              <w:t>Temperatura de ruido del sistema receptor (K)</w:t>
            </w:r>
          </w:p>
        </w:tc>
        <w:tc>
          <w:tcPr>
            <w:tcW w:w="6690" w:type="dxa"/>
          </w:tcPr>
          <w:p w:rsidR="00741AF0" w:rsidRPr="00B04B3F" w:rsidRDefault="00741AF0" w:rsidP="004F0A18">
            <w:pPr>
              <w:pStyle w:val="Tabletext"/>
              <w:jc w:val="left"/>
              <w:rPr>
                <w:rFonts w:eastAsia="MS PGothic"/>
                <w:lang w:val="es-ES"/>
              </w:rPr>
            </w:pPr>
            <w:r w:rsidRPr="00BA5116">
              <w:rPr>
                <w:rFonts w:eastAsia="MS PGothic"/>
                <w:lang w:val="es-ES"/>
              </w:rPr>
              <w:t>Combinación de la temperatura de ruido equivalente a la entrada del receptor y la temperatura</w:t>
            </w:r>
            <w:r>
              <w:rPr>
                <w:rFonts w:eastAsia="MS PGothic"/>
                <w:lang w:val="es-ES"/>
              </w:rPr>
              <w:t xml:space="preserve"> de</w:t>
            </w:r>
            <w:r w:rsidRPr="00BA5116">
              <w:rPr>
                <w:rFonts w:eastAsia="MS PGothic"/>
                <w:lang w:val="es-ES"/>
              </w:rPr>
              <w:t xml:space="preserve"> ruido equivalente de la antena.</w:t>
            </w:r>
          </w:p>
        </w:tc>
      </w:tr>
      <w:tr w:rsidR="00741AF0" w:rsidRPr="001444A7" w:rsidTr="00F760D8">
        <w:trPr>
          <w:cantSplit/>
          <w:jc w:val="center"/>
        </w:trPr>
        <w:tc>
          <w:tcPr>
            <w:tcW w:w="2948" w:type="dxa"/>
          </w:tcPr>
          <w:p w:rsidR="00741AF0" w:rsidRPr="008F4A08" w:rsidRDefault="00741AF0" w:rsidP="00A43745">
            <w:pPr>
              <w:pStyle w:val="Tabletext"/>
              <w:jc w:val="left"/>
              <w:rPr>
                <w:rFonts w:eastAsia="MS PGothic"/>
                <w:lang w:val="es-ES"/>
              </w:rPr>
            </w:pPr>
            <w:r w:rsidRPr="00783BFE">
              <w:rPr>
                <w:rFonts w:eastAsia="MS PGothic"/>
                <w:lang w:val="es-ES"/>
              </w:rPr>
              <w:t>Nivel de potencia umbral en</w:t>
            </w:r>
            <w:r w:rsidR="00A43745">
              <w:rPr>
                <w:rFonts w:eastAsia="MS PGothic"/>
                <w:lang w:val="es-ES"/>
              </w:rPr>
              <w:t> </w:t>
            </w:r>
            <w:r w:rsidRPr="00783BFE">
              <w:rPr>
                <w:rFonts w:eastAsia="MS PGothic"/>
                <w:lang w:val="es-ES"/>
              </w:rPr>
              <w:t>modo seguimiento de la</w:t>
            </w:r>
            <w:r w:rsidR="00A43745">
              <w:rPr>
                <w:rFonts w:eastAsia="MS PGothic"/>
                <w:lang w:val="es-ES"/>
              </w:rPr>
              <w:t> </w:t>
            </w:r>
            <w:r w:rsidRPr="00783BFE">
              <w:rPr>
                <w:rFonts w:eastAsia="MS PGothic"/>
                <w:lang w:val="es-ES"/>
              </w:rPr>
              <w:t>interferencia de banda estrecha combinada a la salida de la antena pasiva (dBW)</w:t>
            </w:r>
          </w:p>
        </w:tc>
        <w:tc>
          <w:tcPr>
            <w:tcW w:w="6690" w:type="dxa"/>
          </w:tcPr>
          <w:p w:rsidR="00741AF0" w:rsidRPr="001444A7" w:rsidRDefault="00741AF0" w:rsidP="00A43745">
            <w:pPr>
              <w:pStyle w:val="Tabletext"/>
              <w:jc w:val="left"/>
              <w:rPr>
                <w:rFonts w:eastAsia="MS PGothic"/>
                <w:lang w:val="es-ES_tradnl"/>
              </w:rPr>
            </w:pPr>
            <w:r w:rsidRPr="00BA5116">
              <w:rPr>
                <w:rFonts w:eastAsia="MS PGothic"/>
                <w:lang w:val="es-ES"/>
              </w:rPr>
              <w:t xml:space="preserve">Mínimo nivel de potencia de interferencia de banda estrecha (con referencia a la salida de la antena pasiva y dentro de la anchura de banda del filtro de RF) para el cual el receptor pierde el seguimiento de una señal deseada en el mínimo nivel de potencia recibida especificado con una probabilidad especifica (es decir, no puede permanecer en modo seguimiento con la correspondiente probabilidad). Ello supone que el receptor ya ha adquirido la señal deseada y estaba realizando el seguimiento hasta que la interferencia rebasó este umbral y el receptor ya no puede efectuar correctamente dicho seguimiento (por ejemplo, ya no pueden demodularse adecuadamente los datos de navegación). </w:t>
            </w:r>
            <w:r w:rsidRPr="00783BFE">
              <w:rPr>
                <w:rFonts w:eastAsia="MS PGothic"/>
                <w:lang w:val="en-US"/>
              </w:rPr>
              <w:t>(Véase</w:t>
            </w:r>
            <w:r w:rsidR="00A43745">
              <w:rPr>
                <w:rFonts w:eastAsia="MS PGothic"/>
                <w:lang w:val="en-US"/>
              </w:rPr>
              <w:t> </w:t>
            </w:r>
            <w:r w:rsidRPr="00783BFE">
              <w:rPr>
                <w:rFonts w:eastAsia="MS PGothic"/>
                <w:lang w:val="en-US"/>
              </w:rPr>
              <w:t>la Nota</w:t>
            </w:r>
            <w:r w:rsidR="00A43745">
              <w:rPr>
                <w:rFonts w:eastAsia="MS PGothic"/>
                <w:lang w:val="en-US"/>
              </w:rPr>
              <w:t> </w:t>
            </w:r>
            <w:r w:rsidRPr="00783BFE">
              <w:rPr>
                <w:rFonts w:eastAsia="MS PGothic"/>
                <w:lang w:val="en-US"/>
              </w:rPr>
              <w:t>1).</w:t>
            </w:r>
          </w:p>
        </w:tc>
      </w:tr>
      <w:tr w:rsidR="00741AF0" w:rsidRPr="001444A7" w:rsidTr="00F760D8">
        <w:trPr>
          <w:cantSplit/>
          <w:jc w:val="center"/>
        </w:trPr>
        <w:tc>
          <w:tcPr>
            <w:tcW w:w="2948" w:type="dxa"/>
          </w:tcPr>
          <w:p w:rsidR="00741AF0" w:rsidRPr="001444A7" w:rsidRDefault="00741AF0" w:rsidP="00A43745">
            <w:pPr>
              <w:pStyle w:val="Tabletext"/>
              <w:jc w:val="left"/>
              <w:rPr>
                <w:rFonts w:eastAsia="MS PGothic"/>
                <w:lang w:val="es-ES_tradnl"/>
              </w:rPr>
            </w:pPr>
            <w:r w:rsidRPr="00BA5116">
              <w:rPr>
                <w:rFonts w:eastAsia="MS PGothic"/>
                <w:lang w:val="es-ES"/>
              </w:rPr>
              <w:t>Nivel de potencia umbral en</w:t>
            </w:r>
            <w:r w:rsidR="00A43745">
              <w:rPr>
                <w:rFonts w:eastAsia="MS PGothic"/>
                <w:lang w:val="es-ES"/>
              </w:rPr>
              <w:t> </w:t>
            </w:r>
            <w:r w:rsidRPr="00BA5116">
              <w:rPr>
                <w:rFonts w:eastAsia="MS PGothic"/>
                <w:lang w:val="es-ES"/>
              </w:rPr>
              <w:t>modo adquisición de la</w:t>
            </w:r>
            <w:r w:rsidR="00A43745">
              <w:rPr>
                <w:rFonts w:eastAsia="MS PGothic"/>
                <w:lang w:val="es-ES"/>
              </w:rPr>
              <w:t> </w:t>
            </w:r>
            <w:r w:rsidRPr="00BA5116">
              <w:rPr>
                <w:rFonts w:eastAsia="MS PGothic"/>
                <w:lang w:val="es-ES"/>
              </w:rPr>
              <w:t>interferencia de banda estrecha combinada a la salida de la antena pasiva (dBW)</w:t>
            </w:r>
          </w:p>
        </w:tc>
        <w:tc>
          <w:tcPr>
            <w:tcW w:w="6690" w:type="dxa"/>
          </w:tcPr>
          <w:p w:rsidR="00741AF0" w:rsidRPr="001444A7" w:rsidRDefault="00741AF0" w:rsidP="005551C3">
            <w:pPr>
              <w:pStyle w:val="Tabletext"/>
              <w:jc w:val="left"/>
              <w:rPr>
                <w:rFonts w:eastAsia="MS PGothic"/>
                <w:lang w:val="es-ES_tradnl"/>
              </w:rPr>
            </w:pPr>
            <w:r w:rsidRPr="00BA5116">
              <w:rPr>
                <w:rFonts w:eastAsia="MS PGothic"/>
                <w:lang w:val="es-ES"/>
              </w:rPr>
              <w:t>Mínimo nivel de potencia de interferencia de banda estrecha (con referencia a la salida de la antena pasiva y dentro de la anchura de banda del filtro de RF) para el cual el receptor no puede adquirir una señal deseada al mínimo nivel de potencia recibida especificado con una probabilidad especificada y en un periodo de tiempo concreto (es</w:t>
            </w:r>
            <w:r w:rsidR="004F0A18">
              <w:rPr>
                <w:rFonts w:eastAsia="MS PGothic"/>
                <w:lang w:val="es-ES"/>
              </w:rPr>
              <w:t xml:space="preserve"> </w:t>
            </w:r>
            <w:r w:rsidRPr="00BA5116">
              <w:rPr>
                <w:rFonts w:eastAsia="MS PGothic"/>
                <w:lang w:val="es-ES"/>
              </w:rPr>
              <w:t xml:space="preserve">decir, no puede adquirir una señal disponible con la correspondiente probabilidad). Obsérvese que este nivel de interferencia es inferior que en el caso del parámetro precedente (modo seguimiento). </w:t>
            </w:r>
            <w:r w:rsidRPr="00783BFE">
              <w:rPr>
                <w:rFonts w:eastAsia="MS PGothic"/>
                <w:lang w:val="en-US"/>
              </w:rPr>
              <w:t>(Véase</w:t>
            </w:r>
            <w:r w:rsidR="004F0A18">
              <w:rPr>
                <w:rFonts w:eastAsia="MS PGothic"/>
                <w:lang w:val="en-US"/>
              </w:rPr>
              <w:t> </w:t>
            </w:r>
            <w:r w:rsidRPr="00783BFE">
              <w:rPr>
                <w:rFonts w:eastAsia="MS PGothic"/>
                <w:lang w:val="en-US"/>
              </w:rPr>
              <w:t>la Nota</w:t>
            </w:r>
            <w:r w:rsidR="00A43745">
              <w:rPr>
                <w:rFonts w:eastAsia="MS PGothic"/>
                <w:lang w:val="en-US"/>
              </w:rPr>
              <w:t> </w:t>
            </w:r>
            <w:r w:rsidRPr="00783BFE">
              <w:rPr>
                <w:rFonts w:eastAsia="MS PGothic"/>
                <w:lang w:val="en-US"/>
              </w:rPr>
              <w:t>1</w:t>
            </w:r>
            <w:r w:rsidR="005551C3" w:rsidRPr="00783BFE">
              <w:rPr>
                <w:rFonts w:eastAsia="MS PGothic"/>
                <w:lang w:val="en-US"/>
              </w:rPr>
              <w:t>.</w:t>
            </w:r>
            <w:r w:rsidRPr="00783BFE">
              <w:rPr>
                <w:rFonts w:eastAsia="MS PGothic"/>
                <w:lang w:val="en-US"/>
              </w:rPr>
              <w:t>)</w:t>
            </w:r>
          </w:p>
        </w:tc>
      </w:tr>
    </w:tbl>
    <w:p w:rsidR="00A43745" w:rsidRDefault="00A43745" w:rsidP="00A43745">
      <w:pPr>
        <w:pStyle w:val="Tablefin"/>
      </w:pPr>
    </w:p>
    <w:p w:rsidR="00A43745" w:rsidRPr="00906F99" w:rsidRDefault="00A43745" w:rsidP="00A43745">
      <w:pPr>
        <w:pStyle w:val="TableNo"/>
        <w:rPr>
          <w:lang w:val="en-US"/>
        </w:rPr>
      </w:pPr>
      <w:r w:rsidRPr="00906F99">
        <w:rPr>
          <w:lang w:val="en-US"/>
        </w:rPr>
        <w:lastRenderedPageBreak/>
        <w:t>CUADRO 3</w:t>
      </w:r>
      <w:r>
        <w:rPr>
          <w:lang w:val="en-US"/>
        </w:rPr>
        <w:t xml:space="preserve"> </w:t>
      </w:r>
      <w:r w:rsidRPr="00906F99">
        <w:rPr>
          <w:i/>
          <w:iCs/>
          <w:lang w:val="en-US"/>
        </w:rPr>
        <w:t>(</w:t>
      </w:r>
      <w:r>
        <w:rPr>
          <w:i/>
          <w:iCs/>
          <w:lang w:val="en-US"/>
        </w:rPr>
        <w:t>Fin</w:t>
      </w:r>
      <w:r w:rsidRPr="00906F99">
        <w:rPr>
          <w:i/>
          <w:iCs/>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8"/>
        <w:gridCol w:w="6691"/>
      </w:tblGrid>
      <w:tr w:rsidR="00A43745" w:rsidRPr="00BA5116" w:rsidTr="00F760D8">
        <w:trPr>
          <w:cantSplit/>
          <w:jc w:val="center"/>
        </w:trPr>
        <w:tc>
          <w:tcPr>
            <w:tcW w:w="2948" w:type="dxa"/>
            <w:vAlign w:val="center"/>
          </w:tcPr>
          <w:p w:rsidR="00A43745" w:rsidRPr="00781CED" w:rsidRDefault="00A43745" w:rsidP="00AE7E4D">
            <w:pPr>
              <w:pStyle w:val="Tablehead"/>
              <w:rPr>
                <w:lang w:val="en-US"/>
              </w:rPr>
            </w:pPr>
            <w:r w:rsidRPr="00781CED">
              <w:rPr>
                <w:lang w:val="en-US"/>
              </w:rPr>
              <w:t xml:space="preserve">Parámetro </w:t>
            </w:r>
          </w:p>
        </w:tc>
        <w:tc>
          <w:tcPr>
            <w:tcW w:w="6690" w:type="dxa"/>
            <w:vAlign w:val="center"/>
          </w:tcPr>
          <w:p w:rsidR="00A43745" w:rsidRPr="00781CED" w:rsidRDefault="00A43745" w:rsidP="00AE7E4D">
            <w:pPr>
              <w:pStyle w:val="Tablehead"/>
              <w:rPr>
                <w:lang w:val="en-US"/>
              </w:rPr>
            </w:pPr>
            <w:r w:rsidRPr="00781CED">
              <w:rPr>
                <w:lang w:val="en-US"/>
              </w:rPr>
              <w:t xml:space="preserve">Descripción de los parámetros del SRNS </w:t>
            </w:r>
          </w:p>
        </w:tc>
      </w:tr>
      <w:tr w:rsidR="00741AF0" w:rsidRPr="006F2AD3" w:rsidTr="00F760D8">
        <w:trPr>
          <w:cantSplit/>
          <w:jc w:val="center"/>
        </w:trPr>
        <w:tc>
          <w:tcPr>
            <w:tcW w:w="2948" w:type="dxa"/>
          </w:tcPr>
          <w:p w:rsidR="00741AF0" w:rsidRPr="001444A7" w:rsidRDefault="00741AF0" w:rsidP="00D8677A">
            <w:pPr>
              <w:pStyle w:val="Tabletext"/>
              <w:jc w:val="left"/>
              <w:rPr>
                <w:rFonts w:eastAsia="MS PGothic"/>
                <w:lang w:val="es-ES_tradnl"/>
              </w:rPr>
            </w:pPr>
            <w:r w:rsidRPr="00BA5116">
              <w:rPr>
                <w:rFonts w:eastAsia="MS PGothic"/>
                <w:lang w:val="es-ES"/>
              </w:rPr>
              <w:t>Nivel de densidad de potencia umbral en modo seguimiento de la interferencia de banda amplia combinada a la salida de la antena pasiva (dB(W/MHz))</w:t>
            </w:r>
          </w:p>
        </w:tc>
        <w:tc>
          <w:tcPr>
            <w:tcW w:w="6690" w:type="dxa"/>
          </w:tcPr>
          <w:p w:rsidR="00741AF0" w:rsidRPr="006F2AD3" w:rsidRDefault="00741AF0" w:rsidP="004F0A18">
            <w:pPr>
              <w:pStyle w:val="Tabletext"/>
              <w:jc w:val="left"/>
              <w:rPr>
                <w:rFonts w:eastAsia="MS PGothic"/>
                <w:lang w:val="es-ES"/>
              </w:rPr>
            </w:pPr>
            <w:r w:rsidRPr="00BA5116">
              <w:rPr>
                <w:rFonts w:eastAsia="MS PGothic"/>
                <w:lang w:val="es-ES"/>
              </w:rPr>
              <w:t>Mínimo nivel de densidad de potencia de interferencia de banda amplia (con referencia a la salida de la antena pasiva y dentro de la anchura de banda del filtro de RF) para el cual el receptor pierde el seguimiento de una señal deseada en el mínimo nivel de potencia recibida especificado (es decir, no puede continuar en modo seguimiento con la correspondiente probabilidad). Ello supone que el</w:t>
            </w:r>
            <w:r w:rsidR="00EA578A">
              <w:rPr>
                <w:rFonts w:eastAsia="MS PGothic"/>
                <w:lang w:val="es-ES"/>
              </w:rPr>
              <w:t> </w:t>
            </w:r>
            <w:r w:rsidRPr="00BA5116">
              <w:rPr>
                <w:rFonts w:eastAsia="MS PGothic"/>
                <w:lang w:val="es-ES"/>
              </w:rPr>
              <w:t>receptor ya ha adquirido la señal deseada y realizó el seguimiento hasta que la interferencia rebasó este umbral y el receptor no fue capaz de efectuar el seguimiento adecuadamente (por ejemplo, los datos de navegación ya no pueden demodularse adecuadamente). Para determinar este valor, se supone que la interferencia combinada es un ruido blanco gaussiano a lo larg</w:t>
            </w:r>
            <w:r>
              <w:rPr>
                <w:rFonts w:eastAsia="MS PGothic"/>
                <w:lang w:val="es-ES"/>
              </w:rPr>
              <w:t>o de toda la anchura de banda a </w:t>
            </w:r>
            <w:r w:rsidRPr="00BA5116">
              <w:rPr>
                <w:rFonts w:eastAsia="MS PGothic"/>
                <w:lang w:val="es-ES"/>
              </w:rPr>
              <w:t xml:space="preserve">3 dB del filtro de precorrelación. </w:t>
            </w:r>
            <w:r w:rsidRPr="006F2AD3">
              <w:rPr>
                <w:rFonts w:eastAsia="MS PGothic"/>
                <w:lang w:val="es-ES"/>
              </w:rPr>
              <w:t>(Véase la Nota 1</w:t>
            </w:r>
            <w:r w:rsidR="00A43745">
              <w:rPr>
                <w:rFonts w:eastAsia="MS PGothic"/>
                <w:lang w:val="es-ES"/>
              </w:rPr>
              <w:t>.</w:t>
            </w:r>
            <w:r w:rsidRPr="006F2AD3">
              <w:rPr>
                <w:rFonts w:eastAsia="MS PGothic"/>
                <w:lang w:val="es-ES"/>
              </w:rPr>
              <w:t>)</w:t>
            </w:r>
          </w:p>
        </w:tc>
      </w:tr>
      <w:tr w:rsidR="00741AF0" w:rsidRPr="001444A7" w:rsidTr="00F760D8">
        <w:trPr>
          <w:cantSplit/>
          <w:jc w:val="center"/>
        </w:trPr>
        <w:tc>
          <w:tcPr>
            <w:tcW w:w="2948" w:type="dxa"/>
          </w:tcPr>
          <w:p w:rsidR="00741AF0" w:rsidRPr="001444A7" w:rsidRDefault="00741AF0" w:rsidP="00A43745">
            <w:pPr>
              <w:pStyle w:val="Tabletext"/>
              <w:jc w:val="left"/>
              <w:rPr>
                <w:rFonts w:eastAsia="MS PGothic"/>
                <w:lang w:val="es-ES_tradnl"/>
              </w:rPr>
            </w:pPr>
            <w:r w:rsidRPr="00BA5116">
              <w:rPr>
                <w:rFonts w:eastAsia="MS PGothic"/>
                <w:lang w:val="es-ES"/>
              </w:rPr>
              <w:t>Nivel de densidad de potencia umbral en modo adquisición de la</w:t>
            </w:r>
            <w:r w:rsidR="00A43745">
              <w:rPr>
                <w:rFonts w:eastAsia="MS PGothic"/>
                <w:lang w:val="es-ES"/>
              </w:rPr>
              <w:t> </w:t>
            </w:r>
            <w:r w:rsidRPr="00BA5116">
              <w:rPr>
                <w:rFonts w:eastAsia="MS PGothic"/>
                <w:lang w:val="es-ES"/>
              </w:rPr>
              <w:t>interferencia de banda amplia combinada a la salida de la antena pasiva (dB(W/MHz))</w:t>
            </w:r>
            <w:r w:rsidRPr="001444A7">
              <w:rPr>
                <w:rFonts w:eastAsia="MS PGothic"/>
                <w:lang w:val="es-ES_tradnl"/>
              </w:rPr>
              <w:t xml:space="preserve"> </w:t>
            </w:r>
          </w:p>
        </w:tc>
        <w:tc>
          <w:tcPr>
            <w:tcW w:w="6690" w:type="dxa"/>
          </w:tcPr>
          <w:p w:rsidR="00741AF0" w:rsidRPr="001444A7" w:rsidRDefault="00741AF0" w:rsidP="005551C3">
            <w:pPr>
              <w:pStyle w:val="Tabletext"/>
              <w:jc w:val="left"/>
              <w:rPr>
                <w:rFonts w:eastAsia="MS PGothic"/>
                <w:lang w:val="es-ES_tradnl"/>
              </w:rPr>
            </w:pPr>
            <w:r w:rsidRPr="00BA5116">
              <w:rPr>
                <w:rFonts w:eastAsia="MS PGothic"/>
                <w:lang w:val="es-ES"/>
              </w:rPr>
              <w:t>Mínimo nivel de densidad de potencia de interferencia de banda amplia (con referencia a la salida de la antena pasiva y dentro de la anchura de banda del filtro de RF) para el cual el receptor no puede adquirir una señal deseada al mínimo nivel de potencia recibida especificado (es decir,</w:t>
            </w:r>
            <w:r w:rsidR="005551C3">
              <w:rPr>
                <w:rFonts w:eastAsia="MS PGothic"/>
                <w:lang w:val="es-ES"/>
              </w:rPr>
              <w:t xml:space="preserve"> </w:t>
            </w:r>
            <w:r w:rsidRPr="00BA5116">
              <w:rPr>
                <w:rFonts w:eastAsia="MS PGothic"/>
                <w:lang w:val="es-ES"/>
              </w:rPr>
              <w:t>no puede adquirir una señal disponible con la</w:t>
            </w:r>
            <w:r w:rsidR="00EA578A">
              <w:rPr>
                <w:rFonts w:eastAsia="MS PGothic"/>
                <w:lang w:val="es-ES"/>
              </w:rPr>
              <w:t> </w:t>
            </w:r>
            <w:r w:rsidRPr="00BA5116">
              <w:rPr>
                <w:rFonts w:eastAsia="MS PGothic"/>
                <w:lang w:val="es-ES"/>
              </w:rPr>
              <w:t>correspondiente probabilidad). Obsérvese que este nivel de interferencia es inferior al del parámetro precedente (modo seguimiento). Para determinar este valor, se supone que la interferencia combinada es un ruido blanco gaussiano a lo largo de</w:t>
            </w:r>
            <w:r w:rsidR="004F0A18">
              <w:rPr>
                <w:rFonts w:eastAsia="MS PGothic"/>
                <w:lang w:val="es-ES"/>
              </w:rPr>
              <w:t> </w:t>
            </w:r>
            <w:r w:rsidRPr="00BA5116">
              <w:rPr>
                <w:rFonts w:eastAsia="MS PGothic"/>
                <w:lang w:val="es-ES"/>
              </w:rPr>
              <w:t xml:space="preserve">toda la anchura de banda a 3 dB del filtro de precorrelación. </w:t>
            </w:r>
            <w:r w:rsidRPr="00783BFE">
              <w:rPr>
                <w:rFonts w:eastAsia="MS PGothic"/>
                <w:lang w:val="en-US"/>
              </w:rPr>
              <w:t>(Véase</w:t>
            </w:r>
            <w:r w:rsidR="004F0A18">
              <w:rPr>
                <w:rFonts w:eastAsia="MS PGothic"/>
                <w:lang w:val="en-US"/>
              </w:rPr>
              <w:t> </w:t>
            </w:r>
            <w:r w:rsidRPr="00783BFE">
              <w:rPr>
                <w:rFonts w:eastAsia="MS PGothic"/>
                <w:lang w:val="en-US"/>
              </w:rPr>
              <w:t>la</w:t>
            </w:r>
            <w:r w:rsidR="00EA578A">
              <w:rPr>
                <w:rFonts w:eastAsia="MS PGothic"/>
                <w:lang w:val="en-US"/>
              </w:rPr>
              <w:t> </w:t>
            </w:r>
            <w:r w:rsidRPr="00783BFE">
              <w:rPr>
                <w:rFonts w:eastAsia="MS PGothic"/>
                <w:lang w:val="en-US"/>
              </w:rPr>
              <w:t>Nota 1</w:t>
            </w:r>
            <w:r w:rsidR="00A43745">
              <w:rPr>
                <w:rFonts w:eastAsia="MS PGothic"/>
                <w:lang w:val="en-US"/>
              </w:rPr>
              <w:t>.</w:t>
            </w:r>
            <w:r w:rsidRPr="00783BFE">
              <w:rPr>
                <w:rFonts w:eastAsia="MS PGothic"/>
                <w:lang w:val="en-US"/>
              </w:rPr>
              <w:t>)</w:t>
            </w:r>
          </w:p>
        </w:tc>
      </w:tr>
      <w:tr w:rsidR="00741AF0" w:rsidRPr="00BA5116" w:rsidTr="00F760D8">
        <w:trPr>
          <w:cantSplit/>
          <w:jc w:val="center"/>
        </w:trPr>
        <w:tc>
          <w:tcPr>
            <w:tcW w:w="2948" w:type="dxa"/>
          </w:tcPr>
          <w:p w:rsidR="00741AF0" w:rsidRPr="001444A7" w:rsidRDefault="00741AF0" w:rsidP="004F0A18">
            <w:pPr>
              <w:pStyle w:val="Tabletext"/>
              <w:jc w:val="left"/>
              <w:rPr>
                <w:snapToGrid w:val="0"/>
                <w:lang w:val="es-ES_tradnl"/>
              </w:rPr>
            </w:pPr>
            <w:r w:rsidRPr="00BA5116">
              <w:rPr>
                <w:rFonts w:eastAsia="MS PGothic"/>
                <w:lang w:val="es-ES"/>
              </w:rPr>
              <w:t>Nivel de compresión a la entrada del receptor (dBW)</w:t>
            </w:r>
          </w:p>
        </w:tc>
        <w:tc>
          <w:tcPr>
            <w:tcW w:w="6690" w:type="dxa"/>
          </w:tcPr>
          <w:p w:rsidR="00741AF0" w:rsidRPr="00BC2A51" w:rsidRDefault="00741AF0" w:rsidP="004F0A18">
            <w:pPr>
              <w:pStyle w:val="Tabletext"/>
              <w:jc w:val="left"/>
              <w:rPr>
                <w:rFonts w:eastAsia="MS PGothic"/>
                <w:lang w:val="es-ES_tradnl"/>
              </w:rPr>
            </w:pPr>
            <w:r w:rsidRPr="00BA5116">
              <w:rPr>
                <w:rFonts w:eastAsia="MS PGothic"/>
                <w:lang w:val="es-ES"/>
              </w:rPr>
              <w:t>Mínimo nivel a la salida de la antena pasiva a la que se comprime la ganancia lineal del receptor.</w:t>
            </w:r>
          </w:p>
        </w:tc>
      </w:tr>
      <w:tr w:rsidR="00741AF0" w:rsidRPr="00BA5116" w:rsidTr="00F760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948" w:type="dxa"/>
            <w:tcBorders>
              <w:top w:val="single" w:sz="4" w:space="0" w:color="auto"/>
              <w:left w:val="single" w:sz="4" w:space="0" w:color="auto"/>
              <w:bottom w:val="single" w:sz="4" w:space="0" w:color="auto"/>
              <w:right w:val="single" w:sz="4" w:space="0" w:color="auto"/>
            </w:tcBorders>
          </w:tcPr>
          <w:p w:rsidR="00741AF0" w:rsidRPr="001444A7" w:rsidRDefault="00741AF0" w:rsidP="004F0A18">
            <w:pPr>
              <w:pStyle w:val="Tabletext"/>
              <w:jc w:val="left"/>
              <w:rPr>
                <w:snapToGrid w:val="0"/>
                <w:lang w:val="es-ES_tradnl"/>
              </w:rPr>
            </w:pPr>
            <w:r w:rsidRPr="00BA5116">
              <w:rPr>
                <w:rFonts w:eastAsia="MS PGothic"/>
                <w:lang w:val="es-ES"/>
              </w:rPr>
              <w:t>Nivel de supervivencia del receptor (dBW)</w:t>
            </w:r>
          </w:p>
        </w:tc>
        <w:tc>
          <w:tcPr>
            <w:tcW w:w="6690" w:type="dxa"/>
            <w:tcBorders>
              <w:top w:val="single" w:sz="4" w:space="0" w:color="auto"/>
              <w:left w:val="single" w:sz="4" w:space="0" w:color="auto"/>
              <w:bottom w:val="single" w:sz="4" w:space="0" w:color="auto"/>
              <w:right w:val="single" w:sz="4" w:space="0" w:color="auto"/>
            </w:tcBorders>
          </w:tcPr>
          <w:p w:rsidR="00741AF0" w:rsidRPr="00BC2A51" w:rsidRDefault="00741AF0" w:rsidP="004F0A18">
            <w:pPr>
              <w:pStyle w:val="Tabletext"/>
              <w:jc w:val="left"/>
              <w:rPr>
                <w:rFonts w:eastAsia="MS PGothic"/>
                <w:lang w:val="es-ES_tradnl"/>
              </w:rPr>
            </w:pPr>
            <w:r w:rsidRPr="00BA5116">
              <w:rPr>
                <w:rFonts w:eastAsia="MS PGothic"/>
                <w:lang w:val="es-ES"/>
              </w:rPr>
              <w:t>Máximo nivel de potencia a la salida de la antena pasiva para el cual puede sobrevivir el receptor sin fallo de los componentes.</w:t>
            </w:r>
          </w:p>
        </w:tc>
      </w:tr>
      <w:tr w:rsidR="00741AF0" w:rsidRPr="00BA5116" w:rsidTr="00F760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948" w:type="dxa"/>
            <w:tcBorders>
              <w:top w:val="single" w:sz="4" w:space="0" w:color="auto"/>
              <w:left w:val="single" w:sz="4" w:space="0" w:color="auto"/>
              <w:bottom w:val="single" w:sz="4" w:space="0" w:color="auto"/>
              <w:right w:val="single" w:sz="4" w:space="0" w:color="auto"/>
            </w:tcBorders>
          </w:tcPr>
          <w:p w:rsidR="00741AF0" w:rsidRPr="00BC2A51" w:rsidRDefault="00741AF0" w:rsidP="000F6A78">
            <w:pPr>
              <w:pStyle w:val="Tabletext"/>
              <w:jc w:val="left"/>
              <w:rPr>
                <w:lang w:val="es-ES_tradnl"/>
              </w:rPr>
            </w:pPr>
            <w:bookmarkStart w:id="3" w:name="_GoBack" w:colFirst="0" w:colLast="0"/>
            <w:r>
              <w:rPr>
                <w:lang w:val="es-ES_tradnl"/>
              </w:rPr>
              <w:t>Tiempo de recuperación de sobrecarga</w:t>
            </w:r>
            <w:r w:rsidRPr="001444A7">
              <w:rPr>
                <w:lang w:val="es-ES_tradnl"/>
              </w:rPr>
              <w:t xml:space="preserve"> (s)</w:t>
            </w:r>
          </w:p>
        </w:tc>
        <w:tc>
          <w:tcPr>
            <w:tcW w:w="6690" w:type="dxa"/>
            <w:tcBorders>
              <w:top w:val="single" w:sz="4" w:space="0" w:color="auto"/>
              <w:left w:val="single" w:sz="4" w:space="0" w:color="auto"/>
              <w:bottom w:val="single" w:sz="4" w:space="0" w:color="auto"/>
              <w:right w:val="single" w:sz="4" w:space="0" w:color="auto"/>
            </w:tcBorders>
          </w:tcPr>
          <w:p w:rsidR="00741AF0" w:rsidRPr="005872BC" w:rsidRDefault="00741AF0" w:rsidP="004F0A18">
            <w:pPr>
              <w:pStyle w:val="Tabletext"/>
              <w:jc w:val="left"/>
              <w:rPr>
                <w:rFonts w:eastAsia="MS PGothic"/>
                <w:lang w:val="es-ES"/>
              </w:rPr>
            </w:pPr>
            <w:r w:rsidRPr="00BA5116">
              <w:rPr>
                <w:rFonts w:eastAsia="MS PGothic"/>
                <w:lang w:val="es-ES"/>
              </w:rPr>
              <w:t>Máximo periodo de tiempo para que el receptor vuelva a su comportamiento de función de transferencia en estado estacionario después de que una señal que rebase el nivel de compresión a la entrada del receptor caiga por debajo de ese nivel.</w:t>
            </w:r>
          </w:p>
        </w:tc>
      </w:tr>
      <w:bookmarkEnd w:id="3"/>
      <w:tr w:rsidR="00741AF0" w:rsidRPr="00BA5116" w:rsidTr="00F760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tcBorders>
          </w:tcPr>
          <w:p w:rsidR="00741AF0" w:rsidRPr="001444A7" w:rsidRDefault="00741AF0" w:rsidP="00A43745">
            <w:pPr>
              <w:pStyle w:val="TableLegendNote"/>
            </w:pPr>
            <w:r w:rsidRPr="001444A7">
              <w:t>NOTA</w:t>
            </w:r>
            <w:r w:rsidR="00D8677A">
              <w:t> </w:t>
            </w:r>
            <w:r w:rsidRPr="001444A7">
              <w:t>1</w:t>
            </w:r>
            <w:r w:rsidR="00D8677A">
              <w:t> </w:t>
            </w:r>
            <w:r w:rsidRPr="001444A7">
              <w:t>–</w:t>
            </w:r>
            <w:r w:rsidR="00D8677A">
              <w:t> </w:t>
            </w:r>
            <w:r w:rsidRPr="001444A7">
              <w:t>A menos que se especifique otra cosa, basándose en los parámetros de modulación de la señal del SRNS de interés, se considera que la interferencia continua de banda estrecha tiene una anchura de banda inferior a 700 Hz y la inter</w:t>
            </w:r>
            <w:r>
              <w:t>ferencia continua de banda ampli</w:t>
            </w:r>
            <w:r w:rsidRPr="001444A7">
              <w:t>a una anchura de banda superior a 1</w:t>
            </w:r>
            <w:r w:rsidR="00A43745">
              <w:t> </w:t>
            </w:r>
            <w:r w:rsidRPr="001444A7">
              <w:t>MHz.</w:t>
            </w:r>
          </w:p>
          <w:p w:rsidR="00741AF0" w:rsidRPr="001444A7" w:rsidRDefault="00D8677A" w:rsidP="00D8677A">
            <w:pPr>
              <w:pStyle w:val="TableLegendNote"/>
            </w:pPr>
            <w:r w:rsidRPr="001444A7">
              <w:t>NOTA</w:t>
            </w:r>
            <w:r>
              <w:t> 2 </w:t>
            </w:r>
            <w:r w:rsidRPr="001444A7">
              <w:t>–</w:t>
            </w:r>
            <w:r>
              <w:t> </w:t>
            </w:r>
            <w:r w:rsidR="00741AF0">
              <w:t>E</w:t>
            </w:r>
            <w:r w:rsidR="00741AF0" w:rsidRPr="001444A7">
              <w:t>l UIT-R considera que sería útil conocer los valores umbral de la interferencia impulsiva a la entrada del receptor (en modo seguimiento y en modo adqu</w:t>
            </w:r>
            <w:r w:rsidR="00741AF0">
              <w:t>isición). Desafortunadamente, aú</w:t>
            </w:r>
            <w:r w:rsidR="00741AF0" w:rsidRPr="001444A7">
              <w:t>n est</w:t>
            </w:r>
            <w:r w:rsidR="00741AF0">
              <w:t>á</w:t>
            </w:r>
            <w:r w:rsidR="00741AF0" w:rsidRPr="001444A7">
              <w:t xml:space="preserve"> por definir la naturaleza de estos valores. Obsérvese que el nivel de potencia, la anchura de impulso el intervalo de repetición de impulsos y el tipo de modulación de los impulsos (por ejemplo, onda continua, fluctuante, gaussiano, etc.) pueden ser parámetros relevantes.</w:t>
            </w:r>
          </w:p>
          <w:p w:rsidR="00741AF0" w:rsidRPr="00BA5116" w:rsidRDefault="00D8677A" w:rsidP="00D8677A">
            <w:pPr>
              <w:pStyle w:val="TableLegendNote"/>
              <w:rPr>
                <w:rFonts w:eastAsia="MS PGothic"/>
              </w:rPr>
            </w:pPr>
            <w:r w:rsidRPr="001444A7">
              <w:t>NOTA</w:t>
            </w:r>
            <w:r>
              <w:t> 3 </w:t>
            </w:r>
            <w:r w:rsidRPr="001444A7">
              <w:t>–</w:t>
            </w:r>
            <w:r>
              <w:t> </w:t>
            </w:r>
            <w:r w:rsidR="00741AF0" w:rsidRPr="001444A7">
              <w:t>En las Recomendaciones citadas, las unidades de los parámetros deben ser las mismas que las del cuadro, a menos que se indique explícitamente otra cosa.</w:t>
            </w:r>
          </w:p>
        </w:tc>
      </w:tr>
    </w:tbl>
    <w:p w:rsidR="0064079F" w:rsidRDefault="0064079F" w:rsidP="0064079F">
      <w:pPr>
        <w:pStyle w:val="Tablefin"/>
      </w:pPr>
    </w:p>
    <w:p w:rsidR="00741AF0" w:rsidRDefault="00741AF0" w:rsidP="00741AF0">
      <w:pPr>
        <w:rPr>
          <w:lang w:val="es-ES_tradnl"/>
        </w:rPr>
      </w:pPr>
    </w:p>
    <w:p w:rsidR="00E34A65" w:rsidRDefault="00E34A65">
      <w:pPr>
        <w:jc w:val="center"/>
      </w:pPr>
      <w:r>
        <w:t>______________</w:t>
      </w:r>
    </w:p>
    <w:sectPr w:rsidR="00E34A65" w:rsidSect="00E34A65">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988" w:rsidRDefault="002A3988">
      <w:r>
        <w:separator/>
      </w:r>
    </w:p>
  </w:endnote>
  <w:endnote w:type="continuationSeparator" w:id="0">
    <w:p w:rsidR="002A3988" w:rsidRDefault="002A3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988" w:rsidRDefault="002A3988">
      <w:r>
        <w:separator/>
      </w:r>
    </w:p>
  </w:footnote>
  <w:footnote w:type="continuationSeparator" w:id="0">
    <w:p w:rsidR="002A3988" w:rsidRDefault="002A39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988" w:rsidRDefault="002A3988">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988" w:rsidRDefault="002A3988" w:rsidP="00022AA4">
    <w:pPr>
      <w:ind w:right="360" w:firstLine="360"/>
    </w:pPr>
    <w:r>
      <w:rPr>
        <w:noProof/>
        <w:lang w:val="en-US" w:eastAsia="zh-CN"/>
      </w:rPr>
      <w:drawing>
        <wp:anchor distT="0" distB="0" distL="114300" distR="114300" simplePos="0" relativeHeight="251659264" behindDoc="1" locked="0" layoutInCell="1" allowOverlap="1" wp14:anchorId="3C766D10" wp14:editId="2642C83E">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988" w:rsidRDefault="002A3988" w:rsidP="00022AA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F6A78">
      <w:rPr>
        <w:rStyle w:val="PageNumber"/>
        <w:b/>
        <w:bCs/>
        <w:noProof/>
      </w:rPr>
      <w:t>ii</w:t>
    </w:r>
    <w:r>
      <w:rPr>
        <w:rStyle w:val="PageNumber"/>
        <w:b/>
        <w:bCs/>
      </w:rPr>
      <w:fldChar w:fldCharType="end"/>
    </w:r>
    <w:r>
      <w:tab/>
    </w:r>
    <w:fldSimple w:instr=" DOCPROPERTY &quot;Header&quot; \* MERGEFORMAT ">
      <w:r w:rsidR="0064079F" w:rsidRPr="0064079F">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0F6A78">
      <w:rPr>
        <w:b/>
        <w:bCs/>
        <w:noProof/>
      </w:rPr>
      <w:t>UIT-R  M.1901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988" w:rsidRDefault="002A3988">
    <w:r>
      <w:tab/>
    </w:r>
    <w:fldSimple w:instr=" DOCPROPERTY &quot;Header&quot; \* MERGEFORMAT ">
      <w:r w:rsidR="0064079F" w:rsidRPr="0064079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4079F">
      <w:rPr>
        <w:b/>
        <w:bCs/>
        <w:noProof/>
      </w:rPr>
      <w:t>UIT-R  M.1901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C25B9">
      <w:rPr>
        <w:rStyle w:val="PageNumber"/>
        <w:b/>
        <w:bCs/>
        <w:noProof/>
      </w:rPr>
      <w:t>v</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988" w:rsidRDefault="002A398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F6A78">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4079F" w:rsidRPr="0064079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F6A78">
      <w:rPr>
        <w:b/>
        <w:bCs/>
        <w:noProof/>
      </w:rPr>
      <w:t>UIT-R  M.1901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988" w:rsidRDefault="002A3988">
    <w:pPr>
      <w:pStyle w:val="Header"/>
    </w:pPr>
    <w:r>
      <w:tab/>
    </w:r>
    <w:fldSimple w:instr=" DOCPROPERTY &quot;Header&quot; \* MERGEFORMAT ">
      <w:r w:rsidR="0064079F" w:rsidRPr="0064079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F6A78">
      <w:rPr>
        <w:b/>
        <w:bCs/>
        <w:noProof/>
      </w:rPr>
      <w:t>UIT-R  M.1901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F6A78">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BD82174"/>
    <w:lvl w:ilvl="0">
      <w:start w:val="1"/>
      <w:numFmt w:val="decimal"/>
      <w:lvlText w:val="%1."/>
      <w:lvlJc w:val="left"/>
      <w:pPr>
        <w:tabs>
          <w:tab w:val="num" w:pos="1492"/>
        </w:tabs>
        <w:ind w:left="1492" w:hanging="360"/>
      </w:pPr>
    </w:lvl>
  </w:abstractNum>
  <w:abstractNum w:abstractNumId="1">
    <w:nsid w:val="FFFFFF7D"/>
    <w:multiLevelType w:val="singleLevel"/>
    <w:tmpl w:val="5FCC90F0"/>
    <w:lvl w:ilvl="0">
      <w:start w:val="1"/>
      <w:numFmt w:val="decimal"/>
      <w:lvlText w:val="%1."/>
      <w:lvlJc w:val="left"/>
      <w:pPr>
        <w:tabs>
          <w:tab w:val="num" w:pos="1209"/>
        </w:tabs>
        <w:ind w:left="1209" w:hanging="360"/>
      </w:pPr>
    </w:lvl>
  </w:abstractNum>
  <w:abstractNum w:abstractNumId="2">
    <w:nsid w:val="FFFFFF7E"/>
    <w:multiLevelType w:val="singleLevel"/>
    <w:tmpl w:val="A5D46698"/>
    <w:lvl w:ilvl="0">
      <w:start w:val="1"/>
      <w:numFmt w:val="decimal"/>
      <w:lvlText w:val="%1."/>
      <w:lvlJc w:val="left"/>
      <w:pPr>
        <w:tabs>
          <w:tab w:val="num" w:pos="926"/>
        </w:tabs>
        <w:ind w:left="926" w:hanging="360"/>
      </w:pPr>
    </w:lvl>
  </w:abstractNum>
  <w:abstractNum w:abstractNumId="3">
    <w:nsid w:val="FFFFFF7F"/>
    <w:multiLevelType w:val="singleLevel"/>
    <w:tmpl w:val="8C0E68AA"/>
    <w:lvl w:ilvl="0">
      <w:start w:val="1"/>
      <w:numFmt w:val="decimal"/>
      <w:lvlText w:val="%1."/>
      <w:lvlJc w:val="left"/>
      <w:pPr>
        <w:tabs>
          <w:tab w:val="num" w:pos="643"/>
        </w:tabs>
        <w:ind w:left="643" w:hanging="360"/>
      </w:pPr>
    </w:lvl>
  </w:abstractNum>
  <w:abstractNum w:abstractNumId="4">
    <w:nsid w:val="FFFFFF80"/>
    <w:multiLevelType w:val="singleLevel"/>
    <w:tmpl w:val="AE7C758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FF235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2321C8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6CC1B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0C04A1C"/>
    <w:lvl w:ilvl="0">
      <w:start w:val="1"/>
      <w:numFmt w:val="decimal"/>
      <w:lvlText w:val="%1."/>
      <w:lvlJc w:val="left"/>
      <w:pPr>
        <w:tabs>
          <w:tab w:val="num" w:pos="360"/>
        </w:tabs>
        <w:ind w:left="360" w:hanging="360"/>
      </w:pPr>
    </w:lvl>
  </w:abstractNum>
  <w:abstractNum w:abstractNumId="9">
    <w:nsid w:val="FFFFFF89"/>
    <w:multiLevelType w:val="singleLevel"/>
    <w:tmpl w:val="D0A6059A"/>
    <w:lvl w:ilvl="0">
      <w:start w:val="1"/>
      <w:numFmt w:val="bullet"/>
      <w:lvlText w:val=""/>
      <w:lvlJc w:val="left"/>
      <w:pPr>
        <w:tabs>
          <w:tab w:val="num" w:pos="360"/>
        </w:tabs>
        <w:ind w:left="360" w:hanging="360"/>
      </w:pPr>
      <w:rPr>
        <w:rFonts w:ascii="Symbol" w:hAnsi="Symbol" w:hint="default"/>
      </w:rPr>
    </w:lvl>
  </w:abstractNum>
  <w:abstractNum w:abstractNumId="10">
    <w:nsid w:val="35AE09F4"/>
    <w:multiLevelType w:val="hybridMultilevel"/>
    <w:tmpl w:val="931296F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5984482"/>
    <w:multiLevelType w:val="hybridMultilevel"/>
    <w:tmpl w:val="FC8C236C"/>
    <w:lvl w:ilvl="0" w:tplc="04090017">
      <w:start w:val="1"/>
      <w:numFmt w:val="lowerLetter"/>
      <w:lvlText w:val="%1)"/>
      <w:lvlJc w:val="left"/>
      <w:pPr>
        <w:tabs>
          <w:tab w:val="num" w:pos="720"/>
        </w:tabs>
        <w:ind w:left="720" w:hanging="360"/>
      </w:pPr>
      <w:rPr>
        <w:rFonts w:hint="default"/>
      </w:rPr>
    </w:lvl>
    <w:lvl w:ilvl="1" w:tplc="3BD614E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A65"/>
    <w:rsid w:val="00022AA4"/>
    <w:rsid w:val="000A3349"/>
    <w:rsid w:val="000E61A1"/>
    <w:rsid w:val="000F6A78"/>
    <w:rsid w:val="0011245A"/>
    <w:rsid w:val="00114C2C"/>
    <w:rsid w:val="001E1BC3"/>
    <w:rsid w:val="00217EBF"/>
    <w:rsid w:val="00242AEE"/>
    <w:rsid w:val="002913E3"/>
    <w:rsid w:val="002A0C8C"/>
    <w:rsid w:val="002A3988"/>
    <w:rsid w:val="002D76C4"/>
    <w:rsid w:val="002E4406"/>
    <w:rsid w:val="0036454F"/>
    <w:rsid w:val="00394D23"/>
    <w:rsid w:val="003D115F"/>
    <w:rsid w:val="00411C44"/>
    <w:rsid w:val="004B57E9"/>
    <w:rsid w:val="004C6F8F"/>
    <w:rsid w:val="004E1CEA"/>
    <w:rsid w:val="004F0A18"/>
    <w:rsid w:val="0052529D"/>
    <w:rsid w:val="00530C2D"/>
    <w:rsid w:val="005361C1"/>
    <w:rsid w:val="005551C3"/>
    <w:rsid w:val="005C5104"/>
    <w:rsid w:val="00607D68"/>
    <w:rsid w:val="00615B76"/>
    <w:rsid w:val="0064079F"/>
    <w:rsid w:val="00660430"/>
    <w:rsid w:val="006A4FC1"/>
    <w:rsid w:val="00717C8A"/>
    <w:rsid w:val="00741AF0"/>
    <w:rsid w:val="007468DA"/>
    <w:rsid w:val="00757D7D"/>
    <w:rsid w:val="007877A0"/>
    <w:rsid w:val="00792113"/>
    <w:rsid w:val="007D6D77"/>
    <w:rsid w:val="007F3E34"/>
    <w:rsid w:val="00851679"/>
    <w:rsid w:val="008968ED"/>
    <w:rsid w:val="008F077F"/>
    <w:rsid w:val="00913F19"/>
    <w:rsid w:val="009B4E75"/>
    <w:rsid w:val="009C25B9"/>
    <w:rsid w:val="009D2E83"/>
    <w:rsid w:val="009E00A8"/>
    <w:rsid w:val="009F64D0"/>
    <w:rsid w:val="00A06E08"/>
    <w:rsid w:val="00A25538"/>
    <w:rsid w:val="00A43745"/>
    <w:rsid w:val="00A46516"/>
    <w:rsid w:val="00A6617B"/>
    <w:rsid w:val="00AB0DC8"/>
    <w:rsid w:val="00AF7520"/>
    <w:rsid w:val="00B11203"/>
    <w:rsid w:val="00B123B1"/>
    <w:rsid w:val="00B258AA"/>
    <w:rsid w:val="00B31FB3"/>
    <w:rsid w:val="00B44E24"/>
    <w:rsid w:val="00B737DE"/>
    <w:rsid w:val="00B868FB"/>
    <w:rsid w:val="00BF46DC"/>
    <w:rsid w:val="00C53CC9"/>
    <w:rsid w:val="00CA79DC"/>
    <w:rsid w:val="00CE20E0"/>
    <w:rsid w:val="00D8677A"/>
    <w:rsid w:val="00DF4176"/>
    <w:rsid w:val="00E17EF1"/>
    <w:rsid w:val="00E34A65"/>
    <w:rsid w:val="00E364EF"/>
    <w:rsid w:val="00E53666"/>
    <w:rsid w:val="00E90376"/>
    <w:rsid w:val="00EA578A"/>
    <w:rsid w:val="00EC3114"/>
    <w:rsid w:val="00F12E1F"/>
    <w:rsid w:val="00F760D8"/>
    <w:rsid w:val="00FA55E2"/>
    <w:rsid w:val="00FB75E8"/>
    <w:rsid w:val="00FC6022"/>
    <w:rsid w:val="00FE76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4A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locked/>
    <w:rsid w:val="000A3349"/>
    <w:rPr>
      <w:sz w:val="24"/>
      <w:lang w:val="fr-FR" w:eastAsia="en-US"/>
    </w:r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link w:val="FootnoteText"/>
    <w:rsid w:val="000A3349"/>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E34A65"/>
    <w:rPr>
      <w:color w:val="0000FF"/>
      <w:u w:val="single"/>
    </w:rPr>
  </w:style>
  <w:style w:type="character" w:customStyle="1" w:styleId="Tabletitle0">
    <w:name w:val="Table_title Знак"/>
    <w:link w:val="Tabletitle"/>
    <w:locked/>
    <w:rsid w:val="00741AF0"/>
    <w:rPr>
      <w:b/>
      <w:sz w:val="24"/>
      <w:lang w:val="fr-FR" w:eastAsia="en-US"/>
    </w:rPr>
  </w:style>
  <w:style w:type="character" w:customStyle="1" w:styleId="enumlev1Char">
    <w:name w:val="enumlev1 Char"/>
    <w:link w:val="enumlev1"/>
    <w:locked/>
    <w:rsid w:val="00741AF0"/>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4A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locked/>
    <w:rsid w:val="000A3349"/>
    <w:rPr>
      <w:sz w:val="24"/>
      <w:lang w:val="fr-FR" w:eastAsia="en-US"/>
    </w:r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link w:val="FootnoteText"/>
    <w:rsid w:val="000A3349"/>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E34A65"/>
    <w:rPr>
      <w:color w:val="0000FF"/>
      <w:u w:val="single"/>
    </w:rPr>
  </w:style>
  <w:style w:type="character" w:customStyle="1" w:styleId="Tabletitle0">
    <w:name w:val="Table_title Знак"/>
    <w:link w:val="Tabletitle"/>
    <w:locked/>
    <w:rsid w:val="00741AF0"/>
    <w:rPr>
      <w:b/>
      <w:sz w:val="24"/>
      <w:lang w:val="fr-FR" w:eastAsia="en-US"/>
    </w:rPr>
  </w:style>
  <w:style w:type="character" w:customStyle="1" w:styleId="enumlev1Char">
    <w:name w:val="enumlev1 Char"/>
    <w:link w:val="enumlev1"/>
    <w:locked/>
    <w:rsid w:val="00741AF0"/>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658D6-FF24-4851-9FDE-BD6D83A09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77</TotalTime>
  <Pages>7</Pages>
  <Words>2564</Words>
  <Characters>13471</Characters>
  <Application>Microsoft Office Word</Application>
  <DocSecurity>0</DocSecurity>
  <Lines>518</Lines>
  <Paragraphs>174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24</cp:revision>
  <cp:lastPrinted>2012-07-10T11:48:00Z</cp:lastPrinted>
  <dcterms:created xsi:type="dcterms:W3CDTF">2012-07-09T14:14:00Z</dcterms:created>
  <dcterms:modified xsi:type="dcterms:W3CDTF">2012-07-10T12:10:00Z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