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CC2A9" w14:textId="77777777" w:rsidR="006C462C" w:rsidRPr="00556692" w:rsidRDefault="006C462C" w:rsidP="00DB4E37"/>
    <w:p w14:paraId="7AE4BAC9" w14:textId="77777777" w:rsidR="006C462C" w:rsidRPr="00556692" w:rsidRDefault="006C462C" w:rsidP="00DB4E37"/>
    <w:p w14:paraId="33DEB8B7" w14:textId="77777777" w:rsidR="006C462C" w:rsidRPr="00556692" w:rsidRDefault="006C462C" w:rsidP="00DB4E37"/>
    <w:p w14:paraId="02611C86" w14:textId="77777777" w:rsidR="006C462C" w:rsidRPr="00556692" w:rsidRDefault="006C462C" w:rsidP="00DB4E37"/>
    <w:p w14:paraId="62900490" w14:textId="77777777" w:rsidR="006C462C" w:rsidRPr="00556692" w:rsidRDefault="006C462C" w:rsidP="00DB4E37"/>
    <w:p w14:paraId="4A0BF7E2" w14:textId="77777777" w:rsidR="006C462C" w:rsidRPr="00556692" w:rsidRDefault="006C462C" w:rsidP="00DB4E37"/>
    <w:p w14:paraId="48317557" w14:textId="77777777" w:rsidR="006C462C" w:rsidRPr="00556692" w:rsidRDefault="006C462C" w:rsidP="00DB4E37"/>
    <w:p w14:paraId="2C6F5516" w14:textId="77777777" w:rsidR="006C462C" w:rsidRPr="00556692" w:rsidRDefault="006C462C" w:rsidP="00DB4E37"/>
    <w:p w14:paraId="461FF599" w14:textId="77777777" w:rsidR="006C462C" w:rsidRPr="00556692" w:rsidRDefault="006C462C" w:rsidP="00DB4E37"/>
    <w:p w14:paraId="531DC8CB" w14:textId="77777777" w:rsidR="006C462C" w:rsidRPr="00556692" w:rsidRDefault="006C462C" w:rsidP="00DB4E37"/>
    <w:p w14:paraId="38AD0843" w14:textId="77777777" w:rsidR="006C462C" w:rsidRPr="00556692" w:rsidRDefault="006C462C" w:rsidP="00DB4E37"/>
    <w:tbl>
      <w:tblPr>
        <w:tblW w:w="10089" w:type="dxa"/>
        <w:tblLook w:val="01E0" w:firstRow="1" w:lastRow="1" w:firstColumn="1" w:lastColumn="1" w:noHBand="0" w:noVBand="0"/>
      </w:tblPr>
      <w:tblGrid>
        <w:gridCol w:w="10089"/>
      </w:tblGrid>
      <w:tr w:rsidR="006C462C" w:rsidRPr="00556692" w14:paraId="3E851F86" w14:textId="77777777" w:rsidTr="00996465">
        <w:tc>
          <w:tcPr>
            <w:tcW w:w="10089" w:type="dxa"/>
          </w:tcPr>
          <w:p w14:paraId="6122B71F" w14:textId="77777777" w:rsidR="006C462C" w:rsidRPr="00556692" w:rsidRDefault="006C462C" w:rsidP="00DB4E37">
            <w:pPr>
              <w:spacing w:before="380"/>
              <w:jc w:val="right"/>
              <w:rPr>
                <w:rFonts w:ascii="Tahoma" w:hAnsi="Tahoma" w:cs="Tahoma"/>
                <w:b/>
                <w:bCs/>
                <w:iCs/>
                <w:color w:val="243285"/>
                <w:sz w:val="32"/>
                <w:szCs w:val="32"/>
              </w:rPr>
            </w:pPr>
          </w:p>
          <w:p w14:paraId="0BD816BA" w14:textId="7991ACD8" w:rsidR="006C462C" w:rsidRPr="00556692" w:rsidRDefault="006C462C" w:rsidP="00DB4E37">
            <w:pPr>
              <w:spacing w:before="380"/>
              <w:jc w:val="right"/>
              <w:rPr>
                <w:rFonts w:ascii="Tahoma" w:hAnsi="Tahoma" w:cs="Tahoma"/>
                <w:b/>
                <w:bCs/>
                <w:iCs/>
                <w:color w:val="243285"/>
                <w:sz w:val="36"/>
                <w:szCs w:val="36"/>
              </w:rPr>
            </w:pPr>
            <w:r w:rsidRPr="00556692">
              <w:rPr>
                <w:rFonts w:ascii="Tahoma" w:hAnsi="Tahoma" w:cs="Tahoma"/>
                <w:b/>
                <w:bCs/>
                <w:iCs/>
                <w:color w:val="243285"/>
                <w:sz w:val="36"/>
                <w:szCs w:val="36"/>
              </w:rPr>
              <w:t>Recommandation  UIT-R  M.1901</w:t>
            </w:r>
            <w:r w:rsidR="00BB7C65" w:rsidRPr="00556692">
              <w:rPr>
                <w:rFonts w:ascii="Tahoma" w:hAnsi="Tahoma" w:cs="Tahoma"/>
                <w:b/>
                <w:bCs/>
                <w:iCs/>
                <w:color w:val="243285"/>
                <w:sz w:val="36"/>
                <w:szCs w:val="36"/>
              </w:rPr>
              <w:t>-</w:t>
            </w:r>
            <w:r w:rsidR="003B49E6" w:rsidRPr="00556692">
              <w:rPr>
                <w:rFonts w:ascii="Tahoma" w:hAnsi="Tahoma" w:cs="Tahoma"/>
                <w:b/>
                <w:bCs/>
                <w:iCs/>
                <w:color w:val="243285"/>
                <w:sz w:val="36"/>
                <w:szCs w:val="36"/>
              </w:rPr>
              <w:t>2</w:t>
            </w:r>
          </w:p>
          <w:p w14:paraId="7BEC97B6" w14:textId="247A249C" w:rsidR="006C462C" w:rsidRPr="00556692" w:rsidRDefault="006C462C" w:rsidP="00DB4E37">
            <w:pPr>
              <w:spacing w:before="80"/>
              <w:jc w:val="right"/>
              <w:rPr>
                <w:rFonts w:ascii="Tahoma" w:hAnsi="Tahoma" w:cs="Tahoma"/>
                <w:b/>
                <w:bCs/>
                <w:iCs/>
                <w:color w:val="243285"/>
                <w:szCs w:val="24"/>
              </w:rPr>
            </w:pPr>
            <w:r w:rsidRPr="00556692">
              <w:rPr>
                <w:rFonts w:ascii="Tahoma" w:hAnsi="Tahoma" w:cs="Tahoma"/>
                <w:b/>
                <w:bCs/>
                <w:iCs/>
                <w:color w:val="243285"/>
                <w:szCs w:val="24"/>
              </w:rPr>
              <w:t>(</w:t>
            </w:r>
            <w:r w:rsidR="003B49E6" w:rsidRPr="00556692">
              <w:rPr>
                <w:rFonts w:ascii="Tahoma" w:hAnsi="Tahoma" w:cs="Tahoma"/>
                <w:b/>
                <w:bCs/>
                <w:iCs/>
                <w:color w:val="243285"/>
                <w:szCs w:val="24"/>
              </w:rPr>
              <w:t>09</w:t>
            </w:r>
            <w:r w:rsidRPr="00556692">
              <w:rPr>
                <w:rFonts w:ascii="Tahoma" w:hAnsi="Tahoma" w:cs="Tahoma"/>
                <w:b/>
                <w:bCs/>
                <w:iCs/>
                <w:color w:val="243285"/>
                <w:szCs w:val="24"/>
              </w:rPr>
              <w:t>/201</w:t>
            </w:r>
            <w:r w:rsidR="003B49E6" w:rsidRPr="00556692">
              <w:rPr>
                <w:rFonts w:ascii="Tahoma" w:hAnsi="Tahoma" w:cs="Tahoma"/>
                <w:b/>
                <w:bCs/>
                <w:iCs/>
                <w:color w:val="243285"/>
                <w:szCs w:val="24"/>
              </w:rPr>
              <w:t>9</w:t>
            </w:r>
            <w:r w:rsidRPr="00556692">
              <w:rPr>
                <w:rFonts w:ascii="Tahoma" w:hAnsi="Tahoma" w:cs="Tahoma"/>
                <w:b/>
                <w:bCs/>
                <w:iCs/>
                <w:color w:val="243285"/>
                <w:szCs w:val="24"/>
              </w:rPr>
              <w:t>)</w:t>
            </w:r>
          </w:p>
        </w:tc>
      </w:tr>
      <w:tr w:rsidR="006C462C" w:rsidRPr="00556692" w14:paraId="22E49FFE" w14:textId="77777777" w:rsidTr="00996465">
        <w:tc>
          <w:tcPr>
            <w:tcW w:w="10089" w:type="dxa"/>
          </w:tcPr>
          <w:p w14:paraId="14171BA5" w14:textId="77777777" w:rsidR="006C462C" w:rsidRPr="00556692" w:rsidRDefault="006C462C" w:rsidP="00DB4E37">
            <w:pPr>
              <w:spacing w:before="80"/>
              <w:jc w:val="right"/>
              <w:rPr>
                <w:rFonts w:ascii="Tahoma" w:hAnsi="Tahoma" w:cs="Tahoma"/>
                <w:b/>
                <w:bCs/>
                <w:iCs/>
                <w:color w:val="243285"/>
                <w:sz w:val="44"/>
                <w:szCs w:val="44"/>
              </w:rPr>
            </w:pPr>
          </w:p>
          <w:p w14:paraId="558C32C0" w14:textId="2E292496" w:rsidR="006C462C" w:rsidRPr="00556692" w:rsidRDefault="006C462C" w:rsidP="00DB4E37">
            <w:pPr>
              <w:spacing w:before="80"/>
              <w:jc w:val="right"/>
              <w:rPr>
                <w:rFonts w:ascii="Tahoma" w:hAnsi="Tahoma" w:cs="Tahoma"/>
                <w:b/>
                <w:bCs/>
                <w:iCs/>
                <w:color w:val="243285"/>
                <w:sz w:val="44"/>
                <w:szCs w:val="44"/>
              </w:rPr>
            </w:pPr>
            <w:r w:rsidRPr="00556692">
              <w:rPr>
                <w:rFonts w:ascii="Tahoma" w:hAnsi="Tahoma" w:cs="Tahoma"/>
                <w:b/>
                <w:bCs/>
                <w:iCs/>
                <w:color w:val="243285"/>
                <w:sz w:val="44"/>
                <w:szCs w:val="44"/>
              </w:rPr>
              <w:t>Orientations générales concernant les Recommandations UIT-R relatives aux</w:t>
            </w:r>
            <w:r w:rsidR="00F77B16">
              <w:rPr>
                <w:rFonts w:ascii="Tahoma" w:hAnsi="Tahoma" w:cs="Tahoma"/>
                <w:b/>
                <w:bCs/>
                <w:iCs/>
                <w:color w:val="243285"/>
                <w:sz w:val="44"/>
                <w:szCs w:val="44"/>
              </w:rPr>
              <w:t xml:space="preserve"> </w:t>
            </w:r>
            <w:r w:rsidRPr="00556692">
              <w:rPr>
                <w:rFonts w:ascii="Tahoma" w:hAnsi="Tahoma" w:cs="Tahoma"/>
                <w:b/>
                <w:bCs/>
                <w:iCs/>
                <w:color w:val="243285"/>
                <w:sz w:val="44"/>
                <w:szCs w:val="44"/>
              </w:rPr>
              <w:t xml:space="preserve">systèmes et réseaux du service de radionavigation par satellite fonctionnant dans les bandes de fréquences </w:t>
            </w:r>
            <w:r w:rsidRPr="00556692">
              <w:rPr>
                <w:rFonts w:ascii="Tahoma" w:hAnsi="Tahoma" w:cs="Tahoma"/>
                <w:b/>
                <w:bCs/>
                <w:iCs/>
                <w:color w:val="243285"/>
                <w:sz w:val="44"/>
                <w:szCs w:val="44"/>
              </w:rPr>
              <w:br/>
              <w:t xml:space="preserve">1 164-1 215 MHz, 1 215-1 300 MHz, </w:t>
            </w:r>
            <w:r w:rsidRPr="00556692">
              <w:rPr>
                <w:rFonts w:ascii="Tahoma" w:hAnsi="Tahoma" w:cs="Tahoma"/>
                <w:b/>
                <w:bCs/>
                <w:iCs/>
                <w:color w:val="243285"/>
                <w:sz w:val="44"/>
                <w:szCs w:val="44"/>
              </w:rPr>
              <w:br/>
              <w:t xml:space="preserve">1 559-1 610 MHz, 5 000-5 010 MHz </w:t>
            </w:r>
            <w:r w:rsidRPr="00556692">
              <w:rPr>
                <w:rFonts w:ascii="Tahoma" w:hAnsi="Tahoma" w:cs="Tahoma"/>
                <w:b/>
                <w:bCs/>
                <w:iCs/>
                <w:color w:val="243285"/>
                <w:sz w:val="44"/>
                <w:szCs w:val="44"/>
              </w:rPr>
              <w:br/>
              <w:t>et 5 010-5 030 MHz</w:t>
            </w:r>
          </w:p>
          <w:p w14:paraId="7E83D739" w14:textId="77777777" w:rsidR="006C462C" w:rsidRPr="00556692" w:rsidRDefault="006C462C" w:rsidP="00DB4E37">
            <w:pPr>
              <w:spacing w:before="80"/>
              <w:jc w:val="right"/>
              <w:rPr>
                <w:rFonts w:ascii="Tahoma" w:hAnsi="Tahoma" w:cs="Tahoma"/>
                <w:b/>
                <w:bCs/>
                <w:iCs/>
                <w:color w:val="243285"/>
                <w:sz w:val="44"/>
                <w:szCs w:val="44"/>
              </w:rPr>
            </w:pPr>
          </w:p>
        </w:tc>
      </w:tr>
      <w:tr w:rsidR="006C462C" w:rsidRPr="00556692" w14:paraId="19BE0AC6" w14:textId="77777777" w:rsidTr="00996465">
        <w:tc>
          <w:tcPr>
            <w:tcW w:w="10089" w:type="dxa"/>
          </w:tcPr>
          <w:p w14:paraId="37DA9789" w14:textId="77777777" w:rsidR="006C462C" w:rsidRPr="00556692" w:rsidRDefault="006C462C" w:rsidP="00DB4E37">
            <w:pPr>
              <w:spacing w:before="80"/>
              <w:ind w:right="640"/>
              <w:rPr>
                <w:rFonts w:ascii="Tahoma" w:hAnsi="Tahoma" w:cs="Tahoma"/>
                <w:b/>
                <w:bCs/>
                <w:iCs/>
                <w:color w:val="243285"/>
                <w:sz w:val="32"/>
                <w:szCs w:val="32"/>
              </w:rPr>
            </w:pPr>
          </w:p>
          <w:p w14:paraId="57F42874" w14:textId="77777777" w:rsidR="006C462C" w:rsidRPr="00556692" w:rsidRDefault="006C462C" w:rsidP="00DB4E37">
            <w:pPr>
              <w:spacing w:before="80" w:after="180"/>
              <w:jc w:val="right"/>
              <w:rPr>
                <w:rFonts w:ascii="Tahoma" w:hAnsi="Tahoma" w:cs="Tahoma"/>
                <w:b/>
                <w:bCs/>
                <w:iCs/>
                <w:color w:val="243285"/>
                <w:sz w:val="36"/>
                <w:szCs w:val="36"/>
              </w:rPr>
            </w:pPr>
            <w:r w:rsidRPr="00556692">
              <w:rPr>
                <w:rFonts w:ascii="Tahoma" w:hAnsi="Tahoma" w:cs="Tahoma"/>
                <w:b/>
                <w:bCs/>
                <w:iCs/>
                <w:color w:val="243285"/>
                <w:sz w:val="36"/>
                <w:szCs w:val="36"/>
              </w:rPr>
              <w:t>Série M</w:t>
            </w:r>
          </w:p>
          <w:p w14:paraId="4CC0C122" w14:textId="77777777" w:rsidR="006C462C" w:rsidRPr="00556692" w:rsidRDefault="006C462C" w:rsidP="00DB4E37">
            <w:pPr>
              <w:spacing w:before="80"/>
              <w:jc w:val="right"/>
              <w:rPr>
                <w:rFonts w:ascii="Tahoma" w:hAnsi="Tahoma" w:cs="Tahoma"/>
                <w:b/>
                <w:bCs/>
                <w:iCs/>
                <w:color w:val="243285"/>
                <w:sz w:val="36"/>
                <w:szCs w:val="36"/>
              </w:rPr>
            </w:pPr>
            <w:r w:rsidRPr="00556692">
              <w:rPr>
                <w:rFonts w:ascii="Tahoma" w:hAnsi="Tahoma" w:cs="Tahoma"/>
                <w:b/>
                <w:bCs/>
                <w:iCs/>
                <w:color w:val="243285"/>
                <w:sz w:val="36"/>
                <w:szCs w:val="36"/>
              </w:rPr>
              <w:t>Services mobile, de radiorepérage et d’amateur</w:t>
            </w:r>
            <w:r w:rsidRPr="00556692">
              <w:rPr>
                <w:rFonts w:ascii="Tahoma" w:hAnsi="Tahoma" w:cs="Tahoma"/>
                <w:b/>
                <w:bCs/>
                <w:iCs/>
                <w:color w:val="243285"/>
                <w:sz w:val="36"/>
                <w:szCs w:val="36"/>
              </w:rPr>
              <w:br/>
              <w:t>y compris les services par satellite associés</w:t>
            </w:r>
          </w:p>
        </w:tc>
      </w:tr>
    </w:tbl>
    <w:p w14:paraId="2AB0041B" w14:textId="77777777" w:rsidR="006C462C" w:rsidRPr="00556692" w:rsidRDefault="006C462C" w:rsidP="00DB4E37">
      <w:pPr>
        <w:spacing w:before="80"/>
        <w:rPr>
          <w:i/>
          <w:sz w:val="22"/>
        </w:rPr>
      </w:pPr>
    </w:p>
    <w:p w14:paraId="3D9A3FCC" w14:textId="77777777" w:rsidR="006C462C" w:rsidRPr="00556692" w:rsidRDefault="006C462C" w:rsidP="00DB4E37">
      <w:pPr>
        <w:spacing w:before="80"/>
        <w:rPr>
          <w:i/>
          <w:sz w:val="22"/>
        </w:rPr>
      </w:pPr>
    </w:p>
    <w:p w14:paraId="618E5398" w14:textId="77777777" w:rsidR="006C462C" w:rsidRPr="00556692" w:rsidRDefault="006C462C" w:rsidP="00DB4E37">
      <w:pPr>
        <w:spacing w:before="80"/>
        <w:rPr>
          <w:i/>
          <w:sz w:val="22"/>
        </w:rPr>
      </w:pPr>
    </w:p>
    <w:p w14:paraId="2C29C9EF" w14:textId="77777777" w:rsidR="006C462C" w:rsidRPr="00556692" w:rsidRDefault="006C462C" w:rsidP="00DB4E37">
      <w:pPr>
        <w:spacing w:before="80"/>
        <w:rPr>
          <w:i/>
          <w:sz w:val="22"/>
        </w:rPr>
      </w:pPr>
    </w:p>
    <w:p w14:paraId="5A3495E3" w14:textId="77777777" w:rsidR="006C462C" w:rsidRPr="00556692" w:rsidRDefault="006C462C" w:rsidP="00DB4E37">
      <w:pPr>
        <w:pStyle w:val="Equation"/>
        <w:tabs>
          <w:tab w:val="clear" w:pos="4820"/>
          <w:tab w:val="clear" w:pos="9639"/>
          <w:tab w:val="left" w:pos="1191"/>
          <w:tab w:val="left" w:pos="1588"/>
          <w:tab w:val="left" w:pos="1985"/>
        </w:tabs>
        <w:rPr>
          <w:rFonts w:ascii="Palatino Linotype" w:hAnsi="Palatino Linotype"/>
        </w:rPr>
        <w:sectPr w:rsidR="006C462C" w:rsidRPr="00556692">
          <w:headerReference w:type="even" r:id="rId7"/>
          <w:headerReference w:type="default" r:id="rId8"/>
          <w:pgSz w:w="11907" w:h="16840" w:code="9"/>
          <w:pgMar w:top="1089" w:right="1089" w:bottom="284" w:left="1089" w:header="567" w:footer="284" w:gutter="0"/>
          <w:pgNumType w:start="1"/>
          <w:cols w:space="720"/>
        </w:sectPr>
      </w:pPr>
    </w:p>
    <w:p w14:paraId="2E670AEB"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556692">
        <w:rPr>
          <w:bCs/>
          <w:sz w:val="24"/>
          <w:szCs w:val="24"/>
        </w:rPr>
        <w:lastRenderedPageBreak/>
        <w:t>Avant-propos</w:t>
      </w:r>
    </w:p>
    <w:p w14:paraId="421AB0F6" w14:textId="77777777" w:rsidR="006C462C" w:rsidRPr="00556692" w:rsidRDefault="006C462C" w:rsidP="00DB4E37">
      <w:pPr>
        <w:spacing w:before="240"/>
        <w:rPr>
          <w:sz w:val="20"/>
        </w:rPr>
      </w:pPr>
      <w:r w:rsidRPr="00556692">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503B42C" w14:textId="77777777" w:rsidR="006C462C" w:rsidRPr="00556692" w:rsidRDefault="006C462C" w:rsidP="00DB4E37">
      <w:pPr>
        <w:rPr>
          <w:sz w:val="20"/>
        </w:rPr>
      </w:pPr>
      <w:r w:rsidRPr="00556692">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A23B78D" w14:textId="77777777" w:rsidR="006C462C" w:rsidRPr="00556692" w:rsidRDefault="006C462C" w:rsidP="00DB4E37">
      <w:pPr>
        <w:pStyle w:val="Heading1"/>
        <w:spacing w:before="360"/>
        <w:jc w:val="center"/>
        <w:rPr>
          <w:szCs w:val="24"/>
        </w:rPr>
      </w:pPr>
      <w:r w:rsidRPr="00556692">
        <w:rPr>
          <w:szCs w:val="24"/>
        </w:rPr>
        <w:t>Politique en matière de droits de propriété intellectuelle (IPR)</w:t>
      </w:r>
    </w:p>
    <w:p w14:paraId="57458592" w14:textId="2B327537" w:rsidR="006C462C" w:rsidRPr="00556692" w:rsidRDefault="006C462C" w:rsidP="00DB4E37">
      <w:pPr>
        <w:spacing w:before="240"/>
        <w:rPr>
          <w:sz w:val="20"/>
        </w:rPr>
      </w:pPr>
      <w:r w:rsidRPr="00556692">
        <w:rPr>
          <w:sz w:val="20"/>
        </w:rPr>
        <w:t>La politique de l'UIT</w:t>
      </w:r>
      <w:r w:rsidRPr="00556692">
        <w:rPr>
          <w:sz w:val="20"/>
        </w:rPr>
        <w:noBreakHyphen/>
        <w:t>R en matière de droits de propriété intellectuelle est décrite dans la «Politique commune de l'UIT</w:t>
      </w:r>
      <w:r w:rsidRPr="00556692">
        <w:rPr>
          <w:sz w:val="20"/>
        </w:rPr>
        <w:noBreakHyphen/>
        <w:t>T, l'UIT</w:t>
      </w:r>
      <w:r w:rsidRPr="00556692">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556692">
          <w:rPr>
            <w:rStyle w:val="Hyperlink"/>
            <w:sz w:val="20"/>
          </w:rPr>
          <w:t>http://www.itu.int/ITU-R/go/patents/fr</w:t>
        </w:r>
      </w:hyperlink>
      <w:r w:rsidRPr="00556692">
        <w:rPr>
          <w:sz w:val="20"/>
        </w:rPr>
        <w:t xml:space="preserve">, où l'on trouvera également les Lignes directrices pour la mise en </w:t>
      </w:r>
      <w:r w:rsidR="00556692" w:rsidRPr="00556692">
        <w:rPr>
          <w:sz w:val="20"/>
        </w:rPr>
        <w:t>œuvre</w:t>
      </w:r>
      <w:r w:rsidRPr="00556692">
        <w:rPr>
          <w:sz w:val="20"/>
        </w:rPr>
        <w:t xml:space="preserve"> de la politique commune en matière de brevets de l'UIT</w:t>
      </w:r>
      <w:r w:rsidRPr="00556692">
        <w:rPr>
          <w:sz w:val="20"/>
        </w:rPr>
        <w:noBreakHyphen/>
        <w:t>T, l'UIT</w:t>
      </w:r>
      <w:r w:rsidRPr="00556692">
        <w:rPr>
          <w:sz w:val="20"/>
        </w:rPr>
        <w:noBreakHyphen/>
        <w:t>R, l'ISO et la CEI</w:t>
      </w:r>
      <w:r w:rsidRPr="00556692" w:rsidDel="0061025C">
        <w:rPr>
          <w:sz w:val="20"/>
        </w:rPr>
        <w:t xml:space="preserve"> </w:t>
      </w:r>
      <w:r w:rsidRPr="00556692">
        <w:rPr>
          <w:sz w:val="20"/>
        </w:rPr>
        <w:t>et la base de données en matière de brevets de l'UIT-R.</w:t>
      </w:r>
    </w:p>
    <w:p w14:paraId="21221AB7" w14:textId="77777777" w:rsidR="006C462C" w:rsidRPr="00556692" w:rsidRDefault="006C462C" w:rsidP="00DB4E3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462C" w:rsidRPr="00556692" w14:paraId="78984724" w14:textId="77777777" w:rsidTr="00996465">
        <w:tc>
          <w:tcPr>
            <w:tcW w:w="9360" w:type="dxa"/>
            <w:gridSpan w:val="2"/>
          </w:tcPr>
          <w:p w14:paraId="3467AECE" w14:textId="77777777" w:rsidR="006C462C" w:rsidRPr="00556692" w:rsidRDefault="006C462C" w:rsidP="00DB4E37">
            <w:pPr>
              <w:pStyle w:val="Chaptitle"/>
              <w:keepLines w:val="0"/>
              <w:tabs>
                <w:tab w:val="clear" w:pos="794"/>
                <w:tab w:val="clear" w:pos="1191"/>
                <w:tab w:val="clear" w:pos="1588"/>
                <w:tab w:val="clear" w:pos="1985"/>
              </w:tabs>
              <w:overflowPunct/>
              <w:spacing w:before="140"/>
              <w:textAlignment w:val="auto"/>
              <w:rPr>
                <w:sz w:val="22"/>
                <w:szCs w:val="22"/>
              </w:rPr>
            </w:pPr>
            <w:r w:rsidRPr="00556692">
              <w:rPr>
                <w:sz w:val="22"/>
                <w:szCs w:val="22"/>
              </w:rPr>
              <w:t xml:space="preserve">Séries des Recommandations UIT-R </w:t>
            </w:r>
          </w:p>
          <w:p w14:paraId="08A9E3E4" w14:textId="76A00021"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56692">
              <w:rPr>
                <w:b w:val="0"/>
                <w:sz w:val="18"/>
                <w:szCs w:val="18"/>
              </w:rPr>
              <w:t>(</w:t>
            </w:r>
            <w:r w:rsidR="00556692" w:rsidRPr="00556692">
              <w:rPr>
                <w:b w:val="0"/>
                <w:sz w:val="18"/>
                <w:szCs w:val="18"/>
              </w:rPr>
              <w:t>Également</w:t>
            </w:r>
            <w:r w:rsidRPr="00556692">
              <w:rPr>
                <w:b w:val="0"/>
                <w:sz w:val="18"/>
                <w:szCs w:val="18"/>
              </w:rPr>
              <w:t xml:space="preserve"> disponible en ligne: </w:t>
            </w:r>
            <w:hyperlink r:id="rId10" w:history="1">
              <w:r w:rsidRPr="00556692">
                <w:rPr>
                  <w:rStyle w:val="Hyperlink"/>
                  <w:b w:val="0"/>
                  <w:bCs/>
                  <w:sz w:val="18"/>
                  <w:szCs w:val="18"/>
                </w:rPr>
                <w:t>http://www.itu.int/publ/R-REC/fr</w:t>
              </w:r>
            </w:hyperlink>
            <w:r w:rsidRPr="00556692">
              <w:rPr>
                <w:b w:val="0"/>
                <w:bCs/>
                <w:sz w:val="18"/>
                <w:szCs w:val="18"/>
              </w:rPr>
              <w:t>)</w:t>
            </w:r>
          </w:p>
        </w:tc>
      </w:tr>
      <w:tr w:rsidR="006C462C" w:rsidRPr="00556692" w14:paraId="3BC17FAC" w14:textId="77777777" w:rsidTr="00996465">
        <w:tc>
          <w:tcPr>
            <w:tcW w:w="1140" w:type="dxa"/>
          </w:tcPr>
          <w:p w14:paraId="04EE1B74" w14:textId="77777777" w:rsidR="006C462C" w:rsidRPr="00556692" w:rsidRDefault="006C462C" w:rsidP="00DB4E37">
            <w:pPr>
              <w:spacing w:before="90" w:after="100"/>
              <w:ind w:left="57"/>
              <w:rPr>
                <w:b/>
                <w:bCs/>
                <w:sz w:val="20"/>
              </w:rPr>
            </w:pPr>
            <w:r w:rsidRPr="00556692">
              <w:rPr>
                <w:b/>
                <w:bCs/>
                <w:sz w:val="20"/>
              </w:rPr>
              <w:t>Séries</w:t>
            </w:r>
          </w:p>
        </w:tc>
        <w:tc>
          <w:tcPr>
            <w:tcW w:w="8220" w:type="dxa"/>
          </w:tcPr>
          <w:p w14:paraId="3D9FEFDB"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56692">
              <w:rPr>
                <w:bCs/>
                <w:sz w:val="20"/>
              </w:rPr>
              <w:t>Titre</w:t>
            </w:r>
          </w:p>
        </w:tc>
      </w:tr>
      <w:tr w:rsidR="006C462C" w:rsidRPr="00556692" w14:paraId="59D7B70A" w14:textId="77777777" w:rsidTr="00996465">
        <w:tc>
          <w:tcPr>
            <w:tcW w:w="1140" w:type="dxa"/>
          </w:tcPr>
          <w:p w14:paraId="094BBE88" w14:textId="77777777" w:rsidR="006C462C" w:rsidRPr="00556692" w:rsidRDefault="006C462C" w:rsidP="00DB4E37">
            <w:pPr>
              <w:spacing w:before="30" w:after="30"/>
              <w:ind w:left="57"/>
              <w:jc w:val="left"/>
              <w:rPr>
                <w:b/>
                <w:bCs/>
                <w:sz w:val="20"/>
              </w:rPr>
            </w:pPr>
            <w:r w:rsidRPr="00556692">
              <w:rPr>
                <w:b/>
                <w:bCs/>
                <w:sz w:val="20"/>
              </w:rPr>
              <w:t>BO</w:t>
            </w:r>
          </w:p>
        </w:tc>
        <w:tc>
          <w:tcPr>
            <w:tcW w:w="8220" w:type="dxa"/>
          </w:tcPr>
          <w:p w14:paraId="39D9211A"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6692">
              <w:rPr>
                <w:b w:val="0"/>
                <w:bCs/>
                <w:sz w:val="20"/>
              </w:rPr>
              <w:t>Diffusion par satellite</w:t>
            </w:r>
          </w:p>
        </w:tc>
      </w:tr>
      <w:tr w:rsidR="006C462C" w:rsidRPr="00556692" w14:paraId="57CA02D5" w14:textId="77777777" w:rsidTr="00996465">
        <w:tc>
          <w:tcPr>
            <w:tcW w:w="1140" w:type="dxa"/>
          </w:tcPr>
          <w:p w14:paraId="4395D73F" w14:textId="77777777" w:rsidR="006C462C" w:rsidRPr="00556692" w:rsidRDefault="006C462C" w:rsidP="00DB4E37">
            <w:pPr>
              <w:spacing w:before="30" w:after="30"/>
              <w:ind w:left="57"/>
              <w:jc w:val="left"/>
              <w:rPr>
                <w:b/>
                <w:bCs/>
                <w:sz w:val="20"/>
              </w:rPr>
            </w:pPr>
            <w:r w:rsidRPr="00556692">
              <w:rPr>
                <w:b/>
                <w:bCs/>
                <w:sz w:val="20"/>
              </w:rPr>
              <w:t>BR</w:t>
            </w:r>
          </w:p>
        </w:tc>
        <w:tc>
          <w:tcPr>
            <w:tcW w:w="8220" w:type="dxa"/>
          </w:tcPr>
          <w:p w14:paraId="666F52D7"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6692">
              <w:rPr>
                <w:b w:val="0"/>
                <w:bCs/>
                <w:sz w:val="20"/>
              </w:rPr>
              <w:t>Enregistrement pour la production, l'archivage et la diffusion; films pour la télévision</w:t>
            </w:r>
          </w:p>
        </w:tc>
      </w:tr>
      <w:tr w:rsidR="006C462C" w:rsidRPr="00556692" w14:paraId="11203091" w14:textId="77777777" w:rsidTr="00996465">
        <w:tc>
          <w:tcPr>
            <w:tcW w:w="1140" w:type="dxa"/>
          </w:tcPr>
          <w:p w14:paraId="7BDB8176" w14:textId="77777777" w:rsidR="006C462C" w:rsidRPr="00556692" w:rsidRDefault="006C462C" w:rsidP="00DB4E37">
            <w:pPr>
              <w:spacing w:before="30" w:after="30"/>
              <w:ind w:left="57"/>
              <w:jc w:val="left"/>
              <w:rPr>
                <w:b/>
                <w:bCs/>
                <w:sz w:val="20"/>
              </w:rPr>
            </w:pPr>
            <w:r w:rsidRPr="00556692">
              <w:rPr>
                <w:b/>
                <w:bCs/>
                <w:sz w:val="20"/>
              </w:rPr>
              <w:t>BS</w:t>
            </w:r>
          </w:p>
        </w:tc>
        <w:tc>
          <w:tcPr>
            <w:tcW w:w="8220" w:type="dxa"/>
          </w:tcPr>
          <w:p w14:paraId="2F029523"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6692">
              <w:rPr>
                <w:b w:val="0"/>
                <w:bCs/>
                <w:sz w:val="20"/>
              </w:rPr>
              <w:t>Service de radiodiffusion sonore</w:t>
            </w:r>
          </w:p>
        </w:tc>
      </w:tr>
      <w:tr w:rsidR="006C462C" w:rsidRPr="00556692" w14:paraId="6509B30A" w14:textId="77777777" w:rsidTr="00996465">
        <w:tc>
          <w:tcPr>
            <w:tcW w:w="1140" w:type="dxa"/>
            <w:shd w:val="clear" w:color="auto" w:fill="auto"/>
          </w:tcPr>
          <w:p w14:paraId="1AF3DDC8" w14:textId="77777777" w:rsidR="006C462C" w:rsidRPr="00556692" w:rsidRDefault="006C462C" w:rsidP="00DB4E37">
            <w:pPr>
              <w:spacing w:before="30" w:after="30"/>
              <w:ind w:left="57"/>
              <w:jc w:val="left"/>
              <w:rPr>
                <w:b/>
                <w:bCs/>
                <w:sz w:val="20"/>
              </w:rPr>
            </w:pPr>
            <w:r w:rsidRPr="00556692">
              <w:rPr>
                <w:b/>
                <w:bCs/>
                <w:sz w:val="20"/>
              </w:rPr>
              <w:t>BT</w:t>
            </w:r>
          </w:p>
        </w:tc>
        <w:tc>
          <w:tcPr>
            <w:tcW w:w="8220" w:type="dxa"/>
            <w:shd w:val="clear" w:color="auto" w:fill="auto"/>
          </w:tcPr>
          <w:p w14:paraId="188FF07D"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6692">
              <w:rPr>
                <w:b w:val="0"/>
                <w:bCs/>
                <w:sz w:val="20"/>
              </w:rPr>
              <w:t>Service de radiodiffusion télévisuelle</w:t>
            </w:r>
          </w:p>
        </w:tc>
      </w:tr>
      <w:tr w:rsidR="006C462C" w:rsidRPr="00556692" w14:paraId="63C7F493" w14:textId="77777777" w:rsidTr="00996465">
        <w:tc>
          <w:tcPr>
            <w:tcW w:w="1140" w:type="dxa"/>
            <w:shd w:val="clear" w:color="auto" w:fill="auto"/>
          </w:tcPr>
          <w:p w14:paraId="40267959" w14:textId="77777777" w:rsidR="006C462C" w:rsidRPr="00556692" w:rsidRDefault="006C462C" w:rsidP="00DB4E37">
            <w:pPr>
              <w:spacing w:before="30" w:after="30"/>
              <w:ind w:left="57"/>
              <w:jc w:val="left"/>
              <w:rPr>
                <w:b/>
                <w:bCs/>
                <w:sz w:val="20"/>
              </w:rPr>
            </w:pPr>
            <w:r w:rsidRPr="00556692">
              <w:rPr>
                <w:b/>
                <w:bCs/>
                <w:sz w:val="20"/>
              </w:rPr>
              <w:t>F</w:t>
            </w:r>
          </w:p>
        </w:tc>
        <w:tc>
          <w:tcPr>
            <w:tcW w:w="8220" w:type="dxa"/>
            <w:shd w:val="clear" w:color="auto" w:fill="auto"/>
          </w:tcPr>
          <w:p w14:paraId="1F0A28B2" w14:textId="77777777" w:rsidR="006C462C" w:rsidRPr="00556692" w:rsidRDefault="006C462C" w:rsidP="00DB4E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692">
              <w:rPr>
                <w:sz w:val="20"/>
              </w:rPr>
              <w:t>Service fixe</w:t>
            </w:r>
          </w:p>
        </w:tc>
      </w:tr>
      <w:tr w:rsidR="006C462C" w:rsidRPr="00556692" w14:paraId="1F98E5F7" w14:textId="77777777" w:rsidTr="00996465">
        <w:tc>
          <w:tcPr>
            <w:tcW w:w="1140" w:type="dxa"/>
            <w:shd w:val="clear" w:color="auto" w:fill="F3F3F3"/>
          </w:tcPr>
          <w:p w14:paraId="08FEA949" w14:textId="77777777" w:rsidR="006C462C" w:rsidRPr="00556692" w:rsidRDefault="006C462C" w:rsidP="00DB4E37">
            <w:pPr>
              <w:spacing w:before="30" w:after="30"/>
              <w:ind w:left="57"/>
              <w:jc w:val="left"/>
              <w:rPr>
                <w:b/>
                <w:bCs/>
                <w:color w:val="000080"/>
                <w:sz w:val="20"/>
              </w:rPr>
            </w:pPr>
            <w:r w:rsidRPr="00556692">
              <w:rPr>
                <w:b/>
                <w:bCs/>
                <w:color w:val="000080"/>
                <w:sz w:val="20"/>
              </w:rPr>
              <w:t>M</w:t>
            </w:r>
          </w:p>
        </w:tc>
        <w:tc>
          <w:tcPr>
            <w:tcW w:w="8220" w:type="dxa"/>
            <w:shd w:val="clear" w:color="auto" w:fill="F3F3F3"/>
          </w:tcPr>
          <w:p w14:paraId="2CB10EFE" w14:textId="77777777" w:rsidR="006C462C" w:rsidRPr="00556692" w:rsidRDefault="006C462C" w:rsidP="00DB4E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56692">
              <w:rPr>
                <w:bCs/>
                <w:color w:val="000080"/>
                <w:sz w:val="20"/>
              </w:rPr>
              <w:t>Services mobile, de radiorepérage et d'amateur y compris les services par satellite associés</w:t>
            </w:r>
          </w:p>
        </w:tc>
      </w:tr>
      <w:tr w:rsidR="006C462C" w:rsidRPr="00556692" w14:paraId="711E8D66" w14:textId="77777777" w:rsidTr="00996465">
        <w:tc>
          <w:tcPr>
            <w:tcW w:w="1140" w:type="dxa"/>
          </w:tcPr>
          <w:p w14:paraId="47BAF757" w14:textId="77777777" w:rsidR="006C462C" w:rsidRPr="00556692" w:rsidRDefault="006C462C" w:rsidP="00DB4E37">
            <w:pPr>
              <w:spacing w:before="30" w:after="30"/>
              <w:ind w:left="57"/>
              <w:jc w:val="left"/>
              <w:rPr>
                <w:b/>
                <w:bCs/>
                <w:sz w:val="20"/>
              </w:rPr>
            </w:pPr>
            <w:r w:rsidRPr="00556692">
              <w:rPr>
                <w:b/>
                <w:bCs/>
                <w:sz w:val="20"/>
              </w:rPr>
              <w:t>P</w:t>
            </w:r>
          </w:p>
        </w:tc>
        <w:tc>
          <w:tcPr>
            <w:tcW w:w="8220" w:type="dxa"/>
          </w:tcPr>
          <w:p w14:paraId="6AAFB0CD" w14:textId="77777777" w:rsidR="006C462C" w:rsidRPr="00556692" w:rsidRDefault="006C462C" w:rsidP="00DB4E37">
            <w:pPr>
              <w:spacing w:before="30" w:after="30"/>
              <w:jc w:val="left"/>
              <w:rPr>
                <w:sz w:val="20"/>
              </w:rPr>
            </w:pPr>
            <w:r w:rsidRPr="00556692">
              <w:rPr>
                <w:sz w:val="20"/>
              </w:rPr>
              <w:t>Propagation des ondes radioélectriques</w:t>
            </w:r>
          </w:p>
        </w:tc>
      </w:tr>
      <w:tr w:rsidR="006C462C" w:rsidRPr="00556692" w14:paraId="71A864E9" w14:textId="77777777" w:rsidTr="00996465">
        <w:tc>
          <w:tcPr>
            <w:tcW w:w="1140" w:type="dxa"/>
          </w:tcPr>
          <w:p w14:paraId="3C237598" w14:textId="77777777" w:rsidR="006C462C" w:rsidRPr="00556692" w:rsidRDefault="006C462C" w:rsidP="00DB4E37">
            <w:pPr>
              <w:spacing w:before="30" w:after="30"/>
              <w:ind w:left="57"/>
              <w:jc w:val="left"/>
              <w:rPr>
                <w:b/>
                <w:bCs/>
                <w:sz w:val="20"/>
              </w:rPr>
            </w:pPr>
            <w:r w:rsidRPr="00556692">
              <w:rPr>
                <w:b/>
                <w:bCs/>
                <w:sz w:val="20"/>
              </w:rPr>
              <w:t>RA</w:t>
            </w:r>
          </w:p>
        </w:tc>
        <w:tc>
          <w:tcPr>
            <w:tcW w:w="8220" w:type="dxa"/>
          </w:tcPr>
          <w:p w14:paraId="376325A8" w14:textId="77777777" w:rsidR="006C462C" w:rsidRPr="00556692" w:rsidRDefault="006C462C" w:rsidP="00DB4E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692">
              <w:rPr>
                <w:sz w:val="20"/>
              </w:rPr>
              <w:t>Radio astronomie</w:t>
            </w:r>
          </w:p>
        </w:tc>
      </w:tr>
      <w:tr w:rsidR="006C462C" w:rsidRPr="00556692" w14:paraId="2A826787" w14:textId="77777777" w:rsidTr="00996465">
        <w:tc>
          <w:tcPr>
            <w:tcW w:w="1140" w:type="dxa"/>
          </w:tcPr>
          <w:p w14:paraId="64343867" w14:textId="77777777" w:rsidR="006C462C" w:rsidRPr="00556692" w:rsidRDefault="006C462C" w:rsidP="00DB4E37">
            <w:pPr>
              <w:spacing w:before="30" w:after="30"/>
              <w:ind w:left="57"/>
              <w:jc w:val="left"/>
              <w:rPr>
                <w:b/>
                <w:bCs/>
                <w:sz w:val="20"/>
              </w:rPr>
            </w:pPr>
            <w:r w:rsidRPr="00556692">
              <w:rPr>
                <w:b/>
                <w:bCs/>
                <w:sz w:val="20"/>
              </w:rPr>
              <w:t>RS</w:t>
            </w:r>
          </w:p>
        </w:tc>
        <w:tc>
          <w:tcPr>
            <w:tcW w:w="8220" w:type="dxa"/>
          </w:tcPr>
          <w:p w14:paraId="4264A7B3" w14:textId="77777777" w:rsidR="006C462C" w:rsidRPr="00556692" w:rsidRDefault="006C462C" w:rsidP="00DB4E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692">
              <w:rPr>
                <w:sz w:val="20"/>
              </w:rPr>
              <w:t>Systèmes de télédétection</w:t>
            </w:r>
          </w:p>
        </w:tc>
      </w:tr>
      <w:tr w:rsidR="006C462C" w:rsidRPr="00556692" w14:paraId="04A5DD51" w14:textId="77777777" w:rsidTr="00996465">
        <w:tc>
          <w:tcPr>
            <w:tcW w:w="1140" w:type="dxa"/>
          </w:tcPr>
          <w:p w14:paraId="67CA764A" w14:textId="77777777" w:rsidR="006C462C" w:rsidRPr="00556692" w:rsidRDefault="006C462C" w:rsidP="00DB4E37">
            <w:pPr>
              <w:spacing w:before="30" w:after="30"/>
              <w:ind w:left="57"/>
              <w:jc w:val="left"/>
              <w:rPr>
                <w:b/>
                <w:bCs/>
                <w:sz w:val="20"/>
              </w:rPr>
            </w:pPr>
            <w:r w:rsidRPr="00556692">
              <w:rPr>
                <w:b/>
                <w:bCs/>
                <w:sz w:val="20"/>
              </w:rPr>
              <w:t>S</w:t>
            </w:r>
          </w:p>
        </w:tc>
        <w:tc>
          <w:tcPr>
            <w:tcW w:w="8220" w:type="dxa"/>
          </w:tcPr>
          <w:p w14:paraId="5D28E353" w14:textId="77777777" w:rsidR="006C462C" w:rsidRPr="00556692" w:rsidRDefault="006C462C" w:rsidP="00DB4E37">
            <w:pPr>
              <w:spacing w:before="30" w:after="30"/>
              <w:jc w:val="left"/>
              <w:rPr>
                <w:sz w:val="20"/>
              </w:rPr>
            </w:pPr>
            <w:r w:rsidRPr="00556692">
              <w:rPr>
                <w:sz w:val="20"/>
              </w:rPr>
              <w:t>Service fixe par satellite</w:t>
            </w:r>
          </w:p>
        </w:tc>
      </w:tr>
      <w:tr w:rsidR="006C462C" w:rsidRPr="00556692" w14:paraId="4438DD35" w14:textId="77777777" w:rsidTr="00996465">
        <w:tc>
          <w:tcPr>
            <w:tcW w:w="1140" w:type="dxa"/>
          </w:tcPr>
          <w:p w14:paraId="6A28310F" w14:textId="77777777" w:rsidR="006C462C" w:rsidRPr="00556692" w:rsidRDefault="006C462C" w:rsidP="00DB4E37">
            <w:pPr>
              <w:spacing w:before="30" w:after="30"/>
              <w:ind w:left="57"/>
              <w:jc w:val="left"/>
              <w:rPr>
                <w:b/>
                <w:bCs/>
                <w:sz w:val="20"/>
              </w:rPr>
            </w:pPr>
            <w:r w:rsidRPr="00556692">
              <w:rPr>
                <w:b/>
                <w:bCs/>
                <w:sz w:val="20"/>
              </w:rPr>
              <w:t>SA</w:t>
            </w:r>
          </w:p>
        </w:tc>
        <w:tc>
          <w:tcPr>
            <w:tcW w:w="8220" w:type="dxa"/>
          </w:tcPr>
          <w:p w14:paraId="22EEF4FA" w14:textId="77777777" w:rsidR="006C462C" w:rsidRPr="00556692" w:rsidRDefault="006C462C" w:rsidP="00DB4E37">
            <w:pPr>
              <w:spacing w:before="30" w:after="30"/>
              <w:jc w:val="left"/>
              <w:rPr>
                <w:sz w:val="20"/>
              </w:rPr>
            </w:pPr>
            <w:r w:rsidRPr="00556692">
              <w:rPr>
                <w:sz w:val="20"/>
              </w:rPr>
              <w:t>Applications spatiales et météorologie</w:t>
            </w:r>
          </w:p>
        </w:tc>
      </w:tr>
      <w:tr w:rsidR="006C462C" w:rsidRPr="00556692" w14:paraId="356AFB70" w14:textId="77777777" w:rsidTr="00996465">
        <w:tc>
          <w:tcPr>
            <w:tcW w:w="1140" w:type="dxa"/>
          </w:tcPr>
          <w:p w14:paraId="548B118B" w14:textId="77777777" w:rsidR="006C462C" w:rsidRPr="00556692" w:rsidRDefault="006C462C" w:rsidP="00DB4E37">
            <w:pPr>
              <w:spacing w:before="30" w:after="30"/>
              <w:ind w:left="57"/>
              <w:jc w:val="left"/>
              <w:rPr>
                <w:b/>
                <w:bCs/>
                <w:sz w:val="20"/>
              </w:rPr>
            </w:pPr>
            <w:r w:rsidRPr="00556692">
              <w:rPr>
                <w:b/>
                <w:bCs/>
                <w:sz w:val="20"/>
              </w:rPr>
              <w:t>SF</w:t>
            </w:r>
          </w:p>
        </w:tc>
        <w:tc>
          <w:tcPr>
            <w:tcW w:w="8220" w:type="dxa"/>
          </w:tcPr>
          <w:p w14:paraId="762CF2C9" w14:textId="77777777" w:rsidR="006C462C" w:rsidRPr="00556692" w:rsidRDefault="006C462C" w:rsidP="00DB4E37">
            <w:pPr>
              <w:spacing w:before="30" w:after="30"/>
              <w:jc w:val="left"/>
              <w:rPr>
                <w:sz w:val="20"/>
              </w:rPr>
            </w:pPr>
            <w:r w:rsidRPr="00556692">
              <w:rPr>
                <w:sz w:val="20"/>
              </w:rPr>
              <w:t>Partage des fréquences et coordination entre les systèmes du service fixe par satellite et du service fixe</w:t>
            </w:r>
          </w:p>
        </w:tc>
      </w:tr>
      <w:tr w:rsidR="006C462C" w:rsidRPr="00556692" w14:paraId="55E0B64B" w14:textId="77777777" w:rsidTr="00996465">
        <w:tc>
          <w:tcPr>
            <w:tcW w:w="1140" w:type="dxa"/>
            <w:shd w:val="clear" w:color="auto" w:fill="auto"/>
          </w:tcPr>
          <w:p w14:paraId="643CB93F" w14:textId="77777777" w:rsidR="006C462C" w:rsidRPr="00556692" w:rsidRDefault="006C462C" w:rsidP="00DB4E37">
            <w:pPr>
              <w:spacing w:before="30" w:after="30"/>
              <w:ind w:left="57"/>
              <w:jc w:val="left"/>
              <w:rPr>
                <w:b/>
                <w:bCs/>
                <w:sz w:val="20"/>
              </w:rPr>
            </w:pPr>
            <w:r w:rsidRPr="00556692">
              <w:rPr>
                <w:b/>
                <w:bCs/>
                <w:sz w:val="20"/>
              </w:rPr>
              <w:t>SM</w:t>
            </w:r>
          </w:p>
        </w:tc>
        <w:tc>
          <w:tcPr>
            <w:tcW w:w="8220" w:type="dxa"/>
            <w:shd w:val="clear" w:color="auto" w:fill="auto"/>
          </w:tcPr>
          <w:p w14:paraId="089BA39F" w14:textId="77777777" w:rsidR="006C462C" w:rsidRPr="00556692" w:rsidRDefault="006C462C" w:rsidP="00DB4E37">
            <w:pPr>
              <w:spacing w:before="30" w:after="30"/>
              <w:jc w:val="left"/>
              <w:rPr>
                <w:sz w:val="20"/>
              </w:rPr>
            </w:pPr>
            <w:r w:rsidRPr="00556692">
              <w:rPr>
                <w:sz w:val="20"/>
              </w:rPr>
              <w:t>Gestion du spectre</w:t>
            </w:r>
          </w:p>
        </w:tc>
      </w:tr>
      <w:tr w:rsidR="006C462C" w:rsidRPr="00556692" w14:paraId="62DE654C" w14:textId="77777777" w:rsidTr="00996465">
        <w:tc>
          <w:tcPr>
            <w:tcW w:w="1140" w:type="dxa"/>
          </w:tcPr>
          <w:p w14:paraId="28BE498B" w14:textId="77777777" w:rsidR="006C462C" w:rsidRPr="00556692" w:rsidRDefault="006C462C" w:rsidP="00DB4E37">
            <w:pPr>
              <w:spacing w:before="30" w:after="30"/>
              <w:ind w:left="57"/>
              <w:jc w:val="left"/>
              <w:rPr>
                <w:b/>
                <w:bCs/>
                <w:sz w:val="20"/>
              </w:rPr>
            </w:pPr>
            <w:r w:rsidRPr="00556692">
              <w:rPr>
                <w:b/>
                <w:bCs/>
                <w:sz w:val="20"/>
              </w:rPr>
              <w:t>SNG</w:t>
            </w:r>
          </w:p>
        </w:tc>
        <w:tc>
          <w:tcPr>
            <w:tcW w:w="8220" w:type="dxa"/>
          </w:tcPr>
          <w:p w14:paraId="27181B5C" w14:textId="77777777" w:rsidR="006C462C" w:rsidRPr="00556692" w:rsidRDefault="006C462C" w:rsidP="00DB4E37">
            <w:pPr>
              <w:spacing w:before="30" w:after="30"/>
              <w:jc w:val="left"/>
              <w:rPr>
                <w:sz w:val="20"/>
              </w:rPr>
            </w:pPr>
            <w:r w:rsidRPr="00556692">
              <w:rPr>
                <w:sz w:val="20"/>
              </w:rPr>
              <w:t>Reportage d'actualités par satellite</w:t>
            </w:r>
          </w:p>
        </w:tc>
      </w:tr>
      <w:tr w:rsidR="006C462C" w:rsidRPr="00556692" w14:paraId="24709BD5" w14:textId="77777777" w:rsidTr="00996465">
        <w:tc>
          <w:tcPr>
            <w:tcW w:w="1140" w:type="dxa"/>
          </w:tcPr>
          <w:p w14:paraId="08E0FC64" w14:textId="77777777" w:rsidR="006C462C" w:rsidRPr="00556692" w:rsidRDefault="006C462C" w:rsidP="00DB4E37">
            <w:pPr>
              <w:spacing w:before="30" w:after="30"/>
              <w:ind w:left="57"/>
              <w:jc w:val="left"/>
              <w:rPr>
                <w:b/>
                <w:bCs/>
                <w:sz w:val="20"/>
              </w:rPr>
            </w:pPr>
            <w:r w:rsidRPr="00556692">
              <w:rPr>
                <w:b/>
                <w:bCs/>
                <w:sz w:val="20"/>
              </w:rPr>
              <w:t>TF</w:t>
            </w:r>
          </w:p>
        </w:tc>
        <w:tc>
          <w:tcPr>
            <w:tcW w:w="8220" w:type="dxa"/>
          </w:tcPr>
          <w:p w14:paraId="3A3F2B65" w14:textId="6D5951DB" w:rsidR="006C462C" w:rsidRPr="00556692" w:rsidRDefault="00556692" w:rsidP="00DB4E37">
            <w:pPr>
              <w:spacing w:before="30" w:after="30"/>
              <w:jc w:val="left"/>
              <w:rPr>
                <w:sz w:val="20"/>
              </w:rPr>
            </w:pPr>
            <w:r w:rsidRPr="00556692">
              <w:rPr>
                <w:sz w:val="20"/>
              </w:rPr>
              <w:t>Émissions</w:t>
            </w:r>
            <w:r w:rsidR="006C462C" w:rsidRPr="00556692">
              <w:rPr>
                <w:sz w:val="20"/>
              </w:rPr>
              <w:t xml:space="preserve"> de fréquences étalon et de signaux horaires</w:t>
            </w:r>
          </w:p>
        </w:tc>
      </w:tr>
      <w:tr w:rsidR="006C462C" w:rsidRPr="00556692" w14:paraId="242BC612" w14:textId="77777777" w:rsidTr="00996465">
        <w:tc>
          <w:tcPr>
            <w:tcW w:w="1140" w:type="dxa"/>
          </w:tcPr>
          <w:p w14:paraId="0F170190" w14:textId="77777777" w:rsidR="006C462C" w:rsidRPr="00556692" w:rsidRDefault="006C462C" w:rsidP="00DB4E37">
            <w:pPr>
              <w:spacing w:before="30" w:after="30"/>
              <w:ind w:left="57"/>
              <w:jc w:val="left"/>
              <w:rPr>
                <w:b/>
                <w:bCs/>
                <w:sz w:val="20"/>
              </w:rPr>
            </w:pPr>
            <w:r w:rsidRPr="00556692">
              <w:rPr>
                <w:b/>
                <w:bCs/>
                <w:sz w:val="20"/>
              </w:rPr>
              <w:t>V</w:t>
            </w:r>
          </w:p>
        </w:tc>
        <w:tc>
          <w:tcPr>
            <w:tcW w:w="8220" w:type="dxa"/>
          </w:tcPr>
          <w:p w14:paraId="00A3BA39" w14:textId="77777777" w:rsidR="006C462C" w:rsidRPr="00556692" w:rsidRDefault="006C462C" w:rsidP="00DB4E37">
            <w:pPr>
              <w:spacing w:before="30" w:after="140"/>
              <w:jc w:val="left"/>
              <w:rPr>
                <w:sz w:val="20"/>
              </w:rPr>
            </w:pPr>
            <w:r w:rsidRPr="00556692">
              <w:rPr>
                <w:sz w:val="20"/>
              </w:rPr>
              <w:t>Vocabulaire et sujets associés</w:t>
            </w:r>
          </w:p>
        </w:tc>
      </w:tr>
    </w:tbl>
    <w:p w14:paraId="3E5A5E35" w14:textId="77777777" w:rsidR="006C462C" w:rsidRPr="00556692" w:rsidRDefault="006C462C" w:rsidP="00DB4E37">
      <w:pPr>
        <w:spacing w:before="0"/>
        <w:jc w:val="center"/>
        <w:rPr>
          <w:sz w:val="20"/>
        </w:rPr>
      </w:pPr>
    </w:p>
    <w:p w14:paraId="2BDCE90A" w14:textId="77777777" w:rsidR="006C462C" w:rsidRPr="00556692" w:rsidRDefault="006C462C" w:rsidP="00DB4E3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C462C" w:rsidRPr="00556692" w14:paraId="6EA1A989" w14:textId="77777777" w:rsidTr="00996465">
        <w:tc>
          <w:tcPr>
            <w:tcW w:w="9360" w:type="dxa"/>
          </w:tcPr>
          <w:p w14:paraId="54E4F541" w14:textId="77777777" w:rsidR="006C462C" w:rsidRPr="00556692" w:rsidRDefault="006C462C" w:rsidP="00DB4E37">
            <w:pPr>
              <w:spacing w:before="80" w:after="80"/>
              <w:jc w:val="left"/>
              <w:rPr>
                <w:i/>
                <w:iCs/>
                <w:sz w:val="20"/>
              </w:rPr>
            </w:pPr>
            <w:r w:rsidRPr="00556692">
              <w:rPr>
                <w:b/>
                <w:bCs/>
                <w:i/>
                <w:iCs/>
                <w:sz w:val="20"/>
              </w:rPr>
              <w:t>Note</w:t>
            </w:r>
            <w:r w:rsidRPr="00556692">
              <w:rPr>
                <w:i/>
                <w:iCs/>
                <w:sz w:val="20"/>
              </w:rPr>
              <w:t>: Cette Recommandation UIT-R a été approuvée en anglais aux termes de la procédure détaillée dans la</w:t>
            </w:r>
            <w:r w:rsidR="00F43625" w:rsidRPr="00556692">
              <w:rPr>
                <w:i/>
                <w:iCs/>
                <w:sz w:val="20"/>
              </w:rPr>
              <w:t xml:space="preserve"> </w:t>
            </w:r>
            <w:r w:rsidRPr="00556692">
              <w:rPr>
                <w:i/>
                <w:iCs/>
                <w:sz w:val="20"/>
              </w:rPr>
              <w:t xml:space="preserve">Résolution UIT-R 1. </w:t>
            </w:r>
          </w:p>
        </w:tc>
      </w:tr>
    </w:tbl>
    <w:p w14:paraId="4AF1CE53" w14:textId="77777777" w:rsidR="006C462C" w:rsidRPr="00556692" w:rsidRDefault="006C462C" w:rsidP="00DB4E37">
      <w:pPr>
        <w:spacing w:before="0"/>
        <w:jc w:val="center"/>
        <w:rPr>
          <w:sz w:val="22"/>
        </w:rPr>
      </w:pPr>
    </w:p>
    <w:p w14:paraId="3985332C" w14:textId="77777777" w:rsidR="006C462C" w:rsidRPr="00556692" w:rsidRDefault="006C462C" w:rsidP="00DB4E37">
      <w:pPr>
        <w:spacing w:before="100"/>
        <w:jc w:val="right"/>
        <w:rPr>
          <w:i/>
          <w:iCs/>
          <w:sz w:val="20"/>
        </w:rPr>
      </w:pPr>
      <w:r w:rsidRPr="00556692">
        <w:rPr>
          <w:i/>
          <w:iCs/>
          <w:sz w:val="20"/>
        </w:rPr>
        <w:t>Publication électronique</w:t>
      </w:r>
    </w:p>
    <w:p w14:paraId="460903D6" w14:textId="1BB0F3A7" w:rsidR="006C462C" w:rsidRPr="00556692" w:rsidRDefault="006C462C" w:rsidP="00DB4E37">
      <w:pPr>
        <w:spacing w:before="0"/>
        <w:jc w:val="right"/>
        <w:rPr>
          <w:sz w:val="20"/>
        </w:rPr>
      </w:pPr>
      <w:r w:rsidRPr="00556692">
        <w:rPr>
          <w:sz w:val="20"/>
        </w:rPr>
        <w:t>Genève, 20</w:t>
      </w:r>
      <w:r w:rsidR="00FA7B83">
        <w:rPr>
          <w:sz w:val="20"/>
        </w:rPr>
        <w:t>20</w:t>
      </w:r>
    </w:p>
    <w:p w14:paraId="62E51550" w14:textId="00115BB3" w:rsidR="006C462C" w:rsidRPr="00556692" w:rsidRDefault="006C462C" w:rsidP="00DB4E37">
      <w:pPr>
        <w:spacing w:before="200"/>
        <w:jc w:val="center"/>
        <w:rPr>
          <w:sz w:val="20"/>
        </w:rPr>
      </w:pPr>
      <w:r w:rsidRPr="00556692">
        <w:rPr>
          <w:sz w:val="20"/>
        </w:rPr>
        <w:sym w:font="Symbol" w:char="F0E3"/>
      </w:r>
      <w:r w:rsidRPr="00556692">
        <w:rPr>
          <w:sz w:val="20"/>
        </w:rPr>
        <w:t xml:space="preserve"> UIT </w:t>
      </w:r>
      <w:bookmarkStart w:id="1" w:name="iiannee"/>
      <w:bookmarkEnd w:id="1"/>
      <w:r w:rsidRPr="00556692">
        <w:rPr>
          <w:sz w:val="20"/>
        </w:rPr>
        <w:t>20</w:t>
      </w:r>
      <w:r w:rsidR="00FA7B83">
        <w:rPr>
          <w:sz w:val="20"/>
        </w:rPr>
        <w:t>20</w:t>
      </w:r>
    </w:p>
    <w:p w14:paraId="096F7F79" w14:textId="77777777" w:rsidR="006C462C" w:rsidRPr="00556692" w:rsidRDefault="006C462C" w:rsidP="00DB4E37">
      <w:pPr>
        <w:rPr>
          <w:sz w:val="18"/>
          <w:szCs w:val="18"/>
        </w:rPr>
      </w:pPr>
      <w:r w:rsidRPr="00556692">
        <w:rPr>
          <w:sz w:val="18"/>
          <w:szCs w:val="18"/>
        </w:rPr>
        <w:t>Tous droits réservés. Aucune partie de cette publication ne peut être reproduite, par quelque procédé que ce soit, sans l’accord écrit préalable de l’UIT.</w:t>
      </w:r>
    </w:p>
    <w:p w14:paraId="1579FD88" w14:textId="77777777" w:rsidR="006C462C" w:rsidRPr="00556692" w:rsidRDefault="006C462C" w:rsidP="00DB4E37">
      <w:pPr>
        <w:spacing w:before="160"/>
        <w:rPr>
          <w:i/>
          <w:sz w:val="20"/>
        </w:rPr>
        <w:sectPr w:rsidR="006C462C" w:rsidRPr="00556692" w:rsidSect="003B49E6">
          <w:headerReference w:type="even" r:id="rId11"/>
          <w:headerReference w:type="default" r:id="rId12"/>
          <w:pgSz w:w="11907" w:h="16834" w:code="9"/>
          <w:pgMar w:top="1418" w:right="1134" w:bottom="1134" w:left="1134" w:header="720" w:footer="482" w:gutter="0"/>
          <w:pgNumType w:fmt="lowerRoman" w:start="2"/>
          <w:cols w:space="720"/>
          <w:docGrid w:linePitch="326"/>
        </w:sectPr>
      </w:pPr>
    </w:p>
    <w:p w14:paraId="04000335" w14:textId="4592A981" w:rsidR="006C462C" w:rsidRPr="00556692" w:rsidRDefault="006C462C" w:rsidP="00DB4E37">
      <w:pPr>
        <w:pStyle w:val="RecNo"/>
        <w:spacing w:before="0"/>
      </w:pPr>
      <w:bookmarkStart w:id="2" w:name="irecnoe"/>
      <w:bookmarkEnd w:id="2"/>
      <w:r w:rsidRPr="00556692">
        <w:t xml:space="preserve">RECOMMANDATION  </w:t>
      </w:r>
      <w:r w:rsidRPr="00556692">
        <w:rPr>
          <w:rStyle w:val="href"/>
        </w:rPr>
        <w:t>UIT-R  M.</w:t>
      </w:r>
      <w:r w:rsidR="00F43625" w:rsidRPr="00556692">
        <w:rPr>
          <w:rStyle w:val="href"/>
        </w:rPr>
        <w:t>1901</w:t>
      </w:r>
      <w:r w:rsidR="00BB7C65" w:rsidRPr="00556692">
        <w:rPr>
          <w:rStyle w:val="href"/>
        </w:rPr>
        <w:t>-</w:t>
      </w:r>
      <w:r w:rsidR="007D43B9" w:rsidRPr="00556692">
        <w:rPr>
          <w:rStyle w:val="href"/>
        </w:rPr>
        <w:t>2</w:t>
      </w:r>
    </w:p>
    <w:p w14:paraId="0F87AF98" w14:textId="77777777" w:rsidR="009D1750" w:rsidRPr="00556692" w:rsidRDefault="009D1750" w:rsidP="00DB4E37">
      <w:pPr>
        <w:pStyle w:val="Rectitle"/>
      </w:pPr>
      <w:r w:rsidRPr="00556692">
        <w:t>Orientations générales concernant les Recommandations UIT-R relatives aux systèmes et réseaux du service de radionavigation par satellite fonctionnant</w:t>
      </w:r>
      <w:r w:rsidRPr="00556692">
        <w:br/>
        <w:t xml:space="preserve">dans les bandes de fréquences 1 164-1 215 MHz, 1 215-1 300 MHz, </w:t>
      </w:r>
      <w:r w:rsidRPr="00556692">
        <w:br/>
        <w:t>1 559-1 610 MHz, 5 000-5 010 MHz et 5 010-5 030 MHz</w:t>
      </w:r>
    </w:p>
    <w:p w14:paraId="63681B8E" w14:textId="77777777" w:rsidR="009D1750" w:rsidRPr="00556692" w:rsidRDefault="009D1750" w:rsidP="00DB4E37">
      <w:pPr>
        <w:pStyle w:val="Recref"/>
      </w:pPr>
      <w:r w:rsidRPr="00556692">
        <w:t>(Questions UIT</w:t>
      </w:r>
      <w:r w:rsidRPr="00556692">
        <w:noBreakHyphen/>
        <w:t>R 217-2/4 et UIT</w:t>
      </w:r>
      <w:r w:rsidRPr="00556692">
        <w:noBreakHyphen/>
        <w:t>R 288/4)</w:t>
      </w:r>
    </w:p>
    <w:p w14:paraId="2BF5FF6A" w14:textId="2A4BB94C" w:rsidR="009D1750" w:rsidRPr="00556692" w:rsidRDefault="009D1750" w:rsidP="00DB4E37">
      <w:pPr>
        <w:pStyle w:val="Recdate"/>
      </w:pPr>
      <w:r w:rsidRPr="00556692">
        <w:t>(2012</w:t>
      </w:r>
      <w:r w:rsidR="00996465" w:rsidRPr="00556692">
        <w:t>-</w:t>
      </w:r>
      <w:r w:rsidR="007D43B9" w:rsidRPr="00556692">
        <w:t>20</w:t>
      </w:r>
      <w:r w:rsidR="00996465" w:rsidRPr="00556692">
        <w:t>13</w:t>
      </w:r>
      <w:r w:rsidR="007D43B9" w:rsidRPr="00556692">
        <w:t>-2019</w:t>
      </w:r>
      <w:r w:rsidRPr="00556692">
        <w:t>)</w:t>
      </w:r>
    </w:p>
    <w:p w14:paraId="17543D68" w14:textId="77777777" w:rsidR="009D1750" w:rsidRPr="00556692" w:rsidRDefault="009D1750" w:rsidP="00DB4E37">
      <w:pPr>
        <w:pStyle w:val="HeadingSum"/>
        <w:rPr>
          <w:lang w:val="fr-FR"/>
        </w:rPr>
      </w:pPr>
      <w:r w:rsidRPr="00556692">
        <w:rPr>
          <w:lang w:val="fr-FR"/>
        </w:rPr>
        <w:t>Domaine d'application</w:t>
      </w:r>
    </w:p>
    <w:p w14:paraId="15C48597" w14:textId="77777777" w:rsidR="009D1750" w:rsidRPr="00556692" w:rsidRDefault="009D1750" w:rsidP="00DB4E37">
      <w:pPr>
        <w:pStyle w:val="Summary"/>
        <w:rPr>
          <w:lang w:val="fr-FR"/>
        </w:rPr>
      </w:pPr>
      <w:r w:rsidRPr="00556692">
        <w:rPr>
          <w:lang w:val="fr-FR"/>
        </w:rPr>
        <w:t>La présente Recommandation est destinée à donner des orientations sur les Recommandations UIT</w:t>
      </w:r>
      <w:r w:rsidRPr="00556692">
        <w:rPr>
          <w:lang w:val="fr-FR"/>
        </w:rPr>
        <w:noBreakHyphen/>
        <w:t>R relatives aux caractéristiques techniques et aux cri</w:t>
      </w:r>
      <w:bookmarkStart w:id="3" w:name="_GoBack"/>
      <w:bookmarkEnd w:id="3"/>
      <w:r w:rsidRPr="00556692">
        <w:rPr>
          <w:lang w:val="fr-FR"/>
        </w:rPr>
        <w:t>tères de protection applicables aux stations terriennes de réception du service de radionavigation par satellite (SRNS) ainsi qu'aux caractéristiques des stations spatiales d'émission du SRNS qui sont exploitées ou qu'il est prévu d'exploiter dans les bandes de fréquences 1 164-1 215 MHz, 1 215</w:t>
      </w:r>
      <w:r w:rsidRPr="00556692">
        <w:rPr>
          <w:lang w:val="fr-FR"/>
        </w:rPr>
        <w:noBreakHyphen/>
        <w:t>1 300 MHz, 1 559</w:t>
      </w:r>
      <w:r w:rsidRPr="00556692">
        <w:rPr>
          <w:lang w:val="fr-FR"/>
        </w:rPr>
        <w:noBreakHyphen/>
        <w:t>1 610 MHz, 5 000-5 010 MHz et 5 010-5 030 MHz. En outre, la présente Recommandation donne un bref aperçu de ces Recommandations.</w:t>
      </w:r>
    </w:p>
    <w:p w14:paraId="676F3144" w14:textId="77777777" w:rsidR="007D43B9" w:rsidRPr="00556692" w:rsidRDefault="007D43B9" w:rsidP="00DB4E37">
      <w:pPr>
        <w:pStyle w:val="Headingb"/>
      </w:pPr>
      <w:r w:rsidRPr="00556692">
        <w:t>Mots clés</w:t>
      </w:r>
    </w:p>
    <w:p w14:paraId="2FC1F49E" w14:textId="77777777" w:rsidR="007D43B9" w:rsidRPr="00556692" w:rsidRDefault="007D43B9" w:rsidP="00DB4E37">
      <w:pPr>
        <w:rPr>
          <w:color w:val="000000"/>
        </w:rPr>
      </w:pPr>
      <w:r w:rsidRPr="00556692">
        <w:t xml:space="preserve">SRNS, critères de protection, </w:t>
      </w:r>
      <w:r w:rsidRPr="00556692">
        <w:rPr>
          <w:color w:val="000000"/>
        </w:rPr>
        <w:t>incidence des brouillages radioélectriques</w:t>
      </w:r>
    </w:p>
    <w:p w14:paraId="3ED20EFD" w14:textId="77777777" w:rsidR="007D43B9" w:rsidRPr="00556692" w:rsidRDefault="007D43B9" w:rsidP="00DB4E37">
      <w:pPr>
        <w:pStyle w:val="Headingb"/>
      </w:pPr>
      <w:r w:rsidRPr="00556692">
        <w:t>Abréviations/glossaire</w:t>
      </w:r>
    </w:p>
    <w:p w14:paraId="445AB316" w14:textId="77777777" w:rsidR="00F77B16" w:rsidRPr="00556692" w:rsidRDefault="00F77B16" w:rsidP="00DB4E37">
      <w:pPr>
        <w:rPr>
          <w:color w:val="000000"/>
        </w:rPr>
      </w:pPr>
      <w:r w:rsidRPr="00556692">
        <w:t>BBGA</w:t>
      </w:r>
      <w:r w:rsidRPr="00556692">
        <w:tab/>
      </w:r>
      <w:r w:rsidRPr="00556692">
        <w:tab/>
        <w:t>B</w:t>
      </w:r>
      <w:r w:rsidRPr="00556692">
        <w:rPr>
          <w:color w:val="000000"/>
        </w:rPr>
        <w:t>ruit blanc gaussien additif</w:t>
      </w:r>
    </w:p>
    <w:p w14:paraId="66952D21" w14:textId="77777777" w:rsidR="00F77B16" w:rsidRPr="00556692" w:rsidRDefault="00F77B16" w:rsidP="00F77B16">
      <w:r w:rsidRPr="00556692">
        <w:t>CES</w:t>
      </w:r>
      <w:r w:rsidRPr="00556692">
        <w:tab/>
      </w:r>
      <w:r w:rsidRPr="00556692">
        <w:tab/>
        <w:t>Coefficient d'espacement spectral</w:t>
      </w:r>
    </w:p>
    <w:p w14:paraId="03F1388A" w14:textId="77777777" w:rsidR="00F77B16" w:rsidRPr="00556692" w:rsidRDefault="00F77B16" w:rsidP="00F77B16">
      <w:r w:rsidRPr="00556692">
        <w:t>MDPQD</w:t>
      </w:r>
      <w:r w:rsidRPr="00556692">
        <w:tab/>
        <w:t>Modulation par déplacement de phase en quadrature à décalage</w:t>
      </w:r>
    </w:p>
    <w:p w14:paraId="5812A8AC" w14:textId="77777777" w:rsidR="00F77B16" w:rsidRPr="00556692" w:rsidRDefault="00F77B16" w:rsidP="00DB4E37">
      <w:r w:rsidRPr="00556692">
        <w:t>PDC</w:t>
      </w:r>
      <w:r w:rsidRPr="00556692">
        <w:tab/>
      </w:r>
      <w:r w:rsidRPr="00556692">
        <w:tab/>
        <w:t xml:space="preserve">Facteur d'utilisation des impulsions </w:t>
      </w:r>
      <w:r w:rsidRPr="00556692">
        <w:rPr>
          <w:i/>
          <w:iCs/>
        </w:rPr>
        <w:t>(pulse duty cycle)</w:t>
      </w:r>
    </w:p>
    <w:p w14:paraId="5EDDC492" w14:textId="77777777" w:rsidR="00F77B16" w:rsidRPr="00556692" w:rsidRDefault="00F77B16" w:rsidP="00DB4E37">
      <w:r w:rsidRPr="00556692">
        <w:t>PNT</w:t>
      </w:r>
      <w:r w:rsidRPr="00556692">
        <w:tab/>
      </w:r>
      <w:r w:rsidRPr="00556692">
        <w:tab/>
        <w:t xml:space="preserve">Localisation, navigation et synchronisation </w:t>
      </w:r>
      <w:r w:rsidRPr="00556692">
        <w:rPr>
          <w:i/>
          <w:iCs/>
        </w:rPr>
        <w:t>(position, navigation and timing)</w:t>
      </w:r>
    </w:p>
    <w:p w14:paraId="7CCAF911" w14:textId="77777777" w:rsidR="00F77B16" w:rsidRPr="00556692" w:rsidRDefault="00F77B16" w:rsidP="00DB4E37">
      <w:r w:rsidRPr="00556692">
        <w:t>PRF</w:t>
      </w:r>
      <w:r w:rsidRPr="00556692">
        <w:tab/>
      </w:r>
      <w:r w:rsidRPr="00556692">
        <w:tab/>
        <w:t xml:space="preserve">Fréquence de répétition des impulsions </w:t>
      </w:r>
      <w:r w:rsidRPr="00556692">
        <w:rPr>
          <w:i/>
          <w:iCs/>
        </w:rPr>
        <w:t>(pulse repetition frequency)</w:t>
      </w:r>
    </w:p>
    <w:p w14:paraId="11C1EDD3" w14:textId="77777777" w:rsidR="00F77B16" w:rsidRPr="00556692" w:rsidRDefault="00F77B16" w:rsidP="00DB4E37">
      <w:pPr>
        <w:rPr>
          <w:color w:val="000000"/>
        </w:rPr>
      </w:pPr>
      <w:r w:rsidRPr="00556692">
        <w:t>RHCP</w:t>
      </w:r>
      <w:r w:rsidRPr="00556692">
        <w:tab/>
      </w:r>
      <w:r w:rsidRPr="00556692">
        <w:tab/>
      </w:r>
      <w:r w:rsidRPr="00556692">
        <w:rPr>
          <w:color w:val="000000"/>
        </w:rPr>
        <w:t xml:space="preserve">Polarisation circulaire dextrogyre </w:t>
      </w:r>
      <w:r w:rsidRPr="00556692">
        <w:rPr>
          <w:i/>
          <w:iCs/>
          <w:color w:val="000000"/>
        </w:rPr>
        <w:t>(</w:t>
      </w:r>
      <w:r w:rsidRPr="00556692">
        <w:rPr>
          <w:i/>
          <w:iCs/>
        </w:rPr>
        <w:t>right-hand circular polarization</w:t>
      </w:r>
      <w:r w:rsidRPr="00556692">
        <w:rPr>
          <w:i/>
          <w:iCs/>
          <w:color w:val="000000"/>
        </w:rPr>
        <w:t>)</w:t>
      </w:r>
    </w:p>
    <w:p w14:paraId="57CD79D0" w14:textId="77777777" w:rsidR="00F77B16" w:rsidRPr="00556692" w:rsidRDefault="00F77B16" w:rsidP="00DB4E37">
      <w:pPr>
        <w:ind w:left="1191" w:hanging="1191"/>
        <w:rPr>
          <w:color w:val="000000"/>
        </w:rPr>
      </w:pPr>
      <w:r w:rsidRPr="00556692">
        <w:rPr>
          <w:color w:val="000000"/>
        </w:rPr>
        <w:t>SQPN</w:t>
      </w:r>
      <w:r w:rsidRPr="00556692">
        <w:rPr>
          <w:color w:val="000000"/>
        </w:rPr>
        <w:tab/>
      </w:r>
      <w:r w:rsidRPr="00556692">
        <w:rPr>
          <w:color w:val="000000"/>
        </w:rPr>
        <w:tab/>
        <w:t xml:space="preserve">Bruit pseudo-aléatoire en quatre phases décalées </w:t>
      </w:r>
      <w:r w:rsidRPr="00556692">
        <w:rPr>
          <w:i/>
          <w:iCs/>
          <w:color w:val="000000"/>
        </w:rPr>
        <w:t>(</w:t>
      </w:r>
      <w:r w:rsidRPr="00556692">
        <w:rPr>
          <w:i/>
          <w:iCs/>
        </w:rPr>
        <w:t>staggered quadrature pseudo-random noise</w:t>
      </w:r>
      <w:r w:rsidRPr="00556692">
        <w:rPr>
          <w:i/>
          <w:iCs/>
          <w:color w:val="000000"/>
        </w:rPr>
        <w:t>)</w:t>
      </w:r>
    </w:p>
    <w:p w14:paraId="3764DA6F" w14:textId="77777777" w:rsidR="007D43B9" w:rsidRPr="00556692" w:rsidRDefault="007D43B9" w:rsidP="00DB4E37">
      <w:pPr>
        <w:pStyle w:val="Headingb"/>
      </w:pPr>
      <w:r w:rsidRPr="00556692">
        <w:t>Recommandations et Rapports connexes de l'UIT</w:t>
      </w:r>
    </w:p>
    <w:p w14:paraId="331CB1E9" w14:textId="4211B45B" w:rsidR="007D43B9" w:rsidRPr="00556692" w:rsidRDefault="007D43B9" w:rsidP="00F40E7D">
      <w:pPr>
        <w:pStyle w:val="Reftext"/>
      </w:pPr>
      <w:r w:rsidRPr="00556692">
        <w:t>Recommandation UIT-R M.1318-1</w:t>
      </w:r>
      <w:r w:rsidRPr="00556692">
        <w:tab/>
        <w:t>Modèle d'évaluation des brouillages continus causés par des sources radioélectriques autres que celles du service de radionavigation par satellite aux systèmes et réseaux du service de radionavigation par satellite fonctionnant dans les bandes 1 164-1 215 MHz, 1 215</w:t>
      </w:r>
      <w:r w:rsidR="00E25872">
        <w:noBreakHyphen/>
      </w:r>
      <w:r w:rsidRPr="00556692">
        <w:t>1 300 MHz, 1 559-1 610 MHz et 5 010-5 030 MHz</w:t>
      </w:r>
    </w:p>
    <w:p w14:paraId="6EE20C76" w14:textId="58797D30" w:rsidR="007D43B9" w:rsidRPr="00556692" w:rsidRDefault="007D43B9" w:rsidP="00F40E7D">
      <w:pPr>
        <w:pStyle w:val="Reftext"/>
      </w:pPr>
      <w:r w:rsidRPr="00556692">
        <w:t>Recommandation UIT-R M.1787-3</w:t>
      </w:r>
      <w:r w:rsidRPr="00556692">
        <w:tab/>
        <w:t>Description des systèmes et réseaux du service de radionavigation par satellite (espace vers Terre et espace</w:t>
      </w:r>
      <w:r w:rsidRPr="00556692">
        <w:noBreakHyphen/>
        <w:t>espace) et caractéristiques techniques des stations spatiales d'émission fonctionnant dans les bandes 1 164</w:t>
      </w:r>
      <w:r w:rsidRPr="00556692">
        <w:noBreakHyphen/>
        <w:t>1 215 MHz, 1 215-1 300 MHz et 1 559-1 610 MHz</w:t>
      </w:r>
    </w:p>
    <w:p w14:paraId="7A7E5561" w14:textId="120877BC" w:rsidR="007D43B9" w:rsidRPr="00556692" w:rsidRDefault="007D43B9" w:rsidP="00F40E7D">
      <w:pPr>
        <w:pStyle w:val="Reftext"/>
      </w:pPr>
      <w:r w:rsidRPr="00556692">
        <w:t>Recommandation UIT-R M.1902-</w:t>
      </w:r>
      <w:r w:rsidR="00871061">
        <w:t>1</w:t>
      </w:r>
      <w:r w:rsidRPr="00556692">
        <w:tab/>
        <w:t>Caractéristiques et critères de protection applicables aux stations terriennes de réception du service de radionavigation par satellite (espace vers Terre) fonctionnant dans la bande 1 215-1 300 MHz</w:t>
      </w:r>
    </w:p>
    <w:p w14:paraId="5B9E64F8" w14:textId="65E459A5" w:rsidR="007D43B9" w:rsidRPr="00556692" w:rsidRDefault="007D43B9" w:rsidP="00F40E7D">
      <w:pPr>
        <w:pStyle w:val="Reftext"/>
      </w:pPr>
      <w:r w:rsidRPr="00556692">
        <w:t>Recommandation UIT-R M.1903-</w:t>
      </w:r>
      <w:r w:rsidR="00871061">
        <w:t>1</w:t>
      </w:r>
      <w:r w:rsidRPr="00556692">
        <w:tab/>
        <w:t>Caractéristiques et critères de protection applicables aux stations terriennes de réception du service de radionavigation par satellite (espace vers Terre) et aux récepteurs du service de radionavigation aéronautique fonctionnant dans la bande 1 559</w:t>
      </w:r>
      <w:r w:rsidRPr="00556692">
        <w:noBreakHyphen/>
        <w:t>1 610 MHz</w:t>
      </w:r>
    </w:p>
    <w:p w14:paraId="66946C50" w14:textId="462654E2" w:rsidR="007D43B9" w:rsidRPr="00556692" w:rsidRDefault="007D43B9" w:rsidP="00F40E7D">
      <w:pPr>
        <w:pStyle w:val="Reftext"/>
      </w:pPr>
      <w:r w:rsidRPr="00556692">
        <w:t>Recommandation UIT-R M.1904-</w:t>
      </w:r>
      <w:r w:rsidR="00871061">
        <w:t>1</w:t>
      </w:r>
      <w:r w:rsidRPr="00556692">
        <w:tab/>
        <w:t>Caractéristiques, critères de qualité de fonctionnement et critères de protection applicables aux stations de réception du service de radionavigation par satellite (espace</w:t>
      </w:r>
      <w:r w:rsidR="00F40E7D">
        <w:noBreakHyphen/>
      </w:r>
      <w:r w:rsidRPr="00556692">
        <w:t>espace) fonctionnant dans les bandes de fréquences 1 164-1 215 MHz, 1 215-1 300 MHz et</w:t>
      </w:r>
      <w:r w:rsidR="00F40E7D">
        <w:t> </w:t>
      </w:r>
      <w:r w:rsidRPr="00556692">
        <w:t>1</w:t>
      </w:r>
      <w:r w:rsidR="00F40E7D">
        <w:t> </w:t>
      </w:r>
      <w:r w:rsidRPr="00556692">
        <w:t>559</w:t>
      </w:r>
      <w:r w:rsidR="00F40E7D">
        <w:noBreakHyphen/>
      </w:r>
      <w:r w:rsidRPr="00556692">
        <w:t>1</w:t>
      </w:r>
      <w:r w:rsidR="00F40E7D">
        <w:t> </w:t>
      </w:r>
      <w:r w:rsidRPr="00556692">
        <w:t>610 MHz</w:t>
      </w:r>
    </w:p>
    <w:p w14:paraId="670C1A51" w14:textId="16528CD7" w:rsidR="007D43B9" w:rsidRPr="00556692" w:rsidRDefault="007D43B9" w:rsidP="00F40E7D">
      <w:pPr>
        <w:pStyle w:val="Reftext"/>
      </w:pPr>
      <w:r w:rsidRPr="00556692">
        <w:t>Recommandation UIT-R M.1905-</w:t>
      </w:r>
      <w:r w:rsidR="00871061">
        <w:t>1</w:t>
      </w:r>
      <w:r w:rsidRPr="00556692">
        <w:tab/>
        <w:t>Caractéristiques et critères de protection applicables aux stations terriennes de réception du service de radionavigation par satellite (espace vers Terre) fonctionnant dans la bande 1 164-1 215 MHz</w:t>
      </w:r>
    </w:p>
    <w:p w14:paraId="565A8CC9" w14:textId="77777777" w:rsidR="007D43B9" w:rsidRPr="00556692" w:rsidRDefault="007D43B9" w:rsidP="00F40E7D">
      <w:pPr>
        <w:pStyle w:val="Reftext"/>
      </w:pPr>
      <w:r w:rsidRPr="00556692">
        <w:t>Recommandation UIT-R M.1906-1</w:t>
      </w:r>
      <w:r w:rsidRPr="00556692">
        <w:tab/>
        <w:t>Caractéristiques et critères de protection des stations spatiales de réception et caractéristiques des stations terriennes d'émission du service de radionavigation par satellite (Terre vers espace) fonctionnant dans la bande 5 000-5 010 MHz</w:t>
      </w:r>
    </w:p>
    <w:p w14:paraId="2D06D9DA" w14:textId="65210370" w:rsidR="007D43B9" w:rsidRPr="00556692" w:rsidRDefault="007D43B9" w:rsidP="00F40E7D">
      <w:pPr>
        <w:pStyle w:val="Reftext"/>
      </w:pPr>
      <w:r w:rsidRPr="00556692">
        <w:t>Recommandation UIT-R M.2030-0</w:t>
      </w:r>
      <w:r w:rsidRPr="00556692">
        <w:tab/>
        <w:t>Méthode d'évaluation du brouillage par impulsions causé par des sources radioélectriques pertinentes autres que celles du service de radionavigation par satellite aux systèmes et réseaux du service de radionavigation par satellite fonctionnant dans les bandes 1 164</w:t>
      </w:r>
      <w:r w:rsidR="0010321D">
        <w:noBreakHyphen/>
      </w:r>
      <w:r w:rsidRPr="00556692">
        <w:t>1</w:t>
      </w:r>
      <w:r w:rsidR="00C65E8B">
        <w:t> </w:t>
      </w:r>
      <w:r w:rsidRPr="00556692">
        <w:t>215 MHz, 1 215-1 300 MHz et 1 559</w:t>
      </w:r>
      <w:r w:rsidRPr="00556692">
        <w:noBreakHyphen/>
        <w:t>1 610 MHz</w:t>
      </w:r>
    </w:p>
    <w:p w14:paraId="58570653" w14:textId="0186E4F5" w:rsidR="007D43B9" w:rsidRPr="00556692" w:rsidRDefault="007D43B9" w:rsidP="00F40E7D">
      <w:pPr>
        <w:pStyle w:val="Reftext"/>
      </w:pPr>
      <w:r w:rsidRPr="00556692">
        <w:t>Recommandation UIT-R M.2031-1</w:t>
      </w:r>
      <w:r w:rsidRPr="00556692">
        <w:tab/>
      </w:r>
      <w:r w:rsidRPr="00556692">
        <w:rPr>
          <w:iCs/>
        </w:rPr>
        <w:t>Caractéristiques et critères de protection des stations terriennes de réception et caractéristiques des stations spatiales d'émission du service de radionavigation par satellite (espace vers Terre) fonctionnant dans la bande 5 010-5 030 MHz</w:t>
      </w:r>
    </w:p>
    <w:p w14:paraId="2F45BE49" w14:textId="6327D02C" w:rsidR="009D1750" w:rsidRPr="00556692" w:rsidRDefault="009D1750" w:rsidP="00DB4E37">
      <w:pPr>
        <w:pStyle w:val="Normalaftertitle"/>
        <w:spacing w:before="360"/>
      </w:pPr>
      <w:r w:rsidRPr="00556692">
        <w:t>L'Assemblée des radiocommunications de l'UIT,</w:t>
      </w:r>
    </w:p>
    <w:p w14:paraId="21A1B47D" w14:textId="77777777" w:rsidR="009D1750" w:rsidRPr="00556692" w:rsidRDefault="009D1750" w:rsidP="00DB4E37">
      <w:pPr>
        <w:pStyle w:val="Call"/>
      </w:pPr>
      <w:r w:rsidRPr="00556692">
        <w:t>considérant</w:t>
      </w:r>
    </w:p>
    <w:p w14:paraId="5395DB34" w14:textId="77777777" w:rsidR="009D1750" w:rsidRPr="00556692" w:rsidRDefault="009D1750" w:rsidP="00DB4E37">
      <w:r w:rsidRPr="00556692">
        <w:rPr>
          <w:i/>
          <w:iCs/>
        </w:rPr>
        <w:t>a)</w:t>
      </w:r>
      <w:r w:rsidRPr="00556692">
        <w:tab/>
        <w:t>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applications;</w:t>
      </w:r>
    </w:p>
    <w:p w14:paraId="370731C8" w14:textId="77777777" w:rsidR="009D1750" w:rsidRPr="00556692" w:rsidRDefault="009D1750" w:rsidP="00DB4E37">
      <w:r w:rsidRPr="00556692">
        <w:rPr>
          <w:i/>
          <w:iCs/>
        </w:rPr>
        <w:t>b)</w:t>
      </w:r>
      <w:r w:rsidRPr="00556692">
        <w:tab/>
        <w:t xml:space="preserve">qu'il existe plusieurs systèmes et réseaux du SRNS opérationnels ou en projet; </w:t>
      </w:r>
    </w:p>
    <w:p w14:paraId="2A0DA1F8" w14:textId="77777777" w:rsidR="009D1750" w:rsidRPr="00556692" w:rsidRDefault="009D1750" w:rsidP="00DB4E37">
      <w:r w:rsidRPr="00556692">
        <w:rPr>
          <w:i/>
          <w:iCs/>
        </w:rPr>
        <w:t>c)</w:t>
      </w:r>
      <w:r w:rsidRPr="00556692">
        <w:tab/>
        <w:t>qu'une station terrienne dotée des équipements appropriés peut recevoir des informations relatives à la navigation provenant des systèmes et des réseaux du SRNS à l'échelle mondiale,</w:t>
      </w:r>
    </w:p>
    <w:p w14:paraId="680B788A" w14:textId="645DC964" w:rsidR="009D1750" w:rsidRPr="00556692" w:rsidRDefault="004958AD" w:rsidP="00DB4E37">
      <w:pPr>
        <w:pStyle w:val="Call"/>
      </w:pPr>
      <w:r w:rsidRPr="00556692">
        <w:t>notant</w:t>
      </w:r>
    </w:p>
    <w:p w14:paraId="1B1C30FC" w14:textId="77777777" w:rsidR="009D1750" w:rsidRPr="00556692" w:rsidRDefault="009D1750" w:rsidP="00DB4E37">
      <w:r w:rsidRPr="00556692">
        <w:rPr>
          <w:i/>
          <w:iCs/>
          <w:lang w:eastAsia="ja-JP"/>
        </w:rPr>
        <w:t>a</w:t>
      </w:r>
      <w:r w:rsidRPr="00556692">
        <w:rPr>
          <w:i/>
          <w:iCs/>
        </w:rPr>
        <w:t>)</w:t>
      </w:r>
      <w:r w:rsidRPr="00556692">
        <w:tab/>
        <w:t xml:space="preserve">que les Recommandations </w:t>
      </w:r>
      <w:r w:rsidR="00996465" w:rsidRPr="00556692">
        <w:rPr>
          <w:lang w:eastAsia="ja-JP"/>
        </w:rPr>
        <w:t>UIT</w:t>
      </w:r>
      <w:r w:rsidR="00996465" w:rsidRPr="00556692">
        <w:noBreakHyphen/>
        <w:t xml:space="preserve">R M.1905, </w:t>
      </w:r>
      <w:r w:rsidRPr="00556692">
        <w:rPr>
          <w:lang w:eastAsia="ja-JP"/>
        </w:rPr>
        <w:t>UIT</w:t>
      </w:r>
      <w:r w:rsidRPr="00556692">
        <w:rPr>
          <w:lang w:eastAsia="ja-JP"/>
        </w:rPr>
        <w:noBreakHyphen/>
        <w:t xml:space="preserve">R </w:t>
      </w:r>
      <w:r w:rsidRPr="00556692">
        <w:t xml:space="preserve">M.1902, </w:t>
      </w:r>
      <w:r w:rsidRPr="00556692">
        <w:rPr>
          <w:lang w:eastAsia="ja-JP"/>
        </w:rPr>
        <w:t>UIT</w:t>
      </w:r>
      <w:r w:rsidRPr="00556692">
        <w:noBreakHyphen/>
        <w:t xml:space="preserve">R M.1903 et </w:t>
      </w:r>
      <w:r w:rsidRPr="00556692">
        <w:rPr>
          <w:lang w:eastAsia="ja-JP"/>
        </w:rPr>
        <w:t>UIT</w:t>
      </w:r>
      <w:r w:rsidRPr="00556692">
        <w:noBreakHyphen/>
        <w:t>R M.1904 fournissent les caractéristiques techniques et opérationnelles ainsi que les critères de protection applicables aux récepteurs de réseaux et de systèmes (espace vers Terre et espace</w:t>
      </w:r>
      <w:r w:rsidRPr="00556692">
        <w:noBreakHyphen/>
        <w:t>espace) du SRNS dans les bandes 1 164-1 215 MHz, 1 215</w:t>
      </w:r>
      <w:r w:rsidRPr="00556692">
        <w:noBreakHyphen/>
        <w:t>1 300 MHz et1 559-1 610 MHz;</w:t>
      </w:r>
    </w:p>
    <w:p w14:paraId="238FE7C6" w14:textId="77777777" w:rsidR="009D1750" w:rsidRPr="00556692" w:rsidRDefault="009D1750" w:rsidP="00DB4E37">
      <w:r w:rsidRPr="00556692">
        <w:rPr>
          <w:i/>
          <w:iCs/>
          <w:lang w:eastAsia="ja-JP"/>
        </w:rPr>
        <w:t>b</w:t>
      </w:r>
      <w:r w:rsidRPr="00556692">
        <w:rPr>
          <w:i/>
          <w:iCs/>
        </w:rPr>
        <w:t>)</w:t>
      </w:r>
      <w:r w:rsidRPr="00556692">
        <w:tab/>
        <w:t xml:space="preserve">que la Recommandation </w:t>
      </w:r>
      <w:r w:rsidRPr="00556692">
        <w:rPr>
          <w:lang w:eastAsia="ja-JP"/>
        </w:rPr>
        <w:t>UIT</w:t>
      </w:r>
      <w:r w:rsidRPr="00556692">
        <w:rPr>
          <w:lang w:eastAsia="ja-JP"/>
        </w:rPr>
        <w:noBreakHyphen/>
        <w:t>R</w:t>
      </w:r>
      <w:r w:rsidRPr="00556692">
        <w:t xml:space="preserve"> M.1906 fournit les caractéristiques techniques et opérationnelles ainsi que les critères de protection applicables aux stations spatiales de réception ainsi que les caractéristiques des stations terriennes d'émission du SRNS (Terre vers espace) fonctionnant dans la bande 5 000-5 010 MHz;</w:t>
      </w:r>
    </w:p>
    <w:p w14:paraId="62BB618E" w14:textId="77777777" w:rsidR="00996465" w:rsidRPr="00556692" w:rsidRDefault="00996465" w:rsidP="00DB4E37">
      <w:r w:rsidRPr="00556692">
        <w:rPr>
          <w:i/>
          <w:iCs/>
        </w:rPr>
        <w:t>c)</w:t>
      </w:r>
      <w:r w:rsidRPr="00556692">
        <w:rPr>
          <w:i/>
          <w:iCs/>
        </w:rPr>
        <w:tab/>
      </w:r>
      <w:r w:rsidRPr="00556692">
        <w:t xml:space="preserve">que la Recommandation </w:t>
      </w:r>
      <w:r w:rsidRPr="00556692">
        <w:rPr>
          <w:lang w:eastAsia="ja-JP"/>
        </w:rPr>
        <w:t>UIT</w:t>
      </w:r>
      <w:r w:rsidRPr="00556692">
        <w:rPr>
          <w:lang w:eastAsia="ja-JP"/>
        </w:rPr>
        <w:noBreakHyphen/>
        <w:t>R</w:t>
      </w:r>
      <w:r w:rsidRPr="00556692">
        <w:t xml:space="preserve"> M.2031 fournit les caractéristiques techniques et opérationn</w:t>
      </w:r>
      <w:r w:rsidR="00103FC8" w:rsidRPr="00556692">
        <w:t>e</w:t>
      </w:r>
      <w:r w:rsidRPr="00556692">
        <w:t>lles applicables aux stations terriennes de réception ainsi que les caractéristiques des stations spatiales d'émission du SRNS (espace vers Terre) fonctionnant dans la bande 5 010</w:t>
      </w:r>
      <w:r w:rsidR="00A3730D" w:rsidRPr="00556692">
        <w:noBreakHyphen/>
      </w:r>
      <w:r w:rsidRPr="00556692">
        <w:t>5 030 MHz;</w:t>
      </w:r>
    </w:p>
    <w:p w14:paraId="499A817E" w14:textId="77777777" w:rsidR="009D1750" w:rsidRPr="00556692" w:rsidRDefault="00996465" w:rsidP="00DB4E37">
      <w:r w:rsidRPr="00556692">
        <w:rPr>
          <w:i/>
          <w:iCs/>
        </w:rPr>
        <w:t>d</w:t>
      </w:r>
      <w:r w:rsidR="009D1750" w:rsidRPr="00556692">
        <w:rPr>
          <w:i/>
          <w:iCs/>
        </w:rPr>
        <w:t>)</w:t>
      </w:r>
      <w:r w:rsidR="009D1750" w:rsidRPr="00556692">
        <w:tab/>
        <w:t xml:space="preserve">que la Recommandation </w:t>
      </w:r>
      <w:r w:rsidR="009D1750" w:rsidRPr="00556692">
        <w:rPr>
          <w:lang w:eastAsia="ja-JP"/>
        </w:rPr>
        <w:t>UIT</w:t>
      </w:r>
      <w:r w:rsidR="009D1750" w:rsidRPr="00556692">
        <w:rPr>
          <w:lang w:eastAsia="ja-JP"/>
        </w:rPr>
        <w:noBreakHyphen/>
        <w:t>R</w:t>
      </w:r>
      <w:r w:rsidR="009D1750" w:rsidRPr="00556692">
        <w:t xml:space="preserve"> M.1787 fournit les descriptions techniques des systèmes et réseaux du SRNS (espace vers Terre et espace-espace) ainsi que les caractéristiques techniques des stations spatiales d'émission fonctionnant dans les bandes 1 164-1 215 MHz, 1 215-1 300 MHz et 1 559</w:t>
      </w:r>
      <w:r w:rsidR="009D1750" w:rsidRPr="00556692">
        <w:noBreakHyphen/>
        <w:t>1 610 MHz;</w:t>
      </w:r>
    </w:p>
    <w:p w14:paraId="476690BF" w14:textId="77777777" w:rsidR="009D1750" w:rsidRPr="00556692" w:rsidRDefault="00996465" w:rsidP="00DB4E37">
      <w:r w:rsidRPr="00556692">
        <w:rPr>
          <w:i/>
          <w:iCs/>
        </w:rPr>
        <w:t>e</w:t>
      </w:r>
      <w:r w:rsidR="009D1750" w:rsidRPr="00556692">
        <w:rPr>
          <w:i/>
          <w:iCs/>
        </w:rPr>
        <w:t>)</w:t>
      </w:r>
      <w:r w:rsidR="009D1750" w:rsidRPr="00556692">
        <w:tab/>
        <w:t xml:space="preserve">que la Recommandation </w:t>
      </w:r>
      <w:r w:rsidR="009D1750" w:rsidRPr="00556692">
        <w:rPr>
          <w:lang w:eastAsia="ja-JP"/>
        </w:rPr>
        <w:t>UIT</w:t>
      </w:r>
      <w:r w:rsidR="009D1750" w:rsidRPr="00556692">
        <w:rPr>
          <w:lang w:eastAsia="ja-JP"/>
        </w:rPr>
        <w:noBreakHyphen/>
        <w:t>R</w:t>
      </w:r>
      <w:r w:rsidR="009D1750" w:rsidRPr="00556692">
        <w:t xml:space="preserve"> M.1318 fournit un modèle permettant d'évaluer les brouillages causés par des sources environnementales aux récepteurs du SRNS fonctionnant dans les bandes 1 164-1 215 MHz, 1 215</w:t>
      </w:r>
      <w:r w:rsidR="009D1750" w:rsidRPr="00556692">
        <w:noBreakHyphen/>
        <w:t>1 300 MHz, 1 559-1 610 MHz et 5 010-5 030 MHz;</w:t>
      </w:r>
    </w:p>
    <w:p w14:paraId="44CBBE49" w14:textId="7FE57A04" w:rsidR="00996465" w:rsidRPr="00556692" w:rsidRDefault="00996465" w:rsidP="00DB4E37">
      <w:r w:rsidRPr="00556692">
        <w:rPr>
          <w:i/>
          <w:iCs/>
        </w:rPr>
        <w:t>f)</w:t>
      </w:r>
      <w:r w:rsidRPr="00556692">
        <w:rPr>
          <w:i/>
          <w:iCs/>
        </w:rPr>
        <w:tab/>
      </w:r>
      <w:r w:rsidRPr="00556692">
        <w:t xml:space="preserve">que la Recommandation </w:t>
      </w:r>
      <w:r w:rsidRPr="00556692">
        <w:rPr>
          <w:lang w:eastAsia="ja-JP"/>
        </w:rPr>
        <w:t>UIT</w:t>
      </w:r>
      <w:r w:rsidRPr="00556692">
        <w:rPr>
          <w:lang w:eastAsia="ja-JP"/>
        </w:rPr>
        <w:noBreakHyphen/>
        <w:t>R</w:t>
      </w:r>
      <w:r w:rsidRPr="00556692">
        <w:t xml:space="preserve"> M.2030 fournit </w:t>
      </w:r>
      <w:r w:rsidR="004958AD" w:rsidRPr="00556692">
        <w:t>«</w:t>
      </w:r>
      <w:r w:rsidRPr="00556692">
        <w:t>une méthode d'évaluation d</w:t>
      </w:r>
      <w:r w:rsidR="00103FC8" w:rsidRPr="00556692">
        <w:t xml:space="preserve">u </w:t>
      </w:r>
      <w:r w:rsidRPr="00556692">
        <w:t>brouillage par impulsion</w:t>
      </w:r>
      <w:r w:rsidR="007D47A5" w:rsidRPr="00556692">
        <w:t>s</w:t>
      </w:r>
      <w:r w:rsidRPr="00556692">
        <w:t xml:space="preserve"> </w:t>
      </w:r>
      <w:r w:rsidR="00103FC8" w:rsidRPr="00556692">
        <w:t>causé par</w:t>
      </w:r>
      <w:r w:rsidRPr="00556692">
        <w:t xml:space="preserve"> des sources radioélectriques autres que </w:t>
      </w:r>
      <w:r w:rsidR="00103FC8" w:rsidRPr="00556692">
        <w:t xml:space="preserve">celles du </w:t>
      </w:r>
      <w:r w:rsidRPr="00556692">
        <w:t>SRNS aux systèmes et réseaux du SRNS fonctionnant dans les bandes 1 164-1 215 MHz, 1 215</w:t>
      </w:r>
      <w:r w:rsidRPr="00556692">
        <w:noBreakHyphen/>
        <w:t>1 300 MHz, 1 559-1 610 MHz</w:t>
      </w:r>
      <w:r w:rsidR="004958AD" w:rsidRPr="00556692">
        <w:t>»</w:t>
      </w:r>
      <w:r w:rsidRPr="00556692">
        <w:t>;</w:t>
      </w:r>
    </w:p>
    <w:p w14:paraId="574FDA9F" w14:textId="77777777" w:rsidR="009D1750" w:rsidRPr="00556692" w:rsidRDefault="00996465" w:rsidP="00DB4E37">
      <w:r w:rsidRPr="00556692">
        <w:rPr>
          <w:i/>
          <w:iCs/>
        </w:rPr>
        <w:t>g</w:t>
      </w:r>
      <w:r w:rsidR="009D1750" w:rsidRPr="00556692">
        <w:rPr>
          <w:i/>
          <w:iCs/>
        </w:rPr>
        <w:t>)</w:t>
      </w:r>
      <w:r w:rsidR="009D1750" w:rsidRPr="00556692">
        <w:tab/>
        <w:t xml:space="preserve">que la Recommandation </w:t>
      </w:r>
      <w:r w:rsidR="009D1750" w:rsidRPr="00556692">
        <w:rPr>
          <w:lang w:eastAsia="ja-JP"/>
        </w:rPr>
        <w:t>UIT</w:t>
      </w:r>
      <w:r w:rsidR="009D1750" w:rsidRPr="00556692">
        <w:rPr>
          <w:lang w:eastAsia="ja-JP"/>
        </w:rPr>
        <w:noBreakHyphen/>
        <w:t>R</w:t>
      </w:r>
      <w:r w:rsidR="009D1750" w:rsidRPr="00556692">
        <w:t xml:space="preserve"> M.1831 fournit une méthode d'estimation des brouillages entre systèmes du SRNS à utiliser pour la coordination en</w:t>
      </w:r>
      <w:r w:rsidR="001C50D4" w:rsidRPr="00556692">
        <w:t>tre réseaux et systèmes du SRNS,</w:t>
      </w:r>
    </w:p>
    <w:p w14:paraId="2D82F961" w14:textId="77777777" w:rsidR="009D1750" w:rsidRPr="00556692" w:rsidRDefault="009D1750" w:rsidP="00DB4E37">
      <w:pPr>
        <w:pStyle w:val="Call"/>
      </w:pPr>
      <w:r w:rsidRPr="00556692">
        <w:t>recommande</w:t>
      </w:r>
    </w:p>
    <w:p w14:paraId="14A5BC22" w14:textId="2186EE35" w:rsidR="009D1750" w:rsidRPr="00556692" w:rsidRDefault="009D1750" w:rsidP="00DB4E37">
      <w:r w:rsidRPr="00556692">
        <w:t xml:space="preserve">d'utiliser </w:t>
      </w:r>
      <w:r w:rsidR="00103FC8" w:rsidRPr="00556692">
        <w:t>l'Annexe 1 comme orientation</w:t>
      </w:r>
      <w:r w:rsidRPr="00556692">
        <w:t xml:space="preserve"> général</w:t>
      </w:r>
      <w:r w:rsidR="00103FC8" w:rsidRPr="00556692">
        <w:t>e</w:t>
      </w:r>
      <w:r w:rsidRPr="00556692">
        <w:t> pour les Recommandations UIT-R relatives aux systèmes et réseaux du SRNS fonctionnant dans les bandes 1 164-1 215 MHz, 1 215</w:t>
      </w:r>
      <w:r w:rsidRPr="00556692">
        <w:noBreakHyphen/>
        <w:t>1 300 MHz, 1 559-1 610 MHz, 5 000</w:t>
      </w:r>
      <w:r w:rsidRPr="00556692">
        <w:noBreakHyphen/>
        <w:t>5 010 MHz et 5 010-5 030 MHz.</w:t>
      </w:r>
    </w:p>
    <w:p w14:paraId="352F192D" w14:textId="77777777" w:rsidR="002635C9" w:rsidRPr="00556692" w:rsidRDefault="002635C9" w:rsidP="00DB4E37"/>
    <w:p w14:paraId="6AE5AF5B" w14:textId="77777777" w:rsidR="00746899" w:rsidRPr="00556692" w:rsidRDefault="00746899" w:rsidP="00DB4E37"/>
    <w:p w14:paraId="0885385D" w14:textId="5BBA22DD" w:rsidR="009D1750" w:rsidRPr="00556692" w:rsidRDefault="009D1750" w:rsidP="00FA7B83">
      <w:pPr>
        <w:pStyle w:val="StyleAnnexNoTitleBefore6pt"/>
      </w:pPr>
      <w:r w:rsidRPr="00556692">
        <w:t>Annexe 1</w:t>
      </w:r>
    </w:p>
    <w:p w14:paraId="79CFF676" w14:textId="77777777" w:rsidR="009D1750" w:rsidRPr="00556692" w:rsidRDefault="009D1750" w:rsidP="00DB4E37">
      <w:pPr>
        <w:pStyle w:val="Heading1"/>
      </w:pPr>
      <w:r w:rsidRPr="00556692">
        <w:t>1</w:t>
      </w:r>
      <w:r w:rsidRPr="00556692">
        <w:tab/>
      </w:r>
      <w:r w:rsidR="00996465" w:rsidRPr="00556692">
        <w:t>Liste</w:t>
      </w:r>
      <w:r w:rsidRPr="00556692">
        <w:t xml:space="preserve"> des Recommandations relatives au SRNS</w:t>
      </w:r>
    </w:p>
    <w:p w14:paraId="3A2F134A" w14:textId="77777777" w:rsidR="009D1750" w:rsidRPr="00556692" w:rsidRDefault="009D1750" w:rsidP="00DB4E37">
      <w:r w:rsidRPr="00556692">
        <w:t>L</w:t>
      </w:r>
      <w:r w:rsidR="00996465" w:rsidRPr="00556692">
        <w:t>a liste d</w:t>
      </w:r>
      <w:r w:rsidRPr="00556692">
        <w:t>es Recommandations UIT</w:t>
      </w:r>
      <w:r w:rsidRPr="00556692">
        <w:noBreakHyphen/>
        <w:t xml:space="preserve">R fournissant les caractéristiques techniques et les critères de protection des systèmes et réseaux du SRNS </w:t>
      </w:r>
      <w:r w:rsidR="00996465" w:rsidRPr="00556692">
        <w:t>est donnée</w:t>
      </w:r>
      <w:r w:rsidRPr="00556692">
        <w:t xml:space="preserve"> dans le Tableau 1. Pour un système particulier du SRNS examiné, certaines Recommandations donnent des détails concernant ce système dans une annexe distincte alors que dans d'autres Recommandations il y a une annexe commune pour tous les systèmes.</w:t>
      </w:r>
    </w:p>
    <w:p w14:paraId="3B03D2A1" w14:textId="6AEB5AEE" w:rsidR="009D1750" w:rsidRPr="00556692" w:rsidRDefault="009D1750" w:rsidP="00556692">
      <w:pPr>
        <w:pStyle w:val="TableNo"/>
        <w:spacing w:before="480"/>
      </w:pPr>
      <w:bookmarkStart w:id="4" w:name="_Ref121558559"/>
      <w:r w:rsidRPr="00556692">
        <w:t xml:space="preserve">TABLEAU </w:t>
      </w:r>
      <w:bookmarkEnd w:id="4"/>
      <w:r w:rsidRPr="00556692">
        <w:t>1</w:t>
      </w:r>
    </w:p>
    <w:p w14:paraId="1CB42EAD" w14:textId="77777777" w:rsidR="009D1750" w:rsidRPr="00556692" w:rsidRDefault="009D1750" w:rsidP="00DB4E37">
      <w:pPr>
        <w:pStyle w:val="Tabletitle"/>
      </w:pPr>
      <w:r w:rsidRPr="00556692">
        <w:t>Recommandations UIT</w:t>
      </w:r>
      <w:r w:rsidRPr="00556692">
        <w:noBreakHyphen/>
        <w:t>R sur les caractéristiques et les critères de protection applicables aux systèmes du SRNS fonctionnant dans les bandes 1 164-1 215 MHz, 1 215</w:t>
      </w:r>
      <w:r w:rsidR="002635C9" w:rsidRPr="00556692">
        <w:noBreakHyphen/>
      </w:r>
      <w:r w:rsidR="007D47A5" w:rsidRPr="00556692">
        <w:t>1 300 MHz, 1 559</w:t>
      </w:r>
      <w:r w:rsidR="007D47A5" w:rsidRPr="00556692">
        <w:noBreakHyphen/>
      </w:r>
      <w:r w:rsidRPr="00556692">
        <w:t>1 610 MHz</w:t>
      </w:r>
      <w:r w:rsidR="00996465" w:rsidRPr="00556692">
        <w:t>,</w:t>
      </w:r>
      <w:r w:rsidRPr="00556692">
        <w:t xml:space="preserve"> 5 000-5 010 MHz</w:t>
      </w:r>
      <w:r w:rsidR="00996465" w:rsidRPr="00556692">
        <w:t xml:space="preserve"> et 5 010-5 030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6201B6" w:rsidRPr="00556692" w14:paraId="5C135ECF"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476F6190" w14:textId="77777777" w:rsidR="006201B6" w:rsidRPr="00556692" w:rsidRDefault="006201B6" w:rsidP="00DB4E37">
            <w:pPr>
              <w:pStyle w:val="Tablehead"/>
            </w:pPr>
            <w:r w:rsidRPr="00556692">
              <w:t>Bande(s)</w:t>
            </w:r>
            <w:r w:rsidRPr="00556692">
              <w:br/>
              <w:t>(MHz)</w:t>
            </w:r>
          </w:p>
        </w:tc>
        <w:tc>
          <w:tcPr>
            <w:tcW w:w="1417" w:type="dxa"/>
            <w:tcBorders>
              <w:top w:val="single" w:sz="4" w:space="0" w:color="auto"/>
              <w:left w:val="single" w:sz="4" w:space="0" w:color="auto"/>
              <w:bottom w:val="single" w:sz="4" w:space="0" w:color="auto"/>
              <w:right w:val="single" w:sz="4" w:space="0" w:color="auto"/>
            </w:tcBorders>
            <w:vAlign w:val="center"/>
          </w:tcPr>
          <w:p w14:paraId="16FEAC6E" w14:textId="77777777" w:rsidR="006201B6" w:rsidRPr="00556692" w:rsidRDefault="006201B6" w:rsidP="00DB4E37">
            <w:pPr>
              <w:pStyle w:val="Tablehead"/>
            </w:pPr>
            <w:r w:rsidRPr="00556692">
              <w:t xml:space="preserve">Types de station </w:t>
            </w:r>
          </w:p>
        </w:tc>
        <w:tc>
          <w:tcPr>
            <w:tcW w:w="1417" w:type="dxa"/>
            <w:tcBorders>
              <w:top w:val="single" w:sz="4" w:space="0" w:color="auto"/>
              <w:left w:val="single" w:sz="4" w:space="0" w:color="auto"/>
              <w:bottom w:val="single" w:sz="4" w:space="0" w:color="auto"/>
              <w:right w:val="single" w:sz="4" w:space="0" w:color="auto"/>
            </w:tcBorders>
            <w:vAlign w:val="center"/>
          </w:tcPr>
          <w:p w14:paraId="4329A6A4" w14:textId="77777777" w:rsidR="006201B6" w:rsidRPr="00556692" w:rsidRDefault="006201B6" w:rsidP="00DB4E37">
            <w:pPr>
              <w:pStyle w:val="Tablehead"/>
            </w:pPr>
            <w:r w:rsidRPr="00556692">
              <w:t>Rec. UIT</w:t>
            </w:r>
            <w:r w:rsidRPr="00556692">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14:paraId="2FEAC1A3" w14:textId="77777777" w:rsidR="006201B6" w:rsidRPr="00556692" w:rsidRDefault="000526C4" w:rsidP="00DB4E37">
            <w:pPr>
              <w:pStyle w:val="Tablehead"/>
            </w:pPr>
            <w:r w:rsidRPr="00556692">
              <w:t>Titre</w:t>
            </w:r>
          </w:p>
        </w:tc>
      </w:tr>
      <w:tr w:rsidR="006201B6" w:rsidRPr="00556692" w14:paraId="0A9DFC69"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6E2907CF" w14:textId="77777777" w:rsidR="006201B6" w:rsidRPr="00556692" w:rsidRDefault="006201B6" w:rsidP="00DB4E37">
            <w:pPr>
              <w:pStyle w:val="Tabletext"/>
            </w:pPr>
            <w:r w:rsidRPr="00556692">
              <w:t>1 164-1 215</w:t>
            </w:r>
          </w:p>
        </w:tc>
        <w:tc>
          <w:tcPr>
            <w:tcW w:w="1417" w:type="dxa"/>
            <w:tcBorders>
              <w:top w:val="single" w:sz="4" w:space="0" w:color="auto"/>
              <w:left w:val="single" w:sz="4" w:space="0" w:color="auto"/>
              <w:bottom w:val="single" w:sz="4" w:space="0" w:color="auto"/>
              <w:right w:val="single" w:sz="4" w:space="0" w:color="auto"/>
            </w:tcBorders>
          </w:tcPr>
          <w:p w14:paraId="371D7D85" w14:textId="77777777" w:rsidR="006201B6" w:rsidRPr="00556692" w:rsidRDefault="006201B6" w:rsidP="00DB4E37">
            <w:pPr>
              <w:pStyle w:val="Tabletext"/>
            </w:pPr>
            <w:r w:rsidRPr="00556692">
              <w:t>Récepteur d'utilisateur</w:t>
            </w:r>
          </w:p>
        </w:tc>
        <w:tc>
          <w:tcPr>
            <w:tcW w:w="1417" w:type="dxa"/>
            <w:tcBorders>
              <w:top w:val="single" w:sz="4" w:space="0" w:color="auto"/>
              <w:left w:val="single" w:sz="4" w:space="0" w:color="auto"/>
              <w:bottom w:val="single" w:sz="4" w:space="0" w:color="auto"/>
              <w:right w:val="single" w:sz="4" w:space="0" w:color="auto"/>
            </w:tcBorders>
          </w:tcPr>
          <w:p w14:paraId="016531C2" w14:textId="77777777" w:rsidR="006201B6" w:rsidRPr="00556692" w:rsidRDefault="006201B6" w:rsidP="00DB4E37">
            <w:pPr>
              <w:pStyle w:val="Tabletext"/>
            </w:pPr>
            <w:r w:rsidRPr="00556692">
              <w:t>M.1905</w:t>
            </w:r>
          </w:p>
        </w:tc>
        <w:tc>
          <w:tcPr>
            <w:tcW w:w="5386" w:type="dxa"/>
            <w:tcBorders>
              <w:top w:val="single" w:sz="4" w:space="0" w:color="auto"/>
              <w:left w:val="single" w:sz="4" w:space="0" w:color="auto"/>
              <w:bottom w:val="single" w:sz="4" w:space="0" w:color="auto"/>
              <w:right w:val="single" w:sz="4" w:space="0" w:color="auto"/>
            </w:tcBorders>
          </w:tcPr>
          <w:p w14:paraId="22329C2C" w14:textId="77777777" w:rsidR="006201B6" w:rsidRPr="00556692" w:rsidRDefault="00B97EF3" w:rsidP="00DB4E37">
            <w:pPr>
              <w:pStyle w:val="Tabletext"/>
              <w:jc w:val="left"/>
            </w:pPr>
            <w:r w:rsidRPr="00556692">
              <w:t>Caractéristiques et critères de protection applicables aux stations terriennes de réception du service de radionavigation par satellite (espace vers Terre) fonctionnant dans la bande 1 164-1 215 MHz</w:t>
            </w:r>
          </w:p>
        </w:tc>
      </w:tr>
      <w:tr w:rsidR="006201B6" w:rsidRPr="00556692" w14:paraId="367A4D3C"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69E8FE81" w14:textId="77777777" w:rsidR="006201B6" w:rsidRPr="00556692" w:rsidRDefault="006201B6" w:rsidP="00DB4E37">
            <w:pPr>
              <w:pStyle w:val="Tabletext"/>
            </w:pPr>
            <w:r w:rsidRPr="00556692">
              <w:t>1 215-1 300</w:t>
            </w:r>
          </w:p>
        </w:tc>
        <w:tc>
          <w:tcPr>
            <w:tcW w:w="1417" w:type="dxa"/>
            <w:tcBorders>
              <w:top w:val="single" w:sz="4" w:space="0" w:color="auto"/>
              <w:left w:val="single" w:sz="4" w:space="0" w:color="auto"/>
              <w:bottom w:val="single" w:sz="4" w:space="0" w:color="auto"/>
              <w:right w:val="single" w:sz="4" w:space="0" w:color="auto"/>
            </w:tcBorders>
          </w:tcPr>
          <w:p w14:paraId="2A787F75" w14:textId="77777777" w:rsidR="006201B6" w:rsidRPr="00556692" w:rsidRDefault="006201B6" w:rsidP="00DB4E37">
            <w:pPr>
              <w:pStyle w:val="Tabletext"/>
            </w:pPr>
            <w:r w:rsidRPr="00556692">
              <w:t>Récepteur d'utilisateur</w:t>
            </w:r>
          </w:p>
        </w:tc>
        <w:tc>
          <w:tcPr>
            <w:tcW w:w="1417" w:type="dxa"/>
            <w:tcBorders>
              <w:top w:val="single" w:sz="4" w:space="0" w:color="auto"/>
              <w:left w:val="single" w:sz="4" w:space="0" w:color="auto"/>
              <w:bottom w:val="single" w:sz="4" w:space="0" w:color="auto"/>
              <w:right w:val="single" w:sz="4" w:space="0" w:color="auto"/>
            </w:tcBorders>
          </w:tcPr>
          <w:p w14:paraId="6BBE6C8A" w14:textId="77777777" w:rsidR="006201B6" w:rsidRPr="00556692" w:rsidRDefault="006201B6" w:rsidP="00DB4E37">
            <w:pPr>
              <w:pStyle w:val="Tabletext"/>
            </w:pPr>
            <w:r w:rsidRPr="00556692">
              <w:t>M.1902</w:t>
            </w:r>
          </w:p>
        </w:tc>
        <w:tc>
          <w:tcPr>
            <w:tcW w:w="5386" w:type="dxa"/>
            <w:tcBorders>
              <w:top w:val="single" w:sz="4" w:space="0" w:color="auto"/>
              <w:left w:val="single" w:sz="4" w:space="0" w:color="auto"/>
              <w:bottom w:val="single" w:sz="4" w:space="0" w:color="auto"/>
              <w:right w:val="single" w:sz="4" w:space="0" w:color="auto"/>
            </w:tcBorders>
          </w:tcPr>
          <w:p w14:paraId="0356DD74" w14:textId="77777777" w:rsidR="006201B6" w:rsidRPr="00556692" w:rsidRDefault="009962BB" w:rsidP="00DB4E37">
            <w:pPr>
              <w:pStyle w:val="Tabletext"/>
              <w:jc w:val="left"/>
            </w:pPr>
            <w:r w:rsidRPr="00556692">
              <w:t>Caractéristiques et critères de protection applicables aux stations terriennes de réception du service de radionavigation par satellite (espace vers Terre) fonctionnant dans la bande 1 215-1 300 MHz</w:t>
            </w:r>
          </w:p>
        </w:tc>
      </w:tr>
      <w:tr w:rsidR="006201B6" w:rsidRPr="00556692" w14:paraId="7AD8F2FB"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0CF1C314" w14:textId="77777777" w:rsidR="006201B6" w:rsidRPr="00556692" w:rsidRDefault="006201B6" w:rsidP="00DB4E37">
            <w:pPr>
              <w:pStyle w:val="Tabletext"/>
            </w:pPr>
            <w:r w:rsidRPr="00556692">
              <w:t>1 559-1 610</w:t>
            </w:r>
          </w:p>
        </w:tc>
        <w:tc>
          <w:tcPr>
            <w:tcW w:w="1417" w:type="dxa"/>
            <w:tcBorders>
              <w:top w:val="single" w:sz="4" w:space="0" w:color="auto"/>
              <w:left w:val="single" w:sz="4" w:space="0" w:color="auto"/>
              <w:bottom w:val="single" w:sz="4" w:space="0" w:color="auto"/>
              <w:right w:val="single" w:sz="4" w:space="0" w:color="auto"/>
            </w:tcBorders>
          </w:tcPr>
          <w:p w14:paraId="31D5864C" w14:textId="77777777" w:rsidR="006201B6" w:rsidRPr="00556692" w:rsidRDefault="006201B6" w:rsidP="00DB4E37">
            <w:pPr>
              <w:pStyle w:val="Tabletext"/>
            </w:pPr>
            <w:r w:rsidRPr="00556692">
              <w:t>Récepteur d'utilisateur</w:t>
            </w:r>
          </w:p>
        </w:tc>
        <w:tc>
          <w:tcPr>
            <w:tcW w:w="1417" w:type="dxa"/>
            <w:tcBorders>
              <w:top w:val="single" w:sz="4" w:space="0" w:color="auto"/>
              <w:left w:val="single" w:sz="4" w:space="0" w:color="auto"/>
              <w:bottom w:val="single" w:sz="4" w:space="0" w:color="auto"/>
              <w:right w:val="single" w:sz="4" w:space="0" w:color="auto"/>
            </w:tcBorders>
          </w:tcPr>
          <w:p w14:paraId="678DD5A4" w14:textId="77777777" w:rsidR="006201B6" w:rsidRPr="00556692" w:rsidRDefault="006201B6" w:rsidP="00DB4E37">
            <w:pPr>
              <w:pStyle w:val="Tabletext"/>
            </w:pPr>
            <w:r w:rsidRPr="00556692">
              <w:t>M.1903</w:t>
            </w:r>
          </w:p>
        </w:tc>
        <w:tc>
          <w:tcPr>
            <w:tcW w:w="5386" w:type="dxa"/>
            <w:tcBorders>
              <w:top w:val="single" w:sz="4" w:space="0" w:color="auto"/>
              <w:left w:val="single" w:sz="4" w:space="0" w:color="auto"/>
              <w:bottom w:val="single" w:sz="4" w:space="0" w:color="auto"/>
              <w:right w:val="single" w:sz="4" w:space="0" w:color="auto"/>
            </w:tcBorders>
          </w:tcPr>
          <w:p w14:paraId="4749F215" w14:textId="77777777" w:rsidR="006201B6" w:rsidRPr="00556692" w:rsidRDefault="00B97EF3" w:rsidP="00DB4E37">
            <w:pPr>
              <w:pStyle w:val="Tabletext"/>
              <w:jc w:val="left"/>
            </w:pPr>
            <w:r w:rsidRPr="00556692">
              <w:t>Caractéristiques et critères de protection applicables aux stations terriennes de réception du service de radionavigation par satellite (espace vers Terre) et aux récepteurs du service de radionavigation aéronautique fonctionnant dans la bande 1 559-1 610 MHz</w:t>
            </w:r>
          </w:p>
        </w:tc>
      </w:tr>
    </w:tbl>
    <w:p w14:paraId="6FEE81D7" w14:textId="77777777" w:rsidR="005C4E76" w:rsidRPr="00556692" w:rsidRDefault="005C4E76" w:rsidP="00DB4E37">
      <w:r w:rsidRPr="00556692">
        <w:br w:type="page"/>
      </w:r>
    </w:p>
    <w:p w14:paraId="2BF7FC49" w14:textId="77777777" w:rsidR="005C4E76" w:rsidRPr="00556692" w:rsidRDefault="005C4E76" w:rsidP="00DB4E37">
      <w:pPr>
        <w:pStyle w:val="TableNo"/>
      </w:pPr>
      <w:r w:rsidRPr="00556692">
        <w:t xml:space="preserve">TABLEAU 1 </w:t>
      </w:r>
      <w:r w:rsidRPr="00556692">
        <w:rPr>
          <w:i/>
          <w:iCs/>
        </w:rPr>
        <w:t>(</w:t>
      </w:r>
      <w:r w:rsidR="001D1CC8" w:rsidRPr="00556692">
        <w:rPr>
          <w:i/>
          <w:iCs/>
        </w:rPr>
        <w:t>fin</w:t>
      </w:r>
      <w:r w:rsidRPr="00556692">
        <w:rPr>
          <w:i/>
          <w:iCs/>
        </w:rP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5C4E76" w:rsidRPr="00556692" w14:paraId="5D953FC2" w14:textId="77777777" w:rsidTr="00D01FE0">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639634A4" w14:textId="77777777" w:rsidR="005C4E76" w:rsidRPr="00556692" w:rsidRDefault="005C4E76" w:rsidP="00DB4E37">
            <w:pPr>
              <w:pStyle w:val="Tablehead"/>
            </w:pPr>
            <w:r w:rsidRPr="00556692">
              <w:t>Bande(s)</w:t>
            </w:r>
            <w:r w:rsidRPr="00556692">
              <w:br/>
              <w:t>(MHz)</w:t>
            </w:r>
          </w:p>
        </w:tc>
        <w:tc>
          <w:tcPr>
            <w:tcW w:w="1417" w:type="dxa"/>
            <w:tcBorders>
              <w:top w:val="single" w:sz="4" w:space="0" w:color="auto"/>
              <w:left w:val="single" w:sz="4" w:space="0" w:color="auto"/>
              <w:bottom w:val="single" w:sz="4" w:space="0" w:color="auto"/>
              <w:right w:val="single" w:sz="4" w:space="0" w:color="auto"/>
            </w:tcBorders>
            <w:vAlign w:val="center"/>
          </w:tcPr>
          <w:p w14:paraId="146E534B" w14:textId="77777777" w:rsidR="005C4E76" w:rsidRPr="00556692" w:rsidRDefault="005C4E76" w:rsidP="00DB4E37">
            <w:pPr>
              <w:pStyle w:val="Tablehead"/>
            </w:pPr>
            <w:r w:rsidRPr="00556692">
              <w:t xml:space="preserve">Types de station </w:t>
            </w:r>
          </w:p>
        </w:tc>
        <w:tc>
          <w:tcPr>
            <w:tcW w:w="1417" w:type="dxa"/>
            <w:tcBorders>
              <w:top w:val="single" w:sz="4" w:space="0" w:color="auto"/>
              <w:left w:val="single" w:sz="4" w:space="0" w:color="auto"/>
              <w:bottom w:val="single" w:sz="4" w:space="0" w:color="auto"/>
              <w:right w:val="single" w:sz="4" w:space="0" w:color="auto"/>
            </w:tcBorders>
            <w:vAlign w:val="center"/>
          </w:tcPr>
          <w:p w14:paraId="677E244F" w14:textId="77777777" w:rsidR="005C4E76" w:rsidRPr="00556692" w:rsidRDefault="005C4E76" w:rsidP="00DB4E37">
            <w:pPr>
              <w:pStyle w:val="Tablehead"/>
            </w:pPr>
            <w:r w:rsidRPr="00556692">
              <w:t>Rec. UIT</w:t>
            </w:r>
            <w:r w:rsidRPr="00556692">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14:paraId="6D43D026" w14:textId="77777777" w:rsidR="005C4E76" w:rsidRPr="00556692" w:rsidRDefault="005C4E76" w:rsidP="00DB4E37">
            <w:pPr>
              <w:pStyle w:val="Tablehead"/>
            </w:pPr>
            <w:r w:rsidRPr="00556692">
              <w:t>Titre</w:t>
            </w:r>
          </w:p>
        </w:tc>
      </w:tr>
      <w:tr w:rsidR="006201B6" w:rsidRPr="00556692" w14:paraId="07048909"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41BBDC5A" w14:textId="77777777" w:rsidR="006201B6" w:rsidRPr="00556692" w:rsidRDefault="006201B6" w:rsidP="00DB4E37">
            <w:pPr>
              <w:pStyle w:val="Tabletext"/>
              <w:keepNext/>
              <w:keepLines/>
              <w:jc w:val="center"/>
            </w:pPr>
            <w:r w:rsidRPr="00556692">
              <w:t>5 010-5 030</w:t>
            </w:r>
          </w:p>
        </w:tc>
        <w:tc>
          <w:tcPr>
            <w:tcW w:w="1417" w:type="dxa"/>
            <w:tcBorders>
              <w:top w:val="single" w:sz="4" w:space="0" w:color="auto"/>
              <w:left w:val="single" w:sz="4" w:space="0" w:color="auto"/>
              <w:bottom w:val="single" w:sz="4" w:space="0" w:color="auto"/>
              <w:right w:val="single" w:sz="4" w:space="0" w:color="auto"/>
            </w:tcBorders>
          </w:tcPr>
          <w:p w14:paraId="5F015198" w14:textId="77777777" w:rsidR="006201B6" w:rsidRPr="00556692" w:rsidRDefault="006201B6" w:rsidP="00DB4E37">
            <w:pPr>
              <w:pStyle w:val="Tabletext"/>
              <w:keepNext/>
              <w:keepLines/>
              <w:jc w:val="left"/>
            </w:pPr>
            <w:r w:rsidRPr="00556692">
              <w:t>Récepteur d'utilisateur;</w:t>
            </w:r>
            <w:r w:rsidRPr="00556692">
              <w:br/>
              <w:t>Récepteur de station terrienne</w:t>
            </w:r>
          </w:p>
        </w:tc>
        <w:tc>
          <w:tcPr>
            <w:tcW w:w="1417" w:type="dxa"/>
            <w:tcBorders>
              <w:top w:val="single" w:sz="4" w:space="0" w:color="auto"/>
              <w:left w:val="single" w:sz="4" w:space="0" w:color="auto"/>
              <w:bottom w:val="single" w:sz="4" w:space="0" w:color="auto"/>
              <w:right w:val="single" w:sz="4" w:space="0" w:color="auto"/>
            </w:tcBorders>
          </w:tcPr>
          <w:p w14:paraId="50A41972" w14:textId="77777777" w:rsidR="006201B6" w:rsidRPr="00556692" w:rsidRDefault="006201B6" w:rsidP="00DB4E37">
            <w:pPr>
              <w:pStyle w:val="Tabletext"/>
              <w:keepNext/>
              <w:keepLines/>
              <w:jc w:val="left"/>
            </w:pPr>
            <w:r w:rsidRPr="00556692">
              <w:t>M.2031</w:t>
            </w:r>
          </w:p>
        </w:tc>
        <w:tc>
          <w:tcPr>
            <w:tcW w:w="5386" w:type="dxa"/>
            <w:tcBorders>
              <w:top w:val="single" w:sz="4" w:space="0" w:color="auto"/>
              <w:left w:val="single" w:sz="4" w:space="0" w:color="auto"/>
              <w:bottom w:val="single" w:sz="4" w:space="0" w:color="auto"/>
              <w:right w:val="single" w:sz="4" w:space="0" w:color="auto"/>
            </w:tcBorders>
          </w:tcPr>
          <w:p w14:paraId="42711377" w14:textId="77777777" w:rsidR="006201B6" w:rsidRPr="00556692" w:rsidRDefault="00F72466" w:rsidP="00DB4E37">
            <w:pPr>
              <w:pStyle w:val="Tabletext"/>
              <w:keepNext/>
              <w:keepLines/>
              <w:jc w:val="left"/>
            </w:pPr>
            <w:r w:rsidRPr="00556692">
              <w:t>Caractéristiques et critères de protection des stations terriennes de réception et caractéristiques des stations spatiales d'émission du service de radionavigation par satellite (espace vers Terr</w:t>
            </w:r>
            <w:r w:rsidR="007D47A5" w:rsidRPr="00556692">
              <w:t>e) fonctionnant dans la bande 5 </w:t>
            </w:r>
            <w:r w:rsidRPr="00556692">
              <w:t>010-5 030 MHz</w:t>
            </w:r>
          </w:p>
        </w:tc>
      </w:tr>
      <w:tr w:rsidR="006201B6" w:rsidRPr="00556692" w14:paraId="178AA1F3"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5409D8B6" w14:textId="77777777" w:rsidR="006201B6" w:rsidRPr="00556692" w:rsidRDefault="006201B6" w:rsidP="00DB4E37">
            <w:pPr>
              <w:pStyle w:val="Tabletext"/>
            </w:pPr>
            <w:r w:rsidRPr="00556692">
              <w:t>5 000-5 010</w:t>
            </w:r>
          </w:p>
        </w:tc>
        <w:tc>
          <w:tcPr>
            <w:tcW w:w="1417" w:type="dxa"/>
            <w:tcBorders>
              <w:top w:val="single" w:sz="4" w:space="0" w:color="auto"/>
              <w:left w:val="single" w:sz="4" w:space="0" w:color="auto"/>
              <w:bottom w:val="single" w:sz="4" w:space="0" w:color="auto"/>
              <w:right w:val="single" w:sz="4" w:space="0" w:color="auto"/>
            </w:tcBorders>
          </w:tcPr>
          <w:p w14:paraId="18CBB209" w14:textId="77777777" w:rsidR="006201B6" w:rsidRPr="00556692" w:rsidRDefault="006201B6" w:rsidP="00DB4E37">
            <w:pPr>
              <w:pStyle w:val="Tabletext"/>
              <w:jc w:val="left"/>
            </w:pPr>
            <w:r w:rsidRPr="00556692">
              <w:t xml:space="preserve">Récepteur de satellite </w:t>
            </w:r>
          </w:p>
        </w:tc>
        <w:tc>
          <w:tcPr>
            <w:tcW w:w="1417" w:type="dxa"/>
            <w:tcBorders>
              <w:top w:val="single" w:sz="4" w:space="0" w:color="auto"/>
              <w:left w:val="single" w:sz="4" w:space="0" w:color="auto"/>
              <w:bottom w:val="single" w:sz="4" w:space="0" w:color="auto"/>
              <w:right w:val="single" w:sz="4" w:space="0" w:color="auto"/>
            </w:tcBorders>
          </w:tcPr>
          <w:p w14:paraId="5979B6AB" w14:textId="77777777" w:rsidR="006201B6" w:rsidRPr="00556692" w:rsidRDefault="006201B6" w:rsidP="00DB4E37">
            <w:pPr>
              <w:pStyle w:val="Tabletext"/>
            </w:pPr>
            <w:r w:rsidRPr="00556692">
              <w:t>M.1906</w:t>
            </w:r>
          </w:p>
        </w:tc>
        <w:tc>
          <w:tcPr>
            <w:tcW w:w="5386" w:type="dxa"/>
            <w:tcBorders>
              <w:top w:val="single" w:sz="4" w:space="0" w:color="auto"/>
              <w:left w:val="single" w:sz="4" w:space="0" w:color="auto"/>
              <w:bottom w:val="single" w:sz="4" w:space="0" w:color="auto"/>
              <w:right w:val="single" w:sz="4" w:space="0" w:color="auto"/>
            </w:tcBorders>
          </w:tcPr>
          <w:p w14:paraId="2D61AF30" w14:textId="77777777" w:rsidR="006201B6" w:rsidRPr="00556692" w:rsidRDefault="00B97EF3" w:rsidP="00DB4E37">
            <w:pPr>
              <w:pStyle w:val="Tabletext"/>
              <w:jc w:val="left"/>
            </w:pPr>
            <w:r w:rsidRPr="00556692">
              <w:t>Caractéristiques et critères de protection des stations spatiales de réception et caractéristiques des stations terriennes d'émission du</w:t>
            </w:r>
            <w:r w:rsidR="007D47A5" w:rsidRPr="00556692">
              <w:t xml:space="preserve"> service de radionavigation par </w:t>
            </w:r>
            <w:r w:rsidRPr="00556692">
              <w:t>satellite (Terre vers espace) fonctionnant dans la bande 5 000-5 010 MHz</w:t>
            </w:r>
          </w:p>
        </w:tc>
      </w:tr>
      <w:tr w:rsidR="000526C4" w:rsidRPr="00556692" w14:paraId="6BC16F26" w14:textId="77777777" w:rsidTr="000526C4">
        <w:trPr>
          <w:jc w:val="center"/>
        </w:trPr>
        <w:tc>
          <w:tcPr>
            <w:tcW w:w="1417" w:type="dxa"/>
            <w:tcBorders>
              <w:top w:val="single" w:sz="4" w:space="0" w:color="auto"/>
              <w:left w:val="single" w:sz="4" w:space="0" w:color="auto"/>
              <w:bottom w:val="single" w:sz="4" w:space="0" w:color="auto"/>
              <w:right w:val="single" w:sz="4" w:space="0" w:color="auto"/>
            </w:tcBorders>
          </w:tcPr>
          <w:p w14:paraId="3C73B521" w14:textId="77777777" w:rsidR="000526C4" w:rsidRPr="00556692" w:rsidRDefault="000526C4" w:rsidP="00DB4E37">
            <w:pPr>
              <w:pStyle w:val="Tabletext"/>
              <w:jc w:val="center"/>
            </w:pPr>
            <w:r w:rsidRPr="00556692">
              <w:t>1 164-1 215</w:t>
            </w:r>
            <w:r w:rsidRPr="00556692">
              <w:br/>
              <w:t>1 215-1 300</w:t>
            </w:r>
            <w:r w:rsidRPr="00556692">
              <w:br/>
              <w:t>1 559-1 610</w:t>
            </w:r>
          </w:p>
        </w:tc>
        <w:tc>
          <w:tcPr>
            <w:tcW w:w="1417" w:type="dxa"/>
            <w:tcBorders>
              <w:top w:val="single" w:sz="4" w:space="0" w:color="auto"/>
              <w:left w:val="single" w:sz="4" w:space="0" w:color="auto"/>
              <w:bottom w:val="single" w:sz="4" w:space="0" w:color="auto"/>
              <w:right w:val="single" w:sz="4" w:space="0" w:color="auto"/>
            </w:tcBorders>
          </w:tcPr>
          <w:p w14:paraId="3DF88243" w14:textId="77777777" w:rsidR="000526C4" w:rsidRPr="00556692" w:rsidRDefault="000526C4" w:rsidP="00DB4E37">
            <w:pPr>
              <w:pStyle w:val="Tabletext"/>
            </w:pPr>
            <w:r w:rsidRPr="00556692">
              <w:t>Récepteur d'utilisateur spatioporté</w:t>
            </w:r>
          </w:p>
        </w:tc>
        <w:tc>
          <w:tcPr>
            <w:tcW w:w="1417" w:type="dxa"/>
            <w:tcBorders>
              <w:top w:val="single" w:sz="4" w:space="0" w:color="auto"/>
              <w:left w:val="single" w:sz="4" w:space="0" w:color="auto"/>
              <w:bottom w:val="single" w:sz="4" w:space="0" w:color="auto"/>
              <w:right w:val="single" w:sz="4" w:space="0" w:color="auto"/>
            </w:tcBorders>
          </w:tcPr>
          <w:p w14:paraId="01AA24ED" w14:textId="77777777" w:rsidR="000526C4" w:rsidRPr="00556692" w:rsidRDefault="000526C4" w:rsidP="00DB4E37">
            <w:pPr>
              <w:pStyle w:val="Tabletext"/>
            </w:pPr>
            <w:r w:rsidRPr="00556692">
              <w:t>M.1904</w:t>
            </w:r>
          </w:p>
        </w:tc>
        <w:tc>
          <w:tcPr>
            <w:tcW w:w="5386" w:type="dxa"/>
            <w:tcBorders>
              <w:top w:val="single" w:sz="4" w:space="0" w:color="auto"/>
              <w:left w:val="single" w:sz="4" w:space="0" w:color="auto"/>
              <w:bottom w:val="single" w:sz="4" w:space="0" w:color="auto"/>
              <w:right w:val="single" w:sz="4" w:space="0" w:color="auto"/>
            </w:tcBorders>
          </w:tcPr>
          <w:p w14:paraId="775750BE" w14:textId="77777777" w:rsidR="000526C4" w:rsidRPr="00556692" w:rsidRDefault="00B97EF3" w:rsidP="00DB4E37">
            <w:pPr>
              <w:pStyle w:val="Tabletext"/>
              <w:jc w:val="left"/>
            </w:pPr>
            <w:r w:rsidRPr="00556692">
              <w:t>Caractéristiques, critères de qualité de fonctionnement et</w:t>
            </w:r>
            <w:r w:rsidR="007D47A5" w:rsidRPr="00556692">
              <w:t> </w:t>
            </w:r>
            <w:r w:rsidRPr="00556692">
              <w:t>critères de protection applicables aux stations de réception du service de radionavigation par satellite (espace-espace) fonctionnant dans les bandes de fréquences 1 164-1 21</w:t>
            </w:r>
            <w:r w:rsidR="007D47A5" w:rsidRPr="00556692">
              <w:t>5 MHz, 1 215-1 300 MHz et 1 559</w:t>
            </w:r>
            <w:r w:rsidR="007D47A5" w:rsidRPr="00556692">
              <w:noBreakHyphen/>
            </w:r>
            <w:r w:rsidRPr="00556692">
              <w:t>1 610 MHz</w:t>
            </w:r>
          </w:p>
        </w:tc>
      </w:tr>
      <w:tr w:rsidR="000526C4" w:rsidRPr="00556692" w14:paraId="49AFA46B" w14:textId="77777777" w:rsidTr="000526C4">
        <w:trPr>
          <w:jc w:val="center"/>
        </w:trPr>
        <w:tc>
          <w:tcPr>
            <w:tcW w:w="1417" w:type="dxa"/>
            <w:tcBorders>
              <w:top w:val="single" w:sz="4" w:space="0" w:color="auto"/>
              <w:left w:val="single" w:sz="4" w:space="0" w:color="auto"/>
              <w:bottom w:val="single" w:sz="4" w:space="0" w:color="auto"/>
              <w:right w:val="single" w:sz="4" w:space="0" w:color="auto"/>
            </w:tcBorders>
          </w:tcPr>
          <w:p w14:paraId="76D2005C" w14:textId="77777777" w:rsidR="000526C4" w:rsidRPr="00556692" w:rsidRDefault="000526C4" w:rsidP="00DB4E37">
            <w:pPr>
              <w:pStyle w:val="Tabletext"/>
              <w:jc w:val="center"/>
            </w:pPr>
            <w:r w:rsidRPr="00556692">
              <w:t>1 164-1 215</w:t>
            </w:r>
            <w:r w:rsidRPr="00556692">
              <w:br/>
              <w:t>1 215-1 300</w:t>
            </w:r>
            <w:r w:rsidRPr="00556692">
              <w:br/>
              <w:t>1 559-1 610</w:t>
            </w:r>
          </w:p>
        </w:tc>
        <w:tc>
          <w:tcPr>
            <w:tcW w:w="1417" w:type="dxa"/>
            <w:tcBorders>
              <w:top w:val="single" w:sz="4" w:space="0" w:color="auto"/>
              <w:left w:val="single" w:sz="4" w:space="0" w:color="auto"/>
              <w:bottom w:val="single" w:sz="4" w:space="0" w:color="auto"/>
              <w:right w:val="single" w:sz="4" w:space="0" w:color="auto"/>
            </w:tcBorders>
          </w:tcPr>
          <w:p w14:paraId="7164B77D" w14:textId="510595E1" w:rsidR="000526C4" w:rsidRPr="00556692" w:rsidRDefault="00556692" w:rsidP="00DB4E37">
            <w:pPr>
              <w:pStyle w:val="Tabletext"/>
              <w:jc w:val="left"/>
            </w:pPr>
            <w:r w:rsidRPr="00556692">
              <w:t>Émetteur</w:t>
            </w:r>
            <w:r w:rsidR="000526C4" w:rsidRPr="00556692">
              <w:t xml:space="preserve"> de satellite</w:t>
            </w:r>
          </w:p>
        </w:tc>
        <w:tc>
          <w:tcPr>
            <w:tcW w:w="1417" w:type="dxa"/>
            <w:tcBorders>
              <w:top w:val="single" w:sz="4" w:space="0" w:color="auto"/>
              <w:left w:val="single" w:sz="4" w:space="0" w:color="auto"/>
              <w:bottom w:val="single" w:sz="4" w:space="0" w:color="auto"/>
              <w:right w:val="single" w:sz="4" w:space="0" w:color="auto"/>
            </w:tcBorders>
          </w:tcPr>
          <w:p w14:paraId="3FE0302B" w14:textId="77777777" w:rsidR="000526C4" w:rsidRPr="00556692" w:rsidRDefault="000526C4" w:rsidP="00DB4E37">
            <w:pPr>
              <w:pStyle w:val="Tabletext"/>
            </w:pPr>
            <w:r w:rsidRPr="00556692">
              <w:t>M.1787</w:t>
            </w:r>
          </w:p>
        </w:tc>
        <w:tc>
          <w:tcPr>
            <w:tcW w:w="5386" w:type="dxa"/>
            <w:tcBorders>
              <w:top w:val="single" w:sz="4" w:space="0" w:color="auto"/>
              <w:left w:val="single" w:sz="4" w:space="0" w:color="auto"/>
              <w:bottom w:val="single" w:sz="4" w:space="0" w:color="auto"/>
              <w:right w:val="single" w:sz="4" w:space="0" w:color="auto"/>
            </w:tcBorders>
          </w:tcPr>
          <w:p w14:paraId="16A4C1E8" w14:textId="29E7181A" w:rsidR="000526C4" w:rsidRPr="00556692" w:rsidRDefault="00B97EF3" w:rsidP="00DB4E37">
            <w:pPr>
              <w:pStyle w:val="Tabletext"/>
              <w:jc w:val="left"/>
            </w:pPr>
            <w:r w:rsidRPr="00556692">
              <w:t>Description des systèmes et réseaux du service de radionavigation par satelli</w:t>
            </w:r>
            <w:r w:rsidR="007D47A5" w:rsidRPr="00556692">
              <w:t>te (espace vers Terre et espace</w:t>
            </w:r>
            <w:r w:rsidR="007D47A5" w:rsidRPr="00556692">
              <w:noBreakHyphen/>
            </w:r>
            <w:r w:rsidRPr="00556692">
              <w:t>espace) et caractéri</w:t>
            </w:r>
            <w:r w:rsidR="007D47A5" w:rsidRPr="00556692">
              <w:t>stiques techniques des stations </w:t>
            </w:r>
            <w:r w:rsidRPr="00556692">
              <w:t>spatiales d'émissi</w:t>
            </w:r>
            <w:r w:rsidR="007D47A5" w:rsidRPr="00556692">
              <w:t>on fonctionnant dans les bandes </w:t>
            </w:r>
            <w:r w:rsidRPr="00556692">
              <w:t>1 164-1 215 MHz, 1</w:t>
            </w:r>
            <w:r w:rsidR="007D47A5" w:rsidRPr="00556692">
              <w:t xml:space="preserve"> 215-1 300 MHz et 1 559</w:t>
            </w:r>
            <w:r w:rsidR="007D47A5" w:rsidRPr="00556692">
              <w:noBreakHyphen/>
              <w:t>1 </w:t>
            </w:r>
            <w:r w:rsidRPr="00556692">
              <w:t>610 MHz</w:t>
            </w:r>
          </w:p>
        </w:tc>
      </w:tr>
    </w:tbl>
    <w:p w14:paraId="72436D1E" w14:textId="77777777" w:rsidR="00623433" w:rsidRPr="00556692" w:rsidRDefault="00623433" w:rsidP="00DB4E37">
      <w:pPr>
        <w:pStyle w:val="Tablefin"/>
        <w:rPr>
          <w:lang w:val="fr-FR"/>
        </w:rPr>
      </w:pPr>
    </w:p>
    <w:p w14:paraId="1FBE0658" w14:textId="77777777" w:rsidR="009D1750" w:rsidRPr="00556692" w:rsidRDefault="009D1750" w:rsidP="00FA7B83">
      <w:r w:rsidRPr="00556692">
        <w:t>Le Tableau 2 donne la liste des Recommandations UIT</w:t>
      </w:r>
      <w:r w:rsidRPr="00556692">
        <w:noBreakHyphen/>
        <w:t>R q</w:t>
      </w:r>
      <w:r w:rsidR="007D47A5" w:rsidRPr="00556692">
        <w:t xml:space="preserve">ui fournissent des modèles </w:t>
      </w:r>
      <w:proofErr w:type="gramStart"/>
      <w:r w:rsidR="007D47A5" w:rsidRPr="00556692">
        <w:t>pour</w:t>
      </w:r>
      <w:r w:rsidRPr="00556692">
        <w:t>:</w:t>
      </w:r>
      <w:proofErr w:type="gramEnd"/>
    </w:p>
    <w:p w14:paraId="58062DEB" w14:textId="0451B55C" w:rsidR="009D1750" w:rsidRPr="00556692" w:rsidRDefault="009D1750" w:rsidP="00DB4E37">
      <w:pPr>
        <w:pStyle w:val="enumlev1"/>
      </w:pPr>
      <w:r w:rsidRPr="00556692">
        <w:t>1)</w:t>
      </w:r>
      <w:r w:rsidRPr="00556692">
        <w:tab/>
        <w:t xml:space="preserve">évaluer les brouillages continus </w:t>
      </w:r>
      <w:r w:rsidR="000526C4" w:rsidRPr="00556692">
        <w:t xml:space="preserve">et des brouillages par impulsions </w:t>
      </w:r>
      <w:r w:rsidR="004958AD" w:rsidRPr="00556692">
        <w:t>(</w:t>
      </w:r>
      <w:r w:rsidR="005352AB" w:rsidRPr="00556692">
        <w:t>voir la</w:t>
      </w:r>
      <w:r w:rsidR="004958AD" w:rsidRPr="00556692">
        <w:t xml:space="preserve"> Note 3 </w:t>
      </w:r>
      <w:r w:rsidR="005352AB" w:rsidRPr="00556692">
        <w:t>relative au</w:t>
      </w:r>
      <w:r w:rsidR="004958AD" w:rsidRPr="00556692">
        <w:t xml:space="preserve"> Table</w:t>
      </w:r>
      <w:r w:rsidR="005352AB" w:rsidRPr="00556692">
        <w:t>au</w:t>
      </w:r>
      <w:r w:rsidR="004958AD" w:rsidRPr="00556692">
        <w:t xml:space="preserve"> 3) </w:t>
      </w:r>
      <w:r w:rsidRPr="00556692">
        <w:t>causés aux r</w:t>
      </w:r>
      <w:r w:rsidR="007D47A5" w:rsidRPr="00556692">
        <w:t>écepteurs du </w:t>
      </w:r>
      <w:r w:rsidRPr="00556692">
        <w:t xml:space="preserve">SRNS par des sources radioélectriques autres que celles du </w:t>
      </w:r>
      <w:proofErr w:type="gramStart"/>
      <w:r w:rsidRPr="00556692">
        <w:t>SRNS;</w:t>
      </w:r>
      <w:proofErr w:type="gramEnd"/>
      <w:r w:rsidRPr="00556692">
        <w:t xml:space="preserve"> et</w:t>
      </w:r>
    </w:p>
    <w:p w14:paraId="001C62F2" w14:textId="77777777" w:rsidR="009D1750" w:rsidRPr="00556692" w:rsidRDefault="009D1750" w:rsidP="00DB4E37">
      <w:pPr>
        <w:pStyle w:val="enumlev1"/>
      </w:pPr>
      <w:r w:rsidRPr="00556692">
        <w:t>2)</w:t>
      </w:r>
      <w:r w:rsidRPr="00556692">
        <w:tab/>
        <w:t>évaluer les brouillages entre systèmes du SRNS aux fins de la coordination entre systèmes et réseaux du SRNS.</w:t>
      </w:r>
    </w:p>
    <w:p w14:paraId="5C0C97D5" w14:textId="77777777" w:rsidR="009D1750" w:rsidRPr="00556692" w:rsidRDefault="009D1750" w:rsidP="00DB4E37">
      <w:pPr>
        <w:pStyle w:val="TableNo"/>
        <w:keepLines/>
      </w:pPr>
      <w:r w:rsidRPr="00556692">
        <w:t>TABLEAU 2</w:t>
      </w:r>
    </w:p>
    <w:p w14:paraId="6A29AFE1" w14:textId="77777777" w:rsidR="009D1750" w:rsidRPr="00556692" w:rsidRDefault="009D1750" w:rsidP="00DB4E37">
      <w:pPr>
        <w:pStyle w:val="Tabletitle"/>
        <w:keepLines/>
      </w:pPr>
      <w:r w:rsidRPr="00556692">
        <w:t>Recommandations UIT</w:t>
      </w:r>
      <w:r w:rsidRPr="00556692">
        <w:noBreakHyphen/>
        <w:t xml:space="preserve">R relatives aux méthodes d'évaluation des brouillages causés </w:t>
      </w:r>
      <w:r w:rsidR="00E64170" w:rsidRPr="00556692">
        <w:br/>
      </w:r>
      <w:r w:rsidRPr="00556692">
        <w:t>aux systèmes du SRNS fonctionnant dans les bandes</w:t>
      </w:r>
      <w:r w:rsidR="00E64170" w:rsidRPr="00556692">
        <w:t xml:space="preserve"> </w:t>
      </w:r>
      <w:r w:rsidRPr="00556692">
        <w:t xml:space="preserve">1 164-1 215 MHz, </w:t>
      </w:r>
      <w:r w:rsidR="00E64170" w:rsidRPr="00556692">
        <w:br/>
      </w:r>
      <w:r w:rsidRPr="00556692">
        <w:t>1 215-1 300 MHz, 1 559-1 610 MHz</w:t>
      </w:r>
      <w:r w:rsidR="00DB00A9" w:rsidRPr="00556692">
        <w:t xml:space="preserve"> </w:t>
      </w:r>
      <w:r w:rsidRPr="00556692">
        <w:t>et 5 010-5 030 MHz</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0526C4" w:rsidRPr="00556692" w14:paraId="69BC8F24"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4D295F" w14:textId="77777777" w:rsidR="000526C4" w:rsidRPr="00556692" w:rsidRDefault="000526C4" w:rsidP="00DB4E37">
            <w:pPr>
              <w:pStyle w:val="Tablehead"/>
              <w:keepLines/>
            </w:pPr>
            <w:r w:rsidRPr="00556692">
              <w:t>Bandes</w:t>
            </w:r>
            <w:r w:rsidRPr="00556692">
              <w:br/>
              <w:t>(MHz)</w:t>
            </w:r>
          </w:p>
        </w:tc>
        <w:tc>
          <w:tcPr>
            <w:tcW w:w="1418" w:type="dxa"/>
            <w:tcBorders>
              <w:top w:val="single" w:sz="4" w:space="0" w:color="auto"/>
              <w:left w:val="single" w:sz="4" w:space="0" w:color="auto"/>
              <w:bottom w:val="single" w:sz="4" w:space="0" w:color="auto"/>
              <w:right w:val="single" w:sz="4" w:space="0" w:color="auto"/>
            </w:tcBorders>
            <w:vAlign w:val="center"/>
          </w:tcPr>
          <w:p w14:paraId="17390B2A" w14:textId="77777777" w:rsidR="000526C4" w:rsidRPr="00556692" w:rsidRDefault="000526C4" w:rsidP="00DB4E37">
            <w:pPr>
              <w:pStyle w:val="Tablehead"/>
              <w:keepLines/>
            </w:pPr>
            <w:r w:rsidRPr="00556692">
              <w:t>Types de stations</w:t>
            </w:r>
          </w:p>
        </w:tc>
        <w:tc>
          <w:tcPr>
            <w:tcW w:w="1418" w:type="dxa"/>
            <w:tcBorders>
              <w:top w:val="single" w:sz="4" w:space="0" w:color="auto"/>
              <w:left w:val="single" w:sz="4" w:space="0" w:color="auto"/>
              <w:bottom w:val="single" w:sz="4" w:space="0" w:color="auto"/>
              <w:right w:val="single" w:sz="4" w:space="0" w:color="auto"/>
            </w:tcBorders>
            <w:vAlign w:val="center"/>
          </w:tcPr>
          <w:p w14:paraId="026E0215" w14:textId="77777777" w:rsidR="000526C4" w:rsidRPr="00556692" w:rsidRDefault="000526C4" w:rsidP="00DB4E37">
            <w:pPr>
              <w:pStyle w:val="Tablehead"/>
              <w:keepLines/>
            </w:pPr>
            <w:r w:rsidRPr="00556692">
              <w:t>Rec. ITU</w:t>
            </w:r>
            <w:r w:rsidRPr="00556692">
              <w:noBreakHyphen/>
              <w:t>R</w:t>
            </w:r>
          </w:p>
        </w:tc>
        <w:tc>
          <w:tcPr>
            <w:tcW w:w="5387" w:type="dxa"/>
            <w:tcBorders>
              <w:top w:val="single" w:sz="4" w:space="0" w:color="auto"/>
              <w:left w:val="single" w:sz="4" w:space="0" w:color="auto"/>
              <w:bottom w:val="single" w:sz="4" w:space="0" w:color="auto"/>
              <w:right w:val="single" w:sz="4" w:space="0" w:color="auto"/>
            </w:tcBorders>
            <w:vAlign w:val="center"/>
          </w:tcPr>
          <w:p w14:paraId="51529F78" w14:textId="77777777" w:rsidR="000526C4" w:rsidRPr="00556692" w:rsidRDefault="00103FC8" w:rsidP="00DB4E37">
            <w:pPr>
              <w:pStyle w:val="Tablehead"/>
              <w:keepLines/>
            </w:pPr>
            <w:r w:rsidRPr="00556692">
              <w:t>Titre</w:t>
            </w:r>
          </w:p>
        </w:tc>
      </w:tr>
      <w:tr w:rsidR="000526C4" w:rsidRPr="00556692" w14:paraId="7024EDF2"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tcPr>
          <w:p w14:paraId="01CC530A" w14:textId="77777777" w:rsidR="000526C4" w:rsidRPr="00556692" w:rsidRDefault="000526C4" w:rsidP="00DB4E37">
            <w:pPr>
              <w:pStyle w:val="Tabletext"/>
              <w:keepNext/>
              <w:keepLines/>
              <w:jc w:val="center"/>
            </w:pPr>
            <w:r w:rsidRPr="00556692">
              <w:t>1 164-1 215</w:t>
            </w:r>
            <w:r w:rsidRPr="00556692">
              <w:br/>
              <w:t xml:space="preserve">1 215-1 300 </w:t>
            </w:r>
            <w:r w:rsidRPr="00556692">
              <w:br/>
              <w:t>1 559-1 610</w:t>
            </w:r>
            <w:r w:rsidRPr="00556692">
              <w:br/>
              <w:t>5 010-5 030</w:t>
            </w:r>
          </w:p>
        </w:tc>
        <w:tc>
          <w:tcPr>
            <w:tcW w:w="1418" w:type="dxa"/>
            <w:tcBorders>
              <w:top w:val="single" w:sz="4" w:space="0" w:color="auto"/>
              <w:left w:val="single" w:sz="4" w:space="0" w:color="auto"/>
              <w:bottom w:val="single" w:sz="4" w:space="0" w:color="auto"/>
              <w:right w:val="single" w:sz="4" w:space="0" w:color="auto"/>
            </w:tcBorders>
          </w:tcPr>
          <w:p w14:paraId="169A5CE2" w14:textId="77777777" w:rsidR="000526C4" w:rsidRPr="00556692" w:rsidRDefault="000526C4" w:rsidP="00DB4E37">
            <w:pPr>
              <w:pStyle w:val="Tabletext"/>
              <w:keepNext/>
              <w:keepLines/>
              <w:jc w:val="center"/>
            </w:pPr>
            <w:r w:rsidRPr="00556692">
              <w:t>Toutes</w:t>
            </w:r>
          </w:p>
        </w:tc>
        <w:tc>
          <w:tcPr>
            <w:tcW w:w="1418" w:type="dxa"/>
            <w:tcBorders>
              <w:top w:val="single" w:sz="4" w:space="0" w:color="auto"/>
              <w:left w:val="single" w:sz="4" w:space="0" w:color="auto"/>
              <w:bottom w:val="single" w:sz="4" w:space="0" w:color="auto"/>
              <w:right w:val="single" w:sz="4" w:space="0" w:color="auto"/>
            </w:tcBorders>
          </w:tcPr>
          <w:p w14:paraId="3AEA1110" w14:textId="77777777" w:rsidR="000526C4" w:rsidRPr="00556692" w:rsidRDefault="000526C4" w:rsidP="00DB4E37">
            <w:pPr>
              <w:pStyle w:val="Tabletext"/>
              <w:keepNext/>
              <w:keepLines/>
            </w:pPr>
            <w:r w:rsidRPr="00556692">
              <w:t>M.1318</w:t>
            </w:r>
          </w:p>
        </w:tc>
        <w:tc>
          <w:tcPr>
            <w:tcW w:w="5387" w:type="dxa"/>
            <w:tcBorders>
              <w:top w:val="single" w:sz="4" w:space="0" w:color="auto"/>
              <w:left w:val="single" w:sz="4" w:space="0" w:color="auto"/>
              <w:bottom w:val="single" w:sz="4" w:space="0" w:color="auto"/>
              <w:right w:val="single" w:sz="4" w:space="0" w:color="auto"/>
            </w:tcBorders>
          </w:tcPr>
          <w:p w14:paraId="409D5DD1" w14:textId="77777777" w:rsidR="000526C4" w:rsidRPr="00556692" w:rsidRDefault="000526C4" w:rsidP="00DB4E37">
            <w:pPr>
              <w:pStyle w:val="Tabletext"/>
              <w:keepNext/>
              <w:keepLines/>
              <w:jc w:val="left"/>
            </w:pPr>
            <w:r w:rsidRPr="00556692">
              <w:t xml:space="preserve">Modèle d'évaluation des brouillages continus causés </w:t>
            </w:r>
            <w:r w:rsidR="00103FC8" w:rsidRPr="00556692">
              <w:t>par des sources radioélectriques autres que celles du service de radionavigation par satellite aux</w:t>
            </w:r>
            <w:r w:rsidRPr="00556692">
              <w:t xml:space="preserve"> systèmes et réseaux du </w:t>
            </w:r>
            <w:r w:rsidR="00103FC8" w:rsidRPr="00556692">
              <w:t xml:space="preserve">service de radionavigation par satellite </w:t>
            </w:r>
            <w:r w:rsidRPr="00556692">
              <w:t>fonctionnant dans les bandes 1 164-1 215 MHz, 1 215-1 300 MHz, 1 559</w:t>
            </w:r>
            <w:r w:rsidRPr="00556692">
              <w:noBreakHyphen/>
              <w:t xml:space="preserve">1 610 MHz et 5 010-5 030 MHz </w:t>
            </w:r>
          </w:p>
        </w:tc>
      </w:tr>
      <w:tr w:rsidR="000526C4" w:rsidRPr="00556692" w14:paraId="3B7D062D"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tcPr>
          <w:p w14:paraId="53C940A5" w14:textId="77777777" w:rsidR="000526C4" w:rsidRPr="00556692" w:rsidRDefault="000526C4" w:rsidP="00DB4E37">
            <w:pPr>
              <w:pStyle w:val="Tabletext"/>
              <w:keepNext/>
              <w:keepLines/>
              <w:jc w:val="center"/>
            </w:pPr>
            <w:r w:rsidRPr="00556692">
              <w:t>1 164-1 215</w:t>
            </w:r>
            <w:r w:rsidRPr="00556692">
              <w:br/>
              <w:t xml:space="preserve">1 215-1 300 </w:t>
            </w:r>
            <w:r w:rsidRPr="00556692">
              <w:br/>
              <w:t>1 559-1 610</w:t>
            </w:r>
            <w:r w:rsidRPr="00556692">
              <w:br/>
              <w:t>5 010-5 030</w:t>
            </w:r>
          </w:p>
        </w:tc>
        <w:tc>
          <w:tcPr>
            <w:tcW w:w="1418" w:type="dxa"/>
            <w:tcBorders>
              <w:top w:val="single" w:sz="4" w:space="0" w:color="auto"/>
              <w:left w:val="single" w:sz="4" w:space="0" w:color="auto"/>
              <w:bottom w:val="single" w:sz="4" w:space="0" w:color="auto"/>
              <w:right w:val="single" w:sz="4" w:space="0" w:color="auto"/>
            </w:tcBorders>
          </w:tcPr>
          <w:p w14:paraId="6AC1CAC9" w14:textId="77777777" w:rsidR="000526C4" w:rsidRPr="00556692" w:rsidRDefault="000526C4" w:rsidP="00DB4E37">
            <w:pPr>
              <w:pStyle w:val="Tabletext"/>
              <w:keepNext/>
              <w:keepLines/>
              <w:jc w:val="center"/>
            </w:pPr>
            <w:r w:rsidRPr="00556692">
              <w:t xml:space="preserve">Toutes </w:t>
            </w:r>
          </w:p>
        </w:tc>
        <w:tc>
          <w:tcPr>
            <w:tcW w:w="1418" w:type="dxa"/>
            <w:tcBorders>
              <w:top w:val="single" w:sz="4" w:space="0" w:color="auto"/>
              <w:left w:val="single" w:sz="4" w:space="0" w:color="auto"/>
              <w:bottom w:val="single" w:sz="4" w:space="0" w:color="auto"/>
              <w:right w:val="single" w:sz="4" w:space="0" w:color="auto"/>
            </w:tcBorders>
          </w:tcPr>
          <w:p w14:paraId="278D80D9" w14:textId="77777777" w:rsidR="000526C4" w:rsidRPr="00556692" w:rsidRDefault="000526C4" w:rsidP="00DB4E37">
            <w:pPr>
              <w:pStyle w:val="Tabletext"/>
              <w:keepNext/>
              <w:keepLines/>
              <w:jc w:val="left"/>
            </w:pPr>
            <w:r w:rsidRPr="00556692">
              <w:t>M.2030</w:t>
            </w:r>
          </w:p>
        </w:tc>
        <w:tc>
          <w:tcPr>
            <w:tcW w:w="5387" w:type="dxa"/>
            <w:tcBorders>
              <w:top w:val="single" w:sz="4" w:space="0" w:color="auto"/>
              <w:left w:val="single" w:sz="4" w:space="0" w:color="auto"/>
              <w:bottom w:val="single" w:sz="4" w:space="0" w:color="auto"/>
              <w:right w:val="single" w:sz="4" w:space="0" w:color="auto"/>
            </w:tcBorders>
          </w:tcPr>
          <w:p w14:paraId="7A94DA06" w14:textId="77777777" w:rsidR="000526C4" w:rsidRPr="00556692" w:rsidRDefault="00F72466" w:rsidP="00DB4E37">
            <w:pPr>
              <w:pStyle w:val="Tabletext"/>
              <w:keepNext/>
              <w:keepLines/>
              <w:jc w:val="left"/>
            </w:pPr>
            <w:r w:rsidRPr="00556692">
              <w:t>Méthode d'évaluation du brouillage par impulsions causé par des sources radioélectriques autres que celles du service de radionavigation par satellite aux systèmes et réseaux du service de radionavigation par satellite fonctionnant dans le</w:t>
            </w:r>
            <w:r w:rsidR="00746899" w:rsidRPr="00556692">
              <w:t>s bandes 1 164-1 215 MHz, 1 215</w:t>
            </w:r>
            <w:r w:rsidR="00746899" w:rsidRPr="00556692">
              <w:noBreakHyphen/>
            </w:r>
            <w:r w:rsidRPr="00556692">
              <w:t>1</w:t>
            </w:r>
            <w:r w:rsidR="009505E8" w:rsidRPr="00556692">
              <w:t> </w:t>
            </w:r>
            <w:r w:rsidRPr="00556692">
              <w:t xml:space="preserve">300 MHz et 1 559-1 610 MHz </w:t>
            </w:r>
          </w:p>
        </w:tc>
      </w:tr>
      <w:tr w:rsidR="000526C4" w:rsidRPr="00556692" w14:paraId="099DFD78"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tcPr>
          <w:p w14:paraId="4662B8B3" w14:textId="77777777" w:rsidR="000526C4" w:rsidRPr="00556692" w:rsidRDefault="000526C4" w:rsidP="00DB4E37">
            <w:pPr>
              <w:pStyle w:val="Tabletext"/>
              <w:jc w:val="center"/>
            </w:pPr>
            <w:r w:rsidRPr="00556692">
              <w:t xml:space="preserve">1 164-1 215 </w:t>
            </w:r>
            <w:r w:rsidRPr="00556692">
              <w:br/>
              <w:t xml:space="preserve">1 215-1 300 </w:t>
            </w:r>
            <w:r w:rsidRPr="00556692">
              <w:br/>
              <w:t xml:space="preserve">1 559-1 610 </w:t>
            </w:r>
            <w:r w:rsidRPr="00556692">
              <w:br/>
              <w:t>5 010-5 030</w:t>
            </w:r>
          </w:p>
        </w:tc>
        <w:tc>
          <w:tcPr>
            <w:tcW w:w="1418" w:type="dxa"/>
            <w:tcBorders>
              <w:top w:val="single" w:sz="4" w:space="0" w:color="auto"/>
              <w:left w:val="single" w:sz="4" w:space="0" w:color="auto"/>
              <w:bottom w:val="single" w:sz="4" w:space="0" w:color="auto"/>
              <w:right w:val="single" w:sz="4" w:space="0" w:color="auto"/>
            </w:tcBorders>
          </w:tcPr>
          <w:p w14:paraId="54548863" w14:textId="77777777" w:rsidR="000526C4" w:rsidRPr="00556692" w:rsidRDefault="000526C4" w:rsidP="00DB4E37">
            <w:pPr>
              <w:pStyle w:val="Tabletext"/>
              <w:jc w:val="center"/>
            </w:pPr>
            <w:r w:rsidRPr="00556692">
              <w:t>Toutes</w:t>
            </w:r>
          </w:p>
        </w:tc>
        <w:tc>
          <w:tcPr>
            <w:tcW w:w="1418" w:type="dxa"/>
            <w:tcBorders>
              <w:top w:val="single" w:sz="4" w:space="0" w:color="auto"/>
              <w:left w:val="single" w:sz="4" w:space="0" w:color="auto"/>
              <w:bottom w:val="single" w:sz="4" w:space="0" w:color="auto"/>
              <w:right w:val="single" w:sz="4" w:space="0" w:color="auto"/>
            </w:tcBorders>
          </w:tcPr>
          <w:p w14:paraId="4A01243E" w14:textId="77777777" w:rsidR="000526C4" w:rsidRPr="00556692" w:rsidRDefault="000526C4" w:rsidP="00DB4E37">
            <w:pPr>
              <w:pStyle w:val="Tabletext"/>
            </w:pPr>
            <w:r w:rsidRPr="00556692">
              <w:t>M.1831</w:t>
            </w:r>
          </w:p>
        </w:tc>
        <w:tc>
          <w:tcPr>
            <w:tcW w:w="5387" w:type="dxa"/>
            <w:tcBorders>
              <w:top w:val="single" w:sz="4" w:space="0" w:color="auto"/>
              <w:left w:val="single" w:sz="4" w:space="0" w:color="auto"/>
              <w:bottom w:val="single" w:sz="4" w:space="0" w:color="auto"/>
              <w:right w:val="single" w:sz="4" w:space="0" w:color="auto"/>
            </w:tcBorders>
          </w:tcPr>
          <w:p w14:paraId="28D8360B" w14:textId="77777777" w:rsidR="000526C4" w:rsidRPr="00556692" w:rsidRDefault="000526C4" w:rsidP="00DB4E37">
            <w:pPr>
              <w:pStyle w:val="Tabletext"/>
              <w:jc w:val="left"/>
            </w:pPr>
            <w:r w:rsidRPr="00556692">
              <w:t xml:space="preserve">Méthode </w:t>
            </w:r>
            <w:r w:rsidR="00103FC8" w:rsidRPr="00556692">
              <w:t xml:space="preserve">de </w:t>
            </w:r>
            <w:r w:rsidR="00AE3B97" w:rsidRPr="00556692">
              <w:t>coordination</w:t>
            </w:r>
            <w:r w:rsidR="00103FC8" w:rsidRPr="00556692">
              <w:t xml:space="preserve"> pour l'évaluation</w:t>
            </w:r>
            <w:r w:rsidRPr="00556692">
              <w:t xml:space="preserve"> des brouillages entre systèmes du </w:t>
            </w:r>
            <w:r w:rsidR="00103FC8" w:rsidRPr="00556692">
              <w:t xml:space="preserve">service de radionavigation par satellite </w:t>
            </w:r>
          </w:p>
        </w:tc>
      </w:tr>
    </w:tbl>
    <w:p w14:paraId="0D11A449" w14:textId="77777777" w:rsidR="002635C9" w:rsidRPr="00556692" w:rsidRDefault="002635C9" w:rsidP="00DB4E37">
      <w:pPr>
        <w:pStyle w:val="Tablefin"/>
        <w:rPr>
          <w:lang w:val="fr-FR"/>
        </w:rPr>
      </w:pPr>
    </w:p>
    <w:p w14:paraId="78D84721" w14:textId="77777777" w:rsidR="009D1750" w:rsidRPr="00556692" w:rsidRDefault="009D1750" w:rsidP="00DB4E37">
      <w:pPr>
        <w:pStyle w:val="Heading1"/>
      </w:pPr>
      <w:r w:rsidRPr="00556692">
        <w:t>2</w:t>
      </w:r>
      <w:r w:rsidRPr="00556692">
        <w:tab/>
        <w:t xml:space="preserve">Paramètres utiles pour évaluer les brouillages causés aux systèmes du SRNS </w:t>
      </w:r>
    </w:p>
    <w:p w14:paraId="1C2DA930" w14:textId="77777777" w:rsidR="009D1750" w:rsidRPr="00556692" w:rsidRDefault="009D1750" w:rsidP="00DB4E37">
      <w:bookmarkStart w:id="5" w:name="_Ref121561228"/>
      <w:r w:rsidRPr="00556692">
        <w:t>Les paramètres des systèmes du SRNS utiles pour évaluer les brouillages causés par des sources radioélectrique</w:t>
      </w:r>
      <w:r w:rsidR="00623433" w:rsidRPr="00556692">
        <w:t>s</w:t>
      </w:r>
      <w:r w:rsidRPr="00556692">
        <w:t xml:space="preserve"> autres que celles du SRNS sont énumérés dans le Tableau 3.</w:t>
      </w:r>
      <w:r w:rsidR="00623433" w:rsidRPr="00556692">
        <w:t xml:space="preserve"> </w:t>
      </w:r>
      <w:r w:rsidRPr="00556692">
        <w:t>Certains paramètres des signaux du SRNS ne sont pas indiqués ici mais figurent dans la Recommandation UIT</w:t>
      </w:r>
      <w:r w:rsidRPr="00556692">
        <w:noBreakHyphen/>
        <w:t>R M.1787.</w:t>
      </w:r>
    </w:p>
    <w:p w14:paraId="1EC05501" w14:textId="77777777" w:rsidR="009D1750" w:rsidRPr="00556692" w:rsidRDefault="009D1750" w:rsidP="00DB4E37">
      <w:pPr>
        <w:pStyle w:val="TableNo"/>
      </w:pPr>
      <w:bookmarkStart w:id="6" w:name="_Ref121573376"/>
      <w:r w:rsidRPr="00556692">
        <w:t>TABLEAU</w:t>
      </w:r>
      <w:bookmarkEnd w:id="5"/>
      <w:bookmarkEnd w:id="6"/>
      <w:r w:rsidRPr="00556692">
        <w:t xml:space="preserve"> 3</w:t>
      </w:r>
    </w:p>
    <w:p w14:paraId="5389D48A" w14:textId="3140EEBE" w:rsidR="009D1750" w:rsidRPr="00556692" w:rsidRDefault="009D1750" w:rsidP="00DB4E37">
      <w:pPr>
        <w:pStyle w:val="Tabletitle"/>
        <w:rPr>
          <w:b w:val="0"/>
        </w:rPr>
      </w:pPr>
      <w:r w:rsidRPr="00556692">
        <w:t>Description des paramètres des systèmes du SRNS pour ce qui est des Recommandations UIT</w:t>
      </w:r>
      <w:r w:rsidRPr="00556692">
        <w:noBreakHyphen/>
        <w:t>R M.1905, UIT</w:t>
      </w:r>
      <w:r w:rsidRPr="00556692">
        <w:noBreakHyphen/>
        <w:t>R M.1902, UIT</w:t>
      </w:r>
      <w:r w:rsidRPr="00556692">
        <w:noBreakHyphen/>
        <w:t>R M.1903</w:t>
      </w:r>
      <w:r w:rsidR="00623433" w:rsidRPr="00556692">
        <w:t>,</w:t>
      </w:r>
      <w:r w:rsidRPr="00556692">
        <w:t xml:space="preserve"> UIT</w:t>
      </w:r>
      <w:r w:rsidRPr="00556692">
        <w:noBreakHyphen/>
        <w:t>R M.1904</w:t>
      </w:r>
      <w:r w:rsidR="009962BB" w:rsidRPr="00556692">
        <w:t xml:space="preserve"> et UIT-R M.2031</w:t>
      </w:r>
      <w:r w:rsidRPr="00556692">
        <w:rPr>
          <w:b w:val="0"/>
        </w:rPr>
        <w:t xml:space="preserve"> </w:t>
      </w:r>
      <w:r w:rsidR="009962BB" w:rsidRPr="00556692">
        <w:rPr>
          <w:b w:val="0"/>
        </w:rPr>
        <w:br/>
      </w:r>
      <w:r w:rsidRPr="00556692">
        <w:rPr>
          <w:bCs/>
        </w:rPr>
        <w:t>(</w:t>
      </w:r>
      <w:r w:rsidRPr="00556692">
        <w:rPr>
          <w:bCs/>
          <w:i/>
          <w:iCs/>
        </w:rPr>
        <w:t xml:space="preserve">voir </w:t>
      </w:r>
      <w:r w:rsidR="005352AB" w:rsidRPr="00556692">
        <w:rPr>
          <w:bCs/>
          <w:i/>
          <w:iCs/>
        </w:rPr>
        <w:t xml:space="preserve">la </w:t>
      </w:r>
      <w:r w:rsidRPr="00556692">
        <w:rPr>
          <w:bCs/>
          <w:i/>
          <w:iCs/>
        </w:rPr>
        <w:t>Note 2</w:t>
      </w:r>
      <w:r w:rsidRPr="00556692">
        <w:rPr>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9D1750" w:rsidRPr="00556692" w14:paraId="104A4F5A" w14:textId="77777777" w:rsidTr="00B03CA4">
        <w:trPr>
          <w:cantSplit/>
          <w:tblHeader/>
          <w:jc w:val="center"/>
        </w:trPr>
        <w:tc>
          <w:tcPr>
            <w:tcW w:w="3402" w:type="dxa"/>
            <w:vAlign w:val="center"/>
          </w:tcPr>
          <w:p w14:paraId="69AB8F6B" w14:textId="77777777" w:rsidR="009D1750" w:rsidRPr="00556692" w:rsidRDefault="009D1750" w:rsidP="00DB4E37">
            <w:pPr>
              <w:pStyle w:val="Tablehead"/>
              <w:rPr>
                <w:rFonts w:asciiTheme="majorBidi" w:eastAsia="MS PGothic" w:hAnsiTheme="majorBidi" w:cstheme="majorBidi"/>
              </w:rPr>
            </w:pPr>
            <w:r w:rsidRPr="00556692">
              <w:rPr>
                <w:rFonts w:asciiTheme="majorBidi" w:eastAsia="MS PGothic" w:hAnsiTheme="majorBidi" w:cstheme="majorBidi"/>
              </w:rPr>
              <w:t xml:space="preserve">Paramètre </w:t>
            </w:r>
          </w:p>
        </w:tc>
        <w:tc>
          <w:tcPr>
            <w:tcW w:w="6237" w:type="dxa"/>
            <w:vAlign w:val="center"/>
          </w:tcPr>
          <w:p w14:paraId="75A9DB2D" w14:textId="77777777" w:rsidR="009D1750" w:rsidRPr="00556692" w:rsidRDefault="009D1750" w:rsidP="00DB4E37">
            <w:pPr>
              <w:pStyle w:val="Tablehead"/>
              <w:rPr>
                <w:rFonts w:asciiTheme="majorBidi" w:eastAsia="MS PGothic" w:hAnsiTheme="majorBidi" w:cstheme="majorBidi"/>
              </w:rPr>
            </w:pPr>
            <w:r w:rsidRPr="00556692">
              <w:rPr>
                <w:rFonts w:asciiTheme="majorBidi" w:eastAsia="MS PGothic" w:hAnsiTheme="majorBidi" w:cstheme="majorBidi"/>
              </w:rPr>
              <w:t xml:space="preserve">Description du paramètre du système du SRNS </w:t>
            </w:r>
          </w:p>
        </w:tc>
      </w:tr>
      <w:tr w:rsidR="009D1750" w:rsidRPr="00556692" w14:paraId="78DBD61C" w14:textId="77777777" w:rsidTr="00B03CA4">
        <w:trPr>
          <w:cantSplit/>
          <w:jc w:val="center"/>
        </w:trPr>
        <w:tc>
          <w:tcPr>
            <w:tcW w:w="3402" w:type="dxa"/>
          </w:tcPr>
          <w:p w14:paraId="0DD2E8DE"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Plage de fréquences du signal (MHz)</w:t>
            </w:r>
          </w:p>
        </w:tc>
        <w:tc>
          <w:tcPr>
            <w:tcW w:w="6237" w:type="dxa"/>
            <w:vAlign w:val="center"/>
          </w:tcPr>
          <w:p w14:paraId="6F3C56D3"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Plage de fréquences du signal du SRNS considéré. Pour les systèmes AMRC: fréquence de la porteuse ± moitié de la largeur de</w:t>
            </w:r>
            <w:r w:rsidR="00746899" w:rsidRPr="00556692">
              <w:rPr>
                <w:rFonts w:asciiTheme="majorBidi" w:eastAsia="MS PGothic" w:hAnsiTheme="majorBidi" w:cstheme="majorBidi"/>
              </w:rPr>
              <w:t> </w:t>
            </w:r>
            <w:r w:rsidRPr="00556692">
              <w:rPr>
                <w:rFonts w:asciiTheme="majorBidi" w:eastAsia="MS PGothic" w:hAnsiTheme="majorBidi" w:cstheme="majorBidi"/>
              </w:rPr>
              <w:t>bande du signal (sauf indication contraire); pour les systèmes AMRF: fréquence de base + (nombre de canaux * espacement des canaux) ± moitié de la largeur de bande du signal. La plage de valeurs pour le nombre de canaux doit également être fournie.</w:t>
            </w:r>
          </w:p>
        </w:tc>
      </w:tr>
      <w:tr w:rsidR="009D1750" w:rsidRPr="00556692" w14:paraId="08F9BB65" w14:textId="77777777" w:rsidTr="00B03CA4">
        <w:trPr>
          <w:cantSplit/>
          <w:jc w:val="center"/>
        </w:trPr>
        <w:tc>
          <w:tcPr>
            <w:tcW w:w="3402" w:type="dxa"/>
          </w:tcPr>
          <w:p w14:paraId="24B1DAF2"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Gain maximal de l'antenne du récepteur dans l'hémisphère supérieur (dBi)</w:t>
            </w:r>
          </w:p>
        </w:tc>
        <w:tc>
          <w:tcPr>
            <w:tcW w:w="6237" w:type="dxa"/>
            <w:vAlign w:val="center"/>
          </w:tcPr>
          <w:p w14:paraId="5629499C"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Gain maximal de l'antenne du récepteur dans l'hémisphère supérieur avec la polarisation spécifiée.</w:t>
            </w:r>
          </w:p>
        </w:tc>
      </w:tr>
      <w:tr w:rsidR="009D1750" w:rsidRPr="00556692" w14:paraId="68401628" w14:textId="77777777" w:rsidTr="00B03CA4">
        <w:trPr>
          <w:cantSplit/>
          <w:jc w:val="center"/>
        </w:trPr>
        <w:tc>
          <w:tcPr>
            <w:tcW w:w="3402" w:type="dxa"/>
          </w:tcPr>
          <w:p w14:paraId="6F96BD5F"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Gain maximal de l'antenne du récepteur dans l'hémisphère inférieur (dBi)</w:t>
            </w:r>
          </w:p>
        </w:tc>
        <w:tc>
          <w:tcPr>
            <w:tcW w:w="6237" w:type="dxa"/>
            <w:vAlign w:val="center"/>
          </w:tcPr>
          <w:p w14:paraId="04EBE1BF"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Gain maximal de l'antenne du récepteur dans l'hémisphère inférieur avec la polarisation spécifiée.</w:t>
            </w:r>
          </w:p>
        </w:tc>
      </w:tr>
    </w:tbl>
    <w:p w14:paraId="7D9ED817" w14:textId="77777777" w:rsidR="00623433" w:rsidRPr="00556692" w:rsidRDefault="00623433" w:rsidP="00DB4E37">
      <w:r w:rsidRPr="00556692">
        <w:br w:type="page"/>
      </w:r>
    </w:p>
    <w:p w14:paraId="51D4E935" w14:textId="77777777" w:rsidR="00623433" w:rsidRPr="00556692" w:rsidRDefault="00623433" w:rsidP="00DB4E37">
      <w:pPr>
        <w:pStyle w:val="TableNo"/>
      </w:pPr>
      <w:r w:rsidRPr="00556692">
        <w:t xml:space="preserve">TABLEAU 3 </w:t>
      </w:r>
      <w:r w:rsidRPr="00556692">
        <w:rPr>
          <w:i/>
          <w:iCs/>
        </w:rPr>
        <w:t>(</w:t>
      </w:r>
      <w:r w:rsidR="001D1CC8" w:rsidRPr="00556692">
        <w:rPr>
          <w:i/>
          <w:iCs/>
        </w:rPr>
        <w:t>suite</w:t>
      </w:r>
      <w:r w:rsidRPr="00556692">
        <w:rPr>
          <w:i/>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623433" w:rsidRPr="00556692" w14:paraId="015B4EA3" w14:textId="77777777" w:rsidTr="00D01FE0">
        <w:trPr>
          <w:cantSplit/>
          <w:tblHeader/>
          <w:jc w:val="center"/>
        </w:trPr>
        <w:tc>
          <w:tcPr>
            <w:tcW w:w="3402" w:type="dxa"/>
            <w:vAlign w:val="center"/>
          </w:tcPr>
          <w:p w14:paraId="70038405" w14:textId="071A0313" w:rsidR="00623433" w:rsidRPr="00556692" w:rsidRDefault="00623433" w:rsidP="00DB4E37">
            <w:pPr>
              <w:pStyle w:val="Tablehead"/>
              <w:rPr>
                <w:rFonts w:asciiTheme="majorBidi" w:eastAsia="MS PGothic" w:hAnsiTheme="majorBidi" w:cstheme="majorBidi"/>
              </w:rPr>
            </w:pPr>
            <w:r w:rsidRPr="00556692">
              <w:rPr>
                <w:rFonts w:asciiTheme="majorBidi" w:eastAsia="MS PGothic" w:hAnsiTheme="majorBidi" w:cstheme="majorBidi"/>
              </w:rPr>
              <w:t>Paramètre</w:t>
            </w:r>
          </w:p>
        </w:tc>
        <w:tc>
          <w:tcPr>
            <w:tcW w:w="6237" w:type="dxa"/>
            <w:vAlign w:val="center"/>
          </w:tcPr>
          <w:p w14:paraId="51ECB7FD" w14:textId="0BF4A734" w:rsidR="00623433" w:rsidRPr="00556692" w:rsidRDefault="00623433" w:rsidP="00DB4E37">
            <w:pPr>
              <w:pStyle w:val="Tablehead"/>
              <w:rPr>
                <w:rFonts w:asciiTheme="majorBidi" w:eastAsia="MS PGothic" w:hAnsiTheme="majorBidi" w:cstheme="majorBidi"/>
              </w:rPr>
            </w:pPr>
            <w:r w:rsidRPr="00556692">
              <w:rPr>
                <w:rFonts w:asciiTheme="majorBidi" w:eastAsia="MS PGothic" w:hAnsiTheme="majorBidi" w:cstheme="majorBidi"/>
              </w:rPr>
              <w:t>Description du paramètre du système du SRNS</w:t>
            </w:r>
          </w:p>
        </w:tc>
      </w:tr>
      <w:tr w:rsidR="009D1750" w:rsidRPr="00556692" w14:paraId="196DEBD7" w14:textId="77777777" w:rsidTr="00B03CA4">
        <w:trPr>
          <w:cantSplit/>
          <w:jc w:val="center"/>
        </w:trPr>
        <w:tc>
          <w:tcPr>
            <w:tcW w:w="3402" w:type="dxa"/>
          </w:tcPr>
          <w:p w14:paraId="26E48202"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Largeur de bande à 3 dB du filtre RF (MHz)</w:t>
            </w:r>
          </w:p>
        </w:tc>
        <w:tc>
          <w:tcPr>
            <w:tcW w:w="6237" w:type="dxa"/>
            <w:vAlign w:val="center"/>
          </w:tcPr>
          <w:p w14:paraId="275C4273"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Largeur de bande entre les points à 3 dB du filtre passe bande RF de la tête du récepteur.</w:t>
            </w:r>
          </w:p>
        </w:tc>
      </w:tr>
      <w:tr w:rsidR="009D1750" w:rsidRPr="00556692" w14:paraId="31E960DE" w14:textId="77777777" w:rsidTr="00B03CA4">
        <w:trPr>
          <w:cantSplit/>
          <w:jc w:val="center"/>
        </w:trPr>
        <w:tc>
          <w:tcPr>
            <w:tcW w:w="3402" w:type="dxa"/>
          </w:tcPr>
          <w:p w14:paraId="28FD5FD3"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Largeur de bande à 3 dB du filtre de précorrélation (MHz)</w:t>
            </w:r>
          </w:p>
        </w:tc>
        <w:tc>
          <w:tcPr>
            <w:tcW w:w="6237" w:type="dxa"/>
            <w:vAlign w:val="center"/>
          </w:tcPr>
          <w:p w14:paraId="1B51F324"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Largeur de bande entre les points à 3 dB du filtre passe bande FI de la tête du récepteur (juste avant le corrélateur).</w:t>
            </w:r>
          </w:p>
        </w:tc>
      </w:tr>
      <w:tr w:rsidR="009D1750" w:rsidRPr="00556692" w14:paraId="062484F7" w14:textId="77777777" w:rsidTr="00B03CA4">
        <w:trPr>
          <w:cantSplit/>
          <w:jc w:val="center"/>
        </w:trPr>
        <w:tc>
          <w:tcPr>
            <w:tcW w:w="3402" w:type="dxa"/>
          </w:tcPr>
          <w:p w14:paraId="6135E9FE"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Température de bruit du système de réception (K)</w:t>
            </w:r>
          </w:p>
        </w:tc>
        <w:tc>
          <w:tcPr>
            <w:tcW w:w="6237" w:type="dxa"/>
            <w:vAlign w:val="center"/>
          </w:tcPr>
          <w:p w14:paraId="6C5EA673"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Combinaison de la température de bruit équivalente à l'entrée du récepteur et la température de bruit équivalente de l'antenne.</w:t>
            </w:r>
          </w:p>
        </w:tc>
      </w:tr>
      <w:tr w:rsidR="00EC47A6" w:rsidRPr="00556692" w14:paraId="677C3D96" w14:textId="77777777" w:rsidTr="00D01FE0">
        <w:trPr>
          <w:cantSplit/>
          <w:jc w:val="center"/>
        </w:trPr>
        <w:tc>
          <w:tcPr>
            <w:tcW w:w="9639" w:type="dxa"/>
            <w:gridSpan w:val="2"/>
          </w:tcPr>
          <w:p w14:paraId="6F9FFB65" w14:textId="208B14F6" w:rsidR="00EC47A6" w:rsidRPr="00556692" w:rsidRDefault="005352AB" w:rsidP="00DB4E37">
            <w:pPr>
              <w:pStyle w:val="Tabletext"/>
              <w:jc w:val="center"/>
              <w:rPr>
                <w:rFonts w:asciiTheme="majorBidi" w:eastAsia="MS PGothic" w:hAnsiTheme="majorBidi" w:cstheme="majorBidi"/>
              </w:rPr>
            </w:pPr>
            <w:r w:rsidRPr="00556692">
              <w:rPr>
                <w:rFonts w:asciiTheme="majorBidi" w:eastAsia="MS PGothic" w:hAnsiTheme="majorBidi" w:cstheme="majorBidi"/>
                <w:b/>
                <w:bCs/>
              </w:rPr>
              <w:t>Valeurs seuils pour les brouillages continus</w:t>
            </w:r>
            <w:r w:rsidR="00EC47A6" w:rsidRPr="00556692">
              <w:rPr>
                <w:rFonts w:asciiTheme="majorBidi" w:eastAsia="MS PGothic" w:hAnsiTheme="majorBidi" w:cstheme="majorBidi"/>
                <w:b/>
                <w:bCs/>
              </w:rPr>
              <w:t xml:space="preserve"> </w:t>
            </w:r>
            <w:r w:rsidR="00EC47A6" w:rsidRPr="00556692">
              <w:rPr>
                <w:rFonts w:asciiTheme="majorBidi" w:eastAsia="MS PGothic" w:hAnsiTheme="majorBidi" w:cstheme="majorBidi"/>
                <w:b/>
                <w:bCs/>
                <w:i/>
              </w:rPr>
              <w:t>(</w:t>
            </w:r>
            <w:r w:rsidRPr="00556692">
              <w:rPr>
                <w:rFonts w:asciiTheme="majorBidi" w:eastAsia="MS PGothic" w:hAnsiTheme="majorBidi" w:cstheme="majorBidi"/>
                <w:b/>
                <w:bCs/>
                <w:i/>
              </w:rPr>
              <w:t>voir la</w:t>
            </w:r>
            <w:r w:rsidR="00EC47A6" w:rsidRPr="00556692">
              <w:rPr>
                <w:rFonts w:asciiTheme="majorBidi" w:eastAsia="MS PGothic" w:hAnsiTheme="majorBidi" w:cstheme="majorBidi"/>
                <w:b/>
                <w:bCs/>
                <w:i/>
              </w:rPr>
              <w:t xml:space="preserve"> Note 3)</w:t>
            </w:r>
          </w:p>
        </w:tc>
      </w:tr>
      <w:tr w:rsidR="009D1750" w:rsidRPr="00556692" w14:paraId="219807EB" w14:textId="77777777" w:rsidTr="003C6AFC">
        <w:trPr>
          <w:cantSplit/>
          <w:jc w:val="center"/>
        </w:trPr>
        <w:tc>
          <w:tcPr>
            <w:tcW w:w="3402" w:type="dxa"/>
          </w:tcPr>
          <w:p w14:paraId="420D9C85"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Niveau de puissance seuil du brouillage cumulatif à bande étroite à la sortie de l'antenne passive (dBW), en mode poursuite</w:t>
            </w:r>
          </w:p>
        </w:tc>
        <w:tc>
          <w:tcPr>
            <w:tcW w:w="6237" w:type="dxa"/>
            <w:vAlign w:val="center"/>
          </w:tcPr>
          <w:p w14:paraId="1F3A7B47"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 xml:space="preserve">Niveau minimal de la puissance brouilleuse à bande étroite (rapporté à la sortie de l'antenne passive et dans la largeur de bande du filtre RF) auquel le récepteur perd la trace d'un signal désiré au niveau de puissance reçue minimal spécifié avec une probabilité donnée (en d'autres termes ne peut rester en mode poursuite avec la probabilité correspondante). Cela suppose que le récepteur avait déjà acquis le signal </w:t>
            </w:r>
            <w:r w:rsidR="00103FC8" w:rsidRPr="00556692">
              <w:rPr>
                <w:rFonts w:asciiTheme="majorBidi" w:eastAsia="MS PGothic" w:hAnsiTheme="majorBidi" w:cstheme="majorBidi"/>
              </w:rPr>
              <w:t>utile</w:t>
            </w:r>
            <w:r w:rsidRPr="00556692">
              <w:rPr>
                <w:rFonts w:asciiTheme="majorBidi" w:eastAsia="MS PGothic" w:hAnsiTheme="majorBidi" w:cstheme="majorBidi"/>
              </w:rPr>
              <w:t xml:space="preserve"> et était en mode poursuite jusqu'au moment où le brouillage a dépassé ce seuil et où le récepteur n'a plus pu fonctionner correctement en mode poursuite (par exemple les données de navigation ne sont plus correctement démodulées) (</w:t>
            </w:r>
            <w:r w:rsidRPr="00556692">
              <w:rPr>
                <w:rFonts w:asciiTheme="majorBidi" w:eastAsia="MS PGothic" w:hAnsiTheme="majorBidi" w:cstheme="majorBidi"/>
                <w:i/>
                <w:iCs/>
              </w:rPr>
              <w:t>voir la Note 1</w:t>
            </w:r>
            <w:r w:rsidRPr="00556692">
              <w:rPr>
                <w:rFonts w:asciiTheme="majorBidi" w:eastAsia="MS PGothic" w:hAnsiTheme="majorBidi" w:cstheme="majorBidi"/>
              </w:rPr>
              <w:t>)</w:t>
            </w:r>
            <w:r w:rsidR="003A4A00" w:rsidRPr="00556692">
              <w:rPr>
                <w:rFonts w:asciiTheme="majorBidi" w:eastAsia="MS PGothic" w:hAnsiTheme="majorBidi" w:cstheme="majorBidi"/>
              </w:rPr>
              <w:t>.</w:t>
            </w:r>
          </w:p>
        </w:tc>
      </w:tr>
      <w:tr w:rsidR="009D1750" w:rsidRPr="00556692" w14:paraId="72792768" w14:textId="77777777" w:rsidTr="003C6AFC">
        <w:trPr>
          <w:cantSplit/>
          <w:jc w:val="center"/>
        </w:trPr>
        <w:tc>
          <w:tcPr>
            <w:tcW w:w="3402" w:type="dxa"/>
          </w:tcPr>
          <w:p w14:paraId="607493E4"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Niveau de puissance seuil du brouillage cumulatif à bande étroite à la sortie de l'antenne passive (dBW), en mode acquisition</w:t>
            </w:r>
          </w:p>
        </w:tc>
        <w:tc>
          <w:tcPr>
            <w:tcW w:w="6237" w:type="dxa"/>
            <w:vAlign w:val="center"/>
          </w:tcPr>
          <w:p w14:paraId="735A83A4" w14:textId="3D135D1F"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 xml:space="preserve">Niveau minimal de la puissance brouilleuse à bande étroite (rapporté à la sortie de l'antenne passive et dans la largeur de bande du filtre RF) auquel le récepteur ne peut pas acquérir un signal </w:t>
            </w:r>
            <w:r w:rsidR="00103FC8" w:rsidRPr="00556692">
              <w:rPr>
                <w:rFonts w:asciiTheme="majorBidi" w:eastAsia="MS PGothic" w:hAnsiTheme="majorBidi" w:cstheme="majorBidi"/>
              </w:rPr>
              <w:t xml:space="preserve">utile </w:t>
            </w:r>
            <w:r w:rsidRPr="00556692">
              <w:rPr>
                <w:rFonts w:asciiTheme="majorBidi" w:eastAsia="MS PGothic" w:hAnsiTheme="majorBidi" w:cstheme="majorBidi"/>
              </w:rPr>
              <w:t xml:space="preserve">au niveau de puissance reçue minimal spécifié avec une probabilité spécifiée et dans un laps de temps spécifié (en d'autres termes ne peut acquérir un signal disponible avec la probabilité correspondante). </w:t>
            </w:r>
            <w:r w:rsidR="00556692" w:rsidRPr="00556692">
              <w:rPr>
                <w:rFonts w:asciiTheme="majorBidi" w:eastAsia="MS PGothic" w:hAnsiTheme="majorBidi" w:cstheme="majorBidi"/>
              </w:rPr>
              <w:t>À</w:t>
            </w:r>
            <w:r w:rsidRPr="00556692">
              <w:rPr>
                <w:rFonts w:asciiTheme="majorBidi" w:eastAsia="MS PGothic" w:hAnsiTheme="majorBidi" w:cstheme="majorBidi"/>
              </w:rPr>
              <w:t xml:space="preserve"> noter que ce niveau de brouillage est inférieur à celui pour le précédent paramètre (mode poursuite) (</w:t>
            </w:r>
            <w:r w:rsidRPr="00556692">
              <w:rPr>
                <w:rFonts w:asciiTheme="majorBidi" w:eastAsia="MS PGothic" w:hAnsiTheme="majorBidi" w:cstheme="majorBidi"/>
                <w:i/>
                <w:iCs/>
              </w:rPr>
              <w:t>voir la Note 1</w:t>
            </w:r>
            <w:r w:rsidRPr="00556692">
              <w:rPr>
                <w:rFonts w:asciiTheme="majorBidi" w:eastAsia="MS PGothic" w:hAnsiTheme="majorBidi" w:cstheme="majorBidi"/>
              </w:rPr>
              <w:t>)</w:t>
            </w:r>
            <w:r w:rsidR="003A4A00" w:rsidRPr="00556692">
              <w:rPr>
                <w:rFonts w:asciiTheme="majorBidi" w:eastAsia="MS PGothic" w:hAnsiTheme="majorBidi" w:cstheme="majorBidi"/>
              </w:rPr>
              <w:t>.</w:t>
            </w:r>
          </w:p>
        </w:tc>
      </w:tr>
      <w:tr w:rsidR="009D1750" w:rsidRPr="00556692" w14:paraId="26F4EC09" w14:textId="77777777" w:rsidTr="003C6AFC">
        <w:trPr>
          <w:cantSplit/>
          <w:jc w:val="center"/>
        </w:trPr>
        <w:tc>
          <w:tcPr>
            <w:tcW w:w="3402" w:type="dxa"/>
          </w:tcPr>
          <w:p w14:paraId="2CE9B24D"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Niveau de densité de puissance seuil du brouillage cumulatif large bande à la sortie de l'antenne passive (dB(W/MHz)), en mode poursuite</w:t>
            </w:r>
          </w:p>
        </w:tc>
        <w:tc>
          <w:tcPr>
            <w:tcW w:w="6237" w:type="dxa"/>
            <w:vAlign w:val="center"/>
          </w:tcPr>
          <w:p w14:paraId="1C69EEA5" w14:textId="77777777"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 xml:space="preserve">Niveau minimal de la densité de puissance du brouillage large bande (rapporté à la sortie de l'antenne passive et dans la largeur de bande du filtre RF) auquel le récepteur perd la trace d'un signal désiré au niveau de puissance reçue minimal spécifié avec une probabilité spécifiée (en d'autres termes ne peut rester en mode poursuite avec la probabilité correspondante). Cela suppose que le récepteur a déjà acquis le signal </w:t>
            </w:r>
            <w:r w:rsidR="003A4A00" w:rsidRPr="00556692">
              <w:rPr>
                <w:rFonts w:asciiTheme="majorBidi" w:eastAsia="MS PGothic" w:hAnsiTheme="majorBidi" w:cstheme="majorBidi"/>
              </w:rPr>
              <w:t>utile</w:t>
            </w:r>
            <w:r w:rsidRPr="00556692">
              <w:rPr>
                <w:rFonts w:asciiTheme="majorBidi" w:eastAsia="MS PGothic" w:hAnsiTheme="majorBidi" w:cstheme="majorBidi"/>
              </w:rPr>
              <w:t xml:space="preserve"> et était en mode poursuite jusqu'au moment où le brouillage a dépassé ce seuil et où le récepteur n'a plus pu fonctionner correctement en mode poursuite (par exemple les données de navigation ne sont plus correctement démodulées). Pour déterminer cette valeur, on suppose que le brouillage cumulatif est du bruit gaussien blanc sur la totalité de la largeur de bande à 3 dB du filtre de précorrélation (</w:t>
            </w:r>
            <w:r w:rsidRPr="00556692">
              <w:rPr>
                <w:rFonts w:asciiTheme="majorBidi" w:eastAsia="MS PGothic" w:hAnsiTheme="majorBidi" w:cstheme="majorBidi"/>
                <w:i/>
                <w:iCs/>
              </w:rPr>
              <w:t>voir la Note 1</w:t>
            </w:r>
            <w:r w:rsidRPr="00556692">
              <w:rPr>
                <w:rFonts w:asciiTheme="majorBidi" w:eastAsia="MS PGothic" w:hAnsiTheme="majorBidi" w:cstheme="majorBidi"/>
              </w:rPr>
              <w:t>)</w:t>
            </w:r>
            <w:r w:rsidR="003A4A00" w:rsidRPr="00556692">
              <w:rPr>
                <w:rFonts w:asciiTheme="majorBidi" w:eastAsia="MS PGothic" w:hAnsiTheme="majorBidi" w:cstheme="majorBidi"/>
              </w:rPr>
              <w:t>.</w:t>
            </w:r>
            <w:r w:rsidRPr="00556692">
              <w:rPr>
                <w:rFonts w:asciiTheme="majorBidi" w:eastAsia="MS PGothic" w:hAnsiTheme="majorBidi" w:cstheme="majorBidi"/>
              </w:rPr>
              <w:t xml:space="preserve"> </w:t>
            </w:r>
          </w:p>
        </w:tc>
      </w:tr>
    </w:tbl>
    <w:p w14:paraId="6354D825" w14:textId="78DC16A8" w:rsidR="00EC47A6" w:rsidRPr="00556692" w:rsidRDefault="00EC47A6" w:rsidP="00DB4E37">
      <w:r w:rsidRPr="00556692">
        <w:br w:type="page"/>
      </w:r>
    </w:p>
    <w:p w14:paraId="009704F5" w14:textId="77777777" w:rsidR="00EC47A6" w:rsidRPr="00556692" w:rsidRDefault="00EC47A6" w:rsidP="00DB4E37">
      <w:pPr>
        <w:pStyle w:val="TableNo"/>
      </w:pPr>
      <w:r w:rsidRPr="00556692">
        <w:t xml:space="preserve">TABLEAU 3 </w:t>
      </w:r>
      <w:r w:rsidRPr="00556692">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EC47A6" w:rsidRPr="00556692" w14:paraId="5B1A4C02" w14:textId="77777777" w:rsidTr="00D01FE0">
        <w:trPr>
          <w:cantSplit/>
          <w:jc w:val="center"/>
        </w:trPr>
        <w:tc>
          <w:tcPr>
            <w:tcW w:w="3402" w:type="dxa"/>
            <w:vAlign w:val="center"/>
          </w:tcPr>
          <w:p w14:paraId="1D0FE2AC" w14:textId="33C438EC" w:rsidR="00EC47A6" w:rsidRPr="00556692" w:rsidRDefault="00EC47A6" w:rsidP="00DB4E37">
            <w:pPr>
              <w:pStyle w:val="Tablehead"/>
              <w:rPr>
                <w:rFonts w:eastAsia="MS PGothic"/>
              </w:rPr>
            </w:pPr>
            <w:r w:rsidRPr="00556692">
              <w:rPr>
                <w:rFonts w:eastAsia="MS PGothic"/>
              </w:rPr>
              <w:t xml:space="preserve">Paramètre </w:t>
            </w:r>
          </w:p>
        </w:tc>
        <w:tc>
          <w:tcPr>
            <w:tcW w:w="6237" w:type="dxa"/>
            <w:vAlign w:val="center"/>
          </w:tcPr>
          <w:p w14:paraId="0577AC51" w14:textId="09C87953" w:rsidR="00EC47A6" w:rsidRPr="00556692" w:rsidRDefault="00EC47A6" w:rsidP="00DB4E37">
            <w:pPr>
              <w:pStyle w:val="Tablehead"/>
              <w:rPr>
                <w:rFonts w:eastAsia="MS PGothic"/>
              </w:rPr>
            </w:pPr>
            <w:r w:rsidRPr="00556692">
              <w:rPr>
                <w:rFonts w:eastAsia="MS PGothic"/>
              </w:rPr>
              <w:t xml:space="preserve">Description du paramètre du système du SRNS </w:t>
            </w:r>
          </w:p>
        </w:tc>
      </w:tr>
      <w:tr w:rsidR="00EC47A6" w:rsidRPr="00556692" w14:paraId="1E2DBEE0" w14:textId="77777777" w:rsidTr="003C6AFC">
        <w:trPr>
          <w:cantSplit/>
          <w:jc w:val="center"/>
        </w:trPr>
        <w:tc>
          <w:tcPr>
            <w:tcW w:w="3402" w:type="dxa"/>
          </w:tcPr>
          <w:p w14:paraId="28FA3FD8" w14:textId="7A5D24A9" w:rsidR="00EC47A6" w:rsidRPr="00556692" w:rsidRDefault="00EC47A6" w:rsidP="00DB4E37">
            <w:pPr>
              <w:pStyle w:val="Tabletext"/>
              <w:jc w:val="left"/>
              <w:rPr>
                <w:rFonts w:asciiTheme="majorBidi" w:eastAsia="MS PGothic" w:hAnsiTheme="majorBidi" w:cstheme="majorBidi"/>
              </w:rPr>
            </w:pPr>
            <w:r w:rsidRPr="00556692">
              <w:rPr>
                <w:rFonts w:asciiTheme="majorBidi" w:eastAsia="MS PGothic" w:hAnsiTheme="majorBidi" w:cstheme="majorBidi"/>
              </w:rPr>
              <w:t>Niveau de densité de puissance seuil du brouillage cumulatif large bande à la sortie de l'antenne passive (dB(W/MHz)), en mode acquisition</w:t>
            </w:r>
          </w:p>
        </w:tc>
        <w:tc>
          <w:tcPr>
            <w:tcW w:w="6237" w:type="dxa"/>
            <w:vAlign w:val="center"/>
          </w:tcPr>
          <w:p w14:paraId="237016F7" w14:textId="4025FE3F" w:rsidR="00EC47A6" w:rsidRPr="00556692" w:rsidRDefault="00EC47A6" w:rsidP="00DB4E37">
            <w:pPr>
              <w:pStyle w:val="Tabletext"/>
              <w:jc w:val="left"/>
              <w:rPr>
                <w:rFonts w:asciiTheme="majorBidi" w:eastAsia="MS PGothic" w:hAnsiTheme="majorBidi" w:cstheme="majorBidi"/>
              </w:rPr>
            </w:pPr>
            <w:r w:rsidRPr="00556692">
              <w:rPr>
                <w:rFonts w:asciiTheme="majorBidi" w:eastAsia="MS PGothic" w:hAnsiTheme="majorBidi" w:cstheme="majorBidi"/>
              </w:rPr>
              <w:t xml:space="preserve">Niveau minimal de la densité de puissance brouilleuse large bande (rapporté à la sortie de l'antenne passive et dans la largeur de bande du filtre RF) auquel le récepteur ne peut pas acquérir un signal utile au niveau de puissance reçue minimal spécifié avec une probabilité spécifiée et dans un laps de temps spécifié (en d'autres termes ne peut ne peut pas acquérir un signal disponible avec la probabilité correspondante). </w:t>
            </w:r>
            <w:r w:rsidR="00556692" w:rsidRPr="00556692">
              <w:rPr>
                <w:rFonts w:asciiTheme="majorBidi" w:eastAsia="MS PGothic" w:hAnsiTheme="majorBidi" w:cstheme="majorBidi"/>
              </w:rPr>
              <w:t>À</w:t>
            </w:r>
            <w:r w:rsidRPr="00556692">
              <w:rPr>
                <w:rFonts w:asciiTheme="majorBidi" w:eastAsia="MS PGothic" w:hAnsiTheme="majorBidi" w:cstheme="majorBidi"/>
              </w:rPr>
              <w:t xml:space="preserve"> noter que ce niveau de brouillage est inférieur à celui pour le précédent paramètre (mode poursuite). Pour déterminer cette valeur, on suppose que le brouillage cumulatif est du bruit gaussien blanc sur la totalité de la largeur de bande à 3 dB du filtre de précorrélation (</w:t>
            </w:r>
            <w:r w:rsidRPr="00556692">
              <w:rPr>
                <w:rFonts w:asciiTheme="majorBidi" w:eastAsia="MS PGothic" w:hAnsiTheme="majorBidi" w:cstheme="majorBidi"/>
                <w:i/>
                <w:iCs/>
              </w:rPr>
              <w:t>voir la Note 1</w:t>
            </w:r>
            <w:r w:rsidRPr="00556692">
              <w:rPr>
                <w:rFonts w:asciiTheme="majorBidi" w:eastAsia="MS PGothic" w:hAnsiTheme="majorBidi" w:cstheme="majorBidi"/>
              </w:rPr>
              <w:t>).</w:t>
            </w:r>
          </w:p>
        </w:tc>
      </w:tr>
      <w:tr w:rsidR="00EC47A6" w:rsidRPr="00556692" w14:paraId="19AA0A2D" w14:textId="77777777" w:rsidTr="00D01FE0">
        <w:trPr>
          <w:cantSplit/>
          <w:jc w:val="center"/>
        </w:trPr>
        <w:tc>
          <w:tcPr>
            <w:tcW w:w="9639" w:type="dxa"/>
            <w:gridSpan w:val="2"/>
          </w:tcPr>
          <w:p w14:paraId="07992841" w14:textId="6D28622B" w:rsidR="00EC47A6" w:rsidRPr="00556692" w:rsidRDefault="005352AB" w:rsidP="00DB4E37">
            <w:pPr>
              <w:pStyle w:val="Tabletext"/>
              <w:jc w:val="center"/>
              <w:rPr>
                <w:rFonts w:asciiTheme="majorBidi" w:eastAsia="MS PGothic" w:hAnsiTheme="majorBidi" w:cstheme="majorBidi"/>
              </w:rPr>
            </w:pPr>
            <w:r w:rsidRPr="00556692">
              <w:rPr>
                <w:rFonts w:eastAsia="MS PGothic"/>
                <w:b/>
                <w:bCs/>
              </w:rPr>
              <w:t>Valeurs seuils pour les brouillages par impulsions</w:t>
            </w:r>
            <w:r w:rsidR="00EC47A6" w:rsidRPr="00556692">
              <w:rPr>
                <w:rFonts w:eastAsia="MS PGothic"/>
                <w:b/>
                <w:bCs/>
              </w:rPr>
              <w:t xml:space="preserve"> </w:t>
            </w:r>
            <w:r w:rsidR="00EC47A6" w:rsidRPr="00556692">
              <w:rPr>
                <w:b/>
                <w:bCs/>
              </w:rPr>
              <w:t>(</w:t>
            </w:r>
            <w:r w:rsidRPr="00556692">
              <w:rPr>
                <w:b/>
                <w:bCs/>
              </w:rPr>
              <w:t>voir les</w:t>
            </w:r>
            <w:r w:rsidR="00EC47A6" w:rsidRPr="00556692">
              <w:rPr>
                <w:b/>
                <w:bCs/>
                <w:i/>
              </w:rPr>
              <w:t xml:space="preserve"> Notes 3</w:t>
            </w:r>
            <w:r w:rsidRPr="00556692">
              <w:rPr>
                <w:b/>
                <w:bCs/>
                <w:i/>
              </w:rPr>
              <w:t xml:space="preserve"> et</w:t>
            </w:r>
            <w:r w:rsidR="00EC47A6" w:rsidRPr="00556692">
              <w:rPr>
                <w:b/>
                <w:bCs/>
                <w:i/>
              </w:rPr>
              <w:t xml:space="preserve"> 4</w:t>
            </w:r>
            <w:r w:rsidR="00EC47A6" w:rsidRPr="00556692">
              <w:rPr>
                <w:b/>
                <w:bCs/>
              </w:rPr>
              <w:t>)</w:t>
            </w:r>
          </w:p>
        </w:tc>
      </w:tr>
      <w:tr w:rsidR="009D1750" w:rsidRPr="00556692" w14:paraId="79783A4C" w14:textId="77777777" w:rsidTr="003C6AFC">
        <w:trPr>
          <w:cantSplit/>
          <w:jc w:val="center"/>
        </w:trPr>
        <w:tc>
          <w:tcPr>
            <w:tcW w:w="3402" w:type="dxa"/>
          </w:tcPr>
          <w:p w14:paraId="5F4EC298" w14:textId="47F95D6F" w:rsidR="009D1750" w:rsidRPr="00556692" w:rsidRDefault="009D1750" w:rsidP="00DB4E37">
            <w:pPr>
              <w:pStyle w:val="Tabletext"/>
              <w:jc w:val="left"/>
              <w:rPr>
                <w:rFonts w:asciiTheme="majorBidi" w:hAnsiTheme="majorBidi" w:cstheme="majorBidi"/>
                <w:snapToGrid w:val="0"/>
              </w:rPr>
            </w:pPr>
            <w:r w:rsidRPr="00556692">
              <w:rPr>
                <w:rFonts w:asciiTheme="majorBidi" w:hAnsiTheme="majorBidi" w:cstheme="majorBidi"/>
              </w:rPr>
              <w:t xml:space="preserve">Niveau de </w:t>
            </w:r>
            <w:r w:rsidR="005352AB" w:rsidRPr="00556692">
              <w:rPr>
                <w:rFonts w:asciiTheme="majorBidi" w:hAnsiTheme="majorBidi" w:cstheme="majorBidi"/>
              </w:rPr>
              <w:t>saturation</w:t>
            </w:r>
            <w:r w:rsidRPr="00556692">
              <w:rPr>
                <w:rFonts w:asciiTheme="majorBidi" w:hAnsiTheme="majorBidi" w:cstheme="majorBidi"/>
              </w:rPr>
              <w:t xml:space="preserve"> à l'entrée du récepteur (dBW)</w:t>
            </w:r>
            <w:r w:rsidR="00EC47A6" w:rsidRPr="00556692">
              <w:rPr>
                <w:rFonts w:asciiTheme="majorBidi" w:hAnsiTheme="majorBidi" w:cstheme="majorBidi"/>
              </w:rPr>
              <w:t xml:space="preserve"> (</w:t>
            </w:r>
            <w:r w:rsidR="005352AB" w:rsidRPr="00556692">
              <w:rPr>
                <w:rFonts w:asciiTheme="majorBidi" w:hAnsiTheme="majorBidi" w:cstheme="majorBidi"/>
                <w:i/>
              </w:rPr>
              <w:t>voir la</w:t>
            </w:r>
            <w:r w:rsidR="00EC47A6" w:rsidRPr="00556692">
              <w:rPr>
                <w:rFonts w:asciiTheme="majorBidi" w:hAnsiTheme="majorBidi" w:cstheme="majorBidi"/>
                <w:i/>
              </w:rPr>
              <w:t xml:space="preserve"> Note 4</w:t>
            </w:r>
            <w:r w:rsidR="00EC47A6" w:rsidRPr="00556692">
              <w:rPr>
                <w:rFonts w:asciiTheme="majorBidi" w:hAnsiTheme="majorBidi" w:cstheme="majorBidi"/>
              </w:rPr>
              <w:t>)</w:t>
            </w:r>
          </w:p>
        </w:tc>
        <w:tc>
          <w:tcPr>
            <w:tcW w:w="6237" w:type="dxa"/>
            <w:vAlign w:val="center"/>
          </w:tcPr>
          <w:p w14:paraId="6B8C1E6D" w14:textId="4D8A078E" w:rsidR="009D1750" w:rsidRPr="00556692" w:rsidRDefault="009D1750" w:rsidP="00DB4E37">
            <w:pPr>
              <w:pStyle w:val="Tabletext"/>
              <w:jc w:val="left"/>
              <w:rPr>
                <w:rFonts w:asciiTheme="majorBidi" w:eastAsia="MS PGothic" w:hAnsiTheme="majorBidi" w:cstheme="majorBidi"/>
              </w:rPr>
            </w:pPr>
            <w:r w:rsidRPr="00556692">
              <w:rPr>
                <w:rFonts w:asciiTheme="majorBidi" w:eastAsia="MS PGothic" w:hAnsiTheme="majorBidi" w:cstheme="majorBidi"/>
              </w:rPr>
              <w:t>Niveau</w:t>
            </w:r>
            <w:r w:rsidR="006C1428" w:rsidRPr="00556692">
              <w:rPr>
                <w:rFonts w:asciiTheme="majorBidi" w:eastAsia="MS PGothic" w:hAnsiTheme="majorBidi" w:cstheme="majorBidi"/>
              </w:rPr>
              <w:t xml:space="preserve"> de puissance</w:t>
            </w:r>
            <w:r w:rsidRPr="00556692">
              <w:rPr>
                <w:rFonts w:asciiTheme="majorBidi" w:eastAsia="MS PGothic" w:hAnsiTheme="majorBidi" w:cstheme="majorBidi"/>
              </w:rPr>
              <w:t xml:space="preserve"> minimal</w:t>
            </w:r>
            <w:r w:rsidR="006C1428" w:rsidRPr="00556692">
              <w:rPr>
                <w:rFonts w:asciiTheme="majorBidi" w:eastAsia="MS PGothic" w:hAnsiTheme="majorBidi" w:cstheme="majorBidi"/>
              </w:rPr>
              <w:t xml:space="preserve"> </w:t>
            </w:r>
            <w:r w:rsidRPr="00556692">
              <w:rPr>
                <w:rFonts w:asciiTheme="majorBidi" w:eastAsia="MS PGothic" w:hAnsiTheme="majorBidi" w:cstheme="majorBidi"/>
              </w:rPr>
              <w:t xml:space="preserve">à la sortie de l'antenne </w:t>
            </w:r>
            <w:r w:rsidR="006C1428" w:rsidRPr="00556692">
              <w:rPr>
                <w:rFonts w:asciiTheme="majorBidi" w:eastAsia="MS PGothic" w:hAnsiTheme="majorBidi" w:cstheme="majorBidi"/>
              </w:rPr>
              <w:t>de réception passive</w:t>
            </w:r>
            <w:r w:rsidR="00A05095" w:rsidRPr="00556692">
              <w:rPr>
                <w:rFonts w:asciiTheme="majorBidi" w:eastAsia="MS PGothic" w:hAnsiTheme="majorBidi" w:cstheme="majorBidi"/>
              </w:rPr>
              <w:t>,</w:t>
            </w:r>
            <w:r w:rsidR="006C1428" w:rsidRPr="00556692">
              <w:rPr>
                <w:rFonts w:asciiTheme="majorBidi" w:eastAsia="MS PGothic" w:hAnsiTheme="majorBidi" w:cstheme="majorBidi"/>
              </w:rPr>
              <w:t xml:space="preserve"> </w:t>
            </w:r>
            <w:r w:rsidR="00A05095" w:rsidRPr="00556692">
              <w:rPr>
                <w:rFonts w:asciiTheme="majorBidi" w:eastAsia="MS PGothic" w:hAnsiTheme="majorBidi" w:cstheme="majorBidi"/>
              </w:rPr>
              <w:t xml:space="preserve">dû à </w:t>
            </w:r>
            <w:r w:rsidR="00C07DFB" w:rsidRPr="00556692">
              <w:rPr>
                <w:rFonts w:asciiTheme="majorBidi" w:eastAsia="MS PGothic" w:hAnsiTheme="majorBidi" w:cstheme="majorBidi"/>
              </w:rPr>
              <w:t>des</w:t>
            </w:r>
            <w:r w:rsidR="006C1428" w:rsidRPr="00556692">
              <w:rPr>
                <w:rFonts w:asciiTheme="majorBidi" w:eastAsia="MS PGothic" w:hAnsiTheme="majorBidi" w:cstheme="majorBidi"/>
              </w:rPr>
              <w:t xml:space="preserve"> sources de brouillage par impulsions, </w:t>
            </w:r>
            <w:r w:rsidRPr="00556692">
              <w:rPr>
                <w:rFonts w:asciiTheme="majorBidi" w:eastAsia="MS PGothic" w:hAnsiTheme="majorBidi" w:cstheme="majorBidi"/>
              </w:rPr>
              <w:t xml:space="preserve">auquel </w:t>
            </w:r>
            <w:r w:rsidR="006C1428" w:rsidRPr="00556692">
              <w:rPr>
                <w:rFonts w:asciiTheme="majorBidi" w:eastAsia="MS PGothic" w:hAnsiTheme="majorBidi" w:cstheme="majorBidi"/>
              </w:rPr>
              <w:t xml:space="preserve">soit </w:t>
            </w:r>
            <w:r w:rsidRPr="00556692">
              <w:rPr>
                <w:rFonts w:asciiTheme="majorBidi" w:eastAsia="MS PGothic" w:hAnsiTheme="majorBidi" w:cstheme="majorBidi"/>
              </w:rPr>
              <w:t>le gain linéaire du récepteur est compressé</w:t>
            </w:r>
            <w:r w:rsidR="006C1428" w:rsidRPr="00556692">
              <w:rPr>
                <w:rFonts w:asciiTheme="majorBidi" w:eastAsia="MS PGothic" w:hAnsiTheme="majorBidi" w:cstheme="majorBidi"/>
              </w:rPr>
              <w:t xml:space="preserve">, soit le récepteur est saturé en un point quelconque </w:t>
            </w:r>
            <w:r w:rsidR="00A05095" w:rsidRPr="00556692">
              <w:rPr>
                <w:rFonts w:asciiTheme="majorBidi" w:eastAsia="MS PGothic" w:hAnsiTheme="majorBidi" w:cstheme="majorBidi"/>
              </w:rPr>
              <w:t xml:space="preserve">de ses circuits de traitement entre le </w:t>
            </w:r>
            <w:r w:rsidR="00D01FE0" w:rsidRPr="00556692">
              <w:rPr>
                <w:rFonts w:asciiTheme="majorBidi" w:eastAsia="MS PGothic" w:hAnsiTheme="majorBidi" w:cstheme="majorBidi"/>
              </w:rPr>
              <w:t>premier étage</w:t>
            </w:r>
            <w:r w:rsidR="00C07DFB" w:rsidRPr="00556692">
              <w:rPr>
                <w:rFonts w:asciiTheme="majorBidi" w:eastAsia="MS PGothic" w:hAnsiTheme="majorBidi" w:cstheme="majorBidi"/>
              </w:rPr>
              <w:t xml:space="preserve"> de gain</w:t>
            </w:r>
            <w:r w:rsidR="00D01FE0" w:rsidRPr="00556692">
              <w:rPr>
                <w:rFonts w:asciiTheme="majorBidi" w:eastAsia="MS PGothic" w:hAnsiTheme="majorBidi" w:cstheme="majorBidi"/>
              </w:rPr>
              <w:t xml:space="preserve"> </w:t>
            </w:r>
            <w:r w:rsidR="00A05095" w:rsidRPr="00556692">
              <w:rPr>
                <w:rFonts w:asciiTheme="majorBidi" w:eastAsia="MS PGothic" w:hAnsiTheme="majorBidi" w:cstheme="majorBidi"/>
              </w:rPr>
              <w:t xml:space="preserve">et le </w:t>
            </w:r>
            <w:r w:rsidR="00D01FE0" w:rsidRPr="00556692">
              <w:rPr>
                <w:rFonts w:asciiTheme="majorBidi" w:eastAsia="MS PGothic" w:hAnsiTheme="majorBidi" w:cstheme="majorBidi"/>
              </w:rPr>
              <w:t>convertisseur analogique/numérique</w:t>
            </w:r>
            <w:r w:rsidR="00EC47A6" w:rsidRPr="00556692">
              <w:rPr>
                <w:rFonts w:asciiTheme="majorBidi" w:eastAsia="MS PGothic" w:hAnsiTheme="majorBidi" w:cstheme="majorBidi"/>
              </w:rPr>
              <w:t>.</w:t>
            </w:r>
          </w:p>
        </w:tc>
      </w:tr>
      <w:tr w:rsidR="009D1750" w:rsidRPr="00556692" w14:paraId="36889450"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14:paraId="14617BCF" w14:textId="5E103309" w:rsidR="009D1750" w:rsidRPr="00556692" w:rsidRDefault="009D1750" w:rsidP="00DB4E37">
            <w:pPr>
              <w:pStyle w:val="Tabletext"/>
              <w:jc w:val="left"/>
              <w:rPr>
                <w:snapToGrid w:val="0"/>
              </w:rPr>
            </w:pPr>
            <w:r w:rsidRPr="00556692">
              <w:t>Niveau de survie du récepteur (dBW)</w:t>
            </w:r>
            <w:r w:rsidR="00EC47A6" w:rsidRPr="00556692">
              <w:t xml:space="preserve"> (</w:t>
            </w:r>
            <w:r w:rsidR="00D01FE0" w:rsidRPr="00556692">
              <w:rPr>
                <w:i/>
              </w:rPr>
              <w:t>voir la</w:t>
            </w:r>
            <w:r w:rsidR="00EC47A6" w:rsidRPr="00556692">
              <w:rPr>
                <w:i/>
              </w:rPr>
              <w:t xml:space="preserve"> Note 4</w:t>
            </w:r>
            <w:r w:rsidR="00EC47A6" w:rsidRPr="00556692">
              <w:t>)</w:t>
            </w:r>
          </w:p>
        </w:tc>
        <w:tc>
          <w:tcPr>
            <w:tcW w:w="6237" w:type="dxa"/>
            <w:tcBorders>
              <w:top w:val="single" w:sz="4" w:space="0" w:color="auto"/>
              <w:left w:val="single" w:sz="4" w:space="0" w:color="auto"/>
              <w:bottom w:val="single" w:sz="4" w:space="0" w:color="auto"/>
              <w:right w:val="single" w:sz="4" w:space="0" w:color="auto"/>
            </w:tcBorders>
            <w:vAlign w:val="center"/>
          </w:tcPr>
          <w:p w14:paraId="7AD773F6" w14:textId="4350A349" w:rsidR="009D1750" w:rsidRPr="00556692" w:rsidRDefault="009D1750" w:rsidP="00DB4E37">
            <w:pPr>
              <w:pStyle w:val="Tabletext"/>
              <w:jc w:val="left"/>
              <w:rPr>
                <w:rFonts w:eastAsia="MS PGothic"/>
              </w:rPr>
            </w:pPr>
            <w:r w:rsidRPr="00556692">
              <w:rPr>
                <w:rFonts w:eastAsia="MS PGothic"/>
              </w:rPr>
              <w:t>Niveau de puissance maximal à la sortie de l'antenne</w:t>
            </w:r>
            <w:r w:rsidR="00D01FE0" w:rsidRPr="00556692">
              <w:rPr>
                <w:rFonts w:eastAsia="MS PGothic"/>
              </w:rPr>
              <w:t xml:space="preserve"> de réception</w:t>
            </w:r>
            <w:r w:rsidRPr="00556692">
              <w:rPr>
                <w:rFonts w:eastAsia="MS PGothic"/>
              </w:rPr>
              <w:t xml:space="preserve"> passive</w:t>
            </w:r>
            <w:r w:rsidR="00A05095" w:rsidRPr="00556692">
              <w:rPr>
                <w:rFonts w:eastAsia="MS PGothic"/>
              </w:rPr>
              <w:t>,</w:t>
            </w:r>
            <w:r w:rsidRPr="00556692">
              <w:rPr>
                <w:rFonts w:eastAsia="MS PGothic"/>
              </w:rPr>
              <w:t xml:space="preserve"> </w:t>
            </w:r>
            <w:r w:rsidR="00A05095" w:rsidRPr="00556692">
              <w:rPr>
                <w:rFonts w:eastAsia="MS PGothic"/>
              </w:rPr>
              <w:t xml:space="preserve">dû à </w:t>
            </w:r>
            <w:r w:rsidR="00D01FE0" w:rsidRPr="00556692">
              <w:rPr>
                <w:rFonts w:eastAsia="MS PGothic"/>
              </w:rPr>
              <w:t>des sources de brouillage par impulsions</w:t>
            </w:r>
            <w:r w:rsidR="00A05095" w:rsidRPr="00556692">
              <w:rPr>
                <w:rFonts w:eastAsia="MS PGothic"/>
              </w:rPr>
              <w:t>,</w:t>
            </w:r>
            <w:r w:rsidR="00D01FE0" w:rsidRPr="00556692">
              <w:rPr>
                <w:rFonts w:eastAsia="MS PGothic"/>
              </w:rPr>
              <w:t xml:space="preserve"> </w:t>
            </w:r>
            <w:r w:rsidRPr="00556692">
              <w:rPr>
                <w:rFonts w:eastAsia="MS PGothic"/>
              </w:rPr>
              <w:t>auquel le récepteur doit survivre sans défaillance de composants.</w:t>
            </w:r>
          </w:p>
        </w:tc>
      </w:tr>
      <w:tr w:rsidR="009D1750" w:rsidRPr="00556692" w14:paraId="349D5A3C"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14:paraId="30AE82ED" w14:textId="1A748956" w:rsidR="009D1750" w:rsidRPr="00556692" w:rsidRDefault="009D1750" w:rsidP="00DB4E37">
            <w:pPr>
              <w:pStyle w:val="Tabletext"/>
              <w:jc w:val="left"/>
              <w:rPr>
                <w:snapToGrid w:val="0"/>
              </w:rPr>
            </w:pPr>
            <w:r w:rsidRPr="00556692">
              <w:t>Temps de rétablissement après surcharge(s)</w:t>
            </w:r>
            <w:r w:rsidR="00EC47A6" w:rsidRPr="00556692">
              <w:t xml:space="preserve"> (</w:t>
            </w:r>
            <w:r w:rsidR="00D01FE0" w:rsidRPr="00556692">
              <w:rPr>
                <w:i/>
              </w:rPr>
              <w:t>voir la</w:t>
            </w:r>
            <w:r w:rsidR="00EC47A6" w:rsidRPr="00556692">
              <w:rPr>
                <w:i/>
              </w:rPr>
              <w:t xml:space="preserve"> Note 4</w:t>
            </w:r>
            <w:r w:rsidR="00EC47A6" w:rsidRPr="00556692">
              <w:t>)</w:t>
            </w:r>
          </w:p>
        </w:tc>
        <w:tc>
          <w:tcPr>
            <w:tcW w:w="6237" w:type="dxa"/>
            <w:tcBorders>
              <w:top w:val="single" w:sz="4" w:space="0" w:color="auto"/>
              <w:left w:val="single" w:sz="4" w:space="0" w:color="auto"/>
              <w:bottom w:val="single" w:sz="4" w:space="0" w:color="auto"/>
              <w:right w:val="single" w:sz="4" w:space="0" w:color="auto"/>
            </w:tcBorders>
            <w:vAlign w:val="center"/>
          </w:tcPr>
          <w:p w14:paraId="31E18AFA" w14:textId="37776816" w:rsidR="009D1750" w:rsidRPr="00556692" w:rsidRDefault="009D1750" w:rsidP="00DB4E37">
            <w:pPr>
              <w:pStyle w:val="Tabletext"/>
              <w:jc w:val="left"/>
              <w:rPr>
                <w:rFonts w:eastAsia="MS PGothic"/>
              </w:rPr>
            </w:pPr>
            <w:r w:rsidRPr="00556692">
              <w:rPr>
                <w:rFonts w:eastAsia="MS PGothic"/>
              </w:rPr>
              <w:t xml:space="preserve">Temps maximal pour que la fonction de transfert du récepteur revienne à un régime permanent après qu'un </w:t>
            </w:r>
            <w:r w:rsidR="00D01FE0" w:rsidRPr="00556692">
              <w:rPr>
                <w:rFonts w:eastAsia="MS PGothic"/>
              </w:rPr>
              <w:t>brouillage causé par des sources de brouillage par impulsions</w:t>
            </w:r>
            <w:r w:rsidRPr="00556692">
              <w:rPr>
                <w:rFonts w:eastAsia="MS PGothic"/>
              </w:rPr>
              <w:t xml:space="preserve"> dépassant le niveau de </w:t>
            </w:r>
            <w:r w:rsidR="00D01FE0" w:rsidRPr="00556692">
              <w:rPr>
                <w:rFonts w:eastAsia="MS PGothic"/>
              </w:rPr>
              <w:t>saturation</w:t>
            </w:r>
            <w:r w:rsidRPr="00556692">
              <w:rPr>
                <w:rFonts w:eastAsia="MS PGothic"/>
              </w:rPr>
              <w:t xml:space="preserve"> à l'entrée du récepteur </w:t>
            </w:r>
            <w:r w:rsidR="00D01FE0" w:rsidRPr="00556692">
              <w:rPr>
                <w:rFonts w:eastAsia="MS PGothic"/>
              </w:rPr>
              <w:t>a</w:t>
            </w:r>
            <w:r w:rsidRPr="00556692">
              <w:rPr>
                <w:rFonts w:eastAsia="MS PGothic"/>
              </w:rPr>
              <w:t xml:space="preserve"> chuté en-dessous de ce niveau.</w:t>
            </w:r>
          </w:p>
        </w:tc>
      </w:tr>
      <w:tr w:rsidR="009D1750" w:rsidRPr="00556692" w14:paraId="58F803F6"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14:paraId="18F15ECD" w14:textId="0794F30D" w:rsidR="009D1750" w:rsidRPr="00556692" w:rsidRDefault="009D1750" w:rsidP="00DB4E37">
            <w:pPr>
              <w:pStyle w:val="Tabletext"/>
              <w:spacing w:before="120"/>
            </w:pPr>
            <w:r w:rsidRPr="00556692">
              <w:rPr>
                <w:i/>
                <w:iCs/>
              </w:rPr>
              <w:t>N</w:t>
            </w:r>
            <w:r w:rsidR="00EC47A6" w:rsidRPr="00556692">
              <w:rPr>
                <w:i/>
                <w:iCs/>
              </w:rPr>
              <w:t>ote</w:t>
            </w:r>
            <w:r w:rsidRPr="00556692">
              <w:rPr>
                <w:i/>
                <w:iCs/>
              </w:rPr>
              <w:t xml:space="preserve"> 1</w:t>
            </w:r>
            <w:r w:rsidR="00521DF4" w:rsidRPr="00556692">
              <w:t>:</w:t>
            </w:r>
            <w:r w:rsidRPr="00556692">
              <w:t xml:space="preserve"> </w:t>
            </w:r>
            <w:r w:rsidR="00D01FE0" w:rsidRPr="00556692">
              <w:t>L</w:t>
            </w:r>
            <w:r w:rsidRPr="00556692">
              <w:t>e</w:t>
            </w:r>
            <w:r w:rsidR="00D01FE0" w:rsidRPr="00556692">
              <w:t>s largeurs de bande pour le</w:t>
            </w:r>
            <w:r w:rsidRPr="00556692">
              <w:t xml:space="preserve"> brouillage continu à bande étroite et le brouillage continu large bande</w:t>
            </w:r>
            <w:r w:rsidR="00D01FE0" w:rsidRPr="00556692">
              <w:t xml:space="preserve"> sont définies dans les </w:t>
            </w:r>
            <w:r w:rsidR="00521DF4" w:rsidRPr="00556692">
              <w:t xml:space="preserve">Recommandations UIT-R M.1905, UIT-R M.1902, UIT-R M.1903, UIT-R M.1904 </w:t>
            </w:r>
            <w:r w:rsidR="00A05095" w:rsidRPr="00556692">
              <w:t xml:space="preserve">et </w:t>
            </w:r>
            <w:r w:rsidR="00521DF4" w:rsidRPr="00556692">
              <w:t>UIT-R M.2031.</w:t>
            </w:r>
          </w:p>
          <w:p w14:paraId="06F51445" w14:textId="7FF015FD" w:rsidR="009D1750" w:rsidRPr="00556692" w:rsidRDefault="009D1750" w:rsidP="00DB4E37">
            <w:pPr>
              <w:pStyle w:val="Tabletext"/>
              <w:spacing w:before="120"/>
            </w:pPr>
            <w:r w:rsidRPr="00556692">
              <w:rPr>
                <w:i/>
                <w:iCs/>
              </w:rPr>
              <w:t>N</w:t>
            </w:r>
            <w:r w:rsidR="00EC47A6" w:rsidRPr="00556692">
              <w:rPr>
                <w:i/>
                <w:iCs/>
              </w:rPr>
              <w:t>ote</w:t>
            </w:r>
            <w:r w:rsidRPr="00556692">
              <w:rPr>
                <w:i/>
                <w:iCs/>
              </w:rPr>
              <w:t xml:space="preserve"> </w:t>
            </w:r>
            <w:r w:rsidR="00EC47A6" w:rsidRPr="00556692">
              <w:rPr>
                <w:i/>
                <w:iCs/>
              </w:rPr>
              <w:t>2</w:t>
            </w:r>
            <w:r w:rsidR="00521DF4" w:rsidRPr="00556692">
              <w:t>:</w:t>
            </w:r>
            <w:r w:rsidRPr="00556692">
              <w:t xml:space="preserve"> Pour les Recommandations citées en référence, les unités des paramètres devraient être les mêmes que celles données dans le tableau, sauf indication contraire.</w:t>
            </w:r>
          </w:p>
          <w:p w14:paraId="03173F1C" w14:textId="1B497C0E" w:rsidR="00EC47A6" w:rsidRPr="00556692" w:rsidRDefault="00EC47A6" w:rsidP="00DB4E37">
            <w:pPr>
              <w:pStyle w:val="Tablelegend"/>
              <w:ind w:left="0" w:firstLine="0"/>
            </w:pPr>
            <w:r w:rsidRPr="00556692">
              <w:rPr>
                <w:i/>
                <w:iCs/>
              </w:rPr>
              <w:t>Note 3</w:t>
            </w:r>
            <w:r w:rsidRPr="00556692">
              <w:rPr>
                <w:iCs/>
              </w:rPr>
              <w:t xml:space="preserve">: </w:t>
            </w:r>
            <w:r w:rsidR="000868CD" w:rsidRPr="00556692">
              <w:t>L'expression «brouillages continus» désigne ici des brouillages provenant de sources d'une puissance relativement constante généralement présents en permanence. Ces brouillages se distinguent des brouillages par impulsions, constitués de salves de transmission suivies de périodes sans transmission. La compatibilité des brouillages par impulsions avec les signaux du SRNS est fonction de la puissance et de la durée des salves et du facteur d'utilisation de la transmission</w:t>
            </w:r>
            <w:r w:rsidRPr="00556692">
              <w:t>.</w:t>
            </w:r>
          </w:p>
          <w:p w14:paraId="7ECEA760" w14:textId="3C7A7ACC" w:rsidR="00EC47A6" w:rsidRPr="00556692" w:rsidRDefault="00EC47A6" w:rsidP="00DB4E37">
            <w:pPr>
              <w:pStyle w:val="Tabletext"/>
              <w:spacing w:before="120"/>
              <w:rPr>
                <w:rFonts w:eastAsia="MS PGothic"/>
              </w:rPr>
            </w:pPr>
            <w:r w:rsidRPr="00556692">
              <w:rPr>
                <w:i/>
                <w:iCs/>
              </w:rPr>
              <w:t>N</w:t>
            </w:r>
            <w:r w:rsidRPr="00556692">
              <w:rPr>
                <w:i/>
              </w:rPr>
              <w:t>ote 4</w:t>
            </w:r>
            <w:r w:rsidRPr="00556692">
              <w:t xml:space="preserve">: </w:t>
            </w:r>
            <w:r w:rsidR="009771C4" w:rsidRPr="00556692">
              <w:rPr>
                <w:bCs/>
                <w:iCs/>
              </w:rPr>
              <w:t>Les valeurs indiquées pour ces paramètres sont destinées à être utilisées aux fins de l'évaluation des brouillages causés par des sources de brouillage par impulsions, en association avec la Recommandation UIT-R M</w:t>
            </w:r>
            <w:r w:rsidRPr="00556692">
              <w:rPr>
                <w:lang w:eastAsia="ja-JP"/>
              </w:rPr>
              <w:t>.2030</w:t>
            </w:r>
            <w:r w:rsidRPr="00556692">
              <w:rPr>
                <w:i/>
              </w:rPr>
              <w:t>.</w:t>
            </w:r>
          </w:p>
        </w:tc>
      </w:tr>
    </w:tbl>
    <w:p w14:paraId="3DBCD866" w14:textId="77777777" w:rsidR="000C02C5" w:rsidRPr="00556692" w:rsidRDefault="000C02C5" w:rsidP="00DB4E37"/>
    <w:p w14:paraId="10C68757" w14:textId="77777777" w:rsidR="001D1CC8" w:rsidRPr="00556692" w:rsidRDefault="001D1CC8" w:rsidP="00DB4E37">
      <w:pPr>
        <w:pStyle w:val="Line"/>
        <w:rPr>
          <w:lang w:val="fr-FR"/>
        </w:rPr>
      </w:pPr>
    </w:p>
    <w:sectPr w:rsidR="001D1CC8" w:rsidRPr="00556692" w:rsidSect="00521DF4">
      <w:headerReference w:type="even" r:id="rId13"/>
      <w:headerReference w:type="default" r:id="rId14"/>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45A19" w14:textId="77777777" w:rsidR="00B73244" w:rsidRDefault="00B73244">
      <w:r>
        <w:separator/>
      </w:r>
    </w:p>
  </w:endnote>
  <w:endnote w:type="continuationSeparator" w:id="0">
    <w:p w14:paraId="46A91A9B" w14:textId="77777777" w:rsidR="00B73244" w:rsidRDefault="00B73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E7C9C" w14:textId="77777777" w:rsidR="00B73244" w:rsidRDefault="00B73244">
      <w:r>
        <w:separator/>
      </w:r>
    </w:p>
  </w:footnote>
  <w:footnote w:type="continuationSeparator" w:id="0">
    <w:p w14:paraId="191E6F1E" w14:textId="77777777" w:rsidR="00B73244" w:rsidRDefault="00B73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F766A" w14:textId="77777777" w:rsidR="00D01FE0" w:rsidRDefault="00D01FE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4BDA5" w14:textId="77777777" w:rsidR="00D01FE0" w:rsidRDefault="00D01FE0" w:rsidP="00996465">
    <w:pPr>
      <w:pStyle w:val="Header"/>
      <w:ind w:right="360" w:firstLine="360"/>
    </w:pPr>
    <w:r>
      <w:rPr>
        <w:noProof/>
        <w:lang w:val="en-US" w:eastAsia="zh-CN"/>
      </w:rPr>
      <w:drawing>
        <wp:anchor distT="0" distB="0" distL="114300" distR="114300" simplePos="0" relativeHeight="251659264" behindDoc="1" locked="0" layoutInCell="1" allowOverlap="1" wp14:anchorId="09FAFA5B" wp14:editId="7C63289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CD2A" w14:textId="1A598012" w:rsidR="00D01FE0" w:rsidRPr="00837CB5" w:rsidRDefault="00D01FE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Pr="003B49E6">
      <w:rPr>
        <w:b/>
        <w:bCs/>
        <w:lang w:val="en-GB"/>
      </w:rPr>
      <w:t>Rec.</w:t>
    </w:r>
    <w:r>
      <w:rPr>
        <w:b/>
        <w:bCs/>
      </w:rPr>
      <w:t xml:space="preserve"> </w:t>
    </w:r>
    <w:r w:rsidR="00DB4E37">
      <w:rPr>
        <w:b/>
        <w:bCs/>
      </w:rPr>
      <w:t xml:space="preserve"> </w:t>
    </w:r>
    <w:r>
      <w:rPr>
        <w:b/>
        <w:bCs/>
      </w:rPr>
      <w:t>UIT-R  M.1901-2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4DD4" w14:textId="7D01B8F2" w:rsidR="00D01FE0" w:rsidRDefault="00D01FE0">
    <w:pPr>
      <w:pStyle w:val="Header"/>
    </w:pPr>
    <w:r>
      <w:tab/>
    </w:r>
    <w:r w:rsidRPr="003B49E6">
      <w:rPr>
        <w:b/>
        <w:bCs/>
        <w:lang w:val="en-GB"/>
      </w:rPr>
      <w:t>Rec.</w:t>
    </w:r>
    <w:r>
      <w:rPr>
        <w:b/>
        <w:bCs/>
      </w:rPr>
      <w:t xml:space="preserve"> UIT-R  M.1901-2</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57F3" w14:textId="1CE8E9D4" w:rsidR="00D01FE0" w:rsidRDefault="00D01F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36C34" w:rsidRPr="00D36C3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6C34">
      <w:rPr>
        <w:b/>
        <w:bCs/>
        <w:noProof/>
        <w:lang w:val="en-US"/>
      </w:rPr>
      <w:t>UIT-R  M.1901-2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06E5" w14:textId="0F041A96" w:rsidR="00D01FE0" w:rsidRDefault="00D01FE0">
    <w:pPr>
      <w:pStyle w:val="Header"/>
    </w:pPr>
    <w:r>
      <w:tab/>
    </w:r>
    <w:r w:rsidRPr="003B49E6">
      <w:rPr>
        <w:b/>
        <w:bCs/>
        <w:lang w:val="en-GB"/>
      </w:rPr>
      <w:t>Rec.</w:t>
    </w:r>
    <w:r>
      <w:rPr>
        <w:b/>
        <w:bCs/>
      </w:rPr>
      <w:t xml:space="preserve"> </w:t>
    </w:r>
    <w:r w:rsidR="00DB4E37">
      <w:rPr>
        <w:b/>
        <w:bCs/>
      </w:rPr>
      <w:t xml:space="preserve"> </w:t>
    </w:r>
    <w:r>
      <w:rPr>
        <w:b/>
        <w:bCs/>
      </w:rPr>
      <w:t>UIT-R  M.1901-2</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50"/>
    <w:rsid w:val="00006EF3"/>
    <w:rsid w:val="00023007"/>
    <w:rsid w:val="000526C4"/>
    <w:rsid w:val="000868CD"/>
    <w:rsid w:val="000C02C5"/>
    <w:rsid w:val="0010321D"/>
    <w:rsid w:val="00103FC8"/>
    <w:rsid w:val="001374D2"/>
    <w:rsid w:val="001C50D4"/>
    <w:rsid w:val="001D1CC8"/>
    <w:rsid w:val="00217EBF"/>
    <w:rsid w:val="00232BC1"/>
    <w:rsid w:val="00242AEE"/>
    <w:rsid w:val="002635C9"/>
    <w:rsid w:val="002B7F44"/>
    <w:rsid w:val="002D76C4"/>
    <w:rsid w:val="003A4A00"/>
    <w:rsid w:val="003B49E6"/>
    <w:rsid w:val="003C6AFC"/>
    <w:rsid w:val="004958AD"/>
    <w:rsid w:val="005039CE"/>
    <w:rsid w:val="00521DF4"/>
    <w:rsid w:val="0052529D"/>
    <w:rsid w:val="005352AB"/>
    <w:rsid w:val="00556692"/>
    <w:rsid w:val="005C4E76"/>
    <w:rsid w:val="005C69BB"/>
    <w:rsid w:val="00607D68"/>
    <w:rsid w:val="0061444F"/>
    <w:rsid w:val="006201B6"/>
    <w:rsid w:val="00623433"/>
    <w:rsid w:val="006956AC"/>
    <w:rsid w:val="00697E29"/>
    <w:rsid w:val="006A5B20"/>
    <w:rsid w:val="006C1428"/>
    <w:rsid w:val="006C462C"/>
    <w:rsid w:val="00745C92"/>
    <w:rsid w:val="00746899"/>
    <w:rsid w:val="007468DA"/>
    <w:rsid w:val="007D43B9"/>
    <w:rsid w:val="007D47A5"/>
    <w:rsid w:val="00871061"/>
    <w:rsid w:val="008960C8"/>
    <w:rsid w:val="008D756A"/>
    <w:rsid w:val="009505E8"/>
    <w:rsid w:val="00963E06"/>
    <w:rsid w:val="009771C4"/>
    <w:rsid w:val="009962BB"/>
    <w:rsid w:val="00996465"/>
    <w:rsid w:val="009C74DC"/>
    <w:rsid w:val="009D1750"/>
    <w:rsid w:val="009E00A8"/>
    <w:rsid w:val="009F4AEA"/>
    <w:rsid w:val="00A05095"/>
    <w:rsid w:val="00A20671"/>
    <w:rsid w:val="00A3730D"/>
    <w:rsid w:val="00A6617B"/>
    <w:rsid w:val="00AB0DC8"/>
    <w:rsid w:val="00AE3B97"/>
    <w:rsid w:val="00AF36C9"/>
    <w:rsid w:val="00B03CA4"/>
    <w:rsid w:val="00B40B70"/>
    <w:rsid w:val="00B44E24"/>
    <w:rsid w:val="00B73244"/>
    <w:rsid w:val="00B97EF3"/>
    <w:rsid w:val="00BB7C65"/>
    <w:rsid w:val="00C07DFB"/>
    <w:rsid w:val="00C2612B"/>
    <w:rsid w:val="00C53773"/>
    <w:rsid w:val="00C65E8B"/>
    <w:rsid w:val="00D01FE0"/>
    <w:rsid w:val="00D36C34"/>
    <w:rsid w:val="00DB00A9"/>
    <w:rsid w:val="00DB4E37"/>
    <w:rsid w:val="00DC41ED"/>
    <w:rsid w:val="00DF4176"/>
    <w:rsid w:val="00E25872"/>
    <w:rsid w:val="00E64170"/>
    <w:rsid w:val="00E90C75"/>
    <w:rsid w:val="00E92FD4"/>
    <w:rsid w:val="00EC47A6"/>
    <w:rsid w:val="00F40E7D"/>
    <w:rsid w:val="00F43625"/>
    <w:rsid w:val="00F71D66"/>
    <w:rsid w:val="00F72466"/>
    <w:rsid w:val="00F77B16"/>
    <w:rsid w:val="00FA7B83"/>
    <w:rsid w:val="00FD4D61"/>
    <w:rsid w:val="00FF6F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E19EF69"/>
  <w15:docId w15:val="{A6B3697C-7463-4411-A77A-376FFBC3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D1750"/>
    <w:rPr>
      <w:color w:val="0000FF"/>
      <w:u w:val="single"/>
    </w:rPr>
  </w:style>
  <w:style w:type="character" w:customStyle="1" w:styleId="enumlev1Char">
    <w:name w:val="enumlev1 Char"/>
    <w:link w:val="enumlev1"/>
    <w:locked/>
    <w:rsid w:val="009D1750"/>
    <w:rPr>
      <w:sz w:val="24"/>
      <w:lang w:val="fr-FR" w:eastAsia="en-US"/>
    </w:rPr>
  </w:style>
  <w:style w:type="character" w:customStyle="1" w:styleId="Rectitle0">
    <w:name w:val="Rec_title Знак"/>
    <w:link w:val="Rectitle"/>
    <w:locked/>
    <w:rsid w:val="009D1750"/>
    <w:rPr>
      <w:b/>
      <w:sz w:val="28"/>
      <w:lang w:val="fr-FR" w:eastAsia="en-US"/>
    </w:rPr>
  </w:style>
  <w:style w:type="character" w:customStyle="1" w:styleId="TableNoChar">
    <w:name w:val="Table_No Char"/>
    <w:link w:val="TableNo"/>
    <w:locked/>
    <w:rsid w:val="009D1750"/>
    <w:rPr>
      <w:sz w:val="24"/>
      <w:lang w:val="fr-FR" w:eastAsia="en-US"/>
    </w:rPr>
  </w:style>
  <w:style w:type="character" w:customStyle="1" w:styleId="Tabletitle0">
    <w:name w:val="Table_title Знак"/>
    <w:link w:val="Tabletitle"/>
    <w:locked/>
    <w:rsid w:val="009D1750"/>
    <w:rPr>
      <w:b/>
      <w:sz w:val="24"/>
      <w:lang w:val="fr-FR" w:eastAsia="en-US"/>
    </w:rPr>
  </w:style>
  <w:style w:type="character" w:customStyle="1" w:styleId="Heading1Char">
    <w:name w:val="Heading 1 Char"/>
    <w:basedOn w:val="DefaultParagraphFont"/>
    <w:link w:val="Heading1"/>
    <w:rsid w:val="009D1750"/>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9D1750"/>
    <w:rPr>
      <w:sz w:val="24"/>
      <w:lang w:val="fr-FR" w:eastAsia="en-US"/>
    </w:rPr>
  </w:style>
  <w:style w:type="paragraph" w:styleId="NormalWeb">
    <w:name w:val="Normal (Web)"/>
    <w:basedOn w:val="Normal"/>
    <w:uiPriority w:val="99"/>
    <w:unhideWhenUsed/>
    <w:rsid w:val="009D1750"/>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Reasons">
    <w:name w:val="Reasons"/>
    <w:basedOn w:val="Normal"/>
    <w:qFormat/>
    <w:rsid w:val="009D175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basedOn w:val="DefaultParagraphFont"/>
    <w:link w:val="Tabletext"/>
    <w:locked/>
    <w:rsid w:val="006201B6"/>
    <w:rPr>
      <w:sz w:val="22"/>
      <w:lang w:val="fr-FR" w:eastAsia="en-US"/>
    </w:rPr>
  </w:style>
  <w:style w:type="paragraph" w:styleId="BalloonText">
    <w:name w:val="Balloon Text"/>
    <w:basedOn w:val="Normal"/>
    <w:link w:val="BalloonTextChar"/>
    <w:semiHidden/>
    <w:unhideWhenUsed/>
    <w:rsid w:val="005352A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352AB"/>
    <w:rPr>
      <w:rFonts w:ascii="Segoe UI" w:hAnsi="Segoe UI" w:cs="Segoe UI"/>
      <w:sz w:val="18"/>
      <w:szCs w:val="18"/>
      <w:lang w:val="fr-FR" w:eastAsia="en-US"/>
    </w:rPr>
  </w:style>
  <w:style w:type="paragraph" w:customStyle="1" w:styleId="StyleAnnexNoTitleBefore6pt">
    <w:name w:val="Style Annex_NoTitle + Before:  6 pt"/>
    <w:basedOn w:val="AnnexNoTitle"/>
    <w:rsid w:val="00FA7B83"/>
    <w:pPr>
      <w:spacing w:before="120"/>
      <w:outlineLvl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75D16-8330-4A88-9463-E825BFBC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9</Pages>
  <Words>3314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RECOMMANDATION  UIT-R  M.1901-2 - Orientations générales concernant les Recommandations UIT-R relatives aux systèmes et réseaux du service de radionavigation par satellite fonctionnant dans les bandes de fréquences 1 164-1 215 MHz, 1 215-1 300 MHz,  1 559</vt:lpstr>
    </vt:vector>
  </TitlesOfParts>
  <Company>ITU</Company>
  <LinksUpToDate>false</LinksUpToDate>
  <CharactersWithSpaces>22166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M.1901-2 - Orientations générales concernant les Recommandations UIT-R relatives aux systèmes et réseaux du service de radionavigation par satellite fonctionnant dans les bandes de fréquences 1 164-1 215 MHz, 1 215-1 300 MHz,  1 559-1 610 MHz, 5 000-5 010 MHz et 5 010-5 030 MHz</dc:title>
  <dc:subject>Série M = Services mobile, de radiorepérage et d'amateur y compris les services par satellite associés</dc:subject>
  <dc:creator>Bureau des radiocommunications de l'UIT (BR)</dc:creator>
  <cp:keywords>M,1901-2</cp:keywords>
  <dc:description>Gachetc, 06/04/2020, ITU51013811</dc:description>
  <cp:lastModifiedBy>Gachet, Christelle</cp:lastModifiedBy>
  <cp:revision>14</cp:revision>
  <cp:lastPrinted>2020-06-12T07:38:00Z</cp:lastPrinted>
  <dcterms:created xsi:type="dcterms:W3CDTF">2020-04-03T14:00:00Z</dcterms:created>
  <dcterms:modified xsi:type="dcterms:W3CDTF">2020-06-12T07:39:00Z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06 April 2020</vt:lpwstr>
  </property>
</Properties>
</file>