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B7D2E" w14:textId="77777777" w:rsidR="00FE79FE" w:rsidRPr="003804DC" w:rsidRDefault="00FE79FE">
      <w:pPr>
        <w:rPr>
          <w:lang w:val="en-GB"/>
        </w:rPr>
      </w:pPr>
    </w:p>
    <w:p w14:paraId="0C6E2F59" w14:textId="77777777" w:rsidR="00FE79FE" w:rsidRDefault="00FE79FE"/>
    <w:p w14:paraId="7A1B1071" w14:textId="77777777" w:rsidR="00FE79FE" w:rsidRDefault="00FE79FE"/>
    <w:p w14:paraId="7B52B835" w14:textId="77777777" w:rsidR="00FE79FE" w:rsidRDefault="00FE79FE"/>
    <w:p w14:paraId="2F71BE85" w14:textId="77777777" w:rsidR="00FE79FE" w:rsidRDefault="00FE79FE"/>
    <w:p w14:paraId="39A6B222" w14:textId="77777777" w:rsidR="00013002" w:rsidRDefault="00013002"/>
    <w:p w14:paraId="4B0C9692" w14:textId="77777777" w:rsidR="00013002" w:rsidRDefault="00013002"/>
    <w:p w14:paraId="3CF93F2C" w14:textId="77777777" w:rsidR="00013002" w:rsidRDefault="00013002"/>
    <w:p w14:paraId="40F9568C" w14:textId="77777777" w:rsidR="00FE79FE" w:rsidRDefault="00FE79FE"/>
    <w:p w14:paraId="387A115A" w14:textId="77777777" w:rsidR="00FE79FE" w:rsidRDefault="00FE79FE"/>
    <w:p w14:paraId="3DF87107" w14:textId="77777777" w:rsidR="00FE79FE" w:rsidRDefault="00FE79FE"/>
    <w:p w14:paraId="7F14F062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 w14:paraId="6F069CB9" w14:textId="77777777">
        <w:tc>
          <w:tcPr>
            <w:tcW w:w="10089" w:type="dxa"/>
          </w:tcPr>
          <w:p w14:paraId="5A147357" w14:textId="6AF9745C"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proofErr w:type="gramEnd"/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344B0" w:rsidRPr="004344B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1901-</w:t>
            </w:r>
            <w:r w:rsidR="004344B0" w:rsidRPr="004344B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14:paraId="5D99C425" w14:textId="21D9E903" w:rsidR="00FE79FE" w:rsidRPr="00225DDD" w:rsidRDefault="00FE79FE" w:rsidP="00EA3AD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4344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 w14:paraId="66A20C31" w14:textId="77777777">
        <w:tc>
          <w:tcPr>
            <w:tcW w:w="10089" w:type="dxa"/>
          </w:tcPr>
          <w:p w14:paraId="6BB76AE0" w14:textId="77777777"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71CE368" w14:textId="3CB3E321" w:rsidR="00A83C2A" w:rsidRPr="000C4972" w:rsidRDefault="004344B0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4344B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Руководство по Рекомендациям МСЭ-R, касающимся систем и сетей радионавигационной спутниковой службы, работающих в полосах частот </w:t>
            </w:r>
            <w:r w:rsidRPr="004344B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1164–1215 МГц, 1215–1300 МГц,</w:t>
            </w:r>
            <w:r w:rsidRPr="004344B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1559–1610 МГц, 5000–5010 МГц</w:t>
            </w:r>
            <w:r w:rsidRPr="004344B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5010–5030 МГц</w:t>
            </w:r>
          </w:p>
          <w:p w14:paraId="2A4CFD66" w14:textId="77777777"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 w14:paraId="3B74519E" w14:textId="77777777">
        <w:tc>
          <w:tcPr>
            <w:tcW w:w="10089" w:type="dxa"/>
          </w:tcPr>
          <w:p w14:paraId="07929FF6" w14:textId="77777777"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F0F6501" w14:textId="77777777"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2CA29987" w14:textId="77777777"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14:paraId="74E8926D" w14:textId="77777777"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9465D41" w14:textId="77777777"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F800599" w14:textId="77777777" w:rsidR="00FE79FE" w:rsidRPr="00131900" w:rsidRDefault="00FE79FE" w:rsidP="00CD659B">
      <w:pPr>
        <w:spacing w:before="80"/>
        <w:rPr>
          <w:i/>
          <w:lang w:val="ru-RU"/>
        </w:rPr>
      </w:pPr>
    </w:p>
    <w:p w14:paraId="4D63B5CB" w14:textId="77777777" w:rsidR="00FE79FE" w:rsidRPr="00131900" w:rsidRDefault="00FE79FE" w:rsidP="00CD659B">
      <w:pPr>
        <w:spacing w:before="80"/>
        <w:rPr>
          <w:i/>
          <w:lang w:val="ru-RU"/>
        </w:rPr>
      </w:pPr>
    </w:p>
    <w:p w14:paraId="05420637" w14:textId="77777777" w:rsidR="00A71FE5" w:rsidRPr="00131900" w:rsidRDefault="00A71FE5" w:rsidP="00CD659B">
      <w:pPr>
        <w:spacing w:before="80"/>
        <w:rPr>
          <w:i/>
          <w:lang w:val="ru-RU"/>
        </w:rPr>
      </w:pPr>
    </w:p>
    <w:p w14:paraId="50F51ACF" w14:textId="77777777"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6126531" w14:textId="77777777"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14:paraId="6AC0FB84" w14:textId="77777777"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87DD451" w14:textId="77777777"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5E46E757" w14:textId="77777777"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125CC1F" w14:textId="77777777"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214A119" w14:textId="77777777"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14:paraId="1007BA56" w14:textId="77777777" w:rsidTr="00EB0890">
        <w:trPr>
          <w:jc w:val="center"/>
        </w:trPr>
        <w:tc>
          <w:tcPr>
            <w:tcW w:w="8856" w:type="dxa"/>
            <w:gridSpan w:val="2"/>
          </w:tcPr>
          <w:p w14:paraId="6C74FBC5" w14:textId="77777777"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EEB9D8B" w14:textId="77777777"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14:paraId="555D8864" w14:textId="77777777" w:rsidTr="00EB0890">
        <w:trPr>
          <w:jc w:val="center"/>
        </w:trPr>
        <w:tc>
          <w:tcPr>
            <w:tcW w:w="1188" w:type="dxa"/>
          </w:tcPr>
          <w:p w14:paraId="13842ABE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0688906" w14:textId="77777777"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14:paraId="0475D5D4" w14:textId="77777777" w:rsidTr="00EB0890">
        <w:trPr>
          <w:jc w:val="center"/>
        </w:trPr>
        <w:tc>
          <w:tcPr>
            <w:tcW w:w="1188" w:type="dxa"/>
          </w:tcPr>
          <w:p w14:paraId="00463CAC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1924BE2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14:paraId="6D1747B0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98D4C6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7D277097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14:paraId="729F1332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262E70" w14:textId="77777777"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D05023" w14:textId="77777777"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14:paraId="540F8C74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BB0661D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94A579B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14:paraId="689E499C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738C325A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64749C55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14:paraId="52791BD9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7AD29F" w14:textId="77777777"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1EED548" w14:textId="77777777"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14:paraId="7E8A1A6C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0B2E34DE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06AEE4BF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14:paraId="7DE7A441" w14:textId="77777777" w:rsidTr="00EB0890">
        <w:trPr>
          <w:jc w:val="center"/>
        </w:trPr>
        <w:tc>
          <w:tcPr>
            <w:tcW w:w="1188" w:type="dxa"/>
          </w:tcPr>
          <w:p w14:paraId="1324936E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7D388F8A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14:paraId="20D07DD8" w14:textId="77777777" w:rsidTr="00EB0890">
        <w:trPr>
          <w:jc w:val="center"/>
        </w:trPr>
        <w:tc>
          <w:tcPr>
            <w:tcW w:w="1188" w:type="dxa"/>
          </w:tcPr>
          <w:p w14:paraId="3A954D05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CB898F4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14:paraId="5BCC4CD9" w14:textId="77777777" w:rsidTr="00EB0890">
        <w:trPr>
          <w:jc w:val="center"/>
        </w:trPr>
        <w:tc>
          <w:tcPr>
            <w:tcW w:w="1188" w:type="dxa"/>
          </w:tcPr>
          <w:p w14:paraId="79787998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DDDA9EB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14:paraId="377ACABB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47AD0EAD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518E7A0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14:paraId="50261E68" w14:textId="77777777" w:rsidTr="00EB0890">
        <w:trPr>
          <w:jc w:val="center"/>
        </w:trPr>
        <w:tc>
          <w:tcPr>
            <w:tcW w:w="1188" w:type="dxa"/>
          </w:tcPr>
          <w:p w14:paraId="7CC02718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2A8C8A4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14:paraId="4CE440EA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61696C19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2464DFA3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14:paraId="4FA96536" w14:textId="77777777" w:rsidTr="00EB0890">
        <w:trPr>
          <w:jc w:val="center"/>
        </w:trPr>
        <w:tc>
          <w:tcPr>
            <w:tcW w:w="1188" w:type="dxa"/>
          </w:tcPr>
          <w:p w14:paraId="6B9B1C88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38A29135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14:paraId="26F860F9" w14:textId="77777777" w:rsidTr="00EB0890">
        <w:trPr>
          <w:jc w:val="center"/>
        </w:trPr>
        <w:tc>
          <w:tcPr>
            <w:tcW w:w="1188" w:type="dxa"/>
          </w:tcPr>
          <w:p w14:paraId="309CA2FB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4255346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14:paraId="00FE1BAC" w14:textId="77777777" w:rsidTr="00EB0890">
        <w:trPr>
          <w:jc w:val="center"/>
        </w:trPr>
        <w:tc>
          <w:tcPr>
            <w:tcW w:w="1188" w:type="dxa"/>
          </w:tcPr>
          <w:p w14:paraId="21AD014F" w14:textId="77777777"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517E6CE" w14:textId="77777777"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F7836C1" w14:textId="77777777"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14:paraId="79D6FC17" w14:textId="77777777" w:rsidTr="00EB0890">
        <w:trPr>
          <w:jc w:val="center"/>
        </w:trPr>
        <w:tc>
          <w:tcPr>
            <w:tcW w:w="8856" w:type="dxa"/>
          </w:tcPr>
          <w:p w14:paraId="31D95678" w14:textId="77777777"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4791F348" w14:textId="3AB105D0"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4344B0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452EE932" w14:textId="078D2EA7" w:rsidR="006E56A2" w:rsidRPr="004344B0" w:rsidRDefault="00B62AB1" w:rsidP="007D373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</w:t>
      </w:r>
      <w:r w:rsidR="004344B0">
        <w:rPr>
          <w:sz w:val="20"/>
          <w:lang w:val="en-GB"/>
        </w:rPr>
        <w:t>20</w:t>
      </w:r>
    </w:p>
    <w:p w14:paraId="33B50D6A" w14:textId="77777777"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14:paraId="43D064B6" w14:textId="77777777"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CB485B7" w14:textId="33F24858" w:rsidR="00C906E6" w:rsidRPr="003804DC" w:rsidRDefault="00C906E6" w:rsidP="003804DC">
      <w:pPr>
        <w:pStyle w:val="RecNo"/>
        <w:spacing w:before="0"/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</w:t>
      </w:r>
      <w:proofErr w:type="gramEnd"/>
      <w:r w:rsidRPr="00B62AB1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4344B0" w:rsidRPr="004344B0">
        <w:rPr>
          <w:rStyle w:val="href"/>
          <w:lang w:val="ru-RU"/>
        </w:rPr>
        <w:t>1901-2</w:t>
      </w:r>
    </w:p>
    <w:p w14:paraId="5F37BD35" w14:textId="77777777" w:rsidR="004344B0" w:rsidRPr="00D65A2A" w:rsidRDefault="004344B0" w:rsidP="004344B0">
      <w:pPr>
        <w:pStyle w:val="Rectitle"/>
        <w:rPr>
          <w:lang w:val="ru-RU"/>
        </w:rPr>
      </w:pPr>
      <w:r w:rsidRPr="00D65A2A">
        <w:rPr>
          <w:lang w:val="ru-RU"/>
        </w:rPr>
        <w:t xml:space="preserve">Руководство по Рекомендациям МСЭ-R, касающимся систем и сетей радионавигационной спутниковой службы, </w:t>
      </w:r>
      <w:r>
        <w:rPr>
          <w:lang w:val="ru-RU"/>
        </w:rPr>
        <w:t xml:space="preserve">которые </w:t>
      </w:r>
      <w:r w:rsidRPr="00D65A2A">
        <w:rPr>
          <w:lang w:val="ru-RU"/>
        </w:rPr>
        <w:t>работаю</w:t>
      </w:r>
      <w:r>
        <w:rPr>
          <w:lang w:val="ru-RU"/>
        </w:rPr>
        <w:t>т</w:t>
      </w:r>
      <w:r w:rsidRPr="00D65A2A">
        <w:rPr>
          <w:lang w:val="ru-RU"/>
        </w:rPr>
        <w:t xml:space="preserve"> </w:t>
      </w:r>
      <w:r>
        <w:rPr>
          <w:lang w:val="ru-RU"/>
        </w:rPr>
        <w:br/>
      </w:r>
      <w:r w:rsidRPr="00D65A2A">
        <w:rPr>
          <w:lang w:val="ru-RU"/>
        </w:rPr>
        <w:t xml:space="preserve">в полосах частот 1164–1215 МГц, 1215–1300 МГц, 1559–1610 МГц, </w:t>
      </w:r>
      <w:r>
        <w:rPr>
          <w:lang w:val="ru-RU"/>
        </w:rPr>
        <w:br/>
      </w:r>
      <w:r w:rsidRPr="00D65A2A">
        <w:rPr>
          <w:lang w:val="ru-RU"/>
        </w:rPr>
        <w:t>5000–5010 МГц и 5010–5030 МГц</w:t>
      </w:r>
    </w:p>
    <w:p w14:paraId="78627883" w14:textId="77777777" w:rsidR="004344B0" w:rsidRPr="00D65A2A" w:rsidRDefault="004344B0" w:rsidP="004344B0">
      <w:pPr>
        <w:pStyle w:val="Recref"/>
        <w:rPr>
          <w:lang w:val="ru-RU"/>
        </w:rPr>
      </w:pPr>
      <w:r w:rsidRPr="00D65A2A">
        <w:rPr>
          <w:lang w:val="ru-RU"/>
        </w:rPr>
        <w:t>(Вопросы МСЭ-R 217-2/4 и МСЭ-R 288/4)</w:t>
      </w:r>
    </w:p>
    <w:p w14:paraId="74B626C2" w14:textId="77777777" w:rsidR="004344B0" w:rsidRPr="00D65A2A" w:rsidRDefault="004344B0" w:rsidP="004344B0">
      <w:pPr>
        <w:pStyle w:val="Recdate"/>
        <w:rPr>
          <w:lang w:val="ru-RU"/>
        </w:rPr>
      </w:pPr>
      <w:r w:rsidRPr="00D65A2A">
        <w:rPr>
          <w:lang w:val="ru-RU"/>
        </w:rPr>
        <w:t>(2012-2013</w:t>
      </w:r>
      <w:r w:rsidRPr="00052BF0">
        <w:rPr>
          <w:lang w:val="ru-RU"/>
        </w:rPr>
        <w:t>-2019</w:t>
      </w:r>
      <w:r w:rsidRPr="00D65A2A">
        <w:rPr>
          <w:lang w:val="ru-RU"/>
        </w:rPr>
        <w:t>)</w:t>
      </w:r>
    </w:p>
    <w:p w14:paraId="0AF9D358" w14:textId="77777777" w:rsidR="004344B0" w:rsidRPr="00D65A2A" w:rsidRDefault="004344B0" w:rsidP="004344B0">
      <w:pPr>
        <w:pStyle w:val="HeadingSum"/>
        <w:rPr>
          <w:lang w:val="ru-RU"/>
        </w:rPr>
      </w:pPr>
      <w:r w:rsidRPr="00D65A2A">
        <w:rPr>
          <w:lang w:val="ru-RU"/>
        </w:rPr>
        <w:t>Сфера применения</w:t>
      </w:r>
    </w:p>
    <w:p w14:paraId="2D2D9BFB" w14:textId="77777777" w:rsidR="004344B0" w:rsidRPr="00BF6AC3" w:rsidRDefault="004344B0" w:rsidP="004344B0">
      <w:pPr>
        <w:pStyle w:val="Summary"/>
        <w:rPr>
          <w:szCs w:val="22"/>
          <w:lang w:val="ru-RU"/>
        </w:rPr>
      </w:pPr>
      <w:r w:rsidRPr="00BF6AC3">
        <w:rPr>
          <w:szCs w:val="22"/>
          <w:lang w:val="ru-RU"/>
        </w:rPr>
        <w:t xml:space="preserve">Цель настоящей Рекомендации – предоставить руководство по Рекомендациям МСЭ-R, касающимся технических характеристик и критериев защиты приемных земных станций радионавигационной спутниковой службы (РНСС) и характеристик передающих космических станций РНСС, планируемых или эксплуатируемых в полосах частот </w:t>
      </w:r>
      <w:r w:rsidRPr="00BF6AC3">
        <w:rPr>
          <w:szCs w:val="22"/>
          <w:cs/>
          <w:lang w:val="ru-RU"/>
        </w:rPr>
        <w:t>‎</w:t>
      </w:r>
      <w:r w:rsidRPr="00BF6AC3">
        <w:rPr>
          <w:szCs w:val="22"/>
          <w:lang w:val="ru-RU"/>
        </w:rPr>
        <w:t xml:space="preserve">1164–1215 МГц, 1215–1300 МГц, 1559−1610 МГц, 5000–5010 МГц и </w:t>
      </w:r>
      <w:r w:rsidRPr="00BF6AC3">
        <w:rPr>
          <w:szCs w:val="22"/>
          <w:cs/>
          <w:lang w:val="ru-RU"/>
        </w:rPr>
        <w:t>‎‎</w:t>
      </w:r>
      <w:r w:rsidRPr="00BF6AC3">
        <w:rPr>
          <w:szCs w:val="22"/>
          <w:lang w:val="ru-RU"/>
        </w:rPr>
        <w:t>5010–5030 МГц. Наряду с этим в настоящей Рекомендации представлен краткий обзор этих Рекомендаций.</w:t>
      </w:r>
    </w:p>
    <w:p w14:paraId="49C5AAD3" w14:textId="77777777" w:rsidR="004344B0" w:rsidRPr="004B6FDA" w:rsidRDefault="004344B0" w:rsidP="004344B0">
      <w:pPr>
        <w:pStyle w:val="Headingb"/>
        <w:spacing w:before="360"/>
        <w:rPr>
          <w:szCs w:val="22"/>
          <w:lang w:val="ru-RU"/>
        </w:rPr>
      </w:pPr>
      <w:r w:rsidRPr="004B6FDA">
        <w:rPr>
          <w:szCs w:val="22"/>
          <w:lang w:val="ru-RU"/>
        </w:rPr>
        <w:t>Ключевые слова</w:t>
      </w:r>
    </w:p>
    <w:p w14:paraId="3F3734CC" w14:textId="77777777" w:rsidR="004344B0" w:rsidRPr="004B6FDA" w:rsidRDefault="004344B0" w:rsidP="004344B0">
      <w:pPr>
        <w:rPr>
          <w:szCs w:val="22"/>
          <w:lang w:val="ru-RU"/>
        </w:rPr>
      </w:pPr>
      <w:r w:rsidRPr="004B6FDA">
        <w:rPr>
          <w:szCs w:val="22"/>
          <w:lang w:val="ru-RU"/>
        </w:rPr>
        <w:t>РНСС, критерии защиты, воздействие радиочастотных помех</w:t>
      </w:r>
    </w:p>
    <w:p w14:paraId="43F14F46" w14:textId="77777777" w:rsidR="004344B0" w:rsidRPr="004B6FDA" w:rsidRDefault="004344B0" w:rsidP="004344B0">
      <w:pPr>
        <w:pStyle w:val="Headingb"/>
        <w:spacing w:before="360" w:after="120"/>
        <w:rPr>
          <w:szCs w:val="22"/>
          <w:lang w:val="ru-RU"/>
        </w:rPr>
      </w:pPr>
      <w:r w:rsidRPr="004B6FDA">
        <w:rPr>
          <w:color w:val="000000"/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99"/>
        <w:gridCol w:w="3874"/>
        <w:gridCol w:w="4956"/>
      </w:tblGrid>
      <w:tr w:rsidR="004344B0" w:rsidRPr="004B6FDA" w14:paraId="33B9C6C4" w14:textId="77777777" w:rsidTr="003679B3">
        <w:tc>
          <w:tcPr>
            <w:tcW w:w="0" w:type="auto"/>
          </w:tcPr>
          <w:p w14:paraId="1B7B101E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AWGN</w:t>
            </w:r>
          </w:p>
        </w:tc>
        <w:tc>
          <w:tcPr>
            <w:tcW w:w="3874" w:type="dxa"/>
          </w:tcPr>
          <w:p w14:paraId="5B2600A6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rFonts w:asciiTheme="majorBidi" w:hAnsiTheme="majorBidi" w:cstheme="majorBidi"/>
                <w:color w:val="000000"/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Additive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white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Gaussian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noise</w:t>
            </w:r>
            <w:proofErr w:type="spellEnd"/>
            <w:r w:rsidRPr="004B6FDA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 xml:space="preserve"> </w:t>
            </w:r>
          </w:p>
        </w:tc>
        <w:tc>
          <w:tcPr>
            <w:tcW w:w="4956" w:type="dxa"/>
          </w:tcPr>
          <w:p w14:paraId="5BF3D185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Аддитивный белый гауссов шум</w:t>
            </w:r>
          </w:p>
        </w:tc>
      </w:tr>
      <w:tr w:rsidR="004344B0" w:rsidRPr="004B6FDA" w14:paraId="217A0012" w14:textId="77777777" w:rsidTr="003679B3">
        <w:tc>
          <w:tcPr>
            <w:tcW w:w="0" w:type="auto"/>
          </w:tcPr>
          <w:p w14:paraId="790B12CF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PDC</w:t>
            </w:r>
          </w:p>
        </w:tc>
        <w:tc>
          <w:tcPr>
            <w:tcW w:w="3874" w:type="dxa"/>
          </w:tcPr>
          <w:p w14:paraId="38DD8596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Pulse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duty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cycle</w:t>
            </w:r>
            <w:proofErr w:type="spellEnd"/>
          </w:p>
        </w:tc>
        <w:tc>
          <w:tcPr>
            <w:tcW w:w="4956" w:type="dxa"/>
          </w:tcPr>
          <w:p w14:paraId="255AA509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color w:val="000000"/>
                <w:lang w:val="ru-RU"/>
              </w:rPr>
              <w:t>Коэффициент заполнения импульсов</w:t>
            </w:r>
          </w:p>
        </w:tc>
      </w:tr>
      <w:tr w:rsidR="004344B0" w:rsidRPr="004B6FDA" w14:paraId="56DE6512" w14:textId="77777777" w:rsidTr="003679B3">
        <w:tc>
          <w:tcPr>
            <w:tcW w:w="0" w:type="auto"/>
          </w:tcPr>
          <w:p w14:paraId="6061760C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PNT</w:t>
            </w:r>
          </w:p>
        </w:tc>
        <w:tc>
          <w:tcPr>
            <w:tcW w:w="3874" w:type="dxa"/>
          </w:tcPr>
          <w:p w14:paraId="15FA9D74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Position</w:t>
            </w:r>
            <w:proofErr w:type="spellEnd"/>
            <w:r w:rsidRPr="004B6FDA">
              <w:rPr>
                <w:szCs w:val="22"/>
                <w:lang w:val="ru-RU"/>
              </w:rPr>
              <w:t xml:space="preserve">, </w:t>
            </w:r>
            <w:proofErr w:type="spellStart"/>
            <w:r w:rsidRPr="004B6FDA">
              <w:rPr>
                <w:szCs w:val="22"/>
                <w:lang w:val="ru-RU"/>
              </w:rPr>
              <w:t>navigation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and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timing</w:t>
            </w:r>
            <w:proofErr w:type="spellEnd"/>
          </w:p>
        </w:tc>
        <w:tc>
          <w:tcPr>
            <w:tcW w:w="4956" w:type="dxa"/>
          </w:tcPr>
          <w:p w14:paraId="4A771E9E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Местоположение, навигация и время</w:t>
            </w:r>
          </w:p>
        </w:tc>
      </w:tr>
      <w:tr w:rsidR="004344B0" w:rsidRPr="004B6FDA" w14:paraId="3583555B" w14:textId="77777777" w:rsidTr="003679B3">
        <w:tc>
          <w:tcPr>
            <w:tcW w:w="0" w:type="auto"/>
          </w:tcPr>
          <w:p w14:paraId="2CD83CEE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PRF</w:t>
            </w:r>
          </w:p>
        </w:tc>
        <w:tc>
          <w:tcPr>
            <w:tcW w:w="3874" w:type="dxa"/>
          </w:tcPr>
          <w:p w14:paraId="7EA644AF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Pulse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repetition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frequency</w:t>
            </w:r>
            <w:proofErr w:type="spellEnd"/>
          </w:p>
        </w:tc>
        <w:tc>
          <w:tcPr>
            <w:tcW w:w="4956" w:type="dxa"/>
          </w:tcPr>
          <w:p w14:paraId="4BA5DFB1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lang w:val="ru-RU"/>
              </w:rPr>
              <w:t>Частота повторения импульсов</w:t>
            </w:r>
          </w:p>
        </w:tc>
      </w:tr>
      <w:tr w:rsidR="004344B0" w:rsidRPr="004B6FDA" w14:paraId="4060EF32" w14:textId="77777777" w:rsidTr="003679B3">
        <w:tc>
          <w:tcPr>
            <w:tcW w:w="0" w:type="auto"/>
          </w:tcPr>
          <w:p w14:paraId="0A6E458D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RHCP</w:t>
            </w:r>
          </w:p>
        </w:tc>
        <w:tc>
          <w:tcPr>
            <w:tcW w:w="3874" w:type="dxa"/>
          </w:tcPr>
          <w:p w14:paraId="436EDC42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Right-hand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circular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polarization</w:t>
            </w:r>
            <w:proofErr w:type="spellEnd"/>
          </w:p>
        </w:tc>
        <w:tc>
          <w:tcPr>
            <w:tcW w:w="4956" w:type="dxa"/>
          </w:tcPr>
          <w:p w14:paraId="0F04A5FF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rFonts w:eastAsia="MS PGothic"/>
                <w:lang w:val="ru-RU"/>
              </w:rPr>
              <w:t>Правосторонняя круговая поляризация</w:t>
            </w:r>
          </w:p>
        </w:tc>
      </w:tr>
      <w:tr w:rsidR="004344B0" w:rsidRPr="00D73DFF" w14:paraId="42115344" w14:textId="77777777" w:rsidTr="003679B3">
        <w:tc>
          <w:tcPr>
            <w:tcW w:w="0" w:type="auto"/>
          </w:tcPr>
          <w:p w14:paraId="61C5168C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SQPN</w:t>
            </w:r>
          </w:p>
        </w:tc>
        <w:tc>
          <w:tcPr>
            <w:tcW w:w="3874" w:type="dxa"/>
          </w:tcPr>
          <w:p w14:paraId="60FEDA57" w14:textId="77777777" w:rsidR="004344B0" w:rsidRPr="006977FF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en-GB"/>
              </w:rPr>
            </w:pPr>
            <w:r w:rsidRPr="006977FF">
              <w:rPr>
                <w:szCs w:val="22"/>
                <w:lang w:val="en-GB"/>
              </w:rPr>
              <w:t>Staggered quadrature pseudo-random noise</w:t>
            </w:r>
          </w:p>
        </w:tc>
        <w:tc>
          <w:tcPr>
            <w:tcW w:w="4956" w:type="dxa"/>
          </w:tcPr>
          <w:p w14:paraId="2C0B2182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rFonts w:asciiTheme="majorBidi" w:hAnsiTheme="majorBidi" w:cstheme="majorBidi"/>
                <w:lang w:val="ru-RU" w:eastAsia="ja-JP"/>
              </w:rPr>
              <w:t>Чередующаяся квадратурная модуляция по псевдослучайному шуму</w:t>
            </w:r>
          </w:p>
        </w:tc>
      </w:tr>
      <w:tr w:rsidR="004344B0" w:rsidRPr="006977FF" w14:paraId="552A9B7B" w14:textId="77777777" w:rsidTr="003679B3">
        <w:tc>
          <w:tcPr>
            <w:tcW w:w="0" w:type="auto"/>
          </w:tcPr>
          <w:p w14:paraId="2DB425C8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SQPSK</w:t>
            </w:r>
          </w:p>
        </w:tc>
        <w:tc>
          <w:tcPr>
            <w:tcW w:w="3874" w:type="dxa"/>
          </w:tcPr>
          <w:p w14:paraId="731A2778" w14:textId="77777777" w:rsidR="004344B0" w:rsidRPr="006977FF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en-GB"/>
              </w:rPr>
            </w:pPr>
            <w:r w:rsidRPr="006977FF">
              <w:rPr>
                <w:szCs w:val="22"/>
                <w:lang w:val="en-GB"/>
              </w:rPr>
              <w:t>Staggered quadrature phase-shift keying</w:t>
            </w:r>
          </w:p>
        </w:tc>
        <w:tc>
          <w:tcPr>
            <w:tcW w:w="4956" w:type="dxa"/>
          </w:tcPr>
          <w:p w14:paraId="4D69212D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rFonts w:asciiTheme="majorBidi" w:hAnsiTheme="majorBidi" w:cstheme="majorBidi"/>
                <w:lang w:val="ru-RU" w:eastAsia="ja-JP"/>
              </w:rPr>
              <w:t xml:space="preserve">Чередующаяся </w:t>
            </w:r>
            <w:r>
              <w:rPr>
                <w:lang w:val="ru-RU"/>
              </w:rPr>
              <w:t>к</w:t>
            </w:r>
            <w:r w:rsidRPr="004B6FDA">
              <w:rPr>
                <w:lang w:val="ru-RU"/>
              </w:rPr>
              <w:t xml:space="preserve">вадратурная фазовая манипуляция </w:t>
            </w:r>
          </w:p>
        </w:tc>
      </w:tr>
      <w:tr w:rsidR="004344B0" w:rsidRPr="004B6FDA" w14:paraId="34E515E2" w14:textId="77777777" w:rsidTr="003679B3">
        <w:tc>
          <w:tcPr>
            <w:tcW w:w="0" w:type="auto"/>
          </w:tcPr>
          <w:p w14:paraId="5E9B993F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szCs w:val="22"/>
                <w:lang w:val="ru-RU"/>
              </w:rPr>
              <w:t>SSC</w:t>
            </w:r>
          </w:p>
        </w:tc>
        <w:tc>
          <w:tcPr>
            <w:tcW w:w="3874" w:type="dxa"/>
          </w:tcPr>
          <w:p w14:paraId="1252DE61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proofErr w:type="spellStart"/>
            <w:r w:rsidRPr="004B6FDA">
              <w:rPr>
                <w:szCs w:val="22"/>
                <w:lang w:val="ru-RU"/>
              </w:rPr>
              <w:t>Spectral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separation</w:t>
            </w:r>
            <w:proofErr w:type="spellEnd"/>
            <w:r w:rsidRPr="004B6FDA">
              <w:rPr>
                <w:szCs w:val="22"/>
                <w:lang w:val="ru-RU"/>
              </w:rPr>
              <w:t xml:space="preserve"> </w:t>
            </w:r>
            <w:proofErr w:type="spellStart"/>
            <w:r w:rsidRPr="004B6FDA">
              <w:rPr>
                <w:szCs w:val="22"/>
                <w:lang w:val="ru-RU"/>
              </w:rPr>
              <w:t>coefficient</w:t>
            </w:r>
            <w:proofErr w:type="spellEnd"/>
          </w:p>
        </w:tc>
        <w:tc>
          <w:tcPr>
            <w:tcW w:w="4956" w:type="dxa"/>
          </w:tcPr>
          <w:p w14:paraId="1029F693" w14:textId="77777777" w:rsidR="004344B0" w:rsidRPr="004B6FDA" w:rsidRDefault="004344B0" w:rsidP="003679B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2"/>
                <w:lang w:val="ru-RU"/>
              </w:rPr>
            </w:pPr>
            <w:r w:rsidRPr="004B6FDA">
              <w:rPr>
                <w:lang w:val="ru-RU"/>
              </w:rPr>
              <w:t>Коэффициент спектрального разделения</w:t>
            </w:r>
          </w:p>
        </w:tc>
      </w:tr>
    </w:tbl>
    <w:p w14:paraId="53854695" w14:textId="77777777" w:rsidR="004344B0" w:rsidRPr="004B6FDA" w:rsidRDefault="004344B0" w:rsidP="004344B0">
      <w:pPr>
        <w:pStyle w:val="Headingb"/>
        <w:spacing w:before="360"/>
        <w:rPr>
          <w:szCs w:val="22"/>
          <w:lang w:val="ru-RU"/>
        </w:rPr>
      </w:pPr>
      <w:r w:rsidRPr="004B6FDA">
        <w:rPr>
          <w:color w:val="000000"/>
          <w:lang w:val="ru-RU"/>
        </w:rPr>
        <w:t>Соответствующие Рекомендации и Отчеты МСЭ</w:t>
      </w:r>
    </w:p>
    <w:p w14:paraId="3AF1A6E8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.1318-1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lang w:val="ru-RU"/>
        </w:rPr>
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 1164–1215 МГц, 1215–1300 МГц, 1559</w:t>
      </w:r>
      <w:r w:rsidRPr="0078165D">
        <w:rPr>
          <w:lang w:val="ru-RU"/>
        </w:rPr>
        <w:t>−</w:t>
      </w:r>
      <w:r w:rsidRPr="004B6FDA">
        <w:rPr>
          <w:lang w:val="ru-RU"/>
        </w:rPr>
        <w:t>1610 МГц и 5010–5030 МГц</w:t>
      </w:r>
    </w:p>
    <w:p w14:paraId="639CF7E2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.1787-</w:t>
      </w:r>
      <w:r w:rsidRPr="0078165D">
        <w:rPr>
          <w:szCs w:val="22"/>
          <w:lang w:val="ru-RU"/>
        </w:rPr>
        <w:t>3</w:t>
      </w:r>
      <w:r w:rsidRPr="004B6FDA">
        <w:rPr>
          <w:rFonts w:eastAsia="SimSun"/>
          <w:szCs w:val="22"/>
          <w:lang w:val="ru-RU"/>
        </w:rPr>
        <w:tab/>
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1164–1215 МГц, 1215–1300 МГц и 1559–1610 МГц</w:t>
      </w:r>
    </w:p>
    <w:p w14:paraId="17DE7EA2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.1902-0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lang w:val="ru-RU"/>
        </w:rPr>
        <w:t>Характеристики и критерии защиты приемных земных станций радионавигационной спутниковой службы (космос-Земля), работающих в полосе частот 1215–1300 МГц</w:t>
      </w:r>
    </w:p>
    <w:p w14:paraId="4DACC50C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pacing w:val="-2"/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lastRenderedPageBreak/>
        <w:t>Рекомендация МСЭ-R M.</w:t>
      </w:r>
      <w:r w:rsidRPr="004B6FDA">
        <w:rPr>
          <w:szCs w:val="22"/>
          <w:lang w:val="ru-RU"/>
        </w:rPr>
        <w:t>1903-0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spacing w:val="-2"/>
          <w:lang w:val="ru-RU"/>
        </w:rPr>
        <w:t>Характеристики и критерии защиты приемных земных станций радионавигационной спутниковой службы (космос-Земля) и приемников воздушной радионавигационной службы, работающих в полосе 1559–1610 МГц</w:t>
      </w:r>
    </w:p>
    <w:p w14:paraId="78104009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M.</w:t>
      </w:r>
      <w:r w:rsidRPr="004B6FDA">
        <w:rPr>
          <w:szCs w:val="22"/>
          <w:lang w:val="ru-RU"/>
        </w:rPr>
        <w:t>1904-0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lang w:val="ru-RU"/>
        </w:rPr>
        <w:t xml:space="preserve"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</w:t>
      </w:r>
      <w:r w:rsidRPr="004B6FDA">
        <w:rPr>
          <w:lang w:val="ru-RU"/>
        </w:rPr>
        <w:br/>
        <w:t>1164–1215 МГц, 1215–1300 МГц и 1559–1610 МГц</w:t>
      </w:r>
    </w:p>
    <w:p w14:paraId="2275A1F1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.1905-0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lang w:val="ru-RU"/>
        </w:rPr>
        <w:t>Характеристики и критерии защиты для приемных земных станций в радионавигационной спутниковой службе (космос-Земля), работающих в полосе частот 1164–1215 МГц</w:t>
      </w:r>
    </w:p>
    <w:p w14:paraId="15D25A05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M.1906-1</w:t>
      </w:r>
      <w:r w:rsidRPr="004B6FDA">
        <w:rPr>
          <w:rFonts w:eastAsia="SimSun"/>
          <w:szCs w:val="22"/>
          <w:lang w:val="ru-RU"/>
        </w:rPr>
        <w:tab/>
      </w:r>
      <w:r w:rsidRPr="004B6FDA">
        <w:rPr>
          <w:lang w:val="ru-RU"/>
        </w:rPr>
        <w:t>Характеристики и защитные критерии приемных космических станций и характеристики передающих земных станций в радионавигационной спутниковой службе (Земля-космос), работающих в полосе частот 5000–5010 МГц</w:t>
      </w:r>
    </w:p>
    <w:p w14:paraId="41D41F86" w14:textId="77777777" w:rsidR="004344B0" w:rsidRPr="004B6FDA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rFonts w:eastAsia="SimSun"/>
          <w:szCs w:val="22"/>
          <w:lang w:val="ru-RU"/>
        </w:rPr>
      </w:pPr>
      <w:bookmarkStart w:id="3" w:name="_Hlk41900377"/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.2030-0</w:t>
      </w:r>
      <w:r w:rsidRPr="004B6FDA">
        <w:rPr>
          <w:rFonts w:eastAsia="SimSun"/>
          <w:szCs w:val="22"/>
          <w:lang w:val="ru-RU"/>
        </w:rPr>
        <w:tab/>
      </w:r>
      <w:bookmarkEnd w:id="3"/>
      <w:r w:rsidRPr="004B6FDA">
        <w:rPr>
          <w:bCs/>
          <w:lang w:val="ru-RU"/>
        </w:rPr>
        <w:t>Модель оценки импульсных помех от соответствующих источников радиосигналов, кроме источников в радионавигационной спутниковой службе, системам и сетям радионавигационной спутниковой службы, работающим</w:t>
      </w:r>
      <w:r w:rsidRPr="004B6FDA">
        <w:rPr>
          <w:lang w:val="ru-RU"/>
        </w:rPr>
        <w:t xml:space="preserve"> в полосах частот 1164–1215 МГц, 1215–1300 МГц и 1559–1610 МГц</w:t>
      </w:r>
    </w:p>
    <w:p w14:paraId="01CA29E1" w14:textId="77777777" w:rsidR="004344B0" w:rsidRPr="0078165D" w:rsidRDefault="004344B0" w:rsidP="004344B0">
      <w:pPr>
        <w:tabs>
          <w:tab w:val="clear" w:pos="794"/>
          <w:tab w:val="clear" w:pos="1191"/>
          <w:tab w:val="clear" w:pos="1588"/>
          <w:tab w:val="clear" w:pos="1985"/>
        </w:tabs>
        <w:ind w:left="3402" w:hanging="3345"/>
        <w:rPr>
          <w:lang w:val="ru-RU"/>
        </w:rPr>
      </w:pPr>
      <w:r w:rsidRPr="004B6FDA">
        <w:rPr>
          <w:rFonts w:eastAsia="SimSun"/>
          <w:szCs w:val="22"/>
          <w:lang w:val="ru-RU"/>
        </w:rPr>
        <w:t>Рекомендация МСЭ-R M</w:t>
      </w:r>
      <w:r w:rsidRPr="004B6FDA">
        <w:rPr>
          <w:szCs w:val="22"/>
          <w:lang w:val="ru-RU"/>
        </w:rPr>
        <w:t>.203</w:t>
      </w:r>
      <w:r w:rsidRPr="0078165D">
        <w:rPr>
          <w:szCs w:val="22"/>
          <w:lang w:val="ru-RU"/>
        </w:rPr>
        <w:t>1</w:t>
      </w:r>
      <w:r w:rsidRPr="004B6FDA">
        <w:rPr>
          <w:szCs w:val="22"/>
          <w:lang w:val="ru-RU"/>
        </w:rPr>
        <w:t>-</w:t>
      </w:r>
      <w:r w:rsidRPr="0078165D">
        <w:rPr>
          <w:szCs w:val="22"/>
          <w:lang w:val="ru-RU"/>
        </w:rPr>
        <w:t>1</w:t>
      </w:r>
      <w:r w:rsidRPr="004B6FDA">
        <w:rPr>
          <w:rFonts w:eastAsia="SimSun"/>
          <w:szCs w:val="22"/>
          <w:lang w:val="ru-RU"/>
        </w:rPr>
        <w:tab/>
      </w:r>
      <w:r w:rsidRPr="0078165D">
        <w:rPr>
          <w:rFonts w:eastAsia="SimSun"/>
          <w:szCs w:val="22"/>
          <w:lang w:val="ru-RU"/>
        </w:rPr>
        <w:t xml:space="preserve">Характеристики и критерии защиты приемных земных станций и характеристики передающих космических станций в радионавигационной спутниковой службе (космос-Земля), </w:t>
      </w:r>
      <w:r w:rsidRPr="0078165D">
        <w:rPr>
          <w:bCs/>
          <w:lang w:val="ru-RU"/>
        </w:rPr>
        <w:t>работающих</w:t>
      </w:r>
      <w:r w:rsidRPr="0078165D">
        <w:rPr>
          <w:rFonts w:eastAsia="SimSun"/>
          <w:szCs w:val="22"/>
          <w:lang w:val="ru-RU"/>
        </w:rPr>
        <w:t xml:space="preserve"> в полосе 5010–5030 МГц</w:t>
      </w:r>
    </w:p>
    <w:p w14:paraId="43B55A2E" w14:textId="77777777" w:rsidR="004344B0" w:rsidRPr="00D65A2A" w:rsidRDefault="004344B0" w:rsidP="004344B0">
      <w:pPr>
        <w:pStyle w:val="Normalaftertitle"/>
        <w:rPr>
          <w:lang w:val="ru-RU"/>
        </w:rPr>
      </w:pPr>
      <w:r w:rsidRPr="00D65A2A">
        <w:rPr>
          <w:lang w:val="ru-RU"/>
        </w:rPr>
        <w:t>Ассамблея радиосвязи МСЭ,</w:t>
      </w:r>
    </w:p>
    <w:p w14:paraId="1F516E75" w14:textId="77777777" w:rsidR="004344B0" w:rsidRPr="00D65A2A" w:rsidRDefault="004344B0" w:rsidP="004344B0">
      <w:pPr>
        <w:pStyle w:val="Call"/>
        <w:rPr>
          <w:lang w:val="ru-RU"/>
        </w:rPr>
      </w:pPr>
      <w:r w:rsidRPr="00D65A2A">
        <w:rPr>
          <w:lang w:val="ru-RU"/>
        </w:rPr>
        <w:t>учитывая</w:t>
      </w:r>
      <w:r w:rsidRPr="00D65A2A">
        <w:rPr>
          <w:i w:val="0"/>
          <w:iCs/>
          <w:lang w:val="ru-RU"/>
        </w:rPr>
        <w:t>,</w:t>
      </w:r>
    </w:p>
    <w:p w14:paraId="12073D86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a)</w:t>
      </w:r>
      <w:r w:rsidRPr="00D65A2A">
        <w:rPr>
          <w:lang w:val="ru-RU"/>
        </w:rPr>
        <w:tab/>
        <w:t xml:space="preserve">что системы и сети радионавигационной спутниковой службы (РНСС) предоставляют </w:t>
      </w:r>
      <w:r>
        <w:rPr>
          <w:lang w:val="ru-RU"/>
        </w:rPr>
        <w:t xml:space="preserve">по всему миру </w:t>
      </w:r>
      <w:r w:rsidRPr="00D65A2A">
        <w:rPr>
          <w:lang w:val="ru-RU"/>
        </w:rPr>
        <w:t xml:space="preserve">точную информацию для множества применений, связанных с определением местоположения, навигацией и синхронизацией; </w:t>
      </w:r>
    </w:p>
    <w:p w14:paraId="3ACFE7F1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b)</w:t>
      </w:r>
      <w:r w:rsidRPr="00D65A2A">
        <w:rPr>
          <w:lang w:val="ru-RU"/>
        </w:rPr>
        <w:tab/>
        <w:t xml:space="preserve">что существует ряд </w:t>
      </w:r>
      <w:r>
        <w:rPr>
          <w:lang w:val="ru-RU"/>
        </w:rPr>
        <w:t>эксплуатируемых</w:t>
      </w:r>
      <w:r w:rsidRPr="00D65A2A">
        <w:rPr>
          <w:lang w:val="ru-RU"/>
        </w:rPr>
        <w:t xml:space="preserve"> и планируемых к эксплуатаци</w:t>
      </w:r>
      <w:r>
        <w:rPr>
          <w:lang w:val="ru-RU"/>
        </w:rPr>
        <w:t>и</w:t>
      </w:r>
      <w:r w:rsidRPr="00D65A2A">
        <w:rPr>
          <w:lang w:val="ru-RU"/>
        </w:rPr>
        <w:t xml:space="preserve"> систем и сетей РНСС;</w:t>
      </w:r>
    </w:p>
    <w:p w14:paraId="5501CD1C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c)</w:t>
      </w:r>
      <w:r w:rsidRPr="00D65A2A">
        <w:rPr>
          <w:lang w:val="ru-RU"/>
        </w:rPr>
        <w:tab/>
        <w:t>что любая соответствующим образом оборудованная земная станция может принимать навигационную информацию от систем и сетей РНСС на всемирной основе,</w:t>
      </w:r>
    </w:p>
    <w:p w14:paraId="41268CBB" w14:textId="77777777" w:rsidR="004344B0" w:rsidRPr="00D65A2A" w:rsidRDefault="004344B0" w:rsidP="004344B0">
      <w:pPr>
        <w:pStyle w:val="Call"/>
        <w:rPr>
          <w:lang w:val="ru-RU"/>
        </w:rPr>
      </w:pPr>
      <w:r>
        <w:rPr>
          <w:lang w:val="ru-RU"/>
        </w:rPr>
        <w:t>отмечая</w:t>
      </w:r>
      <w:r w:rsidRPr="00D65A2A">
        <w:rPr>
          <w:i w:val="0"/>
          <w:iCs/>
          <w:lang w:val="ru-RU"/>
        </w:rPr>
        <w:t>,</w:t>
      </w:r>
    </w:p>
    <w:p w14:paraId="7EF1A870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a)</w:t>
      </w:r>
      <w:r w:rsidRPr="00D65A2A">
        <w:rPr>
          <w:lang w:val="ru-RU"/>
        </w:rPr>
        <w:tab/>
        <w:t xml:space="preserve">что в Рекомендациях МСЭ-R M.1905, МСЭ-R M.1902, МСЭ-R M.1903 и МСЭ-R M.1904 </w:t>
      </w:r>
      <w:r>
        <w:rPr>
          <w:lang w:val="ru-RU"/>
        </w:rPr>
        <w:t>приведены</w:t>
      </w:r>
      <w:r w:rsidRPr="00D65A2A">
        <w:rPr>
          <w:lang w:val="ru-RU"/>
        </w:rPr>
        <w:t xml:space="preserve"> технические и эксплуатационные характеристики и критерии защиты приемников систем и сетей (космос-Земля и космос-космос) РНСС в полосах 1164–1215 МГц, 1215–1300 МГц и 1559−1610 МГц;</w:t>
      </w:r>
    </w:p>
    <w:p w14:paraId="17D7CDF8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b)</w:t>
      </w:r>
      <w:r w:rsidRPr="00D65A2A">
        <w:rPr>
          <w:lang w:val="ru-RU"/>
        </w:rPr>
        <w:tab/>
        <w:t xml:space="preserve">что в Рекомендации МСЭ-R M.1906 </w:t>
      </w:r>
      <w:r>
        <w:rPr>
          <w:lang w:val="ru-RU"/>
        </w:rPr>
        <w:t>приведены</w:t>
      </w:r>
      <w:r w:rsidRPr="00D65A2A">
        <w:rPr>
          <w:lang w:val="ru-RU"/>
        </w:rPr>
        <w:t xml:space="preserve"> технические и эксплуатационные характеристики и критерии защиты приемных космических станций и характеристики передающих земных станций РНСС (Земля-космос), работающих в полосе 5000–5010 МГц;</w:t>
      </w:r>
    </w:p>
    <w:p w14:paraId="4D05718B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c)</w:t>
      </w:r>
      <w:r w:rsidRPr="00D65A2A">
        <w:rPr>
          <w:lang w:val="ru-RU"/>
        </w:rPr>
        <w:tab/>
        <w:t xml:space="preserve">что в Рекомендации МСЭ-R M.2031 </w:t>
      </w:r>
      <w:r>
        <w:rPr>
          <w:lang w:val="ru-RU"/>
        </w:rPr>
        <w:t>приведены</w:t>
      </w:r>
      <w:r w:rsidRPr="00D65A2A">
        <w:rPr>
          <w:lang w:val="ru-RU"/>
        </w:rPr>
        <w:t xml:space="preserve"> технические и эксплуатационные характеристики и критерии защиты приемных земных станций и характеристики передающих космических станций РНСС (космос-Земля), работающих в полосе 5010–5030 МГц;</w:t>
      </w:r>
    </w:p>
    <w:p w14:paraId="64E1C227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t>d)</w:t>
      </w:r>
      <w:r w:rsidRPr="00D65A2A">
        <w:rPr>
          <w:lang w:val="ru-RU"/>
        </w:rPr>
        <w:tab/>
        <w:t xml:space="preserve">что в Рекомендации МСЭ-R М.1787 </w:t>
      </w:r>
      <w:r>
        <w:rPr>
          <w:lang w:val="ru-RU"/>
        </w:rPr>
        <w:t>приведены</w:t>
      </w:r>
      <w:r w:rsidRPr="00D65A2A">
        <w:rPr>
          <w:lang w:val="ru-RU"/>
        </w:rPr>
        <w:t xml:space="preserve"> технические описания систем и сетей РНСС (космос-Земля и космос-космос) и технические характеристики передающих космических станций, работающих в полосах 1164–1215 МГц, 1215–1300 МГц и 1559–1610 МГц; </w:t>
      </w:r>
    </w:p>
    <w:p w14:paraId="43E23825" w14:textId="77777777" w:rsidR="004344B0" w:rsidRPr="00D65A2A" w:rsidRDefault="004344B0" w:rsidP="004344B0">
      <w:pPr>
        <w:rPr>
          <w:lang w:val="ru-RU"/>
        </w:rPr>
      </w:pPr>
      <w:r w:rsidRPr="00D65A2A">
        <w:rPr>
          <w:i/>
          <w:iCs/>
          <w:lang w:val="ru-RU"/>
        </w:rPr>
        <w:lastRenderedPageBreak/>
        <w:t>е)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 xml:space="preserve">R M.1318 </w:t>
      </w:r>
      <w:r>
        <w:rPr>
          <w:lang w:val="ru-RU"/>
        </w:rPr>
        <w:t>приведена</w:t>
      </w:r>
      <w:r w:rsidRPr="00D65A2A">
        <w:rPr>
          <w:lang w:val="ru-RU"/>
        </w:rPr>
        <w:t xml:space="preserve"> модель для оценки помех от источников окружающей среды на приемники РНСС, работающие в полосах 1164–1215 МГц, 1215–1300 МГц, 1559–1610 МГц и 5010–5030 МГц;</w:t>
      </w:r>
    </w:p>
    <w:p w14:paraId="5890C572" w14:textId="77777777" w:rsidR="004344B0" w:rsidRPr="00D65A2A" w:rsidRDefault="004344B0" w:rsidP="004344B0">
      <w:pPr>
        <w:keepNext/>
        <w:rPr>
          <w:lang w:val="ru-RU"/>
        </w:rPr>
      </w:pPr>
      <w:r w:rsidRPr="00D65A2A">
        <w:rPr>
          <w:i/>
          <w:iCs/>
          <w:lang w:val="ru-RU"/>
        </w:rPr>
        <w:t>f)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 xml:space="preserve">R M.2030 </w:t>
      </w:r>
      <w:r>
        <w:rPr>
          <w:lang w:val="ru-RU"/>
        </w:rPr>
        <w:t>приведен</w:t>
      </w:r>
      <w:r w:rsidRPr="00D65A2A">
        <w:rPr>
          <w:lang w:val="ru-RU"/>
        </w:rPr>
        <w:t xml:space="preserve"> метод оценки импульсных помех от соответствующих источников </w:t>
      </w:r>
      <w:r w:rsidRPr="00BF6AC3">
        <w:rPr>
          <w:lang w:val="ru-RU"/>
        </w:rPr>
        <w:t>радиосигналов, кроме источников в радионавигационной спутниковой службе,</w:t>
      </w:r>
      <w:r w:rsidRPr="00D65A2A">
        <w:rPr>
          <w:lang w:val="ru-RU"/>
        </w:rPr>
        <w:t xml:space="preserve"> системам и сетям РНСС, работающим в полосах 1164–1215 МГц, 1215–1300 МГц и 1559–1610 МГц;</w:t>
      </w:r>
    </w:p>
    <w:p w14:paraId="44F396BB" w14:textId="77777777" w:rsidR="004344B0" w:rsidRPr="00D65A2A" w:rsidRDefault="004344B0" w:rsidP="004344B0">
      <w:pPr>
        <w:keepNext/>
        <w:rPr>
          <w:lang w:val="ru-RU"/>
        </w:rPr>
      </w:pPr>
      <w:r w:rsidRPr="00D65A2A">
        <w:rPr>
          <w:i/>
          <w:iCs/>
          <w:lang w:val="ru-RU"/>
        </w:rPr>
        <w:t>g)</w:t>
      </w:r>
      <w:r w:rsidRPr="00D65A2A">
        <w:rPr>
          <w:lang w:val="ru-RU"/>
        </w:rPr>
        <w:tab/>
        <w:t>что в Рекомендации МСЭ</w:t>
      </w:r>
      <w:r w:rsidRPr="00D65A2A">
        <w:rPr>
          <w:lang w:val="ru-RU"/>
        </w:rPr>
        <w:noBreakHyphen/>
        <w:t>R M.1831 представлена методика оценки межсистемных помех в РНСС, которая должна использоваться в процессе координации систем и сет</w:t>
      </w:r>
      <w:r>
        <w:rPr>
          <w:lang w:val="ru-RU"/>
        </w:rPr>
        <w:t>ей</w:t>
      </w:r>
      <w:r w:rsidRPr="00D65A2A">
        <w:rPr>
          <w:lang w:val="ru-RU"/>
        </w:rPr>
        <w:t xml:space="preserve"> РНСС,</w:t>
      </w:r>
    </w:p>
    <w:p w14:paraId="4FEA687D" w14:textId="77777777" w:rsidR="004344B0" w:rsidRPr="00D65A2A" w:rsidRDefault="004344B0" w:rsidP="004344B0">
      <w:pPr>
        <w:pStyle w:val="Call"/>
        <w:rPr>
          <w:lang w:val="ru-RU"/>
        </w:rPr>
      </w:pPr>
      <w:r w:rsidRPr="00D65A2A">
        <w:rPr>
          <w:lang w:val="ru-RU"/>
        </w:rPr>
        <w:t>рекомендует</w:t>
      </w:r>
      <w:r w:rsidRPr="00D65A2A">
        <w:rPr>
          <w:i w:val="0"/>
          <w:iCs/>
          <w:lang w:val="ru-RU"/>
        </w:rPr>
        <w:t>,</w:t>
      </w:r>
    </w:p>
    <w:p w14:paraId="6EB7541B" w14:textId="77777777" w:rsidR="004344B0" w:rsidRDefault="004344B0" w:rsidP="004344B0">
      <w:pPr>
        <w:rPr>
          <w:lang w:val="ru-RU"/>
        </w:rPr>
      </w:pPr>
      <w:r w:rsidRPr="00D65A2A">
        <w:rPr>
          <w:lang w:val="ru-RU"/>
        </w:rPr>
        <w:t>использова</w:t>
      </w:r>
      <w:r>
        <w:rPr>
          <w:lang w:val="ru-RU"/>
        </w:rPr>
        <w:t>ть</w:t>
      </w:r>
      <w:r w:rsidRPr="00D65A2A">
        <w:rPr>
          <w:lang w:val="ru-RU"/>
        </w:rPr>
        <w:t xml:space="preserve"> Приложение 1 в качестве руководства </w:t>
      </w:r>
      <w:r>
        <w:rPr>
          <w:lang w:val="ru-RU"/>
        </w:rPr>
        <w:t>по</w:t>
      </w:r>
      <w:r w:rsidRPr="00D65A2A">
        <w:rPr>
          <w:lang w:val="ru-RU"/>
        </w:rPr>
        <w:t xml:space="preserve"> Рекомендациям МСЭ-R, относящимся к системам и сетям РНСС, </w:t>
      </w:r>
      <w:r>
        <w:rPr>
          <w:lang w:val="ru-RU"/>
        </w:rPr>
        <w:t xml:space="preserve">которые </w:t>
      </w:r>
      <w:r w:rsidRPr="00D65A2A">
        <w:rPr>
          <w:lang w:val="ru-RU"/>
        </w:rPr>
        <w:t>работаю</w:t>
      </w:r>
      <w:r>
        <w:rPr>
          <w:lang w:val="ru-RU"/>
        </w:rPr>
        <w:t>т</w:t>
      </w:r>
      <w:r w:rsidRPr="00D65A2A">
        <w:rPr>
          <w:lang w:val="ru-RU"/>
        </w:rPr>
        <w:t xml:space="preserve"> в полосах 1164–1215 МГц, 1215−1300 МГц, 1559–1610 МГц, 5000–5010 МГц и 5010–5030 МГц.</w:t>
      </w:r>
    </w:p>
    <w:p w14:paraId="0A2281B4" w14:textId="77777777" w:rsidR="004344B0" w:rsidRPr="00D65A2A" w:rsidRDefault="004344B0" w:rsidP="004344B0">
      <w:pPr>
        <w:pStyle w:val="AnnexNoTitle"/>
        <w:spacing w:before="600"/>
        <w:rPr>
          <w:szCs w:val="24"/>
          <w:lang w:val="ru-RU"/>
        </w:rPr>
      </w:pPr>
      <w:r w:rsidRPr="00D65A2A">
        <w:rPr>
          <w:szCs w:val="24"/>
          <w:lang w:val="ru-RU"/>
        </w:rPr>
        <w:t>Приложение 1</w:t>
      </w:r>
    </w:p>
    <w:p w14:paraId="68D68D76" w14:textId="77777777" w:rsidR="004344B0" w:rsidRPr="00D65A2A" w:rsidRDefault="004344B0" w:rsidP="004344B0">
      <w:pPr>
        <w:pStyle w:val="Heading1"/>
        <w:rPr>
          <w:lang w:val="ru-RU"/>
        </w:rPr>
      </w:pPr>
      <w:r w:rsidRPr="00D65A2A">
        <w:rPr>
          <w:lang w:val="ru-RU"/>
        </w:rPr>
        <w:t>1</w:t>
      </w:r>
      <w:r w:rsidRPr="00D65A2A">
        <w:rPr>
          <w:lang w:val="ru-RU"/>
        </w:rPr>
        <w:tab/>
        <w:t>Перечень Рекомендаций, относящихся к РНСС</w:t>
      </w:r>
    </w:p>
    <w:p w14:paraId="09FDD51E" w14:textId="77777777" w:rsidR="004344B0" w:rsidRPr="00D65A2A" w:rsidRDefault="004344B0" w:rsidP="004344B0">
      <w:pPr>
        <w:rPr>
          <w:lang w:val="ru-RU"/>
        </w:rPr>
      </w:pPr>
      <w:bookmarkStart w:id="4" w:name="_Ref121558559"/>
      <w:r w:rsidRPr="00D65A2A">
        <w:rPr>
          <w:spacing w:val="-2"/>
          <w:lang w:val="ru-RU"/>
        </w:rPr>
        <w:t>В таблице 1 перечислены Рекомендации МСЭ-R, в которых указ</w:t>
      </w:r>
      <w:r>
        <w:rPr>
          <w:spacing w:val="-2"/>
          <w:lang w:val="ru-RU"/>
        </w:rPr>
        <w:t>аны</w:t>
      </w:r>
      <w:r w:rsidRPr="00D65A2A">
        <w:rPr>
          <w:spacing w:val="-2"/>
          <w:lang w:val="ru-RU"/>
        </w:rPr>
        <w:t xml:space="preserve"> технические характеристики</w:t>
      </w:r>
      <w:r w:rsidRPr="00D65A2A">
        <w:rPr>
          <w:lang w:val="ru-RU"/>
        </w:rPr>
        <w:t xml:space="preserve"> и критерии защиты систем и сетей РНСС. При рассмотрении </w:t>
      </w:r>
      <w:r>
        <w:rPr>
          <w:lang w:val="ru-RU"/>
        </w:rPr>
        <w:t>какой-либо</w:t>
      </w:r>
      <w:r w:rsidRPr="00D65A2A">
        <w:rPr>
          <w:lang w:val="ru-RU"/>
        </w:rPr>
        <w:t xml:space="preserve"> конкретной системы РНСС, в некоторых Рекомендациях подробные сведения об этой системе </w:t>
      </w:r>
      <w:r>
        <w:rPr>
          <w:lang w:val="ru-RU"/>
        </w:rPr>
        <w:t>приведены</w:t>
      </w:r>
      <w:r w:rsidRPr="00D65A2A">
        <w:rPr>
          <w:lang w:val="ru-RU"/>
        </w:rPr>
        <w:t xml:space="preserve"> в отдельном приложении, в то время как в других имеется общее приложение.</w:t>
      </w:r>
    </w:p>
    <w:bookmarkEnd w:id="4"/>
    <w:p w14:paraId="69E58CEE" w14:textId="77777777" w:rsidR="004344B0" w:rsidRPr="00D65A2A" w:rsidRDefault="004344B0" w:rsidP="004344B0">
      <w:pPr>
        <w:pStyle w:val="TableNo"/>
        <w:rPr>
          <w:lang w:val="ru-RU"/>
        </w:rPr>
      </w:pPr>
      <w:r w:rsidRPr="00D65A2A">
        <w:rPr>
          <w:lang w:val="ru-RU"/>
        </w:rPr>
        <w:t>ТАБЛИЦА 1</w:t>
      </w:r>
    </w:p>
    <w:p w14:paraId="265C66AC" w14:textId="77777777" w:rsidR="004344B0" w:rsidRPr="00D65A2A" w:rsidRDefault="004344B0" w:rsidP="004344B0">
      <w:pPr>
        <w:pStyle w:val="Tabletitle"/>
        <w:rPr>
          <w:lang w:val="ru-RU"/>
        </w:rPr>
      </w:pPr>
      <w:r w:rsidRPr="00D65A2A">
        <w:rPr>
          <w:lang w:val="ru-RU"/>
        </w:rPr>
        <w:t>Рекомендации МСЭ-R по характеристикам и критериям защиты систем РНСС в полосах 1164−1215 МГц, 1215–1300 МГц, 1559–1610 МГц, 5000–5010 МГц и 5010–5030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5386"/>
      </w:tblGrid>
      <w:tr w:rsidR="004344B0" w:rsidRPr="00D65A2A" w14:paraId="42E3DF56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90A7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Полоса(ы)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92B0A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E657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56AED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4344B0" w:rsidRPr="00D73DFF" w14:paraId="04B46EF2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CE5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1 164–1 215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412F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99AA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M.1905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F6AF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1164–1215 МГц</w:t>
            </w:r>
          </w:p>
        </w:tc>
      </w:tr>
      <w:tr w:rsidR="004344B0" w:rsidRPr="00D73DFF" w14:paraId="66902C5F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E573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1 215–1 300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34B6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EBFA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M.1902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C910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(космос-Земля), работающих в полосе 1215–1300 МГц</w:t>
            </w:r>
          </w:p>
        </w:tc>
      </w:tr>
      <w:tr w:rsidR="004344B0" w:rsidRPr="00D73DFF" w14:paraId="326B79ED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363E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BA6B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892A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M.1903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F87C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в радионавигационной спутниковой службе (космос-Земля) и приемников воздушной радионавигационной службы, работающих в полосе 1559−1610 МГц</w:t>
            </w:r>
          </w:p>
        </w:tc>
      </w:tr>
      <w:tr w:rsidR="004344B0" w:rsidRPr="00D73DFF" w14:paraId="66255257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13A82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5 010–5 030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7D05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приемник;</w:t>
            </w:r>
            <w:r w:rsidRPr="00D65A2A">
              <w:rPr>
                <w:lang w:val="ru-RU"/>
              </w:rPr>
              <w:br/>
              <w:t>приемник земной станции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02F4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M.2031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3830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работающих в полосе 5010–5030 МГц</w:t>
            </w:r>
          </w:p>
        </w:tc>
      </w:tr>
      <w:tr w:rsidR="004344B0" w:rsidRPr="00D73DFF" w14:paraId="79DBF0E0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C9B1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5 000–5 010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6F55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Спутниковый приемник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D629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M.1906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CB44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 и критерии защиты приемных космических станций и характеристики передающих земных станций в радионавигационной спутниковой службе (Земля-космос), работающих в полосе 5000–5010 МГц</w:t>
            </w:r>
          </w:p>
        </w:tc>
      </w:tr>
    </w:tbl>
    <w:p w14:paraId="05B4C747" w14:textId="77777777" w:rsidR="004344B0" w:rsidRPr="00D65A2A" w:rsidRDefault="004344B0" w:rsidP="004344B0">
      <w:pPr>
        <w:pStyle w:val="TableNo"/>
        <w:pageBreakBefore/>
        <w:spacing w:before="0"/>
        <w:rPr>
          <w:lang w:val="ru-RU"/>
        </w:rPr>
      </w:pPr>
      <w:r w:rsidRPr="00D65A2A">
        <w:rPr>
          <w:lang w:val="ru-RU"/>
        </w:rPr>
        <w:lastRenderedPageBreak/>
        <w:t>ТАБЛИЦА 1 (</w:t>
      </w:r>
      <w:r w:rsidRPr="00D65A2A">
        <w:rPr>
          <w:i/>
          <w:lang w:val="ru-RU"/>
        </w:rPr>
        <w:t>окончание</w:t>
      </w:r>
      <w:r w:rsidRPr="00D65A2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5386"/>
      </w:tblGrid>
      <w:tr w:rsidR="004344B0" w:rsidRPr="00D65A2A" w14:paraId="12E30794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92B0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Полоса(ы)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1DA3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DCCC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3BC6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4344B0" w:rsidRPr="00D73DFF" w14:paraId="6462D4E6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7AC7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>1 215–1 300</w:t>
            </w:r>
            <w:r w:rsidRPr="00D65A2A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FF1B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D65A2A">
              <w:rPr>
                <w:lang w:val="ru-RU"/>
              </w:rPr>
              <w:t>Пользова</w:t>
            </w:r>
            <w:proofErr w:type="spellEnd"/>
            <w:r w:rsidRPr="00D65A2A">
              <w:rPr>
                <w:lang w:val="ru-RU"/>
              </w:rPr>
              <w:t>-</w:t>
            </w:r>
            <w:r w:rsidRPr="00D65A2A">
              <w:rPr>
                <w:lang w:val="ru-RU"/>
              </w:rPr>
              <w:br/>
            </w:r>
            <w:proofErr w:type="spellStart"/>
            <w:r w:rsidRPr="00D65A2A">
              <w:rPr>
                <w:lang w:val="ru-RU"/>
              </w:rPr>
              <w:t>тельский</w:t>
            </w:r>
            <w:proofErr w:type="spellEnd"/>
            <w:r w:rsidRPr="00D65A2A">
              <w:rPr>
                <w:lang w:val="ru-RU"/>
              </w:rPr>
              <w:t xml:space="preserve"> бортовой приемник космического аппарата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8E58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M.1904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9026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1164−1215 МГц, 1215−1300 МГц и 1559−1610 МГц</w:t>
            </w:r>
          </w:p>
        </w:tc>
      </w:tr>
      <w:tr w:rsidR="004344B0" w:rsidRPr="00D73DFF" w14:paraId="2166B2EC" w14:textId="77777777" w:rsidTr="003679B3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6641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>1 215–1 300</w:t>
            </w:r>
            <w:r w:rsidRPr="00D65A2A">
              <w:rPr>
                <w:lang w:val="ru-RU"/>
              </w:rPr>
              <w:br/>
              <w:t>1 559–1 610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9843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Спутниковый передатчик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3B93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M.1787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4C58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1164−1215 МГц, 1215−1300 МГц и 1559−1610 МГц</w:t>
            </w:r>
          </w:p>
        </w:tc>
      </w:tr>
    </w:tbl>
    <w:p w14:paraId="7BEAD13C" w14:textId="77777777" w:rsidR="004344B0" w:rsidRPr="00D65A2A" w:rsidRDefault="004344B0" w:rsidP="004344B0">
      <w:pPr>
        <w:spacing w:before="240"/>
        <w:rPr>
          <w:lang w:val="ru-RU"/>
        </w:rPr>
      </w:pPr>
      <w:r w:rsidRPr="00D65A2A">
        <w:rPr>
          <w:lang w:val="ru-RU"/>
        </w:rPr>
        <w:t>В таблице 2 перечислены Рекомендации МСЭ-R, представляющие модели для:</w:t>
      </w:r>
    </w:p>
    <w:p w14:paraId="7A69F244" w14:textId="77777777" w:rsidR="004344B0" w:rsidRPr="00D65A2A" w:rsidRDefault="004344B0" w:rsidP="004344B0">
      <w:pPr>
        <w:pStyle w:val="enumlev1"/>
        <w:rPr>
          <w:lang w:val="ru-RU"/>
        </w:rPr>
      </w:pPr>
      <w:r w:rsidRPr="00D65A2A">
        <w:rPr>
          <w:lang w:val="ru-RU"/>
        </w:rPr>
        <w:t>1)</w:t>
      </w:r>
      <w:r w:rsidRPr="00D65A2A">
        <w:rPr>
          <w:lang w:val="ru-RU"/>
        </w:rPr>
        <w:tab/>
        <w:t xml:space="preserve">оценки непрерывных и импульсных </w:t>
      </w:r>
      <w:r w:rsidRPr="009C3DA2">
        <w:rPr>
          <w:lang w:val="ru-RU"/>
        </w:rPr>
        <w:t>(</w:t>
      </w:r>
      <w:r>
        <w:rPr>
          <w:lang w:val="ru-RU"/>
        </w:rPr>
        <w:t>см. Примечание </w:t>
      </w:r>
      <w:r w:rsidRPr="009C3DA2">
        <w:rPr>
          <w:lang w:val="ru-RU"/>
        </w:rPr>
        <w:t xml:space="preserve">3 </w:t>
      </w:r>
      <w:r>
        <w:rPr>
          <w:lang w:val="ru-RU"/>
        </w:rPr>
        <w:t>к таблице </w:t>
      </w:r>
      <w:r w:rsidRPr="009C3DA2">
        <w:rPr>
          <w:lang w:val="ru-RU"/>
        </w:rPr>
        <w:t xml:space="preserve">3) </w:t>
      </w:r>
      <w:r w:rsidRPr="00D65A2A">
        <w:rPr>
          <w:lang w:val="ru-RU"/>
        </w:rPr>
        <w:t>помех приемникам РНСС от источников радиосигналов, не относящихся к РНСС; и</w:t>
      </w:r>
    </w:p>
    <w:p w14:paraId="4D800420" w14:textId="77777777" w:rsidR="004344B0" w:rsidRPr="00D65A2A" w:rsidRDefault="004344B0" w:rsidP="004344B0">
      <w:pPr>
        <w:pStyle w:val="enumlev1"/>
        <w:rPr>
          <w:lang w:val="ru-RU"/>
        </w:rPr>
      </w:pPr>
      <w:r w:rsidRPr="00D65A2A">
        <w:rPr>
          <w:lang w:val="ru-RU"/>
        </w:rPr>
        <w:t>2)</w:t>
      </w:r>
      <w:r w:rsidRPr="00D65A2A">
        <w:rPr>
          <w:lang w:val="ru-RU"/>
        </w:rPr>
        <w:tab/>
        <w:t>оценки межсистемных помех РНСС в целях координации между системами и сетями РНСС.</w:t>
      </w:r>
    </w:p>
    <w:p w14:paraId="432B2F58" w14:textId="77777777" w:rsidR="004344B0" w:rsidRPr="00D65A2A" w:rsidRDefault="004344B0" w:rsidP="004344B0">
      <w:pPr>
        <w:pStyle w:val="TableNo"/>
        <w:rPr>
          <w:lang w:val="ru-RU"/>
        </w:rPr>
      </w:pPr>
      <w:r w:rsidRPr="00D65A2A">
        <w:rPr>
          <w:lang w:val="ru-RU"/>
        </w:rPr>
        <w:t>ТАБЛИЦА 2</w:t>
      </w:r>
    </w:p>
    <w:p w14:paraId="6AC41623" w14:textId="77777777" w:rsidR="004344B0" w:rsidRPr="00D65A2A" w:rsidRDefault="004344B0" w:rsidP="004344B0">
      <w:pPr>
        <w:pStyle w:val="Tabletitle"/>
        <w:rPr>
          <w:lang w:val="ru-RU"/>
        </w:rPr>
      </w:pPr>
      <w:r w:rsidRPr="00D65A2A">
        <w:rPr>
          <w:lang w:val="ru-RU"/>
        </w:rPr>
        <w:t>Рекомендации МСЭ-R по методам РНСС для оценки помех системам РНСС в полосах 1164−1215 МГц, 1215–1300 МГц, 1559–1610 МГц и 5010–5030 МГц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8"/>
        <w:gridCol w:w="1418"/>
        <w:gridCol w:w="5387"/>
      </w:tblGrid>
      <w:tr w:rsidR="004344B0" w:rsidRPr="00D65A2A" w14:paraId="3237621F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2E61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Полосы (МГц)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A2E22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Типы станций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8A198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 xml:space="preserve">Рек. </w:t>
            </w:r>
            <w:r>
              <w:rPr>
                <w:lang w:val="ru-RU"/>
              </w:rPr>
              <w:br/>
            </w:r>
            <w:r w:rsidRPr="00D65A2A">
              <w:rPr>
                <w:lang w:val="ru-RU"/>
              </w:rPr>
              <w:t>МСЭ-R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C3CDA" w14:textId="77777777" w:rsidR="004344B0" w:rsidRPr="00D65A2A" w:rsidRDefault="004344B0" w:rsidP="003679B3">
            <w:pPr>
              <w:pStyle w:val="Tablehead"/>
              <w:rPr>
                <w:lang w:val="ru-RU"/>
              </w:rPr>
            </w:pPr>
            <w:r w:rsidRPr="00D65A2A">
              <w:rPr>
                <w:lang w:val="ru-RU"/>
              </w:rPr>
              <w:t>Содержание</w:t>
            </w:r>
          </w:p>
        </w:tc>
      </w:tr>
      <w:tr w:rsidR="004344B0" w:rsidRPr="00D73DFF" w14:paraId="52462D01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FA75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 xml:space="preserve">1 215–1 300 </w:t>
            </w:r>
            <w:r w:rsidRPr="00D65A2A">
              <w:rPr>
                <w:lang w:val="ru-RU"/>
              </w:rPr>
              <w:br/>
              <w:t>1 559–1 610</w:t>
            </w:r>
            <w:r w:rsidRPr="00D65A2A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2102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4702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M.1318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E62D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Модель оценки непрерывных помех от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1164–1215 МГц, 1215–1300 МГц, 1559–1610 МГц и 5010–5030 МГц</w:t>
            </w:r>
          </w:p>
        </w:tc>
      </w:tr>
      <w:tr w:rsidR="004344B0" w:rsidRPr="00D73DFF" w14:paraId="6D5257ED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6557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1 164–1 215</w:t>
            </w:r>
            <w:r w:rsidRPr="00D65A2A">
              <w:rPr>
                <w:lang w:val="ru-RU"/>
              </w:rPr>
              <w:br/>
              <w:t xml:space="preserve">1 215–1 300 </w:t>
            </w:r>
            <w:r w:rsidRPr="00D65A2A">
              <w:rPr>
                <w:lang w:val="ru-RU"/>
              </w:rPr>
              <w:br/>
              <w:t>1 559–1 610</w:t>
            </w:r>
            <w:r w:rsidRPr="00D65A2A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9C9C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FCFE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M.2030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5A77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Модель оценки импульсных помех от соответствующих источников радиосигналов, не относящихся к радионавигационной спутниковой службе, создаваемых системам и сетям радионавигационной спутниковой службы, работающим в полосах 1164−1215 МГц, 1215−1300 МГц и 1559−1610 МГц</w:t>
            </w:r>
          </w:p>
        </w:tc>
      </w:tr>
      <w:tr w:rsidR="004344B0" w:rsidRPr="00D73DFF" w14:paraId="1D692816" w14:textId="77777777" w:rsidTr="003679B3">
        <w:trPr>
          <w:jc w:val="center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10FE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 xml:space="preserve">1 164–1 215 </w:t>
            </w:r>
            <w:r w:rsidRPr="00D65A2A">
              <w:rPr>
                <w:lang w:val="ru-RU"/>
              </w:rPr>
              <w:br/>
              <w:t xml:space="preserve">1 215–1 300 </w:t>
            </w:r>
            <w:r w:rsidRPr="00D65A2A">
              <w:rPr>
                <w:lang w:val="ru-RU"/>
              </w:rPr>
              <w:br/>
              <w:t xml:space="preserve">1 559–1 610 </w:t>
            </w:r>
            <w:r w:rsidRPr="00D65A2A">
              <w:rPr>
                <w:lang w:val="ru-RU"/>
              </w:rPr>
              <w:br/>
              <w:t>5 010–5 030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C9759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Все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F837" w14:textId="77777777" w:rsidR="004344B0" w:rsidRPr="00D65A2A" w:rsidRDefault="004344B0" w:rsidP="003679B3">
            <w:pPr>
              <w:pStyle w:val="Tabletext"/>
              <w:jc w:val="center"/>
              <w:rPr>
                <w:lang w:val="ru-RU"/>
              </w:rPr>
            </w:pPr>
            <w:r w:rsidRPr="00D65A2A">
              <w:rPr>
                <w:lang w:val="ru-RU"/>
              </w:rPr>
              <w:t>M.1831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2960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Методика координации для оценки межсистемных помех в РНСС</w:t>
            </w:r>
          </w:p>
        </w:tc>
      </w:tr>
    </w:tbl>
    <w:p w14:paraId="66339028" w14:textId="77777777" w:rsidR="004344B0" w:rsidRPr="00D65A2A" w:rsidRDefault="004344B0" w:rsidP="004344B0">
      <w:pPr>
        <w:pStyle w:val="Heading1"/>
        <w:rPr>
          <w:lang w:val="ru-RU"/>
        </w:rPr>
      </w:pPr>
      <w:bookmarkStart w:id="5" w:name="_Ref121561228"/>
      <w:r w:rsidRPr="00D65A2A">
        <w:rPr>
          <w:lang w:val="ru-RU"/>
        </w:rPr>
        <w:t>2</w:t>
      </w:r>
      <w:r w:rsidRPr="00D65A2A">
        <w:rPr>
          <w:lang w:val="ru-RU"/>
        </w:rPr>
        <w:tab/>
        <w:t xml:space="preserve">Параметры, </w:t>
      </w:r>
      <w:r>
        <w:rPr>
          <w:lang w:val="ru-RU"/>
        </w:rPr>
        <w:t>связанные с</w:t>
      </w:r>
      <w:r w:rsidRPr="00D65A2A">
        <w:rPr>
          <w:lang w:val="ru-RU"/>
        </w:rPr>
        <w:t xml:space="preserve"> оценк</w:t>
      </w:r>
      <w:r>
        <w:rPr>
          <w:lang w:val="ru-RU"/>
        </w:rPr>
        <w:t>ой</w:t>
      </w:r>
      <w:r w:rsidRPr="00D65A2A">
        <w:rPr>
          <w:lang w:val="ru-RU"/>
        </w:rPr>
        <w:t xml:space="preserve"> помех системам РНСС</w:t>
      </w:r>
    </w:p>
    <w:p w14:paraId="632E4943" w14:textId="77777777" w:rsidR="004344B0" w:rsidRPr="00D65A2A" w:rsidRDefault="004344B0" w:rsidP="004344B0">
      <w:pPr>
        <w:rPr>
          <w:lang w:val="ru-RU"/>
        </w:rPr>
      </w:pPr>
      <w:bookmarkStart w:id="6" w:name="_Ref121573376"/>
      <w:bookmarkEnd w:id="5"/>
      <w:r w:rsidRPr="00D65A2A">
        <w:rPr>
          <w:lang w:val="ru-RU"/>
        </w:rPr>
        <w:t xml:space="preserve">Параметры систем РНСС, </w:t>
      </w:r>
      <w:r>
        <w:rPr>
          <w:lang w:val="ru-RU"/>
        </w:rPr>
        <w:t>связанные с</w:t>
      </w:r>
      <w:r w:rsidRPr="00D65A2A">
        <w:rPr>
          <w:lang w:val="ru-RU"/>
        </w:rPr>
        <w:t xml:space="preserve"> оценк</w:t>
      </w:r>
      <w:r>
        <w:rPr>
          <w:lang w:val="ru-RU"/>
        </w:rPr>
        <w:t>ой</w:t>
      </w:r>
      <w:r w:rsidRPr="00D65A2A">
        <w:rPr>
          <w:lang w:val="ru-RU"/>
        </w:rPr>
        <w:t xml:space="preserve"> помех от источников радиосигналов, не относящихся к РНСС, приведены в таблице 3. Конкретные параметры сигнала РНСС не показаны, но они включены в Рекомендацию МСЭ-R M.1787.</w:t>
      </w:r>
    </w:p>
    <w:bookmarkEnd w:id="6"/>
    <w:p w14:paraId="01BD7D6A" w14:textId="77777777" w:rsidR="004344B0" w:rsidRPr="00D65A2A" w:rsidRDefault="004344B0" w:rsidP="004344B0">
      <w:pPr>
        <w:pStyle w:val="TableNo"/>
        <w:rPr>
          <w:lang w:val="ru-RU"/>
        </w:rPr>
      </w:pPr>
      <w:r w:rsidRPr="00D65A2A">
        <w:rPr>
          <w:lang w:val="ru-RU"/>
        </w:rPr>
        <w:lastRenderedPageBreak/>
        <w:t>ТАБЛИЦА 3</w:t>
      </w:r>
    </w:p>
    <w:p w14:paraId="5D80F877" w14:textId="77777777" w:rsidR="004344B0" w:rsidRPr="00D65A2A" w:rsidRDefault="004344B0" w:rsidP="004344B0">
      <w:pPr>
        <w:pStyle w:val="Tabletitle"/>
        <w:rPr>
          <w:b w:val="0"/>
          <w:lang w:val="ru-RU"/>
        </w:rPr>
      </w:pPr>
      <w:r w:rsidRPr="00D65A2A">
        <w:rPr>
          <w:lang w:val="ru-RU"/>
        </w:rPr>
        <w:t xml:space="preserve">Описание параметров РНСС, относящихся к Рекомендациям МСЭ-R M.1905, </w:t>
      </w:r>
      <w:r w:rsidRPr="00D65A2A">
        <w:rPr>
          <w:lang w:val="ru-RU"/>
        </w:rPr>
        <w:br/>
        <w:t>МСЭ-R M.1902, МСЭ-R M.1903, МСЭ-R M.1904 и МСЭ-R М.2031(см. Примечани</w:t>
      </w:r>
      <w:r>
        <w:rPr>
          <w:lang w:val="ru-RU"/>
        </w:rPr>
        <w:t>е</w:t>
      </w:r>
      <w:r w:rsidRPr="00D65A2A">
        <w:rPr>
          <w:lang w:val="ru-RU"/>
        </w:rPr>
        <w:t xml:space="preserve"> 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4344B0" w:rsidRPr="00D65A2A" w14:paraId="4F1E4D2D" w14:textId="77777777" w:rsidTr="003679B3">
        <w:trPr>
          <w:tblHeader/>
          <w:jc w:val="center"/>
        </w:trPr>
        <w:tc>
          <w:tcPr>
            <w:tcW w:w="3402" w:type="dxa"/>
            <w:vAlign w:val="center"/>
          </w:tcPr>
          <w:p w14:paraId="37C8C679" w14:textId="77777777" w:rsidR="004344B0" w:rsidRPr="00D65A2A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Параметр </w:t>
            </w:r>
          </w:p>
        </w:tc>
        <w:tc>
          <w:tcPr>
            <w:tcW w:w="6237" w:type="dxa"/>
            <w:vAlign w:val="center"/>
          </w:tcPr>
          <w:p w14:paraId="2C72E740" w14:textId="77777777" w:rsidR="004344B0" w:rsidRPr="00D65A2A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Описание параметров РНСС</w:t>
            </w:r>
          </w:p>
        </w:tc>
      </w:tr>
      <w:tr w:rsidR="004344B0" w:rsidRPr="00D65A2A" w14:paraId="0459A7B4" w14:textId="77777777" w:rsidTr="003679B3">
        <w:trPr>
          <w:jc w:val="center"/>
        </w:trPr>
        <w:tc>
          <w:tcPr>
            <w:tcW w:w="3402" w:type="dxa"/>
          </w:tcPr>
          <w:p w14:paraId="5883A9C3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Диапазон изменения частоты </w:t>
            </w:r>
            <w:r w:rsidRPr="00D65A2A">
              <w:rPr>
                <w:lang w:val="ru-RU"/>
              </w:rPr>
              <w:br/>
              <w:t>сигнала (МГц)</w:t>
            </w:r>
          </w:p>
        </w:tc>
        <w:tc>
          <w:tcPr>
            <w:tcW w:w="6237" w:type="dxa"/>
          </w:tcPr>
          <w:p w14:paraId="4E1485B1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Диапазон изменения частоты полезного сигнала RNSS. Для систем МДКР: несущая частота ± половина ширины полосы сигнала (если не указано иначе); для систем МДЧР: базовая частота + (номер канала * разнос каналов) ± половина ширины полосы сигнала. Следует также указать диапазон номеров каналов.</w:t>
            </w:r>
          </w:p>
        </w:tc>
      </w:tr>
      <w:tr w:rsidR="004344B0" w:rsidRPr="00D73DFF" w14:paraId="0F6E57D5" w14:textId="77777777" w:rsidTr="003679B3">
        <w:trPr>
          <w:jc w:val="center"/>
        </w:trPr>
        <w:tc>
          <w:tcPr>
            <w:tcW w:w="3402" w:type="dxa"/>
          </w:tcPr>
          <w:p w14:paraId="7E83540B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верхней полусфере (</w:t>
            </w:r>
            <w:proofErr w:type="spellStart"/>
            <w:r w:rsidRPr="00D65A2A">
              <w:rPr>
                <w:lang w:val="ru-RU"/>
              </w:rPr>
              <w:t>дБи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14:paraId="0F3C17EB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верхней полусфере с указанной поляризацией.</w:t>
            </w:r>
          </w:p>
        </w:tc>
      </w:tr>
      <w:tr w:rsidR="004344B0" w:rsidRPr="00D73DFF" w14:paraId="1F4C5181" w14:textId="77777777" w:rsidTr="003679B3">
        <w:trPr>
          <w:jc w:val="center"/>
        </w:trPr>
        <w:tc>
          <w:tcPr>
            <w:tcW w:w="3402" w:type="dxa"/>
          </w:tcPr>
          <w:p w14:paraId="172C4878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нижней полусфере (</w:t>
            </w:r>
            <w:proofErr w:type="spellStart"/>
            <w:r w:rsidRPr="00D65A2A">
              <w:rPr>
                <w:lang w:val="ru-RU"/>
              </w:rPr>
              <w:t>дБи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14:paraId="18E4DF04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Максимальное усиление антенны приемника в нижней полусфере с указанной поляризацией.</w:t>
            </w:r>
          </w:p>
        </w:tc>
      </w:tr>
      <w:tr w:rsidR="004344B0" w:rsidRPr="00D73DFF" w14:paraId="5F894F81" w14:textId="77777777" w:rsidTr="003679B3">
        <w:trPr>
          <w:jc w:val="center"/>
        </w:trPr>
        <w:tc>
          <w:tcPr>
            <w:tcW w:w="3402" w:type="dxa"/>
          </w:tcPr>
          <w:p w14:paraId="4DDF8C6B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Полоса пропускания РЧ-фильтра на уровне 3 дБ (МГц)</w:t>
            </w:r>
          </w:p>
        </w:tc>
        <w:tc>
          <w:tcPr>
            <w:tcW w:w="6237" w:type="dxa"/>
          </w:tcPr>
          <w:p w14:paraId="141AB473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Полоса пропускания РЧ-полосового фильтра входного каскада приемника между точками на уровне –3 дБ.</w:t>
            </w:r>
          </w:p>
        </w:tc>
      </w:tr>
      <w:tr w:rsidR="004344B0" w:rsidRPr="00D73DFF" w14:paraId="0291F9BC" w14:textId="77777777" w:rsidTr="003679B3">
        <w:trPr>
          <w:jc w:val="center"/>
        </w:trPr>
        <w:tc>
          <w:tcPr>
            <w:tcW w:w="3402" w:type="dxa"/>
          </w:tcPr>
          <w:p w14:paraId="31BBFCC1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Полоса пропускания предварительного корреляционного фильтра на уровне 3 дБ (МГц) </w:t>
            </w:r>
          </w:p>
        </w:tc>
        <w:tc>
          <w:tcPr>
            <w:tcW w:w="6237" w:type="dxa"/>
          </w:tcPr>
          <w:p w14:paraId="13DC3961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Полоса пропускания на ПЧ-полосового фильтра (непосредственно перед коррелятором) между точками на уровне –3 дБ.</w:t>
            </w:r>
          </w:p>
        </w:tc>
      </w:tr>
      <w:tr w:rsidR="004344B0" w:rsidRPr="00D73DFF" w14:paraId="169888E0" w14:textId="77777777" w:rsidTr="003679B3">
        <w:trPr>
          <w:jc w:val="center"/>
        </w:trPr>
        <w:tc>
          <w:tcPr>
            <w:tcW w:w="3402" w:type="dxa"/>
          </w:tcPr>
          <w:p w14:paraId="35265D51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Шумовая температура приемной системы (</w:t>
            </w:r>
            <w:r w:rsidRPr="009C3DA2">
              <w:rPr>
                <w:lang w:val="ru-RU"/>
              </w:rPr>
              <w:t>K</w:t>
            </w:r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</w:tcPr>
          <w:p w14:paraId="1BD6B2DD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Сумма эквивалентной шумовой температуры приемника и эквивалентной шумовой температуры антенны. </w:t>
            </w:r>
          </w:p>
        </w:tc>
      </w:tr>
      <w:tr w:rsidR="004344B0" w:rsidRPr="009C3DA2" w14:paraId="2E8C12D9" w14:textId="77777777" w:rsidTr="003679B3">
        <w:trPr>
          <w:jc w:val="center"/>
        </w:trPr>
        <w:tc>
          <w:tcPr>
            <w:tcW w:w="9639" w:type="dxa"/>
            <w:gridSpan w:val="2"/>
          </w:tcPr>
          <w:p w14:paraId="74C7C2E0" w14:textId="77777777" w:rsidR="004344B0" w:rsidRPr="009C3DA2" w:rsidRDefault="004344B0" w:rsidP="003679B3">
            <w:pPr>
              <w:pStyle w:val="Tabletext"/>
              <w:jc w:val="center"/>
              <w:rPr>
                <w:b/>
                <w:bCs/>
                <w:lang w:val="en-GB"/>
              </w:rPr>
            </w:pPr>
            <w:r w:rsidRPr="00D73DFF">
              <w:rPr>
                <w:b/>
                <w:bCs/>
                <w:lang w:val="ru-RU"/>
              </w:rPr>
              <w:t xml:space="preserve">Пороговые </w:t>
            </w:r>
            <w:r>
              <w:rPr>
                <w:b/>
                <w:bCs/>
                <w:lang w:val="ru-RU"/>
              </w:rPr>
              <w:t>уровни для</w:t>
            </w:r>
            <w:r w:rsidRPr="00D73DFF">
              <w:rPr>
                <w:b/>
                <w:bCs/>
                <w:lang w:val="ru-RU"/>
              </w:rPr>
              <w:t xml:space="preserve"> непрерывных помех (</w:t>
            </w:r>
            <w:r>
              <w:rPr>
                <w:b/>
                <w:bCs/>
                <w:lang w:val="ru-RU"/>
              </w:rPr>
              <w:t>см</w:t>
            </w:r>
            <w:r w:rsidRPr="00D73DFF">
              <w:rPr>
                <w:b/>
                <w:bCs/>
                <w:lang w:val="ru-RU"/>
              </w:rPr>
              <w:t xml:space="preserve">. </w:t>
            </w:r>
            <w:r>
              <w:rPr>
                <w:b/>
                <w:bCs/>
                <w:lang w:val="ru-RU"/>
              </w:rPr>
              <w:t>Примечание </w:t>
            </w:r>
            <w:r w:rsidRPr="009C3DA2">
              <w:rPr>
                <w:b/>
                <w:bCs/>
                <w:lang w:val="en-GB"/>
              </w:rPr>
              <w:t>3)</w:t>
            </w:r>
          </w:p>
        </w:tc>
      </w:tr>
      <w:tr w:rsidR="004344B0" w:rsidRPr="00D65A2A" w14:paraId="62DB7928" w14:textId="77777777" w:rsidTr="003679B3">
        <w:trPr>
          <w:jc w:val="center"/>
        </w:trPr>
        <w:tc>
          <w:tcPr>
            <w:tcW w:w="3402" w:type="dxa"/>
          </w:tcPr>
          <w:p w14:paraId="4EBBD1E4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мощности </w:t>
            </w:r>
            <w:r w:rsidRPr="00D65A2A">
              <w:rPr>
                <w:lang w:val="ru-RU"/>
              </w:rPr>
              <w:br/>
              <w:t>(в режиме отслеживания) суммарной узкополосной помехи на выходе пассивной антенны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vAlign w:val="center"/>
          </w:tcPr>
          <w:p w14:paraId="16700779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Минимальный уровень мощности узкополосных помех (указываемый на выходе пассивной антенны и в пределах полосы пропускания РЧ</w:t>
            </w:r>
            <w:r>
              <w:rPr>
                <w:lang w:val="ru-RU"/>
              </w:rPr>
              <w:noBreakHyphen/>
            </w:r>
            <w:r w:rsidRPr="00D65A2A">
              <w:rPr>
                <w:lang w:val="ru-RU"/>
              </w:rPr>
              <w:t xml:space="preserve">фильтра), при котором приемник теряет след полезного сигнала при установленном минимальном уровне принимаемой мощности с 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</w:t>
            </w:r>
            <w:r>
              <w:rPr>
                <w:lang w:val="ru-RU"/>
              </w:rPr>
              <w:t>и</w:t>
            </w:r>
            <w:r w:rsidRPr="00D65A2A">
              <w:rPr>
                <w:lang w:val="ru-RU"/>
              </w:rPr>
              <w:t xml:space="preserve"> приемник не смог </w:t>
            </w:r>
            <w:r>
              <w:rPr>
                <w:lang w:val="ru-RU"/>
              </w:rPr>
              <w:t xml:space="preserve">корректно </w:t>
            </w:r>
            <w:r w:rsidRPr="00D65A2A">
              <w:rPr>
                <w:lang w:val="ru-RU"/>
              </w:rPr>
              <w:t xml:space="preserve">отслеживать сигнал (т. е. </w:t>
            </w:r>
            <w:r>
              <w:rPr>
                <w:lang w:val="ru-RU"/>
              </w:rPr>
              <w:t xml:space="preserve">более невозможна надлежащая демодуляция </w:t>
            </w:r>
            <w:r w:rsidRPr="00D65A2A">
              <w:rPr>
                <w:lang w:val="ru-RU"/>
              </w:rPr>
              <w:t>данны</w:t>
            </w:r>
            <w:r>
              <w:rPr>
                <w:lang w:val="ru-RU"/>
              </w:rPr>
              <w:t>х</w:t>
            </w:r>
            <w:r w:rsidRPr="00D65A2A">
              <w:rPr>
                <w:lang w:val="ru-RU"/>
              </w:rPr>
              <w:t xml:space="preserve"> навигации). (См.</w:t>
            </w:r>
            <w:r>
              <w:rPr>
                <w:lang w:val="ru-RU"/>
              </w:rPr>
              <w:t> </w:t>
            </w:r>
            <w:r w:rsidRPr="00D65A2A">
              <w:rPr>
                <w:lang w:val="ru-RU"/>
              </w:rPr>
              <w:t>Примечание 1.)</w:t>
            </w:r>
          </w:p>
        </w:tc>
      </w:tr>
      <w:tr w:rsidR="004344B0" w:rsidRPr="00D65A2A" w14:paraId="17A938AF" w14:textId="77777777" w:rsidTr="003679B3">
        <w:trPr>
          <w:jc w:val="center"/>
        </w:trPr>
        <w:tc>
          <w:tcPr>
            <w:tcW w:w="3402" w:type="dxa"/>
          </w:tcPr>
          <w:p w14:paraId="18C3E952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мощности </w:t>
            </w:r>
            <w:r w:rsidRPr="00D65A2A">
              <w:rPr>
                <w:lang w:val="ru-RU"/>
              </w:rPr>
              <w:br/>
              <w:t>(в режиме захвата) суммарной узкополосной помехи на выходе пассивной антенны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</w:p>
        </w:tc>
        <w:tc>
          <w:tcPr>
            <w:tcW w:w="6237" w:type="dxa"/>
            <w:vAlign w:val="center"/>
          </w:tcPr>
          <w:p w14:paraId="2EDAB6F2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Минимальный уровень мощности узкополосных помех (указываемый на выходе пассивной антенны и в пределах полосы пропускания РЧ</w:t>
            </w:r>
            <w:r>
              <w:rPr>
                <w:lang w:val="ru-RU"/>
              </w:rPr>
              <w:noBreakHyphen/>
            </w:r>
            <w:r w:rsidRPr="00D65A2A">
              <w:rPr>
                <w:lang w:val="ru-RU"/>
              </w:rPr>
              <w:t>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 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 отслеживания). (См. Примечание 1.)</w:t>
            </w:r>
          </w:p>
        </w:tc>
      </w:tr>
    </w:tbl>
    <w:p w14:paraId="51F05216" w14:textId="77777777" w:rsidR="004344B0" w:rsidRPr="00D65A2A" w:rsidRDefault="004344B0" w:rsidP="004344B0">
      <w:pPr>
        <w:pStyle w:val="TableNo"/>
        <w:spacing w:before="0"/>
        <w:rPr>
          <w:lang w:val="ru-RU"/>
        </w:rPr>
      </w:pPr>
      <w:r w:rsidRPr="00D65A2A">
        <w:rPr>
          <w:lang w:val="ru-RU"/>
        </w:rPr>
        <w:lastRenderedPageBreak/>
        <w:t>ТАБЛИЦА 3 (</w:t>
      </w:r>
      <w:r w:rsidRPr="00D65A2A">
        <w:rPr>
          <w:i/>
          <w:lang w:val="ru-RU"/>
        </w:rPr>
        <w:t>окончание</w:t>
      </w:r>
      <w:r w:rsidRPr="00D65A2A">
        <w:rPr>
          <w:lang w:val="ru-RU"/>
        </w:rPr>
        <w:t>)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4344B0" w:rsidRPr="00D65A2A" w14:paraId="69664022" w14:textId="77777777" w:rsidTr="003679B3">
        <w:trPr>
          <w:cantSplit/>
          <w:tblHeader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FEE5" w14:textId="77777777" w:rsidR="004344B0" w:rsidRPr="00D65A2A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Параметр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60E" w14:textId="77777777" w:rsidR="004344B0" w:rsidRPr="00D65A2A" w:rsidRDefault="004344B0" w:rsidP="003679B3">
            <w:pPr>
              <w:pStyle w:val="Tablehead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Описание параметров РНСС</w:t>
            </w:r>
          </w:p>
        </w:tc>
      </w:tr>
      <w:tr w:rsidR="004344B0" w:rsidRPr="00D65A2A" w14:paraId="483FF164" w14:textId="77777777" w:rsidTr="00367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402" w:type="dxa"/>
          </w:tcPr>
          <w:p w14:paraId="12B74B85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плотности мощности (в режиме отслеживания) суммарной широкополосной помехи на выходе пассивной антенны </w:t>
            </w:r>
            <w:r w:rsidRPr="00D65A2A">
              <w:rPr>
                <w:lang w:val="ru-RU"/>
              </w:rPr>
              <w:br/>
              <w:t>(</w:t>
            </w:r>
            <w:proofErr w:type="gramStart"/>
            <w:r w:rsidRPr="00D65A2A">
              <w:rPr>
                <w:lang w:val="ru-RU"/>
              </w:rPr>
              <w:t>дБ(</w:t>
            </w:r>
            <w:proofErr w:type="gramEnd"/>
            <w:r w:rsidRPr="00D65A2A">
              <w:rPr>
                <w:lang w:val="ru-RU"/>
              </w:rPr>
              <w:t>Вт/МГц))</w:t>
            </w:r>
          </w:p>
        </w:tc>
        <w:tc>
          <w:tcPr>
            <w:tcW w:w="6237" w:type="dxa"/>
            <w:vAlign w:val="center"/>
          </w:tcPr>
          <w:p w14:paraId="1CD8E7C3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Минимальный уровень плотности мощности широкополосных помех (указываемый на выходе пассивной антенны и в пределах полосы пропускания РЧ-фильтра), при котором приемник теряет след полезного сигнала при установленном минимальном уровне принимаемой мощности с определенной вероятностью (т. е. не может оставаться в режиме отслеживания с соответствующей вероятностью). Это предполагает, что приемник уже начал принимать полезный сигнал и отслеживал его до той точки, в которой помехи превысили этот порог, </w:t>
            </w:r>
            <w:r>
              <w:rPr>
                <w:lang w:val="ru-RU"/>
              </w:rPr>
              <w:t>и</w:t>
            </w:r>
            <w:r w:rsidRPr="00D65A2A">
              <w:rPr>
                <w:lang w:val="ru-RU"/>
              </w:rPr>
              <w:t xml:space="preserve"> приемник не смог </w:t>
            </w:r>
            <w:r>
              <w:rPr>
                <w:lang w:val="ru-RU"/>
              </w:rPr>
              <w:t xml:space="preserve">корректно </w:t>
            </w:r>
            <w:r w:rsidRPr="00D65A2A">
              <w:rPr>
                <w:lang w:val="ru-RU"/>
              </w:rPr>
              <w:t xml:space="preserve">отслеживать сигнал (т. е. </w:t>
            </w:r>
            <w:r>
              <w:rPr>
                <w:lang w:val="ru-RU"/>
              </w:rPr>
              <w:t xml:space="preserve">более невозможна надлежащая демодуляция </w:t>
            </w:r>
            <w:r w:rsidRPr="00D65A2A">
              <w:rPr>
                <w:lang w:val="ru-RU"/>
              </w:rPr>
              <w:t>данны</w:t>
            </w:r>
            <w:r>
              <w:rPr>
                <w:lang w:val="ru-RU"/>
              </w:rPr>
              <w:t>х</w:t>
            </w:r>
            <w:r w:rsidRPr="00D65A2A">
              <w:rPr>
                <w:lang w:val="ru-RU"/>
              </w:rPr>
              <w:t xml:space="preserve"> навигации).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уровне 3 дБ. (См. Примечание 1.)</w:t>
            </w:r>
          </w:p>
        </w:tc>
      </w:tr>
      <w:tr w:rsidR="004344B0" w:rsidRPr="00D65A2A" w14:paraId="5F23BEBE" w14:textId="77777777" w:rsidTr="00367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402" w:type="dxa"/>
          </w:tcPr>
          <w:p w14:paraId="581C6317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 xml:space="preserve">Пороговый уровень плотности мощности (в режиме захвата) суммарной широкополосной помехи на выходе пассивной антенны </w:t>
            </w:r>
            <w:r w:rsidRPr="00D65A2A">
              <w:rPr>
                <w:lang w:val="ru-RU"/>
              </w:rPr>
              <w:br/>
              <w:t>(</w:t>
            </w:r>
            <w:proofErr w:type="gramStart"/>
            <w:r w:rsidRPr="00D65A2A">
              <w:rPr>
                <w:lang w:val="ru-RU"/>
              </w:rPr>
              <w:t>дБ(</w:t>
            </w:r>
            <w:proofErr w:type="gramEnd"/>
            <w:r w:rsidRPr="00D65A2A">
              <w:rPr>
                <w:lang w:val="ru-RU"/>
              </w:rPr>
              <w:t xml:space="preserve">Вт/МГц)) </w:t>
            </w:r>
          </w:p>
        </w:tc>
        <w:tc>
          <w:tcPr>
            <w:tcW w:w="6237" w:type="dxa"/>
            <w:vAlign w:val="center"/>
          </w:tcPr>
          <w:p w14:paraId="54125A6C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Минимальный уровень плотности мощности широкополосных помех (указываемый на выходе пассивной антенны и в пределах полосы пропускания РЧ-фильтра), при котором приемник не может захватывать полезный сигнал при установленном минимальном уровне принимаемой мощности с определенной вероятностью и в течение определенного периода времени (т. е. не может захватывать имеющийся сигнал с соответствующей вероятностью). Следует отметить, что такой уровень помех ниже, чем для предыдущего параметра (режим отслеживания). В целях определения этого значения, предполагается, что суммарные помехи являются белым гауссовым шумом во всей полосе пропускания предварительного корреляционного фильтра на уровне –3 дБ. (См. Примечание 1.)</w:t>
            </w:r>
          </w:p>
        </w:tc>
      </w:tr>
      <w:tr w:rsidR="004344B0" w:rsidRPr="009C3DA2" w14:paraId="77A6BA6E" w14:textId="77777777" w:rsidTr="00367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9639" w:type="dxa"/>
            <w:gridSpan w:val="2"/>
          </w:tcPr>
          <w:p w14:paraId="7959733C" w14:textId="77777777" w:rsidR="004344B0" w:rsidRPr="009C3DA2" w:rsidRDefault="004344B0" w:rsidP="003679B3">
            <w:pPr>
              <w:pStyle w:val="Tabletext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ru-RU"/>
              </w:rPr>
              <w:t>Пороговые уровни для импульсных помех</w:t>
            </w:r>
            <w:r w:rsidRPr="00D73DFF">
              <w:rPr>
                <w:b/>
                <w:bCs/>
                <w:lang w:val="ru-RU"/>
              </w:rPr>
              <w:t xml:space="preserve"> (</w:t>
            </w:r>
            <w:r>
              <w:rPr>
                <w:b/>
                <w:bCs/>
                <w:lang w:val="ru-RU"/>
              </w:rPr>
              <w:t>см</w:t>
            </w:r>
            <w:r w:rsidRPr="00D73DFF">
              <w:rPr>
                <w:b/>
                <w:bCs/>
                <w:lang w:val="ru-RU"/>
              </w:rPr>
              <w:t xml:space="preserve">. </w:t>
            </w:r>
            <w:r>
              <w:rPr>
                <w:b/>
                <w:bCs/>
                <w:lang w:val="ru-RU"/>
              </w:rPr>
              <w:t>Примечания</w:t>
            </w:r>
            <w:r w:rsidRPr="009C3DA2">
              <w:rPr>
                <w:b/>
                <w:bCs/>
                <w:lang w:val="en-GB"/>
              </w:rPr>
              <w:t xml:space="preserve"> 3 </w:t>
            </w:r>
            <w:r>
              <w:rPr>
                <w:b/>
                <w:bCs/>
                <w:lang w:val="ru-RU"/>
              </w:rPr>
              <w:t>и</w:t>
            </w:r>
            <w:r w:rsidRPr="009C3DA2">
              <w:rPr>
                <w:b/>
                <w:bCs/>
                <w:lang w:val="en-GB"/>
              </w:rPr>
              <w:t xml:space="preserve"> 4)</w:t>
            </w:r>
          </w:p>
        </w:tc>
      </w:tr>
      <w:tr w:rsidR="004344B0" w:rsidRPr="00D73DFF" w14:paraId="60DE9BA9" w14:textId="77777777" w:rsidTr="00367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jc w:val="center"/>
        </w:trPr>
        <w:tc>
          <w:tcPr>
            <w:tcW w:w="3402" w:type="dxa"/>
          </w:tcPr>
          <w:p w14:paraId="524B150E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 xml:space="preserve">Уровень </w:t>
            </w:r>
            <w:r>
              <w:rPr>
                <w:lang w:val="ru-RU"/>
              </w:rPr>
              <w:t>насыщения</w:t>
            </w:r>
            <w:r w:rsidRPr="00D65A2A">
              <w:rPr>
                <w:lang w:val="ru-RU"/>
              </w:rPr>
              <w:t xml:space="preserve"> сигнала на входе приемника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  <w:r>
              <w:rPr>
                <w:lang w:val="ru-RU"/>
              </w:rPr>
              <w:t xml:space="preserve"> (см. Примечание 4)</w:t>
            </w:r>
          </w:p>
        </w:tc>
        <w:tc>
          <w:tcPr>
            <w:tcW w:w="6237" w:type="dxa"/>
            <w:vAlign w:val="center"/>
          </w:tcPr>
          <w:p w14:paraId="2573A71C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Минимальный уровень</w:t>
            </w:r>
            <w:r>
              <w:rPr>
                <w:lang w:val="ru-RU"/>
              </w:rPr>
              <w:t xml:space="preserve"> мощности</w:t>
            </w:r>
            <w:r w:rsidRPr="00D65A2A">
              <w:rPr>
                <w:lang w:val="ru-RU"/>
              </w:rPr>
              <w:t xml:space="preserve"> на выходе пассивной антенны</w:t>
            </w:r>
            <w:r>
              <w:rPr>
                <w:lang w:val="ru-RU"/>
              </w:rPr>
              <w:t xml:space="preserve"> приемника</w:t>
            </w:r>
            <w:r w:rsidRPr="00D65A2A">
              <w:rPr>
                <w:lang w:val="ru-RU"/>
              </w:rPr>
              <w:t>,</w:t>
            </w:r>
            <w:r>
              <w:rPr>
                <w:lang w:val="ru-RU"/>
              </w:rPr>
              <w:t xml:space="preserve"> создаваемый источниками импульсных помех,</w:t>
            </w:r>
            <w:r w:rsidRPr="00D65A2A">
              <w:rPr>
                <w:lang w:val="ru-RU"/>
              </w:rPr>
              <w:t xml:space="preserve"> при котором происходит </w:t>
            </w:r>
            <w:r>
              <w:rPr>
                <w:lang w:val="ru-RU"/>
              </w:rPr>
              <w:t xml:space="preserve">либо </w:t>
            </w:r>
            <w:r w:rsidRPr="00D65A2A">
              <w:rPr>
                <w:lang w:val="ru-RU"/>
              </w:rPr>
              <w:t>сжатие участка линейного усиления приемника</w:t>
            </w:r>
            <w:r>
              <w:rPr>
                <w:lang w:val="ru-RU"/>
              </w:rPr>
              <w:t>, либо насыщение приемника в любой точке схемы обработки приемника – от первого каскада и до аналого-цифрового преобразователя</w:t>
            </w:r>
            <w:r w:rsidRPr="00D65A2A">
              <w:rPr>
                <w:lang w:val="ru-RU"/>
              </w:rPr>
              <w:t>.</w:t>
            </w:r>
          </w:p>
        </w:tc>
      </w:tr>
      <w:tr w:rsidR="004344B0" w:rsidRPr="00D73DFF" w14:paraId="012BCCA7" w14:textId="77777777" w:rsidTr="003679B3">
        <w:trPr>
          <w:cantSplit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8EF7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Уровень сохранения работоспособности приемника (</w:t>
            </w:r>
            <w:proofErr w:type="spellStart"/>
            <w:r w:rsidRPr="00D65A2A">
              <w:rPr>
                <w:lang w:val="ru-RU"/>
              </w:rPr>
              <w:t>дБВт</w:t>
            </w:r>
            <w:proofErr w:type="spellEnd"/>
            <w:r w:rsidRPr="00D65A2A">
              <w:rPr>
                <w:lang w:val="ru-RU"/>
              </w:rPr>
              <w:t>)</w:t>
            </w:r>
            <w:r>
              <w:rPr>
                <w:lang w:val="ru-RU"/>
              </w:rPr>
              <w:t xml:space="preserve"> (см. Примечание 4)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77B23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Максимальный уровень мощности на выходе пассивной антенны</w:t>
            </w:r>
            <w:r>
              <w:rPr>
                <w:lang w:val="ru-RU"/>
              </w:rPr>
              <w:t xml:space="preserve"> приемника</w:t>
            </w:r>
            <w:r w:rsidRPr="00D65A2A">
              <w:rPr>
                <w:lang w:val="ru-RU"/>
              </w:rPr>
              <w:t>,</w:t>
            </w:r>
            <w:r>
              <w:rPr>
                <w:lang w:val="ru-RU"/>
              </w:rPr>
              <w:t xml:space="preserve"> создаваемый источниками импульсных помех,</w:t>
            </w:r>
            <w:r w:rsidRPr="00D65A2A">
              <w:rPr>
                <w:lang w:val="ru-RU"/>
              </w:rPr>
              <w:t xml:space="preserve"> при котором </w:t>
            </w:r>
            <w:r>
              <w:rPr>
                <w:lang w:val="ru-RU"/>
              </w:rPr>
              <w:t xml:space="preserve">должна сохраняться работоспособность </w:t>
            </w:r>
            <w:r w:rsidRPr="00D65A2A">
              <w:rPr>
                <w:lang w:val="ru-RU"/>
              </w:rPr>
              <w:t>приемник</w:t>
            </w:r>
            <w:r>
              <w:rPr>
                <w:lang w:val="ru-RU"/>
              </w:rPr>
              <w:t>а</w:t>
            </w:r>
            <w:r w:rsidRPr="00D65A2A">
              <w:rPr>
                <w:lang w:val="ru-RU"/>
              </w:rPr>
              <w:t xml:space="preserve"> без отказа каких-либо компонентов.</w:t>
            </w:r>
          </w:p>
        </w:tc>
      </w:tr>
      <w:tr w:rsidR="004344B0" w:rsidRPr="00D73DFF" w14:paraId="123E6AAB" w14:textId="77777777" w:rsidTr="003679B3">
        <w:trPr>
          <w:cantSplit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DB78" w14:textId="77777777" w:rsidR="004344B0" w:rsidRPr="00D65A2A" w:rsidRDefault="004344B0" w:rsidP="003679B3">
            <w:pPr>
              <w:pStyle w:val="Tabletext"/>
              <w:jc w:val="left"/>
              <w:rPr>
                <w:lang w:val="ru-RU"/>
              </w:rPr>
            </w:pPr>
            <w:r w:rsidRPr="00D65A2A">
              <w:rPr>
                <w:lang w:val="ru-RU"/>
              </w:rPr>
              <w:t>Время восстановления после перегрузки (с)</w:t>
            </w:r>
            <w:r>
              <w:rPr>
                <w:lang w:val="ru-RU"/>
              </w:rPr>
              <w:t xml:space="preserve"> (см. Примечание 4)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31F0" w14:textId="77777777" w:rsidR="004344B0" w:rsidRPr="00D65A2A" w:rsidRDefault="004344B0" w:rsidP="003679B3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D65A2A">
              <w:rPr>
                <w:lang w:val="ru-RU"/>
              </w:rPr>
              <w:t>Максимальн</w:t>
            </w:r>
            <w:r>
              <w:rPr>
                <w:lang w:val="ru-RU"/>
              </w:rPr>
              <w:t>ый период</w:t>
            </w:r>
            <w:r w:rsidRPr="00D65A2A">
              <w:rPr>
                <w:lang w:val="ru-RU"/>
              </w:rPr>
              <w:t xml:space="preserve"> времени, в течение которого приемник возвращается к стабильным характеристикам передаточной функции, после того как</w:t>
            </w:r>
            <w:r>
              <w:rPr>
                <w:lang w:val="ru-RU"/>
              </w:rPr>
              <w:t xml:space="preserve"> уровень помех от импульсных источников</w:t>
            </w:r>
            <w:r w:rsidRPr="00D65A2A">
              <w:rPr>
                <w:lang w:val="ru-RU"/>
              </w:rPr>
              <w:t>, превышающи</w:t>
            </w:r>
            <w:r>
              <w:rPr>
                <w:lang w:val="ru-RU"/>
              </w:rPr>
              <w:t>й</w:t>
            </w:r>
            <w:r w:rsidRPr="00D65A2A">
              <w:rPr>
                <w:lang w:val="ru-RU"/>
              </w:rPr>
              <w:t xml:space="preserve"> уровень </w:t>
            </w:r>
            <w:r>
              <w:rPr>
                <w:lang w:val="ru-RU"/>
              </w:rPr>
              <w:t xml:space="preserve">насыщения </w:t>
            </w:r>
            <w:r w:rsidRPr="00D65A2A">
              <w:rPr>
                <w:lang w:val="ru-RU"/>
              </w:rPr>
              <w:t xml:space="preserve">сигнала на входе приемника, </w:t>
            </w:r>
            <w:r>
              <w:rPr>
                <w:lang w:val="ru-RU"/>
              </w:rPr>
              <w:t>снижается</w:t>
            </w:r>
            <w:r w:rsidRPr="00D65A2A">
              <w:rPr>
                <w:lang w:val="ru-RU"/>
              </w:rPr>
              <w:t xml:space="preserve"> ниже этого уровня.</w:t>
            </w:r>
          </w:p>
        </w:tc>
      </w:tr>
      <w:tr w:rsidR="004344B0" w:rsidRPr="00D73DFF" w14:paraId="46727211" w14:textId="77777777" w:rsidTr="003679B3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8ECCDD" w14:textId="77777777" w:rsidR="004344B0" w:rsidRPr="00D73DFF" w:rsidRDefault="004344B0" w:rsidP="003679B3">
            <w:pPr>
              <w:pStyle w:val="TableLegendNote"/>
              <w:spacing w:before="60"/>
              <w:rPr>
                <w:spacing w:val="-4"/>
                <w:lang w:val="ru-RU"/>
              </w:rPr>
            </w:pPr>
            <w:r w:rsidRPr="00D73DFF">
              <w:rPr>
                <w:spacing w:val="-4"/>
                <w:lang w:val="ru-RU"/>
              </w:rPr>
              <w:t>ПРИМЕЧАНИЕ</w:t>
            </w:r>
            <w:r w:rsidRPr="00D73DFF">
              <w:rPr>
                <w:b/>
                <w:spacing w:val="-4"/>
                <w:lang w:val="en-GB"/>
              </w:rPr>
              <w:t> </w:t>
            </w:r>
            <w:r w:rsidRPr="00D73DFF">
              <w:rPr>
                <w:spacing w:val="-4"/>
                <w:lang w:val="ru-RU"/>
              </w:rPr>
              <w:t>1.</w:t>
            </w:r>
            <w:r w:rsidRPr="00D73DFF">
              <w:rPr>
                <w:spacing w:val="-4"/>
                <w:lang w:val="en-GB"/>
              </w:rPr>
              <w:t> </w:t>
            </w:r>
            <w:r w:rsidRPr="00D73DFF">
              <w:rPr>
                <w:spacing w:val="-4"/>
                <w:lang w:val="ru-RU"/>
              </w:rPr>
              <w:t>–</w:t>
            </w:r>
            <w:r w:rsidRPr="00D73DFF">
              <w:rPr>
                <w:spacing w:val="-4"/>
                <w:lang w:val="en-GB"/>
              </w:rPr>
              <w:t> </w:t>
            </w:r>
            <w:r w:rsidRPr="00D73DFF">
              <w:rPr>
                <w:spacing w:val="-4"/>
                <w:lang w:val="ru-RU"/>
              </w:rPr>
              <w:t>Значения ширины полосы узкополосных непрерывных и широкополосных непрерывных помех приведены в Рекомендациях МСЭ-</w:t>
            </w:r>
            <w:r w:rsidRPr="00D73DFF">
              <w:rPr>
                <w:spacing w:val="-4"/>
                <w:lang w:val="en-GB"/>
              </w:rPr>
              <w:t>R</w:t>
            </w:r>
            <w:r w:rsidRPr="00D73DFF">
              <w:rPr>
                <w:spacing w:val="-4"/>
                <w:lang w:val="ru-RU"/>
              </w:rPr>
              <w:t xml:space="preserve"> </w:t>
            </w:r>
            <w:r w:rsidRPr="00D73DFF">
              <w:rPr>
                <w:spacing w:val="-4"/>
                <w:lang w:val="en-GB"/>
              </w:rPr>
              <w:t>M</w:t>
            </w:r>
            <w:r w:rsidRPr="00D73DFF">
              <w:rPr>
                <w:spacing w:val="-4"/>
                <w:lang w:val="ru-RU"/>
              </w:rPr>
              <w:t>.1905, МСЭ-</w:t>
            </w:r>
            <w:r w:rsidRPr="00D73DFF">
              <w:rPr>
                <w:spacing w:val="-4"/>
                <w:lang w:val="en-GB"/>
              </w:rPr>
              <w:t>R</w:t>
            </w:r>
            <w:r w:rsidRPr="00D73DFF">
              <w:rPr>
                <w:spacing w:val="-4"/>
                <w:lang w:val="ru-RU"/>
              </w:rPr>
              <w:t xml:space="preserve"> </w:t>
            </w:r>
            <w:r w:rsidRPr="00D73DFF">
              <w:rPr>
                <w:spacing w:val="-4"/>
                <w:lang w:val="en-GB"/>
              </w:rPr>
              <w:t>M</w:t>
            </w:r>
            <w:r w:rsidRPr="00D73DFF">
              <w:rPr>
                <w:spacing w:val="-4"/>
                <w:lang w:val="ru-RU"/>
              </w:rPr>
              <w:t>.1902, МСЭ-</w:t>
            </w:r>
            <w:r w:rsidRPr="00D73DFF">
              <w:rPr>
                <w:spacing w:val="-4"/>
                <w:lang w:val="en-GB"/>
              </w:rPr>
              <w:t>R</w:t>
            </w:r>
            <w:r w:rsidRPr="00D73DFF">
              <w:rPr>
                <w:spacing w:val="-4"/>
                <w:lang w:val="ru-RU"/>
              </w:rPr>
              <w:t xml:space="preserve"> </w:t>
            </w:r>
            <w:r w:rsidRPr="00D73DFF">
              <w:rPr>
                <w:spacing w:val="-4"/>
                <w:lang w:val="en-GB"/>
              </w:rPr>
              <w:t>M</w:t>
            </w:r>
            <w:r w:rsidRPr="00D73DFF">
              <w:rPr>
                <w:spacing w:val="-4"/>
                <w:lang w:val="ru-RU"/>
              </w:rPr>
              <w:t>.1903, МСЭ-</w:t>
            </w:r>
            <w:r w:rsidRPr="00D73DFF">
              <w:rPr>
                <w:spacing w:val="-4"/>
                <w:lang w:val="en-GB"/>
              </w:rPr>
              <w:t>R</w:t>
            </w:r>
            <w:r w:rsidRPr="00D73DFF">
              <w:rPr>
                <w:spacing w:val="-4"/>
                <w:lang w:val="ru-RU"/>
              </w:rPr>
              <w:t xml:space="preserve"> </w:t>
            </w:r>
            <w:r w:rsidRPr="00D73DFF">
              <w:rPr>
                <w:spacing w:val="-4"/>
                <w:lang w:val="en-GB"/>
              </w:rPr>
              <w:t>M</w:t>
            </w:r>
            <w:r w:rsidRPr="00D73DFF">
              <w:rPr>
                <w:spacing w:val="-4"/>
                <w:lang w:val="ru-RU"/>
              </w:rPr>
              <w:t>.1904 и МСЭ-</w:t>
            </w:r>
            <w:r w:rsidRPr="00D73DFF">
              <w:rPr>
                <w:spacing w:val="-4"/>
                <w:lang w:val="en-GB"/>
              </w:rPr>
              <w:t>R</w:t>
            </w:r>
            <w:r w:rsidRPr="00D73DFF">
              <w:rPr>
                <w:spacing w:val="-4"/>
                <w:lang w:val="ru-RU"/>
              </w:rPr>
              <w:t xml:space="preserve"> </w:t>
            </w:r>
            <w:r w:rsidRPr="00D73DFF">
              <w:rPr>
                <w:spacing w:val="-4"/>
                <w:lang w:val="en-GB"/>
              </w:rPr>
              <w:t>M</w:t>
            </w:r>
            <w:r w:rsidRPr="00D73DFF">
              <w:rPr>
                <w:spacing w:val="-4"/>
                <w:lang w:val="ru-RU"/>
              </w:rPr>
              <w:t>.2031.</w:t>
            </w:r>
          </w:p>
          <w:p w14:paraId="24563F53" w14:textId="77777777" w:rsidR="004344B0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 w:rsidRPr="00D65A2A">
              <w:rPr>
                <w:lang w:val="ru-RU"/>
              </w:rPr>
              <w:t>ПРИМЕЧАНИЕ </w:t>
            </w:r>
            <w:r>
              <w:rPr>
                <w:lang w:val="ru-RU"/>
              </w:rPr>
              <w:t>2</w:t>
            </w:r>
            <w:r w:rsidRPr="00D65A2A">
              <w:rPr>
                <w:lang w:val="ru-RU"/>
              </w:rPr>
              <w:t>. – Для упомянутых Рекомендаций, единицы измерения параметров должны быть таки</w:t>
            </w:r>
            <w:r>
              <w:rPr>
                <w:lang w:val="ru-RU"/>
              </w:rPr>
              <w:t>ми</w:t>
            </w:r>
            <w:r w:rsidRPr="00D65A2A">
              <w:rPr>
                <w:lang w:val="ru-RU"/>
              </w:rPr>
              <w:t xml:space="preserve"> же, как приведен</w:t>
            </w:r>
            <w:r>
              <w:rPr>
                <w:lang w:val="ru-RU"/>
              </w:rPr>
              <w:t>ные</w:t>
            </w:r>
            <w:r w:rsidRPr="00D65A2A">
              <w:rPr>
                <w:lang w:val="ru-RU"/>
              </w:rPr>
              <w:t xml:space="preserve"> в таблице, если </w:t>
            </w:r>
            <w:r>
              <w:rPr>
                <w:lang w:val="ru-RU"/>
              </w:rPr>
              <w:t>в явной форме</w:t>
            </w:r>
            <w:r w:rsidRPr="00D65A2A">
              <w:rPr>
                <w:lang w:val="ru-RU"/>
              </w:rPr>
              <w:t xml:space="preserve"> не указано иное.</w:t>
            </w:r>
          </w:p>
          <w:p w14:paraId="1BC806C8" w14:textId="77777777" w:rsidR="004344B0" w:rsidRPr="00D73DFF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 </w:t>
            </w:r>
            <w:r w:rsidRPr="00D73DFF">
              <w:rPr>
                <w:lang w:val="ru-RU"/>
              </w:rPr>
              <w:t>3.</w:t>
            </w:r>
            <w:r w:rsidRPr="00400E60">
              <w:rPr>
                <w:lang w:val="en-GB"/>
              </w:rPr>
              <w:t> </w:t>
            </w:r>
            <w:r w:rsidRPr="00D73DFF">
              <w:rPr>
                <w:lang w:val="ru-RU"/>
              </w:rPr>
              <w:t>–</w:t>
            </w:r>
            <w:r w:rsidRPr="00400E60">
              <w:rPr>
                <w:lang w:val="en-GB"/>
              </w:rPr>
              <w:t> </w:t>
            </w:r>
            <w:r>
              <w:rPr>
                <w:lang w:val="ru-RU"/>
              </w:rPr>
              <w:t>Термин "непрерывные помехи" используется здесь для обозначения помех от источников, характеризующихся достаточно постоянной мощностью, которая в целом существует в любой момент времени</w:t>
            </w:r>
            <w:r w:rsidRPr="00D73DFF">
              <w:rPr>
                <w:lang w:val="ru-RU"/>
              </w:rPr>
              <w:t xml:space="preserve">. </w:t>
            </w:r>
            <w:r>
              <w:rPr>
                <w:lang w:val="ru-RU"/>
              </w:rPr>
              <w:t>Такие помехи отличаются от импульсных помех, которые представляют собой периоды передачи пачек, чередующиеся с периодами отсутствия передачи</w:t>
            </w:r>
            <w:r w:rsidRPr="00D73DFF">
              <w:rPr>
                <w:lang w:val="ru-RU"/>
              </w:rPr>
              <w:t xml:space="preserve">. </w:t>
            </w:r>
            <w:r>
              <w:rPr>
                <w:lang w:val="ru-RU"/>
              </w:rPr>
              <w:t>Совместимость последних с РНСС зависит от мощности и длительности пачек, а также рабочего цикла передачи</w:t>
            </w:r>
            <w:r w:rsidRPr="00D73DFF">
              <w:rPr>
                <w:lang w:val="ru-RU"/>
              </w:rPr>
              <w:t>.</w:t>
            </w:r>
          </w:p>
          <w:p w14:paraId="63B8DFE6" w14:textId="77777777" w:rsidR="004344B0" w:rsidRPr="00D73DFF" w:rsidRDefault="004344B0" w:rsidP="003679B3">
            <w:pPr>
              <w:pStyle w:val="TableLegendNote"/>
              <w:spacing w:before="60"/>
              <w:rPr>
                <w:lang w:val="ru-RU"/>
              </w:rPr>
            </w:pPr>
            <w:r>
              <w:rPr>
                <w:lang w:val="ru-RU"/>
              </w:rPr>
              <w:t>ПРИМЕЧАНИЕ</w:t>
            </w:r>
            <w:r w:rsidRPr="00627DC6">
              <w:rPr>
                <w:lang w:val="en-GB"/>
              </w:rPr>
              <w:t> </w:t>
            </w:r>
            <w:r w:rsidRPr="00D73DFF">
              <w:rPr>
                <w:lang w:val="ru-RU"/>
              </w:rPr>
              <w:t>4.</w:t>
            </w:r>
            <w:r w:rsidRPr="00400E60">
              <w:rPr>
                <w:lang w:val="en-GB"/>
              </w:rPr>
              <w:t> </w:t>
            </w:r>
            <w:r w:rsidRPr="00D73DFF">
              <w:rPr>
                <w:lang w:val="ru-RU"/>
              </w:rPr>
              <w:t>–</w:t>
            </w:r>
            <w:r w:rsidRPr="00400E60">
              <w:rPr>
                <w:lang w:val="en-GB"/>
              </w:rPr>
              <w:t> </w:t>
            </w:r>
            <w:r>
              <w:rPr>
                <w:lang w:val="ru-RU"/>
              </w:rPr>
              <w:t>Значения, представленные для этих параметров, следует использовать для оценки помех от импульсных источников с использованием Рекомендации</w:t>
            </w:r>
            <w:r w:rsidRPr="00D73DFF">
              <w:rPr>
                <w:lang w:val="ru-RU"/>
              </w:rPr>
              <w:t xml:space="preserve"> </w:t>
            </w:r>
            <w:r>
              <w:rPr>
                <w:lang w:val="ru-RU"/>
              </w:rPr>
              <w:t>МСЭ</w:t>
            </w:r>
            <w:r w:rsidRPr="00D73DFF">
              <w:rPr>
                <w:lang w:val="ru-RU"/>
              </w:rPr>
              <w:t>-</w:t>
            </w:r>
            <w:r w:rsidRPr="00400E60">
              <w:rPr>
                <w:lang w:val="en-GB"/>
              </w:rPr>
              <w:t>R</w:t>
            </w:r>
            <w:r w:rsidRPr="00D73DFF">
              <w:rPr>
                <w:lang w:val="ru-RU"/>
              </w:rPr>
              <w:t xml:space="preserve"> </w:t>
            </w:r>
            <w:r w:rsidRPr="00400E60">
              <w:rPr>
                <w:lang w:val="en-GB"/>
              </w:rPr>
              <w:t>M</w:t>
            </w:r>
            <w:r w:rsidRPr="00D73DFF">
              <w:rPr>
                <w:lang w:val="ru-RU"/>
              </w:rPr>
              <w:t>.2030.</w:t>
            </w:r>
          </w:p>
        </w:tc>
      </w:tr>
    </w:tbl>
    <w:p w14:paraId="14B0600A" w14:textId="77777777" w:rsidR="004344B0" w:rsidRDefault="004344B0">
      <w:pPr>
        <w:jc w:val="center"/>
      </w:pPr>
      <w:r>
        <w:t>______________</w:t>
      </w:r>
    </w:p>
    <w:sectPr w:rsidR="004344B0" w:rsidSect="00D7768D">
      <w:headerReference w:type="even" r:id="rId18"/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96247" w14:textId="77777777" w:rsidR="00EB0890" w:rsidRDefault="00EB0890">
      <w:r>
        <w:separator/>
      </w:r>
    </w:p>
  </w:endnote>
  <w:endnote w:type="continuationSeparator" w:id="0">
    <w:p w14:paraId="59D7B7FA" w14:textId="77777777"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¨¬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3FC50" w14:textId="77777777" w:rsidR="00EA3AD3" w:rsidRDefault="00EA3A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5300A" w14:textId="77777777" w:rsidR="00EA3AD3" w:rsidRDefault="00EA3A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4763A" w14:textId="77777777" w:rsidR="00EA3AD3" w:rsidRDefault="00EA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02771" w14:textId="77777777" w:rsidR="00EB0890" w:rsidRDefault="00EB0890">
      <w:r>
        <w:separator/>
      </w:r>
    </w:p>
  </w:footnote>
  <w:footnote w:type="continuationSeparator" w:id="0">
    <w:p w14:paraId="51C52BA6" w14:textId="77777777" w:rsidR="00EB0890" w:rsidRDefault="00EB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4FCF4" w14:textId="77777777"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A790D" w14:textId="77777777"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5F2D67E6" wp14:editId="6BF7CD2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F0C57" w14:textId="77777777" w:rsidR="00EA3AD3" w:rsidRDefault="00EA3A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C2A23" w14:textId="21AD7B9E"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C497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33380">
      <w:rPr>
        <w:b/>
        <w:bCs/>
        <w:noProof/>
        <w:szCs w:val="22"/>
        <w:lang w:val="en-US"/>
      </w:rPr>
      <w:t>МСЭ-R  M.1901-2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E4287" w14:textId="7F639BBC"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33380">
      <w:rPr>
        <w:b/>
        <w:bCs/>
        <w:noProof/>
      </w:rPr>
      <w:t>МСЭ-R  M.1901-2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04DC"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E5C14" w14:textId="4AFB5B55" w:rsidR="00EA3AD3" w:rsidRPr="00D60894" w:rsidRDefault="00EA3AD3" w:rsidP="00EA3AD3">
    <w:pPr>
      <w:pStyle w:val="Header"/>
      <w:tabs>
        <w:tab w:val="clear" w:pos="4848"/>
        <w:tab w:val="clear" w:pos="9696"/>
        <w:tab w:val="center" w:pos="4820"/>
      </w:tabs>
      <w:jc w:val="left"/>
    </w:pPr>
    <w:r w:rsidRPr="00E4735A">
      <w:rPr>
        <w:rStyle w:val="PageNumber"/>
        <w:b/>
        <w:bCs/>
        <w:szCs w:val="22"/>
      </w:rPr>
      <w:fldChar w:fldCharType="begin"/>
    </w:r>
    <w:r w:rsidRPr="00E4735A">
      <w:rPr>
        <w:rStyle w:val="PageNumber"/>
        <w:b/>
        <w:bCs/>
        <w:szCs w:val="22"/>
        <w:lang w:val="en-US"/>
      </w:rPr>
      <w:instrText xml:space="preserve"> PAGE </w:instrText>
    </w:r>
    <w:r w:rsidRPr="00E4735A">
      <w:rPr>
        <w:rStyle w:val="PageNumber"/>
        <w:b/>
        <w:bCs/>
        <w:szCs w:val="22"/>
      </w:rPr>
      <w:fldChar w:fldCharType="separate"/>
    </w:r>
    <w:r w:rsidR="000C4972">
      <w:rPr>
        <w:rStyle w:val="PageNumber"/>
        <w:b/>
        <w:bCs/>
        <w:noProof/>
        <w:szCs w:val="22"/>
        <w:lang w:val="en-US"/>
      </w:rPr>
      <w:t>50</w:t>
    </w:r>
    <w:r w:rsidRPr="00E4735A">
      <w:rPr>
        <w:rStyle w:val="PageNumber"/>
        <w:b/>
        <w:bCs/>
        <w:szCs w:val="22"/>
      </w:rPr>
      <w:fldChar w:fldCharType="end"/>
    </w:r>
    <w:r w:rsidRPr="00E4735A">
      <w:rPr>
        <w:szCs w:val="22"/>
        <w:lang w:val="en-US"/>
      </w:rPr>
      <w:tab/>
    </w:r>
    <w:r w:rsidR="00320A8C" w:rsidRPr="00553C5F">
      <w:rPr>
        <w:b/>
        <w:szCs w:val="22"/>
        <w:lang w:val="ru-RU"/>
      </w:rPr>
      <w:t>Рек.</w:t>
    </w:r>
    <w:r w:rsidR="00320A8C" w:rsidRPr="00553C5F">
      <w:rPr>
        <w:b/>
        <w:szCs w:val="22"/>
        <w:lang w:val="en-US"/>
      </w:rPr>
      <w:t xml:space="preserve"> </w:t>
    </w:r>
    <w:r w:rsidR="00320A8C" w:rsidRPr="00553C5F">
      <w:rPr>
        <w:b/>
        <w:szCs w:val="22"/>
        <w:lang w:val="ru-RU"/>
      </w:rPr>
      <w:t xml:space="preserve"> </w:t>
    </w:r>
    <w:r w:rsidR="00320A8C">
      <w:rPr>
        <w:b/>
        <w:bCs/>
      </w:rPr>
      <w:fldChar w:fldCharType="begin"/>
    </w:r>
    <w:r w:rsidR="00320A8C">
      <w:rPr>
        <w:b/>
        <w:bCs/>
      </w:rPr>
      <w:instrText>styleref href</w:instrText>
    </w:r>
    <w:r w:rsidR="00320A8C">
      <w:rPr>
        <w:b/>
        <w:bCs/>
      </w:rPr>
      <w:fldChar w:fldCharType="separate"/>
    </w:r>
    <w:r w:rsidR="00533380">
      <w:rPr>
        <w:b/>
        <w:bCs/>
        <w:noProof/>
      </w:rPr>
      <w:t>МСЭ-R  M.1901-2</w:t>
    </w:r>
    <w:r w:rsidR="00320A8C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6953A" w14:textId="2A16BA1D"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33380">
      <w:rPr>
        <w:b/>
        <w:bCs/>
        <w:noProof/>
        <w:szCs w:val="22"/>
        <w:lang w:val="en-US"/>
      </w:rPr>
      <w:t>МСЭ-R  M.1901-2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C4972"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45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31900"/>
    <w:rsid w:val="00147110"/>
    <w:rsid w:val="001511A6"/>
    <w:rsid w:val="00167482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20A8C"/>
    <w:rsid w:val="00356B5D"/>
    <w:rsid w:val="003646F2"/>
    <w:rsid w:val="003804DC"/>
    <w:rsid w:val="00387A7D"/>
    <w:rsid w:val="003C38BA"/>
    <w:rsid w:val="00420DFD"/>
    <w:rsid w:val="004344B0"/>
    <w:rsid w:val="00437A76"/>
    <w:rsid w:val="00470E28"/>
    <w:rsid w:val="00475345"/>
    <w:rsid w:val="004934C5"/>
    <w:rsid w:val="004D14DC"/>
    <w:rsid w:val="004F1F5C"/>
    <w:rsid w:val="00533380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7768D"/>
    <w:rsid w:val="00D83556"/>
    <w:rsid w:val="00DF4176"/>
    <w:rsid w:val="00E17240"/>
    <w:rsid w:val="00E44309"/>
    <w:rsid w:val="00E74595"/>
    <w:rsid w:val="00EA3AD3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0765B0D6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  <w:style w:type="paragraph" w:customStyle="1" w:styleId="3372873BB58A4DED866D2BE34882C06C">
    <w:name w:val="3372873BB58A4DED866D2BE34882C06C"/>
    <w:rsid w:val="00EA3AD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Rectitle0">
    <w:name w:val="Rec_title Знак"/>
    <w:locked/>
    <w:rsid w:val="004344B0"/>
    <w:rPr>
      <w:b/>
      <w:sz w:val="26"/>
      <w:lang w:val="fr-FR" w:eastAsia="en-US"/>
    </w:rPr>
  </w:style>
  <w:style w:type="character" w:customStyle="1" w:styleId="TableNoChar">
    <w:name w:val="Table_No Char"/>
    <w:locked/>
    <w:rsid w:val="004344B0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4344B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en" TargetMode="Externa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4770-540D-437F-8905-CA0EE7C1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8</Pages>
  <Words>2496</Words>
  <Characters>16854</Characters>
  <Application>Microsoft Office Word</Application>
  <DocSecurity>0</DocSecurity>
  <Lines>991</Lines>
  <Paragraphs>372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18978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2020-06-04T12:27:00Z</cp:lastPrinted>
  <dcterms:created xsi:type="dcterms:W3CDTF">2020-06-04T12:19:00Z</dcterms:created>
  <dcterms:modified xsi:type="dcterms:W3CDTF">2020-06-04T12:30:00Z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