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59415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594157">
              <w:rPr>
                <w:rFonts w:ascii="Tahoma" w:hAnsi="Tahoma" w:cs="Tahoma"/>
                <w:b/>
                <w:bCs/>
                <w:iCs/>
                <w:color w:val="243285"/>
                <w:sz w:val="36"/>
                <w:szCs w:val="36"/>
              </w:rPr>
              <w:t>1904</w:t>
            </w:r>
          </w:p>
          <w:p w:rsidR="00FE79FE" w:rsidRPr="004F65E4" w:rsidRDefault="00FE79FE" w:rsidP="0059415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94157">
              <w:rPr>
                <w:rFonts w:ascii="Tahoma" w:hAnsi="Tahoma" w:cs="Tahoma"/>
                <w:b/>
                <w:bCs/>
                <w:iCs/>
                <w:color w:val="243285"/>
                <w:szCs w:val="24"/>
              </w:rPr>
              <w:t>01</w:t>
            </w:r>
            <w:r w:rsidRPr="004F65E4">
              <w:rPr>
                <w:rFonts w:ascii="Tahoma" w:hAnsi="Tahoma" w:cs="Tahoma"/>
                <w:b/>
                <w:bCs/>
                <w:iCs/>
                <w:color w:val="243285"/>
                <w:szCs w:val="24"/>
              </w:rPr>
              <w:t>/</w:t>
            </w:r>
            <w:r w:rsidR="00594157">
              <w:rPr>
                <w:rFonts w:ascii="Tahoma" w:hAnsi="Tahoma" w:cs="Tahoma"/>
                <w:b/>
                <w:bCs/>
                <w:iCs/>
                <w:color w:val="243285"/>
                <w:szCs w:val="24"/>
              </w:rPr>
              <w:t>2012</w:t>
            </w:r>
            <w:r w:rsidRPr="004F65E4">
              <w:rPr>
                <w:rFonts w:ascii="Tahoma" w:hAnsi="Tahoma" w:cs="Tahoma"/>
                <w:b/>
                <w:bCs/>
                <w:iCs/>
                <w:color w:val="243285"/>
                <w:szCs w:val="24"/>
              </w:rPr>
              <w:t>)</w:t>
            </w:r>
          </w:p>
        </w:tc>
      </w:tr>
      <w:tr w:rsidR="00FE79FE" w:rsidRPr="009A4B78">
        <w:tc>
          <w:tcPr>
            <w:tcW w:w="10089" w:type="dxa"/>
          </w:tcPr>
          <w:p w:rsidR="00013002" w:rsidRPr="00014C5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94157" w:rsidP="00594157">
            <w:pPr>
              <w:spacing w:before="80" w:line="500" w:lineRule="exact"/>
              <w:jc w:val="right"/>
              <w:rPr>
                <w:rFonts w:ascii="Tahoma" w:hAnsi="Tahoma" w:cs="Tahoma"/>
                <w:b/>
                <w:bCs/>
                <w:iCs/>
                <w:color w:val="243285"/>
                <w:sz w:val="44"/>
                <w:szCs w:val="44"/>
                <w:lang w:val="en-US"/>
              </w:rPr>
            </w:pPr>
            <w:r w:rsidRPr="00594157">
              <w:rPr>
                <w:rFonts w:ascii="Tahoma" w:hAnsi="Tahoma" w:cs="Tahoma"/>
                <w:b/>
                <w:bCs/>
                <w:iCs/>
                <w:color w:val="243285"/>
                <w:sz w:val="44"/>
                <w:szCs w:val="44"/>
                <w:lang w:val="en-US"/>
              </w:rPr>
              <w:t>Characteristics, performance requirements and protection criteria for receiving stations of the radionavigation-satellite service (space-to-space) operating in the frequency bands 1 164-1 215 MHz, 1 215-1 300 MHz and 1 559-1 610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594157" w:rsidRDefault="00FD15CF" w:rsidP="00FD15CF">
            <w:pPr>
              <w:spacing w:before="80" w:line="280" w:lineRule="exact"/>
              <w:ind w:right="640"/>
              <w:rPr>
                <w:rFonts w:ascii="Tahoma" w:hAnsi="Tahoma" w:cs="Tahoma"/>
                <w:b/>
                <w:bCs/>
                <w:iCs/>
                <w:color w:val="243285"/>
                <w:sz w:val="32"/>
                <w:szCs w:val="32"/>
                <w:lang w:val="en-US"/>
              </w:rPr>
            </w:pPr>
          </w:p>
          <w:p w:rsidR="00FD15CF" w:rsidRPr="00594157"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9A4B7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9A4B7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9A4B7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9A4B7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A4B7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9A4B7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9A4B78">
        <w:rPr>
          <w:sz w:val="20"/>
          <w:lang w:val="en-US"/>
        </w:rPr>
        <w:t>2</w:t>
      </w:r>
    </w:p>
    <w:p w:rsidR="00470E28" w:rsidRDefault="00470E28" w:rsidP="00906589">
      <w:pPr>
        <w:jc w:val="center"/>
        <w:rPr>
          <w:sz w:val="22"/>
          <w:lang w:val="en-US"/>
        </w:rPr>
      </w:pPr>
    </w:p>
    <w:p w:rsidR="00586EF8" w:rsidRPr="00470E28" w:rsidRDefault="00586EF8" w:rsidP="009A4B7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9A4B78">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94157" w:rsidRDefault="00934ED7" w:rsidP="0059415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594157">
        <w:rPr>
          <w:rStyle w:val="href"/>
          <w:lang w:val="en-US"/>
        </w:rPr>
        <w:t>1904</w:t>
      </w:r>
    </w:p>
    <w:p w:rsidR="00594157" w:rsidRPr="00594157" w:rsidRDefault="00594157" w:rsidP="00594157">
      <w:pPr>
        <w:pStyle w:val="Rectitle"/>
        <w:rPr>
          <w:lang w:val="en-US"/>
        </w:rPr>
      </w:pPr>
      <w:r w:rsidRPr="00594157">
        <w:rPr>
          <w:lang w:val="en-US"/>
        </w:rPr>
        <w:t>Characteristics, performance requirements and protection criteria for receiving stations of the radionavigation-satellite service (space-to-space) operating in the frequency bands 1 164-1 215 MHz, 1 215-1 300 MHz and 1 559-1 610 MHz</w:t>
      </w:r>
    </w:p>
    <w:p w:rsidR="00594157" w:rsidRPr="00594157" w:rsidRDefault="00594157" w:rsidP="00594157">
      <w:pPr>
        <w:pStyle w:val="Recref"/>
        <w:rPr>
          <w:lang w:val="en-US"/>
        </w:rPr>
      </w:pPr>
      <w:r w:rsidRPr="00594157">
        <w:rPr>
          <w:lang w:val="en-US"/>
        </w:rPr>
        <w:t>(Questions ITU</w:t>
      </w:r>
      <w:r w:rsidRPr="00594157">
        <w:rPr>
          <w:lang w:val="en-US"/>
        </w:rPr>
        <w:noBreakHyphen/>
        <w:t>R 217-2/4 and ITU</w:t>
      </w:r>
      <w:r w:rsidRPr="00594157">
        <w:rPr>
          <w:lang w:val="en-US"/>
        </w:rPr>
        <w:noBreakHyphen/>
        <w:t>R 288/4)</w:t>
      </w:r>
    </w:p>
    <w:p w:rsidR="00594157" w:rsidRPr="00594157" w:rsidRDefault="003606CD" w:rsidP="00594157">
      <w:pPr>
        <w:pStyle w:val="Recdate"/>
        <w:rPr>
          <w:lang w:val="en-US"/>
        </w:rPr>
      </w:pPr>
      <w:r>
        <w:rPr>
          <w:lang w:val="en-US"/>
        </w:rPr>
        <w:t>(2012)</w:t>
      </w:r>
    </w:p>
    <w:p w:rsidR="00594157" w:rsidRPr="00594157" w:rsidRDefault="00594157" w:rsidP="00594157">
      <w:pPr>
        <w:pStyle w:val="Headingb"/>
        <w:rPr>
          <w:sz w:val="22"/>
          <w:szCs w:val="22"/>
          <w:lang w:val="en-US"/>
        </w:rPr>
      </w:pPr>
      <w:r w:rsidRPr="00594157">
        <w:rPr>
          <w:sz w:val="22"/>
          <w:szCs w:val="22"/>
          <w:lang w:val="en-US"/>
        </w:rPr>
        <w:t>Scope</w:t>
      </w:r>
    </w:p>
    <w:p w:rsidR="00594157" w:rsidRPr="00594157" w:rsidRDefault="00594157" w:rsidP="00594157">
      <w:pPr>
        <w:rPr>
          <w:sz w:val="22"/>
          <w:szCs w:val="22"/>
          <w:lang w:val="en-US"/>
        </w:rPr>
      </w:pPr>
      <w:r w:rsidRPr="00594157">
        <w:rPr>
          <w:sz w:val="22"/>
          <w:szCs w:val="22"/>
          <w:lang w:val="en-US"/>
        </w:rPr>
        <w:t>The characteristics and protection criteria for radionavigation-satellite service (RNSS) spaceborne receivers are presented in this Recommendation. This information is intended for performing analyses of radio-frequency interference impact on RNSS receivers operating space-to-space in the bands 1 164-1 215 MHz, 1 215-1 300 MHz and 1 559</w:t>
      </w:r>
      <w:r w:rsidRPr="00594157">
        <w:rPr>
          <w:sz w:val="22"/>
          <w:szCs w:val="22"/>
          <w:lang w:val="en-US"/>
        </w:rPr>
        <w:noBreakHyphen/>
        <w:t>1 610 MHz from emissions of non-RNSS sources.</w:t>
      </w:r>
    </w:p>
    <w:p w:rsidR="00594157" w:rsidRPr="008D673A" w:rsidRDefault="00594157" w:rsidP="00594157">
      <w:pPr>
        <w:pStyle w:val="Normalaftertitle"/>
        <w:rPr>
          <w:rFonts w:eastAsia="MS Mincho"/>
          <w:lang w:eastAsia="en-AU"/>
        </w:rPr>
      </w:pPr>
      <w:r w:rsidRPr="008D673A">
        <w:rPr>
          <w:rFonts w:eastAsia="MS Mincho"/>
          <w:lang w:eastAsia="en-AU"/>
        </w:rPr>
        <w:t>The ITU Radiocommunication Assembly,</w:t>
      </w:r>
    </w:p>
    <w:p w:rsidR="00594157" w:rsidRPr="00594157" w:rsidRDefault="00594157" w:rsidP="00594157">
      <w:pPr>
        <w:pStyle w:val="Call"/>
        <w:rPr>
          <w:lang w:val="en-US"/>
        </w:rPr>
      </w:pPr>
      <w:r w:rsidRPr="00594157">
        <w:rPr>
          <w:lang w:val="en-US"/>
        </w:rPr>
        <w:t>considering</w:t>
      </w:r>
    </w:p>
    <w:p w:rsidR="00594157" w:rsidRPr="00594157" w:rsidRDefault="00594157" w:rsidP="00594157">
      <w:pPr>
        <w:rPr>
          <w:lang w:val="en-US"/>
        </w:rPr>
      </w:pPr>
      <w:r w:rsidRPr="00594157">
        <w:rPr>
          <w:lang w:val="en-US"/>
        </w:rPr>
        <w:t>a)</w:t>
      </w:r>
      <w:r w:rsidRPr="00594157">
        <w:rPr>
          <w:lang w:val="en-US"/>
        </w:rPr>
        <w:tab/>
        <w:t>that spaceborne receivers of the RNSS, making use of existing or planned RNSS transmissions in the bands 1 164-1 215 MHz, 1 215-1 300 MHz and 1 559-1 610 MHz, are already in operation or are planned for operation on spacecraft by various satellite networks and systems;</w:t>
      </w:r>
    </w:p>
    <w:p w:rsidR="00594157" w:rsidRPr="00594157" w:rsidRDefault="00594157" w:rsidP="00594157">
      <w:pPr>
        <w:rPr>
          <w:lang w:val="en-US"/>
        </w:rPr>
      </w:pPr>
      <w:r w:rsidRPr="00594157">
        <w:rPr>
          <w:lang w:val="en-US"/>
        </w:rPr>
        <w:t>b)</w:t>
      </w:r>
      <w:r w:rsidRPr="00594157">
        <w:rPr>
          <w:lang w:val="en-US"/>
        </w:rPr>
        <w:tab/>
        <w:t>that RNSS downlink emissions in the bands 1 164-1 215 MHz, 1 215-1 300 MHz and 1 559-1 610 MHz can also be used for space-to-space applications (e.g. spacecraft positioning), without using additional spectrum resources;</w:t>
      </w:r>
    </w:p>
    <w:p w:rsidR="00594157" w:rsidRPr="00594157" w:rsidRDefault="00594157" w:rsidP="003606CD">
      <w:pPr>
        <w:rPr>
          <w:lang w:val="en-US"/>
        </w:rPr>
      </w:pPr>
      <w:r w:rsidRPr="00594157">
        <w:rPr>
          <w:lang w:val="en-US"/>
        </w:rPr>
        <w:t>c)</w:t>
      </w:r>
      <w:r w:rsidRPr="00594157">
        <w:rPr>
          <w:lang w:val="en-US"/>
        </w:rPr>
        <w:tab/>
        <w:t>that Recommendation ITU</w:t>
      </w:r>
      <w:r w:rsidRPr="00594157">
        <w:rPr>
          <w:lang w:val="en-US"/>
        </w:rPr>
        <w:noBreakHyphen/>
        <w:t>R M.1787 provides information on signal characteristics of RNSS systems and networks, and Recommendations ITU</w:t>
      </w:r>
      <w:r w:rsidRPr="00594157">
        <w:rPr>
          <w:lang w:val="en-US"/>
        </w:rPr>
        <w:noBreakHyphen/>
        <w:t>R M.</w:t>
      </w:r>
      <w:r w:rsidR="003606CD">
        <w:rPr>
          <w:lang w:val="en-US"/>
        </w:rPr>
        <w:t>1905</w:t>
      </w:r>
      <w:r w:rsidRPr="00594157">
        <w:rPr>
          <w:lang w:val="en-US"/>
        </w:rPr>
        <w:t>, ITU</w:t>
      </w:r>
      <w:r w:rsidRPr="00594157">
        <w:rPr>
          <w:lang w:val="en-US"/>
        </w:rPr>
        <w:noBreakHyphen/>
        <w:t>R M.</w:t>
      </w:r>
      <w:r w:rsidR="003606CD">
        <w:rPr>
          <w:lang w:val="en-US"/>
        </w:rPr>
        <w:t>1902</w:t>
      </w:r>
      <w:r w:rsidRPr="00594157">
        <w:rPr>
          <w:lang w:val="en-US"/>
        </w:rPr>
        <w:t xml:space="preserve"> and ITU</w:t>
      </w:r>
      <w:r w:rsidRPr="00594157">
        <w:rPr>
          <w:lang w:val="en-US"/>
        </w:rPr>
        <w:noBreakHyphen/>
        <w:t>R M.</w:t>
      </w:r>
      <w:r w:rsidR="003606CD">
        <w:rPr>
          <w:lang w:val="en-US"/>
        </w:rPr>
        <w:t>1903</w:t>
      </w:r>
      <w:r w:rsidRPr="00594157">
        <w:rPr>
          <w:lang w:val="en-US"/>
        </w:rPr>
        <w:t xml:space="preserve"> provide information on technical and performance characteristics of RNSS receivers for RNSS systems and networks;</w:t>
      </w:r>
    </w:p>
    <w:p w:rsidR="00594157" w:rsidRPr="00594157" w:rsidRDefault="00594157" w:rsidP="003606CD">
      <w:pPr>
        <w:rPr>
          <w:lang w:val="en-US"/>
        </w:rPr>
      </w:pPr>
      <w:r w:rsidRPr="00594157">
        <w:rPr>
          <w:lang w:val="en-US"/>
        </w:rPr>
        <w:t>d)</w:t>
      </w:r>
      <w:r w:rsidRPr="00594157">
        <w:rPr>
          <w:lang w:val="en-US"/>
        </w:rPr>
        <w:tab/>
        <w:t>that Recommendation ITU</w:t>
      </w:r>
      <w:r w:rsidRPr="00594157">
        <w:rPr>
          <w:lang w:val="en-US"/>
        </w:rPr>
        <w:noBreakHyphen/>
        <w:t>R M.</w:t>
      </w:r>
      <w:r w:rsidR="003606CD">
        <w:rPr>
          <w:lang w:val="en-US"/>
        </w:rPr>
        <w:t>1901</w:t>
      </w:r>
      <w:r w:rsidRPr="00594157">
        <w:rPr>
          <w:lang w:val="en-US"/>
        </w:rPr>
        <w:t xml:space="preserve"> provides guidance on this and other ITU</w:t>
      </w:r>
      <w:r w:rsidRPr="00594157">
        <w:rPr>
          <w:lang w:val="en-US"/>
        </w:rPr>
        <w:noBreakHyphen/>
        <w:t xml:space="preserve">R Recommendations related to systems and networks in the </w:t>
      </w:r>
      <w:r w:rsidR="003606CD">
        <w:rPr>
          <w:lang w:val="en-US"/>
        </w:rPr>
        <w:t xml:space="preserve">RNSS </w:t>
      </w:r>
      <w:r w:rsidRPr="00594157">
        <w:rPr>
          <w:lang w:val="en-US"/>
        </w:rPr>
        <w:t>operating in the frequency bands 1 164-1 215 MHz, 1 215-1 300 MHz, 1 559-1 610 MHz, 5 000-5 010 MHz and 5 010</w:t>
      </w:r>
      <w:r w:rsidRPr="00594157">
        <w:rPr>
          <w:lang w:val="en-US"/>
        </w:rPr>
        <w:noBreakHyphen/>
        <w:t>5 030 MHz,</w:t>
      </w:r>
    </w:p>
    <w:p w:rsidR="00594157" w:rsidRPr="00594157" w:rsidRDefault="00594157" w:rsidP="00594157">
      <w:pPr>
        <w:pStyle w:val="Call"/>
        <w:rPr>
          <w:lang w:val="en-US"/>
        </w:rPr>
      </w:pPr>
      <w:r w:rsidRPr="00594157">
        <w:rPr>
          <w:lang w:val="en-US"/>
        </w:rPr>
        <w:t>recognizing</w:t>
      </w:r>
    </w:p>
    <w:p w:rsidR="00594157" w:rsidRPr="00594157" w:rsidRDefault="00594157" w:rsidP="00594157">
      <w:pPr>
        <w:rPr>
          <w:lang w:val="en-US"/>
        </w:rPr>
      </w:pPr>
      <w:r w:rsidRPr="00594157">
        <w:rPr>
          <w:lang w:val="en-US"/>
        </w:rPr>
        <w:t>a)</w:t>
      </w:r>
      <w:r w:rsidRPr="00594157">
        <w:rPr>
          <w:lang w:val="en-US"/>
        </w:rPr>
        <w:tab/>
        <w:t>that the bands 1 164-1 215 MHz, 1 215-1 300 MHz and 1 559-1 610 MHz are allocated on a primary basis to RNSS (space-to-Earth) (space-to-space) in all three Regions;</w:t>
      </w:r>
    </w:p>
    <w:p w:rsidR="00594157" w:rsidRPr="00594157" w:rsidRDefault="00594157" w:rsidP="00594157">
      <w:pPr>
        <w:rPr>
          <w:lang w:val="en-US"/>
        </w:rPr>
      </w:pPr>
      <w:r w:rsidRPr="00594157">
        <w:rPr>
          <w:lang w:val="en-US"/>
        </w:rPr>
        <w:t>b)</w:t>
      </w:r>
      <w:r w:rsidRPr="00594157">
        <w:rPr>
          <w:lang w:val="en-US"/>
        </w:rPr>
        <w:tab/>
        <w:t>that under Radio Regulations No. </w:t>
      </w:r>
      <w:r w:rsidRPr="003606CD">
        <w:rPr>
          <w:b/>
          <w:bCs/>
          <w:lang w:val="en-US"/>
        </w:rPr>
        <w:t>5.329A</w:t>
      </w:r>
      <w:r w:rsidRPr="00594157">
        <w:rPr>
          <w:lang w:val="en-US"/>
        </w:rPr>
        <w:t>, “use of systems in the radionavigation-satellite service (space-to-space) operating in the bands 1 215-1 300 MHz and 1 559-1 610 MHz is not intended to provide safety service applications, and shall not impose any additional constraints on other systems or services operating in accordance with the Table”;</w:t>
      </w:r>
    </w:p>
    <w:p w:rsidR="00594157" w:rsidRPr="00594157" w:rsidRDefault="00594157" w:rsidP="00594157">
      <w:pPr>
        <w:rPr>
          <w:lang w:val="en-US"/>
        </w:rPr>
      </w:pPr>
      <w:r w:rsidRPr="00594157">
        <w:rPr>
          <w:lang w:val="en-US"/>
        </w:rPr>
        <w:t>c)</w:t>
      </w:r>
      <w:r w:rsidRPr="00594157">
        <w:rPr>
          <w:lang w:val="en-US"/>
        </w:rPr>
        <w:tab/>
        <w:t>that the bands 1 164-1 215 MHz, 1 215-1 300 MHz and 1 559-1 610 MHz are also allocated on a primary basis to other services in all three Regions,</w:t>
      </w:r>
    </w:p>
    <w:p w:rsidR="00594157" w:rsidRPr="00594157" w:rsidRDefault="00594157" w:rsidP="00594157">
      <w:pPr>
        <w:pStyle w:val="Call"/>
        <w:rPr>
          <w:lang w:val="en-US"/>
        </w:rPr>
      </w:pPr>
      <w:r w:rsidRPr="00594157">
        <w:rPr>
          <w:lang w:val="en-US"/>
        </w:rPr>
        <w:t>recommends</w:t>
      </w:r>
    </w:p>
    <w:p w:rsidR="00594157" w:rsidRPr="00594157" w:rsidRDefault="00594157" w:rsidP="003606CD">
      <w:pPr>
        <w:rPr>
          <w:lang w:val="en-US"/>
        </w:rPr>
      </w:pPr>
      <w:r w:rsidRPr="00594157">
        <w:rPr>
          <w:b/>
          <w:bCs/>
          <w:lang w:val="en-US"/>
        </w:rPr>
        <w:t>1</w:t>
      </w:r>
      <w:r w:rsidRPr="00594157">
        <w:rPr>
          <w:lang w:val="en-US"/>
        </w:rPr>
        <w:tab/>
        <w:t>that the RNSS receiver characteristics and protection criteria given in Annexes 1, 2 and 3 should be used in performing analyses of radio-frequency interference to spaceborne RNSS receivers operating (space-to-space) in the bands 1 164-1 215 MHz, 1 215-1 300 MHz and 1 559</w:t>
      </w:r>
      <w:r w:rsidR="003606CD">
        <w:rPr>
          <w:lang w:val="en-US"/>
        </w:rPr>
        <w:noBreakHyphen/>
      </w:r>
      <w:r w:rsidRPr="00594157">
        <w:rPr>
          <w:lang w:val="en-US"/>
        </w:rPr>
        <w:t xml:space="preserve">1 610 MHz from non-RNSS sources; </w:t>
      </w:r>
    </w:p>
    <w:p w:rsidR="00594157" w:rsidRPr="00594157" w:rsidRDefault="00594157" w:rsidP="00594157">
      <w:pPr>
        <w:rPr>
          <w:lang w:val="en-US"/>
        </w:rPr>
      </w:pPr>
      <w:r w:rsidRPr="00594157">
        <w:rPr>
          <w:b/>
          <w:bCs/>
          <w:lang w:val="en-US"/>
        </w:rPr>
        <w:t>2</w:t>
      </w:r>
      <w:r w:rsidRPr="00594157">
        <w:rPr>
          <w:lang w:val="en-US"/>
        </w:rPr>
        <w:tab/>
        <w:t>that the aggregate interference power thresholds given in the Annexes may be used in interference calculations for radionavigation receivers on board satellites;</w:t>
      </w:r>
    </w:p>
    <w:p w:rsidR="00594157" w:rsidRPr="00594157" w:rsidRDefault="00594157" w:rsidP="00594157">
      <w:pPr>
        <w:rPr>
          <w:lang w:val="en-US"/>
        </w:rPr>
      </w:pPr>
      <w:r w:rsidRPr="00594157">
        <w:rPr>
          <w:b/>
          <w:bCs/>
          <w:lang w:val="en-US"/>
        </w:rPr>
        <w:lastRenderedPageBreak/>
        <w:t>3</w:t>
      </w:r>
      <w:r w:rsidRPr="00594157">
        <w:rPr>
          <w:lang w:val="en-US"/>
        </w:rPr>
        <w:tab/>
        <w:t>that the requirements given in Annexes 1, 2 and 3 together with other characteristics of the RNSS systems may be used in interference calculations for spaceborne RNSS receivers at higher altitudes;</w:t>
      </w:r>
    </w:p>
    <w:p w:rsidR="00594157" w:rsidRPr="00594157" w:rsidRDefault="00594157" w:rsidP="00594157">
      <w:pPr>
        <w:rPr>
          <w:snapToGrid w:val="0"/>
          <w:lang w:val="en-US"/>
        </w:rPr>
      </w:pPr>
      <w:r w:rsidRPr="00594157">
        <w:rPr>
          <w:b/>
          <w:bCs/>
          <w:lang w:val="en-US"/>
        </w:rPr>
        <w:t>4</w:t>
      </w:r>
      <w:r w:rsidRPr="00594157">
        <w:rPr>
          <w:lang w:val="en-US"/>
        </w:rPr>
        <w:tab/>
        <w:t>that in cases where the aggregate interference power thresholds given in the Annexes are exceeded, the requirements given in Annexes 1, 2 and 3 together with other characteristics of the RNSS systems may be used in interference calculations for spaceborne RNSS receivers;</w:t>
      </w:r>
    </w:p>
    <w:p w:rsidR="00594157" w:rsidRPr="00594157" w:rsidRDefault="00594157" w:rsidP="00594157">
      <w:pPr>
        <w:rPr>
          <w:lang w:val="en-US"/>
        </w:rPr>
      </w:pPr>
      <w:r w:rsidRPr="00594157">
        <w:rPr>
          <w:b/>
          <w:bCs/>
          <w:lang w:val="en-US"/>
        </w:rPr>
        <w:t>5</w:t>
      </w:r>
      <w:r w:rsidRPr="00594157">
        <w:rPr>
          <w:lang w:val="en-US"/>
        </w:rPr>
        <w:tab/>
        <w:t>that the following Note should be considered as part of this Recommendation.</w:t>
      </w:r>
    </w:p>
    <w:p w:rsidR="00594157" w:rsidRPr="003606CD" w:rsidRDefault="00594157" w:rsidP="003606CD">
      <w:pPr>
        <w:pStyle w:val="Note"/>
        <w:rPr>
          <w:sz w:val="24"/>
          <w:szCs w:val="24"/>
          <w:lang w:val="en-US"/>
        </w:rPr>
      </w:pPr>
      <w:r w:rsidRPr="003606CD">
        <w:rPr>
          <w:sz w:val="24"/>
          <w:szCs w:val="24"/>
          <w:lang w:val="en-US"/>
        </w:rPr>
        <w:t>NOTE − This Recommendation is not intended to be used to form the basis for future modifications to maximum unwanted emission levels for the band 1 559-1 610 MHz that are stated in the Annexes to Recommendations ITU</w:t>
      </w:r>
      <w:r w:rsidRPr="003606CD">
        <w:rPr>
          <w:sz w:val="24"/>
          <w:szCs w:val="24"/>
          <w:lang w:val="en-US"/>
        </w:rPr>
        <w:noBreakHyphen/>
        <w:t>R M.1343-1 and ITU</w:t>
      </w:r>
      <w:r w:rsidRPr="003606CD">
        <w:rPr>
          <w:sz w:val="24"/>
          <w:szCs w:val="24"/>
          <w:lang w:val="en-US"/>
        </w:rPr>
        <w:noBreakHyphen/>
        <w:t>R M.1480 for MSS MESs. The maximum unwanted emission levels for the band 1 559-1 610 MHz stated in Recommendations ITU</w:t>
      </w:r>
      <w:r w:rsidRPr="003606CD">
        <w:rPr>
          <w:sz w:val="24"/>
          <w:szCs w:val="24"/>
          <w:lang w:val="en-US"/>
        </w:rPr>
        <w:noBreakHyphen/>
        <w:t>R M.1343-1 and ITU</w:t>
      </w:r>
      <w:r w:rsidRPr="003606CD">
        <w:rPr>
          <w:sz w:val="24"/>
          <w:szCs w:val="24"/>
          <w:lang w:val="en-US"/>
        </w:rPr>
        <w:noBreakHyphen/>
        <w:t>R M.1480 have been developed pursuant to a specific interference scenario, and are not intended to be applied to any service other than MSS MESs operating in the 1</w:t>
      </w:r>
      <w:r w:rsidRPr="003606CD">
        <w:rPr>
          <w:sz w:val="24"/>
          <w:szCs w:val="24"/>
          <w:lang w:val="en-US"/>
        </w:rPr>
        <w:noBreakHyphen/>
        <w:t>3 GHz range without further study.</w:t>
      </w:r>
    </w:p>
    <w:p w:rsidR="00594157" w:rsidRDefault="00594157" w:rsidP="00594157">
      <w:pPr>
        <w:rPr>
          <w:rFonts w:ascii="Tahoma" w:hAnsi="Tahoma" w:cs="Tahoma"/>
          <w:lang w:val="en-US"/>
        </w:rPr>
      </w:pPr>
    </w:p>
    <w:p w:rsidR="00A108D0" w:rsidRPr="00594157" w:rsidRDefault="00A108D0" w:rsidP="00594157">
      <w:pPr>
        <w:rPr>
          <w:rFonts w:ascii="Tahoma" w:hAnsi="Tahoma" w:cs="Tahoma"/>
          <w:lang w:val="en-US"/>
        </w:rPr>
      </w:pPr>
    </w:p>
    <w:p w:rsidR="00594157" w:rsidRPr="003606CD" w:rsidRDefault="00594157" w:rsidP="003606CD">
      <w:pPr>
        <w:pStyle w:val="AnnexNoTitle"/>
        <w:rPr>
          <w:lang w:val="en-US"/>
        </w:rPr>
      </w:pPr>
      <w:r w:rsidRPr="003606CD">
        <w:rPr>
          <w:lang w:val="en-US"/>
        </w:rPr>
        <w:t>Annex 1</w:t>
      </w:r>
      <w:r w:rsidR="003606CD" w:rsidRPr="003606CD">
        <w:rPr>
          <w:lang w:val="en-US"/>
        </w:rPr>
        <w:br/>
      </w:r>
      <w:r w:rsidR="003606CD" w:rsidRPr="003606CD">
        <w:rPr>
          <w:lang w:val="en-US"/>
        </w:rPr>
        <w:br/>
      </w:r>
      <w:r w:rsidRPr="003606CD">
        <w:rPr>
          <w:lang w:val="en-US"/>
        </w:rPr>
        <w:t>GLONASS spaceborne receiver characteristics</w:t>
      </w:r>
    </w:p>
    <w:p w:rsidR="00594157" w:rsidRPr="008D673A" w:rsidRDefault="00594157" w:rsidP="00594157">
      <w:pPr>
        <w:pStyle w:val="Normalaftertitle"/>
      </w:pPr>
      <w:r w:rsidRPr="008D673A">
        <w:t>Table 1</w:t>
      </w:r>
      <w:r w:rsidRPr="008D673A">
        <w:noBreakHyphen/>
        <w:t>1 provides characteristics of spaceborne RNSS receivers for use with the GLONASS system.</w:t>
      </w:r>
    </w:p>
    <w:p w:rsidR="00594157" w:rsidRPr="008D673A" w:rsidRDefault="00594157" w:rsidP="00A108D0">
      <w:pPr>
        <w:pStyle w:val="TableNo"/>
      </w:pPr>
      <w:r w:rsidRPr="008D673A">
        <w:t xml:space="preserve">TABLE </w:t>
      </w:r>
      <w:r w:rsidR="0034662F">
        <w:t xml:space="preserve"> </w:t>
      </w:r>
      <w:r w:rsidRPr="008D673A">
        <w:t>1-1</w:t>
      </w:r>
    </w:p>
    <w:p w:rsidR="00594157" w:rsidRPr="008D673A" w:rsidRDefault="00594157" w:rsidP="00594157">
      <w:pPr>
        <w:pStyle w:val="Tabletitle"/>
      </w:pPr>
      <w:r w:rsidRPr="008D673A">
        <w:t>GLONASS spaceborne receiver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594157" w:rsidRPr="008D673A" w:rsidTr="008E7914">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head"/>
            </w:pPr>
            <w:r w:rsidRPr="008D673A">
              <w:t>Parameter</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head"/>
            </w:pPr>
            <w:r w:rsidRPr="008D673A">
              <w:t>Value</w:t>
            </w:r>
          </w:p>
        </w:tc>
      </w:tr>
      <w:tr w:rsidR="00594157" w:rsidRPr="009A4B78"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Carrier frequencies (MHz)</w:t>
            </w:r>
          </w:p>
        </w:tc>
        <w:tc>
          <w:tcPr>
            <w:tcW w:w="5103"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u w:val="single"/>
                <w:lang w:val="en-US"/>
              </w:rPr>
            </w:pPr>
            <w:r w:rsidRPr="00594157">
              <w:rPr>
                <w:lang w:val="en-US"/>
              </w:rPr>
              <w:t>(1998-2005)</w:t>
            </w:r>
            <w:r w:rsidRPr="00594157">
              <w:rPr>
                <w:vertAlign w:val="superscript"/>
                <w:lang w:val="en-US"/>
              </w:rPr>
              <w:t>(1)</w:t>
            </w:r>
          </w:p>
          <w:p w:rsidR="00594157" w:rsidRPr="00594157" w:rsidRDefault="00594157" w:rsidP="009A4B78">
            <w:pPr>
              <w:pStyle w:val="Tabletext"/>
              <w:jc w:val="left"/>
              <w:rPr>
                <w:lang w:val="en-US"/>
              </w:rPr>
            </w:pPr>
            <w:r w:rsidRPr="008E7914">
              <w:rPr>
                <w:i/>
                <w:iCs/>
                <w:lang w:val="en-US"/>
              </w:rPr>
              <w:t>F</w:t>
            </w:r>
            <w:r w:rsidRPr="00594157">
              <w:rPr>
                <w:lang w:val="en-US"/>
              </w:rPr>
              <w:t> = 1 602 + 0.5625</w:t>
            </w:r>
            <w:r w:rsidR="009A4B78">
              <w:rPr>
                <w:lang w:val="en-US"/>
              </w:rPr>
              <w:t xml:space="preserve"> </w:t>
            </w:r>
            <w:r w:rsidRPr="008E7914">
              <w:rPr>
                <w:i/>
                <w:iCs/>
                <w:lang w:val="en-US"/>
              </w:rPr>
              <w:t>K</w:t>
            </w:r>
            <w:r w:rsidRPr="00594157">
              <w:rPr>
                <w:lang w:val="en-US"/>
              </w:rPr>
              <w:br/>
              <w:t>where</w:t>
            </w:r>
            <w:r w:rsidRPr="00594157">
              <w:rPr>
                <w:lang w:val="en-US"/>
              </w:rPr>
              <w:br/>
            </w:r>
            <w:r w:rsidRPr="008E7914">
              <w:rPr>
                <w:i/>
                <w:iCs/>
                <w:lang w:val="en-US"/>
              </w:rPr>
              <w:t>K</w:t>
            </w:r>
            <w:r w:rsidRPr="00594157">
              <w:rPr>
                <w:lang w:val="en-US"/>
              </w:rPr>
              <w:t> = −7, …, 13</w:t>
            </w:r>
            <w:r w:rsidRPr="00594157">
              <w:rPr>
                <w:lang w:val="en-US"/>
              </w:rPr>
              <w:br/>
            </w:r>
            <w:r w:rsidRPr="008E7914">
              <w:rPr>
                <w:i/>
                <w:iCs/>
                <w:lang w:val="en-US"/>
              </w:rPr>
              <w:t>F</w:t>
            </w:r>
            <w:r w:rsidRPr="00594157">
              <w:rPr>
                <w:lang w:val="en-US"/>
              </w:rPr>
              <w:t> = 1 246 + 0.4375</w:t>
            </w:r>
            <w:r w:rsidR="009A4B78">
              <w:rPr>
                <w:lang w:val="en-US"/>
              </w:rPr>
              <w:t xml:space="preserve"> </w:t>
            </w:r>
            <w:r w:rsidRPr="008E7914">
              <w:rPr>
                <w:i/>
                <w:iCs/>
                <w:lang w:val="en-US"/>
              </w:rPr>
              <w:t>K</w:t>
            </w:r>
            <w:r w:rsidRPr="00594157">
              <w:rPr>
                <w:lang w:val="en-US"/>
              </w:rPr>
              <w:br/>
              <w:t>where</w:t>
            </w:r>
            <w:r w:rsidRPr="00594157">
              <w:rPr>
                <w:lang w:val="en-US"/>
              </w:rPr>
              <w:br/>
            </w:r>
            <w:r w:rsidRPr="008E7914">
              <w:rPr>
                <w:i/>
                <w:iCs/>
                <w:lang w:val="en-US"/>
              </w:rPr>
              <w:t>K</w:t>
            </w:r>
            <w:r w:rsidRPr="00594157">
              <w:rPr>
                <w:lang w:val="en-US"/>
              </w:rPr>
              <w:t> = −7, …, 13</w:t>
            </w:r>
          </w:p>
          <w:p w:rsidR="00594157" w:rsidRPr="00594157" w:rsidRDefault="00594157" w:rsidP="003606CD">
            <w:pPr>
              <w:pStyle w:val="Tabletext"/>
              <w:jc w:val="left"/>
              <w:rPr>
                <w:lang w:val="en-US"/>
              </w:rPr>
            </w:pPr>
            <w:r w:rsidRPr="00594157">
              <w:rPr>
                <w:lang w:val="en-US"/>
              </w:rPr>
              <w:t>(After 2005)</w:t>
            </w:r>
          </w:p>
          <w:p w:rsidR="00594157" w:rsidRPr="00594157" w:rsidRDefault="00594157" w:rsidP="003606CD">
            <w:pPr>
              <w:pStyle w:val="Tabletext"/>
              <w:jc w:val="left"/>
              <w:rPr>
                <w:lang w:val="en-US"/>
              </w:rPr>
            </w:pPr>
            <w:r w:rsidRPr="008E7914">
              <w:rPr>
                <w:i/>
                <w:iCs/>
                <w:lang w:val="en-US"/>
              </w:rPr>
              <w:t>F</w:t>
            </w:r>
            <w:r w:rsidRPr="00594157">
              <w:rPr>
                <w:lang w:val="en-US"/>
              </w:rPr>
              <w:t> = 1 602 + 0.5625</w:t>
            </w:r>
            <w:r w:rsidR="009A4B78">
              <w:rPr>
                <w:lang w:val="en-US"/>
              </w:rPr>
              <w:t xml:space="preserve"> </w:t>
            </w:r>
            <w:r w:rsidRPr="008E7914">
              <w:rPr>
                <w:i/>
                <w:iCs/>
                <w:lang w:val="en-US"/>
              </w:rPr>
              <w:t>K</w:t>
            </w:r>
            <w:r w:rsidRPr="00594157">
              <w:rPr>
                <w:lang w:val="en-US"/>
              </w:rPr>
              <w:br/>
              <w:t>where</w:t>
            </w:r>
            <w:r w:rsidRPr="00594157">
              <w:rPr>
                <w:lang w:val="en-US"/>
              </w:rPr>
              <w:br/>
            </w:r>
            <w:r w:rsidRPr="008E7914">
              <w:rPr>
                <w:i/>
                <w:iCs/>
                <w:lang w:val="en-US"/>
              </w:rPr>
              <w:t>K</w:t>
            </w:r>
            <w:r w:rsidRPr="00594157">
              <w:rPr>
                <w:lang w:val="en-US"/>
              </w:rPr>
              <w:t> = −7, …, 6</w:t>
            </w:r>
            <w:r w:rsidRPr="00594157">
              <w:rPr>
                <w:lang w:val="en-US"/>
              </w:rPr>
              <w:br/>
            </w:r>
            <w:r w:rsidRPr="008E7914">
              <w:rPr>
                <w:i/>
                <w:iCs/>
                <w:lang w:val="en-US"/>
              </w:rPr>
              <w:t>F</w:t>
            </w:r>
            <w:r w:rsidRPr="00594157">
              <w:rPr>
                <w:lang w:val="en-US"/>
              </w:rPr>
              <w:t> = 1 246 + 0.4375</w:t>
            </w:r>
            <w:r w:rsidR="009A4B78">
              <w:rPr>
                <w:lang w:val="en-US"/>
              </w:rPr>
              <w:t xml:space="preserve"> </w:t>
            </w:r>
            <w:r w:rsidRPr="008E7914">
              <w:rPr>
                <w:i/>
                <w:iCs/>
                <w:lang w:val="en-US"/>
              </w:rPr>
              <w:t>K</w:t>
            </w:r>
            <w:r w:rsidRPr="00594157">
              <w:rPr>
                <w:lang w:val="en-US"/>
              </w:rPr>
              <w:br/>
              <w:t>where</w:t>
            </w:r>
            <w:r w:rsidRPr="00594157">
              <w:rPr>
                <w:lang w:val="en-US"/>
              </w:rPr>
              <w:br/>
            </w:r>
            <w:r w:rsidRPr="008E7914">
              <w:rPr>
                <w:i/>
                <w:iCs/>
                <w:lang w:val="en-US"/>
              </w:rPr>
              <w:t>K</w:t>
            </w:r>
            <w:r w:rsidRPr="00594157">
              <w:rPr>
                <w:lang w:val="en-US"/>
              </w:rPr>
              <w:t> = −7, …, 6</w:t>
            </w:r>
            <w:r w:rsidRPr="00594157">
              <w:rPr>
                <w:lang w:val="en-US"/>
              </w:rPr>
              <w:br/>
            </w:r>
            <w:r w:rsidRPr="008E7914">
              <w:rPr>
                <w:i/>
                <w:iCs/>
                <w:lang w:val="en-US"/>
              </w:rPr>
              <w:t>F</w:t>
            </w:r>
            <w:r w:rsidRPr="00594157">
              <w:rPr>
                <w:lang w:val="en-US"/>
              </w:rPr>
              <w:t> = 1 204.704 + 0.423</w:t>
            </w:r>
            <w:r w:rsidR="009A4B78">
              <w:rPr>
                <w:lang w:val="en-US"/>
              </w:rPr>
              <w:t xml:space="preserve"> </w:t>
            </w:r>
            <w:r w:rsidRPr="008E7914">
              <w:rPr>
                <w:i/>
                <w:iCs/>
                <w:lang w:val="en-US"/>
              </w:rPr>
              <w:t>K</w:t>
            </w:r>
            <w:r w:rsidRPr="00594157">
              <w:rPr>
                <w:lang w:val="en-US"/>
              </w:rPr>
              <w:br/>
              <w:t>where</w:t>
            </w:r>
            <w:r w:rsidRPr="00594157">
              <w:rPr>
                <w:lang w:val="en-US"/>
              </w:rPr>
              <w:br/>
            </w:r>
            <w:r w:rsidRPr="008E7914">
              <w:rPr>
                <w:i/>
                <w:iCs/>
                <w:lang w:val="en-US"/>
              </w:rPr>
              <w:t>K</w:t>
            </w:r>
            <w:r w:rsidRPr="00594157">
              <w:rPr>
                <w:lang w:val="en-US"/>
              </w:rPr>
              <w:t> = −7, …, 12</w:t>
            </w:r>
          </w:p>
        </w:tc>
      </w:tr>
    </w:tbl>
    <w:p w:rsidR="00A108D0" w:rsidRPr="00014C56" w:rsidRDefault="00A108D0" w:rsidP="00A108D0">
      <w:pPr>
        <w:spacing w:before="240"/>
        <w:rPr>
          <w:lang w:val="en-US"/>
        </w:rPr>
      </w:pPr>
      <w:r w:rsidRPr="00014C56">
        <w:rPr>
          <w:lang w:val="en-US"/>
        </w:rPr>
        <w:br w:type="page"/>
      </w:r>
    </w:p>
    <w:p w:rsidR="00A108D0" w:rsidRPr="00A108D0" w:rsidRDefault="00A108D0" w:rsidP="00A108D0">
      <w:pPr>
        <w:pStyle w:val="TableNo"/>
        <w:rPr>
          <w:i/>
          <w:iCs/>
        </w:rPr>
      </w:pPr>
      <w:r w:rsidRPr="008D673A">
        <w:lastRenderedPageBreak/>
        <w:t xml:space="preserve">TABLE </w:t>
      </w:r>
      <w:r>
        <w:t xml:space="preserve"> </w:t>
      </w:r>
      <w:r w:rsidRPr="008D673A">
        <w:t>1-1</w:t>
      </w:r>
      <w:r>
        <w:t xml:space="preserve"> </w:t>
      </w:r>
      <w:r>
        <w:rPr>
          <w:i/>
          <w:iCs/>
        </w:rPr>
        <w:t>(continued)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A108D0" w:rsidRPr="008D673A" w:rsidTr="009A4B78">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head"/>
            </w:pPr>
            <w:r w:rsidRPr="008D673A">
              <w:t>Parameter</w:t>
            </w:r>
          </w:p>
        </w:tc>
        <w:tc>
          <w:tcPr>
            <w:tcW w:w="5103"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head"/>
            </w:pPr>
            <w:r w:rsidRPr="008D673A">
              <w:t>Value</w:t>
            </w:r>
          </w:p>
        </w:tc>
      </w:tr>
      <w:tr w:rsidR="00A108D0" w:rsidRPr="008D673A" w:rsidTr="009A4B78">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text"/>
              <w:jc w:val="left"/>
            </w:pPr>
            <w:r w:rsidRPr="008D673A">
              <w:t>Pseudo-random noise (PRN) code chip rate (Mcps)</w:t>
            </w:r>
          </w:p>
        </w:tc>
        <w:tc>
          <w:tcPr>
            <w:tcW w:w="5103"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text"/>
              <w:jc w:val="left"/>
            </w:pPr>
            <w:r w:rsidRPr="008D673A">
              <w:t>5.11 (HA L1 signals and HA L2 signals)</w:t>
            </w:r>
            <w:r w:rsidRPr="008D673A">
              <w:br/>
              <w:t>0.511 (SA L1 signals and SA L2 signals)</w:t>
            </w:r>
            <w:r w:rsidRPr="008D673A">
              <w:br/>
              <w:t>4.095</w:t>
            </w:r>
            <w:r w:rsidRPr="008D673A">
              <w:rPr>
                <w:rFonts w:eastAsia="MS PGothic"/>
              </w:rPr>
              <w:t xml:space="preserve"> </w:t>
            </w:r>
            <w:r w:rsidRPr="008D673A">
              <w:t>(HA L3 and SA L3 signals)</w:t>
            </w:r>
          </w:p>
        </w:tc>
      </w:tr>
      <w:tr w:rsidR="00594157" w:rsidRPr="009A4B78"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Navigation data bit rate (bps)</w:t>
            </w:r>
          </w:p>
        </w:tc>
        <w:tc>
          <w:tcPr>
            <w:tcW w:w="5103"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50 (L1 and L2 signals)</w:t>
            </w:r>
            <w:r w:rsidRPr="00594157">
              <w:rPr>
                <w:lang w:val="en-US"/>
              </w:rPr>
              <w:br/>
              <w:t>125 (L3 signals)</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Maximum allowable bit error rate</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 xml:space="preserve">1 </w:t>
            </w:r>
            <w:r w:rsidRPr="008D673A">
              <w:rPr>
                <w:rFonts w:ascii="Symbol" w:hAnsi="Symbol" w:cs="Symbol"/>
              </w:rPr>
              <w:t></w:t>
            </w:r>
            <w:r w:rsidRPr="008D673A">
              <w:t xml:space="preserve"> 10</w:t>
            </w:r>
            <w:r w:rsidRPr="008D673A">
              <w:rPr>
                <w:vertAlign w:val="superscript"/>
              </w:rPr>
              <w:t>−5</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Signal modulation method</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rPr>
                <w:snapToGrid w:val="0"/>
              </w:rPr>
              <w:t>BPSK</w:t>
            </w:r>
          </w:p>
        </w:tc>
      </w:tr>
      <w:tr w:rsidR="00594157" w:rsidRPr="009A4B78"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Polarization</w:t>
            </w:r>
          </w:p>
        </w:tc>
        <w:tc>
          <w:tcPr>
            <w:tcW w:w="5103" w:type="dxa"/>
            <w:tcBorders>
              <w:top w:val="single" w:sz="4" w:space="0" w:color="auto"/>
              <w:left w:val="single" w:sz="4" w:space="0" w:color="auto"/>
              <w:bottom w:val="single" w:sz="4" w:space="0" w:color="auto"/>
              <w:right w:val="single" w:sz="4" w:space="0" w:color="auto"/>
            </w:tcBorders>
          </w:tcPr>
          <w:p w:rsidR="00594157" w:rsidRPr="008E7914" w:rsidRDefault="008E7914" w:rsidP="008E7914">
            <w:pPr>
              <w:pStyle w:val="Tabletext"/>
              <w:jc w:val="left"/>
              <w:rPr>
                <w:lang w:val="en-US"/>
              </w:rPr>
            </w:pPr>
            <w:r w:rsidRPr="008E7914">
              <w:rPr>
                <w:snapToGrid w:val="0"/>
                <w:lang w:val="en-US"/>
              </w:rPr>
              <w:t xml:space="preserve">Right-hand circular polarization </w:t>
            </w:r>
            <w:r>
              <w:rPr>
                <w:snapToGrid w:val="0"/>
                <w:lang w:val="en-US"/>
              </w:rPr>
              <w:t>(</w:t>
            </w:r>
            <w:r w:rsidR="00594157" w:rsidRPr="008E7914">
              <w:rPr>
                <w:snapToGrid w:val="0"/>
                <w:lang w:val="en-US"/>
              </w:rPr>
              <w:t>RHCP</w:t>
            </w:r>
            <w:r>
              <w:rPr>
                <w:snapToGrid w:val="0"/>
                <w:lang w:val="en-US"/>
              </w:rPr>
              <w:t>)</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Ellipticity (dB)</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rPr>
                <w:snapToGrid w:val="0"/>
              </w:rPr>
            </w:pPr>
            <w:r w:rsidRPr="008D673A">
              <w:rPr>
                <w:snapToGrid w:val="0"/>
              </w:rPr>
              <w:t>−1.55</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Minimum received power level (dBW)</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rPr>
                <w:snapToGrid w:val="0"/>
              </w:rPr>
              <w:t>−170</w:t>
            </w:r>
          </w:p>
        </w:tc>
      </w:tr>
      <w:tr w:rsidR="00594157" w:rsidRPr="009A4B78"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8E7914">
            <w:pPr>
              <w:pStyle w:val="Tabletext"/>
              <w:jc w:val="left"/>
              <w:rPr>
                <w:lang w:val="en-US"/>
              </w:rPr>
            </w:pPr>
            <w:r w:rsidRPr="00594157">
              <w:rPr>
                <w:lang w:val="en-US"/>
              </w:rPr>
              <w:t>Minimum receiver antenna gain</w:t>
            </w:r>
            <w:r w:rsidRPr="00594157">
              <w:rPr>
                <w:vertAlign w:val="superscript"/>
                <w:lang w:val="en-US"/>
              </w:rPr>
              <w:t>(</w:t>
            </w:r>
            <w:r w:rsidR="008E7914">
              <w:rPr>
                <w:vertAlign w:val="superscript"/>
                <w:lang w:val="en-US"/>
              </w:rPr>
              <w:t>2</w:t>
            </w:r>
            <w:r w:rsidRPr="00594157">
              <w:rPr>
                <w:vertAlign w:val="superscript"/>
                <w:lang w:val="en-US"/>
              </w:rPr>
              <w:t>)</w:t>
            </w:r>
            <w:r w:rsidRPr="00594157">
              <w:rPr>
                <w:lang w:val="en-US"/>
              </w:rPr>
              <w:t xml:space="preserve"> (dBi) at corresponding elevation angle (degrees)</w:t>
            </w:r>
          </w:p>
        </w:tc>
        <w:tc>
          <w:tcPr>
            <w:tcW w:w="5103"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−6 (L1, L2, L3 signals) at 5 degrees</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Maximum receiver antenna gain in upper hemisphere (dBi)</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3</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Maximum receiver antenna gain in lower hemisphere (dBi)</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0</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RF filter 3 dB bandwidth (MHz)</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60</w:t>
            </w:r>
            <w:r w:rsidRPr="008D673A">
              <w:rPr>
                <w:rFonts w:eastAsia="MS PGothic"/>
              </w:rPr>
              <w:t xml:space="preserve"> </w:t>
            </w:r>
            <w:r w:rsidRPr="008D673A">
              <w:t>(L1 signals)</w:t>
            </w:r>
            <w:r w:rsidRPr="008D673A">
              <w:br/>
              <w:t>30</w:t>
            </w:r>
            <w:r w:rsidRPr="008D673A">
              <w:rPr>
                <w:rFonts w:eastAsia="MS PGothic"/>
              </w:rPr>
              <w:t xml:space="preserve"> </w:t>
            </w:r>
            <w:r w:rsidRPr="008D673A">
              <w:t>(L2 signals)</w:t>
            </w:r>
            <w:r w:rsidRPr="008D673A">
              <w:br/>
              <w:t>17</w:t>
            </w:r>
            <w:r w:rsidRPr="008D673A">
              <w:rPr>
                <w:rFonts w:eastAsia="MS PGothic"/>
              </w:rPr>
              <w:t xml:space="preserve"> </w:t>
            </w:r>
            <w:r w:rsidRPr="008D673A">
              <w:t>(L3 signals)</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Pre-correlation filter 3 dB bandwidth (MHz)</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22</w:t>
            </w:r>
            <w:r w:rsidRPr="008D673A">
              <w:rPr>
                <w:rFonts w:eastAsia="MS PGothic"/>
              </w:rPr>
              <w:t xml:space="preserve"> </w:t>
            </w:r>
            <w:r w:rsidRPr="008D673A">
              <w:t>(L1 signals)</w:t>
            </w:r>
            <w:r w:rsidRPr="008D673A">
              <w:br/>
              <w:t>20</w:t>
            </w:r>
            <w:r w:rsidRPr="008D673A">
              <w:rPr>
                <w:rFonts w:eastAsia="MS PGothic"/>
              </w:rPr>
              <w:t xml:space="preserve"> </w:t>
            </w:r>
            <w:r w:rsidRPr="008D673A">
              <w:t>(L2 signals)</w:t>
            </w:r>
            <w:r w:rsidRPr="008D673A">
              <w:br/>
              <w:t>17</w:t>
            </w:r>
            <w:r w:rsidRPr="008D673A">
              <w:rPr>
                <w:rFonts w:eastAsia="MS PGothic"/>
              </w:rPr>
              <w:t xml:space="preserve"> </w:t>
            </w:r>
            <w:r w:rsidRPr="008D673A">
              <w:t>(L3 signals)</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B725C6">
            <w:pPr>
              <w:pStyle w:val="Tabletext"/>
              <w:jc w:val="left"/>
              <w:rPr>
                <w:lang w:val="en-US"/>
              </w:rPr>
            </w:pPr>
            <w:r w:rsidRPr="00594157">
              <w:rPr>
                <w:lang w:val="en-US"/>
              </w:rPr>
              <w:t>Receiver system noise temperature</w:t>
            </w:r>
            <w:r w:rsidRPr="00594157">
              <w:rPr>
                <w:vertAlign w:val="superscript"/>
                <w:lang w:val="en-US"/>
              </w:rPr>
              <w:t>(</w:t>
            </w:r>
            <w:r w:rsidR="00B725C6">
              <w:rPr>
                <w:vertAlign w:val="superscript"/>
                <w:lang w:val="en-US"/>
              </w:rPr>
              <w:t>2</w:t>
            </w:r>
            <w:r w:rsidRPr="00594157">
              <w:rPr>
                <w:vertAlign w:val="superscript"/>
                <w:lang w:val="en-US"/>
              </w:rPr>
              <w:t>)</w:t>
            </w:r>
            <w:r w:rsidRPr="00594157">
              <w:rPr>
                <w:lang w:val="en-US"/>
              </w:rPr>
              <w:t xml:space="preserve"> (K)</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100-670</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B725C6">
            <w:pPr>
              <w:pStyle w:val="Tabletext"/>
              <w:jc w:val="left"/>
              <w:rPr>
                <w:vertAlign w:val="superscript"/>
                <w:lang w:val="en-US"/>
              </w:rPr>
            </w:pPr>
            <w:r w:rsidRPr="00594157">
              <w:rPr>
                <w:lang w:val="en-US"/>
              </w:rPr>
              <w:t>Threshold power level of aggregate narrow-band interference at the output of a passive antenna in tracking mode (dBW)</w:t>
            </w:r>
            <w:r w:rsidRPr="00594157">
              <w:rPr>
                <w:vertAlign w:val="superscript"/>
                <w:lang w:val="en-US"/>
              </w:rPr>
              <w:t>(</w:t>
            </w:r>
            <w:r w:rsidR="00B725C6">
              <w:rPr>
                <w:vertAlign w:val="superscript"/>
                <w:lang w:val="en-US"/>
              </w:rPr>
              <w:t>3</w:t>
            </w:r>
            <w:r w:rsidRPr="00594157">
              <w:rPr>
                <w:vertAlign w:val="superscript"/>
                <w:lang w:val="en-US"/>
              </w:rPr>
              <w:t>)</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rPr>
                <w:snapToGrid w:val="0"/>
              </w:rPr>
              <w:t>−149</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B725C6">
            <w:pPr>
              <w:pStyle w:val="Tabletext"/>
              <w:jc w:val="left"/>
              <w:rPr>
                <w:vertAlign w:val="superscript"/>
                <w:lang w:val="en-US"/>
              </w:rPr>
            </w:pPr>
            <w:r w:rsidRPr="00594157">
              <w:rPr>
                <w:lang w:val="en-US"/>
              </w:rPr>
              <w:t>Threshold power level of aggregate narrow-band interference at the output of a passive antenna in acquisition mode (dBW)</w:t>
            </w:r>
            <w:r w:rsidRPr="00594157">
              <w:rPr>
                <w:vertAlign w:val="superscript"/>
                <w:lang w:val="en-US"/>
              </w:rPr>
              <w:t>(</w:t>
            </w:r>
            <w:r w:rsidR="00B725C6">
              <w:rPr>
                <w:vertAlign w:val="superscript"/>
                <w:lang w:val="en-US"/>
              </w:rPr>
              <w:t>3</w:t>
            </w:r>
            <w:r w:rsidRPr="00594157">
              <w:rPr>
                <w:vertAlign w:val="superscript"/>
                <w:lang w:val="en-US"/>
              </w:rPr>
              <w:t>)</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rPr>
                <w:snapToGrid w:val="0"/>
              </w:rPr>
              <w:t>−155</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B725C6">
            <w:pPr>
              <w:pStyle w:val="Tabletext"/>
              <w:jc w:val="left"/>
              <w:rPr>
                <w:vertAlign w:val="superscript"/>
                <w:lang w:val="en-US"/>
              </w:rPr>
            </w:pPr>
            <w:r w:rsidRPr="00594157">
              <w:rPr>
                <w:lang w:val="en-US"/>
              </w:rPr>
              <w:t>Threshold power density level of aggregate wideband interference at the output of a passive antenna in tracking mode (dBW/MHz)</w:t>
            </w:r>
            <w:r w:rsidRPr="00594157">
              <w:rPr>
                <w:vertAlign w:val="superscript"/>
                <w:lang w:val="en-US"/>
              </w:rPr>
              <w:t>(</w:t>
            </w:r>
            <w:r w:rsidR="00B725C6">
              <w:rPr>
                <w:vertAlign w:val="superscript"/>
                <w:lang w:val="en-US"/>
              </w:rPr>
              <w:t>3</w:t>
            </w:r>
            <w:r w:rsidRPr="00594157">
              <w:rPr>
                <w:vertAlign w:val="superscript"/>
                <w:lang w:val="en-US"/>
              </w:rPr>
              <w:t>)</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−140</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B725C6">
            <w:pPr>
              <w:pStyle w:val="Tabletext"/>
              <w:jc w:val="left"/>
              <w:rPr>
                <w:vertAlign w:val="superscript"/>
                <w:lang w:val="en-US"/>
              </w:rPr>
            </w:pPr>
            <w:r w:rsidRPr="00594157">
              <w:rPr>
                <w:lang w:val="en-US"/>
              </w:rPr>
              <w:t>Threshold power density level of aggregate wideband interference at the output of a passive antenna in acquisition mode (dBW/MHz)</w:t>
            </w:r>
            <w:r w:rsidRPr="00594157">
              <w:rPr>
                <w:vertAlign w:val="superscript"/>
                <w:lang w:val="en-US"/>
              </w:rPr>
              <w:t>(</w:t>
            </w:r>
            <w:r w:rsidR="00B725C6">
              <w:rPr>
                <w:vertAlign w:val="superscript"/>
                <w:lang w:val="en-US"/>
              </w:rPr>
              <w:t>3</w:t>
            </w:r>
            <w:r w:rsidRPr="00594157">
              <w:rPr>
                <w:vertAlign w:val="superscript"/>
                <w:lang w:val="en-US"/>
              </w:rPr>
              <w:t>)</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rPr>
                <w:snapToGrid w:val="0"/>
              </w:rPr>
              <w:t>−146</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594157" w:rsidRDefault="00594157" w:rsidP="003606CD">
            <w:pPr>
              <w:pStyle w:val="Tabletext"/>
              <w:jc w:val="left"/>
              <w:rPr>
                <w:lang w:val="en-US"/>
              </w:rPr>
            </w:pPr>
            <w:r w:rsidRPr="00594157">
              <w:rPr>
                <w:lang w:val="en-US"/>
              </w:rPr>
              <w:t>Receiver input compression level (dBW)</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−80</w:t>
            </w:r>
          </w:p>
        </w:tc>
      </w:tr>
    </w:tbl>
    <w:p w:rsidR="00A108D0" w:rsidRDefault="00A108D0">
      <w:r>
        <w:br w:type="page"/>
      </w:r>
    </w:p>
    <w:p w:rsidR="00A108D0" w:rsidRPr="00A108D0" w:rsidRDefault="00A108D0" w:rsidP="00A108D0">
      <w:pPr>
        <w:pStyle w:val="TableNo"/>
        <w:rPr>
          <w:i/>
          <w:iCs/>
        </w:rPr>
      </w:pPr>
      <w:r w:rsidRPr="008D673A">
        <w:lastRenderedPageBreak/>
        <w:t xml:space="preserve">TABLE </w:t>
      </w:r>
      <w:r>
        <w:t xml:space="preserve"> </w:t>
      </w:r>
      <w:r w:rsidRPr="008D673A">
        <w:t>1-1</w:t>
      </w:r>
      <w:r>
        <w:t xml:space="preserve"> </w:t>
      </w:r>
      <w:r>
        <w:rPr>
          <w:i/>
          <w:iCs/>
        </w:rPr>
        <w:t>(end)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A108D0" w:rsidRPr="008D673A" w:rsidTr="009A4B78">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head"/>
            </w:pPr>
            <w:r w:rsidRPr="008D673A">
              <w:t>Parameter</w:t>
            </w:r>
          </w:p>
        </w:tc>
        <w:tc>
          <w:tcPr>
            <w:tcW w:w="5103"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head"/>
            </w:pPr>
            <w:r w:rsidRPr="008D673A">
              <w:t>Value</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Receiver</w:t>
            </w:r>
            <w:r w:rsidRPr="00893029">
              <w:rPr>
                <w:lang w:val="en-GB"/>
              </w:rPr>
              <w:t xml:space="preserve"> survival</w:t>
            </w:r>
            <w:r w:rsidRPr="008D673A">
              <w:t xml:space="preserve"> level (dBW)</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−1</w:t>
            </w:r>
          </w:p>
        </w:tc>
      </w:tr>
      <w:tr w:rsidR="00594157" w:rsidRPr="008D673A" w:rsidTr="008E7914">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594157" w:rsidRPr="008D673A" w:rsidRDefault="00594157" w:rsidP="003606CD">
            <w:pPr>
              <w:pStyle w:val="Tabletext"/>
              <w:jc w:val="left"/>
            </w:pPr>
            <w:r w:rsidRPr="008D673A">
              <w:t>Overload recovery time (s)</w:t>
            </w:r>
          </w:p>
        </w:tc>
        <w:tc>
          <w:tcPr>
            <w:tcW w:w="5103" w:type="dxa"/>
            <w:tcBorders>
              <w:top w:val="single" w:sz="4" w:space="0" w:color="auto"/>
              <w:left w:val="single" w:sz="4" w:space="0" w:color="auto"/>
              <w:bottom w:val="single" w:sz="4" w:space="0" w:color="auto"/>
              <w:right w:val="single" w:sz="4" w:space="0" w:color="auto"/>
            </w:tcBorders>
          </w:tcPr>
          <w:p w:rsidR="00594157" w:rsidRPr="008D673A" w:rsidRDefault="00594157" w:rsidP="009A4B78">
            <w:pPr>
              <w:pStyle w:val="Tabletext"/>
              <w:jc w:val="left"/>
            </w:pPr>
            <w:r w:rsidRPr="008D673A">
              <w:t>1</w:t>
            </w:r>
            <w:r w:rsidR="009A4B78">
              <w:t xml:space="preserve"> × </w:t>
            </w:r>
            <w:r w:rsidRPr="008D673A">
              <w:t>10</w:t>
            </w:r>
            <w:r w:rsidRPr="008D673A">
              <w:rPr>
                <w:vertAlign w:val="superscript"/>
              </w:rPr>
              <w:t>−3</w:t>
            </w:r>
          </w:p>
        </w:tc>
      </w:tr>
      <w:tr w:rsidR="00594157" w:rsidRPr="009A4B78" w:rsidTr="008E7914">
        <w:trPr>
          <w:cantSplit/>
          <w:trHeight w:val="20"/>
          <w:jc w:val="center"/>
        </w:trPr>
        <w:tc>
          <w:tcPr>
            <w:tcW w:w="9639" w:type="dxa"/>
            <w:gridSpan w:val="2"/>
            <w:tcBorders>
              <w:top w:val="single" w:sz="4" w:space="0" w:color="auto"/>
              <w:left w:val="nil"/>
              <w:bottom w:val="nil"/>
              <w:right w:val="nil"/>
            </w:tcBorders>
          </w:tcPr>
          <w:p w:rsidR="00B725C6" w:rsidRPr="00594157" w:rsidRDefault="00B725C6" w:rsidP="00B725C6">
            <w:pPr>
              <w:pStyle w:val="Tablelegend"/>
              <w:ind w:hanging="284"/>
              <w:jc w:val="left"/>
              <w:rPr>
                <w:vertAlign w:val="superscript"/>
                <w:lang w:val="en-US"/>
              </w:rPr>
            </w:pPr>
            <w:r w:rsidRPr="00594157">
              <w:rPr>
                <w:lang w:val="en-US"/>
              </w:rPr>
              <w:t>HA = high accuracy.</w:t>
            </w:r>
          </w:p>
          <w:p w:rsidR="00B725C6" w:rsidRDefault="00B725C6" w:rsidP="00B725C6">
            <w:pPr>
              <w:pStyle w:val="Tablelegend"/>
              <w:ind w:hanging="284"/>
              <w:jc w:val="left"/>
              <w:rPr>
                <w:vertAlign w:val="superscript"/>
                <w:lang w:val="en-US"/>
              </w:rPr>
            </w:pPr>
            <w:r w:rsidRPr="00594157">
              <w:rPr>
                <w:lang w:val="en-US"/>
              </w:rPr>
              <w:t>SA = standard accuracy.</w:t>
            </w:r>
          </w:p>
          <w:p w:rsidR="00594157" w:rsidRPr="00594157" w:rsidRDefault="00594157" w:rsidP="003606CD">
            <w:pPr>
              <w:pStyle w:val="Tablelegend"/>
              <w:ind w:hanging="284"/>
              <w:jc w:val="left"/>
              <w:rPr>
                <w:lang w:val="en-US"/>
              </w:rPr>
            </w:pPr>
            <w:r w:rsidRPr="00594157">
              <w:rPr>
                <w:vertAlign w:val="superscript"/>
                <w:lang w:val="en-US"/>
              </w:rPr>
              <w:t>(1)</w:t>
            </w:r>
            <w:r w:rsidRPr="00594157">
              <w:rPr>
                <w:lang w:val="en-US"/>
              </w:rPr>
              <w:tab/>
              <w:t>GLONASS receivers manufactured before 2006 can operate with navigation signals having carrier frequency numbers (</w:t>
            </w:r>
            <w:r w:rsidRPr="008D673A">
              <w:t>К</w:t>
            </w:r>
            <w:r w:rsidRPr="00594157">
              <w:rPr>
                <w:lang w:val="en-US"/>
              </w:rPr>
              <w:t>) −7 to +13.</w:t>
            </w:r>
          </w:p>
          <w:p w:rsidR="00594157" w:rsidRPr="00594157" w:rsidRDefault="00594157" w:rsidP="00B725C6">
            <w:pPr>
              <w:pStyle w:val="Tablelegend"/>
              <w:ind w:hanging="284"/>
              <w:jc w:val="left"/>
              <w:rPr>
                <w:lang w:val="en-US"/>
              </w:rPr>
            </w:pPr>
            <w:r w:rsidRPr="00594157">
              <w:rPr>
                <w:vertAlign w:val="superscript"/>
                <w:lang w:val="en-US"/>
              </w:rPr>
              <w:t>(</w:t>
            </w:r>
            <w:r w:rsidR="00B725C6">
              <w:rPr>
                <w:vertAlign w:val="superscript"/>
                <w:lang w:val="en-US"/>
              </w:rPr>
              <w:t>2</w:t>
            </w:r>
            <w:r w:rsidRPr="00594157">
              <w:rPr>
                <w:vertAlign w:val="superscript"/>
                <w:lang w:val="en-US"/>
              </w:rPr>
              <w:t>)</w:t>
            </w:r>
            <w:r w:rsidRPr="00594157">
              <w:rPr>
                <w:lang w:val="en-US"/>
              </w:rPr>
              <w:tab/>
              <w:t>Different spacecraft receivers may have values which differ from these typical values.</w:t>
            </w:r>
          </w:p>
          <w:p w:rsidR="00594157" w:rsidRPr="00594157" w:rsidRDefault="00594157" w:rsidP="00B725C6">
            <w:pPr>
              <w:pStyle w:val="Tablelegend"/>
              <w:ind w:hanging="284"/>
              <w:jc w:val="left"/>
              <w:rPr>
                <w:lang w:val="en-US"/>
              </w:rPr>
            </w:pPr>
            <w:r w:rsidRPr="00594157">
              <w:rPr>
                <w:vertAlign w:val="superscript"/>
                <w:lang w:val="en-US"/>
              </w:rPr>
              <w:t>(</w:t>
            </w:r>
            <w:r w:rsidR="00B725C6">
              <w:rPr>
                <w:vertAlign w:val="superscript"/>
                <w:lang w:val="en-US"/>
              </w:rPr>
              <w:t>3</w:t>
            </w:r>
            <w:r w:rsidRPr="00594157">
              <w:rPr>
                <w:vertAlign w:val="superscript"/>
                <w:lang w:val="en-US"/>
              </w:rPr>
              <w:t>)</w:t>
            </w:r>
            <w:r w:rsidRPr="00594157">
              <w:rPr>
                <w:lang w:val="en-US"/>
              </w:rPr>
              <w:tab/>
              <w:t>The threshold should account for all non-RNSS aggregate interference. The threshold value does not include a safety margin of 6 dB.</w:t>
            </w:r>
          </w:p>
        </w:tc>
      </w:tr>
    </w:tbl>
    <w:p w:rsidR="00594157" w:rsidRPr="00594157" w:rsidRDefault="00594157" w:rsidP="00B725C6">
      <w:pPr>
        <w:pStyle w:val="Tablefin"/>
      </w:pPr>
    </w:p>
    <w:p w:rsidR="00594157" w:rsidRPr="00594157" w:rsidRDefault="00594157" w:rsidP="00594157">
      <w:pPr>
        <w:rPr>
          <w:lang w:val="en-US"/>
        </w:rPr>
      </w:pPr>
    </w:p>
    <w:p w:rsidR="00594157" w:rsidRPr="00B725C6" w:rsidRDefault="00594157" w:rsidP="00B725C6">
      <w:pPr>
        <w:pStyle w:val="AnnexNoTitle"/>
        <w:rPr>
          <w:lang w:val="en-US"/>
        </w:rPr>
      </w:pPr>
      <w:r w:rsidRPr="00B725C6">
        <w:rPr>
          <w:lang w:val="en-US"/>
        </w:rPr>
        <w:t>Annex 2</w:t>
      </w:r>
      <w:r w:rsidR="00B725C6" w:rsidRPr="00B725C6">
        <w:rPr>
          <w:lang w:val="en-US"/>
        </w:rPr>
        <w:br/>
      </w:r>
      <w:r w:rsidR="00B725C6" w:rsidRPr="00B725C6">
        <w:rPr>
          <w:lang w:val="en-US"/>
        </w:rPr>
        <w:br/>
      </w:r>
      <w:r w:rsidRPr="00B725C6">
        <w:rPr>
          <w:lang w:val="en-US"/>
        </w:rPr>
        <w:t>Navstar Global Positioning System spaceborne receiver characteristics</w:t>
      </w:r>
    </w:p>
    <w:p w:rsidR="00594157" w:rsidRPr="008D673A" w:rsidRDefault="00594157" w:rsidP="00594157">
      <w:pPr>
        <w:pStyle w:val="Normalaftertitle"/>
        <w:rPr>
          <w:rFonts w:eastAsia="MS Mincho"/>
          <w:lang w:eastAsia="en-AU"/>
        </w:rPr>
      </w:pPr>
      <w:r w:rsidRPr="008D673A">
        <w:rPr>
          <w:rFonts w:eastAsia="MS Mincho"/>
          <w:lang w:eastAsia="en-AU"/>
        </w:rPr>
        <w:t xml:space="preserve">The receiver characteristics provided below are for the purposes of analyses of interference to the RNSS by radio sources other than the RNSS systems and are not to be considered technical requirements, specifications or standards. Current information on </w:t>
      </w:r>
      <w:r w:rsidR="00B725C6">
        <w:rPr>
          <w:rFonts w:eastAsia="MS Mincho"/>
          <w:lang w:eastAsia="en-AU"/>
        </w:rPr>
        <w:t>Global Positioning System (</w:t>
      </w:r>
      <w:r w:rsidRPr="008D673A">
        <w:rPr>
          <w:rFonts w:eastAsia="MS Mincho"/>
          <w:lang w:eastAsia="en-AU"/>
        </w:rPr>
        <w:t>GPS</w:t>
      </w:r>
      <w:r w:rsidR="00B725C6">
        <w:rPr>
          <w:rFonts w:eastAsia="MS Mincho"/>
          <w:lang w:eastAsia="en-AU"/>
        </w:rPr>
        <w:t>)</w:t>
      </w:r>
      <w:r w:rsidRPr="008D673A">
        <w:rPr>
          <w:rFonts w:eastAsia="MS Mincho"/>
          <w:lang w:eastAsia="en-AU"/>
        </w:rPr>
        <w:t xml:space="preserve"> operating in the 1 164-1 215 MHz, 1 215-1 300 MHz and 1 559-1 610 MHz bands is documented in Recommendation ITU</w:t>
      </w:r>
      <w:r w:rsidRPr="008D673A">
        <w:rPr>
          <w:rFonts w:eastAsia="MS Mincho"/>
          <w:lang w:eastAsia="en-AU"/>
        </w:rPr>
        <w:noBreakHyphen/>
        <w:t>R M.1787.</w:t>
      </w:r>
    </w:p>
    <w:p w:rsidR="00594157" w:rsidRPr="00594157" w:rsidRDefault="00594157" w:rsidP="00594157">
      <w:pPr>
        <w:rPr>
          <w:lang w:val="en-US"/>
        </w:rPr>
      </w:pPr>
      <w:r w:rsidRPr="00594157">
        <w:rPr>
          <w:lang w:val="en-US"/>
        </w:rPr>
        <w:t>Table 2-1 provides characteristics of spaceborne receivers for use with the GPS system. It should be noted that since the technical requirements and operational environment for spaceborne RNSS receivers differs from that for terrestrial receivers, their characteristics may be different. For example, signal acquisition may be more difficult for a spaceborne receiver in low-Earth orbit due to larger Doppler frequency shifts and shorter RNSS satellite time-in-view durations.</w:t>
      </w:r>
    </w:p>
    <w:p w:rsidR="00594157" w:rsidRPr="00594157" w:rsidRDefault="00594157" w:rsidP="00594157">
      <w:pPr>
        <w:pStyle w:val="TableNo"/>
        <w:rPr>
          <w:lang w:val="en-US"/>
        </w:rPr>
      </w:pPr>
      <w:r w:rsidRPr="00594157">
        <w:rPr>
          <w:lang w:val="en-US"/>
        </w:rPr>
        <w:t xml:space="preserve">TABLE </w:t>
      </w:r>
      <w:r w:rsidR="0034662F">
        <w:rPr>
          <w:lang w:val="en-US"/>
        </w:rPr>
        <w:t xml:space="preserve"> </w:t>
      </w:r>
      <w:r w:rsidRPr="00594157">
        <w:rPr>
          <w:lang w:val="en-US"/>
        </w:rPr>
        <w:t>2-1</w:t>
      </w:r>
    </w:p>
    <w:p w:rsidR="00594157" w:rsidRPr="00594157" w:rsidRDefault="00594157" w:rsidP="00594157">
      <w:pPr>
        <w:pStyle w:val="Tabletitle"/>
        <w:rPr>
          <w:lang w:val="en-US"/>
        </w:rPr>
      </w:pPr>
      <w:r w:rsidRPr="00594157">
        <w:rPr>
          <w:lang w:val="en-US"/>
        </w:rPr>
        <w:t>GPS spaceborne receiver characteristics</w:t>
      </w:r>
      <w:r w:rsidRPr="00B725C6">
        <w:rPr>
          <w:b w:val="0"/>
          <w:bCs/>
          <w:position w:val="6"/>
          <w:sz w:val="18"/>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3651"/>
      </w:tblGrid>
      <w:tr w:rsidR="00594157" w:rsidRPr="008D673A" w:rsidTr="008E7914">
        <w:trPr>
          <w:cantSplit/>
          <w:tblHeader/>
        </w:trPr>
        <w:tc>
          <w:tcPr>
            <w:tcW w:w="6204"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head"/>
            </w:pPr>
            <w:r w:rsidRPr="008D673A">
              <w:t>Parameter</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8E7914">
            <w:pPr>
              <w:pStyle w:val="Tablehead"/>
            </w:pPr>
            <w:r w:rsidRPr="008D673A">
              <w:t>Parameter (value)</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Signal frequency range (MHz)</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1 575.42</w:t>
            </w:r>
            <w:r w:rsidRPr="008D673A">
              <w:rPr>
                <w:rFonts w:eastAsia="MS PGothic"/>
              </w:rPr>
              <w:t xml:space="preserve"> ± </w:t>
            </w:r>
            <w:r w:rsidRPr="008D673A">
              <w:t>15.345</w:t>
            </w:r>
            <w:r w:rsidRPr="008D673A">
              <w:rPr>
                <w:rFonts w:eastAsia="MS PGothic"/>
              </w:rPr>
              <w:t xml:space="preserve"> </w:t>
            </w:r>
            <w:r w:rsidRPr="008D673A">
              <w:t>(GPS L1 signal),</w:t>
            </w:r>
            <w:r w:rsidRPr="008D673A">
              <w:br/>
              <w:t>1 227.6 ± 15.345 (GPS L2 signal),</w:t>
            </w:r>
            <w:r w:rsidRPr="008D673A">
              <w:br/>
              <w:t>1 176.45</w:t>
            </w:r>
            <w:r w:rsidRPr="008D673A">
              <w:rPr>
                <w:rFonts w:eastAsia="MS PGothic"/>
              </w:rPr>
              <w:t xml:space="preserve"> ± 12 </w:t>
            </w:r>
            <w:r w:rsidRPr="008D673A">
              <w:t>(GPS L5 signal)</w:t>
            </w:r>
          </w:p>
        </w:tc>
      </w:tr>
      <w:tr w:rsidR="00594157" w:rsidRPr="009A4B78"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Maximum receiver antenna gain in upper hemisphere (dBi)</w:t>
            </w:r>
          </w:p>
        </w:tc>
        <w:tc>
          <w:tcPr>
            <w:tcW w:w="3651"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 xml:space="preserve">7.0 (antenna pointed in zenith direction from </w:t>
            </w:r>
            <w:r w:rsidR="0034662F">
              <w:rPr>
                <w:lang w:val="en-US"/>
              </w:rPr>
              <w:t>low-Earth orbit (</w:t>
            </w:r>
            <w:r w:rsidRPr="00594157">
              <w:rPr>
                <w:lang w:val="en-US"/>
              </w:rPr>
              <w:t>LEO</w:t>
            </w:r>
            <w:r w:rsidR="0034662F">
              <w:rPr>
                <w:lang w:val="en-US"/>
              </w:rPr>
              <w:t>)</w:t>
            </w:r>
            <w:r w:rsidRPr="00594157">
              <w:rPr>
                <w:lang w:val="en-US"/>
              </w:rPr>
              <w:t>)</w:t>
            </w:r>
            <w:r w:rsidRPr="00594157">
              <w:rPr>
                <w:lang w:val="en-US"/>
              </w:rPr>
              <w:br/>
              <w:t>(with respect to RHCP signal)</w:t>
            </w:r>
          </w:p>
        </w:tc>
      </w:tr>
    </w:tbl>
    <w:p w:rsidR="00A108D0" w:rsidRPr="00014C56" w:rsidRDefault="00A108D0">
      <w:pPr>
        <w:rPr>
          <w:lang w:val="en-US"/>
        </w:rPr>
      </w:pPr>
      <w:r w:rsidRPr="00014C56">
        <w:rPr>
          <w:lang w:val="en-US"/>
        </w:rPr>
        <w:br w:type="page"/>
      </w:r>
    </w:p>
    <w:p w:rsidR="00A108D0" w:rsidRPr="00A108D0" w:rsidRDefault="00A108D0" w:rsidP="00A108D0">
      <w:pPr>
        <w:pStyle w:val="TableNo"/>
        <w:rPr>
          <w:i/>
          <w:iCs/>
          <w:lang w:val="en-US"/>
        </w:rPr>
      </w:pPr>
      <w:r w:rsidRPr="00594157">
        <w:rPr>
          <w:lang w:val="en-US"/>
        </w:rPr>
        <w:lastRenderedPageBreak/>
        <w:t xml:space="preserve">TABLE </w:t>
      </w:r>
      <w:r>
        <w:rPr>
          <w:lang w:val="en-US"/>
        </w:rPr>
        <w:t xml:space="preserve"> </w:t>
      </w:r>
      <w:r w:rsidRPr="00594157">
        <w:rPr>
          <w:lang w:val="en-US"/>
        </w:rPr>
        <w:t>2-1</w:t>
      </w:r>
      <w:r>
        <w:rPr>
          <w:lang w:val="en-US"/>
        </w:rPr>
        <w:t xml:space="preserve"> </w:t>
      </w:r>
      <w:r>
        <w:rPr>
          <w:i/>
          <w:iCs/>
          <w:lang w:val="en-US"/>
        </w:rPr>
        <w:t>(continued)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3651"/>
      </w:tblGrid>
      <w:tr w:rsidR="00A108D0" w:rsidRPr="008D673A" w:rsidTr="009A4B78">
        <w:trPr>
          <w:cantSplit/>
          <w:tblHeader/>
        </w:trPr>
        <w:tc>
          <w:tcPr>
            <w:tcW w:w="6204"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head"/>
            </w:pPr>
            <w:r w:rsidRPr="008D673A">
              <w:t>Parameter</w:t>
            </w:r>
          </w:p>
        </w:tc>
        <w:tc>
          <w:tcPr>
            <w:tcW w:w="3651" w:type="dxa"/>
            <w:tcBorders>
              <w:top w:val="single" w:sz="4" w:space="0" w:color="auto"/>
              <w:left w:val="single" w:sz="4" w:space="0" w:color="auto"/>
              <w:bottom w:val="single" w:sz="4" w:space="0" w:color="auto"/>
              <w:right w:val="single" w:sz="4" w:space="0" w:color="auto"/>
            </w:tcBorders>
          </w:tcPr>
          <w:p w:rsidR="00A108D0" w:rsidRPr="008D673A" w:rsidRDefault="00A108D0" w:rsidP="009A4B78">
            <w:pPr>
              <w:pStyle w:val="Tablehead"/>
            </w:pPr>
            <w:r w:rsidRPr="008D673A">
              <w:t>Parameter (value)</w:t>
            </w:r>
          </w:p>
        </w:tc>
      </w:tr>
      <w:tr w:rsidR="00594157" w:rsidRPr="009A4B78"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Maximum receiver antenna gain in lower hemisphere (dBi)</w:t>
            </w:r>
          </w:p>
        </w:tc>
        <w:tc>
          <w:tcPr>
            <w:tcW w:w="3651"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−10.0 (antenna pointed in zenith direction from LEO)</w:t>
            </w:r>
            <w:r w:rsidRPr="00594157">
              <w:rPr>
                <w:lang w:val="en-US"/>
              </w:rPr>
              <w:br/>
              <w:t>(with respect to RHCP signal)</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RF filter 3 dB bandwidth (MHz)</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24.0</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Precorrelation filter 3 dB bandwidth (MHz)</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20.46</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Receiver system noise temperature (K)</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111.0 (Note 1)</w:t>
            </w:r>
          </w:p>
        </w:tc>
      </w:tr>
      <w:tr w:rsidR="00594157" w:rsidRPr="009A4B78"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 xml:space="preserve">Tracking mode threshold power level of </w:t>
            </w:r>
            <w:r w:rsidRPr="00594157">
              <w:rPr>
                <w:rFonts w:eastAsia="MS PGothic"/>
                <w:lang w:val="en-US"/>
              </w:rPr>
              <w:t>aggregate</w:t>
            </w:r>
            <w:r w:rsidRPr="00594157">
              <w:rPr>
                <w:lang w:val="en-US"/>
              </w:rPr>
              <w:t xml:space="preserve"> narrow-band interference at the output of a passive antenna (dBW)</w:t>
            </w:r>
          </w:p>
        </w:tc>
        <w:tc>
          <w:tcPr>
            <w:tcW w:w="3651"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−164.0 (L1 signal) (Note 2)</w:t>
            </w:r>
            <w:r w:rsidRPr="00594157">
              <w:rPr>
                <w:lang w:val="en-US"/>
              </w:rPr>
              <w:br/>
              <w:t>−157.0 (L2 signal) (Note 3)</w:t>
            </w:r>
            <w:r w:rsidRPr="00594157">
              <w:rPr>
                <w:lang w:val="en-US"/>
              </w:rPr>
              <w:br/>
              <w:t>−154.0 (L5 signal) (Note 4)</w:t>
            </w:r>
            <w:r w:rsidRPr="00594157">
              <w:rPr>
                <w:lang w:val="en-US"/>
              </w:rPr>
              <w:br/>
              <w:t>(interfering bandwidth &lt; 1 MHz)</w:t>
            </w:r>
            <w:r w:rsidRPr="00594157">
              <w:rPr>
                <w:lang w:val="en-US"/>
              </w:rPr>
              <w:br/>
              <w:t>(these values apply primarily to space-based interference sources)</w:t>
            </w:r>
          </w:p>
        </w:tc>
      </w:tr>
      <w:tr w:rsidR="00594157" w:rsidRPr="009A4B78"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 xml:space="preserve">Acquisition mode threshold power level of </w:t>
            </w:r>
            <w:r w:rsidRPr="00594157">
              <w:rPr>
                <w:rFonts w:eastAsia="MS PGothic"/>
                <w:lang w:val="en-US"/>
              </w:rPr>
              <w:t>aggregate</w:t>
            </w:r>
            <w:r w:rsidRPr="00594157">
              <w:rPr>
                <w:lang w:val="en-US"/>
              </w:rPr>
              <w:t xml:space="preserve"> narrow-band interference at the output of a passive antenna (dBW) </w:t>
            </w:r>
          </w:p>
        </w:tc>
        <w:tc>
          <w:tcPr>
            <w:tcW w:w="3651"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−164.0 (L1 signal) (Note 2)</w:t>
            </w:r>
            <w:r w:rsidRPr="00594157">
              <w:rPr>
                <w:lang w:val="en-US"/>
              </w:rPr>
              <w:br/>
              <w:t>−163.0 (L2 signal) (Note 5)</w:t>
            </w:r>
            <w:r w:rsidRPr="00594157">
              <w:rPr>
                <w:lang w:val="en-US"/>
              </w:rPr>
              <w:br/>
              <w:t>−154.0 (L5 signal) (Note 4)</w:t>
            </w:r>
            <w:r w:rsidRPr="00594157">
              <w:rPr>
                <w:lang w:val="en-US"/>
              </w:rPr>
              <w:br/>
              <w:t>(interfering bandwidth &lt; 1 MHz)</w:t>
            </w:r>
            <w:r w:rsidRPr="00594157">
              <w:rPr>
                <w:lang w:val="en-US"/>
              </w:rPr>
              <w:br/>
              <w:t>(these values apply primarily to space-based interference sources)</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Tracking mode threshold power density level of aggregate wideband interference at the output of a passive antenna (dB(W/MHz))</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−154.0 (Note 6)</w:t>
            </w:r>
            <w:r w:rsidRPr="008D673A">
              <w:br/>
              <w:t xml:space="preserve">(interfering bandwidth </w:t>
            </w:r>
            <w:r w:rsidRPr="008D673A">
              <w:sym w:font="Symbol" w:char="00B3"/>
            </w:r>
            <w:r w:rsidRPr="008D673A">
              <w:t xml:space="preserve"> 1 MHz)</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Acquisition mode threshold power density level of aggregate wideband interference at the output of a passive antenna (dB(W/MHz))</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−154.0 (Note 6)</w:t>
            </w:r>
            <w:r w:rsidRPr="008D673A">
              <w:br/>
              <w:t xml:space="preserve">(interfering bandwidth </w:t>
            </w:r>
            <w:r w:rsidRPr="008D673A">
              <w:sym w:font="Symbol" w:char="00B3"/>
            </w:r>
            <w:r w:rsidRPr="008D673A">
              <w:t xml:space="preserve"> 1 MHz)</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594157" w:rsidRDefault="00594157" w:rsidP="0034662F">
            <w:pPr>
              <w:pStyle w:val="Tabletext"/>
              <w:jc w:val="left"/>
              <w:rPr>
                <w:lang w:val="en-US"/>
              </w:rPr>
            </w:pPr>
            <w:r w:rsidRPr="00594157">
              <w:rPr>
                <w:lang w:val="en-US"/>
              </w:rPr>
              <w:t>Receiver input compression level (dBW)</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−56.0</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Receiver survival level (dBW)</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−15.0</w:t>
            </w:r>
          </w:p>
        </w:tc>
      </w:tr>
      <w:tr w:rsidR="00594157" w:rsidRPr="008D673A" w:rsidTr="008E7914">
        <w:trPr>
          <w:cantSplit/>
        </w:trPr>
        <w:tc>
          <w:tcPr>
            <w:tcW w:w="6204"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Overload recovery time(s)</w:t>
            </w:r>
          </w:p>
        </w:tc>
        <w:tc>
          <w:tcPr>
            <w:tcW w:w="3651" w:type="dxa"/>
            <w:tcBorders>
              <w:top w:val="single" w:sz="4" w:space="0" w:color="auto"/>
              <w:left w:val="single" w:sz="4" w:space="0" w:color="auto"/>
              <w:bottom w:val="single" w:sz="4" w:space="0" w:color="auto"/>
              <w:right w:val="single" w:sz="4" w:space="0" w:color="auto"/>
            </w:tcBorders>
          </w:tcPr>
          <w:p w:rsidR="00594157" w:rsidRPr="008D673A" w:rsidRDefault="00594157" w:rsidP="0034662F">
            <w:pPr>
              <w:pStyle w:val="Tabletext"/>
              <w:jc w:val="left"/>
            </w:pPr>
            <w:r w:rsidRPr="008D673A">
              <w:t>10</w:t>
            </w:r>
            <w:r w:rsidRPr="008D673A">
              <w:rPr>
                <w:vertAlign w:val="superscript"/>
              </w:rPr>
              <w:t>−6</w:t>
            </w:r>
          </w:p>
        </w:tc>
      </w:tr>
      <w:tr w:rsidR="00594157" w:rsidRPr="009A4B78" w:rsidTr="008E7914">
        <w:tc>
          <w:tcPr>
            <w:tcW w:w="9855" w:type="dxa"/>
            <w:gridSpan w:val="2"/>
            <w:tcBorders>
              <w:top w:val="nil"/>
              <w:left w:val="nil"/>
              <w:bottom w:val="nil"/>
              <w:right w:val="nil"/>
            </w:tcBorders>
          </w:tcPr>
          <w:p w:rsidR="00594157" w:rsidRPr="00594157" w:rsidRDefault="00594157" w:rsidP="009F5480">
            <w:pPr>
              <w:pStyle w:val="Tabletext"/>
              <w:rPr>
                <w:lang w:val="en-US"/>
              </w:rPr>
            </w:pPr>
            <w:r w:rsidRPr="00594157">
              <w:rPr>
                <w:lang w:val="en-US"/>
              </w:rPr>
              <w:t xml:space="preserve">NOTE 1 − This noise temperature is based on an existing space receiver used for cm-level spacecraft precision orbit determination. The receiver has a low noise amplifier with 0.8 dB noise figure, zenith pointed 7 dBi antenna with 10 K antenna noise temperature, and 0.5 dB cable loss. The thermal noise floor is thus </w:t>
            </w:r>
            <w:r w:rsidRPr="00594157">
              <w:rPr>
                <w:i/>
                <w:lang w:val="en-US"/>
              </w:rPr>
              <w:t>N</w:t>
            </w:r>
            <w:r w:rsidRPr="00594157">
              <w:rPr>
                <w:vertAlign w:val="subscript"/>
                <w:lang w:val="en-US"/>
              </w:rPr>
              <w:t>0</w:t>
            </w:r>
            <w:r w:rsidRPr="00594157">
              <w:rPr>
                <w:lang w:val="en-US"/>
              </w:rPr>
              <w:t> = 10log(</w:t>
            </w:r>
            <w:r w:rsidRPr="00594157">
              <w:rPr>
                <w:i/>
                <w:lang w:val="en-US"/>
              </w:rPr>
              <w:t>kT</w:t>
            </w:r>
            <w:r w:rsidRPr="00594157">
              <w:rPr>
                <w:i/>
                <w:vertAlign w:val="subscript"/>
                <w:lang w:val="en-US"/>
              </w:rPr>
              <w:t>sys</w:t>
            </w:r>
            <w:r w:rsidRPr="00594157">
              <w:rPr>
                <w:lang w:val="en-US"/>
              </w:rPr>
              <w:t xml:space="preserve">) = −208 dB(W/Hz) = −148 dB(W/MHz) where </w:t>
            </w:r>
            <w:r w:rsidRPr="00594157">
              <w:rPr>
                <w:i/>
                <w:lang w:val="en-US"/>
              </w:rPr>
              <w:t>k</w:t>
            </w:r>
            <w:r w:rsidRPr="00594157">
              <w:rPr>
                <w:lang w:val="en-US"/>
              </w:rPr>
              <w:t xml:space="preserve"> is the Boltzmann constant.</w:t>
            </w:r>
          </w:p>
          <w:p w:rsidR="00594157" w:rsidRPr="00594157" w:rsidRDefault="00594157" w:rsidP="004A5CE7">
            <w:pPr>
              <w:pStyle w:val="Tabletext"/>
              <w:rPr>
                <w:lang w:val="en-US"/>
              </w:rPr>
            </w:pPr>
            <w:r w:rsidRPr="00594157">
              <w:rPr>
                <w:lang w:val="en-US"/>
              </w:rPr>
              <w:t>NOTE 2 − This threshold value applies only to the L1 CA-code receiver channel and for continuous narrow-band interference signal bandwidth less than 700 Hz. For bandwidths between 700 Hz and 1 MHz, the threshold increases as follows (see Fig. 2</w:t>
            </w:r>
            <w:bookmarkStart w:id="3" w:name="_GoBack"/>
            <w:bookmarkEnd w:id="3"/>
            <w:r w:rsidRPr="00594157">
              <w:rPr>
                <w:lang w:val="en-US"/>
              </w:rPr>
              <w:t xml:space="preserve"> in Recommendation ITU</w:t>
            </w:r>
            <w:r w:rsidRPr="00594157">
              <w:rPr>
                <w:lang w:val="en-US"/>
              </w:rPr>
              <w:noBreakHyphen/>
              <w:t>R M.</w:t>
            </w:r>
            <w:r w:rsidR="009F5480">
              <w:rPr>
                <w:lang w:val="en-US"/>
              </w:rPr>
              <w:t>1903</w:t>
            </w:r>
            <w:r w:rsidRPr="00594157">
              <w:rPr>
                <w:lang w:val="en-US"/>
              </w:rPr>
              <w:t xml:space="preserve">); (1) for interference bandwidth </w:t>
            </w:r>
            <w:r w:rsidRPr="00594157">
              <w:rPr>
                <w:i/>
                <w:lang w:val="en-US"/>
              </w:rPr>
              <w:t>B</w:t>
            </w:r>
            <w:r w:rsidRPr="00594157">
              <w:rPr>
                <w:i/>
                <w:vertAlign w:val="subscript"/>
                <w:lang w:val="en-US"/>
              </w:rPr>
              <w:t>I</w:t>
            </w:r>
            <w:r w:rsidRPr="00594157">
              <w:rPr>
                <w:i/>
                <w:lang w:val="en-US"/>
              </w:rPr>
              <w:t xml:space="preserve"> </w:t>
            </w:r>
            <w:r w:rsidRPr="00594157">
              <w:rPr>
                <w:lang w:val="en-US"/>
              </w:rPr>
              <w:t>from 700 Hz to 10 kHz, the threshold increases linearly with log(</w:t>
            </w:r>
            <w:r w:rsidRPr="00594157">
              <w:rPr>
                <w:i/>
                <w:lang w:val="en-US"/>
              </w:rPr>
              <w:t>B</w:t>
            </w:r>
            <w:r w:rsidRPr="00594157">
              <w:rPr>
                <w:i/>
                <w:vertAlign w:val="subscript"/>
                <w:lang w:val="en-US"/>
              </w:rPr>
              <w:t>I</w:t>
            </w:r>
            <w:r w:rsidRPr="00594157">
              <w:rPr>
                <w:lang w:val="en-US"/>
              </w:rPr>
              <w:t>) (</w:t>
            </w:r>
            <w:r w:rsidRPr="00594157">
              <w:rPr>
                <w:i/>
                <w:lang w:val="en-US"/>
              </w:rPr>
              <w:t>B</w:t>
            </w:r>
            <w:r w:rsidRPr="00594157">
              <w:rPr>
                <w:i/>
                <w:vertAlign w:val="subscript"/>
                <w:lang w:val="en-US"/>
              </w:rPr>
              <w:t>I</w:t>
            </w:r>
            <w:r w:rsidRPr="00594157">
              <w:rPr>
                <w:lang w:val="en-US"/>
              </w:rPr>
              <w:t xml:space="preserve"> in kHz) from −164 dBW at </w:t>
            </w:r>
            <w:r w:rsidRPr="00594157">
              <w:rPr>
                <w:i/>
                <w:lang w:val="en-US"/>
              </w:rPr>
              <w:t>B</w:t>
            </w:r>
            <w:r w:rsidRPr="00594157">
              <w:rPr>
                <w:i/>
                <w:vertAlign w:val="subscript"/>
                <w:lang w:val="en-US"/>
              </w:rPr>
              <w:t>I</w:t>
            </w:r>
            <w:r w:rsidRPr="00594157">
              <w:rPr>
                <w:lang w:val="en-US"/>
              </w:rPr>
              <w:t xml:space="preserve"> = 0.7 kHz to −157 dBW at </w:t>
            </w:r>
            <w:r w:rsidRPr="00594157">
              <w:rPr>
                <w:i/>
                <w:lang w:val="en-US"/>
              </w:rPr>
              <w:t>B</w:t>
            </w:r>
            <w:r w:rsidRPr="00594157">
              <w:rPr>
                <w:i/>
                <w:vertAlign w:val="subscript"/>
                <w:lang w:val="en-US"/>
              </w:rPr>
              <w:t>I</w:t>
            </w:r>
            <w:r w:rsidRPr="00594157">
              <w:rPr>
                <w:i/>
                <w:lang w:val="en-US"/>
              </w:rPr>
              <w:t> = </w:t>
            </w:r>
            <w:r w:rsidRPr="00594157">
              <w:rPr>
                <w:lang w:val="en-US"/>
              </w:rPr>
              <w:t xml:space="preserve">10 kHz; (2) for 10 kHz </w:t>
            </w:r>
            <w:r w:rsidRPr="008D673A">
              <w:sym w:font="Symbol" w:char="00A3"/>
            </w:r>
            <w:r w:rsidRPr="00594157">
              <w:rPr>
                <w:lang w:val="en-US"/>
              </w:rPr>
              <w:t xml:space="preserve"> </w:t>
            </w:r>
            <w:r w:rsidRPr="00594157">
              <w:rPr>
                <w:i/>
                <w:lang w:val="en-US"/>
              </w:rPr>
              <w:t>B</w:t>
            </w:r>
            <w:r w:rsidRPr="00594157">
              <w:rPr>
                <w:i/>
                <w:vertAlign w:val="subscript"/>
                <w:lang w:val="en-US"/>
              </w:rPr>
              <w:t>I</w:t>
            </w:r>
            <w:r w:rsidRPr="00594157">
              <w:rPr>
                <w:lang w:val="en-US"/>
              </w:rPr>
              <w:t xml:space="preserve"> </w:t>
            </w:r>
            <w:r w:rsidRPr="008D673A">
              <w:sym w:font="Symbol" w:char="00A3"/>
            </w:r>
            <w:r w:rsidRPr="00594157">
              <w:rPr>
                <w:lang w:val="en-US"/>
              </w:rPr>
              <w:t xml:space="preserve"> 100 kHz, the threshold increases linearly with the log(</w:t>
            </w:r>
            <w:r w:rsidRPr="00594157">
              <w:rPr>
                <w:i/>
                <w:lang w:val="en-US"/>
              </w:rPr>
              <w:t>B</w:t>
            </w:r>
            <w:r w:rsidRPr="00594157">
              <w:rPr>
                <w:i/>
                <w:vertAlign w:val="subscript"/>
                <w:lang w:val="en-US"/>
              </w:rPr>
              <w:t>I</w:t>
            </w:r>
            <w:r w:rsidRPr="00594157">
              <w:rPr>
                <w:lang w:val="en-US"/>
              </w:rPr>
              <w:t>) (</w:t>
            </w:r>
            <w:r w:rsidRPr="00594157">
              <w:rPr>
                <w:i/>
                <w:lang w:val="en-US"/>
              </w:rPr>
              <w:t>B</w:t>
            </w:r>
            <w:r w:rsidRPr="00594157">
              <w:rPr>
                <w:i/>
                <w:vertAlign w:val="subscript"/>
                <w:lang w:val="en-US"/>
              </w:rPr>
              <w:t>I</w:t>
            </w:r>
            <w:r w:rsidRPr="00594157">
              <w:rPr>
                <w:lang w:val="en-US"/>
              </w:rPr>
              <w:t xml:space="preserve"> in kHz) from −157 dBW at </w:t>
            </w:r>
            <w:r w:rsidRPr="00594157">
              <w:rPr>
                <w:i/>
                <w:lang w:val="en-US"/>
              </w:rPr>
              <w:t>B</w:t>
            </w:r>
            <w:r w:rsidRPr="00594157">
              <w:rPr>
                <w:i/>
                <w:vertAlign w:val="subscript"/>
                <w:lang w:val="en-US"/>
              </w:rPr>
              <w:t>I</w:t>
            </w:r>
            <w:r w:rsidRPr="00594157">
              <w:rPr>
                <w:lang w:val="en-US"/>
              </w:rPr>
              <w:t xml:space="preserve"> = 10 kHz to −154 dBW at </w:t>
            </w:r>
            <w:r w:rsidRPr="00594157">
              <w:rPr>
                <w:i/>
                <w:lang w:val="en-US"/>
              </w:rPr>
              <w:t>B</w:t>
            </w:r>
            <w:r w:rsidRPr="00594157">
              <w:rPr>
                <w:i/>
                <w:vertAlign w:val="subscript"/>
                <w:lang w:val="en-US"/>
              </w:rPr>
              <w:t>I</w:t>
            </w:r>
            <w:r w:rsidRPr="00594157">
              <w:rPr>
                <w:i/>
                <w:lang w:val="en-US"/>
              </w:rPr>
              <w:t> = </w:t>
            </w:r>
            <w:r w:rsidRPr="00594157">
              <w:rPr>
                <w:lang w:val="en-US"/>
              </w:rPr>
              <w:t>100 kHz; (3) for 100 kHz </w:t>
            </w:r>
            <w:r w:rsidRPr="008D673A">
              <w:sym w:font="Symbol" w:char="00A3"/>
            </w:r>
            <w:r w:rsidRPr="00594157">
              <w:rPr>
                <w:lang w:val="en-US"/>
              </w:rPr>
              <w:t> </w:t>
            </w:r>
            <w:r w:rsidRPr="00594157">
              <w:rPr>
                <w:i/>
                <w:lang w:val="en-US"/>
              </w:rPr>
              <w:t>B</w:t>
            </w:r>
            <w:r w:rsidRPr="00594157">
              <w:rPr>
                <w:i/>
                <w:vertAlign w:val="subscript"/>
                <w:lang w:val="en-US"/>
              </w:rPr>
              <w:t>I</w:t>
            </w:r>
            <w:r w:rsidRPr="00594157">
              <w:rPr>
                <w:i/>
                <w:lang w:val="en-US"/>
              </w:rPr>
              <w:t xml:space="preserve"> </w:t>
            </w:r>
            <w:r w:rsidRPr="008D673A">
              <w:sym w:font="Symbol" w:char="00A3"/>
            </w:r>
            <w:r w:rsidRPr="00594157">
              <w:rPr>
                <w:lang w:val="en-US"/>
              </w:rPr>
              <w:t xml:space="preserve"> 1 000 kHz, the threshold is −154 dBW.</w:t>
            </w:r>
          </w:p>
          <w:p w:rsidR="00594157" w:rsidRPr="00594157" w:rsidRDefault="00594157" w:rsidP="009F5480">
            <w:pPr>
              <w:pStyle w:val="Tabletext"/>
              <w:rPr>
                <w:rFonts w:eastAsia="Calibri"/>
                <w:lang w:val="en-US"/>
              </w:rPr>
            </w:pPr>
            <w:r w:rsidRPr="00594157">
              <w:rPr>
                <w:lang w:val="en-US"/>
              </w:rPr>
              <w:t xml:space="preserve">NOTE 3 − This value is based on the L2C signal consisting of a 511.5 kcps moderate-length code (L2C-M) with 20 ms code period time-multiplexed with another 511.5 kcps long code (L2C-L) with 1 500 ms code period to produce a total chipping rate of 1.023 Mcps. </w:t>
            </w:r>
            <w:r w:rsidRPr="00594157">
              <w:rPr>
                <w:rFonts w:eastAsia="Calibri"/>
                <w:lang w:val="en-US"/>
              </w:rPr>
              <w:t>Thresholds for interference bandwidths between 1 kHz to 1 MHz for L2C are undefined and may require further study.</w:t>
            </w:r>
          </w:p>
          <w:p w:rsidR="00594157" w:rsidRPr="00594157" w:rsidRDefault="00594157" w:rsidP="00A108D0">
            <w:pPr>
              <w:pStyle w:val="Tabletext"/>
              <w:rPr>
                <w:lang w:val="en-US"/>
              </w:rPr>
            </w:pPr>
            <w:r w:rsidRPr="00594157">
              <w:rPr>
                <w:lang w:val="en-US"/>
              </w:rPr>
              <w:t>NOTE 4 − This threshold is due to the spectral line nature of the L5 pilot signal which can result in up to 10 dB less interference rejection capability than that calculated assuming a non-periodic 10.23 Mcps random code with a continuous power spectrum (i.e. under the random code assumption, the threshold would be −144 dBW). Thresholds for interference bandwidths between 700 Hz and 1 MHz are under study.</w:t>
            </w:r>
          </w:p>
        </w:tc>
      </w:tr>
    </w:tbl>
    <w:p w:rsidR="00A108D0" w:rsidRPr="00014C56" w:rsidRDefault="00A108D0">
      <w:pPr>
        <w:rPr>
          <w:lang w:val="en-US"/>
        </w:rPr>
      </w:pPr>
      <w:r w:rsidRPr="00014C56">
        <w:rPr>
          <w:lang w:val="en-US"/>
        </w:rPr>
        <w:br w:type="page"/>
      </w:r>
    </w:p>
    <w:p w:rsidR="00A108D0" w:rsidRPr="00A108D0" w:rsidRDefault="00A108D0" w:rsidP="00A108D0">
      <w:pPr>
        <w:pStyle w:val="TableNo"/>
        <w:rPr>
          <w:i/>
          <w:iCs/>
          <w:lang w:val="en-US"/>
        </w:rPr>
      </w:pPr>
      <w:r w:rsidRPr="00594157">
        <w:rPr>
          <w:lang w:val="en-US"/>
        </w:rPr>
        <w:lastRenderedPageBreak/>
        <w:t xml:space="preserve">TABLE </w:t>
      </w:r>
      <w:r>
        <w:rPr>
          <w:lang w:val="en-US"/>
        </w:rPr>
        <w:t xml:space="preserve"> </w:t>
      </w:r>
      <w:r w:rsidRPr="00594157">
        <w:rPr>
          <w:lang w:val="en-US"/>
        </w:rPr>
        <w:t>2-1</w:t>
      </w:r>
      <w:r>
        <w:rPr>
          <w:lang w:val="en-US"/>
        </w:rPr>
        <w:t xml:space="preserve"> </w:t>
      </w:r>
      <w:r>
        <w:rPr>
          <w:i/>
          <w:iCs/>
          <w:lang w:val="en-US"/>
        </w:rPr>
        <w:t>(end)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A108D0" w:rsidRPr="009A4B78" w:rsidTr="008E7914">
        <w:tc>
          <w:tcPr>
            <w:tcW w:w="9855" w:type="dxa"/>
            <w:tcBorders>
              <w:top w:val="nil"/>
              <w:left w:val="nil"/>
              <w:bottom w:val="nil"/>
              <w:right w:val="nil"/>
            </w:tcBorders>
          </w:tcPr>
          <w:p w:rsidR="00A108D0" w:rsidRPr="00594157" w:rsidRDefault="00A108D0" w:rsidP="00A108D0">
            <w:pPr>
              <w:pStyle w:val="Tabletext"/>
              <w:rPr>
                <w:lang w:val="en-US"/>
              </w:rPr>
            </w:pPr>
            <w:r w:rsidRPr="00594157">
              <w:rPr>
                <w:lang w:val="en-US"/>
              </w:rPr>
              <w:t>NOTE 5 − This value is based on direct acquisition of the L2C signal using L2C-M.</w:t>
            </w:r>
            <w:r w:rsidRPr="00594157">
              <w:rPr>
                <w:rFonts w:eastAsia="Calibri"/>
                <w:szCs w:val="24"/>
                <w:lang w:val="en-US"/>
              </w:rPr>
              <w:t xml:space="preserve"> </w:t>
            </w:r>
            <w:r w:rsidRPr="00594157">
              <w:rPr>
                <w:rFonts w:eastAsia="Calibri"/>
                <w:lang w:val="en-US"/>
              </w:rPr>
              <w:t>Thresholds for interference bandwidths between 1 kHz to 1 MHz for L2C are undefined and may require further study.</w:t>
            </w:r>
          </w:p>
          <w:p w:rsidR="00A108D0" w:rsidRPr="00594157" w:rsidRDefault="00A108D0" w:rsidP="00A108D0">
            <w:pPr>
              <w:pStyle w:val="Tabletext"/>
              <w:rPr>
                <w:lang w:val="en-US"/>
              </w:rPr>
            </w:pPr>
            <w:r w:rsidRPr="00594157">
              <w:rPr>
                <w:lang w:val="en-US"/>
              </w:rPr>
              <w:t xml:space="preserve">NOTE 6 − This threshold is based on an </w:t>
            </w:r>
            <w:r w:rsidRPr="00594157">
              <w:rPr>
                <w:i/>
                <w:iCs/>
                <w:lang w:val="en-US"/>
              </w:rPr>
              <w:t>I</w:t>
            </w:r>
            <w:r w:rsidRPr="00594157">
              <w:rPr>
                <w:lang w:val="en-US"/>
              </w:rPr>
              <w:t>/</w:t>
            </w:r>
            <w:r w:rsidRPr="00594157">
              <w:rPr>
                <w:i/>
                <w:iCs/>
                <w:lang w:val="en-US"/>
              </w:rPr>
              <w:t>N</w:t>
            </w:r>
            <w:r w:rsidRPr="00594157">
              <w:rPr>
                <w:lang w:val="en-US"/>
              </w:rPr>
              <w:t xml:space="preserve"> ratio of −6 dB with respect to the thermal noise floor (</w:t>
            </w:r>
            <w:r w:rsidRPr="00594157">
              <w:rPr>
                <w:i/>
                <w:lang w:val="en-US"/>
              </w:rPr>
              <w:t>N</w:t>
            </w:r>
            <w:r w:rsidRPr="00594157">
              <w:rPr>
                <w:vertAlign w:val="subscript"/>
                <w:lang w:val="en-US"/>
              </w:rPr>
              <w:t>0</w:t>
            </w:r>
            <w:r w:rsidRPr="00594157">
              <w:rPr>
                <w:lang w:val="en-US"/>
              </w:rPr>
              <w:t> = −148 dB(W/MHz)). Equivalently, this interference will result in a 1 dB increase in the thermal noise floor. The noise floor increase may be greater than 1 dB in the 1 215-1 300 MHz and 1 164</w:t>
            </w:r>
            <w:r w:rsidRPr="00594157">
              <w:rPr>
                <w:lang w:val="en-US"/>
              </w:rPr>
              <w:noBreakHyphen/>
              <w:t>1 215 MHz bands due to potential pulsed radio-frequency interference (RFI) (e.g. from spaceborne synthetic aperture radars and/or ARNS transmitters). The effect of pulsed RFI on receiver performance will depend on a variety of factors including received pulse power (peak/average), pulse duration, and pulse duty cycle as well as specific receiver parameters such as front-end saturation level, saturation recovery time, automatic gain control saturation level and time constant (if multi-bit A/D is used), and type of A/D converter and quantization threshold levels. Further ITU</w:t>
            </w:r>
            <w:r w:rsidRPr="00594157">
              <w:rPr>
                <w:lang w:val="en-US"/>
              </w:rPr>
              <w:noBreakHyphen/>
              <w:t>R study is required to develop a method for evaluating pulsed RFI impact on RNSS receivers.</w:t>
            </w:r>
          </w:p>
        </w:tc>
      </w:tr>
    </w:tbl>
    <w:p w:rsidR="00A108D0" w:rsidRDefault="00A108D0" w:rsidP="009F5480">
      <w:pPr>
        <w:pStyle w:val="Tablefin"/>
      </w:pPr>
    </w:p>
    <w:p w:rsidR="00594157" w:rsidRPr="00594157" w:rsidRDefault="00594157" w:rsidP="00594157">
      <w:pPr>
        <w:rPr>
          <w:sz w:val="22"/>
          <w:szCs w:val="22"/>
          <w:lang w:val="en-US"/>
        </w:rPr>
      </w:pPr>
    </w:p>
    <w:p w:rsidR="00594157" w:rsidRPr="009F5480" w:rsidRDefault="00594157" w:rsidP="009F5480">
      <w:pPr>
        <w:pStyle w:val="AnnexNoTitle"/>
        <w:rPr>
          <w:lang w:val="en-US"/>
        </w:rPr>
      </w:pPr>
      <w:r w:rsidRPr="009F5480">
        <w:rPr>
          <w:lang w:val="en-US"/>
        </w:rPr>
        <w:t>Annex 3</w:t>
      </w:r>
      <w:r w:rsidR="009F5480" w:rsidRPr="009F5480">
        <w:rPr>
          <w:lang w:val="en-US"/>
        </w:rPr>
        <w:br/>
      </w:r>
      <w:r w:rsidR="009F5480" w:rsidRPr="009F5480">
        <w:rPr>
          <w:lang w:val="en-US"/>
        </w:rPr>
        <w:br/>
      </w:r>
      <w:r w:rsidRPr="009F5480">
        <w:rPr>
          <w:lang w:val="en-US"/>
        </w:rPr>
        <w:t>Galileo spaceborne receiver characteristics</w:t>
      </w:r>
    </w:p>
    <w:p w:rsidR="00594157" w:rsidRPr="008D673A" w:rsidRDefault="00594157" w:rsidP="00594157">
      <w:pPr>
        <w:pStyle w:val="Normalaftertitle"/>
      </w:pPr>
      <w:r w:rsidRPr="008D673A">
        <w:t>Table 3-1 provides characteristics of spaceborne RNSS receivers for use with the Galileo system.</w:t>
      </w:r>
    </w:p>
    <w:p w:rsidR="00594157" w:rsidRPr="008D673A" w:rsidRDefault="00594157" w:rsidP="00594157">
      <w:pPr>
        <w:pStyle w:val="TableNo"/>
      </w:pPr>
      <w:r w:rsidRPr="008D673A">
        <w:t xml:space="preserve">TABLE </w:t>
      </w:r>
      <w:r w:rsidR="009F5480">
        <w:t xml:space="preserve"> </w:t>
      </w:r>
      <w:r w:rsidRPr="008D673A">
        <w:t>3-1</w:t>
      </w:r>
    </w:p>
    <w:p w:rsidR="00594157" w:rsidRPr="008D673A" w:rsidRDefault="00594157" w:rsidP="00594157">
      <w:pPr>
        <w:pStyle w:val="Tabletitle"/>
      </w:pPr>
      <w:r w:rsidRPr="008D673A">
        <w:t>Galileo spaceborne receiver characteristics</w:t>
      </w:r>
    </w:p>
    <w:tbl>
      <w:tblPr>
        <w:tblW w:w="10128" w:type="dxa"/>
        <w:jc w:val="center"/>
        <w:tblInd w:w="8" w:type="dxa"/>
        <w:tblLayout w:type="fixed"/>
        <w:tblCellMar>
          <w:left w:w="85" w:type="dxa"/>
          <w:right w:w="85" w:type="dxa"/>
        </w:tblCellMar>
        <w:tblLook w:val="0000" w:firstRow="0" w:lastRow="0" w:firstColumn="0" w:lastColumn="0" w:noHBand="0" w:noVBand="0"/>
      </w:tblPr>
      <w:tblGrid>
        <w:gridCol w:w="2372"/>
        <w:gridCol w:w="1466"/>
        <w:gridCol w:w="1510"/>
        <w:gridCol w:w="797"/>
        <w:gridCol w:w="337"/>
        <w:gridCol w:w="1276"/>
        <w:gridCol w:w="992"/>
        <w:gridCol w:w="1378"/>
      </w:tblGrid>
      <w:tr w:rsidR="00594157" w:rsidRPr="008D673A" w:rsidTr="009A4B78">
        <w:trPr>
          <w:cantSplit/>
          <w:tblHeader/>
          <w:jc w:val="center"/>
        </w:trPr>
        <w:tc>
          <w:tcPr>
            <w:tcW w:w="2372" w:type="dxa"/>
            <w:vMerge w:val="restart"/>
            <w:tcBorders>
              <w:top w:val="single" w:sz="4" w:space="0" w:color="auto"/>
              <w:left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Parameter</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Parameter value</w:t>
            </w:r>
          </w:p>
        </w:tc>
      </w:tr>
      <w:tr w:rsidR="00594157" w:rsidRPr="008D673A" w:rsidTr="00223F5A">
        <w:trPr>
          <w:cantSplit/>
          <w:tblHeader/>
          <w:jc w:val="center"/>
        </w:trPr>
        <w:tc>
          <w:tcPr>
            <w:tcW w:w="2372" w:type="dxa"/>
            <w:vMerge/>
            <w:tcBorders>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p>
        </w:tc>
        <w:tc>
          <w:tcPr>
            <w:tcW w:w="1466" w:type="dxa"/>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E5a</w:t>
            </w:r>
          </w:p>
        </w:tc>
        <w:tc>
          <w:tcPr>
            <w:tcW w:w="1510" w:type="dxa"/>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E5b</w:t>
            </w:r>
          </w:p>
        </w:tc>
        <w:tc>
          <w:tcPr>
            <w:tcW w:w="797" w:type="dxa"/>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E6 CS</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E6 PRS</w:t>
            </w:r>
          </w:p>
        </w:tc>
        <w:tc>
          <w:tcPr>
            <w:tcW w:w="992" w:type="dxa"/>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E OS</w:t>
            </w:r>
          </w:p>
        </w:tc>
        <w:tc>
          <w:tcPr>
            <w:tcW w:w="1378" w:type="dxa"/>
            <w:tcBorders>
              <w:top w:val="single" w:sz="4" w:space="0" w:color="auto"/>
              <w:left w:val="single" w:sz="4" w:space="0" w:color="auto"/>
              <w:bottom w:val="single" w:sz="4" w:space="0" w:color="auto"/>
              <w:right w:val="single" w:sz="4" w:space="0" w:color="auto"/>
            </w:tcBorders>
            <w:vAlign w:val="center"/>
          </w:tcPr>
          <w:p w:rsidR="00594157" w:rsidRPr="009F5480" w:rsidRDefault="00594157" w:rsidP="009F5480">
            <w:pPr>
              <w:pStyle w:val="Tablehead"/>
              <w:rPr>
                <w:rFonts w:eastAsia="MS PGothic"/>
              </w:rPr>
            </w:pPr>
            <w:r w:rsidRPr="009F5480">
              <w:rPr>
                <w:rFonts w:eastAsia="MS PGothic"/>
              </w:rPr>
              <w:t>E PRS</w:t>
            </w:r>
          </w:p>
        </w:tc>
      </w:tr>
      <w:tr w:rsidR="00594157"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B1271C">
            <w:pPr>
              <w:pStyle w:val="Tabletext"/>
              <w:jc w:val="left"/>
              <w:rPr>
                <w:rFonts w:eastAsia="MS PGothic"/>
              </w:rPr>
            </w:pPr>
            <w:r w:rsidRPr="008D673A">
              <w:rPr>
                <w:rFonts w:eastAsia="MS PGothic"/>
              </w:rPr>
              <w:t>Signal frequency range (MHz)</w:t>
            </w:r>
          </w:p>
        </w:tc>
        <w:tc>
          <w:tcPr>
            <w:tcW w:w="1466"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9A4B78">
            <w:pPr>
              <w:pStyle w:val="Tabletext"/>
              <w:jc w:val="center"/>
              <w:rPr>
                <w:rFonts w:eastAsia="MS PGothic"/>
              </w:rPr>
            </w:pPr>
            <w:r w:rsidRPr="008D673A">
              <w:rPr>
                <w:rFonts w:eastAsia="MS PGothic"/>
              </w:rPr>
              <w:t>1 176.45</w:t>
            </w:r>
            <w:r w:rsidR="009A4B78">
              <w:rPr>
                <w:rFonts w:eastAsia="MS PGothic"/>
              </w:rPr>
              <w:t> </w:t>
            </w:r>
            <w:r w:rsidRPr="008D673A">
              <w:rPr>
                <w:rFonts w:eastAsia="MS PGothic"/>
              </w:rPr>
              <w:t>± 12</w:t>
            </w:r>
          </w:p>
        </w:tc>
        <w:tc>
          <w:tcPr>
            <w:tcW w:w="1510"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1 207.14 ± 12</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1 278.75 ± 20.5</w:t>
            </w:r>
          </w:p>
        </w:tc>
        <w:tc>
          <w:tcPr>
            <w:tcW w:w="2370"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1 575.42 ± 16</w:t>
            </w:r>
          </w:p>
        </w:tc>
      </w:tr>
      <w:tr w:rsidR="00594157"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PRN code chip rate (Mcps)</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10.023</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5.115</w:t>
            </w:r>
          </w:p>
        </w:tc>
        <w:tc>
          <w:tcPr>
            <w:tcW w:w="99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1.023</w:t>
            </w:r>
          </w:p>
        </w:tc>
        <w:tc>
          <w:tcPr>
            <w:tcW w:w="1378"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2.5575</w:t>
            </w:r>
          </w:p>
        </w:tc>
      </w:tr>
      <w:tr w:rsidR="00594157"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Navigation data bit/symbol rates (bps/sps)</w:t>
            </w:r>
          </w:p>
        </w:tc>
        <w:tc>
          <w:tcPr>
            <w:tcW w:w="1466"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25 bps/</w:t>
            </w:r>
            <w:r w:rsidRPr="008D673A">
              <w:rPr>
                <w:rFonts w:eastAsia="MS PGothic"/>
              </w:rPr>
              <w:br/>
              <w:t>50 sps</w:t>
            </w:r>
          </w:p>
        </w:tc>
        <w:tc>
          <w:tcPr>
            <w:tcW w:w="1510"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125 bps/</w:t>
            </w:r>
            <w:r w:rsidRPr="008D673A">
              <w:rPr>
                <w:rFonts w:eastAsia="MS PGothic"/>
              </w:rPr>
              <w:br/>
              <w:t>250 sps</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500 bps/ 1 000 sps</w:t>
            </w:r>
          </w:p>
        </w:tc>
        <w:tc>
          <w:tcPr>
            <w:tcW w:w="1276"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classified</w:t>
            </w:r>
          </w:p>
        </w:tc>
        <w:tc>
          <w:tcPr>
            <w:tcW w:w="99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125 bps/</w:t>
            </w:r>
            <w:r w:rsidRPr="008D673A">
              <w:rPr>
                <w:rFonts w:eastAsia="MS PGothic"/>
              </w:rPr>
              <w:br/>
              <w:t>250 sps</w:t>
            </w:r>
          </w:p>
        </w:tc>
        <w:tc>
          <w:tcPr>
            <w:tcW w:w="1378"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classified</w:t>
            </w:r>
          </w:p>
        </w:tc>
      </w:tr>
      <w:tr w:rsidR="00594157"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 xml:space="preserve">Maximum allowable bit error rate </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vertAlign w:val="superscript"/>
              </w:rPr>
            </w:pPr>
            <w:r w:rsidRPr="008D673A">
              <w:rPr>
                <w:rFonts w:eastAsia="MS PGothic"/>
              </w:rPr>
              <w:t>2 × 10</w:t>
            </w:r>
            <w:r w:rsidRPr="008D673A">
              <w:rPr>
                <w:rFonts w:eastAsia="MS PGothic"/>
                <w:vertAlign w:val="superscript"/>
              </w:rPr>
              <w:t>−7</w:t>
            </w:r>
          </w:p>
        </w:tc>
      </w:tr>
      <w:tr w:rsidR="00594157" w:rsidRPr="008D673A" w:rsidTr="00223F5A">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B1271C">
            <w:pPr>
              <w:pStyle w:val="Tabletext"/>
              <w:jc w:val="left"/>
              <w:rPr>
                <w:rFonts w:eastAsia="MS PGothic"/>
              </w:rPr>
            </w:pPr>
            <w:r w:rsidRPr="008D673A">
              <w:rPr>
                <w:rFonts w:eastAsia="MS PGothic"/>
              </w:rPr>
              <w:t>Signal modulation method</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AltBOC (15.10)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BPSK (5)</w:t>
            </w:r>
          </w:p>
        </w:tc>
        <w:tc>
          <w:tcPr>
            <w:tcW w:w="1276"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BOC (10,5)</w:t>
            </w:r>
          </w:p>
        </w:tc>
        <w:tc>
          <w:tcPr>
            <w:tcW w:w="99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MBOC</w:t>
            </w:r>
          </w:p>
        </w:tc>
        <w:tc>
          <w:tcPr>
            <w:tcW w:w="1378"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BOC (15,2.5)</w:t>
            </w:r>
          </w:p>
        </w:tc>
      </w:tr>
      <w:tr w:rsidR="00594157"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B1271C">
            <w:pPr>
              <w:pStyle w:val="Tabletext"/>
              <w:jc w:val="left"/>
              <w:rPr>
                <w:rFonts w:eastAsia="MS PGothic"/>
              </w:rPr>
            </w:pPr>
            <w:r w:rsidRPr="008D673A">
              <w:rPr>
                <w:rFonts w:eastAsia="MS PGothic"/>
              </w:rPr>
              <w:t>Polarization</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RHCP</w:t>
            </w:r>
          </w:p>
        </w:tc>
      </w:tr>
      <w:tr w:rsidR="00594157"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Minimum received power level (dBW)</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−160</w:t>
            </w:r>
          </w:p>
        </w:tc>
      </w:tr>
      <w:tr w:rsidR="00594157"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Maximum receiver antenna gain in upper hemisphere (dBi)</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7.0 (LEO satellite)</w:t>
            </w:r>
          </w:p>
          <w:p w:rsidR="00594157" w:rsidRPr="008D673A" w:rsidRDefault="00594157" w:rsidP="008E7914">
            <w:pPr>
              <w:pStyle w:val="Tabletext"/>
              <w:jc w:val="center"/>
              <w:rPr>
                <w:rFonts w:eastAsia="MS PGothic"/>
              </w:rPr>
            </w:pPr>
            <w:r w:rsidRPr="008D673A">
              <w:rPr>
                <w:rFonts w:eastAsia="MS PGothic"/>
              </w:rPr>
              <w:t>14 (GSO satellite)</w:t>
            </w:r>
          </w:p>
        </w:tc>
      </w:tr>
      <w:tr w:rsidR="00594157" w:rsidRPr="008D673A" w:rsidTr="009A4B78">
        <w:trPr>
          <w:cantSplit/>
          <w:jc w:val="center"/>
        </w:trPr>
        <w:tc>
          <w:tcPr>
            <w:tcW w:w="2372" w:type="dxa"/>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Maximum receiver antenna gain in lower hemisphere (dBi)</w:t>
            </w:r>
          </w:p>
        </w:tc>
        <w:tc>
          <w:tcPr>
            <w:tcW w:w="7756" w:type="dxa"/>
            <w:gridSpan w:val="7"/>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−10.0 (LEO satellite)</w:t>
            </w:r>
          </w:p>
          <w:p w:rsidR="00594157" w:rsidRPr="008D673A" w:rsidRDefault="00594157" w:rsidP="008E7914">
            <w:pPr>
              <w:pStyle w:val="Tabletext"/>
              <w:jc w:val="center"/>
              <w:rPr>
                <w:rFonts w:eastAsia="MS PGothic"/>
              </w:rPr>
            </w:pPr>
            <w:r w:rsidRPr="008D673A">
              <w:rPr>
                <w:rFonts w:eastAsia="MS PGothic"/>
              </w:rPr>
              <w:t>−15 (GSO satellite)</w:t>
            </w:r>
          </w:p>
        </w:tc>
      </w:tr>
    </w:tbl>
    <w:p w:rsidR="006E1248" w:rsidRPr="006E1248" w:rsidRDefault="006E1248" w:rsidP="00014C56">
      <w:pPr>
        <w:pStyle w:val="TableNo"/>
        <w:rPr>
          <w:i/>
          <w:iCs/>
        </w:rPr>
      </w:pPr>
      <w:r w:rsidRPr="008D673A">
        <w:lastRenderedPageBreak/>
        <w:t xml:space="preserve">TABLE </w:t>
      </w:r>
      <w:r>
        <w:t xml:space="preserve"> </w:t>
      </w:r>
      <w:r w:rsidRPr="008D673A">
        <w:t>3-1</w:t>
      </w:r>
      <w:r>
        <w:t xml:space="preserve"> </w:t>
      </w:r>
      <w:r>
        <w:rPr>
          <w:i/>
          <w:iCs/>
        </w:rPr>
        <w:t>(</w:t>
      </w:r>
      <w:r w:rsidR="00014C56">
        <w:rPr>
          <w:i/>
          <w:iCs/>
        </w:rPr>
        <w:t>end</w:t>
      </w:r>
      <w:r>
        <w:rPr>
          <w:i/>
          <w:iCs/>
        </w:rPr>
        <w:t>)</w:t>
      </w:r>
    </w:p>
    <w:tbl>
      <w:tblPr>
        <w:tblW w:w="10128" w:type="dxa"/>
        <w:jc w:val="center"/>
        <w:tblInd w:w="8" w:type="dxa"/>
        <w:tblLayout w:type="fixed"/>
        <w:tblCellMar>
          <w:left w:w="99" w:type="dxa"/>
          <w:right w:w="99" w:type="dxa"/>
        </w:tblCellMar>
        <w:tblLook w:val="0000" w:firstRow="0" w:lastRow="0" w:firstColumn="0" w:lastColumn="0" w:noHBand="0" w:noVBand="0"/>
      </w:tblPr>
      <w:tblGrid>
        <w:gridCol w:w="21"/>
        <w:gridCol w:w="4335"/>
        <w:gridCol w:w="709"/>
        <w:gridCol w:w="709"/>
        <w:gridCol w:w="850"/>
        <w:gridCol w:w="992"/>
        <w:gridCol w:w="1560"/>
        <w:gridCol w:w="952"/>
      </w:tblGrid>
      <w:tr w:rsidR="006E1248" w:rsidRPr="008D673A" w:rsidTr="00223F5A">
        <w:trPr>
          <w:cantSplit/>
          <w:tblHeader/>
          <w:jc w:val="center"/>
        </w:trPr>
        <w:tc>
          <w:tcPr>
            <w:tcW w:w="4356" w:type="dxa"/>
            <w:gridSpan w:val="2"/>
            <w:vMerge w:val="restart"/>
            <w:tcBorders>
              <w:top w:val="single" w:sz="4" w:space="0" w:color="auto"/>
              <w:left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Parameter</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Parameter value</w:t>
            </w:r>
          </w:p>
        </w:tc>
      </w:tr>
      <w:tr w:rsidR="00491F59" w:rsidRPr="008D673A" w:rsidTr="00491F59">
        <w:trPr>
          <w:cantSplit/>
          <w:tblHeader/>
          <w:jc w:val="center"/>
        </w:trPr>
        <w:tc>
          <w:tcPr>
            <w:tcW w:w="4356" w:type="dxa"/>
            <w:gridSpan w:val="2"/>
            <w:vMerge/>
            <w:tcBorders>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p>
        </w:tc>
        <w:tc>
          <w:tcPr>
            <w:tcW w:w="709" w:type="dxa"/>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E5a</w:t>
            </w:r>
          </w:p>
        </w:tc>
        <w:tc>
          <w:tcPr>
            <w:tcW w:w="709" w:type="dxa"/>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E5b</w:t>
            </w:r>
          </w:p>
        </w:tc>
        <w:tc>
          <w:tcPr>
            <w:tcW w:w="850" w:type="dxa"/>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E6 CS</w:t>
            </w:r>
          </w:p>
        </w:tc>
        <w:tc>
          <w:tcPr>
            <w:tcW w:w="992" w:type="dxa"/>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E6 PRS</w:t>
            </w:r>
          </w:p>
        </w:tc>
        <w:tc>
          <w:tcPr>
            <w:tcW w:w="1560" w:type="dxa"/>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E OS</w:t>
            </w:r>
          </w:p>
        </w:tc>
        <w:tc>
          <w:tcPr>
            <w:tcW w:w="952" w:type="dxa"/>
            <w:tcBorders>
              <w:top w:val="single" w:sz="4" w:space="0" w:color="auto"/>
              <w:left w:val="single" w:sz="4" w:space="0" w:color="auto"/>
              <w:bottom w:val="single" w:sz="4" w:space="0" w:color="auto"/>
              <w:right w:val="single" w:sz="4" w:space="0" w:color="auto"/>
            </w:tcBorders>
            <w:vAlign w:val="center"/>
          </w:tcPr>
          <w:p w:rsidR="006E1248" w:rsidRPr="009F5480" w:rsidRDefault="006E1248" w:rsidP="009A4B78">
            <w:pPr>
              <w:pStyle w:val="Tablehead"/>
              <w:rPr>
                <w:rFonts w:eastAsia="MS PGothic"/>
              </w:rPr>
            </w:pPr>
            <w:r w:rsidRPr="009F5480">
              <w:rPr>
                <w:rFonts w:eastAsia="MS PGothic"/>
              </w:rPr>
              <w:t>E PRS</w:t>
            </w:r>
          </w:p>
        </w:tc>
      </w:tr>
      <w:tr w:rsidR="00594157" w:rsidRPr="008D673A" w:rsidTr="00491F59">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RF filter 3 dB bandwidth (MHz)</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51.15</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30.69</w:t>
            </w:r>
          </w:p>
        </w:tc>
        <w:tc>
          <w:tcPr>
            <w:tcW w:w="1560"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4 (basic) to 24 (science use)</w:t>
            </w:r>
          </w:p>
        </w:tc>
        <w:tc>
          <w:tcPr>
            <w:tcW w:w="95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32</w:t>
            </w:r>
          </w:p>
        </w:tc>
      </w:tr>
      <w:tr w:rsidR="00594157" w:rsidRPr="008D673A" w:rsidTr="00491F59">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B1271C">
            <w:pPr>
              <w:pStyle w:val="Tabletext"/>
              <w:jc w:val="left"/>
              <w:rPr>
                <w:rFonts w:eastAsia="MS PGothic"/>
              </w:rPr>
            </w:pPr>
            <w:r w:rsidRPr="008D673A">
              <w:rPr>
                <w:rFonts w:eastAsia="MS PGothic"/>
              </w:rPr>
              <w:t>Pre-correlation filter 3 dB bandwidth (MHz)</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24</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30.69</w:t>
            </w:r>
          </w:p>
        </w:tc>
        <w:tc>
          <w:tcPr>
            <w:tcW w:w="1560"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4 (basic) to 24 (science use)</w:t>
            </w:r>
          </w:p>
        </w:tc>
        <w:tc>
          <w:tcPr>
            <w:tcW w:w="952" w:type="dxa"/>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32</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Receiver system noise temperature (K)</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75</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Tracking mode threshold power level of aggregate narrow-band interference at the output of a passive antenna (dBW)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−142.0</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Acquisition mode threshold power level of aggregate narrow-band interference at the output of a passive antenna (dBW)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−135.0</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Tracking mode threshold power density level of aggregate wideband interference at the output of a passive antenna (dBW/MHz)</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−142.0</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rFonts w:eastAsia="MS PGothic"/>
                <w:lang w:val="en-US"/>
              </w:rPr>
            </w:pPr>
            <w:r w:rsidRPr="00594157">
              <w:rPr>
                <w:rFonts w:eastAsia="MS PGothic"/>
                <w:lang w:val="en-US"/>
              </w:rPr>
              <w:t xml:space="preserve">Acquisition mode threshold power density level of aggregate wideband interference at the output of a passive antenna (dBW/MHz) </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−135.0</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594157" w:rsidRDefault="00594157" w:rsidP="00B1271C">
            <w:pPr>
              <w:pStyle w:val="Tabletext"/>
              <w:jc w:val="left"/>
              <w:rPr>
                <w:lang w:val="en-US"/>
              </w:rPr>
            </w:pPr>
            <w:r w:rsidRPr="00594157">
              <w:rPr>
                <w:lang w:val="en-US"/>
              </w:rPr>
              <w:t>Receiver input compression level (dBW)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−50</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B1271C">
            <w:pPr>
              <w:pStyle w:val="Tabletext"/>
              <w:jc w:val="left"/>
            </w:pPr>
            <w:r w:rsidRPr="008D673A">
              <w:t>Receiver survival level (dBW)</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−10</w:t>
            </w:r>
          </w:p>
        </w:tc>
      </w:tr>
      <w:tr w:rsidR="00594157" w:rsidRPr="008D673A" w:rsidTr="00223F5A">
        <w:trPr>
          <w:cantSplit/>
          <w:jc w:val="center"/>
        </w:trPr>
        <w:tc>
          <w:tcPr>
            <w:tcW w:w="4356" w:type="dxa"/>
            <w:gridSpan w:val="2"/>
            <w:tcBorders>
              <w:top w:val="single" w:sz="4" w:space="0" w:color="auto"/>
              <w:left w:val="single" w:sz="4" w:space="0" w:color="auto"/>
              <w:bottom w:val="single" w:sz="4" w:space="0" w:color="auto"/>
              <w:right w:val="single" w:sz="4" w:space="0" w:color="auto"/>
            </w:tcBorders>
            <w:vAlign w:val="center"/>
          </w:tcPr>
          <w:p w:rsidR="00594157" w:rsidRPr="008D673A" w:rsidRDefault="00594157" w:rsidP="00B1271C">
            <w:pPr>
              <w:pStyle w:val="Tabletext"/>
              <w:jc w:val="left"/>
            </w:pPr>
            <w:r w:rsidRPr="008D673A">
              <w:t>Overload recovery time(s)</w:t>
            </w:r>
          </w:p>
        </w:tc>
        <w:tc>
          <w:tcPr>
            <w:tcW w:w="5772" w:type="dxa"/>
            <w:gridSpan w:val="6"/>
            <w:tcBorders>
              <w:top w:val="single" w:sz="4" w:space="0" w:color="auto"/>
              <w:left w:val="single" w:sz="4" w:space="0" w:color="auto"/>
              <w:bottom w:val="single" w:sz="4" w:space="0" w:color="auto"/>
              <w:right w:val="single" w:sz="4" w:space="0" w:color="auto"/>
            </w:tcBorders>
            <w:vAlign w:val="center"/>
          </w:tcPr>
          <w:p w:rsidR="00594157" w:rsidRPr="008D673A" w:rsidRDefault="00594157" w:rsidP="008E7914">
            <w:pPr>
              <w:pStyle w:val="Tabletext"/>
              <w:jc w:val="center"/>
              <w:rPr>
                <w:rFonts w:eastAsia="MS PGothic"/>
              </w:rPr>
            </w:pPr>
            <w:r w:rsidRPr="008D673A">
              <w:rPr>
                <w:rFonts w:eastAsia="MS PGothic"/>
              </w:rPr>
              <w:t>10</w:t>
            </w:r>
            <w:r w:rsidRPr="008D673A">
              <w:rPr>
                <w:rFonts w:eastAsia="MS PGothic"/>
                <w:vertAlign w:val="superscript"/>
              </w:rPr>
              <w:t>−6</w:t>
            </w:r>
          </w:p>
        </w:tc>
      </w:tr>
      <w:tr w:rsidR="00594157" w:rsidRPr="009A4B78" w:rsidTr="008E7914">
        <w:trPr>
          <w:gridBefore w:val="1"/>
          <w:wBefore w:w="21" w:type="dxa"/>
          <w:cantSplit/>
          <w:jc w:val="center"/>
        </w:trPr>
        <w:tc>
          <w:tcPr>
            <w:tcW w:w="10107" w:type="dxa"/>
            <w:gridSpan w:val="7"/>
            <w:tcBorders>
              <w:top w:val="single" w:sz="4" w:space="0" w:color="auto"/>
              <w:left w:val="nil"/>
              <w:bottom w:val="nil"/>
              <w:right w:val="nil"/>
            </w:tcBorders>
          </w:tcPr>
          <w:p w:rsidR="00594157" w:rsidRPr="00594157" w:rsidRDefault="00594157" w:rsidP="00B1271C">
            <w:pPr>
              <w:pStyle w:val="Tabletext"/>
              <w:rPr>
                <w:lang w:val="en-US"/>
              </w:rPr>
            </w:pPr>
            <w:r w:rsidRPr="00594157">
              <w:rPr>
                <w:lang w:val="en-US"/>
              </w:rPr>
              <w:t>NOTE 1 − A continuous narrow-band interference signal is considered to have a bandwidth less than 700 Hz. A continuous wideband interference signal is considered to have a bandwidth greater than 1 MHz.</w:t>
            </w:r>
          </w:p>
          <w:p w:rsidR="00594157" w:rsidRPr="00594157" w:rsidRDefault="00594157" w:rsidP="00B1271C">
            <w:pPr>
              <w:pStyle w:val="Tabletext"/>
              <w:rPr>
                <w:rFonts w:eastAsia="MS PGothic"/>
                <w:lang w:val="en-US"/>
              </w:rPr>
            </w:pPr>
            <w:r w:rsidRPr="00594157">
              <w:rPr>
                <w:lang w:val="en-US"/>
              </w:rPr>
              <w:t>NOTE 2 − For Galileo RNSS parameters, BPSK-R(</w:t>
            </w:r>
            <w:r w:rsidRPr="00594157">
              <w:rPr>
                <w:i/>
                <w:lang w:val="en-US"/>
              </w:rPr>
              <w:t>n</w:t>
            </w:r>
            <w:r w:rsidRPr="00594157">
              <w:rPr>
                <w:lang w:val="en-US"/>
              </w:rPr>
              <w:t xml:space="preserve">) denotes a binary phase shift keying modulation using rectangular chips with a chipping rate of </w:t>
            </w:r>
            <w:r w:rsidRPr="00594157">
              <w:rPr>
                <w:i/>
                <w:lang w:val="en-US"/>
              </w:rPr>
              <w:t>n</w:t>
            </w:r>
            <w:r w:rsidRPr="00594157">
              <w:rPr>
                <w:lang w:val="en-US"/>
              </w:rPr>
              <w:t xml:space="preserve"> </w:t>
            </w:r>
            <w:r w:rsidRPr="008D673A">
              <w:sym w:font="Symbol" w:char="00B4"/>
            </w:r>
            <w:r w:rsidRPr="00594157">
              <w:rPr>
                <w:lang w:val="en-US"/>
              </w:rPr>
              <w:t xml:space="preserve"> 1.023 (Mcps). BOC (</w:t>
            </w:r>
            <w:r w:rsidRPr="00594157">
              <w:rPr>
                <w:i/>
                <w:lang w:val="en-US"/>
              </w:rPr>
              <w:t>m</w:t>
            </w:r>
            <w:r w:rsidRPr="00594157">
              <w:rPr>
                <w:lang w:val="en-US"/>
              </w:rPr>
              <w:t>,</w:t>
            </w:r>
            <w:r w:rsidR="00223F5A">
              <w:rPr>
                <w:lang w:val="en-US"/>
              </w:rPr>
              <w:t xml:space="preserve"> </w:t>
            </w:r>
            <w:r w:rsidRPr="00594157">
              <w:rPr>
                <w:i/>
                <w:lang w:val="en-US"/>
              </w:rPr>
              <w:t>n</w:t>
            </w:r>
            <w:r w:rsidRPr="00594157">
              <w:rPr>
                <w:lang w:val="en-US"/>
              </w:rPr>
              <w:t xml:space="preserve">) denotes a binary offset carrier modulation with a carrier frequency offset of </w:t>
            </w:r>
            <w:r w:rsidRPr="00594157">
              <w:rPr>
                <w:i/>
                <w:lang w:val="en-US"/>
              </w:rPr>
              <w:t>m</w:t>
            </w:r>
            <w:r w:rsidRPr="00594157">
              <w:rPr>
                <w:lang w:val="en-US"/>
              </w:rPr>
              <w:t xml:space="preserve"> </w:t>
            </w:r>
            <w:r w:rsidRPr="008D673A">
              <w:sym w:font="Symbol" w:char="00B4"/>
            </w:r>
            <w:r w:rsidRPr="00594157">
              <w:rPr>
                <w:lang w:val="en-US"/>
              </w:rPr>
              <w:t xml:space="preserve"> 1.023 (MHz) and chipping rate of </w:t>
            </w:r>
            <w:r w:rsidRPr="00594157">
              <w:rPr>
                <w:i/>
                <w:lang w:val="en-US"/>
              </w:rPr>
              <w:t>n</w:t>
            </w:r>
            <w:r w:rsidRPr="00594157">
              <w:rPr>
                <w:lang w:val="en-US"/>
              </w:rPr>
              <w:t xml:space="preserve"> </w:t>
            </w:r>
            <w:r w:rsidRPr="008D673A">
              <w:sym w:font="Symbol" w:char="00B4"/>
            </w:r>
            <w:r w:rsidRPr="00594157">
              <w:rPr>
                <w:lang w:val="en-US"/>
              </w:rPr>
              <w:t xml:space="preserve"> 1.023 (Mcps). MBOC denotes a multiplexed binary offset carrier modulation such that the power spectrum density </w:t>
            </w:r>
            <w:r w:rsidRPr="00594157">
              <w:rPr>
                <w:i/>
                <w:lang w:val="en-US"/>
              </w:rPr>
              <w:t>G</w:t>
            </w:r>
            <w:r w:rsidRPr="00594157">
              <w:rPr>
                <w:i/>
                <w:vertAlign w:val="subscript"/>
                <w:lang w:val="en-US"/>
              </w:rPr>
              <w:t>MBOC</w:t>
            </w:r>
            <w:r w:rsidRPr="00594157">
              <w:rPr>
                <w:vertAlign w:val="subscript"/>
                <w:lang w:val="en-US"/>
              </w:rPr>
              <w:t xml:space="preserve"> </w:t>
            </w:r>
            <w:r w:rsidRPr="00594157">
              <w:rPr>
                <w:lang w:val="en-US"/>
              </w:rPr>
              <w:t xml:space="preserve">of the MBOC signal at a given frequency, </w:t>
            </w:r>
            <w:r w:rsidRPr="00594157">
              <w:rPr>
                <w:i/>
                <w:lang w:val="en-US"/>
              </w:rPr>
              <w:t>f</w:t>
            </w:r>
            <w:r w:rsidRPr="00594157">
              <w:rPr>
                <w:lang w:val="en-US"/>
              </w:rPr>
              <w:t xml:space="preserve">, equates: </w:t>
            </w:r>
            <w:r w:rsidRPr="00594157">
              <w:rPr>
                <w:i/>
                <w:lang w:val="en-US"/>
              </w:rPr>
              <w:t>G</w:t>
            </w:r>
            <w:r w:rsidRPr="00594157">
              <w:rPr>
                <w:i/>
                <w:vertAlign w:val="subscript"/>
                <w:lang w:val="en-US"/>
              </w:rPr>
              <w:t>MBOC</w:t>
            </w:r>
            <w:r w:rsidR="00223F5A">
              <w:rPr>
                <w:i/>
                <w:vertAlign w:val="subscript"/>
                <w:lang w:val="en-US"/>
              </w:rPr>
              <w:t xml:space="preserve"> </w:t>
            </w:r>
            <w:r w:rsidRPr="00594157">
              <w:rPr>
                <w:lang w:val="en-US"/>
              </w:rPr>
              <w:t>(</w:t>
            </w:r>
            <w:r w:rsidRPr="00594157">
              <w:rPr>
                <w:i/>
                <w:lang w:val="en-US"/>
              </w:rPr>
              <w:t>f</w:t>
            </w:r>
            <w:r w:rsidRPr="00594157">
              <w:rPr>
                <w:lang w:val="en-US"/>
              </w:rPr>
              <w:t xml:space="preserve">) = 10/11 </w:t>
            </w:r>
            <w:r w:rsidRPr="00594157">
              <w:rPr>
                <w:i/>
                <w:lang w:val="en-US"/>
              </w:rPr>
              <w:t>G</w:t>
            </w:r>
            <w:r w:rsidRPr="00594157">
              <w:rPr>
                <w:i/>
                <w:vertAlign w:val="subscript"/>
                <w:lang w:val="en-US"/>
              </w:rPr>
              <w:t>BOC</w:t>
            </w:r>
            <w:r w:rsidRPr="00594157">
              <w:rPr>
                <w:vertAlign w:val="subscript"/>
                <w:lang w:val="en-US"/>
              </w:rPr>
              <w:t>(1,1)</w:t>
            </w:r>
            <w:r w:rsidRPr="00594157">
              <w:rPr>
                <w:lang w:val="en-US"/>
              </w:rPr>
              <w:t>(</w:t>
            </w:r>
            <w:r w:rsidRPr="00594157">
              <w:rPr>
                <w:i/>
                <w:lang w:val="en-US"/>
              </w:rPr>
              <w:t>f</w:t>
            </w:r>
            <w:r w:rsidRPr="00594157">
              <w:rPr>
                <w:lang w:val="en-US"/>
              </w:rPr>
              <w:t xml:space="preserve">) + 1/11 </w:t>
            </w:r>
            <w:r w:rsidRPr="00594157">
              <w:rPr>
                <w:i/>
                <w:lang w:val="en-US"/>
              </w:rPr>
              <w:t>G</w:t>
            </w:r>
            <w:r w:rsidRPr="00594157">
              <w:rPr>
                <w:i/>
                <w:vertAlign w:val="subscript"/>
                <w:lang w:val="en-US"/>
              </w:rPr>
              <w:t>BOC</w:t>
            </w:r>
            <w:r w:rsidRPr="00594157">
              <w:rPr>
                <w:vertAlign w:val="subscript"/>
                <w:lang w:val="en-US"/>
              </w:rPr>
              <w:t>(6,1)</w:t>
            </w:r>
            <w:r w:rsidRPr="00594157">
              <w:rPr>
                <w:lang w:val="en-US"/>
              </w:rPr>
              <w:t>(</w:t>
            </w:r>
            <w:r w:rsidRPr="00594157">
              <w:rPr>
                <w:i/>
                <w:lang w:val="en-US"/>
              </w:rPr>
              <w:t>f</w:t>
            </w:r>
            <w:r w:rsidRPr="00594157">
              <w:rPr>
                <w:lang w:val="en-US"/>
              </w:rPr>
              <w:t>).</w:t>
            </w:r>
          </w:p>
        </w:tc>
      </w:tr>
    </w:tbl>
    <w:p w:rsidR="00594157" w:rsidRPr="00594157" w:rsidRDefault="00594157" w:rsidP="00B1271C">
      <w:pPr>
        <w:pStyle w:val="Tablefin"/>
      </w:pPr>
    </w:p>
    <w:p w:rsidR="00594157" w:rsidRPr="00594157" w:rsidRDefault="00594157" w:rsidP="00A108D0">
      <w:pPr>
        <w:jc w:val="center"/>
        <w:rPr>
          <w:lang w:val="en-US"/>
        </w:rPr>
      </w:pPr>
      <w:r w:rsidRPr="008D673A">
        <w:t>______________</w:t>
      </w:r>
    </w:p>
    <w:sectPr w:rsidR="00594157" w:rsidRPr="0059415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B78" w:rsidRDefault="009A4B78">
      <w:r>
        <w:separator/>
      </w:r>
    </w:p>
  </w:endnote>
  <w:endnote w:type="continuationSeparator" w:id="0">
    <w:p w:rsidR="009A4B78" w:rsidRDefault="009A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B78" w:rsidRDefault="009A4B78">
      <w:r>
        <w:separator/>
      </w:r>
    </w:p>
  </w:footnote>
  <w:footnote w:type="continuationSeparator" w:id="0">
    <w:p w:rsidR="009A4B78" w:rsidRDefault="009A4B78">
      <w:r>
        <w:continuationSeparator/>
      </w:r>
    </w:p>
  </w:footnote>
  <w:footnote w:id="1">
    <w:p w:rsidR="009A4B78" w:rsidRPr="00594157" w:rsidRDefault="009A4B78" w:rsidP="00594157">
      <w:pPr>
        <w:pStyle w:val="FootnoteText"/>
        <w:rPr>
          <w:lang w:val="en-US"/>
        </w:rPr>
      </w:pPr>
      <w:r>
        <w:rPr>
          <w:rStyle w:val="FootnoteReference"/>
        </w:rPr>
        <w:footnoteRef/>
      </w:r>
      <w:r w:rsidRPr="00594157">
        <w:rPr>
          <w:lang w:val="en-US"/>
        </w:rPr>
        <w:t xml:space="preserve"> </w:t>
      </w:r>
      <w:r w:rsidRPr="00594157">
        <w:rPr>
          <w:lang w:val="en-US"/>
        </w:rPr>
        <w:tab/>
        <w:t>Further information on GPS signal characteristics in these bands is contained in Recommendation ITU</w:t>
      </w:r>
      <w:r w:rsidRPr="00594157">
        <w:rPr>
          <w:lang w:val="en-US"/>
        </w:rPr>
        <w:noBreakHyphen/>
        <w:t>R M.1787.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78" w:rsidRDefault="009A4B7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78" w:rsidRDefault="009A4B78" w:rsidP="00B033C8">
    <w:pPr>
      <w:pStyle w:val="Header"/>
      <w:ind w:right="360" w:firstLine="360"/>
    </w:pPr>
    <w:r>
      <w:rPr>
        <w:noProof/>
        <w:lang w:val="en-US" w:eastAsia="zh-CN"/>
      </w:rPr>
      <w:drawing>
        <wp:anchor distT="0" distB="0" distL="114300" distR="114300" simplePos="0" relativeHeight="251657728" behindDoc="1" locked="0" layoutInCell="1" allowOverlap="1" wp14:anchorId="3B30C71A" wp14:editId="595305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78" w:rsidRPr="00FC42AF" w:rsidRDefault="009A4B7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A5CE7">
      <w:rPr>
        <w:rStyle w:val="PageNumber"/>
        <w:b/>
        <w:bCs/>
        <w:noProof/>
      </w:rPr>
      <w:t>6</w:t>
    </w:r>
    <w:r>
      <w:rPr>
        <w:rStyle w:val="PageNumber"/>
        <w:b/>
        <w:bCs/>
      </w:rPr>
      <w:fldChar w:fldCharType="end"/>
    </w:r>
    <w:r w:rsidRPr="00FC42AF">
      <w:tab/>
    </w:r>
    <w:r w:rsidR="004A5CE7">
      <w:fldChar w:fldCharType="begin"/>
    </w:r>
    <w:r w:rsidR="004A5CE7">
      <w:instrText xml:space="preserve"> DOCPROPERTY "Header" \* MERGEFORMAT </w:instrText>
    </w:r>
    <w:r w:rsidR="004A5CE7">
      <w:fldChar w:fldCharType="separate"/>
    </w:r>
    <w:r w:rsidRPr="009C036B">
      <w:rPr>
        <w:b/>
        <w:bCs/>
      </w:rPr>
      <w:t xml:space="preserve">Rec. </w:t>
    </w:r>
    <w:r w:rsidR="004A5C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A5CE7">
      <w:rPr>
        <w:b/>
        <w:bCs/>
        <w:noProof/>
      </w:rPr>
      <w:t>ITU-R  M.1904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B78" w:rsidRDefault="009A4B78">
    <w:pPr>
      <w:pStyle w:val="Header"/>
    </w:pPr>
    <w:r>
      <w:tab/>
    </w:r>
    <w:r w:rsidR="004A5CE7">
      <w:fldChar w:fldCharType="begin"/>
    </w:r>
    <w:r w:rsidR="004A5CE7">
      <w:instrText xml:space="preserve"> DOCPROPERTY "Header" \* MERGEFORMAT </w:instrText>
    </w:r>
    <w:r w:rsidR="004A5CE7">
      <w:fldChar w:fldCharType="separate"/>
    </w:r>
    <w:r w:rsidRPr="009C036B">
      <w:rPr>
        <w:b/>
        <w:bCs/>
      </w:rPr>
      <w:t xml:space="preserve">Rec. </w:t>
    </w:r>
    <w:r w:rsidR="004A5CE7">
      <w:rPr>
        <w:b/>
        <w:bCs/>
      </w:rPr>
      <w:fldChar w:fldCharType="end"/>
    </w:r>
    <w:r>
      <w:rPr>
        <w:b/>
        <w:bCs/>
      </w:rPr>
      <w:t xml:space="preserve"> </w:t>
    </w:r>
    <w:r>
      <w:rPr>
        <w:b/>
        <w:bCs/>
      </w:rPr>
      <w:fldChar w:fldCharType="begin"/>
    </w:r>
    <w:r>
      <w:rPr>
        <w:b/>
        <w:bCs/>
      </w:rPr>
      <w:instrText>styleref href</w:instrText>
    </w:r>
    <w:r>
      <w:rPr>
        <w:b/>
        <w:bCs/>
      </w:rPr>
      <w:fldChar w:fldCharType="separate"/>
    </w:r>
    <w:r w:rsidR="004A5CE7">
      <w:rPr>
        <w:b/>
        <w:bCs/>
        <w:noProof/>
      </w:rPr>
      <w:t>ITU-R  M.1904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A5CE7">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4C56"/>
    <w:rsid w:val="00036EE3"/>
    <w:rsid w:val="00072484"/>
    <w:rsid w:val="00096612"/>
    <w:rsid w:val="000A4386"/>
    <w:rsid w:val="000B7683"/>
    <w:rsid w:val="000D0677"/>
    <w:rsid w:val="000E6A6E"/>
    <w:rsid w:val="00102934"/>
    <w:rsid w:val="00147110"/>
    <w:rsid w:val="001511A6"/>
    <w:rsid w:val="001D7190"/>
    <w:rsid w:val="002058CE"/>
    <w:rsid w:val="002165F1"/>
    <w:rsid w:val="00223F5A"/>
    <w:rsid w:val="002572B3"/>
    <w:rsid w:val="00276D21"/>
    <w:rsid w:val="00291F7A"/>
    <w:rsid w:val="00296D7F"/>
    <w:rsid w:val="002B3CF6"/>
    <w:rsid w:val="002C768A"/>
    <w:rsid w:val="002D76C4"/>
    <w:rsid w:val="002F06BF"/>
    <w:rsid w:val="002F5199"/>
    <w:rsid w:val="00333892"/>
    <w:rsid w:val="0034662F"/>
    <w:rsid w:val="00356B5D"/>
    <w:rsid w:val="003606CD"/>
    <w:rsid w:val="0041667C"/>
    <w:rsid w:val="00420DFD"/>
    <w:rsid w:val="00437A76"/>
    <w:rsid w:val="00470E28"/>
    <w:rsid w:val="00470FEC"/>
    <w:rsid w:val="00491F59"/>
    <w:rsid w:val="004934C5"/>
    <w:rsid w:val="004A5CE7"/>
    <w:rsid w:val="004F65E4"/>
    <w:rsid w:val="00554C61"/>
    <w:rsid w:val="00556548"/>
    <w:rsid w:val="00586EF8"/>
    <w:rsid w:val="00594157"/>
    <w:rsid w:val="005B49AB"/>
    <w:rsid w:val="005B50E7"/>
    <w:rsid w:val="005D0454"/>
    <w:rsid w:val="005E7B4F"/>
    <w:rsid w:val="006003F5"/>
    <w:rsid w:val="00601882"/>
    <w:rsid w:val="00607D68"/>
    <w:rsid w:val="00613212"/>
    <w:rsid w:val="006149B1"/>
    <w:rsid w:val="00680D2B"/>
    <w:rsid w:val="00681B32"/>
    <w:rsid w:val="006B1D2B"/>
    <w:rsid w:val="006E1131"/>
    <w:rsid w:val="006E1248"/>
    <w:rsid w:val="006E2037"/>
    <w:rsid w:val="006E6199"/>
    <w:rsid w:val="00712870"/>
    <w:rsid w:val="00743D85"/>
    <w:rsid w:val="00753CF4"/>
    <w:rsid w:val="007565CC"/>
    <w:rsid w:val="00763B9A"/>
    <w:rsid w:val="00770866"/>
    <w:rsid w:val="00794726"/>
    <w:rsid w:val="007A6AA8"/>
    <w:rsid w:val="007D224F"/>
    <w:rsid w:val="007D3897"/>
    <w:rsid w:val="008310C9"/>
    <w:rsid w:val="00853CC5"/>
    <w:rsid w:val="00893029"/>
    <w:rsid w:val="008C7848"/>
    <w:rsid w:val="008E7914"/>
    <w:rsid w:val="00906589"/>
    <w:rsid w:val="00906AD6"/>
    <w:rsid w:val="00917AF2"/>
    <w:rsid w:val="0092418A"/>
    <w:rsid w:val="00934ED7"/>
    <w:rsid w:val="009543C3"/>
    <w:rsid w:val="00966E1B"/>
    <w:rsid w:val="009947C0"/>
    <w:rsid w:val="009A4B78"/>
    <w:rsid w:val="009C036B"/>
    <w:rsid w:val="009F2D2C"/>
    <w:rsid w:val="009F5480"/>
    <w:rsid w:val="00A108D0"/>
    <w:rsid w:val="00A31928"/>
    <w:rsid w:val="00A62A14"/>
    <w:rsid w:val="00A6617B"/>
    <w:rsid w:val="00A71FE5"/>
    <w:rsid w:val="00A971A1"/>
    <w:rsid w:val="00AA3AD8"/>
    <w:rsid w:val="00AB0DC8"/>
    <w:rsid w:val="00B033C8"/>
    <w:rsid w:val="00B1271C"/>
    <w:rsid w:val="00B33425"/>
    <w:rsid w:val="00B44E24"/>
    <w:rsid w:val="00B53EBC"/>
    <w:rsid w:val="00B54ECC"/>
    <w:rsid w:val="00B714F3"/>
    <w:rsid w:val="00B725C6"/>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rsid w:val="00EB786E"/>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styleId="NormalIndent">
    <w:name w:val="Normal Indent"/>
    <w:basedOn w:val="Normal"/>
    <w:rsid w:val="00EB786E"/>
    <w:pPr>
      <w:ind w:left="794"/>
    </w:pPr>
  </w:style>
  <w:style w:type="paragraph" w:customStyle="1" w:styleId="Call">
    <w:name w:val="Call"/>
    <w:basedOn w:val="Normal"/>
    <w:next w:val="Normal"/>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Tabletitle">
    <w:name w:val="Table_title"/>
    <w:basedOn w:val="Normal"/>
    <w:next w:val="Tablehead"/>
    <w:rsid w:val="00EB786E"/>
    <w:pPr>
      <w:keepNext/>
      <w:spacing w:before="0" w:after="120"/>
      <w:jc w:val="center"/>
    </w:pPr>
    <w:rPr>
      <w:b/>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rsid w:val="00594157"/>
    <w:rPr>
      <w:sz w:val="22"/>
      <w:lang w:val="fr-FR" w:eastAsia="en-US"/>
    </w:rPr>
  </w:style>
  <w:style w:type="paragraph" w:customStyle="1" w:styleId="Normalaftertitle">
    <w:name w:val="Normal after title"/>
    <w:basedOn w:val="Normal"/>
    <w:next w:val="Normal"/>
    <w:rsid w:val="0059415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NoChar">
    <w:name w:val="Table_No Char"/>
    <w:link w:val="TableNo"/>
    <w:locked/>
    <w:rsid w:val="00594157"/>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rsid w:val="00EB786E"/>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styleId="NormalIndent">
    <w:name w:val="Normal Indent"/>
    <w:basedOn w:val="Normal"/>
    <w:rsid w:val="00EB786E"/>
    <w:pPr>
      <w:ind w:left="794"/>
    </w:pPr>
  </w:style>
  <w:style w:type="paragraph" w:customStyle="1" w:styleId="Call">
    <w:name w:val="Call"/>
    <w:basedOn w:val="Normal"/>
    <w:next w:val="Normal"/>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Tabletitle">
    <w:name w:val="Table_title"/>
    <w:basedOn w:val="Normal"/>
    <w:next w:val="Tablehead"/>
    <w:rsid w:val="00EB786E"/>
    <w:pPr>
      <w:keepNext/>
      <w:spacing w:before="0" w:after="120"/>
      <w:jc w:val="center"/>
    </w:pPr>
    <w:rPr>
      <w:b/>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rsid w:val="00594157"/>
    <w:rPr>
      <w:sz w:val="22"/>
      <w:lang w:val="fr-FR" w:eastAsia="en-US"/>
    </w:rPr>
  </w:style>
  <w:style w:type="paragraph" w:customStyle="1" w:styleId="Normalaftertitle">
    <w:name w:val="Normal after title"/>
    <w:basedOn w:val="Normal"/>
    <w:next w:val="Normal"/>
    <w:rsid w:val="0059415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NoChar">
    <w:name w:val="Table_No Char"/>
    <w:link w:val="TableNo"/>
    <w:locked/>
    <w:rsid w:val="0059415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TotalTime>
  <Pages>9</Pages>
  <Words>2716</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17399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 Michele</cp:lastModifiedBy>
  <cp:revision>16</cp:revision>
  <cp:lastPrinted>2009-06-26T13:19:00Z</cp:lastPrinted>
  <dcterms:created xsi:type="dcterms:W3CDTF">2011-11-18T08:30:00Z</dcterms:created>
  <dcterms:modified xsi:type="dcterms:W3CDTF">2012-07-11T07:43:00Z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