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61F49" w14:textId="77777777" w:rsidR="00042292" w:rsidRPr="00575CB8" w:rsidRDefault="00042292" w:rsidP="00042292">
      <w:pPr>
        <w:rPr>
          <w:lang w:val="en-US"/>
        </w:rPr>
      </w:pPr>
    </w:p>
    <w:p w14:paraId="3C8B1D3E" w14:textId="77777777" w:rsidR="00042292" w:rsidRDefault="00042292" w:rsidP="00042292"/>
    <w:p w14:paraId="3FEDB8AD" w14:textId="77777777" w:rsidR="00042292" w:rsidRDefault="00042292" w:rsidP="00042292"/>
    <w:p w14:paraId="1DD2A6EE" w14:textId="77777777" w:rsidR="00042292" w:rsidRDefault="00042292" w:rsidP="00042292"/>
    <w:p w14:paraId="355AC962" w14:textId="77777777" w:rsidR="00042292" w:rsidRDefault="00042292" w:rsidP="00042292"/>
    <w:p w14:paraId="76EC9508" w14:textId="77777777" w:rsidR="00042292" w:rsidRDefault="00042292" w:rsidP="00042292"/>
    <w:p w14:paraId="6D1E4B57" w14:textId="77777777" w:rsidR="00042292" w:rsidRDefault="00042292" w:rsidP="00042292"/>
    <w:p w14:paraId="3E3D3720" w14:textId="77777777" w:rsidR="00042292" w:rsidRDefault="00042292" w:rsidP="00042292"/>
    <w:p w14:paraId="4D789D77" w14:textId="77777777" w:rsidR="00042292" w:rsidRDefault="00042292" w:rsidP="00042292"/>
    <w:tbl>
      <w:tblPr>
        <w:tblW w:w="10089" w:type="dxa"/>
        <w:tblLook w:val="01E0" w:firstRow="1" w:lastRow="1" w:firstColumn="1" w:lastColumn="1" w:noHBand="0" w:noVBand="0"/>
      </w:tblPr>
      <w:tblGrid>
        <w:gridCol w:w="10089"/>
      </w:tblGrid>
      <w:tr w:rsidR="00042292" w:rsidRPr="00DD7A08" w14:paraId="519D8A17" w14:textId="77777777" w:rsidTr="00A07AEB">
        <w:tc>
          <w:tcPr>
            <w:tcW w:w="10089" w:type="dxa"/>
          </w:tcPr>
          <w:p w14:paraId="273DCC14"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08CAD9AF" w14:textId="2939F97B" w:rsidR="00042292" w:rsidRPr="00A07AEB" w:rsidRDefault="00042292" w:rsidP="0021735B">
            <w:pPr>
              <w:spacing w:before="380" w:line="280" w:lineRule="exact"/>
              <w:jc w:val="right"/>
              <w:rPr>
                <w:rFonts w:ascii="Tahoma" w:hAnsi="Tahoma" w:cs="Tahoma"/>
                <w:b/>
                <w:bCs/>
                <w:iCs/>
                <w:color w:val="243285"/>
                <w:sz w:val="36"/>
                <w:szCs w:val="36"/>
                <w:lang w:val="es-ES_tradnl"/>
              </w:rPr>
            </w:pPr>
            <w:proofErr w:type="gramStart"/>
            <w:r w:rsidRPr="00A07AEB">
              <w:rPr>
                <w:rFonts w:ascii="Tahoma" w:hAnsi="Tahoma" w:cs="Tahoma"/>
                <w:b/>
                <w:bCs/>
                <w:iCs/>
                <w:color w:val="243285"/>
                <w:sz w:val="36"/>
                <w:szCs w:val="36"/>
                <w:lang w:val="es-ES_tradnl"/>
              </w:rPr>
              <w:t>Recomendación  UIT</w:t>
            </w:r>
            <w:proofErr w:type="gramEnd"/>
            <w:r w:rsidRPr="00A07AEB">
              <w:rPr>
                <w:rFonts w:ascii="Tahoma" w:hAnsi="Tahoma" w:cs="Tahoma"/>
                <w:b/>
                <w:bCs/>
                <w:iCs/>
                <w:color w:val="243285"/>
                <w:sz w:val="36"/>
                <w:szCs w:val="36"/>
                <w:lang w:val="es-ES_tradnl"/>
              </w:rPr>
              <w:t xml:space="preserve">-R  </w:t>
            </w:r>
            <w:r w:rsidR="00567624">
              <w:rPr>
                <w:rFonts w:ascii="Tahoma" w:hAnsi="Tahoma" w:cs="Tahoma"/>
                <w:b/>
                <w:bCs/>
                <w:iCs/>
                <w:color w:val="243285"/>
                <w:sz w:val="36"/>
                <w:szCs w:val="36"/>
                <w:lang w:val="es-ES_tradnl"/>
              </w:rPr>
              <w:t>M.</w:t>
            </w:r>
            <w:r w:rsidR="00CA17D7">
              <w:rPr>
                <w:rFonts w:ascii="Tahoma" w:hAnsi="Tahoma" w:cs="Tahoma"/>
                <w:b/>
                <w:bCs/>
                <w:iCs/>
                <w:color w:val="243285"/>
                <w:sz w:val="36"/>
                <w:szCs w:val="36"/>
                <w:lang w:val="es-ES_tradnl"/>
              </w:rPr>
              <w:t>1905-1</w:t>
            </w:r>
          </w:p>
          <w:p w14:paraId="690DCDD0" w14:textId="33E1E0F4"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CA17D7">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CA17D7">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CA17D7" w14:paraId="445063D7" w14:textId="77777777" w:rsidTr="00A07AEB">
        <w:tc>
          <w:tcPr>
            <w:tcW w:w="10089" w:type="dxa"/>
          </w:tcPr>
          <w:p w14:paraId="23C772EB"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35905DB0"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7E670B3D" w14:textId="788920CB" w:rsidR="0021735B" w:rsidRDefault="00CA17D7" w:rsidP="0021735B">
            <w:pPr>
              <w:spacing w:before="80" w:line="500" w:lineRule="exact"/>
              <w:jc w:val="right"/>
              <w:rPr>
                <w:rFonts w:ascii="Tahoma" w:hAnsi="Tahoma" w:cs="Tahoma"/>
                <w:b/>
                <w:bCs/>
                <w:color w:val="243285"/>
                <w:sz w:val="44"/>
                <w:szCs w:val="44"/>
                <w:lang w:val="es-ES_tradnl"/>
              </w:rPr>
            </w:pPr>
            <w:r w:rsidRPr="00CA17D7">
              <w:rPr>
                <w:rFonts w:ascii="Tahoma" w:hAnsi="Tahoma" w:cs="Tahoma"/>
                <w:b/>
                <w:bCs/>
                <w:color w:val="243285"/>
                <w:sz w:val="44"/>
                <w:szCs w:val="44"/>
                <w:lang w:val="es-ES_tradnl"/>
              </w:rPr>
              <w:t xml:space="preserve">Características y criterios de protección </w:t>
            </w:r>
            <w:r>
              <w:rPr>
                <w:rFonts w:ascii="Tahoma" w:hAnsi="Tahoma" w:cs="Tahoma"/>
                <w:b/>
                <w:bCs/>
                <w:color w:val="243285"/>
                <w:sz w:val="44"/>
                <w:szCs w:val="44"/>
                <w:lang w:val="es-ES_tradnl"/>
              </w:rPr>
              <w:br/>
            </w:r>
            <w:r w:rsidRPr="00CA17D7">
              <w:rPr>
                <w:rFonts w:ascii="Tahoma" w:hAnsi="Tahoma" w:cs="Tahoma"/>
                <w:b/>
                <w:bCs/>
                <w:color w:val="243285"/>
                <w:sz w:val="44"/>
                <w:szCs w:val="44"/>
                <w:lang w:val="es-ES_tradnl"/>
              </w:rPr>
              <w:t>de las estaciones terrenas receptoras</w:t>
            </w:r>
            <w:r>
              <w:rPr>
                <w:rFonts w:ascii="Tahoma" w:hAnsi="Tahoma" w:cs="Tahoma"/>
                <w:b/>
                <w:bCs/>
                <w:color w:val="243285"/>
                <w:sz w:val="44"/>
                <w:szCs w:val="44"/>
                <w:lang w:val="es-ES_tradnl"/>
              </w:rPr>
              <w:t xml:space="preserve"> </w:t>
            </w:r>
            <w:r w:rsidRPr="00CA17D7">
              <w:rPr>
                <w:rFonts w:ascii="Tahoma" w:hAnsi="Tahoma" w:cs="Tahoma"/>
                <w:b/>
                <w:bCs/>
                <w:color w:val="243285"/>
                <w:sz w:val="44"/>
                <w:szCs w:val="44"/>
                <w:lang w:val="es-ES_tradnl"/>
              </w:rPr>
              <w:t>del servicio de radionavegación por satélite (espacio-Tierra)</w:t>
            </w:r>
            <w:r>
              <w:rPr>
                <w:rFonts w:ascii="Tahoma" w:hAnsi="Tahoma" w:cs="Tahoma"/>
                <w:b/>
                <w:bCs/>
                <w:color w:val="243285"/>
                <w:sz w:val="44"/>
                <w:szCs w:val="44"/>
                <w:lang w:val="es-ES_tradnl"/>
              </w:rPr>
              <w:t xml:space="preserve"> </w:t>
            </w:r>
            <w:r w:rsidRPr="00CA17D7">
              <w:rPr>
                <w:rFonts w:ascii="Tahoma" w:hAnsi="Tahoma" w:cs="Tahoma"/>
                <w:b/>
                <w:bCs/>
                <w:color w:val="243285"/>
                <w:sz w:val="44"/>
                <w:szCs w:val="44"/>
                <w:lang w:val="es-ES_tradnl"/>
              </w:rPr>
              <w:t xml:space="preserve">que funcionan en </w:t>
            </w:r>
            <w:r>
              <w:rPr>
                <w:rFonts w:ascii="Tahoma" w:hAnsi="Tahoma" w:cs="Tahoma"/>
                <w:b/>
                <w:bCs/>
                <w:color w:val="243285"/>
                <w:sz w:val="44"/>
                <w:szCs w:val="44"/>
                <w:lang w:val="es-ES_tradnl"/>
              </w:rPr>
              <w:br/>
            </w:r>
            <w:r w:rsidRPr="00CA17D7">
              <w:rPr>
                <w:rFonts w:ascii="Tahoma" w:hAnsi="Tahoma" w:cs="Tahoma"/>
                <w:b/>
                <w:bCs/>
                <w:color w:val="243285"/>
                <w:sz w:val="44"/>
                <w:szCs w:val="44"/>
                <w:lang w:val="es-ES_tradnl"/>
              </w:rPr>
              <w:t>la banda 1 164-1 215 MHz</w:t>
            </w:r>
            <w:r>
              <w:rPr>
                <w:rFonts w:ascii="Tahoma" w:hAnsi="Tahoma" w:cs="Tahoma"/>
                <w:b/>
                <w:bCs/>
                <w:color w:val="243285"/>
                <w:sz w:val="44"/>
                <w:szCs w:val="44"/>
                <w:lang w:val="es-ES_tradnl"/>
              </w:rPr>
              <w:t xml:space="preserve"> </w:t>
            </w:r>
          </w:p>
          <w:p w14:paraId="52272F5A"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DD7A08" w14:paraId="23737AC2" w14:textId="77777777" w:rsidTr="00A07AEB">
        <w:tc>
          <w:tcPr>
            <w:tcW w:w="10089" w:type="dxa"/>
          </w:tcPr>
          <w:p w14:paraId="5B130845"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04311EC1"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6B7583DD"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1650A681"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2F106806"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20393062" w14:textId="77777777" w:rsidR="00042292" w:rsidRPr="0026666F" w:rsidRDefault="00042292" w:rsidP="00042292">
      <w:pPr>
        <w:spacing w:before="80"/>
        <w:rPr>
          <w:i/>
          <w:sz w:val="22"/>
          <w:lang w:val="es-ES_tradnl"/>
        </w:rPr>
      </w:pPr>
    </w:p>
    <w:p w14:paraId="4D01D327" w14:textId="77777777" w:rsidR="00042292" w:rsidRPr="0026666F" w:rsidRDefault="00042292" w:rsidP="00042292">
      <w:pPr>
        <w:spacing w:before="80"/>
        <w:rPr>
          <w:i/>
          <w:sz w:val="22"/>
          <w:lang w:val="es-ES_tradnl"/>
        </w:rPr>
      </w:pPr>
    </w:p>
    <w:p w14:paraId="5A0E57CF" w14:textId="77777777" w:rsidR="00042292" w:rsidRPr="0026666F" w:rsidRDefault="00042292" w:rsidP="00042292">
      <w:pPr>
        <w:spacing w:before="80"/>
        <w:rPr>
          <w:i/>
          <w:sz w:val="22"/>
          <w:lang w:val="es-ES_tradnl"/>
        </w:rPr>
      </w:pPr>
    </w:p>
    <w:p w14:paraId="734B7577"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30E64B32"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0DDF8579"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310314C"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F400F3F"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795A72C"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33B212B" w14:textId="77777777" w:rsidR="00042292" w:rsidRPr="007C36CA" w:rsidRDefault="00042292" w:rsidP="00042292">
      <w:pPr>
        <w:spacing w:before="0"/>
        <w:jc w:val="center"/>
        <w:rPr>
          <w:sz w:val="22"/>
          <w:lang w:val="es-ES_tradnl"/>
        </w:rPr>
      </w:pPr>
    </w:p>
    <w:p w14:paraId="1E7454D3"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DD7A08" w14:paraId="28808783" w14:textId="77777777" w:rsidTr="00CB1354">
        <w:tc>
          <w:tcPr>
            <w:tcW w:w="9360" w:type="dxa"/>
            <w:gridSpan w:val="2"/>
          </w:tcPr>
          <w:p w14:paraId="6FE6F333"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A0CCF7C"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285475A9" w14:textId="77777777" w:rsidTr="00CB1354">
        <w:tc>
          <w:tcPr>
            <w:tcW w:w="1140" w:type="dxa"/>
          </w:tcPr>
          <w:p w14:paraId="65DB80A8"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30E3A598"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6652110B" w14:textId="77777777" w:rsidTr="00CB1354">
        <w:tc>
          <w:tcPr>
            <w:tcW w:w="1140" w:type="dxa"/>
          </w:tcPr>
          <w:p w14:paraId="4B32AC23"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72028916"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DD7A08" w14:paraId="5F1A6B0F" w14:textId="77777777" w:rsidTr="00CB1354">
        <w:tc>
          <w:tcPr>
            <w:tcW w:w="1140" w:type="dxa"/>
          </w:tcPr>
          <w:p w14:paraId="7564BD2B"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34BA0339"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710618B9" w14:textId="77777777" w:rsidTr="00CB1354">
        <w:tc>
          <w:tcPr>
            <w:tcW w:w="1140" w:type="dxa"/>
          </w:tcPr>
          <w:p w14:paraId="138A17FC"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33C6E9DA"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73B496CE" w14:textId="77777777" w:rsidTr="00CB1354">
        <w:tc>
          <w:tcPr>
            <w:tcW w:w="1140" w:type="dxa"/>
            <w:shd w:val="clear" w:color="auto" w:fill="auto"/>
          </w:tcPr>
          <w:p w14:paraId="11EF6AD2"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28E1A646"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312BC6C3" w14:textId="77777777" w:rsidTr="00CB1354">
        <w:tc>
          <w:tcPr>
            <w:tcW w:w="1140" w:type="dxa"/>
            <w:shd w:val="clear" w:color="auto" w:fill="auto"/>
          </w:tcPr>
          <w:p w14:paraId="720A52B2"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11136C3B"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DD7A08" w14:paraId="56E085D2" w14:textId="77777777" w:rsidTr="00CB1354">
        <w:tc>
          <w:tcPr>
            <w:tcW w:w="1140" w:type="dxa"/>
            <w:shd w:val="clear" w:color="auto" w:fill="F3F3F3"/>
          </w:tcPr>
          <w:p w14:paraId="7774EA92"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5B57EB08"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DD7A08" w14:paraId="1AE694F9" w14:textId="77777777" w:rsidTr="00CB1354">
        <w:tc>
          <w:tcPr>
            <w:tcW w:w="1140" w:type="dxa"/>
          </w:tcPr>
          <w:p w14:paraId="7E7AA30D"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41CE1ACA"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010543DB" w14:textId="77777777" w:rsidTr="00CB1354">
        <w:tc>
          <w:tcPr>
            <w:tcW w:w="1140" w:type="dxa"/>
          </w:tcPr>
          <w:p w14:paraId="1AEDC2EA"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2E5B562A"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DD7A08" w14:paraId="0B001A01" w14:textId="77777777" w:rsidTr="00CB1354">
        <w:tc>
          <w:tcPr>
            <w:tcW w:w="1140" w:type="dxa"/>
          </w:tcPr>
          <w:p w14:paraId="4208DDAF"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692D5418"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09A9F44E" w14:textId="77777777" w:rsidTr="00CB1354">
        <w:tc>
          <w:tcPr>
            <w:tcW w:w="1140" w:type="dxa"/>
          </w:tcPr>
          <w:p w14:paraId="1DF24074"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719F5C6F"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1B0EBF29" w14:textId="77777777" w:rsidTr="00CB1354">
        <w:tc>
          <w:tcPr>
            <w:tcW w:w="1140" w:type="dxa"/>
          </w:tcPr>
          <w:p w14:paraId="580E100D"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2E8ABA03"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DD7A08" w14:paraId="6B66B046" w14:textId="77777777" w:rsidTr="00CB1354">
        <w:tc>
          <w:tcPr>
            <w:tcW w:w="1140" w:type="dxa"/>
          </w:tcPr>
          <w:p w14:paraId="1FC858F8"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6409EA19"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04B2CBDF" w14:textId="77777777" w:rsidTr="00CB1354">
        <w:tc>
          <w:tcPr>
            <w:tcW w:w="1140" w:type="dxa"/>
            <w:shd w:val="clear" w:color="auto" w:fill="auto"/>
          </w:tcPr>
          <w:p w14:paraId="5D855C8C"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603C4F15"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200EACAF" w14:textId="77777777" w:rsidTr="00CB1354">
        <w:tc>
          <w:tcPr>
            <w:tcW w:w="1140" w:type="dxa"/>
          </w:tcPr>
          <w:p w14:paraId="5A43EB6C"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7AAB7E06"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DD7A08" w14:paraId="1560D45E" w14:textId="77777777" w:rsidTr="00CB1354">
        <w:tc>
          <w:tcPr>
            <w:tcW w:w="1140" w:type="dxa"/>
          </w:tcPr>
          <w:p w14:paraId="6E037CD4"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16D8C741"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1B8D61C0" w14:textId="77777777" w:rsidTr="00CB1354">
        <w:tc>
          <w:tcPr>
            <w:tcW w:w="1140" w:type="dxa"/>
          </w:tcPr>
          <w:p w14:paraId="3EBFE620"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62EC3A81"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19EBB208"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2D4E488A" w14:textId="77777777" w:rsidTr="00CB1354">
        <w:tc>
          <w:tcPr>
            <w:tcW w:w="720" w:type="dxa"/>
          </w:tcPr>
          <w:p w14:paraId="0219A7FD"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DD7A08" w14:paraId="01266465" w14:textId="77777777" w:rsidTr="00A07AEB">
        <w:tc>
          <w:tcPr>
            <w:tcW w:w="9360" w:type="dxa"/>
          </w:tcPr>
          <w:p w14:paraId="2F418F62"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38E6163D" w14:textId="77777777" w:rsidR="00042292" w:rsidRPr="00763D08" w:rsidRDefault="00042292" w:rsidP="00042292">
      <w:pPr>
        <w:spacing w:before="0"/>
        <w:jc w:val="center"/>
        <w:rPr>
          <w:sz w:val="22"/>
          <w:lang w:val="es-ES_tradnl"/>
        </w:rPr>
      </w:pPr>
    </w:p>
    <w:p w14:paraId="6DEFE7B1"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27986C2F"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1D7B1CB8" w14:textId="77777777" w:rsidR="00042292" w:rsidRPr="00763D08" w:rsidRDefault="00042292" w:rsidP="00042292">
      <w:pPr>
        <w:spacing w:before="0"/>
        <w:jc w:val="center"/>
        <w:rPr>
          <w:sz w:val="22"/>
          <w:lang w:val="es-ES_tradnl"/>
        </w:rPr>
      </w:pPr>
    </w:p>
    <w:p w14:paraId="170989ED"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AD7FAD">
        <w:rPr>
          <w:sz w:val="20"/>
          <w:lang w:val="es-ES_tradnl"/>
        </w:rPr>
        <w:t>20</w:t>
      </w:r>
    </w:p>
    <w:p w14:paraId="63FCFCB9"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B7824D0"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4B293713" w14:textId="7E765263" w:rsidR="00574749" w:rsidRPr="0010336F" w:rsidRDefault="00574749" w:rsidP="0021735B">
      <w:pPr>
        <w:pStyle w:val="RecNo"/>
        <w:spacing w:before="0"/>
        <w:rPr>
          <w:lang w:val="es-ES_tradnl"/>
        </w:rPr>
      </w:pPr>
      <w:bookmarkStart w:id="2" w:name="irecnoe"/>
      <w:bookmarkEnd w:id="2"/>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sidR="00055C00">
        <w:rPr>
          <w:rStyle w:val="href"/>
          <w:lang w:val="es-ES_tradnl"/>
        </w:rPr>
        <w:t>1905-1</w:t>
      </w:r>
    </w:p>
    <w:p w14:paraId="309F4F03" w14:textId="77777777" w:rsidR="00CA17D7" w:rsidRPr="00FF7585" w:rsidRDefault="00CA17D7" w:rsidP="00CA17D7">
      <w:pPr>
        <w:pStyle w:val="Rectitle"/>
        <w:rPr>
          <w:lang w:val="es-ES_tradnl"/>
        </w:rPr>
      </w:pPr>
      <w:r w:rsidRPr="00FF7585">
        <w:rPr>
          <w:lang w:val="es-ES_tradnl"/>
        </w:rPr>
        <w:t>Características y criterios de protección de las estaciones terrenas receptoras</w:t>
      </w:r>
      <w:r w:rsidRPr="00FF7585">
        <w:rPr>
          <w:lang w:val="es-ES_tradnl"/>
        </w:rPr>
        <w:br/>
        <w:t>del servicio de radionavegación por satélite (espacio-Tierra)</w:t>
      </w:r>
      <w:r w:rsidRPr="00FF7585">
        <w:rPr>
          <w:lang w:val="es-ES_tradnl"/>
        </w:rPr>
        <w:br/>
        <w:t>que funcionan en la banda 1 164-1 215 MHz</w:t>
      </w:r>
    </w:p>
    <w:p w14:paraId="6AA70146" w14:textId="77777777" w:rsidR="00CA17D7" w:rsidRPr="00FF7585" w:rsidRDefault="00CA17D7" w:rsidP="00CA17D7">
      <w:pPr>
        <w:pStyle w:val="Recref"/>
        <w:rPr>
          <w:lang w:val="es-ES_tradnl"/>
        </w:rPr>
      </w:pPr>
      <w:r w:rsidRPr="00FF7585">
        <w:rPr>
          <w:lang w:val="es-ES_tradnl"/>
        </w:rPr>
        <w:t>(Cuestiones UIT</w:t>
      </w:r>
      <w:r w:rsidRPr="00FF7585">
        <w:rPr>
          <w:lang w:val="es-ES_tradnl"/>
        </w:rPr>
        <w:noBreakHyphen/>
        <w:t>R 217-2/4 y UIT</w:t>
      </w:r>
      <w:r w:rsidRPr="00FF7585">
        <w:rPr>
          <w:lang w:val="es-ES_tradnl"/>
        </w:rPr>
        <w:noBreakHyphen/>
        <w:t>R 288/4)</w:t>
      </w:r>
    </w:p>
    <w:p w14:paraId="23E8DCCF" w14:textId="77777777" w:rsidR="00CA17D7" w:rsidRPr="00FF7585" w:rsidRDefault="00CA17D7" w:rsidP="00CA17D7">
      <w:pPr>
        <w:pStyle w:val="Recdate"/>
        <w:rPr>
          <w:lang w:val="es-ES_tradnl"/>
        </w:rPr>
      </w:pPr>
      <w:r w:rsidRPr="00FF7585">
        <w:rPr>
          <w:lang w:val="es-ES_tradnl"/>
        </w:rPr>
        <w:t>(2012-2019)</w:t>
      </w:r>
    </w:p>
    <w:p w14:paraId="376BA6C6" w14:textId="77777777" w:rsidR="00CA17D7" w:rsidRPr="00FF7585" w:rsidRDefault="00CA17D7" w:rsidP="00CA17D7">
      <w:pPr>
        <w:pStyle w:val="HeadingSum"/>
        <w:rPr>
          <w:snapToGrid w:val="0"/>
        </w:rPr>
      </w:pPr>
      <w:r w:rsidRPr="00FF7585">
        <w:rPr>
          <w:snapToGrid w:val="0"/>
        </w:rPr>
        <w:t>Cometido</w:t>
      </w:r>
    </w:p>
    <w:p w14:paraId="37E9CEE6" w14:textId="77777777" w:rsidR="00CA17D7" w:rsidRPr="00FF7585" w:rsidRDefault="00CA17D7" w:rsidP="00CA17D7">
      <w:pPr>
        <w:pStyle w:val="Summary"/>
      </w:pPr>
      <w:r w:rsidRPr="00FF7585">
        <w:t>En esta Recomendación se presentan las características y los criterios de protección de las estaciones terrenas receptoras del servicio de radionavegación por satélite (SRNS) que funcionan en la banda 1 164-1 215 MHz. Esta información tiene por objeto analizar los efectos de la interferencia de radiofrecuencia causada por otras fuentes radioeléctricas distintas del SRNS en los receptores del SRNS (espacio-Tierra) que funcionan en la banda 1 164</w:t>
      </w:r>
      <w:r w:rsidRPr="00FF7585">
        <w:noBreakHyphen/>
        <w:t>1 215 MHz.</w:t>
      </w:r>
    </w:p>
    <w:p w14:paraId="1FB326A6" w14:textId="77777777" w:rsidR="00CA17D7" w:rsidRPr="00CC6C05" w:rsidRDefault="00CA17D7" w:rsidP="00CA17D7">
      <w:pPr>
        <w:pStyle w:val="Headingb"/>
        <w:rPr>
          <w:lang w:val="es-ES_tradnl"/>
        </w:rPr>
      </w:pPr>
      <w:r w:rsidRPr="00CC6C05">
        <w:rPr>
          <w:lang w:val="es-ES_tradnl"/>
        </w:rPr>
        <w:t>Palabras clave</w:t>
      </w:r>
    </w:p>
    <w:p w14:paraId="36DE60A8" w14:textId="77777777" w:rsidR="00CA17D7" w:rsidRPr="00CC6C05" w:rsidRDefault="00CA17D7" w:rsidP="00CA17D7">
      <w:pPr>
        <w:rPr>
          <w:lang w:val="es-ES_tradnl"/>
        </w:rPr>
      </w:pPr>
      <w:r w:rsidRPr="00CC6C05">
        <w:rPr>
          <w:lang w:val="es-ES_tradnl"/>
        </w:rPr>
        <w:t>SRNS, criterios de protección, efecto de la interferencia de frecuencias radioeléctricas</w:t>
      </w:r>
    </w:p>
    <w:p w14:paraId="0C2EE945" w14:textId="77777777" w:rsidR="00CA17D7" w:rsidRPr="00CC6C05" w:rsidRDefault="00CA17D7" w:rsidP="00CA17D7">
      <w:pPr>
        <w:pStyle w:val="Headingb"/>
        <w:rPr>
          <w:lang w:val="es-ES_tradnl"/>
        </w:rPr>
      </w:pPr>
      <w:r w:rsidRPr="00CC6C05">
        <w:rPr>
          <w:lang w:val="es-ES_tradnl"/>
        </w:rPr>
        <w:t>Abreviaturas/Glosario</w:t>
      </w:r>
    </w:p>
    <w:p w14:paraId="7EB7C68B" w14:textId="77777777" w:rsidR="00CA17D7" w:rsidRPr="00CC6C05" w:rsidRDefault="00CA17D7" w:rsidP="00CA17D7">
      <w:pPr>
        <w:rPr>
          <w:lang w:val="es-ES_tradnl"/>
        </w:rPr>
      </w:pPr>
      <w:r w:rsidRPr="00CC6C05">
        <w:rPr>
          <w:lang w:val="es-ES_tradnl"/>
        </w:rPr>
        <w:t>AWGN</w:t>
      </w:r>
      <w:r w:rsidRPr="00CC6C05">
        <w:rPr>
          <w:lang w:val="es-ES_tradnl"/>
        </w:rPr>
        <w:tab/>
      </w:r>
      <w:r w:rsidRPr="00CC6C05">
        <w:rPr>
          <w:lang w:val="es-ES_tradnl"/>
        </w:rPr>
        <w:tab/>
        <w:t>Ruido gaussiano blanco aditivo</w:t>
      </w:r>
    </w:p>
    <w:p w14:paraId="6B48B176" w14:textId="77777777" w:rsidR="00CA17D7" w:rsidRPr="00CC6C05" w:rsidRDefault="00CA17D7" w:rsidP="00CA17D7">
      <w:pPr>
        <w:rPr>
          <w:lang w:val="es-ES_tradnl"/>
        </w:rPr>
      </w:pPr>
      <w:r w:rsidRPr="00CC6C05">
        <w:rPr>
          <w:lang w:val="es-ES_tradnl"/>
        </w:rPr>
        <w:t>PDC</w:t>
      </w:r>
      <w:r w:rsidRPr="00CC6C05">
        <w:rPr>
          <w:lang w:val="es-ES_tradnl"/>
        </w:rPr>
        <w:tab/>
      </w:r>
      <w:r w:rsidRPr="00CC6C05">
        <w:rPr>
          <w:lang w:val="es-ES_tradnl"/>
        </w:rPr>
        <w:tab/>
        <w:t>Ciclo de trabajo impulsivo</w:t>
      </w:r>
    </w:p>
    <w:p w14:paraId="5ECCFC84" w14:textId="77777777" w:rsidR="00CA17D7" w:rsidRPr="00CC6C05" w:rsidRDefault="00CA17D7" w:rsidP="00CA17D7">
      <w:pPr>
        <w:rPr>
          <w:lang w:val="es-ES_tradnl"/>
        </w:rPr>
      </w:pPr>
      <w:r w:rsidRPr="00CC6C05">
        <w:rPr>
          <w:lang w:val="es-ES_tradnl"/>
        </w:rPr>
        <w:t>PNT</w:t>
      </w:r>
      <w:r w:rsidRPr="00CC6C05">
        <w:rPr>
          <w:lang w:val="es-ES_tradnl"/>
        </w:rPr>
        <w:tab/>
      </w:r>
      <w:r w:rsidRPr="00CC6C05">
        <w:rPr>
          <w:lang w:val="es-ES_tradnl"/>
        </w:rPr>
        <w:tab/>
        <w:t>Posición, navegación y temporización</w:t>
      </w:r>
    </w:p>
    <w:p w14:paraId="79004F82" w14:textId="77777777" w:rsidR="00CA17D7" w:rsidRPr="00CC6C05" w:rsidRDefault="00CA17D7" w:rsidP="00CA17D7">
      <w:pPr>
        <w:rPr>
          <w:lang w:val="es-ES_tradnl"/>
        </w:rPr>
      </w:pPr>
      <w:r w:rsidRPr="00CC6C05">
        <w:rPr>
          <w:lang w:val="es-ES_tradnl"/>
        </w:rPr>
        <w:t>PRF</w:t>
      </w:r>
      <w:r w:rsidRPr="00CC6C05">
        <w:rPr>
          <w:lang w:val="es-ES_tradnl"/>
        </w:rPr>
        <w:tab/>
      </w:r>
      <w:r w:rsidRPr="00CC6C05">
        <w:rPr>
          <w:lang w:val="es-ES_tradnl"/>
        </w:rPr>
        <w:tab/>
        <w:t>Frecuencia de repetición de los impulsos</w:t>
      </w:r>
    </w:p>
    <w:p w14:paraId="1BF71C39" w14:textId="77777777" w:rsidR="00CA17D7" w:rsidRPr="00CC6C05" w:rsidRDefault="00CA17D7" w:rsidP="00CA17D7">
      <w:pPr>
        <w:rPr>
          <w:lang w:val="es-ES_tradnl"/>
        </w:rPr>
      </w:pPr>
      <w:r w:rsidRPr="00CC6C05">
        <w:rPr>
          <w:lang w:val="es-ES_tradnl"/>
        </w:rPr>
        <w:t>RHCP</w:t>
      </w:r>
      <w:r w:rsidRPr="00CC6C05">
        <w:rPr>
          <w:lang w:val="es-ES_tradnl"/>
        </w:rPr>
        <w:tab/>
      </w:r>
      <w:r w:rsidRPr="00CC6C05">
        <w:rPr>
          <w:lang w:val="es-ES_tradnl"/>
        </w:rPr>
        <w:tab/>
        <w:t>Polarización circular dextrógira</w:t>
      </w:r>
    </w:p>
    <w:p w14:paraId="7202830E" w14:textId="77777777" w:rsidR="00CA17D7" w:rsidRPr="00CC6C05" w:rsidRDefault="00CA17D7" w:rsidP="00CA17D7">
      <w:pPr>
        <w:rPr>
          <w:lang w:val="es-ES_tradnl"/>
        </w:rPr>
      </w:pPr>
      <w:r w:rsidRPr="00CC6C05">
        <w:rPr>
          <w:lang w:val="es-ES_tradnl"/>
        </w:rPr>
        <w:t>SQPN</w:t>
      </w:r>
      <w:r w:rsidRPr="00CC6C05">
        <w:rPr>
          <w:lang w:val="es-ES_tradnl"/>
        </w:rPr>
        <w:tab/>
      </w:r>
      <w:r w:rsidRPr="00CC6C05">
        <w:rPr>
          <w:lang w:val="es-ES_tradnl"/>
        </w:rPr>
        <w:tab/>
        <w:t>Ruido seudoaleatorio escalonado en cuadratura</w:t>
      </w:r>
    </w:p>
    <w:p w14:paraId="656AB3CF" w14:textId="77777777" w:rsidR="00CA17D7" w:rsidRPr="00CC6C05" w:rsidRDefault="00CA17D7" w:rsidP="00CA17D7">
      <w:pPr>
        <w:rPr>
          <w:lang w:val="es-ES_tradnl"/>
        </w:rPr>
      </w:pPr>
      <w:r w:rsidRPr="00CC6C05">
        <w:rPr>
          <w:lang w:val="es-ES_tradnl"/>
        </w:rPr>
        <w:t>SQPSK</w:t>
      </w:r>
      <w:r w:rsidRPr="00CC6C05">
        <w:rPr>
          <w:lang w:val="es-ES_tradnl"/>
        </w:rPr>
        <w:tab/>
      </w:r>
      <w:r w:rsidRPr="00CC6C05">
        <w:rPr>
          <w:lang w:val="es-ES_tradnl"/>
        </w:rPr>
        <w:tab/>
        <w:t>Modulación por desplazamiento alternado de fase en cuadratura</w:t>
      </w:r>
    </w:p>
    <w:p w14:paraId="4980F2A0" w14:textId="77777777" w:rsidR="00CA17D7" w:rsidRPr="00CC6C05" w:rsidRDefault="00CA17D7" w:rsidP="00CA17D7">
      <w:pPr>
        <w:rPr>
          <w:lang w:val="es-ES_tradnl"/>
        </w:rPr>
      </w:pPr>
      <w:r w:rsidRPr="00CC6C05">
        <w:rPr>
          <w:lang w:val="es-ES_tradnl"/>
        </w:rPr>
        <w:t>SSC</w:t>
      </w:r>
      <w:r w:rsidRPr="00CC6C05">
        <w:rPr>
          <w:lang w:val="es-ES_tradnl"/>
        </w:rPr>
        <w:tab/>
      </w:r>
      <w:r w:rsidRPr="00CC6C05">
        <w:rPr>
          <w:lang w:val="es-ES_tradnl"/>
        </w:rPr>
        <w:tab/>
        <w:t>Coeficiente de separación espectral</w:t>
      </w:r>
    </w:p>
    <w:p w14:paraId="72E8C993" w14:textId="77777777" w:rsidR="00CA17D7" w:rsidRPr="00CC6C05" w:rsidRDefault="00CA17D7" w:rsidP="00CA17D7">
      <w:pPr>
        <w:pStyle w:val="Headingb"/>
        <w:rPr>
          <w:lang w:val="es-ES_tradnl"/>
        </w:rPr>
      </w:pPr>
      <w:r w:rsidRPr="00CC6C05">
        <w:rPr>
          <w:lang w:val="es-ES_tradnl"/>
        </w:rPr>
        <w:t>Recomendaciones e Informes de la UIT conexos</w:t>
      </w:r>
    </w:p>
    <w:p w14:paraId="678A0A5B" w14:textId="77777777" w:rsidR="00CA17D7" w:rsidRPr="00CC6C05" w:rsidRDefault="00CA17D7" w:rsidP="00CA17D7">
      <w:pPr>
        <w:tabs>
          <w:tab w:val="left" w:pos="3678"/>
        </w:tabs>
        <w:ind w:left="3623" w:hanging="3623"/>
        <w:rPr>
          <w:lang w:val="es-ES_tradnl"/>
        </w:rPr>
      </w:pPr>
      <w:r w:rsidRPr="00CC6C05">
        <w:rPr>
          <w:rFonts w:eastAsia="SimSun"/>
          <w:lang w:val="es-ES_tradnl"/>
        </w:rPr>
        <w:t>Recomendación UIT-R M</w:t>
      </w:r>
      <w:r w:rsidRPr="00CC6C05">
        <w:rPr>
          <w:lang w:val="es-ES_tradnl"/>
        </w:rPr>
        <w:t>.1318-1</w:t>
      </w:r>
      <w:r w:rsidRPr="00CC6C05">
        <w:rPr>
          <w:rFonts w:eastAsia="SimSun"/>
          <w:lang w:val="es-ES_tradnl"/>
        </w:rPr>
        <w:tab/>
        <w:t xml:space="preserve">Modelo de evaluación de interferencias </w:t>
      </w:r>
      <w:proofErr w:type="gramStart"/>
      <w:r w:rsidRPr="00FF7585">
        <w:rPr>
          <w:rFonts w:eastAsia="SimSun"/>
          <w:lang w:val="es-ES_tradnl"/>
        </w:rPr>
        <w:t>continuas</w:t>
      </w:r>
      <w:proofErr w:type="gramEnd"/>
      <w:r w:rsidRPr="00CC6C05">
        <w:rPr>
          <w:rFonts w:eastAsia="SimSun"/>
          <w:lang w:val="es-ES_tradnl"/>
        </w:rPr>
        <w:t xml:space="preserve"> causadas por otras fuentes radioeléctricas distintas a las del servicio de radionavegación por satélite a los sistemas y redes del servicio de radionavegación por satélite en las bandas 1 164-1 215 MHz, 1 215-1 300 MHz, 1 559-1 610 MHz y 5 010-5 030 MHz</w:t>
      </w:r>
    </w:p>
    <w:p w14:paraId="35BC2BF0" w14:textId="6C422878" w:rsidR="00CA17D7" w:rsidRPr="00CC6C05" w:rsidRDefault="00CA17D7" w:rsidP="00CA17D7">
      <w:pPr>
        <w:tabs>
          <w:tab w:val="left" w:pos="3678"/>
        </w:tabs>
        <w:ind w:left="3623" w:hanging="3623"/>
        <w:rPr>
          <w:lang w:val="es-ES_tradnl"/>
        </w:rPr>
      </w:pPr>
      <w:r w:rsidRPr="00CC6C05">
        <w:rPr>
          <w:rFonts w:eastAsia="SimSun"/>
          <w:lang w:val="es-ES_tradnl"/>
        </w:rPr>
        <w:t>Recomendación UIT-R M</w:t>
      </w:r>
      <w:r w:rsidRPr="00CC6C05">
        <w:rPr>
          <w:lang w:val="es-ES_tradnl"/>
        </w:rPr>
        <w:t>.1787-3</w:t>
      </w:r>
      <w:r w:rsidRPr="00CC6C05">
        <w:rPr>
          <w:rFonts w:eastAsia="SimSun"/>
          <w:lang w:val="es-ES_tradnl"/>
        </w:rPr>
        <w:tab/>
        <w:t>Descripción de sistemas y redes del servicio de radionavegación por satélite (espacio-Tierra y espacio-espacio) y características técnicas de estaciones espaciales transmisoras que funcionan en las bandas 1 164-1 215 MHz, 1</w:t>
      </w:r>
      <w:r w:rsidRPr="00FF7585">
        <w:rPr>
          <w:rFonts w:eastAsia="SimSun"/>
          <w:lang w:val="es-ES_tradnl"/>
        </w:rPr>
        <w:t> </w:t>
      </w:r>
      <w:r w:rsidRPr="00CC6C05">
        <w:rPr>
          <w:rFonts w:eastAsia="SimSun"/>
          <w:lang w:val="es-ES_tradnl"/>
        </w:rPr>
        <w:t>215</w:t>
      </w:r>
      <w:r w:rsidR="00EF0106">
        <w:rPr>
          <w:rFonts w:eastAsia="SimSun"/>
          <w:lang w:val="es-ES_tradnl"/>
        </w:rPr>
        <w:noBreakHyphen/>
      </w:r>
      <w:r w:rsidRPr="00CC6C05">
        <w:rPr>
          <w:rFonts w:eastAsia="SimSun"/>
          <w:lang w:val="es-ES_tradnl"/>
        </w:rPr>
        <w:t>1</w:t>
      </w:r>
      <w:r w:rsidRPr="00FF7585">
        <w:rPr>
          <w:rFonts w:eastAsia="SimSun"/>
          <w:lang w:val="es-ES_tradnl"/>
        </w:rPr>
        <w:t> </w:t>
      </w:r>
      <w:r w:rsidRPr="00CC6C05">
        <w:rPr>
          <w:rFonts w:eastAsia="SimSun"/>
          <w:lang w:val="es-ES_tradnl"/>
        </w:rPr>
        <w:t>300MHz y 1 559-1 610 MHz</w:t>
      </w:r>
    </w:p>
    <w:p w14:paraId="0EEE58BA" w14:textId="0F977511" w:rsidR="00CA17D7" w:rsidRPr="00FF7585" w:rsidRDefault="00CA17D7" w:rsidP="00CA17D7">
      <w:pPr>
        <w:tabs>
          <w:tab w:val="left" w:pos="3678"/>
        </w:tabs>
        <w:ind w:left="3623" w:hanging="3623"/>
        <w:rPr>
          <w:rFonts w:eastAsia="SimSun"/>
          <w:lang w:val="es-ES_tradnl"/>
        </w:rPr>
      </w:pPr>
      <w:r w:rsidRPr="00FF7585">
        <w:rPr>
          <w:rFonts w:eastAsia="SimSun"/>
          <w:lang w:val="es-ES_tradnl"/>
        </w:rPr>
        <w:t>Recomendación UIT-R M.1901-</w:t>
      </w:r>
      <w:r w:rsidR="00E861C1">
        <w:rPr>
          <w:rFonts w:eastAsia="SimSun"/>
          <w:lang w:val="es-ES_tradnl"/>
        </w:rPr>
        <w:t>2</w:t>
      </w:r>
      <w:r w:rsidRPr="00FF7585">
        <w:rPr>
          <w:rFonts w:eastAsia="SimSun"/>
          <w:lang w:val="es-ES_tradnl"/>
        </w:rPr>
        <w:tab/>
        <w:t>Directrices sobre Recomendaciones del UIT-R relativas a sistemas y redes del servicio de radionavegación por satélite que funcionan en las bandas de frecuencias 1 164-1 215 MHz, 1 215-1 300 MHz, 1 559-1 610 MHz, 5 000-5 010 MHz y 5 010-5 030 MHz</w:t>
      </w:r>
    </w:p>
    <w:p w14:paraId="68CE966F" w14:textId="543E1E91" w:rsidR="00CA17D7" w:rsidRPr="00CC6C05" w:rsidRDefault="00CA17D7" w:rsidP="00CA17D7">
      <w:pPr>
        <w:tabs>
          <w:tab w:val="left" w:pos="3678"/>
        </w:tabs>
        <w:ind w:left="3623" w:hanging="3623"/>
        <w:rPr>
          <w:rFonts w:eastAsia="SimSun"/>
          <w:lang w:val="es-ES_tradnl"/>
        </w:rPr>
      </w:pPr>
      <w:r w:rsidRPr="00CC6C05">
        <w:rPr>
          <w:rFonts w:eastAsia="SimSun"/>
          <w:lang w:val="es-ES_tradnl"/>
        </w:rPr>
        <w:t>Recomendación UIT-R M.1902-</w:t>
      </w:r>
      <w:r w:rsidR="00E861C1">
        <w:rPr>
          <w:rFonts w:eastAsia="SimSun"/>
          <w:lang w:val="es-ES_tradnl"/>
        </w:rPr>
        <w:t>1</w:t>
      </w:r>
      <w:r w:rsidRPr="00CC6C05">
        <w:rPr>
          <w:rFonts w:eastAsia="SimSun"/>
          <w:lang w:val="es-ES_tradnl"/>
        </w:rPr>
        <w:tab/>
        <w:t>Características y criterios de protección de las estaciones terrenas receptoras del servicio de radionavegación por satélite (espacio-Tierra) que funcionan en la banda 1 215-1 300 MHz</w:t>
      </w:r>
    </w:p>
    <w:p w14:paraId="586E095F" w14:textId="52751CFD" w:rsidR="00CA17D7" w:rsidRPr="00CC6C05" w:rsidRDefault="00CA17D7" w:rsidP="00CA17D7">
      <w:pPr>
        <w:tabs>
          <w:tab w:val="left" w:pos="3678"/>
        </w:tabs>
        <w:ind w:left="3623" w:hanging="3623"/>
        <w:rPr>
          <w:rFonts w:eastAsia="SimSun"/>
          <w:lang w:val="es-ES_tradnl"/>
        </w:rPr>
      </w:pPr>
      <w:r w:rsidRPr="00CC6C05">
        <w:rPr>
          <w:rFonts w:eastAsia="SimSun"/>
          <w:lang w:val="es-ES_tradnl"/>
        </w:rPr>
        <w:t>Recomendación UIT-R M.1903-</w:t>
      </w:r>
      <w:r w:rsidR="00E861C1">
        <w:rPr>
          <w:rFonts w:eastAsia="SimSun"/>
          <w:lang w:val="es-ES_tradnl"/>
        </w:rPr>
        <w:t>1</w:t>
      </w:r>
      <w:r w:rsidRPr="00CC6C05">
        <w:rPr>
          <w:rFonts w:eastAsia="SimSun"/>
          <w:lang w:val="es-ES_tradnl"/>
        </w:rPr>
        <w:tab/>
        <w:t>Características y criterios de protección de las estaciones terrenas recept</w:t>
      </w:r>
      <w:bookmarkStart w:id="3" w:name="_GoBack"/>
      <w:bookmarkEnd w:id="3"/>
      <w:r w:rsidRPr="00CC6C05">
        <w:rPr>
          <w:rFonts w:eastAsia="SimSun"/>
          <w:lang w:val="es-ES_tradnl"/>
        </w:rPr>
        <w:t>oras del servicio de radionavegación por satélite (espacio-Tierra) y de los receptores del servicio de radionavegación aeronáutica que funcionan en la banda 1</w:t>
      </w:r>
      <w:r w:rsidRPr="00FF7585">
        <w:rPr>
          <w:rFonts w:eastAsia="SimSun"/>
          <w:lang w:val="es-ES_tradnl"/>
        </w:rPr>
        <w:t> </w:t>
      </w:r>
      <w:r w:rsidRPr="00CC6C05">
        <w:rPr>
          <w:rFonts w:eastAsia="SimSun"/>
          <w:lang w:val="es-ES_tradnl"/>
        </w:rPr>
        <w:t>559</w:t>
      </w:r>
      <w:r w:rsidRPr="00FF7585">
        <w:rPr>
          <w:rFonts w:eastAsia="SimSun"/>
          <w:lang w:val="es-ES_tradnl"/>
        </w:rPr>
        <w:noBreakHyphen/>
      </w:r>
      <w:r w:rsidRPr="00CC6C05">
        <w:rPr>
          <w:rFonts w:eastAsia="SimSun"/>
          <w:lang w:val="es-ES_tradnl"/>
        </w:rPr>
        <w:t>1</w:t>
      </w:r>
      <w:r w:rsidRPr="00FF7585">
        <w:rPr>
          <w:rFonts w:eastAsia="SimSun"/>
          <w:lang w:val="es-ES_tradnl"/>
        </w:rPr>
        <w:t> </w:t>
      </w:r>
      <w:r w:rsidRPr="00CC6C05">
        <w:rPr>
          <w:rFonts w:eastAsia="SimSun"/>
          <w:lang w:val="es-ES_tradnl"/>
        </w:rPr>
        <w:t>610</w:t>
      </w:r>
      <w:r w:rsidRPr="00FF7585">
        <w:rPr>
          <w:rFonts w:eastAsia="SimSun"/>
          <w:lang w:val="es-ES_tradnl"/>
        </w:rPr>
        <w:t> </w:t>
      </w:r>
      <w:r w:rsidRPr="00CC6C05">
        <w:rPr>
          <w:rFonts w:eastAsia="SimSun"/>
          <w:lang w:val="es-ES_tradnl"/>
        </w:rPr>
        <w:t>MHz</w:t>
      </w:r>
    </w:p>
    <w:p w14:paraId="106A74AE" w14:textId="04B54F92" w:rsidR="00CA17D7" w:rsidRPr="00CC6C05" w:rsidRDefault="00CA17D7" w:rsidP="00CA17D7">
      <w:pPr>
        <w:tabs>
          <w:tab w:val="left" w:pos="3678"/>
        </w:tabs>
        <w:ind w:left="3623" w:hanging="3623"/>
        <w:rPr>
          <w:rFonts w:eastAsia="SimSun"/>
          <w:lang w:val="es-ES_tradnl"/>
        </w:rPr>
      </w:pPr>
      <w:r w:rsidRPr="00CC6C05">
        <w:rPr>
          <w:rFonts w:eastAsia="SimSun"/>
          <w:lang w:val="es-ES_tradnl"/>
        </w:rPr>
        <w:t>Recomendación UIT-R M.1904-</w:t>
      </w:r>
      <w:r w:rsidR="00E861C1">
        <w:rPr>
          <w:rFonts w:eastAsia="SimSun"/>
          <w:lang w:val="es-ES_tradnl"/>
        </w:rPr>
        <w:t>1</w:t>
      </w:r>
      <w:r w:rsidRPr="00CC6C05">
        <w:rPr>
          <w:rFonts w:eastAsia="SimSun"/>
          <w:lang w:val="es-ES_tradnl"/>
        </w:rPr>
        <w:tab/>
        <w:t>Características, requisitos de calidad de funcionamiento y criterios de protección de las estaciones receptoras del servicio de radionavegación por satélite (espacio-espacio) que funcionan en las bandas de frecuencias 1 164</w:t>
      </w:r>
      <w:r w:rsidRPr="00FF7585">
        <w:rPr>
          <w:rFonts w:eastAsia="SimSun"/>
          <w:lang w:val="es-ES_tradnl"/>
        </w:rPr>
        <w:noBreakHyphen/>
      </w:r>
      <w:r w:rsidRPr="00CC6C05">
        <w:rPr>
          <w:rFonts w:eastAsia="SimSun"/>
          <w:lang w:val="es-ES_tradnl"/>
        </w:rPr>
        <w:t>1 215 MHz, 1</w:t>
      </w:r>
      <w:r w:rsidRPr="00FF7585">
        <w:rPr>
          <w:rFonts w:eastAsia="SimSun"/>
          <w:lang w:val="es-ES_tradnl"/>
        </w:rPr>
        <w:t> </w:t>
      </w:r>
      <w:r w:rsidRPr="00CC6C05">
        <w:rPr>
          <w:rFonts w:eastAsia="SimSun"/>
          <w:lang w:val="es-ES_tradnl"/>
        </w:rPr>
        <w:t>215</w:t>
      </w:r>
      <w:r w:rsidRPr="00FF7585">
        <w:rPr>
          <w:rFonts w:eastAsia="SimSun"/>
          <w:lang w:val="es-ES_tradnl"/>
        </w:rPr>
        <w:noBreakHyphen/>
      </w:r>
      <w:r w:rsidRPr="00CC6C05">
        <w:rPr>
          <w:rFonts w:eastAsia="SimSun"/>
          <w:lang w:val="es-ES_tradnl"/>
        </w:rPr>
        <w:t>1 300 MHz y 1 559</w:t>
      </w:r>
      <w:r w:rsidRPr="00FF7585">
        <w:rPr>
          <w:rFonts w:eastAsia="SimSun"/>
          <w:lang w:val="es-ES_tradnl"/>
        </w:rPr>
        <w:noBreakHyphen/>
      </w:r>
      <w:r w:rsidRPr="00CC6C05">
        <w:rPr>
          <w:rFonts w:eastAsia="SimSun"/>
          <w:lang w:val="es-ES_tradnl"/>
        </w:rPr>
        <w:t>1 610 MHz</w:t>
      </w:r>
    </w:p>
    <w:p w14:paraId="5F0AF1A7" w14:textId="77777777" w:rsidR="00CA17D7" w:rsidRPr="00CC6C05" w:rsidRDefault="00CA17D7" w:rsidP="00CA17D7">
      <w:pPr>
        <w:tabs>
          <w:tab w:val="left" w:pos="3678"/>
        </w:tabs>
        <w:ind w:left="3623" w:hanging="3623"/>
        <w:rPr>
          <w:rFonts w:eastAsia="SimSun"/>
          <w:lang w:val="es-ES_tradnl"/>
        </w:rPr>
      </w:pPr>
      <w:r w:rsidRPr="00CC6C05">
        <w:rPr>
          <w:rFonts w:eastAsia="SimSun"/>
          <w:lang w:val="es-ES_tradnl"/>
        </w:rPr>
        <w:t>Recomendación UIT-R M.1906-1</w:t>
      </w:r>
      <w:r w:rsidRPr="00CC6C05">
        <w:rPr>
          <w:rFonts w:eastAsia="SimSun"/>
          <w:lang w:val="es-ES_tradnl"/>
        </w:rPr>
        <w:tab/>
        <w:t>Características y criterios de protección de las estaciones espaciales receptoras y características de las estaciones terrenas transmisoras del servicio de radionavegación por satélite (Tierra-espacio) que funcionan en la banda 5 000-5 010 MHz</w:t>
      </w:r>
    </w:p>
    <w:p w14:paraId="41E58795" w14:textId="77777777" w:rsidR="00CA17D7" w:rsidRPr="00CC6C05" w:rsidRDefault="00CA17D7" w:rsidP="00CA17D7">
      <w:pPr>
        <w:tabs>
          <w:tab w:val="left" w:pos="3678"/>
        </w:tabs>
        <w:ind w:left="3623" w:hanging="3623"/>
        <w:rPr>
          <w:rFonts w:eastAsia="SimSun"/>
          <w:lang w:val="es-ES_tradnl"/>
        </w:rPr>
      </w:pPr>
      <w:r w:rsidRPr="00CC6C05">
        <w:rPr>
          <w:rFonts w:eastAsia="SimSun"/>
          <w:lang w:val="es-ES_tradnl"/>
        </w:rPr>
        <w:t>Recomendación UIT-R M.2030-0</w:t>
      </w:r>
      <w:r w:rsidRPr="00CC6C05">
        <w:rPr>
          <w:rFonts w:eastAsia="SimSun"/>
          <w:lang w:val="es-ES_tradnl"/>
        </w:rPr>
        <w:tab/>
        <w:t>Modelo de evaluación de la interferencia impulsiva causada por fuentes radioeléctricas pertinentes distintas de las del servicio de radionavegación por satélite a sistemas y redes del servicio de radionavegación por satélite que funcionan en las bandas de frecuencias 1 164-1 215 MHz, 1 215-1 300 MHz y 1 559-1 610 MHz</w:t>
      </w:r>
    </w:p>
    <w:p w14:paraId="1D8F38E5" w14:textId="77777777" w:rsidR="00CA17D7" w:rsidRPr="00CC6C05" w:rsidRDefault="00CA17D7" w:rsidP="00CA17D7">
      <w:pPr>
        <w:tabs>
          <w:tab w:val="left" w:pos="3678"/>
        </w:tabs>
        <w:ind w:left="3623" w:hanging="3623"/>
        <w:rPr>
          <w:snapToGrid w:val="0"/>
          <w:lang w:val="es-ES_tradnl"/>
        </w:rPr>
      </w:pPr>
      <w:r w:rsidRPr="00CC6C05">
        <w:rPr>
          <w:rFonts w:eastAsia="SimSun"/>
          <w:lang w:val="es-ES_tradnl"/>
        </w:rPr>
        <w:t>Recomendación UIT-R M.2031-1</w:t>
      </w:r>
      <w:r w:rsidRPr="00CC6C05">
        <w:rPr>
          <w:rFonts w:eastAsia="SimSun"/>
          <w:lang w:val="es-ES_tradnl"/>
        </w:rPr>
        <w:tab/>
        <w:t>Características y criterios de protección de las estaciones terrenas receptoras y características de las estaciones espaciales transmisoras del servicio de radionavegación por satélite (espacio-Tierra) que funcionan en la banda 5</w:t>
      </w:r>
      <w:r w:rsidRPr="00FF7585">
        <w:rPr>
          <w:rFonts w:eastAsia="SimSun"/>
          <w:lang w:val="es-ES_tradnl"/>
        </w:rPr>
        <w:t> </w:t>
      </w:r>
      <w:r w:rsidRPr="00CC6C05">
        <w:rPr>
          <w:rFonts w:eastAsia="SimSun"/>
          <w:lang w:val="es-ES_tradnl"/>
        </w:rPr>
        <w:t>010-5 030 MHz</w:t>
      </w:r>
    </w:p>
    <w:p w14:paraId="1A8673E6" w14:textId="77777777" w:rsidR="00CA17D7" w:rsidRPr="00FF7585" w:rsidRDefault="00CA17D7" w:rsidP="00CA17D7">
      <w:pPr>
        <w:pStyle w:val="Normalaftertitle"/>
        <w:rPr>
          <w:snapToGrid w:val="0"/>
          <w:lang w:val="es-ES_tradnl"/>
        </w:rPr>
      </w:pPr>
      <w:r w:rsidRPr="00FF7585">
        <w:rPr>
          <w:lang w:val="es-ES_tradnl"/>
        </w:rPr>
        <w:t>La Asamblea de Radiocomunicaciones de la UIT</w:t>
      </w:r>
      <w:r w:rsidRPr="00FF7585">
        <w:rPr>
          <w:snapToGrid w:val="0"/>
          <w:lang w:val="es-ES_tradnl"/>
        </w:rPr>
        <w:t>,</w:t>
      </w:r>
    </w:p>
    <w:p w14:paraId="3318F5B4" w14:textId="77777777" w:rsidR="00CA17D7" w:rsidRPr="00FF7585" w:rsidRDefault="00CA17D7" w:rsidP="00CA17D7">
      <w:pPr>
        <w:pStyle w:val="Call"/>
        <w:rPr>
          <w:snapToGrid w:val="0"/>
          <w:lang w:val="es-ES_tradnl"/>
        </w:rPr>
      </w:pPr>
      <w:r w:rsidRPr="00FF7585">
        <w:rPr>
          <w:snapToGrid w:val="0"/>
          <w:lang w:val="es-ES_tradnl"/>
        </w:rPr>
        <w:t>considerando</w:t>
      </w:r>
    </w:p>
    <w:p w14:paraId="5F96C83D" w14:textId="77777777" w:rsidR="00CA17D7" w:rsidRPr="00FF7585" w:rsidRDefault="00CA17D7" w:rsidP="00CA17D7">
      <w:pPr>
        <w:rPr>
          <w:lang w:val="es-ES_tradnl"/>
        </w:rPr>
      </w:pPr>
      <w:r w:rsidRPr="00FF7585">
        <w:rPr>
          <w:i/>
          <w:iCs/>
          <w:lang w:val="es-ES_tradnl"/>
        </w:rPr>
        <w:t>a)</w:t>
      </w:r>
      <w:r w:rsidRPr="00FF7585">
        <w:rPr>
          <w:lang w:val="es-ES_tradnl"/>
        </w:rPr>
        <w:tab/>
        <w:t>que los sistemas y redes del servicio de radionavegación por satélite (SRNS) proporcionan en todo el mundo información exacta para muchas aplicaciones de determinación de la posición, navegación y temporización, incluidos los aspectos de seguridad para algunas bandas de frecuencia y bajo ciertas circunstancias y aplicaciones;</w:t>
      </w:r>
    </w:p>
    <w:p w14:paraId="368CC1CC" w14:textId="77777777" w:rsidR="00CA17D7" w:rsidRPr="00FF7585" w:rsidRDefault="00CA17D7" w:rsidP="00CA17D7">
      <w:pPr>
        <w:rPr>
          <w:lang w:val="es-ES_tradnl"/>
        </w:rPr>
      </w:pPr>
      <w:r w:rsidRPr="00FF7585">
        <w:rPr>
          <w:i/>
          <w:iCs/>
          <w:lang w:val="es-ES_tradnl"/>
        </w:rPr>
        <w:t>b)</w:t>
      </w:r>
      <w:r w:rsidRPr="00FF7585">
        <w:rPr>
          <w:lang w:val="es-ES_tradnl"/>
        </w:rPr>
        <w:tab/>
        <w:t>que existen varios sistemas y redes del SRNS en funcionamiento y planificados;</w:t>
      </w:r>
    </w:p>
    <w:p w14:paraId="50F38FB1" w14:textId="77777777" w:rsidR="00CA17D7" w:rsidRPr="00FF7585" w:rsidRDefault="00CA17D7" w:rsidP="00CA17D7">
      <w:pPr>
        <w:rPr>
          <w:lang w:val="es-ES_tradnl"/>
        </w:rPr>
      </w:pPr>
      <w:r w:rsidRPr="00FF7585">
        <w:rPr>
          <w:i/>
          <w:iCs/>
          <w:lang w:val="es-ES_tradnl" w:eastAsia="ja-JP"/>
        </w:rPr>
        <w:t>c</w:t>
      </w:r>
      <w:r w:rsidRPr="00FF7585">
        <w:rPr>
          <w:i/>
          <w:iCs/>
          <w:lang w:val="es-ES_tradnl"/>
        </w:rPr>
        <w:t>)</w:t>
      </w:r>
      <w:r w:rsidRPr="00FF7585">
        <w:rPr>
          <w:lang w:val="es-ES_tradnl"/>
        </w:rPr>
        <w:tab/>
        <w:t>que las características de los sistemas y redes del SRNS y sus criterios de protección pueden ser distintos según las bandas de frecuencias y las aplicaciones;</w:t>
      </w:r>
    </w:p>
    <w:p w14:paraId="2ADC5850" w14:textId="77777777" w:rsidR="00CA17D7" w:rsidRPr="00FF7585" w:rsidRDefault="00CA17D7" w:rsidP="00CA17D7">
      <w:pPr>
        <w:rPr>
          <w:lang w:val="es-ES_tradnl"/>
        </w:rPr>
      </w:pPr>
      <w:r w:rsidRPr="00FF7585">
        <w:rPr>
          <w:i/>
          <w:iCs/>
          <w:lang w:val="es-ES_tradnl" w:eastAsia="ja-JP"/>
        </w:rPr>
        <w:t>d</w:t>
      </w:r>
      <w:r w:rsidRPr="00FF7585">
        <w:rPr>
          <w:i/>
          <w:iCs/>
          <w:lang w:val="es-ES_tradnl"/>
        </w:rPr>
        <w:t>)</w:t>
      </w:r>
      <w:r w:rsidRPr="00FF7585">
        <w:rPr>
          <w:lang w:val="es-ES_tradnl"/>
        </w:rPr>
        <w:tab/>
        <w:t xml:space="preserve">que se están realizando o se tiene previsto realizar estudios sobre los efectos de las fuentes radioeléctricas distintas del SRNS en los sistemas y redes del SRNS; </w:t>
      </w:r>
    </w:p>
    <w:p w14:paraId="6234B4D3" w14:textId="1D62CEF4" w:rsidR="00CA17D7" w:rsidRPr="00FF7585" w:rsidRDefault="00CA17D7" w:rsidP="00CA17D7">
      <w:pPr>
        <w:rPr>
          <w:lang w:val="es-ES_tradnl" w:eastAsia="ja-JP"/>
        </w:rPr>
      </w:pPr>
      <w:r w:rsidRPr="00FF7585">
        <w:rPr>
          <w:i/>
          <w:iCs/>
          <w:lang w:val="es-ES_tradnl" w:eastAsia="ja-JP"/>
        </w:rPr>
        <w:t>e</w:t>
      </w:r>
      <w:r w:rsidRPr="00FF7585">
        <w:rPr>
          <w:i/>
          <w:iCs/>
          <w:lang w:val="es-ES_tradnl"/>
        </w:rPr>
        <w:t>)</w:t>
      </w:r>
      <w:r w:rsidRPr="00FF7585">
        <w:rPr>
          <w:lang w:val="es-ES_tradnl"/>
        </w:rPr>
        <w:tab/>
        <w:t>que existe un gran número de aplicaciones del SRNS aeronáuticas y no aeronáuticas utilizadas o cuya utilización está prevista en la banda</w:t>
      </w:r>
      <w:r w:rsidRPr="00FF7585">
        <w:rPr>
          <w:snapToGrid w:val="0"/>
          <w:lang w:val="es-ES_tradnl"/>
        </w:rPr>
        <w:t xml:space="preserve"> 1 164-1 215 MHz</w:t>
      </w:r>
      <w:r w:rsidR="00F32854">
        <w:rPr>
          <w:lang w:val="es-ES_tradnl"/>
        </w:rPr>
        <w:t>,</w:t>
      </w:r>
    </w:p>
    <w:p w14:paraId="1B09F299" w14:textId="77777777" w:rsidR="00CA17D7" w:rsidRPr="00FF7585" w:rsidRDefault="00CA17D7" w:rsidP="00CA17D7">
      <w:pPr>
        <w:pStyle w:val="Call"/>
        <w:rPr>
          <w:snapToGrid w:val="0"/>
          <w:lang w:val="es-ES_tradnl"/>
        </w:rPr>
      </w:pPr>
      <w:r w:rsidRPr="00FF7585">
        <w:rPr>
          <w:snapToGrid w:val="0"/>
          <w:lang w:val="es-ES_tradnl"/>
        </w:rPr>
        <w:t>observando</w:t>
      </w:r>
    </w:p>
    <w:p w14:paraId="67AC994B" w14:textId="77777777" w:rsidR="00CA17D7" w:rsidRPr="00FF7585" w:rsidRDefault="00CA17D7" w:rsidP="00CA17D7">
      <w:pPr>
        <w:rPr>
          <w:lang w:val="es-ES_tradnl"/>
        </w:rPr>
      </w:pPr>
      <w:r w:rsidRPr="00FF7585">
        <w:rPr>
          <w:i/>
          <w:iCs/>
          <w:lang w:val="es-ES_tradnl" w:eastAsia="ja-JP"/>
        </w:rPr>
        <w:t>a</w:t>
      </w:r>
      <w:r w:rsidRPr="00FF7585">
        <w:rPr>
          <w:i/>
          <w:iCs/>
          <w:lang w:val="es-ES_tradnl"/>
        </w:rPr>
        <w:t>)</w:t>
      </w:r>
      <w:r w:rsidRPr="00FF7585">
        <w:rPr>
          <w:lang w:val="es-ES_tradnl"/>
        </w:rPr>
        <w:tab/>
        <w:t>que la Recomendación UIT-R M.1787 proporciona descripciones técnicas de sistemas y redes del SRNS y de las características técnicas de las estaciones espaciales transmisoras que funcionan en las bandas 1 164-1 215 MHz, 1 215-1 300 MHz y 1 559-1 610 MHz;</w:t>
      </w:r>
    </w:p>
    <w:p w14:paraId="6381B78C" w14:textId="77777777" w:rsidR="00CA17D7" w:rsidRPr="00FF7585" w:rsidRDefault="00CA17D7" w:rsidP="00CA17D7">
      <w:pPr>
        <w:rPr>
          <w:lang w:val="es-ES_tradnl" w:eastAsia="ja-JP"/>
        </w:rPr>
      </w:pPr>
      <w:r w:rsidRPr="00FF7585">
        <w:rPr>
          <w:i/>
          <w:iCs/>
          <w:lang w:val="es-ES_tradnl" w:eastAsia="ja-JP"/>
        </w:rPr>
        <w:t>b</w:t>
      </w:r>
      <w:r w:rsidRPr="00FF7585">
        <w:rPr>
          <w:i/>
          <w:iCs/>
          <w:lang w:val="es-ES_tradnl"/>
        </w:rPr>
        <w:t>)</w:t>
      </w:r>
      <w:r w:rsidRPr="00FF7585">
        <w:rPr>
          <w:lang w:val="es-ES_tradnl"/>
        </w:rPr>
        <w:tab/>
        <w:t>que la Recomendación UIT-R M.1904 proporciona las características técnicas y los criterios de protección de las estaciones espaciales receptoras que funcionan en el SRNS (espacio</w:t>
      </w:r>
      <w:r w:rsidRPr="00FF7585">
        <w:rPr>
          <w:lang w:val="es-ES_tradnl"/>
        </w:rPr>
        <w:noBreakHyphen/>
        <w:t>espacio) en las bandas 1 164</w:t>
      </w:r>
      <w:r w:rsidRPr="00FF7585">
        <w:rPr>
          <w:lang w:val="es-ES_tradnl"/>
        </w:rPr>
        <w:noBreakHyphen/>
        <w:t>1 215 MHz, 1 215-1 300 MHz y 1 559-1 610 MHz</w:t>
      </w:r>
      <w:r w:rsidRPr="00FF7585">
        <w:rPr>
          <w:lang w:val="es-ES_tradnl" w:eastAsia="ja-JP"/>
        </w:rPr>
        <w:t>;</w:t>
      </w:r>
    </w:p>
    <w:p w14:paraId="026B65E2" w14:textId="0FB2919B" w:rsidR="00CA17D7" w:rsidRPr="00FF7585" w:rsidRDefault="00CA17D7" w:rsidP="00CA17D7">
      <w:pPr>
        <w:rPr>
          <w:lang w:val="es-ES_tradnl"/>
        </w:rPr>
      </w:pPr>
      <w:r w:rsidRPr="00FF7585">
        <w:rPr>
          <w:i/>
          <w:iCs/>
          <w:lang w:val="es-ES_tradnl"/>
        </w:rPr>
        <w:t>c)</w:t>
      </w:r>
      <w:r w:rsidRPr="00FF7585">
        <w:rPr>
          <w:lang w:val="es-ES_tradnl"/>
        </w:rPr>
        <w:tab/>
        <w:t>que la Recomendación UIT-R M.1901 proporciona orientaciones sobre ésta y otras Recomendaciones del UIT-R relativas a sistemas y redes del SRNS que funcionan en las bandas de frecuencia 1 164-1 215 MHz, 1 215-1 300 MHz, 1 559-1 610 MHz, 5 000-5 010 MHz y 5 010</w:t>
      </w:r>
      <w:r w:rsidR="00EF0106">
        <w:rPr>
          <w:lang w:val="es-ES_tradnl"/>
        </w:rPr>
        <w:noBreakHyphen/>
      </w:r>
      <w:r w:rsidRPr="00FF7585">
        <w:rPr>
          <w:lang w:val="es-ES_tradnl"/>
        </w:rPr>
        <w:t>5 030 MHz,</w:t>
      </w:r>
    </w:p>
    <w:p w14:paraId="6D30316B" w14:textId="77777777" w:rsidR="00CA17D7" w:rsidRPr="00FF7585" w:rsidRDefault="00CA17D7" w:rsidP="00CA17D7">
      <w:pPr>
        <w:pStyle w:val="Call"/>
        <w:rPr>
          <w:lang w:val="es-ES_tradnl"/>
        </w:rPr>
      </w:pPr>
      <w:r w:rsidRPr="00FF7585">
        <w:rPr>
          <w:lang w:val="es-ES_tradnl"/>
        </w:rPr>
        <w:t>reconociendo</w:t>
      </w:r>
    </w:p>
    <w:p w14:paraId="6CE4B70E" w14:textId="77777777" w:rsidR="00CA17D7" w:rsidRPr="00FF7585" w:rsidRDefault="00CA17D7" w:rsidP="00CA17D7">
      <w:pPr>
        <w:rPr>
          <w:lang w:val="es-ES_tradnl"/>
        </w:rPr>
      </w:pPr>
      <w:r w:rsidRPr="00FF7585">
        <w:rPr>
          <w:i/>
          <w:iCs/>
          <w:lang w:val="es-ES_tradnl" w:eastAsia="ja-JP"/>
        </w:rPr>
        <w:t>a</w:t>
      </w:r>
      <w:r w:rsidRPr="00FF7585">
        <w:rPr>
          <w:i/>
          <w:iCs/>
          <w:lang w:val="es-ES_tradnl"/>
        </w:rPr>
        <w:t>)</w:t>
      </w:r>
      <w:r w:rsidRPr="00FF7585">
        <w:rPr>
          <w:lang w:val="es-ES_tradnl"/>
        </w:rPr>
        <w:tab/>
        <w:t>que la banda 1 164-1 215 MHz está atribuida a título primario al SRNS (espacio-Tierra y espacio-espacio) en las tres Regiones;</w:t>
      </w:r>
    </w:p>
    <w:p w14:paraId="1D4F751F" w14:textId="77777777" w:rsidR="00CA17D7" w:rsidRPr="00FF7585" w:rsidRDefault="00CA17D7" w:rsidP="00CA17D7">
      <w:pPr>
        <w:rPr>
          <w:lang w:val="es-ES_tradnl"/>
        </w:rPr>
      </w:pPr>
      <w:r w:rsidRPr="00FF7585">
        <w:rPr>
          <w:i/>
          <w:iCs/>
          <w:lang w:val="es-ES_tradnl" w:eastAsia="ja-JP"/>
        </w:rPr>
        <w:t>b</w:t>
      </w:r>
      <w:r w:rsidRPr="00FF7585">
        <w:rPr>
          <w:i/>
          <w:iCs/>
          <w:lang w:val="es-ES_tradnl"/>
        </w:rPr>
        <w:t>)</w:t>
      </w:r>
      <w:r w:rsidRPr="00FF7585">
        <w:rPr>
          <w:lang w:val="es-ES_tradnl"/>
        </w:rPr>
        <w:tab/>
        <w:t>que la banda 1 164-1 215 MHz está también atribuida a título primario al servicio de radionavegación aeronáutica (SRNA) en las tres Regiones;</w:t>
      </w:r>
    </w:p>
    <w:p w14:paraId="0C4CE26F" w14:textId="77777777" w:rsidR="00CA17D7" w:rsidRPr="00FF7585" w:rsidRDefault="00CA17D7" w:rsidP="00CA17D7">
      <w:pPr>
        <w:rPr>
          <w:lang w:val="es-ES_tradnl"/>
        </w:rPr>
      </w:pPr>
      <w:r w:rsidRPr="00FF7585">
        <w:rPr>
          <w:i/>
          <w:iCs/>
          <w:lang w:val="es-ES_tradnl" w:eastAsia="ja-JP"/>
        </w:rPr>
        <w:t>c)</w:t>
      </w:r>
      <w:r w:rsidRPr="00FF7585">
        <w:rPr>
          <w:lang w:val="es-ES_tradnl" w:eastAsia="ja-JP"/>
        </w:rPr>
        <w:tab/>
      </w:r>
      <w:r w:rsidRPr="00FF7585">
        <w:rPr>
          <w:lang w:val="es-ES_tradnl"/>
        </w:rPr>
        <w:t xml:space="preserve">que el número </w:t>
      </w:r>
      <w:r w:rsidRPr="00FF7585">
        <w:rPr>
          <w:b/>
          <w:lang w:val="es-ES_tradnl"/>
        </w:rPr>
        <w:t>5.328A</w:t>
      </w:r>
      <w:r w:rsidRPr="00FF7585">
        <w:rPr>
          <w:lang w:val="es-ES_tradnl"/>
        </w:rPr>
        <w:t xml:space="preserve"> del Reglamento de Radiocomunicaciones (RR) indica que «las estaciones del servicio de radionavegación por satélite en la banda 1 164-1 215 MHz funcionarán de conformidad con las disposiciones de la Resolución </w:t>
      </w:r>
      <w:r w:rsidRPr="00CC6C05">
        <w:rPr>
          <w:b/>
          <w:bCs/>
          <w:lang w:val="es-ES_tradnl"/>
        </w:rPr>
        <w:t>609 (Rev.CMR-07)</w:t>
      </w:r>
      <w:r w:rsidRPr="00FF7585">
        <w:rPr>
          <w:lang w:val="es-ES_tradnl"/>
        </w:rPr>
        <w:t xml:space="preserve"> y no reclamarán protección contra las estaciones del servicio de radionavegación aeronáutica en la banda 960-1 215 MHz. No se aplican las disposiciones del número </w:t>
      </w:r>
      <w:r w:rsidRPr="00FF7585">
        <w:rPr>
          <w:b/>
          <w:bCs/>
          <w:lang w:val="es-ES_tradnl"/>
        </w:rPr>
        <w:t>5.43A</w:t>
      </w:r>
      <w:r w:rsidRPr="00FF7585">
        <w:rPr>
          <w:lang w:val="es-ES_tradnl"/>
        </w:rPr>
        <w:t xml:space="preserve">. Se aplicarán las disposiciones del número </w:t>
      </w:r>
      <w:r w:rsidRPr="00FF7585">
        <w:rPr>
          <w:b/>
          <w:bCs/>
          <w:lang w:val="es-ES_tradnl"/>
        </w:rPr>
        <w:t>21.18</w:t>
      </w:r>
      <w:r w:rsidRPr="00FF7585">
        <w:rPr>
          <w:lang w:val="es-ES_tradnl"/>
        </w:rPr>
        <w:t>»,</w:t>
      </w:r>
    </w:p>
    <w:p w14:paraId="7C976A54" w14:textId="77777777" w:rsidR="00CA17D7" w:rsidRPr="00FF7585" w:rsidRDefault="00CA17D7" w:rsidP="00CA17D7">
      <w:pPr>
        <w:pStyle w:val="Call"/>
        <w:rPr>
          <w:snapToGrid w:val="0"/>
          <w:lang w:val="es-ES_tradnl"/>
        </w:rPr>
      </w:pPr>
      <w:r w:rsidRPr="00FF7585">
        <w:rPr>
          <w:snapToGrid w:val="0"/>
          <w:lang w:val="es-ES_tradnl"/>
        </w:rPr>
        <w:t>recomienda</w:t>
      </w:r>
    </w:p>
    <w:p w14:paraId="57D70696" w14:textId="77777777" w:rsidR="00CA17D7" w:rsidRPr="00FF7585" w:rsidRDefault="00CA17D7" w:rsidP="00CA17D7">
      <w:pPr>
        <w:rPr>
          <w:snapToGrid w:val="0"/>
          <w:lang w:val="es-ES_tradnl" w:eastAsia="ja-JP"/>
        </w:rPr>
      </w:pPr>
      <w:r w:rsidRPr="00FF7585">
        <w:rPr>
          <w:b/>
          <w:bCs/>
          <w:snapToGrid w:val="0"/>
          <w:lang w:val="es-ES_tradnl" w:eastAsia="ja-JP"/>
        </w:rPr>
        <w:t>1</w:t>
      </w:r>
      <w:r w:rsidRPr="00FF7585">
        <w:rPr>
          <w:snapToGrid w:val="0"/>
          <w:lang w:val="es-ES_tradnl" w:eastAsia="ja-JP"/>
        </w:rPr>
        <w:tab/>
      </w:r>
      <w:r w:rsidRPr="00FF7585">
        <w:rPr>
          <w:lang w:val="es-ES_tradnl"/>
        </w:rPr>
        <w:t xml:space="preserve">que para analizar los efectos de la interferencia procedente de fuentes radioeléctricas distintas al SRNS en los receptores del SRNS (espacio-Tierra) que funcionan en la banda </w:t>
      </w:r>
      <w:r w:rsidRPr="00FF7585">
        <w:rPr>
          <w:snapToGrid w:val="0"/>
          <w:lang w:val="es-ES_tradnl"/>
        </w:rPr>
        <w:t>1 164</w:t>
      </w:r>
      <w:r w:rsidRPr="00FF7585">
        <w:rPr>
          <w:snapToGrid w:val="0"/>
          <w:lang w:val="es-ES_tradnl"/>
        </w:rPr>
        <w:noBreakHyphen/>
        <w:t>1 215 MHz</w:t>
      </w:r>
      <w:r w:rsidRPr="00FF7585">
        <w:rPr>
          <w:lang w:val="es-ES_tradnl"/>
        </w:rPr>
        <w:t xml:space="preserve"> se utilicen las características y los criterios de protección de las estaciones terrenas receptoras que figuran en el Anexo 2;</w:t>
      </w:r>
    </w:p>
    <w:p w14:paraId="6F247BE3" w14:textId="77777777" w:rsidR="00CA17D7" w:rsidRPr="00FF7585" w:rsidRDefault="00CA17D7" w:rsidP="00CA17D7">
      <w:pPr>
        <w:rPr>
          <w:snapToGrid w:val="0"/>
          <w:lang w:val="es-ES_tradnl"/>
        </w:rPr>
      </w:pPr>
      <w:r w:rsidRPr="00FF7585">
        <w:rPr>
          <w:b/>
          <w:lang w:val="es-ES_tradnl"/>
        </w:rPr>
        <w:t>2</w:t>
      </w:r>
      <w:r w:rsidRPr="00FF7585">
        <w:rPr>
          <w:lang w:val="es-ES_tradnl"/>
        </w:rPr>
        <w:tab/>
        <w:t>que, cuando se lleven a cabo análisis de interferencia, para proteger los aspectos de seguridad y las aplicaciones del SRNS se satisfaga el margen de seguridad indicado en el Anexo 1</w:t>
      </w:r>
      <w:r w:rsidRPr="00FF7585">
        <w:rPr>
          <w:snapToGrid w:val="0"/>
          <w:lang w:val="es-ES_tradnl"/>
        </w:rPr>
        <w:t>;</w:t>
      </w:r>
    </w:p>
    <w:p w14:paraId="65B193AC" w14:textId="77777777" w:rsidR="00CA17D7" w:rsidRPr="00FF7585" w:rsidRDefault="00CA17D7" w:rsidP="00CA17D7">
      <w:pPr>
        <w:rPr>
          <w:lang w:val="es-ES_tradnl"/>
        </w:rPr>
      </w:pPr>
      <w:r w:rsidRPr="00FF7585">
        <w:rPr>
          <w:b/>
          <w:lang w:val="es-ES_tradnl"/>
        </w:rPr>
        <w:t>3</w:t>
      </w:r>
      <w:r w:rsidRPr="00FF7585">
        <w:rPr>
          <w:lang w:val="es-ES_tradnl"/>
        </w:rPr>
        <w:tab/>
        <w:t>que la siguiente Nota se considere parte integrante de la presente Recomendación.</w:t>
      </w:r>
    </w:p>
    <w:p w14:paraId="687B1003" w14:textId="77777777" w:rsidR="00CA17D7" w:rsidRPr="00FF7585" w:rsidRDefault="00CA17D7" w:rsidP="00CA17D7">
      <w:pPr>
        <w:rPr>
          <w:lang w:val="es-ES_tradnl"/>
        </w:rPr>
      </w:pPr>
      <w:r w:rsidRPr="00FF7585">
        <w:rPr>
          <w:lang w:val="es-ES_tradnl"/>
        </w:rPr>
        <w:t xml:space="preserve">NOTA – El margen de seguridad aeronáutica de 6 dB indicado en el </w:t>
      </w:r>
      <w:r w:rsidRPr="00FF7585">
        <w:rPr>
          <w:szCs w:val="24"/>
          <w:lang w:val="es-ES_tradnl"/>
        </w:rPr>
        <w:t>§</w:t>
      </w:r>
      <w:r w:rsidRPr="00FF7585">
        <w:rPr>
          <w:lang w:val="es-ES_tradnl"/>
        </w:rPr>
        <w:t> 3.2 del Anexo 1 se estableció para una aplicación de radionavegación aeronáutica especifica del SRNS en la banda 1 164</w:t>
      </w:r>
      <w:r w:rsidRPr="00FF7585">
        <w:rPr>
          <w:lang w:val="es-ES_tradnl"/>
        </w:rPr>
        <w:noBreakHyphen/>
        <w:t>1 215 MHz, y no está destinado a aplicaciones distintas a las aeronáuticas. El nivel del margen de seguridad, caso de existir, que debe utilizarse en aplicaciones de seguridad no aeronáuticas del SRNS se establecerá basándose en los resultados de estudios posteriores.</w:t>
      </w:r>
    </w:p>
    <w:p w14:paraId="54223DD2" w14:textId="77777777" w:rsidR="00CA17D7" w:rsidRPr="00FF7585" w:rsidRDefault="00CA17D7" w:rsidP="00CA17D7">
      <w:pPr>
        <w:pStyle w:val="AnnexNoTitle"/>
        <w:rPr>
          <w:lang w:val="es-ES_tradnl"/>
        </w:rPr>
      </w:pPr>
      <w:r w:rsidRPr="00FF7585">
        <w:rPr>
          <w:lang w:val="es-ES_tradnl"/>
        </w:rPr>
        <w:t>Anexo 1</w:t>
      </w:r>
      <w:r w:rsidRPr="00FF7585">
        <w:rPr>
          <w:lang w:val="es-ES_tradnl"/>
        </w:rPr>
        <w:br/>
      </w:r>
      <w:r w:rsidRPr="00FF7585">
        <w:rPr>
          <w:lang w:val="es-ES_tradnl"/>
        </w:rPr>
        <w:br/>
        <w:t>Margen para las aplicaciones de seguridad del SRNS</w:t>
      </w:r>
    </w:p>
    <w:p w14:paraId="40AA8F5C" w14:textId="77777777" w:rsidR="00CA17D7" w:rsidRPr="00FF7585" w:rsidRDefault="00CA17D7" w:rsidP="00CA17D7">
      <w:pPr>
        <w:pStyle w:val="Heading1"/>
        <w:rPr>
          <w:lang w:val="es-ES_tradnl"/>
        </w:rPr>
      </w:pPr>
      <w:r w:rsidRPr="00FF7585">
        <w:rPr>
          <w:lang w:val="es-ES_tradnl"/>
        </w:rPr>
        <w:t>1</w:t>
      </w:r>
      <w:r w:rsidRPr="00FF7585">
        <w:rPr>
          <w:lang w:val="es-ES_tradnl"/>
        </w:rPr>
        <w:tab/>
      </w:r>
      <w:proofErr w:type="gramStart"/>
      <w:r w:rsidRPr="00FF7585">
        <w:rPr>
          <w:lang w:val="es-ES_tradnl"/>
        </w:rPr>
        <w:t>Introducción</w:t>
      </w:r>
      <w:proofErr w:type="gramEnd"/>
    </w:p>
    <w:p w14:paraId="6A4A8FBD" w14:textId="77777777" w:rsidR="00CA17D7" w:rsidRPr="00FF7585" w:rsidRDefault="00CA17D7" w:rsidP="00CA17D7">
      <w:pPr>
        <w:keepLines/>
        <w:rPr>
          <w:lang w:val="es-ES_tradnl"/>
        </w:rPr>
      </w:pPr>
      <w:r w:rsidRPr="00FF7585">
        <w:rPr>
          <w:lang w:val="es-ES_tradnl"/>
        </w:rPr>
        <w:t>Históricamente, la UIT y la Organización de Aviación Civil Internacional (OACI) han reservado una parte del balance del enlace de interferencia para establecer un margen que garantice la protección de los aspectos de seguridad del servicio de radionavegación. Los valores de este margen normalmente se encuentran entre 6 y 10 dB, o valores superiores. Además, en la UIT hay un amplio precedente de márgenes de seguridad para las aplicaciones de seguridad en la radionavegación, por ejemplo:</w:t>
      </w:r>
    </w:p>
    <w:p w14:paraId="49794543" w14:textId="77777777" w:rsidR="00CA17D7" w:rsidRPr="00FF7585" w:rsidRDefault="00CA17D7" w:rsidP="00CA17D7">
      <w:pPr>
        <w:ind w:left="794" w:hanging="794"/>
        <w:rPr>
          <w:lang w:val="es-ES_tradnl"/>
        </w:rPr>
      </w:pPr>
      <w:r w:rsidRPr="00FF7585">
        <w:rPr>
          <w:lang w:val="es-ES_tradnl"/>
        </w:rPr>
        <w:tab/>
        <w:t>«Con independencia de las intenciones originales de los planificadores del espectro radioeléctrico, no hay ninguna duda de que las presiones para efectuar atribuciones adicionales en el espectro radioeléctrico a varios servicios de radiocomunicación pueden afectar a los criterios de protección aeronáutica considerados como criterios de compartición no aeronáuticos. En consecuencia, un servicio de seguridad debe adoptar precauciones considerables para asegurarse de que cualquier servicio radioeléctrico que comparta la misma banda, tenga una limitación suficiente para dejar un margen adecuado de forma que en todas las circunstancias probables la interferencia perjudicial total nunca rebase los criterios de protección requeridos.»</w:t>
      </w:r>
      <w:r w:rsidRPr="00FF7585">
        <w:rPr>
          <w:rStyle w:val="FootnoteReference"/>
          <w:lang w:val="es-ES_tradnl"/>
        </w:rPr>
        <w:footnoteReference w:id="1"/>
      </w:r>
    </w:p>
    <w:p w14:paraId="4C6301FE" w14:textId="77777777" w:rsidR="00CA17D7" w:rsidRPr="00FF7585" w:rsidRDefault="00CA17D7" w:rsidP="00CA17D7">
      <w:pPr>
        <w:rPr>
          <w:lang w:val="es-ES_tradnl"/>
        </w:rPr>
      </w:pPr>
      <w:r w:rsidRPr="00FF7585">
        <w:rPr>
          <w:lang w:val="es-ES_tradnl"/>
        </w:rPr>
        <w:t>Además, la Recomendación UIT-R M.1318-1 contiene en su Anexo un modelo para evaluar la interferencia causada a los receptores del SRNS por fuentes radioeléctricas distintas del SRNS. Dicho modelo incluye la utilización de un factor denominado «margen de protección (dB)». Su descripción indica que se utiliza «para garantizar la protección, como se estipula en el número </w:t>
      </w:r>
      <w:r w:rsidRPr="00FF7585">
        <w:rPr>
          <w:b/>
          <w:bCs/>
          <w:lang w:val="es-ES_tradnl"/>
        </w:rPr>
        <w:t>4.10</w:t>
      </w:r>
      <w:r w:rsidRPr="00FF7585">
        <w:rPr>
          <w:lang w:val="es-ES_tradnl"/>
        </w:rPr>
        <w:t xml:space="preserve"> del RR».</w:t>
      </w:r>
    </w:p>
    <w:p w14:paraId="0D504145" w14:textId="77777777" w:rsidR="00CA17D7" w:rsidRPr="00FF7585" w:rsidRDefault="00CA17D7" w:rsidP="00CA17D7">
      <w:pPr>
        <w:pStyle w:val="Heading1"/>
        <w:rPr>
          <w:lang w:val="es-ES_tradnl"/>
        </w:rPr>
      </w:pPr>
      <w:r w:rsidRPr="00FF7585">
        <w:rPr>
          <w:lang w:val="es-ES_tradnl"/>
        </w:rPr>
        <w:t>2</w:t>
      </w:r>
      <w:r w:rsidRPr="00FF7585">
        <w:rPr>
          <w:lang w:val="es-ES_tradnl"/>
        </w:rPr>
        <w:tab/>
      </w:r>
      <w:proofErr w:type="gramStart"/>
      <w:r w:rsidRPr="00FF7585">
        <w:rPr>
          <w:lang w:val="es-ES_tradnl"/>
        </w:rPr>
        <w:t>Objetivo</w:t>
      </w:r>
      <w:proofErr w:type="gramEnd"/>
      <w:r w:rsidRPr="00FF7585">
        <w:rPr>
          <w:lang w:val="es-ES_tradnl"/>
        </w:rPr>
        <w:t xml:space="preserve"> del margen de seguridad</w:t>
      </w:r>
    </w:p>
    <w:p w14:paraId="5AE4BF4B" w14:textId="77777777" w:rsidR="00CA17D7" w:rsidRPr="00FF7585" w:rsidRDefault="00CA17D7" w:rsidP="00CA17D7">
      <w:pPr>
        <w:rPr>
          <w:lang w:val="es-ES_tradnl"/>
        </w:rPr>
      </w:pPr>
      <w:r w:rsidRPr="00FF7585">
        <w:rPr>
          <w:lang w:val="es-ES_tradnl"/>
        </w:rPr>
        <w:t>El margen de seguridad (que también puede recibir el nombre de factor de seguridad pública) es un parámetro crítico para las aplicaciones de seguridad de la vida a fin de tener en cuenta el riesgo de pérdidas de vidas humanas a causa de la interferencia de radiofrecuencia, riesgo que es real pero no cuantificable. Para soportar las aplicaciones de seguridad de la vida humana deben tenerse en cuenta todas las fuentes de interferencia.</w:t>
      </w:r>
    </w:p>
    <w:p w14:paraId="148B882D" w14:textId="77777777" w:rsidR="00CA17D7" w:rsidRPr="00FF7585" w:rsidRDefault="00CA17D7" w:rsidP="00CA17D7">
      <w:pPr>
        <w:pStyle w:val="Heading1"/>
        <w:rPr>
          <w:lang w:val="es-ES_tradnl"/>
        </w:rPr>
      </w:pPr>
      <w:r w:rsidRPr="00FF7585">
        <w:rPr>
          <w:lang w:val="es-ES_tradnl"/>
        </w:rPr>
        <w:t>3</w:t>
      </w:r>
      <w:r w:rsidRPr="00FF7585">
        <w:rPr>
          <w:lang w:val="es-ES_tradnl"/>
        </w:rPr>
        <w:tab/>
      </w:r>
      <w:proofErr w:type="gramStart"/>
      <w:r w:rsidRPr="00FF7585">
        <w:rPr>
          <w:lang w:val="es-ES_tradnl"/>
        </w:rPr>
        <w:t>Aplicaciones</w:t>
      </w:r>
      <w:proofErr w:type="gramEnd"/>
      <w:r w:rsidRPr="00FF7585">
        <w:rPr>
          <w:lang w:val="es-ES_tradnl"/>
        </w:rPr>
        <w:t xml:space="preserve"> del margen de seguridad en la radionavegación aeronáutica</w:t>
      </w:r>
    </w:p>
    <w:p w14:paraId="47F3D75A" w14:textId="77777777" w:rsidR="00CA17D7" w:rsidRPr="00FF7585" w:rsidRDefault="00CA17D7" w:rsidP="00CA17D7">
      <w:pPr>
        <w:pStyle w:val="Heading2"/>
        <w:rPr>
          <w:lang w:val="es-ES_tradnl"/>
        </w:rPr>
      </w:pPr>
      <w:r w:rsidRPr="00FF7585">
        <w:rPr>
          <w:lang w:val="es-ES_tradnl"/>
        </w:rPr>
        <w:t>3.1</w:t>
      </w:r>
      <w:r w:rsidRPr="00FF7585">
        <w:rPr>
          <w:lang w:val="es-ES_tradnl"/>
        </w:rPr>
        <w:tab/>
        <w:t>Consideraciones básicas sobre el margen de seguridad en la radionavegación aeronáutica</w:t>
      </w:r>
    </w:p>
    <w:p w14:paraId="70996997" w14:textId="77777777" w:rsidR="00CA17D7" w:rsidRPr="00FF7585" w:rsidRDefault="00CA17D7" w:rsidP="00CA17D7">
      <w:pPr>
        <w:rPr>
          <w:lang w:val="es-ES_tradnl"/>
        </w:rPr>
      </w:pPr>
      <w:r w:rsidRPr="00FF7585">
        <w:rPr>
          <w:lang w:val="es-ES_tradnl"/>
        </w:rPr>
        <w:t>La utilización de márgenes de seguridad en los sistemas de navegación está perfectamente establecida. La OACI especifica un margen de seguridad para el sistema de aterrizaje por microondas (MLS) de 6 dB (Anexo 10 al Convenio de la OACI: Normas Internacionales y Prácticas Recomendadas en las Telecomunicaciones Aeronáuticas, Volumen 1 – Ayudas a la navegación aérea (Apéndice G, Cuadro G-2)). El sistema de aterrizaje por instrumentos (ILS) aplica un margen de seguridad de 8 dB (véase la Recomendación UIT-R SM.1009-1, Apéndice 3 del Anexo 2). En cada caso el margen se define con respecto a la potencia de portadora del sistema de navegación. Es decir, para probar el comportamiento de estos sistemas, la potencia de la señal deseada se reduce de su valor nominal el margen de seguridad y a continuación se prueba para determinar si el sistema proporciona la calidad de funcionamiento requerida en presencia de interferencia. En otras palabras, el fabricante debe diseñar el equipo para que pueda soportar el máximo nivel de interferencia previsto sin perjuicio de que sea capaz de recibir una señal cuyo nivel deseado esté por debajo (en un margen de seguridad) del que correspondería.</w:t>
      </w:r>
    </w:p>
    <w:p w14:paraId="4874B426" w14:textId="77777777" w:rsidR="00CA17D7" w:rsidRPr="00FF7585" w:rsidRDefault="00CA17D7" w:rsidP="00CA17D7">
      <w:pPr>
        <w:rPr>
          <w:lang w:val="es-ES_tradnl"/>
        </w:rPr>
      </w:pPr>
      <w:r w:rsidRPr="00FF7585">
        <w:rPr>
          <w:lang w:val="es-ES_tradnl"/>
        </w:rPr>
        <w:t>Con el sistema mundial de navegación por satélite (GNSS)</w:t>
      </w:r>
      <w:r w:rsidRPr="00FF7585">
        <w:rPr>
          <w:rStyle w:val="FootnoteReference"/>
          <w:lang w:val="es-ES_tradnl"/>
        </w:rPr>
        <w:footnoteReference w:id="2"/>
      </w:r>
      <w:r w:rsidRPr="00FF7585">
        <w:rPr>
          <w:lang w:val="es-ES_tradnl"/>
        </w:rPr>
        <w:t xml:space="preserve"> este método no es posible porque la potencia del satélite GNSS recibida es muy baja y relativamente restringida y, por consiguiente, los receptores GNSS funcionan a una gama dinámica de señal limitada. Para los receptores GNSS, la principal medida de la calidad de señal recibida es la relación </w:t>
      </w:r>
      <w:r w:rsidRPr="00FF7585">
        <w:rPr>
          <w:i/>
          <w:lang w:val="es-ES_tradnl"/>
        </w:rPr>
        <w:t>C</w:t>
      </w:r>
      <w:r w:rsidRPr="00FF7585">
        <w:rPr>
          <w:lang w:val="es-ES_tradnl"/>
        </w:rPr>
        <w:t>/</w:t>
      </w:r>
      <w:r w:rsidRPr="00FF7585">
        <w:rPr>
          <w:i/>
          <w:lang w:val="es-ES_tradnl"/>
        </w:rPr>
        <w:t>N</w:t>
      </w:r>
      <w:proofErr w:type="gramStart"/>
      <w:r w:rsidRPr="00FF7585">
        <w:rPr>
          <w:iCs/>
          <w:vertAlign w:val="subscript"/>
          <w:lang w:val="es-ES_tradnl"/>
        </w:rPr>
        <w:t>0,</w:t>
      </w:r>
      <w:r w:rsidRPr="00FF7585">
        <w:rPr>
          <w:i/>
          <w:vertAlign w:val="subscript"/>
          <w:lang w:val="es-ES_tradnl"/>
        </w:rPr>
        <w:t>EFF</w:t>
      </w:r>
      <w:proofErr w:type="gramEnd"/>
      <w:r w:rsidRPr="00FF7585">
        <w:rPr>
          <w:lang w:val="es-ES_tradnl"/>
        </w:rPr>
        <w:t xml:space="preserve">, que se trata de la relación entre la potencia de portadora recuperada, </w:t>
      </w:r>
      <w:r w:rsidRPr="00FF7585">
        <w:rPr>
          <w:i/>
          <w:lang w:val="es-ES_tradnl"/>
        </w:rPr>
        <w:t>C</w:t>
      </w:r>
      <w:r w:rsidRPr="00FF7585">
        <w:rPr>
          <w:lang w:val="es-ES_tradnl"/>
        </w:rPr>
        <w:t xml:space="preserve">, y el ruido efectivo + la densidad espectral de potencia de la interferencia, </w:t>
      </w:r>
      <w:r w:rsidRPr="00FF7585">
        <w:rPr>
          <w:i/>
          <w:lang w:val="es-ES_tradnl"/>
        </w:rPr>
        <w:t>N</w:t>
      </w:r>
      <w:r w:rsidRPr="00FF7585">
        <w:rPr>
          <w:iCs/>
          <w:position w:val="-4"/>
          <w:sz w:val="16"/>
          <w:lang w:val="es-ES_tradnl"/>
        </w:rPr>
        <w:t>0,</w:t>
      </w:r>
      <w:r w:rsidRPr="00FF7585">
        <w:rPr>
          <w:i/>
          <w:position w:val="-4"/>
          <w:sz w:val="16"/>
          <w:lang w:val="es-ES_tradnl"/>
        </w:rPr>
        <w:t>EFF</w:t>
      </w:r>
      <w:r w:rsidRPr="00FF7585">
        <w:rPr>
          <w:lang w:val="es-ES_tradnl"/>
        </w:rPr>
        <w:t xml:space="preserve">. Los receptores GNSS deben poder funcionar cerca del mínimo valor de </w:t>
      </w:r>
      <w:r w:rsidRPr="00FF7585">
        <w:rPr>
          <w:i/>
          <w:lang w:val="es-ES_tradnl"/>
        </w:rPr>
        <w:t>C</w:t>
      </w:r>
      <w:r w:rsidRPr="00FF7585">
        <w:rPr>
          <w:lang w:val="es-ES_tradnl"/>
        </w:rPr>
        <w:t>/</w:t>
      </w:r>
      <w:r w:rsidRPr="00FF7585">
        <w:rPr>
          <w:i/>
          <w:lang w:val="es-ES_tradnl"/>
        </w:rPr>
        <w:t>N</w:t>
      </w:r>
      <w:proofErr w:type="gramStart"/>
      <w:r w:rsidRPr="00FF7585">
        <w:rPr>
          <w:iCs/>
          <w:vertAlign w:val="subscript"/>
          <w:lang w:val="es-ES_tradnl"/>
        </w:rPr>
        <w:t>0,</w:t>
      </w:r>
      <w:r w:rsidRPr="00FF7585">
        <w:rPr>
          <w:i/>
          <w:vertAlign w:val="subscript"/>
          <w:lang w:val="es-ES_tradnl"/>
        </w:rPr>
        <w:t>EFF</w:t>
      </w:r>
      <w:proofErr w:type="gramEnd"/>
      <w:r w:rsidRPr="00FF7585">
        <w:rPr>
          <w:lang w:val="es-ES_tradnl"/>
        </w:rPr>
        <w:t xml:space="preserve"> que es una región en la que importantes parámetros de comportamiento, tales como la tasa de errores de palabra detectados o los errores en la fase de la portadora, aumentan rápidamente para pequeñas reducciones de </w:t>
      </w:r>
      <w:r w:rsidRPr="00FF7585">
        <w:rPr>
          <w:i/>
          <w:lang w:val="es-ES_tradnl"/>
        </w:rPr>
        <w:t>C</w:t>
      </w:r>
      <w:r w:rsidRPr="00FF7585">
        <w:rPr>
          <w:lang w:val="es-ES_tradnl"/>
        </w:rPr>
        <w:t>/</w:t>
      </w:r>
      <w:r w:rsidRPr="00FF7585">
        <w:rPr>
          <w:i/>
          <w:lang w:val="es-ES_tradnl"/>
        </w:rPr>
        <w:t>N</w:t>
      </w:r>
      <w:r w:rsidRPr="00FF7585">
        <w:rPr>
          <w:iCs/>
          <w:vertAlign w:val="subscript"/>
          <w:lang w:val="es-ES_tradnl"/>
        </w:rPr>
        <w:t>0,</w:t>
      </w:r>
      <w:r w:rsidRPr="00FF7585">
        <w:rPr>
          <w:i/>
          <w:vertAlign w:val="subscript"/>
          <w:lang w:val="es-ES_tradnl"/>
        </w:rPr>
        <w:t>EFF</w:t>
      </w:r>
      <w:r w:rsidRPr="00FF7585">
        <w:rPr>
          <w:lang w:val="es-ES_tradnl"/>
        </w:rPr>
        <w:t xml:space="preserve"> debidas, por ejemplo, a la interferencia.</w:t>
      </w:r>
    </w:p>
    <w:p w14:paraId="402FFE08" w14:textId="77777777" w:rsidR="00CA17D7" w:rsidRPr="00FF7585" w:rsidRDefault="00CA17D7" w:rsidP="00CA17D7">
      <w:pPr>
        <w:pStyle w:val="Heading2"/>
        <w:rPr>
          <w:lang w:val="es-ES_tradnl"/>
        </w:rPr>
      </w:pPr>
      <w:r w:rsidRPr="00FF7585">
        <w:rPr>
          <w:lang w:val="es-ES_tradnl"/>
        </w:rPr>
        <w:t>3.2</w:t>
      </w:r>
      <w:r w:rsidRPr="00FF7585">
        <w:rPr>
          <w:lang w:val="es-ES_tradnl"/>
        </w:rPr>
        <w:tab/>
        <w:t>Método del margen de seguridad para el GNSS en la banda 1 164-1 215 MHz</w:t>
      </w:r>
    </w:p>
    <w:p w14:paraId="0C3145C9" w14:textId="77777777" w:rsidR="00CA17D7" w:rsidRPr="00FF7585" w:rsidRDefault="00CA17D7" w:rsidP="00CA17D7">
      <w:pPr>
        <w:rPr>
          <w:lang w:val="es-ES_tradnl"/>
        </w:rPr>
      </w:pPr>
      <w:r w:rsidRPr="00FF7585">
        <w:rPr>
          <w:lang w:val="es-ES_tradnl"/>
        </w:rPr>
        <w:t>Como sucede con el MLS y el ILS, el método para el GNSS consiste en definir un nivel de interferencia de radiofrecuencia no aeronáutica (RFI)</w:t>
      </w:r>
      <w:r w:rsidRPr="00FF7585">
        <w:rPr>
          <w:rStyle w:val="FootnoteReference"/>
          <w:lang w:val="es-ES_tradnl"/>
        </w:rPr>
        <w:footnoteReference w:id="3"/>
      </w:r>
      <w:r w:rsidRPr="00FF7585">
        <w:rPr>
          <w:lang w:val="es-ES_tradnl"/>
        </w:rPr>
        <w:t xml:space="preserve"> que el receptor sea capaz de aceptar sin que por ello deje de cumplir las especificaciones de calidad de funcionamiento. Para el GNSS, el límite de prueba de interferencia de RF del receptor (es decir, el umbral de diseño) rebasa el máximo nivel de interferencia combinada medioambiental admisible en un valor igual al margen de seguridad. Específicamente, si el límite de prueba de la interferencia combinada continua para el GNSS es </w:t>
      </w:r>
      <w:proofErr w:type="gramStart"/>
      <w:r w:rsidRPr="00FF7585">
        <w:rPr>
          <w:i/>
          <w:lang w:val="es-ES_tradnl"/>
        </w:rPr>
        <w:t>J</w:t>
      </w:r>
      <w:r w:rsidRPr="00FF7585">
        <w:rPr>
          <w:i/>
          <w:iCs/>
          <w:vertAlign w:val="subscript"/>
          <w:lang w:val="es-ES_tradnl"/>
        </w:rPr>
        <w:t>agg</w:t>
      </w:r>
      <w:r w:rsidRPr="00FF7585">
        <w:rPr>
          <w:vertAlign w:val="subscript"/>
          <w:lang w:val="es-ES_tradnl"/>
        </w:rPr>
        <w:t>,máx</w:t>
      </w:r>
      <w:proofErr w:type="gramEnd"/>
      <w:r w:rsidRPr="00FF7585">
        <w:rPr>
          <w:iCs/>
          <w:lang w:val="es-ES_tradnl"/>
        </w:rPr>
        <w:t xml:space="preserve"> (dBW) </w:t>
      </w:r>
      <w:r w:rsidRPr="00FF7585">
        <w:rPr>
          <w:lang w:val="es-ES_tradnl"/>
        </w:rPr>
        <w:t xml:space="preserve">y se utiliza un margen de seguridad </w:t>
      </w:r>
      <w:r w:rsidRPr="00FF7585">
        <w:rPr>
          <w:i/>
          <w:lang w:val="es-ES_tradnl"/>
        </w:rPr>
        <w:t>M</w:t>
      </w:r>
      <w:r w:rsidRPr="00FF7585">
        <w:rPr>
          <w:iCs/>
          <w:lang w:val="es-ES_tradnl"/>
        </w:rPr>
        <w:t> (dB)</w:t>
      </w:r>
      <w:r w:rsidRPr="00FF7585">
        <w:rPr>
          <w:lang w:val="es-ES_tradnl"/>
        </w:rPr>
        <w:t xml:space="preserve">, la máxima interferencia de RF continua combinada medioambiental segura, </w:t>
      </w:r>
      <w:r w:rsidRPr="00FF7585">
        <w:rPr>
          <w:i/>
          <w:lang w:val="es-ES_tradnl"/>
        </w:rPr>
        <w:t>J</w:t>
      </w:r>
      <w:r w:rsidRPr="00FF7585">
        <w:rPr>
          <w:i/>
          <w:vertAlign w:val="subscript"/>
          <w:lang w:val="es-ES_tradnl"/>
        </w:rPr>
        <w:t>safe</w:t>
      </w:r>
      <w:r w:rsidRPr="00FF7585">
        <w:rPr>
          <w:vertAlign w:val="subscript"/>
          <w:lang w:val="es-ES_tradnl"/>
        </w:rPr>
        <w:t>,máx</w:t>
      </w:r>
      <w:r w:rsidRPr="00FF7585">
        <w:rPr>
          <w:lang w:val="es-ES_tradnl"/>
        </w:rPr>
        <w:t xml:space="preserve"> (dBW) es:</w:t>
      </w:r>
    </w:p>
    <w:p w14:paraId="594EF16E" w14:textId="77777777" w:rsidR="00CA17D7" w:rsidRPr="00FF7585" w:rsidRDefault="00CA17D7" w:rsidP="00CA17D7">
      <w:pPr>
        <w:pStyle w:val="Blanc"/>
        <w:rPr>
          <w:lang w:val="es-ES_tradnl"/>
        </w:rPr>
      </w:pPr>
    </w:p>
    <w:p w14:paraId="4490F8C1" w14:textId="77777777" w:rsidR="00CA17D7" w:rsidRPr="00FF7585" w:rsidRDefault="00CA17D7" w:rsidP="00CA17D7">
      <w:pPr>
        <w:pStyle w:val="Equation"/>
        <w:rPr>
          <w:lang w:val="es-ES_tradnl"/>
        </w:rPr>
      </w:pPr>
      <w:r w:rsidRPr="00FF7585">
        <w:rPr>
          <w:i/>
          <w:lang w:val="es-ES_tradnl"/>
        </w:rPr>
        <w:tab/>
      </w:r>
      <w:r w:rsidRPr="00FF7585">
        <w:rPr>
          <w:i/>
          <w:lang w:val="es-ES_tradnl"/>
        </w:rPr>
        <w:tab/>
      </w:r>
      <w:proofErr w:type="gramStart"/>
      <w:r w:rsidRPr="00FF7585">
        <w:rPr>
          <w:i/>
          <w:lang w:val="es-ES_tradnl"/>
        </w:rPr>
        <w:t>J</w:t>
      </w:r>
      <w:r w:rsidRPr="00FF7585">
        <w:rPr>
          <w:i/>
          <w:iCs/>
          <w:vertAlign w:val="subscript"/>
          <w:lang w:val="es-ES_tradnl"/>
        </w:rPr>
        <w:t>safe,</w:t>
      </w:r>
      <w:r w:rsidRPr="00FF7585">
        <w:rPr>
          <w:vertAlign w:val="subscript"/>
          <w:lang w:val="es-ES_tradnl"/>
        </w:rPr>
        <w:t>máx</w:t>
      </w:r>
      <w:proofErr w:type="gramEnd"/>
      <w:r w:rsidRPr="00FF7585">
        <w:rPr>
          <w:lang w:val="es-ES_tradnl"/>
        </w:rPr>
        <w:t xml:space="preserve"> = </w:t>
      </w:r>
      <w:r w:rsidRPr="00FF7585">
        <w:rPr>
          <w:i/>
          <w:lang w:val="es-ES_tradnl"/>
        </w:rPr>
        <w:t>J</w:t>
      </w:r>
      <w:r w:rsidRPr="00FF7585">
        <w:rPr>
          <w:i/>
          <w:iCs/>
          <w:vertAlign w:val="subscript"/>
          <w:lang w:val="es-ES_tradnl"/>
        </w:rPr>
        <w:t>agg,</w:t>
      </w:r>
      <w:r w:rsidRPr="00FF7585">
        <w:rPr>
          <w:vertAlign w:val="subscript"/>
          <w:lang w:val="es-ES_tradnl"/>
        </w:rPr>
        <w:t>máx</w:t>
      </w:r>
      <w:r w:rsidRPr="00FF7585">
        <w:rPr>
          <w:lang w:val="es-ES_tradnl"/>
        </w:rPr>
        <w:t xml:space="preserve"> – </w:t>
      </w:r>
      <w:r w:rsidRPr="00FF7585">
        <w:rPr>
          <w:i/>
          <w:lang w:val="es-ES_tradnl"/>
        </w:rPr>
        <w:t>M</w:t>
      </w:r>
    </w:p>
    <w:p w14:paraId="08A3DE41" w14:textId="77777777" w:rsidR="00CA17D7" w:rsidRPr="00FF7585" w:rsidRDefault="00CA17D7" w:rsidP="00CA17D7">
      <w:pPr>
        <w:pStyle w:val="Blanc"/>
        <w:rPr>
          <w:lang w:val="es-ES_tradnl"/>
        </w:rPr>
      </w:pPr>
    </w:p>
    <w:p w14:paraId="11922ACC" w14:textId="77777777" w:rsidR="00CA17D7" w:rsidRPr="00FF7585" w:rsidRDefault="00CA17D7" w:rsidP="00CA17D7">
      <w:pPr>
        <w:rPr>
          <w:lang w:val="es-ES_tradnl"/>
        </w:rPr>
      </w:pPr>
      <w:r w:rsidRPr="00FF7585">
        <w:rPr>
          <w:lang w:val="es-ES_tradnl"/>
        </w:rPr>
        <w:t>Al igual que con el GNSS en la banda 1 559-1 610 MHz (véase la Recomendación UIT</w:t>
      </w:r>
      <w:r w:rsidRPr="00FF7585">
        <w:rPr>
          <w:lang w:val="es-ES_tradnl"/>
        </w:rPr>
        <w:noBreakHyphen/>
        <w:t xml:space="preserve">R M.1903, Anexo 1), el margen de seguridad necesario, </w:t>
      </w:r>
      <w:r w:rsidRPr="00FF7585">
        <w:rPr>
          <w:i/>
          <w:lang w:val="es-ES_tradnl"/>
        </w:rPr>
        <w:t>M</w:t>
      </w:r>
      <w:r w:rsidRPr="00FF7585">
        <w:rPr>
          <w:lang w:val="es-ES_tradnl"/>
        </w:rPr>
        <w:t> (dB), es 6 dB.</w:t>
      </w:r>
    </w:p>
    <w:p w14:paraId="2F809D04" w14:textId="77777777" w:rsidR="00CA17D7" w:rsidRPr="00FF7585" w:rsidRDefault="00CA17D7" w:rsidP="00CA17D7">
      <w:pPr>
        <w:pStyle w:val="AnnexNoTitle"/>
        <w:rPr>
          <w:lang w:val="es-ES_tradnl"/>
        </w:rPr>
      </w:pPr>
      <w:r w:rsidRPr="00FF7585">
        <w:rPr>
          <w:lang w:val="es-ES_tradnl"/>
        </w:rPr>
        <w:t>Anexo 2</w:t>
      </w:r>
      <w:r w:rsidRPr="00FF7585">
        <w:rPr>
          <w:lang w:val="es-ES_tradnl"/>
        </w:rPr>
        <w:br/>
      </w:r>
      <w:r w:rsidRPr="00FF7585">
        <w:rPr>
          <w:lang w:val="es-ES_tradnl"/>
        </w:rPr>
        <w:br/>
        <w:t>Características técnicas y criterios de protección de las estaciones</w:t>
      </w:r>
      <w:r w:rsidRPr="00FF7585">
        <w:rPr>
          <w:lang w:val="es-ES_tradnl"/>
        </w:rPr>
        <w:br/>
        <w:t>terrenas receptoras del SRNS (espacio-Tierra) que funcionan</w:t>
      </w:r>
      <w:r w:rsidRPr="00FF7585">
        <w:rPr>
          <w:lang w:val="es-ES_tradnl"/>
        </w:rPr>
        <w:br/>
        <w:t>en la banda 1 164</w:t>
      </w:r>
      <w:r w:rsidRPr="00FF7585">
        <w:rPr>
          <w:lang w:val="es-ES_tradnl"/>
        </w:rPr>
        <w:noBreakHyphen/>
        <w:t>1 215 MHz</w:t>
      </w:r>
    </w:p>
    <w:p w14:paraId="7414722D" w14:textId="77777777" w:rsidR="00CA17D7" w:rsidRPr="00FF7585" w:rsidRDefault="00CA17D7" w:rsidP="00CA17D7">
      <w:pPr>
        <w:pStyle w:val="Heading1"/>
        <w:rPr>
          <w:lang w:val="es-ES_tradnl"/>
        </w:rPr>
      </w:pPr>
      <w:r w:rsidRPr="00FF7585">
        <w:rPr>
          <w:lang w:val="es-ES_tradnl"/>
        </w:rPr>
        <w:t>1</w:t>
      </w:r>
      <w:r w:rsidRPr="00FF7585">
        <w:rPr>
          <w:lang w:val="es-ES_tradnl"/>
        </w:rPr>
        <w:tab/>
      </w:r>
      <w:proofErr w:type="gramStart"/>
      <w:r w:rsidRPr="00FF7585">
        <w:rPr>
          <w:lang w:val="es-ES_tradnl"/>
        </w:rPr>
        <w:t>Introducción</w:t>
      </w:r>
      <w:proofErr w:type="gramEnd"/>
    </w:p>
    <w:p w14:paraId="4F6D0C60" w14:textId="77777777" w:rsidR="00CA17D7" w:rsidRPr="00FF7585" w:rsidRDefault="00CA17D7" w:rsidP="00CA17D7">
      <w:pPr>
        <w:rPr>
          <w:lang w:val="es-ES_tradnl"/>
        </w:rPr>
      </w:pPr>
      <w:r w:rsidRPr="00FF7585">
        <w:rPr>
          <w:lang w:val="es-ES_tradnl"/>
        </w:rPr>
        <w:t xml:space="preserve">En esta banda de frecuencias es probable que varias clases de receptores diferentes en cuanto a función y comportamiento utilicen las señales del satélite del SRNS. En el Cuadro 1 de este Anexo aparecen las características y los criterios de protección para varios tipos de receptores del SRNS incluidos dos tipos que representan a los receptores de navegación aérea. Un tipo de receptor de navegación aérea emplea una señal </w:t>
      </w:r>
      <w:r w:rsidRPr="00FF7585">
        <w:rPr>
          <w:snapToGrid w:val="0"/>
          <w:lang w:val="es-ES_tradnl"/>
        </w:rPr>
        <w:t>SBAS</w:t>
      </w:r>
      <w:r w:rsidRPr="00FF7585">
        <w:rPr>
          <w:rStyle w:val="FootnoteReference"/>
          <w:snapToGrid w:val="0"/>
          <w:lang w:val="es-ES_tradnl"/>
        </w:rPr>
        <w:footnoteReference w:id="4"/>
      </w:r>
      <w:r w:rsidRPr="00FF7585">
        <w:rPr>
          <w:lang w:val="es-ES_tradnl"/>
        </w:rPr>
        <w:t xml:space="preserve"> transmitida en la misma frecuencia central portadora que la señal del SRNS. Otros tipos indicados incluyen receptores del SRNS de alta precisión (por ejemplo, para agrimensura y tratamiento de planos), de posicionamiento en interiores y polivalentes. En la Recomendación UIT-R M.1787 aparecen más detalles sobre las señales del SRNS y del SBAS. Como el SRNS continúa evolucionando, pueden aparecer aplicaciones de este servicio que utilizan receptores más sensibles a la interferencia de RF, lo que exige la actualización de esta Recomendación para tenerlas en cuenta.</w:t>
      </w:r>
    </w:p>
    <w:p w14:paraId="2580AB99" w14:textId="77777777" w:rsidR="00CA17D7" w:rsidRPr="00FF7585" w:rsidRDefault="00CA17D7" w:rsidP="00CA17D7">
      <w:pPr>
        <w:pStyle w:val="Heading1"/>
        <w:rPr>
          <w:lang w:val="es-ES_tradnl"/>
        </w:rPr>
      </w:pPr>
      <w:r w:rsidRPr="00FF7585">
        <w:rPr>
          <w:lang w:val="es-ES_tradnl"/>
        </w:rPr>
        <w:t>2</w:t>
      </w:r>
      <w:r w:rsidRPr="00FF7585">
        <w:rPr>
          <w:lang w:val="es-ES_tradnl"/>
        </w:rPr>
        <w:tab/>
      </w:r>
      <w:proofErr w:type="gramStart"/>
      <w:r w:rsidRPr="00FF7585">
        <w:rPr>
          <w:lang w:val="es-ES_tradnl"/>
        </w:rPr>
        <w:t>Tipo</w:t>
      </w:r>
      <w:proofErr w:type="gramEnd"/>
      <w:r w:rsidRPr="00FF7585">
        <w:rPr>
          <w:lang w:val="es-ES_tradnl"/>
        </w:rPr>
        <w:t xml:space="preserve"> de receptor y descripciones de la aplicación</w:t>
      </w:r>
    </w:p>
    <w:p w14:paraId="5443D590" w14:textId="77777777" w:rsidR="00CA17D7" w:rsidRPr="00FF7585" w:rsidRDefault="00CA17D7" w:rsidP="00CA17D7">
      <w:pPr>
        <w:keepNext/>
        <w:keepLines/>
        <w:rPr>
          <w:lang w:val="es-ES_tradnl"/>
        </w:rPr>
      </w:pPr>
      <w:r w:rsidRPr="00FF7585">
        <w:rPr>
          <w:lang w:val="es-ES_tradnl"/>
        </w:rPr>
        <w:t>Este punto describe varios tipos del receptor del SRNS actuales y previstos.</w:t>
      </w:r>
    </w:p>
    <w:p w14:paraId="4964CC01" w14:textId="77777777" w:rsidR="00CA17D7" w:rsidRPr="00FF7585" w:rsidRDefault="00CA17D7" w:rsidP="00CA17D7">
      <w:pPr>
        <w:pStyle w:val="Heading2"/>
        <w:rPr>
          <w:lang w:val="es-ES_tradnl"/>
        </w:rPr>
      </w:pPr>
      <w:r w:rsidRPr="00FF7585">
        <w:rPr>
          <w:lang w:val="es-ES_tradnl"/>
        </w:rPr>
        <w:t>2.1</w:t>
      </w:r>
      <w:r w:rsidRPr="00FF7585">
        <w:rPr>
          <w:lang w:val="es-ES_tradnl"/>
        </w:rPr>
        <w:tab/>
        <w:t>Receptor de navegación aérea</w:t>
      </w:r>
    </w:p>
    <w:p w14:paraId="3AF32246" w14:textId="77777777" w:rsidR="00CA17D7" w:rsidRPr="00FF7585" w:rsidRDefault="00CA17D7" w:rsidP="00CA17D7">
      <w:pPr>
        <w:rPr>
          <w:lang w:val="es-ES_tradnl"/>
        </w:rPr>
      </w:pPr>
      <w:r w:rsidRPr="00FF7585">
        <w:rPr>
          <w:lang w:val="es-ES_tradnl"/>
        </w:rPr>
        <w:t xml:space="preserve">La categoría de navegación aérea representa varios tipos de receptores del SRNR. Se trata de receptores a bordo de aeronave de alta integridad para el funcionamiento en todas las fases del vuelo y que tienen dispositivos específicos para reducir la interferencia impulsiva. En el Cuadro 1 figuran las características y los criterios de protección para dos tipos de receptores del SRNS. El receptor de navegación aérea </w:t>
      </w:r>
      <w:r w:rsidRPr="00CC6C05">
        <w:rPr>
          <w:rFonts w:eastAsia="MS PGothic"/>
          <w:lang w:val="es-ES_tradnl"/>
        </w:rPr>
        <w:t>N°</w:t>
      </w:r>
      <w:r w:rsidRPr="00FF7585">
        <w:rPr>
          <w:lang w:val="es-ES_tradnl"/>
        </w:rPr>
        <w:t> 1 utiliza señales del SNRS y del SBAS con AMDC</w:t>
      </w:r>
      <w:r w:rsidRPr="00FF7585">
        <w:rPr>
          <w:rStyle w:val="FootnoteReference"/>
          <w:lang w:val="es-ES_tradnl"/>
        </w:rPr>
        <w:footnoteReference w:id="5"/>
      </w:r>
      <w:r w:rsidRPr="00FF7585">
        <w:rPr>
          <w:lang w:val="es-ES_tradnl"/>
        </w:rPr>
        <w:t xml:space="preserve">. Los umbrales de interferencia para el receptor de navegación aérea </w:t>
      </w:r>
      <w:r w:rsidRPr="00CC6C05">
        <w:rPr>
          <w:rFonts w:eastAsia="MS PGothic"/>
          <w:lang w:val="es-ES_tradnl"/>
        </w:rPr>
        <w:t>N°</w:t>
      </w:r>
      <w:r w:rsidRPr="00FF7585">
        <w:rPr>
          <w:lang w:val="es-ES_tradnl"/>
        </w:rPr>
        <w:t> 1 representan los límites aplicables más bajos para el conjunto de señales del SRNS y del SBAS utilizadas en ese receptor (véase el Cuadro 1, columna 1).</w:t>
      </w:r>
    </w:p>
    <w:p w14:paraId="1C769E17" w14:textId="77777777" w:rsidR="00CA17D7" w:rsidRPr="00FF7585" w:rsidRDefault="00CA17D7" w:rsidP="00CA17D7">
      <w:pPr>
        <w:rPr>
          <w:lang w:val="es-ES_tradnl"/>
        </w:rPr>
      </w:pPr>
      <w:r w:rsidRPr="00FF7585">
        <w:rPr>
          <w:lang w:val="es-ES_tradnl"/>
        </w:rPr>
        <w:t xml:space="preserve">El receptor de navegación aérea </w:t>
      </w:r>
      <w:r w:rsidRPr="00CC6C05">
        <w:rPr>
          <w:rFonts w:eastAsia="MS PGothic"/>
          <w:lang w:val="es-ES_tradnl"/>
        </w:rPr>
        <w:t>N°</w:t>
      </w:r>
      <w:r w:rsidRPr="00FF7585">
        <w:rPr>
          <w:lang w:val="es-ES_tradnl"/>
        </w:rPr>
        <w:t> 2 puede emplear señales del SRNS con AMDC y/o AMDF</w:t>
      </w:r>
      <w:r w:rsidRPr="00FF7585">
        <w:rPr>
          <w:rStyle w:val="FootnoteReference"/>
          <w:lang w:val="es-ES_tradnl"/>
        </w:rPr>
        <w:footnoteReference w:id="6"/>
      </w:r>
      <w:r w:rsidRPr="00FF7585">
        <w:rPr>
          <w:lang w:val="es-ES_tradnl"/>
        </w:rPr>
        <w:t xml:space="preserve"> y funciona en varias frecuencias portadoras simultáneamente (Cuadro 1, columna 2).</w:t>
      </w:r>
    </w:p>
    <w:p w14:paraId="0D9B96D9" w14:textId="77777777" w:rsidR="00CA17D7" w:rsidRPr="00FF7585" w:rsidRDefault="00CA17D7" w:rsidP="00CA17D7">
      <w:pPr>
        <w:rPr>
          <w:lang w:val="es-ES_tradnl"/>
        </w:rPr>
      </w:pPr>
      <w:r w:rsidRPr="00FF7585">
        <w:rPr>
          <w:lang w:val="es-ES_tradnl"/>
        </w:rPr>
        <w:t>Las características de estos receptores de navegación aérea también pueden aplicarse a receptores diseñados para aplicaciones terrestres y marítimas que no se describen en el presente Anexo.</w:t>
      </w:r>
    </w:p>
    <w:p w14:paraId="24F6C90B" w14:textId="77777777" w:rsidR="00CA17D7" w:rsidRPr="00FF7585" w:rsidRDefault="00CA17D7" w:rsidP="00CA17D7">
      <w:pPr>
        <w:pStyle w:val="Heading2"/>
        <w:rPr>
          <w:lang w:val="es-ES_tradnl"/>
        </w:rPr>
      </w:pPr>
      <w:r w:rsidRPr="00FF7585">
        <w:rPr>
          <w:lang w:val="es-ES_tradnl"/>
        </w:rPr>
        <w:t>2.2</w:t>
      </w:r>
      <w:r w:rsidRPr="00FF7585">
        <w:rPr>
          <w:lang w:val="es-ES_tradnl"/>
        </w:rPr>
        <w:tab/>
        <w:t>Receptor de alta precisión</w:t>
      </w:r>
    </w:p>
    <w:p w14:paraId="2A8B660B" w14:textId="77777777" w:rsidR="00CA17D7" w:rsidRPr="00FF7585" w:rsidRDefault="00CA17D7" w:rsidP="00CA17D7">
      <w:pPr>
        <w:rPr>
          <w:color w:val="000000"/>
          <w:lang w:val="es-ES_tradnl"/>
        </w:rPr>
      </w:pPr>
      <w:r w:rsidRPr="00FF7585">
        <w:rPr>
          <w:lang w:val="es-ES_tradnl"/>
        </w:rPr>
        <w:t>La categoría de alta precisión representa a los receptores del SRNS utilizados en aplicaciones que exigen una elevada precisión en el posicionamiento (por ejemplo, aplicaciones topográficas y de levantamiento de planos, científicas y agrícolas). Estos receptores de alta precisión emplean varias técnicas (por ejemplo, técnicas de codificación parcial) para adquirir y realizar el seguimiento de señales del SRNS en dos o tres bandas de frecuencias del SRNS para la resolución de la ambigüedad de la fase de portadora y requieren protección en todas las bandas utilizadas. Las características y los niveles de protección para los receptores de alta precisión también se aplican a los receptores del SRNS diseñados para funcionar en aplicaciones del SRNS especializadas (por ejemplo, redes terrestres monofrecuencia y navegación de precisión).</w:t>
      </w:r>
    </w:p>
    <w:p w14:paraId="40D66C91" w14:textId="77777777" w:rsidR="00CA17D7" w:rsidRPr="00FF7585" w:rsidRDefault="00CA17D7" w:rsidP="00CA17D7">
      <w:pPr>
        <w:rPr>
          <w:b/>
          <w:lang w:val="es-ES_tradnl"/>
        </w:rPr>
      </w:pPr>
      <w:r w:rsidRPr="00FF7585">
        <w:rPr>
          <w:lang w:val="es-ES_tradnl"/>
        </w:rPr>
        <w:t>Los receptores del SRNS de alta precisión y los receptores diseñados para funcionar en aplicaciones del SRNS especializadas también pueden explotarse en entornos difíciles (por ejemplo, bajo un espeso manto de vegetación). En el Cuadro 1, columna 3 se indican tres tipos de receptores, cada uno de los cuales utiliza un tipo de señal del satélite del SRNS distinta (de acceso múltiple por división de código (AMDC) o de acceso múltiple por división de frecuencia (AMDF)) y una gama de frecuencias diferente.</w:t>
      </w:r>
    </w:p>
    <w:p w14:paraId="638B4071" w14:textId="77777777" w:rsidR="00CA17D7" w:rsidRPr="00FF7585" w:rsidRDefault="00CA17D7" w:rsidP="00CA17D7">
      <w:pPr>
        <w:pStyle w:val="Heading2"/>
        <w:rPr>
          <w:lang w:val="es-ES_tradnl"/>
        </w:rPr>
      </w:pPr>
      <w:r w:rsidRPr="00FF7585">
        <w:rPr>
          <w:lang w:val="es-ES_tradnl"/>
        </w:rPr>
        <w:t>2.3</w:t>
      </w:r>
      <w:r w:rsidRPr="00FF7585">
        <w:rPr>
          <w:lang w:val="es-ES_tradnl"/>
        </w:rPr>
        <w:tab/>
        <w:t>Receptor de posicionamiento en interiores</w:t>
      </w:r>
    </w:p>
    <w:p w14:paraId="703416D3" w14:textId="77777777" w:rsidR="00CA17D7" w:rsidRPr="00FF7585" w:rsidRDefault="00CA17D7" w:rsidP="00CA17D7">
      <w:pPr>
        <w:rPr>
          <w:lang w:val="es-ES_tradnl"/>
        </w:rPr>
      </w:pPr>
      <w:r w:rsidRPr="00FF7585">
        <w:rPr>
          <w:lang w:val="es-ES_tradnl"/>
        </w:rPr>
        <w:t xml:space="preserve">La categoría de posicionamiento en interiores representa a receptores del SRNS destinados a su utilización en interiores y que normalmente tiene una baja capacidad de </w:t>
      </w:r>
      <w:r w:rsidRPr="00FF7585">
        <w:rPr>
          <w:i/>
          <w:iCs/>
          <w:lang w:val="es-ES_tradnl"/>
        </w:rPr>
        <w:t>C</w:t>
      </w:r>
      <w:r w:rsidRPr="00FF7585">
        <w:rPr>
          <w:lang w:val="es-ES_tradnl"/>
        </w:rPr>
        <w:t>/</w:t>
      </w:r>
      <w:r w:rsidRPr="00FF7585">
        <w:rPr>
          <w:i/>
          <w:iCs/>
          <w:lang w:val="es-ES_tradnl"/>
        </w:rPr>
        <w:t>N</w:t>
      </w:r>
      <w:r w:rsidRPr="00FF7585">
        <w:rPr>
          <w:vertAlign w:val="subscript"/>
          <w:lang w:val="es-ES_tradnl"/>
        </w:rPr>
        <w:t>0</w:t>
      </w:r>
      <w:r w:rsidRPr="00FF7585">
        <w:rPr>
          <w:lang w:val="es-ES_tradnl"/>
        </w:rPr>
        <w:t xml:space="preserve"> (es decir, son receptores muy sensibles). Dado que con las señales de baja potencia presentes en entornos de interiores no puede utilizarse seguimiento de portadora, en este tipo de receptor sólo se emplea seguimiento de código. En el Cuadro 1, columna 4, se indican tres tipos de receptores, cada uno de los cuales utiliza distintos tipos de señal del satélite del SRNS (AMDC para la señal </w:t>
      </w:r>
      <w:r w:rsidRPr="00FF7585">
        <w:rPr>
          <w:lang w:val="es-ES_tradnl" w:eastAsia="ja-JP"/>
        </w:rPr>
        <w:t>E5a</w:t>
      </w:r>
      <w:r w:rsidRPr="00FF7585">
        <w:rPr>
          <w:rStyle w:val="FootnoteReference"/>
          <w:lang w:val="es-ES_tradnl" w:eastAsia="ja-JP"/>
        </w:rPr>
        <w:footnoteReference w:id="7"/>
      </w:r>
      <w:r w:rsidRPr="00FF7585">
        <w:rPr>
          <w:lang w:val="es-ES_tradnl"/>
        </w:rPr>
        <w:t xml:space="preserve"> o AMDC y/o AMDF para señales GLONASS) y diferentes gamas de frecuencias y anchuras de banda del filtro de precorrelación.</w:t>
      </w:r>
    </w:p>
    <w:p w14:paraId="195C8C73" w14:textId="77777777" w:rsidR="00CA17D7" w:rsidRPr="00FF7585" w:rsidRDefault="00CA17D7" w:rsidP="00CA17D7">
      <w:pPr>
        <w:pStyle w:val="Heading2"/>
        <w:rPr>
          <w:lang w:val="es-ES_tradnl"/>
        </w:rPr>
      </w:pPr>
      <w:r w:rsidRPr="00FF7585">
        <w:rPr>
          <w:lang w:val="es-ES_tradnl"/>
        </w:rPr>
        <w:t>2.4</w:t>
      </w:r>
      <w:r w:rsidRPr="00FF7585">
        <w:rPr>
          <w:lang w:val="es-ES_tradnl"/>
        </w:rPr>
        <w:tab/>
        <w:t>Receptor polivalente</w:t>
      </w:r>
    </w:p>
    <w:p w14:paraId="0E84CB8E" w14:textId="77777777" w:rsidR="00CA17D7" w:rsidRPr="00FF7585" w:rsidRDefault="00CA17D7" w:rsidP="00CA17D7">
      <w:pPr>
        <w:rPr>
          <w:lang w:val="es-ES_tradnl"/>
        </w:rPr>
      </w:pPr>
      <w:r w:rsidRPr="00FF7585">
        <w:rPr>
          <w:lang w:val="es-ES_tradnl"/>
        </w:rPr>
        <w:t xml:space="preserve">La categoría polivalente representa diversos tipos de receptores del SRNS. Estos receptores están diseñados para navegación en vehículos, navegación peatonal, posicionamiento general, etc. En el Cuadro 1, columna 5 aparecen tres tipos de receptor, cada uno de los cuales utiliza diferentes tipos de señal del satélite del SRNS (AMDC, para la señal </w:t>
      </w:r>
      <w:r w:rsidRPr="00FF7585">
        <w:rPr>
          <w:lang w:val="es-ES_tradnl" w:eastAsia="ja-JP"/>
        </w:rPr>
        <w:t>B2</w:t>
      </w:r>
      <w:r w:rsidRPr="00FF7585">
        <w:rPr>
          <w:rStyle w:val="FootnoteReference"/>
          <w:lang w:val="es-ES_tradnl" w:eastAsia="ja-JP"/>
        </w:rPr>
        <w:footnoteReference w:id="8"/>
      </w:r>
      <w:r w:rsidRPr="00FF7585">
        <w:rPr>
          <w:lang w:val="es-ES_tradnl"/>
        </w:rPr>
        <w:t xml:space="preserve"> o AMDC y/o AMDF para señales GLONASS) y distintas gamas de frecuencia.</w:t>
      </w:r>
    </w:p>
    <w:p w14:paraId="1781CDC5" w14:textId="77777777" w:rsidR="00CA17D7" w:rsidRPr="00FF7585" w:rsidRDefault="00CA17D7" w:rsidP="00CA17D7">
      <w:pPr>
        <w:pStyle w:val="Heading1"/>
        <w:rPr>
          <w:lang w:val="es-ES_tradnl"/>
        </w:rPr>
      </w:pPr>
      <w:r w:rsidRPr="00FF7585">
        <w:rPr>
          <w:lang w:val="es-ES_tradnl"/>
        </w:rPr>
        <w:t>3</w:t>
      </w:r>
      <w:r w:rsidRPr="00FF7585">
        <w:rPr>
          <w:lang w:val="es-ES_tradnl"/>
        </w:rPr>
        <w:tab/>
      </w:r>
      <w:proofErr w:type="gramStart"/>
      <w:r w:rsidRPr="00FF7585">
        <w:rPr>
          <w:lang w:val="es-ES_tradnl"/>
        </w:rPr>
        <w:t>Interferencia</w:t>
      </w:r>
      <w:proofErr w:type="gramEnd"/>
      <w:r w:rsidRPr="00FF7585">
        <w:rPr>
          <w:lang w:val="es-ES_tradnl"/>
        </w:rPr>
        <w:t xml:space="preserve"> impulsiva</w:t>
      </w:r>
      <w:r w:rsidRPr="00FF7585">
        <w:rPr>
          <w:rStyle w:val="FootnoteReference"/>
          <w:b w:val="0"/>
          <w:lang w:val="es-ES_tradnl"/>
        </w:rPr>
        <w:footnoteReference w:id="9"/>
      </w:r>
    </w:p>
    <w:p w14:paraId="69BFC778" w14:textId="77777777" w:rsidR="00CA17D7" w:rsidRPr="00FF7585" w:rsidRDefault="00CA17D7" w:rsidP="00CA17D7">
      <w:pPr>
        <w:rPr>
          <w:lang w:val="es-ES_tradnl"/>
        </w:rPr>
      </w:pPr>
      <w:r w:rsidRPr="00FF7585">
        <w:rPr>
          <w:lang w:val="es-ES_tradnl"/>
        </w:rPr>
        <w:t xml:space="preserve">Los receptores del SRNS que funcionan en la banda de frecuencias </w:t>
      </w:r>
      <w:r w:rsidRPr="00FF7585">
        <w:rPr>
          <w:snapToGrid w:val="0"/>
          <w:lang w:val="es-ES_tradnl"/>
        </w:rPr>
        <w:t>1 164</w:t>
      </w:r>
      <w:r w:rsidRPr="00FF7585">
        <w:rPr>
          <w:snapToGrid w:val="0"/>
          <w:lang w:val="es-ES_tradnl"/>
        </w:rPr>
        <w:noBreakHyphen/>
        <w:t>1 215 MHz</w:t>
      </w:r>
      <w:r w:rsidRPr="00FF7585">
        <w:rPr>
          <w:lang w:val="es-ES_tradnl"/>
        </w:rPr>
        <w:t xml:space="preserve"> probablemente se encontrarán con interferencia de RF impulsiva dentro de la banda procedente de estaciones en tierra y a bordo de aeronave del SRNA, además de la interferencia continua dentro de la banda causada por las estaciones espaciales del SRNS y otras fuentes continuas. Para un receptor del SRNS a bordo de aeronave, se sabe que la interferencia de RF impulsiva SRNA combinada es más intensa a mayores altitudes donde más estaciones en tierra del SRNA se encuentran dentro del horizonte radioeléctrico. La intensidad de la interferencia de RF impulsiva SRNA disminuye hasta un valor menor cerca del suelo, a medida que disminuye igualmente el horizonte radioeléctrico.</w:t>
      </w:r>
    </w:p>
    <w:p w14:paraId="7D543CAD" w14:textId="77777777" w:rsidR="00CA17D7" w:rsidRPr="00FF7585" w:rsidRDefault="00CA17D7" w:rsidP="00CA17D7">
      <w:pPr>
        <w:rPr>
          <w:lang w:val="es-ES_tradnl"/>
        </w:rPr>
      </w:pPr>
      <w:r w:rsidRPr="00FF7585">
        <w:rPr>
          <w:lang w:val="es-ES_tradnl"/>
        </w:rPr>
        <w:t xml:space="preserve">Se necesita un método de análisis de la interferencia de RF distinto para tener en cuenta la intensa interferencia de RF impulsiva en la banda </w:t>
      </w:r>
      <w:r w:rsidRPr="00FF7585">
        <w:rPr>
          <w:snapToGrid w:val="0"/>
          <w:lang w:val="es-ES_tradnl"/>
        </w:rPr>
        <w:t>1 164</w:t>
      </w:r>
      <w:r w:rsidRPr="00FF7585">
        <w:rPr>
          <w:snapToGrid w:val="0"/>
          <w:lang w:val="es-ES_tradnl"/>
        </w:rPr>
        <w:noBreakHyphen/>
        <w:t>1 215 MHz</w:t>
      </w:r>
      <w:r w:rsidRPr="00FF7585">
        <w:rPr>
          <w:lang w:val="es-ES_tradnl"/>
        </w:rPr>
        <w:t xml:space="preserve"> que, por ejemplo, en la banda </w:t>
      </w:r>
      <w:r w:rsidRPr="00FF7585">
        <w:rPr>
          <w:snapToGrid w:val="0"/>
          <w:lang w:val="es-ES_tradnl"/>
        </w:rPr>
        <w:t>1 559</w:t>
      </w:r>
      <w:r w:rsidRPr="00FF7585">
        <w:rPr>
          <w:snapToGrid w:val="0"/>
          <w:lang w:val="es-ES_tradnl"/>
        </w:rPr>
        <w:noBreakHyphen/>
        <w:t>1 610 MHz</w:t>
      </w:r>
      <w:r w:rsidRPr="00FF7585">
        <w:rPr>
          <w:lang w:val="es-ES_tradnl"/>
        </w:rPr>
        <w:t>, donde dicha interferencia de RF es casi insignificante. Los estudios realizados por dos organizaciones de normas de aviación</w:t>
      </w:r>
      <w:r w:rsidRPr="00FF7585">
        <w:rPr>
          <w:rStyle w:val="FootnoteReference"/>
          <w:lang w:val="es-ES_tradnl"/>
        </w:rPr>
        <w:footnoteReference w:id="10"/>
      </w:r>
      <w:r w:rsidRPr="00FF7585">
        <w:rPr>
          <w:lang w:val="es-ES_tradnl"/>
        </w:rPr>
        <w:t xml:space="preserve"> han identificado un método de análisis que aborda el efecto combinado de la interferencia de RF</w:t>
      </w:r>
      <w:r w:rsidRPr="00FF7585">
        <w:rPr>
          <w:rStyle w:val="FootnoteReference"/>
          <w:lang w:val="es-ES_tradnl"/>
        </w:rPr>
        <w:footnoteReference w:id="11"/>
      </w:r>
      <w:r w:rsidRPr="00FF7585">
        <w:rPr>
          <w:lang w:val="es-ES_tradnl"/>
        </w:rPr>
        <w:t xml:space="preserve"> impulsiva SRNA y continua. Se obtuvieron dos variaciones del método básico: una para un receptor de navegación aérea del SRNS (con una interferencia de RF impulsiva SRNA de elevado ciclo activo) y otra para receptores del SRNS más polivalentes (con una interferencia de RF impulsiva SRNA de bajo ciclo activo).</w:t>
      </w:r>
    </w:p>
    <w:p w14:paraId="23A8C33E" w14:textId="77777777" w:rsidR="00CA17D7" w:rsidRPr="00FF7585" w:rsidRDefault="00CA17D7" w:rsidP="00EF0106">
      <w:pPr>
        <w:rPr>
          <w:lang w:val="es-ES_tradnl"/>
        </w:rPr>
      </w:pPr>
      <w:r w:rsidRPr="00FF7585">
        <w:rPr>
          <w:lang w:val="es-ES_tradnl"/>
        </w:rPr>
        <w:t>Los estudios de las dos organizaciones de normas de aviación han demostrado que los niveles más elevados de interferencia de RF impulsiva que afecta a los receptores de navegación aérea del SRNS que funcionan a un nivel de vuelo 200 o superior (6 096 m por encima del nivel medio del mar) se producen en varias regiones localizadas alrededor del mundo. En esas regiones, la evaluación de los parámetros de interferencia de RF impulsiva SRNA básicos arrojó valores del porcentaje de supresión de hasta el 65% para el procesamiento de la señal recibida causada por los impulsos de alto nivel de la interferencia de RF.</w:t>
      </w:r>
    </w:p>
    <w:p w14:paraId="1C56E7E2" w14:textId="77777777" w:rsidR="00CA17D7" w:rsidRPr="00FF7585" w:rsidRDefault="00CA17D7" w:rsidP="00CA17D7">
      <w:pPr>
        <w:rPr>
          <w:lang w:val="es-ES_tradnl"/>
        </w:rPr>
      </w:pPr>
      <w:r w:rsidRPr="00FF7585">
        <w:rPr>
          <w:lang w:val="es-ES_tradnl"/>
        </w:rPr>
        <w:t>Adicionalmente, los impulsos SRNA de menor nivel que también están presentes contribuyen a un efecto de la interferencia de RF media equivalente a un incremento del 100% al 150% en el ruido del sistema del SRNS. La presencia de estos valores de la interferencia de RF impulsiva SRNA relativamente elevados limita el volumen de interferencia de RF continua o RF impulsiva no SRNA que puede tolerar un receptor del SRNS teniendo en cuenta las limitaciones en la señal de satélite y en la tecnología del receptor que determinan el máximo efecto de la interferencia.</w:t>
      </w:r>
    </w:p>
    <w:p w14:paraId="4D0A9215" w14:textId="77777777" w:rsidR="00CA17D7" w:rsidRPr="00FF7585" w:rsidRDefault="00CA17D7" w:rsidP="00CA17D7">
      <w:pPr>
        <w:rPr>
          <w:szCs w:val="24"/>
          <w:lang w:val="es-ES_tradnl"/>
        </w:rPr>
      </w:pPr>
      <w:r w:rsidRPr="00FF7585">
        <w:rPr>
          <w:lang w:val="es-ES_tradnl"/>
        </w:rPr>
        <w:t>Se sabe que los parámetros de la interferencia impulsiva SRNA dependen del número y el tipo de estaciones en tierra del SRNA situadas en el radio de visibilidad directa del receptor del SRNS. Sin embargo, la relación exacta entre los umbrales de interferencia del receptor y la altitud en las regiones de mayor concentración de fuentes del SRNA debe ser objeto de más estudios.</w:t>
      </w:r>
    </w:p>
    <w:p w14:paraId="29930653" w14:textId="77777777" w:rsidR="00CA17D7" w:rsidRPr="00FF7585" w:rsidRDefault="00CA17D7" w:rsidP="00CA17D7">
      <w:pPr>
        <w:rPr>
          <w:szCs w:val="24"/>
          <w:lang w:val="es-ES_tradnl"/>
        </w:rPr>
      </w:pPr>
      <w:r w:rsidRPr="00FF7585">
        <w:rPr>
          <w:lang w:val="es-ES_tradnl"/>
        </w:rPr>
        <w:t>También son necesarios nuevos estudios para elaborar un método general que evalúe la repercusión de la interferencia del RF impulsiva en los receptores del SRNS.</w:t>
      </w:r>
    </w:p>
    <w:p w14:paraId="086657B3" w14:textId="77777777" w:rsidR="00CA17D7" w:rsidRPr="00FF7585" w:rsidRDefault="00CA17D7" w:rsidP="00CA17D7">
      <w:pPr>
        <w:pStyle w:val="Heading1"/>
        <w:rPr>
          <w:lang w:val="es-ES_tradnl"/>
        </w:rPr>
      </w:pPr>
      <w:r w:rsidRPr="00FF7585">
        <w:rPr>
          <w:lang w:val="es-ES_tradnl"/>
        </w:rPr>
        <w:t>4</w:t>
      </w:r>
      <w:r w:rsidRPr="00FF7585">
        <w:rPr>
          <w:lang w:val="es-ES_tradnl"/>
        </w:rPr>
        <w:tab/>
      </w:r>
      <w:proofErr w:type="gramStart"/>
      <w:r w:rsidRPr="00FF7585">
        <w:rPr>
          <w:lang w:val="es-ES_tradnl"/>
        </w:rPr>
        <w:t>Características</w:t>
      </w:r>
      <w:proofErr w:type="gramEnd"/>
      <w:r w:rsidRPr="00FF7585">
        <w:rPr>
          <w:lang w:val="es-ES_tradnl"/>
        </w:rPr>
        <w:t xml:space="preserve"> técnicas y criterios de protección del receptor del SRNS</w:t>
      </w:r>
    </w:p>
    <w:p w14:paraId="593F34AF" w14:textId="77777777" w:rsidR="00CA17D7" w:rsidRPr="00FF7585" w:rsidRDefault="00CA17D7" w:rsidP="00CA17D7">
      <w:pPr>
        <w:rPr>
          <w:lang w:val="es-ES_tradnl"/>
        </w:rPr>
      </w:pPr>
      <w:r w:rsidRPr="00FF7585">
        <w:rPr>
          <w:lang w:val="es-ES_tradnl"/>
        </w:rPr>
        <w:t>En el Cuadro 1 aparecen las características técnicas y los criterios de protección (máximos valores umbral de la interferencia combinada) para varios receptores del SRNS representativos y aplicaciones en la banda 1 164-1 215 MHz. En la Recomendación UIT-R M.1787 aparece más información sobre la señal del SRNS.</w:t>
      </w:r>
    </w:p>
    <w:p w14:paraId="68D5026D" w14:textId="77777777" w:rsidR="00CA17D7" w:rsidRPr="00FF7585" w:rsidRDefault="00CA17D7" w:rsidP="00CA17D7">
      <w:pPr>
        <w:rPr>
          <w:lang w:val="es-ES_tradnl"/>
        </w:rPr>
      </w:pPr>
      <w:r w:rsidRPr="00FF7585">
        <w:rPr>
          <w:lang w:val="es-ES_tradnl"/>
        </w:rPr>
        <w:t>Las características técnicas y los criterios de protección dependen del tipo de aplicación del SRNS. En el Cuadro 1 se han incluido los siguientes receptores y aplicaciones del SRNS:</w:t>
      </w:r>
    </w:p>
    <w:p w14:paraId="4ECAFC2B" w14:textId="77777777" w:rsidR="00CA17D7" w:rsidRPr="00FF7585" w:rsidRDefault="00CA17D7" w:rsidP="00CA17D7">
      <w:pPr>
        <w:pStyle w:val="enumlev1"/>
        <w:rPr>
          <w:bCs/>
          <w:lang w:val="es-ES_tradnl"/>
        </w:rPr>
      </w:pPr>
      <w:r w:rsidRPr="00FF7585">
        <w:rPr>
          <w:lang w:val="es-ES_tradnl"/>
        </w:rPr>
        <w:t>–</w:t>
      </w:r>
      <w:r w:rsidRPr="00FF7585">
        <w:rPr>
          <w:lang w:val="es-ES_tradnl"/>
        </w:rPr>
        <w:tab/>
      </w:r>
      <w:r w:rsidRPr="00FF7585">
        <w:rPr>
          <w:bCs/>
          <w:lang w:val="es-ES_tradnl"/>
        </w:rPr>
        <w:t>Receptores de navegación (2 tipos) (véase el § 2.1 y el Cuadro 1, columnas 1 y 2).</w:t>
      </w:r>
    </w:p>
    <w:p w14:paraId="5C38DF07" w14:textId="77777777" w:rsidR="00CA17D7" w:rsidRPr="00FF7585" w:rsidRDefault="00CA17D7" w:rsidP="00CA17D7">
      <w:pPr>
        <w:pStyle w:val="enumlev1"/>
        <w:rPr>
          <w:bCs/>
          <w:lang w:val="es-ES_tradnl"/>
        </w:rPr>
      </w:pPr>
      <w:r w:rsidRPr="00FF7585">
        <w:rPr>
          <w:bCs/>
          <w:lang w:val="es-ES_tradnl"/>
        </w:rPr>
        <w:t>–</w:t>
      </w:r>
      <w:r w:rsidRPr="00FF7585">
        <w:rPr>
          <w:bCs/>
          <w:lang w:val="es-ES_tradnl"/>
        </w:rPr>
        <w:tab/>
        <w:t>Receptores de alta precisión (3 tipos) (véase el § 2.2 y el Cuadro 1, columna 3).</w:t>
      </w:r>
    </w:p>
    <w:p w14:paraId="0CD0EE7B" w14:textId="77777777" w:rsidR="00CA17D7" w:rsidRPr="00FF7585" w:rsidRDefault="00CA17D7" w:rsidP="00CA17D7">
      <w:pPr>
        <w:pStyle w:val="enumlev1"/>
        <w:rPr>
          <w:bCs/>
          <w:lang w:val="es-ES_tradnl" w:eastAsia="ja-JP"/>
        </w:rPr>
      </w:pPr>
      <w:r w:rsidRPr="00FF7585">
        <w:rPr>
          <w:bCs/>
          <w:lang w:val="es-ES_tradnl"/>
        </w:rPr>
        <w:t>–</w:t>
      </w:r>
      <w:r w:rsidRPr="00FF7585">
        <w:rPr>
          <w:bCs/>
          <w:lang w:val="es-ES_tradnl"/>
        </w:rPr>
        <w:tab/>
        <w:t>Receptores de posicionamiento en interiores (3 tipos) (véase el § 2.3 y el Cuadro 1, columna 4).</w:t>
      </w:r>
    </w:p>
    <w:p w14:paraId="46599D7B" w14:textId="77777777" w:rsidR="00CA17D7" w:rsidRPr="00FF7585" w:rsidRDefault="00CA17D7" w:rsidP="00CA17D7">
      <w:pPr>
        <w:pStyle w:val="enumlev1"/>
        <w:rPr>
          <w:lang w:val="es-ES_tradnl"/>
        </w:rPr>
      </w:pPr>
      <w:r w:rsidRPr="00FF7585">
        <w:rPr>
          <w:bCs/>
          <w:lang w:val="es-ES_tradnl"/>
        </w:rPr>
        <w:t>–</w:t>
      </w:r>
      <w:r w:rsidRPr="00FF7585">
        <w:rPr>
          <w:bCs/>
          <w:lang w:val="es-ES_tradnl"/>
        </w:rPr>
        <w:tab/>
        <w:t>Receptores polivalentes</w:t>
      </w:r>
      <w:r w:rsidRPr="00FF7585">
        <w:rPr>
          <w:lang w:val="es-ES_tradnl"/>
        </w:rPr>
        <w:t xml:space="preserve"> (3 </w:t>
      </w:r>
      <w:r w:rsidRPr="00FF7585">
        <w:rPr>
          <w:bCs/>
          <w:lang w:val="es-ES_tradnl"/>
        </w:rPr>
        <w:t>tipos</w:t>
      </w:r>
      <w:r w:rsidRPr="00FF7585">
        <w:rPr>
          <w:lang w:val="es-ES_tradnl"/>
        </w:rPr>
        <w:t>) (</w:t>
      </w:r>
      <w:r w:rsidRPr="00FF7585">
        <w:rPr>
          <w:bCs/>
          <w:lang w:val="es-ES_tradnl"/>
        </w:rPr>
        <w:t>véase el</w:t>
      </w:r>
      <w:r w:rsidRPr="00FF7585">
        <w:rPr>
          <w:lang w:val="es-ES_tradnl"/>
        </w:rPr>
        <w:t xml:space="preserve"> § 2.4 </w:t>
      </w:r>
      <w:r w:rsidRPr="00FF7585">
        <w:rPr>
          <w:bCs/>
          <w:lang w:val="es-ES_tradnl"/>
        </w:rPr>
        <w:t>y el Cuadro</w:t>
      </w:r>
      <w:r w:rsidRPr="00FF7585">
        <w:rPr>
          <w:lang w:val="es-ES_tradnl"/>
        </w:rPr>
        <w:t xml:space="preserve"> 1, columna 5).</w:t>
      </w:r>
    </w:p>
    <w:p w14:paraId="76FB4562" w14:textId="77777777" w:rsidR="00CA17D7" w:rsidRPr="00FF7585" w:rsidRDefault="00CA17D7" w:rsidP="00CA17D7">
      <w:pPr>
        <w:pStyle w:val="enumlev1"/>
        <w:rPr>
          <w:szCs w:val="24"/>
          <w:lang w:val="es-ES_tradnl"/>
        </w:rPr>
      </w:pPr>
    </w:p>
    <w:p w14:paraId="20A1A84E" w14:textId="77777777" w:rsidR="00CA17D7" w:rsidRPr="00FF7585" w:rsidRDefault="00CA17D7" w:rsidP="00CA17D7">
      <w:pPr>
        <w:rPr>
          <w:szCs w:val="24"/>
          <w:lang w:val="es-ES_tradnl"/>
        </w:rPr>
      </w:pPr>
    </w:p>
    <w:p w14:paraId="74C27ACB" w14:textId="77777777" w:rsidR="00CA17D7" w:rsidRPr="00FF7585" w:rsidRDefault="00CA17D7" w:rsidP="00CA17D7">
      <w:pPr>
        <w:rPr>
          <w:szCs w:val="24"/>
          <w:lang w:val="es-ES_tradnl"/>
        </w:rPr>
        <w:sectPr w:rsidR="00CA17D7" w:rsidRPr="00FF7585" w:rsidSect="008F350E">
          <w:headerReference w:type="even" r:id="rId13"/>
          <w:headerReference w:type="default" r:id="rId14"/>
          <w:footerReference w:type="default" r:id="rId15"/>
          <w:footerReference w:type="first" r:id="rId16"/>
          <w:pgSz w:w="11907" w:h="16834" w:code="9"/>
          <w:pgMar w:top="1418" w:right="1134" w:bottom="1418" w:left="1134" w:header="720" w:footer="720" w:gutter="0"/>
          <w:paperSrc w:first="15" w:other="15"/>
          <w:pgNumType w:start="1"/>
          <w:cols w:space="720"/>
        </w:sectPr>
      </w:pPr>
    </w:p>
    <w:p w14:paraId="63EDC25E" w14:textId="77777777" w:rsidR="00CA17D7" w:rsidRPr="00FF7585" w:rsidRDefault="00CA17D7" w:rsidP="00CA17D7">
      <w:pPr>
        <w:pStyle w:val="TableNo"/>
        <w:spacing w:before="0"/>
        <w:rPr>
          <w:lang w:val="es-ES_tradnl" w:eastAsia="ru-RU"/>
        </w:rPr>
      </w:pPr>
      <w:r w:rsidRPr="00FF7585">
        <w:rPr>
          <w:lang w:val="es-ES_tradnl" w:eastAsia="ru-RU"/>
        </w:rPr>
        <w:t>CUADRO 1</w:t>
      </w:r>
    </w:p>
    <w:p w14:paraId="33467D78" w14:textId="77777777" w:rsidR="00CA17D7" w:rsidRPr="00FF7585" w:rsidRDefault="00CA17D7" w:rsidP="00CA17D7">
      <w:pPr>
        <w:pStyle w:val="Tabletitle"/>
        <w:rPr>
          <w:lang w:val="es-ES_tradnl"/>
        </w:rPr>
      </w:pPr>
      <w:r w:rsidRPr="00FF7585">
        <w:rPr>
          <w:lang w:val="es-ES_tradnl"/>
        </w:rPr>
        <w:t>Característica técnicas y criterios de protección para los receptores del SRNS (espacio-Tierra)</w:t>
      </w:r>
      <w:r w:rsidRPr="00FF7585">
        <w:rPr>
          <w:lang w:val="es-ES_tradnl"/>
        </w:rPr>
        <w:br/>
        <w:t>que funcionan en la banda 1 164</w:t>
      </w:r>
      <w:r w:rsidRPr="00FF7585">
        <w:rPr>
          <w:lang w:val="es-ES_tradnl"/>
        </w:rPr>
        <w:noBreakHyphen/>
        <w:t>1 215 MHz</w:t>
      </w:r>
    </w:p>
    <w:tbl>
      <w:tblPr>
        <w:tblW w:w="14459" w:type="dxa"/>
        <w:jc w:val="center"/>
        <w:tblLayout w:type="fixed"/>
        <w:tblLook w:val="0000" w:firstRow="0" w:lastRow="0" w:firstColumn="0" w:lastColumn="0" w:noHBand="0" w:noVBand="0"/>
      </w:tblPr>
      <w:tblGrid>
        <w:gridCol w:w="5096"/>
        <w:gridCol w:w="1952"/>
        <w:gridCol w:w="796"/>
        <w:gridCol w:w="352"/>
        <w:gridCol w:w="444"/>
        <w:gridCol w:w="410"/>
        <w:gridCol w:w="756"/>
        <w:gridCol w:w="110"/>
        <w:gridCol w:w="450"/>
        <w:gridCol w:w="448"/>
        <w:gridCol w:w="254"/>
        <w:gridCol w:w="489"/>
        <w:gridCol w:w="224"/>
        <w:gridCol w:w="406"/>
        <w:gridCol w:w="672"/>
        <w:gridCol w:w="644"/>
        <w:gridCol w:w="429"/>
        <w:gridCol w:w="527"/>
      </w:tblGrid>
      <w:tr w:rsidR="00CA17D7" w:rsidRPr="00FF7585" w14:paraId="08D7A92C" w14:textId="77777777" w:rsidTr="00810F61">
        <w:trPr>
          <w:cantSplit/>
          <w:tblHeader/>
          <w:jc w:val="center"/>
        </w:trPr>
        <w:tc>
          <w:tcPr>
            <w:tcW w:w="5096" w:type="dxa"/>
            <w:tcBorders>
              <w:top w:val="single" w:sz="4" w:space="0" w:color="auto"/>
              <w:left w:val="single" w:sz="4" w:space="0" w:color="auto"/>
              <w:bottom w:val="single" w:sz="4" w:space="0" w:color="auto"/>
              <w:right w:val="single" w:sz="4" w:space="0" w:color="auto"/>
            </w:tcBorders>
            <w:vAlign w:val="center"/>
          </w:tcPr>
          <w:p w14:paraId="32483EF5" w14:textId="77777777" w:rsidR="00CA17D7" w:rsidRPr="00FF7585" w:rsidRDefault="00CA17D7" w:rsidP="00810F61">
            <w:pPr>
              <w:pStyle w:val="Tablehead"/>
              <w:spacing w:before="40" w:after="40"/>
              <w:rPr>
                <w:rFonts w:eastAsia="MS PGothic"/>
                <w:sz w:val="20"/>
                <w:lang w:val="es-ES_tradnl"/>
              </w:rPr>
            </w:pPr>
          </w:p>
        </w:tc>
        <w:tc>
          <w:tcPr>
            <w:tcW w:w="1952" w:type="dxa"/>
            <w:tcBorders>
              <w:top w:val="single" w:sz="4" w:space="0" w:color="auto"/>
              <w:left w:val="single" w:sz="4" w:space="0" w:color="auto"/>
              <w:bottom w:val="single" w:sz="4" w:space="0" w:color="auto"/>
              <w:right w:val="single" w:sz="4" w:space="0" w:color="auto"/>
            </w:tcBorders>
            <w:vAlign w:val="center"/>
          </w:tcPr>
          <w:p w14:paraId="18A41918" w14:textId="77777777" w:rsidR="00CA17D7" w:rsidRPr="00FF7585" w:rsidRDefault="00CA17D7" w:rsidP="00810F61">
            <w:pPr>
              <w:pStyle w:val="Tablehead"/>
              <w:spacing w:before="40" w:after="40"/>
              <w:rPr>
                <w:rFonts w:eastAsia="MS PGothic"/>
                <w:sz w:val="20"/>
                <w:lang w:val="es-ES_tradnl"/>
              </w:rPr>
            </w:pPr>
            <w:r w:rsidRPr="00FF7585">
              <w:rPr>
                <w:rFonts w:eastAsia="MS PGothic"/>
                <w:sz w:val="20"/>
                <w:lang w:val="es-ES_tradnl"/>
              </w:rPr>
              <w:t>1</w:t>
            </w:r>
          </w:p>
        </w:tc>
        <w:tc>
          <w:tcPr>
            <w:tcW w:w="1592" w:type="dxa"/>
            <w:gridSpan w:val="3"/>
            <w:tcBorders>
              <w:top w:val="single" w:sz="4" w:space="0" w:color="auto"/>
              <w:left w:val="single" w:sz="4" w:space="0" w:color="auto"/>
              <w:bottom w:val="single" w:sz="4" w:space="0" w:color="auto"/>
              <w:right w:val="single" w:sz="4" w:space="0" w:color="auto"/>
            </w:tcBorders>
            <w:vAlign w:val="center"/>
          </w:tcPr>
          <w:p w14:paraId="6A636A42" w14:textId="77777777" w:rsidR="00CA17D7" w:rsidRPr="00FF7585" w:rsidRDefault="00CA17D7" w:rsidP="00810F61">
            <w:pPr>
              <w:pStyle w:val="Tablehead"/>
              <w:spacing w:before="40" w:after="40"/>
              <w:rPr>
                <w:rFonts w:eastAsia="MS PGothic"/>
                <w:sz w:val="20"/>
                <w:lang w:val="es-ES_tradnl"/>
              </w:rPr>
            </w:pPr>
            <w:r w:rsidRPr="00FF7585">
              <w:rPr>
                <w:rFonts w:eastAsia="MS PGothic"/>
                <w:sz w:val="20"/>
                <w:lang w:val="es-ES_tradnl"/>
              </w:rPr>
              <w:t>2</w:t>
            </w:r>
          </w:p>
        </w:tc>
        <w:tc>
          <w:tcPr>
            <w:tcW w:w="1726" w:type="dxa"/>
            <w:gridSpan w:val="4"/>
            <w:tcBorders>
              <w:top w:val="single" w:sz="4" w:space="0" w:color="auto"/>
              <w:left w:val="single" w:sz="4" w:space="0" w:color="auto"/>
              <w:bottom w:val="single" w:sz="4" w:space="0" w:color="auto"/>
              <w:right w:val="single" w:sz="4" w:space="0" w:color="auto"/>
            </w:tcBorders>
            <w:vAlign w:val="center"/>
          </w:tcPr>
          <w:p w14:paraId="02F05D31" w14:textId="77777777" w:rsidR="00CA17D7" w:rsidRPr="00FF7585" w:rsidRDefault="00CA17D7" w:rsidP="00810F61">
            <w:pPr>
              <w:pStyle w:val="Tablehead"/>
              <w:spacing w:before="40" w:after="40"/>
              <w:rPr>
                <w:sz w:val="20"/>
                <w:lang w:val="es-ES_tradnl"/>
              </w:rPr>
            </w:pPr>
            <w:r w:rsidRPr="00FF7585">
              <w:rPr>
                <w:sz w:val="20"/>
                <w:lang w:val="es-ES_tradnl"/>
              </w:rPr>
              <w:t>3</w:t>
            </w:r>
          </w:p>
        </w:tc>
        <w:tc>
          <w:tcPr>
            <w:tcW w:w="1821" w:type="dxa"/>
            <w:gridSpan w:val="5"/>
            <w:tcBorders>
              <w:top w:val="single" w:sz="4" w:space="0" w:color="auto"/>
              <w:left w:val="single" w:sz="4" w:space="0" w:color="auto"/>
              <w:bottom w:val="single" w:sz="4" w:space="0" w:color="auto"/>
              <w:right w:val="single" w:sz="4" w:space="0" w:color="auto"/>
            </w:tcBorders>
            <w:vAlign w:val="center"/>
          </w:tcPr>
          <w:p w14:paraId="5A33D3E7" w14:textId="77777777" w:rsidR="00CA17D7" w:rsidRPr="00FF7585" w:rsidRDefault="00CA17D7" w:rsidP="00810F61">
            <w:pPr>
              <w:pStyle w:val="Tablehead"/>
              <w:spacing w:before="40" w:after="40"/>
              <w:rPr>
                <w:sz w:val="20"/>
                <w:lang w:val="es-ES_tradnl"/>
              </w:rPr>
            </w:pPr>
            <w:r w:rsidRPr="00FF7585">
              <w:rPr>
                <w:sz w:val="20"/>
                <w:lang w:val="es-ES_tradnl"/>
              </w:rPr>
              <w:t>4</w:t>
            </w:r>
          </w:p>
        </w:tc>
        <w:tc>
          <w:tcPr>
            <w:tcW w:w="2272" w:type="dxa"/>
            <w:gridSpan w:val="4"/>
            <w:tcBorders>
              <w:top w:val="single" w:sz="4" w:space="0" w:color="auto"/>
              <w:left w:val="single" w:sz="4" w:space="0" w:color="auto"/>
              <w:bottom w:val="single" w:sz="4" w:space="0" w:color="auto"/>
              <w:right w:val="single" w:sz="4" w:space="0" w:color="auto"/>
            </w:tcBorders>
            <w:vAlign w:val="center"/>
          </w:tcPr>
          <w:p w14:paraId="11551A1E" w14:textId="77777777" w:rsidR="00CA17D7" w:rsidRPr="00FF7585" w:rsidRDefault="00CA17D7" w:rsidP="00810F61">
            <w:pPr>
              <w:pStyle w:val="Tablehead"/>
              <w:spacing w:before="40" w:after="40"/>
              <w:rPr>
                <w:rFonts w:eastAsia="MS PGothic"/>
                <w:sz w:val="20"/>
                <w:lang w:val="es-ES_tradnl"/>
              </w:rPr>
            </w:pPr>
            <w:r w:rsidRPr="00FF7585">
              <w:rPr>
                <w:rFonts w:eastAsia="MS PGothic"/>
                <w:sz w:val="20"/>
                <w:lang w:val="es-ES_tradnl"/>
              </w:rPr>
              <w:t>5</w:t>
            </w:r>
          </w:p>
        </w:tc>
      </w:tr>
      <w:tr w:rsidR="00CA17D7" w:rsidRPr="00FF7585" w14:paraId="734B4419" w14:textId="77777777" w:rsidTr="00810F61">
        <w:trPr>
          <w:cantSplit/>
          <w:tblHeader/>
          <w:jc w:val="center"/>
        </w:trPr>
        <w:tc>
          <w:tcPr>
            <w:tcW w:w="5096" w:type="dxa"/>
            <w:tcBorders>
              <w:top w:val="single" w:sz="4" w:space="0" w:color="auto"/>
              <w:left w:val="single" w:sz="4" w:space="0" w:color="auto"/>
              <w:bottom w:val="single" w:sz="4" w:space="0" w:color="auto"/>
              <w:right w:val="single" w:sz="4" w:space="0" w:color="auto"/>
            </w:tcBorders>
            <w:vAlign w:val="center"/>
          </w:tcPr>
          <w:p w14:paraId="5481C045" w14:textId="77777777" w:rsidR="00CA17D7" w:rsidRPr="00FF7585" w:rsidRDefault="00CA17D7" w:rsidP="00810F61">
            <w:pPr>
              <w:pStyle w:val="Tablehead"/>
              <w:spacing w:before="40" w:after="40"/>
              <w:rPr>
                <w:rFonts w:eastAsia="MS PGothic"/>
                <w:sz w:val="20"/>
                <w:lang w:val="es-ES_tradnl"/>
              </w:rPr>
            </w:pPr>
            <w:r w:rsidRPr="00FF7585">
              <w:rPr>
                <w:rFonts w:eastAsia="MS PGothic"/>
                <w:sz w:val="20"/>
                <w:lang w:val="es-ES_tradnl"/>
              </w:rPr>
              <w:t>Parámetro</w:t>
            </w:r>
          </w:p>
        </w:tc>
        <w:tc>
          <w:tcPr>
            <w:tcW w:w="1952" w:type="dxa"/>
            <w:tcBorders>
              <w:top w:val="single" w:sz="4" w:space="0" w:color="auto"/>
              <w:left w:val="single" w:sz="4" w:space="0" w:color="auto"/>
              <w:bottom w:val="single" w:sz="4" w:space="0" w:color="auto"/>
              <w:right w:val="single" w:sz="4" w:space="0" w:color="auto"/>
            </w:tcBorders>
            <w:vAlign w:val="center"/>
          </w:tcPr>
          <w:p w14:paraId="10B9F541" w14:textId="77777777" w:rsidR="00CA17D7" w:rsidRPr="00FF7585" w:rsidRDefault="00CA17D7" w:rsidP="00810F61">
            <w:pPr>
              <w:pStyle w:val="Tablehead"/>
              <w:spacing w:before="40" w:after="40"/>
              <w:rPr>
                <w:rFonts w:eastAsia="MS PGothic"/>
                <w:sz w:val="20"/>
                <w:highlight w:val="yellow"/>
                <w:lang w:val="es-ES_tradnl"/>
              </w:rPr>
            </w:pPr>
            <w:r w:rsidRPr="00FF7585">
              <w:rPr>
                <w:rFonts w:eastAsia="MS PGothic"/>
                <w:sz w:val="20"/>
                <w:lang w:val="es-ES_tradnl"/>
              </w:rPr>
              <w:t>Receptor de navegación aérea N° 1</w:t>
            </w:r>
          </w:p>
        </w:tc>
        <w:tc>
          <w:tcPr>
            <w:tcW w:w="1592" w:type="dxa"/>
            <w:gridSpan w:val="3"/>
            <w:tcBorders>
              <w:top w:val="single" w:sz="4" w:space="0" w:color="auto"/>
              <w:left w:val="single" w:sz="4" w:space="0" w:color="auto"/>
              <w:bottom w:val="single" w:sz="4" w:space="0" w:color="auto"/>
              <w:right w:val="single" w:sz="4" w:space="0" w:color="auto"/>
            </w:tcBorders>
            <w:vAlign w:val="center"/>
          </w:tcPr>
          <w:p w14:paraId="49027E74" w14:textId="77777777" w:rsidR="00CA17D7" w:rsidRPr="00FF7585" w:rsidRDefault="00CA17D7" w:rsidP="00810F61">
            <w:pPr>
              <w:pStyle w:val="Tablehead"/>
              <w:spacing w:before="40" w:after="40"/>
              <w:rPr>
                <w:rFonts w:eastAsia="MS PGothic"/>
                <w:sz w:val="20"/>
                <w:lang w:val="es-ES_tradnl"/>
              </w:rPr>
            </w:pPr>
            <w:r w:rsidRPr="00FF7585">
              <w:rPr>
                <w:rFonts w:eastAsia="MS PGothic"/>
                <w:sz w:val="20"/>
                <w:lang w:val="es-ES_tradnl"/>
              </w:rPr>
              <w:t>Receptor de navegación</w:t>
            </w:r>
            <w:r w:rsidRPr="00FF7585">
              <w:rPr>
                <w:rFonts w:eastAsia="MS PGothic"/>
                <w:sz w:val="20"/>
                <w:lang w:val="es-ES_tradnl"/>
              </w:rPr>
              <w:br/>
              <w:t>aérea N° 2</w:t>
            </w:r>
            <w:r w:rsidRPr="00FF7585">
              <w:rPr>
                <w:rFonts w:eastAsia="MS PGothic"/>
                <w:sz w:val="20"/>
                <w:lang w:val="es-ES_tradnl"/>
              </w:rPr>
              <w:br/>
              <w:t>(Nota 9)</w:t>
            </w:r>
          </w:p>
        </w:tc>
        <w:tc>
          <w:tcPr>
            <w:tcW w:w="1726" w:type="dxa"/>
            <w:gridSpan w:val="4"/>
            <w:tcBorders>
              <w:top w:val="single" w:sz="4" w:space="0" w:color="auto"/>
              <w:left w:val="single" w:sz="4" w:space="0" w:color="auto"/>
              <w:bottom w:val="single" w:sz="4" w:space="0" w:color="auto"/>
              <w:right w:val="single" w:sz="4" w:space="0" w:color="auto"/>
            </w:tcBorders>
            <w:vAlign w:val="center"/>
          </w:tcPr>
          <w:p w14:paraId="7FB9F8AF" w14:textId="77777777" w:rsidR="00CA17D7" w:rsidRPr="00FF7585" w:rsidRDefault="00CA17D7" w:rsidP="00810F61">
            <w:pPr>
              <w:pStyle w:val="Tablehead"/>
              <w:spacing w:before="40" w:after="40"/>
              <w:rPr>
                <w:sz w:val="20"/>
                <w:lang w:val="es-ES_tradnl"/>
              </w:rPr>
            </w:pPr>
            <w:r w:rsidRPr="00FF7585">
              <w:rPr>
                <w:sz w:val="20"/>
                <w:lang w:val="es-ES_tradnl"/>
              </w:rPr>
              <w:t>Receptores</w:t>
            </w:r>
            <w:r w:rsidRPr="00FF7585">
              <w:rPr>
                <w:sz w:val="20"/>
                <w:lang w:val="es-ES_tradnl"/>
              </w:rPr>
              <w:br/>
              <w:t xml:space="preserve">de alta precisión </w:t>
            </w:r>
            <w:r w:rsidRPr="00FF7585">
              <w:rPr>
                <w:sz w:val="20"/>
                <w:lang w:val="es-ES_tradnl"/>
              </w:rPr>
              <w:br/>
              <w:t>(Nota 12)</w:t>
            </w:r>
          </w:p>
        </w:tc>
        <w:tc>
          <w:tcPr>
            <w:tcW w:w="1821" w:type="dxa"/>
            <w:gridSpan w:val="5"/>
            <w:tcBorders>
              <w:top w:val="single" w:sz="4" w:space="0" w:color="auto"/>
              <w:left w:val="single" w:sz="4" w:space="0" w:color="auto"/>
              <w:bottom w:val="single" w:sz="4" w:space="0" w:color="auto"/>
              <w:right w:val="single" w:sz="4" w:space="0" w:color="auto"/>
            </w:tcBorders>
            <w:vAlign w:val="center"/>
          </w:tcPr>
          <w:p w14:paraId="1C865BE5" w14:textId="77777777" w:rsidR="00CA17D7" w:rsidRPr="00FF7585" w:rsidRDefault="00CA17D7" w:rsidP="00810F61">
            <w:pPr>
              <w:pStyle w:val="Tablehead"/>
              <w:spacing w:before="40" w:after="40"/>
              <w:rPr>
                <w:rFonts w:eastAsia="MS PGothic"/>
                <w:sz w:val="20"/>
                <w:highlight w:val="lightGray"/>
                <w:lang w:val="es-ES_tradnl"/>
              </w:rPr>
            </w:pPr>
            <w:r w:rsidRPr="00FF7585">
              <w:rPr>
                <w:sz w:val="20"/>
                <w:lang w:val="es-ES_tradnl"/>
              </w:rPr>
              <w:t>Receptores de posicionamiento en interiores</w:t>
            </w:r>
          </w:p>
        </w:tc>
        <w:tc>
          <w:tcPr>
            <w:tcW w:w="2272" w:type="dxa"/>
            <w:gridSpan w:val="4"/>
            <w:tcBorders>
              <w:top w:val="single" w:sz="4" w:space="0" w:color="auto"/>
              <w:left w:val="single" w:sz="4" w:space="0" w:color="auto"/>
              <w:bottom w:val="single" w:sz="4" w:space="0" w:color="auto"/>
              <w:right w:val="single" w:sz="4" w:space="0" w:color="auto"/>
            </w:tcBorders>
            <w:vAlign w:val="center"/>
          </w:tcPr>
          <w:p w14:paraId="69801FA7" w14:textId="77777777" w:rsidR="00CA17D7" w:rsidRPr="00FF7585" w:rsidRDefault="00CA17D7" w:rsidP="00810F61">
            <w:pPr>
              <w:pStyle w:val="Tablehead"/>
              <w:spacing w:before="40" w:after="40"/>
              <w:rPr>
                <w:rFonts w:eastAsia="MS PGothic"/>
                <w:sz w:val="20"/>
                <w:highlight w:val="lightGray"/>
                <w:lang w:val="es-ES_tradnl"/>
              </w:rPr>
            </w:pPr>
            <w:r w:rsidRPr="00FF7585">
              <w:rPr>
                <w:rFonts w:eastAsia="MS PGothic"/>
                <w:sz w:val="20"/>
                <w:lang w:val="es-ES_tradnl"/>
              </w:rPr>
              <w:t>Receptores</w:t>
            </w:r>
            <w:r w:rsidRPr="00FF7585">
              <w:rPr>
                <w:rFonts w:eastAsia="MS PGothic"/>
                <w:sz w:val="20"/>
                <w:lang w:val="es-ES_tradnl"/>
              </w:rPr>
              <w:br/>
              <w:t>polivalentes</w:t>
            </w:r>
          </w:p>
        </w:tc>
      </w:tr>
      <w:tr w:rsidR="00CA17D7" w:rsidRPr="00FF7585" w14:paraId="7FE79A9D" w14:textId="77777777" w:rsidTr="00810F61">
        <w:trPr>
          <w:cantSplit/>
          <w:trHeight w:val="2098"/>
          <w:jc w:val="center"/>
        </w:trPr>
        <w:tc>
          <w:tcPr>
            <w:tcW w:w="5096" w:type="dxa"/>
            <w:tcBorders>
              <w:top w:val="single" w:sz="4" w:space="0" w:color="auto"/>
              <w:left w:val="single" w:sz="4" w:space="0" w:color="auto"/>
              <w:bottom w:val="single" w:sz="4" w:space="0" w:color="auto"/>
              <w:right w:val="single" w:sz="4" w:space="0" w:color="auto"/>
            </w:tcBorders>
            <w:vAlign w:val="center"/>
          </w:tcPr>
          <w:p w14:paraId="29806BA5"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Gama de frecuencias de la señal (MHz)</w:t>
            </w:r>
          </w:p>
        </w:tc>
        <w:tc>
          <w:tcPr>
            <w:tcW w:w="1952" w:type="dxa"/>
            <w:tcBorders>
              <w:top w:val="single" w:sz="4" w:space="0" w:color="auto"/>
              <w:left w:val="single" w:sz="4" w:space="0" w:color="auto"/>
              <w:bottom w:val="single" w:sz="4" w:space="0" w:color="auto"/>
              <w:right w:val="single" w:sz="4" w:space="0" w:color="auto"/>
            </w:tcBorders>
            <w:textDirection w:val="btLr"/>
            <w:vAlign w:val="center"/>
          </w:tcPr>
          <w:p w14:paraId="3EAE5675" w14:textId="77777777" w:rsidR="00CA17D7" w:rsidRPr="00FF7585" w:rsidRDefault="00CA17D7" w:rsidP="00810F61">
            <w:pPr>
              <w:pStyle w:val="Tabletext"/>
              <w:ind w:left="113" w:right="113"/>
              <w:jc w:val="center"/>
              <w:rPr>
                <w:rFonts w:eastAsia="MS PGothic"/>
                <w:sz w:val="20"/>
                <w:lang w:val="es-ES_tradnl"/>
              </w:rPr>
            </w:pPr>
            <w:r w:rsidRPr="00FF7585">
              <w:rPr>
                <w:rFonts w:eastAsia="MS PGothic"/>
                <w:sz w:val="20"/>
                <w:lang w:val="es-ES_tradnl"/>
              </w:rPr>
              <w:t>1 176,45 ± 12</w:t>
            </w:r>
          </w:p>
        </w:tc>
        <w:tc>
          <w:tcPr>
            <w:tcW w:w="1148" w:type="dxa"/>
            <w:gridSpan w:val="2"/>
            <w:tcBorders>
              <w:top w:val="single" w:sz="4" w:space="0" w:color="auto"/>
              <w:left w:val="single" w:sz="4" w:space="0" w:color="auto"/>
              <w:bottom w:val="single" w:sz="4" w:space="0" w:color="auto"/>
              <w:right w:val="single" w:sz="4" w:space="0" w:color="auto"/>
            </w:tcBorders>
            <w:textDirection w:val="btLr"/>
            <w:vAlign w:val="center"/>
          </w:tcPr>
          <w:p w14:paraId="4137A537" w14:textId="77777777" w:rsidR="00CA17D7" w:rsidRPr="00FF7585" w:rsidRDefault="00CA17D7" w:rsidP="00810F61">
            <w:pPr>
              <w:pStyle w:val="Tabletext"/>
              <w:ind w:left="113" w:right="113"/>
              <w:jc w:val="center"/>
              <w:rPr>
                <w:rFonts w:eastAsia="MS PGothic"/>
                <w:sz w:val="20"/>
                <w:lang w:val="es-ES_tradnl"/>
              </w:rPr>
            </w:pPr>
            <w:r w:rsidRPr="00FF7585">
              <w:rPr>
                <w:sz w:val="20"/>
                <w:lang w:val="es-ES_tradnl"/>
              </w:rPr>
              <w:t xml:space="preserve">1 204,704 + 0,423 </w:t>
            </w:r>
            <w:r w:rsidRPr="00FF7585">
              <w:rPr>
                <w:i/>
                <w:iCs/>
                <w:sz w:val="20"/>
                <w:lang w:val="es-ES_tradnl"/>
              </w:rPr>
              <w:t>K</w:t>
            </w:r>
            <w:r w:rsidRPr="00FF7585">
              <w:rPr>
                <w:sz w:val="20"/>
                <w:lang w:val="es-ES_tradnl"/>
              </w:rPr>
              <w:t xml:space="preserve"> </w:t>
            </w:r>
            <w:r w:rsidRPr="00FF7585">
              <w:rPr>
                <w:rFonts w:eastAsia="MS PGothic"/>
                <w:sz w:val="20"/>
                <w:lang w:val="es-ES_tradnl"/>
              </w:rPr>
              <w:t>±</w:t>
            </w:r>
            <w:r w:rsidRPr="00FF7585">
              <w:rPr>
                <w:sz w:val="20"/>
                <w:lang w:val="es-ES_tradnl"/>
              </w:rPr>
              <w:t xml:space="preserve"> 4,095, donde </w:t>
            </w:r>
            <w:r w:rsidRPr="00FF7585">
              <w:rPr>
                <w:sz w:val="20"/>
                <w:lang w:val="es-ES_tradnl"/>
              </w:rPr>
              <w:br/>
            </w:r>
            <w:r w:rsidRPr="00FF7585">
              <w:rPr>
                <w:i/>
                <w:iCs/>
                <w:sz w:val="20"/>
                <w:lang w:val="es-ES_tradnl"/>
              </w:rPr>
              <w:t>K</w:t>
            </w:r>
            <w:r w:rsidRPr="00FF7585">
              <w:rPr>
                <w:sz w:val="20"/>
                <w:lang w:val="es-ES_tradnl"/>
              </w:rPr>
              <w:t> = –7, …, +12 (Not</w:t>
            </w:r>
            <w:r w:rsidRPr="00FF7585">
              <w:rPr>
                <w:rFonts w:eastAsia="MS PGothic"/>
                <w:sz w:val="20"/>
                <w:lang w:val="es-ES_tradnl"/>
              </w:rPr>
              <w:t>a</w:t>
            </w:r>
            <w:r w:rsidRPr="00FF7585">
              <w:rPr>
                <w:sz w:val="20"/>
                <w:lang w:val="es-ES_tradnl"/>
              </w:rPr>
              <w:t> 10)</w:t>
            </w:r>
          </w:p>
        </w:tc>
        <w:tc>
          <w:tcPr>
            <w:tcW w:w="444" w:type="dxa"/>
            <w:tcBorders>
              <w:top w:val="single" w:sz="4" w:space="0" w:color="auto"/>
              <w:left w:val="single" w:sz="4" w:space="0" w:color="auto"/>
              <w:bottom w:val="single" w:sz="4" w:space="0" w:color="auto"/>
              <w:right w:val="single" w:sz="4" w:space="0" w:color="auto"/>
            </w:tcBorders>
            <w:textDirection w:val="btLr"/>
            <w:vAlign w:val="center"/>
          </w:tcPr>
          <w:p w14:paraId="0EC9F93D" w14:textId="77777777" w:rsidR="00CA17D7" w:rsidRPr="00FF7585" w:rsidRDefault="00CA17D7" w:rsidP="00810F61">
            <w:pPr>
              <w:pStyle w:val="Tabletext"/>
              <w:spacing w:before="0"/>
              <w:ind w:left="113" w:right="113"/>
              <w:jc w:val="center"/>
              <w:rPr>
                <w:rFonts w:eastAsia="MS PGothic"/>
                <w:sz w:val="20"/>
                <w:lang w:val="es-ES_tradnl"/>
              </w:rPr>
            </w:pPr>
            <w:r w:rsidRPr="00FF7585">
              <w:rPr>
                <w:rFonts w:eastAsia="MS PGothic"/>
                <w:sz w:val="20"/>
                <w:lang w:val="es-ES_tradnl" w:eastAsia="zh-CN"/>
              </w:rPr>
              <w:t xml:space="preserve">1 202,025 </w:t>
            </w:r>
            <w:r w:rsidRPr="00FF7585">
              <w:rPr>
                <w:rFonts w:eastAsia="MS PGothic"/>
                <w:sz w:val="20"/>
                <w:lang w:val="es-ES_tradnl" w:eastAsia="zh-CN"/>
              </w:rPr>
              <w:sym w:font="Symbol" w:char="F0B1"/>
            </w:r>
            <w:r w:rsidRPr="00FF7585">
              <w:rPr>
                <w:rFonts w:eastAsia="MS PGothic"/>
                <w:sz w:val="20"/>
                <w:lang w:val="es-ES_tradnl" w:eastAsia="zh-CN"/>
              </w:rPr>
              <w:t xml:space="preserve"> 10,25</w:t>
            </w:r>
          </w:p>
        </w:tc>
        <w:tc>
          <w:tcPr>
            <w:tcW w:w="410" w:type="dxa"/>
            <w:tcBorders>
              <w:top w:val="single" w:sz="4" w:space="0" w:color="auto"/>
              <w:left w:val="single" w:sz="4" w:space="0" w:color="auto"/>
              <w:bottom w:val="single" w:sz="4" w:space="0" w:color="auto"/>
              <w:right w:val="single" w:sz="4" w:space="0" w:color="auto"/>
            </w:tcBorders>
            <w:textDirection w:val="btLr"/>
            <w:vAlign w:val="center"/>
          </w:tcPr>
          <w:p w14:paraId="756B4CDC" w14:textId="77777777" w:rsidR="00CA17D7" w:rsidRPr="00FF7585" w:rsidRDefault="00CA17D7" w:rsidP="00810F61">
            <w:pPr>
              <w:pStyle w:val="Tabletext"/>
              <w:spacing w:before="0"/>
              <w:jc w:val="center"/>
              <w:rPr>
                <w:rFonts w:eastAsia="MS PGothic"/>
                <w:bCs/>
                <w:sz w:val="20"/>
                <w:lang w:val="es-ES_tradnl" w:eastAsia="ja-JP"/>
              </w:rPr>
            </w:pPr>
            <w:r w:rsidRPr="00FF7585">
              <w:rPr>
                <w:rFonts w:eastAsia="MS PGothic"/>
                <w:sz w:val="20"/>
                <w:lang w:val="es-ES_tradnl"/>
              </w:rPr>
              <w:t xml:space="preserve">1 176,45 </w:t>
            </w:r>
            <w:r w:rsidRPr="00FF7585">
              <w:rPr>
                <w:rFonts w:eastAsia="MS PGothic"/>
                <w:sz w:val="20"/>
                <w:lang w:val="es-ES_tradnl"/>
              </w:rPr>
              <w:sym w:font="Symbol" w:char="00B1"/>
            </w:r>
            <w:r w:rsidRPr="00FF7585">
              <w:rPr>
                <w:rFonts w:eastAsia="MS PGothic"/>
                <w:sz w:val="20"/>
                <w:lang w:val="es-ES_tradnl"/>
              </w:rPr>
              <w:t xml:space="preserve"> 12</w:t>
            </w:r>
          </w:p>
        </w:tc>
        <w:tc>
          <w:tcPr>
            <w:tcW w:w="866" w:type="dxa"/>
            <w:gridSpan w:val="2"/>
            <w:tcBorders>
              <w:top w:val="single" w:sz="4" w:space="0" w:color="auto"/>
              <w:left w:val="single" w:sz="4" w:space="0" w:color="auto"/>
              <w:bottom w:val="single" w:sz="4" w:space="0" w:color="auto"/>
              <w:right w:val="single" w:sz="4" w:space="0" w:color="auto"/>
            </w:tcBorders>
            <w:textDirection w:val="btLr"/>
            <w:vAlign w:val="center"/>
          </w:tcPr>
          <w:p w14:paraId="30707A80" w14:textId="77777777" w:rsidR="00CA17D7" w:rsidRPr="00FF7585" w:rsidRDefault="00CA17D7" w:rsidP="00810F61">
            <w:pPr>
              <w:pStyle w:val="Tabletext"/>
              <w:jc w:val="center"/>
              <w:rPr>
                <w:rFonts w:eastAsia="MS PGothic"/>
                <w:bCs/>
                <w:sz w:val="20"/>
                <w:lang w:val="es-ES_tradnl" w:eastAsia="ja-JP"/>
              </w:rPr>
            </w:pPr>
            <w:r w:rsidRPr="00FF7585">
              <w:rPr>
                <w:sz w:val="20"/>
                <w:lang w:val="es-ES_tradnl"/>
              </w:rPr>
              <w:t xml:space="preserve">1 204,704 + 0,423 </w:t>
            </w:r>
            <w:r w:rsidRPr="00FF7585">
              <w:rPr>
                <w:i/>
                <w:iCs/>
                <w:sz w:val="20"/>
                <w:lang w:val="es-ES_tradnl"/>
              </w:rPr>
              <w:t>K</w:t>
            </w:r>
            <w:r w:rsidRPr="00FF7585">
              <w:rPr>
                <w:sz w:val="20"/>
                <w:lang w:val="es-ES_tradnl"/>
              </w:rPr>
              <w:t xml:space="preserve"> </w:t>
            </w:r>
            <w:r w:rsidRPr="00FF7585">
              <w:rPr>
                <w:rFonts w:eastAsia="MS PGothic"/>
                <w:sz w:val="20"/>
                <w:lang w:val="es-ES_tradnl"/>
              </w:rPr>
              <w:t>±</w:t>
            </w:r>
            <w:r w:rsidRPr="00FF7585">
              <w:rPr>
                <w:sz w:val="20"/>
                <w:lang w:val="es-ES_tradnl"/>
              </w:rPr>
              <w:t xml:space="preserve"> 4,095, donde</w:t>
            </w:r>
            <w:r w:rsidRPr="00FF7585">
              <w:rPr>
                <w:sz w:val="20"/>
                <w:lang w:val="es-ES_tradnl"/>
              </w:rPr>
              <w:br/>
            </w:r>
            <w:r w:rsidRPr="00FF7585">
              <w:rPr>
                <w:i/>
                <w:iCs/>
                <w:sz w:val="20"/>
                <w:lang w:val="es-ES_tradnl"/>
              </w:rPr>
              <w:t>K</w:t>
            </w:r>
            <w:r w:rsidRPr="00FF7585">
              <w:rPr>
                <w:sz w:val="20"/>
                <w:lang w:val="es-ES_tradnl"/>
              </w:rPr>
              <w:t> = –7, …, +12</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14:paraId="66184D99" w14:textId="77777777" w:rsidR="00CA17D7" w:rsidRPr="00FF7585" w:rsidRDefault="00CA17D7" w:rsidP="00810F61">
            <w:pPr>
              <w:pStyle w:val="Tabletext"/>
              <w:jc w:val="center"/>
              <w:rPr>
                <w:rFonts w:eastAsia="MS PGothic"/>
                <w:bCs/>
                <w:sz w:val="20"/>
                <w:lang w:val="es-ES_tradnl" w:eastAsia="ja-JP"/>
              </w:rPr>
            </w:pPr>
            <w:r w:rsidRPr="00FF7585">
              <w:rPr>
                <w:rFonts w:eastAsia="MS PGothic"/>
                <w:sz w:val="20"/>
                <w:lang w:val="es-ES_tradnl" w:eastAsia="zh-CN"/>
              </w:rPr>
              <w:t xml:space="preserve">1 202,025 </w:t>
            </w:r>
            <w:r w:rsidRPr="00FF7585">
              <w:rPr>
                <w:rFonts w:eastAsia="MS PGothic"/>
                <w:sz w:val="20"/>
                <w:lang w:val="es-ES_tradnl" w:eastAsia="zh-CN"/>
              </w:rPr>
              <w:sym w:font="Symbol" w:char="F0B1"/>
            </w:r>
            <w:r w:rsidRPr="00FF7585">
              <w:rPr>
                <w:rFonts w:eastAsia="MS PGothic"/>
                <w:sz w:val="20"/>
                <w:lang w:val="es-ES_tradnl" w:eastAsia="zh-CN"/>
              </w:rPr>
              <w:t xml:space="preserve"> 10,25</w:t>
            </w:r>
          </w:p>
        </w:tc>
        <w:tc>
          <w:tcPr>
            <w:tcW w:w="448" w:type="dxa"/>
            <w:tcBorders>
              <w:top w:val="single" w:sz="4" w:space="0" w:color="auto"/>
              <w:left w:val="single" w:sz="4" w:space="0" w:color="auto"/>
              <w:bottom w:val="single" w:sz="4" w:space="0" w:color="auto"/>
              <w:right w:val="single" w:sz="4" w:space="0" w:color="auto"/>
            </w:tcBorders>
            <w:textDirection w:val="btLr"/>
            <w:vAlign w:val="center"/>
          </w:tcPr>
          <w:p w14:paraId="4D65E343"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1 176,45 ± 12</w:t>
            </w:r>
          </w:p>
        </w:tc>
        <w:tc>
          <w:tcPr>
            <w:tcW w:w="967" w:type="dxa"/>
            <w:gridSpan w:val="3"/>
            <w:tcBorders>
              <w:top w:val="single" w:sz="4" w:space="0" w:color="auto"/>
              <w:left w:val="single" w:sz="4" w:space="0" w:color="auto"/>
              <w:bottom w:val="single" w:sz="4" w:space="0" w:color="auto"/>
              <w:right w:val="single" w:sz="4" w:space="0" w:color="auto"/>
            </w:tcBorders>
            <w:textDirection w:val="btLr"/>
            <w:vAlign w:val="center"/>
          </w:tcPr>
          <w:p w14:paraId="58CC64C5" w14:textId="77777777" w:rsidR="00CA17D7" w:rsidRPr="00FF7585" w:rsidRDefault="00CA17D7" w:rsidP="00810F61">
            <w:pPr>
              <w:pStyle w:val="Tabletext"/>
              <w:jc w:val="center"/>
              <w:rPr>
                <w:rFonts w:eastAsia="MS PGothic"/>
                <w:sz w:val="20"/>
                <w:lang w:val="es-ES_tradnl"/>
              </w:rPr>
            </w:pPr>
            <w:r w:rsidRPr="00FF7585">
              <w:rPr>
                <w:sz w:val="20"/>
                <w:lang w:val="es-ES_tradnl"/>
              </w:rPr>
              <w:t xml:space="preserve">1 204,704 + 0,423 </w:t>
            </w:r>
            <w:r w:rsidRPr="00FF7585">
              <w:rPr>
                <w:i/>
                <w:iCs/>
                <w:sz w:val="20"/>
                <w:lang w:val="es-ES_tradnl"/>
              </w:rPr>
              <w:t>K</w:t>
            </w:r>
            <w:r w:rsidRPr="00FF7585">
              <w:rPr>
                <w:sz w:val="20"/>
                <w:lang w:val="es-ES_tradnl"/>
              </w:rPr>
              <w:t xml:space="preserve"> </w:t>
            </w:r>
            <w:r w:rsidRPr="00FF7585">
              <w:rPr>
                <w:rFonts w:eastAsia="MS PGothic"/>
                <w:sz w:val="20"/>
                <w:lang w:val="es-ES_tradnl"/>
              </w:rPr>
              <w:t>±</w:t>
            </w:r>
            <w:r w:rsidRPr="00FF7585">
              <w:rPr>
                <w:sz w:val="20"/>
                <w:lang w:val="es-ES_tradnl"/>
              </w:rPr>
              <w:t xml:space="preserve"> 4,095, donde</w:t>
            </w:r>
            <w:r w:rsidRPr="00FF7585">
              <w:rPr>
                <w:sz w:val="20"/>
                <w:lang w:val="es-ES_tradnl"/>
              </w:rPr>
              <w:br/>
            </w:r>
            <w:r w:rsidRPr="00FF7585">
              <w:rPr>
                <w:i/>
                <w:iCs/>
                <w:sz w:val="20"/>
                <w:lang w:val="es-ES_tradnl"/>
              </w:rPr>
              <w:t>K</w:t>
            </w:r>
            <w:r w:rsidRPr="00FF7585">
              <w:rPr>
                <w:sz w:val="20"/>
                <w:lang w:val="es-ES_tradnl"/>
              </w:rPr>
              <w:t> = –7, …, +12</w:t>
            </w:r>
          </w:p>
        </w:tc>
        <w:tc>
          <w:tcPr>
            <w:tcW w:w="406" w:type="dxa"/>
            <w:tcBorders>
              <w:top w:val="single" w:sz="4" w:space="0" w:color="auto"/>
              <w:left w:val="single" w:sz="4" w:space="0" w:color="auto"/>
              <w:bottom w:val="single" w:sz="4" w:space="0" w:color="auto"/>
              <w:right w:val="single" w:sz="4" w:space="0" w:color="auto"/>
            </w:tcBorders>
            <w:textDirection w:val="btLr"/>
            <w:vAlign w:val="center"/>
          </w:tcPr>
          <w:p w14:paraId="3442B4D5"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eastAsia="zh-CN"/>
              </w:rPr>
              <w:t xml:space="preserve">1 202,025 </w:t>
            </w:r>
            <w:r w:rsidRPr="00FF7585">
              <w:rPr>
                <w:rFonts w:eastAsia="MS PGothic"/>
                <w:sz w:val="20"/>
                <w:lang w:val="es-ES_tradnl" w:eastAsia="zh-CN"/>
              </w:rPr>
              <w:sym w:font="Symbol" w:char="F0B1"/>
            </w:r>
            <w:r w:rsidRPr="00FF7585">
              <w:rPr>
                <w:rFonts w:eastAsia="MS PGothic"/>
                <w:sz w:val="20"/>
                <w:lang w:val="es-ES_tradnl" w:eastAsia="zh-CN"/>
              </w:rPr>
              <w:t xml:space="preserve"> 10,25</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7E200BFE"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 xml:space="preserve">1 207,14 ± 12 </w:t>
            </w:r>
            <w:r w:rsidRPr="00FF7585">
              <w:rPr>
                <w:rFonts w:eastAsia="MS PGothic"/>
                <w:sz w:val="20"/>
                <w:lang w:val="es-ES_tradnl"/>
              </w:rPr>
              <w:br/>
            </w:r>
            <w:r w:rsidRPr="00FF7585">
              <w:rPr>
                <w:sz w:val="20"/>
                <w:lang w:val="es-ES_tradnl"/>
              </w:rPr>
              <w:t xml:space="preserve">1 176,45 </w:t>
            </w:r>
            <w:r w:rsidRPr="00FF7585">
              <w:rPr>
                <w:rFonts w:eastAsia="MS PGothic"/>
                <w:sz w:val="20"/>
                <w:lang w:val="es-ES_tradnl"/>
              </w:rPr>
              <w:t xml:space="preserve">± </w:t>
            </w:r>
            <w:r w:rsidRPr="00FF7585">
              <w:rPr>
                <w:sz w:val="20"/>
                <w:lang w:val="es-ES_tradnl"/>
              </w:rPr>
              <w:t>12</w:t>
            </w:r>
          </w:p>
        </w:tc>
        <w:tc>
          <w:tcPr>
            <w:tcW w:w="1073" w:type="dxa"/>
            <w:gridSpan w:val="2"/>
            <w:tcBorders>
              <w:top w:val="single" w:sz="4" w:space="0" w:color="auto"/>
              <w:left w:val="single" w:sz="4" w:space="0" w:color="auto"/>
              <w:bottom w:val="single" w:sz="4" w:space="0" w:color="auto"/>
              <w:right w:val="single" w:sz="4" w:space="0" w:color="auto"/>
            </w:tcBorders>
            <w:textDirection w:val="btLr"/>
            <w:vAlign w:val="center"/>
          </w:tcPr>
          <w:p w14:paraId="2E790D74" w14:textId="77777777" w:rsidR="00CA17D7" w:rsidRPr="00FF7585" w:rsidRDefault="00CA17D7" w:rsidP="00810F61">
            <w:pPr>
              <w:pStyle w:val="Tabletext"/>
              <w:jc w:val="center"/>
              <w:rPr>
                <w:rFonts w:eastAsia="MS PGothic"/>
                <w:sz w:val="20"/>
                <w:lang w:val="es-ES_tradnl"/>
              </w:rPr>
            </w:pPr>
            <w:r w:rsidRPr="00FF7585">
              <w:rPr>
                <w:sz w:val="20"/>
                <w:lang w:val="es-ES_tradnl"/>
              </w:rPr>
              <w:t xml:space="preserve">1 204,704 + 0,423 </w:t>
            </w:r>
            <w:r w:rsidRPr="00FF7585">
              <w:rPr>
                <w:i/>
                <w:iCs/>
                <w:sz w:val="20"/>
                <w:lang w:val="es-ES_tradnl"/>
              </w:rPr>
              <w:t>K</w:t>
            </w:r>
            <w:r w:rsidRPr="00FF7585">
              <w:rPr>
                <w:sz w:val="20"/>
                <w:lang w:val="es-ES_tradnl"/>
              </w:rPr>
              <w:t xml:space="preserve"> </w:t>
            </w:r>
            <w:r w:rsidRPr="00FF7585">
              <w:rPr>
                <w:rFonts w:eastAsia="MS PGothic"/>
                <w:sz w:val="20"/>
                <w:lang w:val="es-ES_tradnl"/>
              </w:rPr>
              <w:t>±</w:t>
            </w:r>
            <w:r w:rsidRPr="00FF7585">
              <w:rPr>
                <w:sz w:val="20"/>
                <w:lang w:val="es-ES_tradnl"/>
              </w:rPr>
              <w:t xml:space="preserve"> 4,095, donde</w:t>
            </w:r>
            <w:r w:rsidRPr="00FF7585">
              <w:rPr>
                <w:sz w:val="20"/>
                <w:lang w:val="es-ES_tradnl"/>
              </w:rPr>
              <w:br/>
            </w:r>
            <w:r w:rsidRPr="00FF7585">
              <w:rPr>
                <w:i/>
                <w:iCs/>
                <w:sz w:val="20"/>
                <w:lang w:val="es-ES_tradnl"/>
              </w:rPr>
              <w:t>K</w:t>
            </w:r>
            <w:r w:rsidRPr="00FF7585">
              <w:rPr>
                <w:sz w:val="20"/>
                <w:lang w:val="es-ES_tradnl"/>
              </w:rPr>
              <w:t xml:space="preserve"> = –7, </w:t>
            </w:r>
            <w:proofErr w:type="gramStart"/>
            <w:r w:rsidRPr="00FF7585">
              <w:rPr>
                <w:sz w:val="20"/>
                <w:lang w:val="es-ES_tradnl"/>
              </w:rPr>
              <w:t>…,+</w:t>
            </w:r>
            <w:proofErr w:type="gramEnd"/>
            <w:r w:rsidRPr="00FF7585">
              <w:rPr>
                <w:sz w:val="20"/>
                <w:lang w:val="es-ES_tradnl"/>
              </w:rPr>
              <w:t>12</w:t>
            </w:r>
          </w:p>
        </w:tc>
        <w:tc>
          <w:tcPr>
            <w:tcW w:w="52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05F07B"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eastAsia="zh-CN"/>
              </w:rPr>
              <w:t xml:space="preserve">1 202,025 </w:t>
            </w:r>
            <w:r w:rsidRPr="00FF7585">
              <w:rPr>
                <w:rFonts w:eastAsia="MS PGothic"/>
                <w:sz w:val="20"/>
                <w:lang w:val="es-ES_tradnl" w:eastAsia="zh-CN"/>
              </w:rPr>
              <w:sym w:font="Symbol" w:char="F0B1"/>
            </w:r>
            <w:r w:rsidRPr="00FF7585">
              <w:rPr>
                <w:rFonts w:eastAsia="MS PGothic"/>
                <w:sz w:val="20"/>
                <w:lang w:val="es-ES_tradnl" w:eastAsia="zh-CN"/>
              </w:rPr>
              <w:t xml:space="preserve"> 10,25</w:t>
            </w:r>
          </w:p>
        </w:tc>
      </w:tr>
      <w:tr w:rsidR="00CA17D7" w:rsidRPr="00FF7585" w14:paraId="2D2B5CFF"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732363A8"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Máxima ganancia de la antena receptora en el hemisferio superior (dBi)</w:t>
            </w:r>
          </w:p>
        </w:tc>
        <w:tc>
          <w:tcPr>
            <w:tcW w:w="1952" w:type="dxa"/>
            <w:tcBorders>
              <w:top w:val="single" w:sz="4" w:space="0" w:color="auto"/>
              <w:left w:val="single" w:sz="4" w:space="0" w:color="auto"/>
              <w:bottom w:val="single" w:sz="4" w:space="0" w:color="auto"/>
              <w:right w:val="single" w:sz="4" w:space="0" w:color="auto"/>
            </w:tcBorders>
          </w:tcPr>
          <w:p w14:paraId="2FB31027"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+6 (circular) (Nota 2)</w:t>
            </w:r>
          </w:p>
        </w:tc>
        <w:tc>
          <w:tcPr>
            <w:tcW w:w="1592" w:type="dxa"/>
            <w:gridSpan w:val="3"/>
            <w:tcBorders>
              <w:top w:val="single" w:sz="4" w:space="0" w:color="auto"/>
              <w:left w:val="single" w:sz="4" w:space="0" w:color="auto"/>
              <w:bottom w:val="single" w:sz="4" w:space="0" w:color="auto"/>
              <w:right w:val="single" w:sz="4" w:space="0" w:color="auto"/>
            </w:tcBorders>
          </w:tcPr>
          <w:p w14:paraId="037F8635" w14:textId="77777777" w:rsidR="00CA17D7" w:rsidRPr="00FF7585" w:rsidRDefault="00CA17D7" w:rsidP="00810F61">
            <w:pPr>
              <w:pStyle w:val="Tabletext"/>
              <w:jc w:val="center"/>
              <w:rPr>
                <w:rFonts w:eastAsia="MS PGothic"/>
                <w:bCs/>
                <w:sz w:val="20"/>
                <w:lang w:val="es-ES_tradnl" w:eastAsia="ja-JP"/>
              </w:rPr>
            </w:pPr>
            <w:r w:rsidRPr="00FF7585">
              <w:rPr>
                <w:snapToGrid w:val="0"/>
                <w:sz w:val="20"/>
                <w:lang w:val="es-ES_tradnl"/>
              </w:rPr>
              <w:t>7 (circular)</w:t>
            </w:r>
            <w:r w:rsidRPr="00FF7585">
              <w:rPr>
                <w:snapToGrid w:val="0"/>
                <w:sz w:val="20"/>
                <w:lang w:val="es-ES_tradnl"/>
              </w:rPr>
              <w:br/>
              <w:t>(Not</w:t>
            </w:r>
            <w:r w:rsidRPr="00FF7585">
              <w:rPr>
                <w:rFonts w:eastAsia="MS PGothic"/>
                <w:sz w:val="20"/>
                <w:lang w:val="es-ES_tradnl"/>
              </w:rPr>
              <w:t>a</w:t>
            </w:r>
            <w:r w:rsidRPr="00FF7585">
              <w:rPr>
                <w:snapToGrid w:val="0"/>
                <w:sz w:val="20"/>
                <w:lang w:val="es-ES_tradnl"/>
              </w:rPr>
              <w:t xml:space="preserve"> 11)</w:t>
            </w:r>
          </w:p>
        </w:tc>
        <w:tc>
          <w:tcPr>
            <w:tcW w:w="1726" w:type="dxa"/>
            <w:gridSpan w:val="4"/>
            <w:tcBorders>
              <w:top w:val="single" w:sz="4" w:space="0" w:color="auto"/>
              <w:left w:val="single" w:sz="4" w:space="0" w:color="auto"/>
              <w:bottom w:val="single" w:sz="4" w:space="0" w:color="auto"/>
              <w:right w:val="single" w:sz="4" w:space="0" w:color="auto"/>
            </w:tcBorders>
          </w:tcPr>
          <w:p w14:paraId="4E4C5128" w14:textId="77777777" w:rsidR="00CA17D7" w:rsidRPr="00FF7585" w:rsidRDefault="00CA17D7" w:rsidP="00810F61">
            <w:pPr>
              <w:pStyle w:val="Tabletext"/>
              <w:jc w:val="center"/>
              <w:rPr>
                <w:rFonts w:eastAsia="MS PGothic"/>
                <w:bCs/>
                <w:sz w:val="20"/>
                <w:lang w:val="es-ES_tradnl" w:eastAsia="ja-JP"/>
              </w:rPr>
            </w:pPr>
            <w:r w:rsidRPr="00FF7585">
              <w:rPr>
                <w:rFonts w:eastAsia="MS PGothic"/>
                <w:bCs/>
                <w:sz w:val="20"/>
                <w:lang w:val="es-ES_tradnl" w:eastAsia="ja-JP"/>
              </w:rPr>
              <w:t>3,0 circular</w:t>
            </w:r>
          </w:p>
        </w:tc>
        <w:tc>
          <w:tcPr>
            <w:tcW w:w="1821" w:type="dxa"/>
            <w:gridSpan w:val="5"/>
            <w:tcBorders>
              <w:top w:val="single" w:sz="4" w:space="0" w:color="auto"/>
              <w:left w:val="single" w:sz="4" w:space="0" w:color="auto"/>
              <w:bottom w:val="single" w:sz="4" w:space="0" w:color="auto"/>
              <w:right w:val="single" w:sz="4" w:space="0" w:color="auto"/>
            </w:tcBorders>
          </w:tcPr>
          <w:p w14:paraId="60D24452"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3</w:t>
            </w:r>
          </w:p>
        </w:tc>
        <w:tc>
          <w:tcPr>
            <w:tcW w:w="2272" w:type="dxa"/>
            <w:gridSpan w:val="4"/>
            <w:tcBorders>
              <w:top w:val="single" w:sz="4" w:space="0" w:color="auto"/>
              <w:left w:val="single" w:sz="4" w:space="0" w:color="auto"/>
              <w:bottom w:val="single" w:sz="4" w:space="0" w:color="auto"/>
              <w:right w:val="single" w:sz="4" w:space="0" w:color="auto"/>
            </w:tcBorders>
          </w:tcPr>
          <w:p w14:paraId="7D93E0FE"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3</w:t>
            </w:r>
          </w:p>
        </w:tc>
      </w:tr>
      <w:tr w:rsidR="00CA17D7" w:rsidRPr="00FF7585" w14:paraId="09A3BC2C"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739B6BB0"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Máxima ganancia de la antena receptora en el hemisferio inferior (dBi)</w:t>
            </w:r>
          </w:p>
        </w:tc>
        <w:tc>
          <w:tcPr>
            <w:tcW w:w="1952" w:type="dxa"/>
            <w:tcBorders>
              <w:top w:val="single" w:sz="4" w:space="0" w:color="auto"/>
              <w:left w:val="single" w:sz="4" w:space="0" w:color="auto"/>
              <w:bottom w:val="single" w:sz="4" w:space="0" w:color="auto"/>
              <w:right w:val="single" w:sz="4" w:space="0" w:color="auto"/>
            </w:tcBorders>
          </w:tcPr>
          <w:p w14:paraId="2C7F42F6"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–5 (lineal)</w:t>
            </w:r>
            <w:r w:rsidRPr="00FF7585">
              <w:rPr>
                <w:rFonts w:eastAsia="MS PGothic"/>
                <w:sz w:val="20"/>
                <w:lang w:val="es-ES_tradnl"/>
              </w:rPr>
              <w:br/>
              <w:t>(Nota 3)</w:t>
            </w:r>
          </w:p>
        </w:tc>
        <w:tc>
          <w:tcPr>
            <w:tcW w:w="1592" w:type="dxa"/>
            <w:gridSpan w:val="3"/>
            <w:tcBorders>
              <w:top w:val="single" w:sz="4" w:space="0" w:color="auto"/>
              <w:left w:val="single" w:sz="4" w:space="0" w:color="auto"/>
              <w:bottom w:val="single" w:sz="4" w:space="0" w:color="auto"/>
              <w:right w:val="single" w:sz="4" w:space="0" w:color="auto"/>
            </w:tcBorders>
          </w:tcPr>
          <w:p w14:paraId="2938B34E" w14:textId="77777777" w:rsidR="00CA17D7" w:rsidRPr="00FF7585" w:rsidRDefault="00CA17D7" w:rsidP="00810F61">
            <w:pPr>
              <w:pStyle w:val="Tabletext"/>
              <w:jc w:val="center"/>
              <w:rPr>
                <w:rFonts w:eastAsia="MS PGothic"/>
                <w:bCs/>
                <w:sz w:val="20"/>
                <w:lang w:val="es-ES_tradnl" w:eastAsia="ja-JP"/>
              </w:rPr>
            </w:pPr>
            <w:r w:rsidRPr="00FF7585">
              <w:rPr>
                <w:snapToGrid w:val="0"/>
                <w:sz w:val="20"/>
                <w:lang w:val="es-ES_tradnl"/>
              </w:rPr>
              <w:t>−10 (circular)</w:t>
            </w:r>
          </w:p>
        </w:tc>
        <w:tc>
          <w:tcPr>
            <w:tcW w:w="1726" w:type="dxa"/>
            <w:gridSpan w:val="4"/>
            <w:tcBorders>
              <w:top w:val="single" w:sz="4" w:space="0" w:color="auto"/>
              <w:left w:val="single" w:sz="4" w:space="0" w:color="auto"/>
              <w:bottom w:val="single" w:sz="4" w:space="0" w:color="auto"/>
              <w:right w:val="single" w:sz="4" w:space="0" w:color="auto"/>
            </w:tcBorders>
          </w:tcPr>
          <w:p w14:paraId="7F438C4D" w14:textId="77777777" w:rsidR="00CA17D7" w:rsidRPr="00FF7585" w:rsidRDefault="00CA17D7" w:rsidP="00810F61">
            <w:pPr>
              <w:pStyle w:val="Tabletext"/>
              <w:jc w:val="center"/>
              <w:rPr>
                <w:rFonts w:eastAsia="MS PGothic"/>
                <w:bCs/>
                <w:sz w:val="20"/>
                <w:lang w:val="es-ES_tradnl" w:eastAsia="ja-JP"/>
              </w:rPr>
            </w:pPr>
            <w:r w:rsidRPr="00FF7585">
              <w:rPr>
                <w:rFonts w:eastAsia="MS PGothic"/>
                <w:bCs/>
                <w:sz w:val="20"/>
                <w:lang w:val="es-ES_tradnl" w:eastAsia="ja-JP"/>
              </w:rPr>
              <w:t>−7 (lineal</w:t>
            </w:r>
            <w:r w:rsidRPr="00FF7585">
              <w:rPr>
                <w:rFonts w:eastAsia="MS PGothic"/>
                <w:sz w:val="20"/>
                <w:lang w:val="es-ES_tradnl"/>
              </w:rPr>
              <w:t>)</w:t>
            </w:r>
            <w:r w:rsidRPr="00FF7585">
              <w:rPr>
                <w:rFonts w:eastAsia="MS PGothic"/>
                <w:sz w:val="20"/>
                <w:lang w:val="es-ES_tradnl"/>
              </w:rPr>
              <w:br/>
              <w:t xml:space="preserve">(elev. </w:t>
            </w:r>
            <w:r w:rsidRPr="00FF7585">
              <w:rPr>
                <w:rFonts w:eastAsia="MS PGothic"/>
                <w:sz w:val="20"/>
                <w:lang w:val="es-ES_tradnl"/>
              </w:rPr>
              <w:sym w:font="Symbol" w:char="F0A3"/>
            </w:r>
            <w:r w:rsidRPr="00FF7585">
              <w:rPr>
                <w:rFonts w:eastAsia="MS PGothic"/>
                <w:sz w:val="20"/>
                <w:lang w:val="es-ES_tradnl"/>
              </w:rPr>
              <w:t xml:space="preserve"> +10°)</w:t>
            </w:r>
          </w:p>
        </w:tc>
        <w:tc>
          <w:tcPr>
            <w:tcW w:w="1821" w:type="dxa"/>
            <w:gridSpan w:val="5"/>
            <w:tcBorders>
              <w:top w:val="single" w:sz="4" w:space="0" w:color="auto"/>
              <w:left w:val="single" w:sz="4" w:space="0" w:color="auto"/>
              <w:bottom w:val="single" w:sz="4" w:space="0" w:color="auto"/>
              <w:right w:val="single" w:sz="4" w:space="0" w:color="auto"/>
            </w:tcBorders>
          </w:tcPr>
          <w:p w14:paraId="5D6A656D"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–9</w:t>
            </w:r>
          </w:p>
        </w:tc>
        <w:tc>
          <w:tcPr>
            <w:tcW w:w="2272" w:type="dxa"/>
            <w:gridSpan w:val="4"/>
            <w:tcBorders>
              <w:top w:val="single" w:sz="4" w:space="0" w:color="auto"/>
              <w:left w:val="single" w:sz="4" w:space="0" w:color="auto"/>
              <w:bottom w:val="single" w:sz="4" w:space="0" w:color="auto"/>
              <w:right w:val="single" w:sz="4" w:space="0" w:color="auto"/>
            </w:tcBorders>
          </w:tcPr>
          <w:p w14:paraId="55C1DF63"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10</w:t>
            </w:r>
          </w:p>
        </w:tc>
      </w:tr>
      <w:tr w:rsidR="00CA17D7" w:rsidRPr="00FF7585" w14:paraId="0EA809C9"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6976AA57"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Anchura de banda a 3dB del filtro de RF (MHz)</w:t>
            </w:r>
          </w:p>
        </w:tc>
        <w:tc>
          <w:tcPr>
            <w:tcW w:w="1952" w:type="dxa"/>
            <w:tcBorders>
              <w:top w:val="single" w:sz="4" w:space="0" w:color="auto"/>
              <w:left w:val="single" w:sz="4" w:space="0" w:color="auto"/>
              <w:bottom w:val="single" w:sz="4" w:space="0" w:color="auto"/>
              <w:right w:val="single" w:sz="4" w:space="0" w:color="auto"/>
            </w:tcBorders>
          </w:tcPr>
          <w:p w14:paraId="0871BAF4"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24,0</w:t>
            </w:r>
          </w:p>
        </w:tc>
        <w:tc>
          <w:tcPr>
            <w:tcW w:w="796" w:type="dxa"/>
            <w:tcBorders>
              <w:top w:val="single" w:sz="4" w:space="0" w:color="auto"/>
              <w:left w:val="single" w:sz="4" w:space="0" w:color="auto"/>
              <w:bottom w:val="single" w:sz="4" w:space="0" w:color="auto"/>
              <w:right w:val="single" w:sz="4" w:space="0" w:color="auto"/>
            </w:tcBorders>
          </w:tcPr>
          <w:p w14:paraId="0E1DD2F9" w14:textId="77777777" w:rsidR="00CA17D7" w:rsidRPr="00FF7585" w:rsidRDefault="00CA17D7" w:rsidP="00810F61">
            <w:pPr>
              <w:pStyle w:val="Tabletext"/>
              <w:jc w:val="center"/>
              <w:rPr>
                <w:rFonts w:eastAsia="MS PGothic"/>
                <w:sz w:val="20"/>
                <w:lang w:val="es-ES_tradnl" w:eastAsia="ja-JP"/>
              </w:rPr>
            </w:pPr>
            <w:r w:rsidRPr="00FF7585">
              <w:rPr>
                <w:snapToGrid w:val="0"/>
                <w:sz w:val="20"/>
                <w:lang w:val="es-ES_tradnl"/>
              </w:rPr>
              <w:t>17</w:t>
            </w:r>
          </w:p>
        </w:tc>
        <w:tc>
          <w:tcPr>
            <w:tcW w:w="796" w:type="dxa"/>
            <w:gridSpan w:val="2"/>
            <w:tcBorders>
              <w:top w:val="single" w:sz="4" w:space="0" w:color="auto"/>
              <w:left w:val="single" w:sz="4" w:space="0" w:color="auto"/>
              <w:bottom w:val="single" w:sz="4" w:space="0" w:color="auto"/>
              <w:right w:val="single" w:sz="4" w:space="0" w:color="auto"/>
            </w:tcBorders>
          </w:tcPr>
          <w:p w14:paraId="29335401" w14:textId="77777777" w:rsidR="00CA17D7" w:rsidRPr="00FF7585" w:rsidRDefault="00CA17D7" w:rsidP="00810F61">
            <w:pPr>
              <w:pStyle w:val="Tabletext"/>
              <w:jc w:val="center"/>
              <w:rPr>
                <w:rFonts w:eastAsia="MS PGothic"/>
                <w:sz w:val="20"/>
                <w:lang w:val="es-ES_tradnl" w:eastAsia="ja-JP"/>
              </w:rPr>
            </w:pPr>
            <w:r w:rsidRPr="00FF7585">
              <w:rPr>
                <w:rFonts w:eastAsia="MS PGothic"/>
                <w:sz w:val="20"/>
                <w:lang w:val="es-ES_tradnl" w:eastAsia="ja-JP"/>
              </w:rPr>
              <w:t>30</w:t>
            </w:r>
          </w:p>
        </w:tc>
        <w:tc>
          <w:tcPr>
            <w:tcW w:w="1166" w:type="dxa"/>
            <w:gridSpan w:val="2"/>
            <w:tcBorders>
              <w:top w:val="single" w:sz="4" w:space="0" w:color="auto"/>
              <w:left w:val="single" w:sz="4" w:space="0" w:color="auto"/>
              <w:bottom w:val="single" w:sz="4" w:space="0" w:color="auto"/>
              <w:right w:val="single" w:sz="4" w:space="0" w:color="auto"/>
            </w:tcBorders>
          </w:tcPr>
          <w:p w14:paraId="312A7106"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eastAsia="ja-JP"/>
              </w:rPr>
              <w:t>24,0 ó 24,9</w:t>
            </w:r>
          </w:p>
        </w:tc>
        <w:tc>
          <w:tcPr>
            <w:tcW w:w="560" w:type="dxa"/>
            <w:gridSpan w:val="2"/>
            <w:tcBorders>
              <w:top w:val="single" w:sz="4" w:space="0" w:color="auto"/>
              <w:left w:val="single" w:sz="4" w:space="0" w:color="auto"/>
              <w:bottom w:val="single" w:sz="4" w:space="0" w:color="auto"/>
              <w:right w:val="single" w:sz="4" w:space="0" w:color="auto"/>
            </w:tcBorders>
          </w:tcPr>
          <w:p w14:paraId="443EB1AC"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eastAsia="ja-JP"/>
              </w:rPr>
              <w:t>30</w:t>
            </w:r>
          </w:p>
        </w:tc>
        <w:tc>
          <w:tcPr>
            <w:tcW w:w="1191" w:type="dxa"/>
            <w:gridSpan w:val="3"/>
            <w:tcBorders>
              <w:top w:val="single" w:sz="4" w:space="0" w:color="auto"/>
              <w:left w:val="single" w:sz="4" w:space="0" w:color="auto"/>
              <w:bottom w:val="single" w:sz="4" w:space="0" w:color="auto"/>
              <w:right w:val="single" w:sz="4" w:space="0" w:color="auto"/>
            </w:tcBorders>
          </w:tcPr>
          <w:p w14:paraId="3432D9B1"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24</w:t>
            </w:r>
          </w:p>
        </w:tc>
        <w:tc>
          <w:tcPr>
            <w:tcW w:w="630" w:type="dxa"/>
            <w:gridSpan w:val="2"/>
            <w:tcBorders>
              <w:top w:val="single" w:sz="4" w:space="0" w:color="auto"/>
              <w:left w:val="single" w:sz="4" w:space="0" w:color="auto"/>
              <w:bottom w:val="single" w:sz="4" w:space="0" w:color="auto"/>
              <w:right w:val="single" w:sz="4" w:space="0" w:color="auto"/>
            </w:tcBorders>
          </w:tcPr>
          <w:p w14:paraId="1DD63CB6"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30</w:t>
            </w:r>
          </w:p>
        </w:tc>
        <w:tc>
          <w:tcPr>
            <w:tcW w:w="1316" w:type="dxa"/>
            <w:gridSpan w:val="2"/>
            <w:tcBorders>
              <w:top w:val="single" w:sz="4" w:space="0" w:color="auto"/>
              <w:left w:val="single" w:sz="4" w:space="0" w:color="auto"/>
              <w:bottom w:val="single" w:sz="4" w:space="0" w:color="auto"/>
              <w:right w:val="single" w:sz="4" w:space="0" w:color="auto"/>
            </w:tcBorders>
          </w:tcPr>
          <w:p w14:paraId="3EE3CAB0"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24</w:t>
            </w:r>
          </w:p>
        </w:tc>
        <w:tc>
          <w:tcPr>
            <w:tcW w:w="956" w:type="dxa"/>
            <w:gridSpan w:val="2"/>
            <w:tcBorders>
              <w:top w:val="single" w:sz="4" w:space="0" w:color="auto"/>
              <w:left w:val="single" w:sz="4" w:space="0" w:color="auto"/>
              <w:bottom w:val="single" w:sz="4" w:space="0" w:color="auto"/>
              <w:right w:val="single" w:sz="4" w:space="0" w:color="auto"/>
            </w:tcBorders>
          </w:tcPr>
          <w:p w14:paraId="43E3A119"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30</w:t>
            </w:r>
          </w:p>
        </w:tc>
      </w:tr>
      <w:tr w:rsidR="00CA17D7" w:rsidRPr="00FF7585" w14:paraId="4A7C6653"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5F8C255B"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Anchura de banda a 3dB del filtro de precorrelación (MHz)</w:t>
            </w:r>
          </w:p>
        </w:tc>
        <w:tc>
          <w:tcPr>
            <w:tcW w:w="1952" w:type="dxa"/>
            <w:tcBorders>
              <w:top w:val="single" w:sz="4" w:space="0" w:color="auto"/>
              <w:left w:val="single" w:sz="4" w:space="0" w:color="auto"/>
              <w:bottom w:val="single" w:sz="4" w:space="0" w:color="auto"/>
              <w:right w:val="single" w:sz="4" w:space="0" w:color="auto"/>
            </w:tcBorders>
          </w:tcPr>
          <w:p w14:paraId="1E81FCE3"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20,46</w:t>
            </w:r>
          </w:p>
        </w:tc>
        <w:tc>
          <w:tcPr>
            <w:tcW w:w="796" w:type="dxa"/>
            <w:tcBorders>
              <w:top w:val="single" w:sz="4" w:space="0" w:color="auto"/>
              <w:left w:val="single" w:sz="4" w:space="0" w:color="auto"/>
              <w:bottom w:val="single" w:sz="4" w:space="0" w:color="auto"/>
              <w:right w:val="single" w:sz="4" w:space="0" w:color="auto"/>
            </w:tcBorders>
          </w:tcPr>
          <w:p w14:paraId="7BCF485C" w14:textId="77777777" w:rsidR="00CA17D7" w:rsidRPr="00FF7585" w:rsidRDefault="00CA17D7" w:rsidP="00810F61">
            <w:pPr>
              <w:pStyle w:val="Tabletext"/>
              <w:jc w:val="center"/>
              <w:rPr>
                <w:sz w:val="20"/>
                <w:lang w:val="es-ES_tradnl" w:eastAsia="ja-JP"/>
              </w:rPr>
            </w:pPr>
            <w:r w:rsidRPr="00FF7585">
              <w:rPr>
                <w:snapToGrid w:val="0"/>
                <w:sz w:val="20"/>
                <w:lang w:val="es-ES_tradnl"/>
              </w:rPr>
              <w:t>17</w:t>
            </w:r>
          </w:p>
        </w:tc>
        <w:tc>
          <w:tcPr>
            <w:tcW w:w="796" w:type="dxa"/>
            <w:gridSpan w:val="2"/>
            <w:tcBorders>
              <w:top w:val="single" w:sz="4" w:space="0" w:color="auto"/>
              <w:left w:val="single" w:sz="4" w:space="0" w:color="auto"/>
              <w:bottom w:val="single" w:sz="4" w:space="0" w:color="auto"/>
              <w:right w:val="single" w:sz="4" w:space="0" w:color="auto"/>
            </w:tcBorders>
          </w:tcPr>
          <w:p w14:paraId="5A17DE97" w14:textId="77777777" w:rsidR="00CA17D7" w:rsidRPr="00FF7585" w:rsidRDefault="00CA17D7" w:rsidP="00810F61">
            <w:pPr>
              <w:pStyle w:val="Tabletext"/>
              <w:jc w:val="center"/>
              <w:rPr>
                <w:sz w:val="20"/>
                <w:lang w:val="es-ES_tradnl" w:eastAsia="ja-JP"/>
              </w:rPr>
            </w:pPr>
            <w:r w:rsidRPr="00FF7585">
              <w:rPr>
                <w:sz w:val="20"/>
                <w:lang w:val="es-ES_tradnl" w:eastAsia="ja-JP"/>
              </w:rPr>
              <w:t>25</w:t>
            </w:r>
          </w:p>
        </w:tc>
        <w:tc>
          <w:tcPr>
            <w:tcW w:w="1166" w:type="dxa"/>
            <w:gridSpan w:val="2"/>
            <w:tcBorders>
              <w:top w:val="single" w:sz="4" w:space="0" w:color="auto"/>
              <w:left w:val="single" w:sz="4" w:space="0" w:color="auto"/>
              <w:bottom w:val="single" w:sz="4" w:space="0" w:color="auto"/>
              <w:right w:val="single" w:sz="4" w:space="0" w:color="auto"/>
            </w:tcBorders>
          </w:tcPr>
          <w:p w14:paraId="60C339B8" w14:textId="77777777" w:rsidR="00CA17D7" w:rsidRPr="00FF7585" w:rsidRDefault="00CA17D7" w:rsidP="00810F61">
            <w:pPr>
              <w:pStyle w:val="Tabletext"/>
              <w:jc w:val="center"/>
              <w:rPr>
                <w:rFonts w:eastAsia="MS PGothic"/>
                <w:sz w:val="20"/>
                <w:lang w:val="es-ES_tradnl"/>
              </w:rPr>
            </w:pPr>
            <w:r w:rsidRPr="00FF7585">
              <w:rPr>
                <w:sz w:val="20"/>
                <w:lang w:val="es-ES_tradnl" w:eastAsia="ja-JP"/>
              </w:rPr>
              <w:t>20,46</w:t>
            </w:r>
          </w:p>
        </w:tc>
        <w:tc>
          <w:tcPr>
            <w:tcW w:w="560" w:type="dxa"/>
            <w:gridSpan w:val="2"/>
            <w:tcBorders>
              <w:top w:val="single" w:sz="4" w:space="0" w:color="auto"/>
              <w:left w:val="single" w:sz="4" w:space="0" w:color="auto"/>
              <w:bottom w:val="single" w:sz="4" w:space="0" w:color="auto"/>
              <w:right w:val="single" w:sz="4" w:space="0" w:color="auto"/>
            </w:tcBorders>
          </w:tcPr>
          <w:p w14:paraId="3C8A3324" w14:textId="77777777" w:rsidR="00CA17D7" w:rsidRPr="00FF7585" w:rsidRDefault="00CA17D7" w:rsidP="00810F61">
            <w:pPr>
              <w:pStyle w:val="Tabletext"/>
              <w:jc w:val="center"/>
              <w:rPr>
                <w:rFonts w:eastAsia="MS PGothic"/>
                <w:sz w:val="20"/>
                <w:lang w:val="es-ES_tradnl"/>
              </w:rPr>
            </w:pPr>
            <w:r w:rsidRPr="00FF7585">
              <w:rPr>
                <w:sz w:val="20"/>
                <w:lang w:val="es-ES_tradnl" w:eastAsia="ja-JP"/>
              </w:rPr>
              <w:t>25</w:t>
            </w:r>
          </w:p>
        </w:tc>
        <w:tc>
          <w:tcPr>
            <w:tcW w:w="702" w:type="dxa"/>
            <w:gridSpan w:val="2"/>
            <w:tcBorders>
              <w:top w:val="single" w:sz="4" w:space="0" w:color="auto"/>
              <w:left w:val="single" w:sz="4" w:space="0" w:color="auto"/>
              <w:bottom w:val="single" w:sz="4" w:space="0" w:color="auto"/>
              <w:right w:val="single" w:sz="4" w:space="0" w:color="auto"/>
            </w:tcBorders>
          </w:tcPr>
          <w:p w14:paraId="1CD8CA1E"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20,46</w:t>
            </w:r>
          </w:p>
        </w:tc>
        <w:tc>
          <w:tcPr>
            <w:tcW w:w="489" w:type="dxa"/>
            <w:tcBorders>
              <w:top w:val="single" w:sz="4" w:space="0" w:color="auto"/>
              <w:left w:val="single" w:sz="4" w:space="0" w:color="auto"/>
              <w:bottom w:val="single" w:sz="4" w:space="0" w:color="auto"/>
              <w:right w:val="single" w:sz="4" w:space="0" w:color="auto"/>
            </w:tcBorders>
          </w:tcPr>
          <w:p w14:paraId="43CE92CD"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17</w:t>
            </w:r>
          </w:p>
        </w:tc>
        <w:tc>
          <w:tcPr>
            <w:tcW w:w="630" w:type="dxa"/>
            <w:gridSpan w:val="2"/>
            <w:tcBorders>
              <w:top w:val="single" w:sz="4" w:space="0" w:color="auto"/>
              <w:left w:val="single" w:sz="4" w:space="0" w:color="auto"/>
              <w:bottom w:val="single" w:sz="4" w:space="0" w:color="auto"/>
              <w:right w:val="single" w:sz="4" w:space="0" w:color="auto"/>
            </w:tcBorders>
          </w:tcPr>
          <w:p w14:paraId="66E29B43"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25</w:t>
            </w:r>
          </w:p>
        </w:tc>
        <w:tc>
          <w:tcPr>
            <w:tcW w:w="1316" w:type="dxa"/>
            <w:gridSpan w:val="2"/>
            <w:tcBorders>
              <w:top w:val="single" w:sz="4" w:space="0" w:color="auto"/>
              <w:left w:val="single" w:sz="4" w:space="0" w:color="auto"/>
              <w:bottom w:val="single" w:sz="4" w:space="0" w:color="auto"/>
              <w:right w:val="single" w:sz="4" w:space="0" w:color="auto"/>
            </w:tcBorders>
          </w:tcPr>
          <w:p w14:paraId="1E6B3C8C"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20,46</w:t>
            </w:r>
          </w:p>
        </w:tc>
        <w:tc>
          <w:tcPr>
            <w:tcW w:w="956" w:type="dxa"/>
            <w:gridSpan w:val="2"/>
            <w:tcBorders>
              <w:top w:val="single" w:sz="4" w:space="0" w:color="auto"/>
              <w:left w:val="single" w:sz="4" w:space="0" w:color="auto"/>
              <w:bottom w:val="single" w:sz="4" w:space="0" w:color="auto"/>
              <w:right w:val="single" w:sz="4" w:space="0" w:color="auto"/>
            </w:tcBorders>
          </w:tcPr>
          <w:p w14:paraId="12FE8D38"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25</w:t>
            </w:r>
          </w:p>
        </w:tc>
      </w:tr>
      <w:tr w:rsidR="00CA17D7" w:rsidRPr="00FF7585" w14:paraId="04A67991"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216E54D9"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Temperatura de ruido del sistema receptor (K)</w:t>
            </w:r>
          </w:p>
        </w:tc>
        <w:tc>
          <w:tcPr>
            <w:tcW w:w="1952" w:type="dxa"/>
            <w:tcBorders>
              <w:top w:val="single" w:sz="4" w:space="0" w:color="auto"/>
              <w:left w:val="single" w:sz="4" w:space="0" w:color="auto"/>
              <w:bottom w:val="single" w:sz="4" w:space="0" w:color="auto"/>
              <w:right w:val="single" w:sz="4" w:space="0" w:color="auto"/>
            </w:tcBorders>
          </w:tcPr>
          <w:p w14:paraId="20B9C261"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727</w:t>
            </w:r>
          </w:p>
        </w:tc>
        <w:tc>
          <w:tcPr>
            <w:tcW w:w="1592" w:type="dxa"/>
            <w:gridSpan w:val="3"/>
            <w:tcBorders>
              <w:top w:val="single" w:sz="4" w:space="0" w:color="auto"/>
              <w:left w:val="single" w:sz="4" w:space="0" w:color="auto"/>
              <w:bottom w:val="single" w:sz="4" w:space="0" w:color="auto"/>
              <w:right w:val="single" w:sz="4" w:space="0" w:color="auto"/>
            </w:tcBorders>
          </w:tcPr>
          <w:p w14:paraId="1162C9E6" w14:textId="77777777" w:rsidR="00CA17D7" w:rsidRPr="00FF7585" w:rsidRDefault="00CA17D7" w:rsidP="00810F61">
            <w:pPr>
              <w:pStyle w:val="Tabletext"/>
              <w:jc w:val="center"/>
              <w:rPr>
                <w:sz w:val="20"/>
                <w:lang w:val="es-ES_tradnl" w:eastAsia="ja-JP"/>
              </w:rPr>
            </w:pPr>
            <w:r w:rsidRPr="00FF7585">
              <w:rPr>
                <w:sz w:val="20"/>
                <w:lang w:val="es-ES_tradnl"/>
              </w:rPr>
              <w:t>400</w:t>
            </w:r>
          </w:p>
        </w:tc>
        <w:tc>
          <w:tcPr>
            <w:tcW w:w="1726" w:type="dxa"/>
            <w:gridSpan w:val="4"/>
            <w:tcBorders>
              <w:top w:val="single" w:sz="4" w:space="0" w:color="auto"/>
              <w:left w:val="single" w:sz="4" w:space="0" w:color="auto"/>
              <w:bottom w:val="single" w:sz="4" w:space="0" w:color="auto"/>
              <w:right w:val="single" w:sz="4" w:space="0" w:color="auto"/>
            </w:tcBorders>
          </w:tcPr>
          <w:p w14:paraId="15E83B0C" w14:textId="77777777" w:rsidR="00CA17D7" w:rsidRPr="00FF7585" w:rsidRDefault="00CA17D7" w:rsidP="00810F61">
            <w:pPr>
              <w:pStyle w:val="Tabletext"/>
              <w:jc w:val="center"/>
              <w:rPr>
                <w:rFonts w:eastAsia="MS PGothic"/>
                <w:sz w:val="20"/>
                <w:lang w:val="es-ES_tradnl"/>
              </w:rPr>
            </w:pPr>
            <w:r w:rsidRPr="00FF7585">
              <w:rPr>
                <w:sz w:val="20"/>
                <w:lang w:val="es-ES_tradnl" w:eastAsia="ja-JP"/>
              </w:rPr>
              <w:t>513</w:t>
            </w:r>
          </w:p>
        </w:tc>
        <w:tc>
          <w:tcPr>
            <w:tcW w:w="1821" w:type="dxa"/>
            <w:gridSpan w:val="5"/>
            <w:tcBorders>
              <w:top w:val="single" w:sz="4" w:space="0" w:color="auto"/>
              <w:left w:val="single" w:sz="4" w:space="0" w:color="auto"/>
              <w:bottom w:val="single" w:sz="4" w:space="0" w:color="auto"/>
              <w:right w:val="single" w:sz="4" w:space="0" w:color="auto"/>
            </w:tcBorders>
          </w:tcPr>
          <w:p w14:paraId="092E0192"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330</w:t>
            </w:r>
          </w:p>
        </w:tc>
        <w:tc>
          <w:tcPr>
            <w:tcW w:w="2272" w:type="dxa"/>
            <w:gridSpan w:val="4"/>
            <w:tcBorders>
              <w:top w:val="single" w:sz="4" w:space="0" w:color="auto"/>
              <w:left w:val="single" w:sz="4" w:space="0" w:color="auto"/>
              <w:bottom w:val="single" w:sz="4" w:space="0" w:color="auto"/>
              <w:right w:val="single" w:sz="4" w:space="0" w:color="auto"/>
            </w:tcBorders>
          </w:tcPr>
          <w:p w14:paraId="44FEF915"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eastAsia="zh-CN"/>
              </w:rPr>
              <w:t>330</w:t>
            </w:r>
          </w:p>
        </w:tc>
      </w:tr>
      <w:tr w:rsidR="00CA17D7" w:rsidRPr="00FF7585" w14:paraId="68BEB7A8" w14:textId="77777777" w:rsidTr="00810F61">
        <w:trPr>
          <w:cantSplit/>
          <w:jc w:val="center"/>
        </w:trPr>
        <w:tc>
          <w:tcPr>
            <w:tcW w:w="14459" w:type="dxa"/>
            <w:gridSpan w:val="18"/>
            <w:tcBorders>
              <w:top w:val="single" w:sz="4" w:space="0" w:color="auto"/>
              <w:left w:val="single" w:sz="4" w:space="0" w:color="auto"/>
              <w:bottom w:val="single" w:sz="4" w:space="0" w:color="auto"/>
              <w:right w:val="single" w:sz="4" w:space="0" w:color="auto"/>
            </w:tcBorders>
            <w:vAlign w:val="center"/>
          </w:tcPr>
          <w:p w14:paraId="0192687A" w14:textId="77777777" w:rsidR="00CA17D7" w:rsidRPr="00FF7585" w:rsidRDefault="00CA17D7" w:rsidP="00810F61">
            <w:pPr>
              <w:pStyle w:val="Tabletext"/>
              <w:jc w:val="center"/>
              <w:rPr>
                <w:b/>
                <w:bCs/>
                <w:snapToGrid w:val="0"/>
                <w:sz w:val="20"/>
                <w:lang w:val="es-ES_tradnl" w:eastAsia="zh-CN"/>
              </w:rPr>
            </w:pPr>
            <w:r w:rsidRPr="00FF7585">
              <w:rPr>
                <w:b/>
                <w:bCs/>
                <w:snapToGrid w:val="0"/>
                <w:sz w:val="20"/>
                <w:lang w:val="es-ES_tradnl" w:eastAsia="zh-CN"/>
              </w:rPr>
              <w:t>Umbrales para interferencia continua</w:t>
            </w:r>
          </w:p>
        </w:tc>
      </w:tr>
      <w:tr w:rsidR="00CA17D7" w:rsidRPr="00FF7585" w14:paraId="2734C049"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77988FBB"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Nivel de potencia umbral en modo seguimiento de la interferencia de banda estrecha combinada a la salida de la antena pasiva (dBW) (Nota 1)</w:t>
            </w:r>
          </w:p>
        </w:tc>
        <w:tc>
          <w:tcPr>
            <w:tcW w:w="1952" w:type="dxa"/>
            <w:tcBorders>
              <w:top w:val="single" w:sz="4" w:space="0" w:color="auto"/>
              <w:left w:val="single" w:sz="4" w:space="0" w:color="auto"/>
              <w:bottom w:val="single" w:sz="4" w:space="0" w:color="auto"/>
              <w:right w:val="single" w:sz="4" w:space="0" w:color="auto"/>
            </w:tcBorders>
          </w:tcPr>
          <w:p w14:paraId="32CEED39"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 xml:space="preserve">–154,8 </w:t>
            </w:r>
            <w:r w:rsidRPr="00FF7585">
              <w:rPr>
                <w:rFonts w:eastAsia="MS PGothic"/>
                <w:sz w:val="20"/>
                <w:lang w:val="es-ES_tradnl"/>
              </w:rPr>
              <w:br/>
              <w:t>(Notas 4, 5)</w:t>
            </w:r>
          </w:p>
        </w:tc>
        <w:tc>
          <w:tcPr>
            <w:tcW w:w="1592" w:type="dxa"/>
            <w:gridSpan w:val="3"/>
            <w:tcBorders>
              <w:top w:val="single" w:sz="4" w:space="0" w:color="auto"/>
              <w:left w:val="single" w:sz="4" w:space="0" w:color="auto"/>
              <w:bottom w:val="single" w:sz="4" w:space="0" w:color="auto"/>
              <w:right w:val="single" w:sz="4" w:space="0" w:color="auto"/>
            </w:tcBorders>
          </w:tcPr>
          <w:p w14:paraId="476F79F3"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 xml:space="preserve">−143 </w:t>
            </w:r>
            <w:r w:rsidRPr="00FF7585">
              <w:rPr>
                <w:snapToGrid w:val="0"/>
                <w:sz w:val="20"/>
                <w:lang w:val="es-ES_tradnl"/>
              </w:rPr>
              <w:br/>
              <w:t>(Not</w:t>
            </w:r>
            <w:r w:rsidRPr="00FF7585">
              <w:rPr>
                <w:rFonts w:eastAsia="MS PGothic"/>
                <w:sz w:val="20"/>
                <w:lang w:val="es-ES_tradnl"/>
              </w:rPr>
              <w:t>a</w:t>
            </w:r>
            <w:r w:rsidRPr="00FF7585">
              <w:rPr>
                <w:snapToGrid w:val="0"/>
                <w:sz w:val="20"/>
                <w:lang w:val="es-ES_tradnl"/>
              </w:rPr>
              <w:t xml:space="preserve"> 13)</w:t>
            </w:r>
          </w:p>
        </w:tc>
        <w:tc>
          <w:tcPr>
            <w:tcW w:w="1726" w:type="dxa"/>
            <w:gridSpan w:val="4"/>
            <w:tcBorders>
              <w:top w:val="single" w:sz="4" w:space="0" w:color="auto"/>
              <w:left w:val="single" w:sz="4" w:space="0" w:color="auto"/>
              <w:bottom w:val="single" w:sz="4" w:space="0" w:color="auto"/>
              <w:right w:val="single" w:sz="4" w:space="0" w:color="auto"/>
            </w:tcBorders>
          </w:tcPr>
          <w:p w14:paraId="1AA63BBE" w14:textId="77777777" w:rsidR="00CA17D7" w:rsidRPr="00FF7585" w:rsidRDefault="00CA17D7" w:rsidP="00810F61">
            <w:pPr>
              <w:pStyle w:val="Tabletext"/>
              <w:jc w:val="center"/>
              <w:rPr>
                <w:rFonts w:eastAsia="MS PGothic"/>
                <w:bCs/>
                <w:sz w:val="20"/>
                <w:lang w:val="es-ES_tradnl" w:eastAsia="ja-JP"/>
              </w:rPr>
            </w:pPr>
            <w:r w:rsidRPr="00FF7585">
              <w:rPr>
                <w:rFonts w:eastAsia="MS PGothic"/>
                <w:sz w:val="20"/>
                <w:lang w:val="es-ES_tradnl"/>
              </w:rPr>
              <w:t>–157,4</w:t>
            </w:r>
          </w:p>
        </w:tc>
        <w:tc>
          <w:tcPr>
            <w:tcW w:w="1821" w:type="dxa"/>
            <w:gridSpan w:val="5"/>
            <w:tcBorders>
              <w:top w:val="single" w:sz="4" w:space="0" w:color="auto"/>
              <w:left w:val="single" w:sz="4" w:space="0" w:color="auto"/>
              <w:bottom w:val="single" w:sz="4" w:space="0" w:color="auto"/>
              <w:right w:val="single" w:sz="4" w:space="0" w:color="auto"/>
            </w:tcBorders>
          </w:tcPr>
          <w:p w14:paraId="764EA10A"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–193</w:t>
            </w:r>
          </w:p>
        </w:tc>
        <w:tc>
          <w:tcPr>
            <w:tcW w:w="2272" w:type="dxa"/>
            <w:gridSpan w:val="4"/>
            <w:tcBorders>
              <w:top w:val="single" w:sz="4" w:space="0" w:color="auto"/>
              <w:left w:val="single" w:sz="4" w:space="0" w:color="auto"/>
              <w:bottom w:val="single" w:sz="4" w:space="0" w:color="auto"/>
              <w:right w:val="single" w:sz="4" w:space="0" w:color="auto"/>
            </w:tcBorders>
          </w:tcPr>
          <w:p w14:paraId="4185059A"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150</w:t>
            </w:r>
          </w:p>
        </w:tc>
      </w:tr>
      <w:tr w:rsidR="00CA17D7" w:rsidRPr="00FF7585" w14:paraId="4AE31D19" w14:textId="77777777" w:rsidTr="00810F61">
        <w:trPr>
          <w:cantSplit/>
          <w:jc w:val="center"/>
        </w:trPr>
        <w:tc>
          <w:tcPr>
            <w:tcW w:w="5096" w:type="dxa"/>
            <w:tcBorders>
              <w:top w:val="single" w:sz="4" w:space="0" w:color="auto"/>
              <w:left w:val="single" w:sz="4" w:space="0" w:color="auto"/>
              <w:bottom w:val="single" w:sz="4" w:space="0" w:color="auto"/>
              <w:right w:val="single" w:sz="4" w:space="0" w:color="auto"/>
            </w:tcBorders>
            <w:vAlign w:val="center"/>
          </w:tcPr>
          <w:p w14:paraId="2DC1741B"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Nivel de potencia umbral en modo adquisición de la interferencia de banda estrecha combinada a la salida de la antena pasiva (dBW) (Nota 1)</w:t>
            </w:r>
          </w:p>
        </w:tc>
        <w:tc>
          <w:tcPr>
            <w:tcW w:w="1952" w:type="dxa"/>
            <w:tcBorders>
              <w:top w:val="single" w:sz="4" w:space="0" w:color="auto"/>
              <w:left w:val="single" w:sz="4" w:space="0" w:color="auto"/>
              <w:bottom w:val="single" w:sz="4" w:space="0" w:color="auto"/>
              <w:right w:val="single" w:sz="4" w:space="0" w:color="auto"/>
            </w:tcBorders>
          </w:tcPr>
          <w:p w14:paraId="71900380"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 xml:space="preserve">–158,7 </w:t>
            </w:r>
            <w:r w:rsidRPr="00FF7585">
              <w:rPr>
                <w:rFonts w:eastAsia="MS PGothic"/>
                <w:sz w:val="20"/>
                <w:lang w:val="es-ES_tradnl"/>
              </w:rPr>
              <w:br/>
              <w:t>(Notas 4, 6)</w:t>
            </w:r>
          </w:p>
        </w:tc>
        <w:tc>
          <w:tcPr>
            <w:tcW w:w="1592" w:type="dxa"/>
            <w:gridSpan w:val="3"/>
            <w:tcBorders>
              <w:top w:val="single" w:sz="4" w:space="0" w:color="auto"/>
              <w:left w:val="single" w:sz="4" w:space="0" w:color="auto"/>
              <w:bottom w:val="single" w:sz="4" w:space="0" w:color="auto"/>
              <w:right w:val="single" w:sz="4" w:space="0" w:color="auto"/>
            </w:tcBorders>
          </w:tcPr>
          <w:p w14:paraId="3CE34195"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 xml:space="preserve">−149 </w:t>
            </w:r>
            <w:r w:rsidRPr="00FF7585">
              <w:rPr>
                <w:snapToGrid w:val="0"/>
                <w:sz w:val="20"/>
                <w:lang w:val="es-ES_tradnl"/>
              </w:rPr>
              <w:br/>
              <w:t>(Not</w:t>
            </w:r>
            <w:r w:rsidRPr="00FF7585">
              <w:rPr>
                <w:rFonts w:eastAsia="MS PGothic"/>
                <w:sz w:val="20"/>
                <w:lang w:val="es-ES_tradnl"/>
              </w:rPr>
              <w:t>a</w:t>
            </w:r>
            <w:r w:rsidRPr="00FF7585">
              <w:rPr>
                <w:snapToGrid w:val="0"/>
                <w:sz w:val="20"/>
                <w:lang w:val="es-ES_tradnl"/>
              </w:rPr>
              <w:t> 13)</w:t>
            </w:r>
          </w:p>
        </w:tc>
        <w:tc>
          <w:tcPr>
            <w:tcW w:w="1726" w:type="dxa"/>
            <w:gridSpan w:val="4"/>
            <w:tcBorders>
              <w:top w:val="single" w:sz="4" w:space="0" w:color="auto"/>
              <w:left w:val="single" w:sz="4" w:space="0" w:color="auto"/>
              <w:bottom w:val="single" w:sz="4" w:space="0" w:color="auto"/>
              <w:right w:val="single" w:sz="4" w:space="0" w:color="auto"/>
            </w:tcBorders>
          </w:tcPr>
          <w:p w14:paraId="7557C32C" w14:textId="77777777" w:rsidR="00CA17D7" w:rsidRPr="00FF7585" w:rsidRDefault="00CA17D7" w:rsidP="00810F61">
            <w:pPr>
              <w:pStyle w:val="Tabletext"/>
              <w:jc w:val="center"/>
              <w:rPr>
                <w:rFonts w:eastAsia="MS PGothic"/>
                <w:bCs/>
                <w:sz w:val="20"/>
                <w:lang w:val="es-ES_tradnl" w:eastAsia="ja-JP"/>
              </w:rPr>
            </w:pPr>
            <w:r w:rsidRPr="00FF7585">
              <w:rPr>
                <w:rFonts w:eastAsia="MS PGothic"/>
                <w:sz w:val="20"/>
                <w:lang w:val="es-ES_tradnl"/>
              </w:rPr>
              <w:t>–157,4</w:t>
            </w:r>
          </w:p>
        </w:tc>
        <w:tc>
          <w:tcPr>
            <w:tcW w:w="1821" w:type="dxa"/>
            <w:gridSpan w:val="5"/>
            <w:tcBorders>
              <w:top w:val="single" w:sz="4" w:space="0" w:color="auto"/>
              <w:left w:val="single" w:sz="4" w:space="0" w:color="auto"/>
              <w:bottom w:val="single" w:sz="4" w:space="0" w:color="auto"/>
              <w:right w:val="single" w:sz="4" w:space="0" w:color="auto"/>
            </w:tcBorders>
          </w:tcPr>
          <w:p w14:paraId="42E76B37"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–199</w:t>
            </w:r>
          </w:p>
        </w:tc>
        <w:tc>
          <w:tcPr>
            <w:tcW w:w="2272" w:type="dxa"/>
            <w:gridSpan w:val="4"/>
            <w:tcBorders>
              <w:top w:val="single" w:sz="4" w:space="0" w:color="auto"/>
              <w:left w:val="single" w:sz="4" w:space="0" w:color="auto"/>
              <w:bottom w:val="single" w:sz="4" w:space="0" w:color="auto"/>
              <w:right w:val="single" w:sz="4" w:space="0" w:color="auto"/>
            </w:tcBorders>
          </w:tcPr>
          <w:p w14:paraId="4308FD1D"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156</w:t>
            </w:r>
          </w:p>
        </w:tc>
      </w:tr>
    </w:tbl>
    <w:p w14:paraId="05E02094" w14:textId="2A9B56B2" w:rsidR="00CA17D7" w:rsidRPr="00FF7585" w:rsidRDefault="00CA17D7" w:rsidP="00CA17D7">
      <w:pPr>
        <w:pStyle w:val="TableNo"/>
        <w:rPr>
          <w:lang w:val="es-ES_tradnl" w:eastAsia="ru-RU"/>
        </w:rPr>
      </w:pPr>
      <w:r w:rsidRPr="00FF7585">
        <w:rPr>
          <w:lang w:val="es-ES_tradnl" w:eastAsia="ru-RU"/>
        </w:rPr>
        <w:t>CUADRO 2-1 (</w:t>
      </w:r>
      <w:r w:rsidR="0041059B" w:rsidRPr="0041059B">
        <w:rPr>
          <w:i/>
          <w:iCs/>
          <w:lang w:val="es-ES_tradnl" w:eastAsia="ru-RU"/>
        </w:rPr>
        <w:t>cont.</w:t>
      </w:r>
      <w:r w:rsidRPr="00FF7585">
        <w:rPr>
          <w:lang w:val="es-ES_tradnl" w:eastAsia="ru-RU"/>
        </w:rPr>
        <w:t>)</w:t>
      </w:r>
    </w:p>
    <w:tbl>
      <w:tblPr>
        <w:tblW w:w="14469" w:type="dxa"/>
        <w:jc w:val="center"/>
        <w:tblLayout w:type="fixed"/>
        <w:tblLook w:val="0000" w:firstRow="0" w:lastRow="0" w:firstColumn="0" w:lastColumn="0" w:noHBand="0" w:noVBand="0"/>
      </w:tblPr>
      <w:tblGrid>
        <w:gridCol w:w="5099"/>
        <w:gridCol w:w="1985"/>
        <w:gridCol w:w="1564"/>
        <w:gridCol w:w="1727"/>
        <w:gridCol w:w="1835"/>
        <w:gridCol w:w="2259"/>
      </w:tblGrid>
      <w:tr w:rsidR="00CA17D7" w:rsidRPr="00C627DD" w14:paraId="6F37AF44"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024E6EBD" w14:textId="77777777" w:rsidR="00CA17D7" w:rsidRPr="00C627DD" w:rsidRDefault="00CA17D7" w:rsidP="00C627DD">
            <w:pPr>
              <w:pStyle w:val="Tablehead"/>
              <w:spacing w:before="40" w:after="40"/>
              <w:rPr>
                <w:rFonts w:eastAsia="MS PGothic"/>
                <w:sz w:val="20"/>
                <w:lang w:val="es-ES_tradnl"/>
              </w:rPr>
            </w:pPr>
          </w:p>
        </w:tc>
        <w:tc>
          <w:tcPr>
            <w:tcW w:w="1985" w:type="dxa"/>
            <w:tcBorders>
              <w:top w:val="single" w:sz="4" w:space="0" w:color="auto"/>
              <w:left w:val="single" w:sz="4" w:space="0" w:color="auto"/>
              <w:bottom w:val="single" w:sz="4" w:space="0" w:color="auto"/>
              <w:right w:val="single" w:sz="4" w:space="0" w:color="auto"/>
            </w:tcBorders>
            <w:vAlign w:val="center"/>
          </w:tcPr>
          <w:p w14:paraId="15FAF924"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1</w:t>
            </w:r>
          </w:p>
        </w:tc>
        <w:tc>
          <w:tcPr>
            <w:tcW w:w="1564" w:type="dxa"/>
            <w:tcBorders>
              <w:top w:val="single" w:sz="4" w:space="0" w:color="auto"/>
              <w:left w:val="single" w:sz="4" w:space="0" w:color="auto"/>
              <w:bottom w:val="single" w:sz="4" w:space="0" w:color="auto"/>
              <w:right w:val="single" w:sz="4" w:space="0" w:color="auto"/>
            </w:tcBorders>
            <w:vAlign w:val="center"/>
          </w:tcPr>
          <w:p w14:paraId="5834A190"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2</w:t>
            </w:r>
          </w:p>
        </w:tc>
        <w:tc>
          <w:tcPr>
            <w:tcW w:w="1727" w:type="dxa"/>
            <w:tcBorders>
              <w:top w:val="single" w:sz="4" w:space="0" w:color="auto"/>
              <w:left w:val="single" w:sz="4" w:space="0" w:color="auto"/>
              <w:bottom w:val="single" w:sz="4" w:space="0" w:color="auto"/>
              <w:right w:val="single" w:sz="4" w:space="0" w:color="auto"/>
            </w:tcBorders>
            <w:vAlign w:val="center"/>
          </w:tcPr>
          <w:p w14:paraId="7626E6BA"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3</w:t>
            </w:r>
          </w:p>
        </w:tc>
        <w:tc>
          <w:tcPr>
            <w:tcW w:w="1835" w:type="dxa"/>
            <w:tcBorders>
              <w:top w:val="single" w:sz="4" w:space="0" w:color="auto"/>
              <w:left w:val="single" w:sz="4" w:space="0" w:color="auto"/>
              <w:bottom w:val="single" w:sz="4" w:space="0" w:color="auto"/>
              <w:right w:val="single" w:sz="4" w:space="0" w:color="auto"/>
            </w:tcBorders>
            <w:vAlign w:val="center"/>
          </w:tcPr>
          <w:p w14:paraId="4D6E7078"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4</w:t>
            </w:r>
          </w:p>
        </w:tc>
        <w:tc>
          <w:tcPr>
            <w:tcW w:w="2259" w:type="dxa"/>
            <w:tcBorders>
              <w:top w:val="single" w:sz="4" w:space="0" w:color="auto"/>
              <w:left w:val="single" w:sz="4" w:space="0" w:color="auto"/>
              <w:bottom w:val="single" w:sz="4" w:space="0" w:color="auto"/>
              <w:right w:val="single" w:sz="4" w:space="0" w:color="auto"/>
            </w:tcBorders>
            <w:vAlign w:val="center"/>
          </w:tcPr>
          <w:p w14:paraId="20DD9206"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5</w:t>
            </w:r>
          </w:p>
        </w:tc>
      </w:tr>
      <w:tr w:rsidR="00CA17D7" w:rsidRPr="00C627DD" w14:paraId="1BE56841"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464BC1A8"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Parámetro</w:t>
            </w:r>
          </w:p>
        </w:tc>
        <w:tc>
          <w:tcPr>
            <w:tcW w:w="1985" w:type="dxa"/>
            <w:tcBorders>
              <w:top w:val="single" w:sz="4" w:space="0" w:color="auto"/>
              <w:left w:val="single" w:sz="4" w:space="0" w:color="auto"/>
              <w:bottom w:val="single" w:sz="4" w:space="0" w:color="auto"/>
              <w:right w:val="single" w:sz="4" w:space="0" w:color="auto"/>
            </w:tcBorders>
            <w:vAlign w:val="center"/>
          </w:tcPr>
          <w:p w14:paraId="635130E8"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Receptor de navegación aérea N° 1</w:t>
            </w:r>
          </w:p>
        </w:tc>
        <w:tc>
          <w:tcPr>
            <w:tcW w:w="1564" w:type="dxa"/>
            <w:tcBorders>
              <w:top w:val="single" w:sz="4" w:space="0" w:color="auto"/>
              <w:left w:val="single" w:sz="4" w:space="0" w:color="auto"/>
              <w:bottom w:val="single" w:sz="4" w:space="0" w:color="auto"/>
              <w:right w:val="single" w:sz="4" w:space="0" w:color="auto"/>
            </w:tcBorders>
            <w:vAlign w:val="center"/>
          </w:tcPr>
          <w:p w14:paraId="3CCE1D2E"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Receptor de navegación</w:t>
            </w:r>
            <w:r w:rsidRPr="00C627DD">
              <w:rPr>
                <w:rFonts w:eastAsia="MS PGothic"/>
                <w:sz w:val="20"/>
                <w:lang w:val="es-ES_tradnl"/>
              </w:rPr>
              <w:br/>
              <w:t>aérea N° 2</w:t>
            </w:r>
            <w:r w:rsidRPr="00C627DD">
              <w:rPr>
                <w:rFonts w:eastAsia="MS PGothic"/>
                <w:sz w:val="20"/>
                <w:lang w:val="es-ES_tradnl"/>
              </w:rPr>
              <w:br/>
              <w:t>(Nota 9)</w:t>
            </w:r>
          </w:p>
        </w:tc>
        <w:tc>
          <w:tcPr>
            <w:tcW w:w="1727" w:type="dxa"/>
            <w:tcBorders>
              <w:top w:val="single" w:sz="4" w:space="0" w:color="auto"/>
              <w:left w:val="single" w:sz="4" w:space="0" w:color="auto"/>
              <w:bottom w:val="single" w:sz="4" w:space="0" w:color="auto"/>
              <w:right w:val="single" w:sz="4" w:space="0" w:color="auto"/>
            </w:tcBorders>
            <w:vAlign w:val="center"/>
          </w:tcPr>
          <w:p w14:paraId="4A4252F0"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Receptores</w:t>
            </w:r>
            <w:r w:rsidRPr="00C627DD">
              <w:rPr>
                <w:rFonts w:eastAsia="MS PGothic"/>
                <w:sz w:val="20"/>
                <w:lang w:val="es-ES_tradnl"/>
              </w:rPr>
              <w:br/>
              <w:t xml:space="preserve">de alta precisión </w:t>
            </w:r>
            <w:r w:rsidRPr="00C627DD">
              <w:rPr>
                <w:rFonts w:eastAsia="MS PGothic"/>
                <w:sz w:val="20"/>
                <w:lang w:val="es-ES_tradnl"/>
              </w:rPr>
              <w:br/>
              <w:t>(Nota 12)</w:t>
            </w:r>
          </w:p>
        </w:tc>
        <w:tc>
          <w:tcPr>
            <w:tcW w:w="1835" w:type="dxa"/>
            <w:tcBorders>
              <w:top w:val="single" w:sz="4" w:space="0" w:color="auto"/>
              <w:left w:val="single" w:sz="4" w:space="0" w:color="auto"/>
              <w:bottom w:val="single" w:sz="4" w:space="0" w:color="auto"/>
              <w:right w:val="single" w:sz="4" w:space="0" w:color="auto"/>
            </w:tcBorders>
            <w:vAlign w:val="center"/>
          </w:tcPr>
          <w:p w14:paraId="6D74AA3C"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Receptores de posicionamiento en interiores</w:t>
            </w:r>
          </w:p>
        </w:tc>
        <w:tc>
          <w:tcPr>
            <w:tcW w:w="2259" w:type="dxa"/>
            <w:tcBorders>
              <w:top w:val="single" w:sz="4" w:space="0" w:color="auto"/>
              <w:left w:val="single" w:sz="4" w:space="0" w:color="auto"/>
              <w:bottom w:val="single" w:sz="4" w:space="0" w:color="auto"/>
              <w:right w:val="single" w:sz="4" w:space="0" w:color="auto"/>
            </w:tcBorders>
            <w:vAlign w:val="center"/>
          </w:tcPr>
          <w:p w14:paraId="2FB3B2F7" w14:textId="77777777" w:rsidR="00CA17D7" w:rsidRPr="00C627DD" w:rsidRDefault="00CA17D7" w:rsidP="00C627DD">
            <w:pPr>
              <w:pStyle w:val="Tablehead"/>
              <w:spacing w:before="40" w:after="40"/>
              <w:rPr>
                <w:rFonts w:eastAsia="MS PGothic"/>
                <w:sz w:val="20"/>
                <w:lang w:val="es-ES_tradnl"/>
              </w:rPr>
            </w:pPr>
            <w:r w:rsidRPr="00C627DD">
              <w:rPr>
                <w:rFonts w:eastAsia="MS PGothic"/>
                <w:sz w:val="20"/>
                <w:lang w:val="es-ES_tradnl"/>
              </w:rPr>
              <w:t>Receptores</w:t>
            </w:r>
            <w:r w:rsidRPr="00C627DD">
              <w:rPr>
                <w:rFonts w:eastAsia="MS PGothic"/>
                <w:sz w:val="20"/>
                <w:lang w:val="es-ES_tradnl"/>
              </w:rPr>
              <w:br/>
              <w:t>polivalentes</w:t>
            </w:r>
          </w:p>
        </w:tc>
      </w:tr>
      <w:tr w:rsidR="00CA17D7" w:rsidRPr="00FF7585" w14:paraId="14020087"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4ADD33C5"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Nivel de densidad de potencia umbral en modo seguimiento de la interferencia de banda amplia combinada a la salida de la antena pasiva (dB(W/MHz)) (Nota 1)</w:t>
            </w:r>
          </w:p>
        </w:tc>
        <w:tc>
          <w:tcPr>
            <w:tcW w:w="1985" w:type="dxa"/>
            <w:tcBorders>
              <w:top w:val="single" w:sz="4" w:space="0" w:color="auto"/>
              <w:left w:val="single" w:sz="4" w:space="0" w:color="auto"/>
              <w:bottom w:val="single" w:sz="4" w:space="0" w:color="auto"/>
              <w:right w:val="single" w:sz="4" w:space="0" w:color="auto"/>
            </w:tcBorders>
          </w:tcPr>
          <w:p w14:paraId="2317E236"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 xml:space="preserve">–144,8 </w:t>
            </w:r>
            <w:r w:rsidRPr="00FF7585">
              <w:rPr>
                <w:rFonts w:eastAsia="MS PGothic"/>
                <w:sz w:val="20"/>
                <w:lang w:val="es-ES_tradnl"/>
              </w:rPr>
              <w:br/>
              <w:t>(Notas 4, 5)</w:t>
            </w:r>
          </w:p>
        </w:tc>
        <w:tc>
          <w:tcPr>
            <w:tcW w:w="1564" w:type="dxa"/>
            <w:tcBorders>
              <w:top w:val="single" w:sz="4" w:space="0" w:color="auto"/>
              <w:left w:val="single" w:sz="4" w:space="0" w:color="auto"/>
              <w:bottom w:val="single" w:sz="4" w:space="0" w:color="auto"/>
              <w:right w:val="single" w:sz="4" w:space="0" w:color="auto"/>
            </w:tcBorders>
          </w:tcPr>
          <w:p w14:paraId="664DFCB1"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−140</w:t>
            </w:r>
            <w:r w:rsidRPr="00FF7585">
              <w:rPr>
                <w:snapToGrid w:val="0"/>
                <w:sz w:val="20"/>
                <w:lang w:val="es-ES_tradnl"/>
              </w:rPr>
              <w:br/>
              <w:t>(Nota 13)</w:t>
            </w:r>
          </w:p>
        </w:tc>
        <w:tc>
          <w:tcPr>
            <w:tcW w:w="1727" w:type="dxa"/>
            <w:tcBorders>
              <w:top w:val="single" w:sz="4" w:space="0" w:color="auto"/>
              <w:left w:val="single" w:sz="4" w:space="0" w:color="auto"/>
              <w:bottom w:val="single" w:sz="4" w:space="0" w:color="auto"/>
              <w:right w:val="single" w:sz="4" w:space="0" w:color="auto"/>
            </w:tcBorders>
          </w:tcPr>
          <w:p w14:paraId="58E412A7" w14:textId="77777777" w:rsidR="00CA17D7" w:rsidRPr="00FF7585" w:rsidRDefault="00CA17D7" w:rsidP="00810F61">
            <w:pPr>
              <w:pStyle w:val="Tabletext"/>
              <w:jc w:val="center"/>
              <w:rPr>
                <w:rFonts w:eastAsia="MS PGothic"/>
                <w:bCs/>
                <w:sz w:val="20"/>
                <w:lang w:val="es-ES_tradnl" w:eastAsia="ja-JP"/>
              </w:rPr>
            </w:pPr>
            <w:r w:rsidRPr="00FF7585">
              <w:rPr>
                <w:rFonts w:eastAsia="MS PGothic"/>
                <w:sz w:val="20"/>
                <w:lang w:val="es-ES_tradnl"/>
              </w:rPr>
              <w:t>–147,4</w:t>
            </w:r>
          </w:p>
        </w:tc>
        <w:tc>
          <w:tcPr>
            <w:tcW w:w="1835" w:type="dxa"/>
            <w:tcBorders>
              <w:top w:val="single" w:sz="4" w:space="0" w:color="auto"/>
              <w:left w:val="single" w:sz="4" w:space="0" w:color="auto"/>
              <w:bottom w:val="single" w:sz="4" w:space="0" w:color="auto"/>
              <w:right w:val="single" w:sz="4" w:space="0" w:color="auto"/>
            </w:tcBorders>
          </w:tcPr>
          <w:p w14:paraId="40AC7047"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–150</w:t>
            </w:r>
          </w:p>
        </w:tc>
        <w:tc>
          <w:tcPr>
            <w:tcW w:w="2259" w:type="dxa"/>
            <w:tcBorders>
              <w:top w:val="single" w:sz="4" w:space="0" w:color="auto"/>
              <w:left w:val="single" w:sz="4" w:space="0" w:color="auto"/>
              <w:bottom w:val="single" w:sz="4" w:space="0" w:color="auto"/>
              <w:right w:val="single" w:sz="4" w:space="0" w:color="auto"/>
            </w:tcBorders>
          </w:tcPr>
          <w:p w14:paraId="325C24F1"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140</w:t>
            </w:r>
          </w:p>
        </w:tc>
      </w:tr>
      <w:tr w:rsidR="00CA17D7" w:rsidRPr="00FF7585" w14:paraId="021625A2"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2BDAFFC1" w14:textId="77777777" w:rsidR="00CA17D7" w:rsidRPr="00FF7585" w:rsidRDefault="00CA17D7" w:rsidP="00810F61">
            <w:pPr>
              <w:pStyle w:val="Tabletext"/>
              <w:jc w:val="left"/>
              <w:rPr>
                <w:rFonts w:eastAsia="MS PGothic"/>
                <w:sz w:val="20"/>
                <w:lang w:val="es-ES_tradnl"/>
              </w:rPr>
            </w:pPr>
            <w:r w:rsidRPr="00FF7585">
              <w:rPr>
                <w:rFonts w:eastAsia="MS PGothic"/>
                <w:sz w:val="20"/>
                <w:lang w:val="es-ES_tradnl"/>
              </w:rPr>
              <w:t>Nivel de densidad de potencia umbral en modo adquisición de la interferencia de banda amplia combinada a la salida de la antena pasiva (dB(W/MHz)) (Nota 1)</w:t>
            </w:r>
          </w:p>
        </w:tc>
        <w:tc>
          <w:tcPr>
            <w:tcW w:w="1985" w:type="dxa"/>
            <w:tcBorders>
              <w:top w:val="single" w:sz="4" w:space="0" w:color="auto"/>
              <w:left w:val="single" w:sz="4" w:space="0" w:color="auto"/>
              <w:bottom w:val="single" w:sz="4" w:space="0" w:color="auto"/>
              <w:right w:val="single" w:sz="4" w:space="0" w:color="auto"/>
            </w:tcBorders>
          </w:tcPr>
          <w:p w14:paraId="0B92583F" w14:textId="77777777" w:rsidR="00CA17D7" w:rsidRPr="00FF7585" w:rsidRDefault="00CA17D7" w:rsidP="00810F61">
            <w:pPr>
              <w:pStyle w:val="Tabletext"/>
              <w:jc w:val="center"/>
              <w:rPr>
                <w:rFonts w:eastAsia="MS PGothic"/>
                <w:sz w:val="20"/>
                <w:highlight w:val="green"/>
                <w:lang w:val="es-ES_tradnl"/>
              </w:rPr>
            </w:pPr>
            <w:r w:rsidRPr="00FF7585">
              <w:rPr>
                <w:rFonts w:eastAsia="MS PGothic"/>
                <w:sz w:val="20"/>
                <w:lang w:val="es-ES_tradnl"/>
              </w:rPr>
              <w:t xml:space="preserve">–148,7 </w:t>
            </w:r>
            <w:r w:rsidRPr="00FF7585">
              <w:rPr>
                <w:rFonts w:eastAsia="MS PGothic"/>
                <w:sz w:val="20"/>
                <w:lang w:val="es-ES_tradnl"/>
              </w:rPr>
              <w:br/>
              <w:t>(Notas 4, 6)</w:t>
            </w:r>
          </w:p>
        </w:tc>
        <w:tc>
          <w:tcPr>
            <w:tcW w:w="1564" w:type="dxa"/>
            <w:tcBorders>
              <w:top w:val="single" w:sz="4" w:space="0" w:color="auto"/>
              <w:left w:val="single" w:sz="4" w:space="0" w:color="auto"/>
              <w:bottom w:val="single" w:sz="4" w:space="0" w:color="auto"/>
              <w:right w:val="single" w:sz="4" w:space="0" w:color="auto"/>
            </w:tcBorders>
          </w:tcPr>
          <w:p w14:paraId="08502728" w14:textId="77777777" w:rsidR="00CA17D7" w:rsidRPr="00FF7585" w:rsidRDefault="00CA17D7" w:rsidP="00810F61">
            <w:pPr>
              <w:pStyle w:val="Tabletext"/>
              <w:jc w:val="center"/>
              <w:rPr>
                <w:snapToGrid w:val="0"/>
                <w:sz w:val="20"/>
                <w:lang w:val="es-ES_tradnl"/>
              </w:rPr>
            </w:pPr>
            <w:r w:rsidRPr="00FF7585">
              <w:rPr>
                <w:snapToGrid w:val="0"/>
                <w:sz w:val="20"/>
                <w:lang w:val="es-ES_tradnl"/>
              </w:rPr>
              <w:t>−146</w:t>
            </w:r>
          </w:p>
          <w:p w14:paraId="05FADAD7"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(Nota 13)</w:t>
            </w:r>
          </w:p>
        </w:tc>
        <w:tc>
          <w:tcPr>
            <w:tcW w:w="1727" w:type="dxa"/>
            <w:tcBorders>
              <w:top w:val="single" w:sz="4" w:space="0" w:color="auto"/>
              <w:left w:val="single" w:sz="4" w:space="0" w:color="auto"/>
              <w:bottom w:val="single" w:sz="4" w:space="0" w:color="auto"/>
              <w:right w:val="single" w:sz="4" w:space="0" w:color="auto"/>
            </w:tcBorders>
          </w:tcPr>
          <w:p w14:paraId="03AA0B27" w14:textId="77777777" w:rsidR="00CA17D7" w:rsidRPr="00FF7585" w:rsidRDefault="00CA17D7" w:rsidP="00810F61">
            <w:pPr>
              <w:pStyle w:val="Tabletext"/>
              <w:jc w:val="center"/>
              <w:rPr>
                <w:rFonts w:eastAsia="MS PGothic"/>
                <w:bCs/>
                <w:sz w:val="20"/>
                <w:lang w:val="es-ES_tradnl" w:eastAsia="ja-JP"/>
              </w:rPr>
            </w:pPr>
            <w:r w:rsidRPr="00FF7585">
              <w:rPr>
                <w:rFonts w:eastAsia="MS PGothic"/>
                <w:sz w:val="20"/>
                <w:lang w:val="es-ES_tradnl"/>
              </w:rPr>
              <w:t>–147,4</w:t>
            </w:r>
          </w:p>
        </w:tc>
        <w:tc>
          <w:tcPr>
            <w:tcW w:w="1835" w:type="dxa"/>
            <w:tcBorders>
              <w:top w:val="single" w:sz="4" w:space="0" w:color="auto"/>
              <w:left w:val="single" w:sz="4" w:space="0" w:color="auto"/>
              <w:bottom w:val="single" w:sz="4" w:space="0" w:color="auto"/>
              <w:right w:val="single" w:sz="4" w:space="0" w:color="auto"/>
            </w:tcBorders>
          </w:tcPr>
          <w:p w14:paraId="2D7A8E9E"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–156</w:t>
            </w:r>
          </w:p>
        </w:tc>
        <w:tc>
          <w:tcPr>
            <w:tcW w:w="2259" w:type="dxa"/>
            <w:tcBorders>
              <w:top w:val="single" w:sz="4" w:space="0" w:color="auto"/>
              <w:left w:val="single" w:sz="4" w:space="0" w:color="auto"/>
              <w:bottom w:val="single" w:sz="4" w:space="0" w:color="auto"/>
              <w:right w:val="single" w:sz="4" w:space="0" w:color="auto"/>
            </w:tcBorders>
          </w:tcPr>
          <w:p w14:paraId="51BE06C2"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146</w:t>
            </w:r>
          </w:p>
        </w:tc>
      </w:tr>
      <w:tr w:rsidR="00CA17D7" w:rsidRPr="00CC6C05" w14:paraId="0D9478F8" w14:textId="77777777" w:rsidTr="0041059B">
        <w:trPr>
          <w:cantSplit/>
          <w:jc w:val="center"/>
        </w:trPr>
        <w:tc>
          <w:tcPr>
            <w:tcW w:w="14469" w:type="dxa"/>
            <w:gridSpan w:val="6"/>
            <w:tcBorders>
              <w:top w:val="single" w:sz="4" w:space="0" w:color="auto"/>
              <w:left w:val="single" w:sz="4" w:space="0" w:color="auto"/>
              <w:bottom w:val="single" w:sz="4" w:space="0" w:color="auto"/>
              <w:right w:val="single" w:sz="4" w:space="0" w:color="auto"/>
            </w:tcBorders>
            <w:vAlign w:val="center"/>
          </w:tcPr>
          <w:p w14:paraId="26AE7392" w14:textId="77777777" w:rsidR="00CA17D7" w:rsidRPr="00CC6C05" w:rsidRDefault="00CA17D7" w:rsidP="00810F61">
            <w:pPr>
              <w:pStyle w:val="Tabletext"/>
              <w:jc w:val="center"/>
              <w:rPr>
                <w:b/>
                <w:bCs/>
                <w:i/>
                <w:iCs/>
                <w:snapToGrid w:val="0"/>
                <w:sz w:val="20"/>
                <w:lang w:val="es-ES_tradnl"/>
              </w:rPr>
            </w:pPr>
            <w:r w:rsidRPr="00CC6C05">
              <w:rPr>
                <w:b/>
                <w:bCs/>
                <w:snapToGrid w:val="0"/>
                <w:sz w:val="20"/>
                <w:lang w:val="es-ES_tradnl"/>
              </w:rPr>
              <w:t>Umbrales para la interferencia impulsiva (</w:t>
            </w:r>
            <w:r w:rsidRPr="00CC6C05">
              <w:rPr>
                <w:b/>
                <w:bCs/>
                <w:i/>
                <w:iCs/>
                <w:snapToGrid w:val="0"/>
                <w:sz w:val="20"/>
                <w:lang w:val="es-ES_tradnl"/>
              </w:rPr>
              <w:t>véase la Nota 15)</w:t>
            </w:r>
          </w:p>
        </w:tc>
      </w:tr>
      <w:tr w:rsidR="00CA17D7" w:rsidRPr="00FF7585" w14:paraId="6892BB52"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13F16CCE" w14:textId="77777777" w:rsidR="00CA17D7" w:rsidRPr="00FF7585" w:rsidRDefault="00CA17D7" w:rsidP="00810F61">
            <w:pPr>
              <w:pStyle w:val="Tabletext"/>
              <w:jc w:val="left"/>
              <w:rPr>
                <w:sz w:val="20"/>
                <w:lang w:val="es-ES_tradnl"/>
              </w:rPr>
            </w:pPr>
            <w:r w:rsidRPr="00FF7585">
              <w:rPr>
                <w:sz w:val="20"/>
                <w:lang w:val="es-ES_tradnl" w:eastAsia="ja-JP"/>
              </w:rPr>
              <w:t>Nivel de saturación a la entrada del receptor</w:t>
            </w:r>
            <w:r w:rsidRPr="00FF7585">
              <w:rPr>
                <w:sz w:val="20"/>
                <w:lang w:val="es-ES_tradnl"/>
              </w:rPr>
              <w:t xml:space="preserve"> (dBW) (Notas 14 y 15)</w:t>
            </w:r>
          </w:p>
        </w:tc>
        <w:tc>
          <w:tcPr>
            <w:tcW w:w="1985" w:type="dxa"/>
            <w:tcBorders>
              <w:top w:val="single" w:sz="4" w:space="0" w:color="auto"/>
              <w:left w:val="single" w:sz="4" w:space="0" w:color="auto"/>
              <w:bottom w:val="single" w:sz="4" w:space="0" w:color="auto"/>
              <w:right w:val="single" w:sz="4" w:space="0" w:color="auto"/>
            </w:tcBorders>
          </w:tcPr>
          <w:p w14:paraId="2FE7E2D8"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–114 (Nota 7)</w:t>
            </w:r>
          </w:p>
        </w:tc>
        <w:tc>
          <w:tcPr>
            <w:tcW w:w="1564" w:type="dxa"/>
            <w:tcBorders>
              <w:top w:val="single" w:sz="4" w:space="0" w:color="auto"/>
              <w:left w:val="single" w:sz="4" w:space="0" w:color="auto"/>
              <w:bottom w:val="single" w:sz="4" w:space="0" w:color="auto"/>
              <w:right w:val="single" w:sz="4" w:space="0" w:color="auto"/>
            </w:tcBorders>
          </w:tcPr>
          <w:p w14:paraId="6DF6414C" w14:textId="77777777" w:rsidR="00CA17D7" w:rsidRPr="00FF7585" w:rsidRDefault="00CA17D7" w:rsidP="00810F61">
            <w:pPr>
              <w:pStyle w:val="Tabletext"/>
              <w:jc w:val="center"/>
              <w:rPr>
                <w:sz w:val="20"/>
                <w:lang w:val="es-ES_tradnl" w:eastAsia="ja-JP"/>
              </w:rPr>
            </w:pPr>
            <w:r w:rsidRPr="00FF7585">
              <w:rPr>
                <w:snapToGrid w:val="0"/>
                <w:sz w:val="20"/>
                <w:lang w:val="es-ES_tradnl"/>
              </w:rPr>
              <w:t>−80</w:t>
            </w:r>
          </w:p>
        </w:tc>
        <w:tc>
          <w:tcPr>
            <w:tcW w:w="1727" w:type="dxa"/>
            <w:tcBorders>
              <w:top w:val="single" w:sz="4" w:space="0" w:color="auto"/>
              <w:left w:val="single" w:sz="4" w:space="0" w:color="auto"/>
              <w:bottom w:val="single" w:sz="4" w:space="0" w:color="auto"/>
              <w:right w:val="single" w:sz="4" w:space="0" w:color="auto"/>
            </w:tcBorders>
          </w:tcPr>
          <w:p w14:paraId="1B33EFBB"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−120</w:t>
            </w:r>
          </w:p>
        </w:tc>
        <w:tc>
          <w:tcPr>
            <w:tcW w:w="1835" w:type="dxa"/>
            <w:tcBorders>
              <w:top w:val="single" w:sz="4" w:space="0" w:color="auto"/>
              <w:left w:val="single" w:sz="4" w:space="0" w:color="auto"/>
              <w:bottom w:val="single" w:sz="4" w:space="0" w:color="auto"/>
              <w:right w:val="single" w:sz="4" w:space="0" w:color="auto"/>
            </w:tcBorders>
          </w:tcPr>
          <w:p w14:paraId="32809ACC"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w:t>
            </w:r>
            <w:r w:rsidRPr="00FF7585">
              <w:rPr>
                <w:snapToGrid w:val="0"/>
                <w:sz w:val="20"/>
                <w:lang w:val="es-ES_tradnl" w:eastAsia="zh-CN"/>
              </w:rPr>
              <w:t>100</w:t>
            </w:r>
          </w:p>
        </w:tc>
        <w:tc>
          <w:tcPr>
            <w:tcW w:w="2259" w:type="dxa"/>
            <w:tcBorders>
              <w:top w:val="single" w:sz="4" w:space="0" w:color="auto"/>
              <w:left w:val="single" w:sz="4" w:space="0" w:color="auto"/>
              <w:bottom w:val="single" w:sz="4" w:space="0" w:color="auto"/>
              <w:right w:val="single" w:sz="4" w:space="0" w:color="auto"/>
            </w:tcBorders>
          </w:tcPr>
          <w:p w14:paraId="0ABF50FD"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100</w:t>
            </w:r>
          </w:p>
        </w:tc>
      </w:tr>
      <w:tr w:rsidR="00CA17D7" w:rsidRPr="00FF7585" w14:paraId="475D974D"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60292895" w14:textId="77777777" w:rsidR="00CA17D7" w:rsidRPr="00FF7585" w:rsidRDefault="00CA17D7" w:rsidP="00810F61">
            <w:pPr>
              <w:pStyle w:val="Tabletext"/>
              <w:jc w:val="left"/>
              <w:rPr>
                <w:sz w:val="20"/>
                <w:lang w:val="es-ES_tradnl"/>
              </w:rPr>
            </w:pPr>
            <w:r w:rsidRPr="00FF7585">
              <w:rPr>
                <w:sz w:val="20"/>
                <w:lang w:val="es-ES_tradnl" w:eastAsia="ja-JP"/>
              </w:rPr>
              <w:t>Nivel de supervivencia del receptor</w:t>
            </w:r>
            <w:r w:rsidRPr="00FF7585">
              <w:rPr>
                <w:sz w:val="20"/>
                <w:lang w:val="es-ES_tradnl"/>
              </w:rPr>
              <w:t xml:space="preserve"> (dBW) (Nota 15)</w:t>
            </w:r>
          </w:p>
        </w:tc>
        <w:tc>
          <w:tcPr>
            <w:tcW w:w="1985" w:type="dxa"/>
            <w:tcBorders>
              <w:top w:val="single" w:sz="4" w:space="0" w:color="auto"/>
              <w:left w:val="single" w:sz="4" w:space="0" w:color="auto"/>
              <w:bottom w:val="single" w:sz="4" w:space="0" w:color="auto"/>
              <w:right w:val="single" w:sz="4" w:space="0" w:color="auto"/>
            </w:tcBorders>
          </w:tcPr>
          <w:p w14:paraId="2606B645"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0 (Nota 8)</w:t>
            </w:r>
          </w:p>
        </w:tc>
        <w:tc>
          <w:tcPr>
            <w:tcW w:w="1564" w:type="dxa"/>
            <w:tcBorders>
              <w:top w:val="single" w:sz="4" w:space="0" w:color="auto"/>
              <w:left w:val="single" w:sz="4" w:space="0" w:color="auto"/>
              <w:bottom w:val="single" w:sz="4" w:space="0" w:color="auto"/>
              <w:right w:val="single" w:sz="4" w:space="0" w:color="auto"/>
            </w:tcBorders>
          </w:tcPr>
          <w:p w14:paraId="6A8B3C3F" w14:textId="77777777" w:rsidR="00CA17D7" w:rsidRPr="00FF7585" w:rsidRDefault="00CA17D7" w:rsidP="00810F61">
            <w:pPr>
              <w:pStyle w:val="Tabletext"/>
              <w:jc w:val="center"/>
              <w:rPr>
                <w:sz w:val="20"/>
                <w:lang w:val="es-ES_tradnl" w:eastAsia="ja-JP"/>
              </w:rPr>
            </w:pPr>
            <w:r w:rsidRPr="00FF7585">
              <w:rPr>
                <w:snapToGrid w:val="0"/>
                <w:sz w:val="20"/>
                <w:lang w:val="es-ES_tradnl"/>
              </w:rPr>
              <w:t>–1</w:t>
            </w:r>
          </w:p>
        </w:tc>
        <w:tc>
          <w:tcPr>
            <w:tcW w:w="1727" w:type="dxa"/>
            <w:tcBorders>
              <w:top w:val="single" w:sz="4" w:space="0" w:color="auto"/>
              <w:left w:val="single" w:sz="4" w:space="0" w:color="auto"/>
              <w:bottom w:val="single" w:sz="4" w:space="0" w:color="auto"/>
              <w:right w:val="single" w:sz="4" w:space="0" w:color="auto"/>
            </w:tcBorders>
          </w:tcPr>
          <w:p w14:paraId="7A932C27"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−20</w:t>
            </w:r>
          </w:p>
        </w:tc>
        <w:tc>
          <w:tcPr>
            <w:tcW w:w="1835" w:type="dxa"/>
            <w:tcBorders>
              <w:top w:val="single" w:sz="4" w:space="0" w:color="auto"/>
              <w:left w:val="single" w:sz="4" w:space="0" w:color="auto"/>
              <w:bottom w:val="single" w:sz="4" w:space="0" w:color="auto"/>
              <w:right w:val="single" w:sz="4" w:space="0" w:color="auto"/>
            </w:tcBorders>
          </w:tcPr>
          <w:p w14:paraId="7B11CA40"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w:t>
            </w:r>
            <w:r w:rsidRPr="00FF7585">
              <w:rPr>
                <w:snapToGrid w:val="0"/>
                <w:sz w:val="20"/>
                <w:lang w:val="es-ES_tradnl" w:eastAsia="zh-CN"/>
              </w:rPr>
              <w:t>17</w:t>
            </w:r>
          </w:p>
        </w:tc>
        <w:tc>
          <w:tcPr>
            <w:tcW w:w="2259" w:type="dxa"/>
            <w:tcBorders>
              <w:top w:val="single" w:sz="4" w:space="0" w:color="auto"/>
              <w:left w:val="single" w:sz="4" w:space="0" w:color="auto"/>
              <w:bottom w:val="single" w:sz="4" w:space="0" w:color="auto"/>
              <w:right w:val="single" w:sz="4" w:space="0" w:color="auto"/>
            </w:tcBorders>
          </w:tcPr>
          <w:p w14:paraId="748903A4"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w:t>
            </w:r>
            <w:r w:rsidRPr="00FF7585">
              <w:rPr>
                <w:snapToGrid w:val="0"/>
                <w:sz w:val="20"/>
                <w:lang w:val="es-ES_tradnl" w:eastAsia="zh-CN"/>
              </w:rPr>
              <w:t>17</w:t>
            </w:r>
          </w:p>
        </w:tc>
      </w:tr>
      <w:tr w:rsidR="00CA17D7" w:rsidRPr="00FF7585" w14:paraId="54BDB6B2" w14:textId="77777777" w:rsidTr="0041059B">
        <w:trPr>
          <w:cantSplit/>
          <w:jc w:val="center"/>
        </w:trPr>
        <w:tc>
          <w:tcPr>
            <w:tcW w:w="5099" w:type="dxa"/>
            <w:tcBorders>
              <w:top w:val="single" w:sz="4" w:space="0" w:color="auto"/>
              <w:left w:val="single" w:sz="4" w:space="0" w:color="auto"/>
              <w:bottom w:val="single" w:sz="4" w:space="0" w:color="auto"/>
              <w:right w:val="single" w:sz="4" w:space="0" w:color="auto"/>
            </w:tcBorders>
            <w:vAlign w:val="center"/>
          </w:tcPr>
          <w:p w14:paraId="6C822E06" w14:textId="77777777" w:rsidR="00CA17D7" w:rsidRPr="00FF7585" w:rsidRDefault="00CA17D7" w:rsidP="00810F61">
            <w:pPr>
              <w:pStyle w:val="Tabletext"/>
              <w:jc w:val="left"/>
              <w:rPr>
                <w:sz w:val="20"/>
                <w:lang w:val="es-ES_tradnl"/>
              </w:rPr>
            </w:pPr>
            <w:r w:rsidRPr="00FF7585">
              <w:rPr>
                <w:sz w:val="20"/>
                <w:lang w:val="es-ES_tradnl"/>
              </w:rPr>
              <w:t>Tiempo de recuperación de sobrecarga (s) (Nota 15)</w:t>
            </w:r>
          </w:p>
        </w:tc>
        <w:tc>
          <w:tcPr>
            <w:tcW w:w="1985" w:type="dxa"/>
            <w:tcBorders>
              <w:top w:val="single" w:sz="4" w:space="0" w:color="auto"/>
              <w:left w:val="single" w:sz="4" w:space="0" w:color="auto"/>
              <w:bottom w:val="single" w:sz="4" w:space="0" w:color="auto"/>
              <w:right w:val="single" w:sz="4" w:space="0" w:color="auto"/>
            </w:tcBorders>
          </w:tcPr>
          <w:p w14:paraId="592CA034"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rPr>
              <w:t>1 × 10</w:t>
            </w:r>
            <w:r w:rsidRPr="00FF7585">
              <w:rPr>
                <w:rFonts w:eastAsia="MS PGothic"/>
                <w:sz w:val="20"/>
                <w:vertAlign w:val="superscript"/>
                <w:lang w:val="es-ES_tradnl"/>
              </w:rPr>
              <w:t>−6</w:t>
            </w:r>
          </w:p>
        </w:tc>
        <w:tc>
          <w:tcPr>
            <w:tcW w:w="1564" w:type="dxa"/>
            <w:tcBorders>
              <w:top w:val="single" w:sz="4" w:space="0" w:color="auto"/>
              <w:left w:val="single" w:sz="4" w:space="0" w:color="auto"/>
              <w:bottom w:val="single" w:sz="4" w:space="0" w:color="auto"/>
              <w:right w:val="single" w:sz="4" w:space="0" w:color="auto"/>
            </w:tcBorders>
          </w:tcPr>
          <w:p w14:paraId="200AC6D4" w14:textId="77777777" w:rsidR="00CA17D7" w:rsidRPr="00FF7585" w:rsidRDefault="00CA17D7" w:rsidP="00810F61">
            <w:pPr>
              <w:pStyle w:val="Tabletext"/>
              <w:jc w:val="center"/>
              <w:rPr>
                <w:sz w:val="20"/>
                <w:lang w:val="es-ES_tradnl" w:eastAsia="ja-JP"/>
              </w:rPr>
            </w:pPr>
            <w:r w:rsidRPr="00FF7585">
              <w:rPr>
                <w:snapToGrid w:val="0"/>
                <w:sz w:val="20"/>
                <w:lang w:val="es-ES_tradnl"/>
              </w:rPr>
              <w:t>(1 a 30) </w:t>
            </w:r>
            <w:r w:rsidRPr="00FF7585">
              <w:rPr>
                <w:rFonts w:eastAsia="MS PGothic"/>
                <w:sz w:val="20"/>
                <w:lang w:val="es-ES_tradnl"/>
              </w:rPr>
              <w:t>× </w:t>
            </w:r>
            <w:r w:rsidRPr="00FF7585">
              <w:rPr>
                <w:snapToGrid w:val="0"/>
                <w:sz w:val="20"/>
                <w:lang w:val="es-ES_tradnl"/>
              </w:rPr>
              <w:t>10</w:t>
            </w:r>
            <w:r w:rsidRPr="00FF7585">
              <w:rPr>
                <w:snapToGrid w:val="0"/>
                <w:sz w:val="20"/>
                <w:vertAlign w:val="superscript"/>
                <w:lang w:val="es-ES_tradnl"/>
              </w:rPr>
              <w:t>−6</w:t>
            </w:r>
          </w:p>
        </w:tc>
        <w:tc>
          <w:tcPr>
            <w:tcW w:w="1727" w:type="dxa"/>
            <w:tcBorders>
              <w:top w:val="single" w:sz="4" w:space="0" w:color="auto"/>
              <w:left w:val="single" w:sz="4" w:space="0" w:color="auto"/>
              <w:bottom w:val="single" w:sz="4" w:space="0" w:color="auto"/>
              <w:right w:val="single" w:sz="4" w:space="0" w:color="auto"/>
            </w:tcBorders>
          </w:tcPr>
          <w:p w14:paraId="587A87FC" w14:textId="77777777" w:rsidR="00CA17D7" w:rsidRPr="00FF7585" w:rsidRDefault="00CA17D7" w:rsidP="00810F61">
            <w:pPr>
              <w:pStyle w:val="Tabletext"/>
              <w:jc w:val="center"/>
              <w:rPr>
                <w:rFonts w:eastAsia="MS PGothic"/>
                <w:sz w:val="20"/>
                <w:lang w:val="es-ES_tradnl"/>
              </w:rPr>
            </w:pPr>
            <w:r w:rsidRPr="00FF7585">
              <w:rPr>
                <w:rFonts w:eastAsia="MS PGothic"/>
                <w:sz w:val="20"/>
                <w:lang w:val="es-ES_tradnl" w:eastAsia="zh-CN"/>
              </w:rPr>
              <w:t xml:space="preserve">(1 a </w:t>
            </w:r>
            <w:r w:rsidRPr="00FF7585">
              <w:rPr>
                <w:snapToGrid w:val="0"/>
                <w:sz w:val="20"/>
                <w:lang w:val="es-ES_tradnl"/>
              </w:rPr>
              <w:t>30) </w:t>
            </w:r>
            <w:r w:rsidRPr="00FF7585">
              <w:rPr>
                <w:rFonts w:eastAsia="MS PGothic"/>
                <w:sz w:val="20"/>
                <w:lang w:val="es-ES_tradnl"/>
              </w:rPr>
              <w:t>× </w:t>
            </w:r>
            <w:r w:rsidRPr="00FF7585">
              <w:rPr>
                <w:snapToGrid w:val="0"/>
                <w:sz w:val="20"/>
                <w:lang w:val="es-ES_tradnl"/>
              </w:rPr>
              <w:t>10</w:t>
            </w:r>
            <w:r w:rsidRPr="00FF7585">
              <w:rPr>
                <w:snapToGrid w:val="0"/>
                <w:sz w:val="20"/>
                <w:vertAlign w:val="superscript"/>
                <w:lang w:val="es-ES_tradnl"/>
              </w:rPr>
              <w:t>−6</w:t>
            </w:r>
          </w:p>
        </w:tc>
        <w:tc>
          <w:tcPr>
            <w:tcW w:w="1835" w:type="dxa"/>
            <w:tcBorders>
              <w:top w:val="single" w:sz="4" w:space="0" w:color="auto"/>
              <w:left w:val="single" w:sz="4" w:space="0" w:color="auto"/>
              <w:bottom w:val="single" w:sz="4" w:space="0" w:color="auto"/>
              <w:right w:val="single" w:sz="4" w:space="0" w:color="auto"/>
            </w:tcBorders>
          </w:tcPr>
          <w:p w14:paraId="6FBFA7A2" w14:textId="77777777" w:rsidR="00CA17D7" w:rsidRPr="00FF7585" w:rsidRDefault="00CA17D7" w:rsidP="00810F61">
            <w:pPr>
              <w:pStyle w:val="Tabletext"/>
              <w:jc w:val="center"/>
              <w:rPr>
                <w:rFonts w:eastAsia="MS PGothic"/>
                <w:sz w:val="20"/>
                <w:lang w:val="es-ES_tradnl"/>
              </w:rPr>
            </w:pPr>
            <w:r w:rsidRPr="00FF7585">
              <w:rPr>
                <w:snapToGrid w:val="0"/>
                <w:sz w:val="20"/>
                <w:lang w:val="es-ES_tradnl"/>
              </w:rPr>
              <w:t>30</w:t>
            </w:r>
            <w:r w:rsidRPr="00FF7585">
              <w:rPr>
                <w:rFonts w:eastAsia="MS PGothic"/>
                <w:sz w:val="20"/>
                <w:lang w:val="es-ES_tradnl"/>
              </w:rPr>
              <w:t> × </w:t>
            </w:r>
            <w:r w:rsidRPr="00FF7585">
              <w:rPr>
                <w:snapToGrid w:val="0"/>
                <w:sz w:val="20"/>
                <w:lang w:val="es-ES_tradnl"/>
              </w:rPr>
              <w:t>10</w:t>
            </w:r>
            <w:r w:rsidRPr="00FF7585">
              <w:rPr>
                <w:snapToGrid w:val="0"/>
                <w:sz w:val="20"/>
                <w:vertAlign w:val="superscript"/>
                <w:lang w:val="es-ES_tradnl"/>
              </w:rPr>
              <w:t>−6</w:t>
            </w:r>
          </w:p>
        </w:tc>
        <w:tc>
          <w:tcPr>
            <w:tcW w:w="2259" w:type="dxa"/>
            <w:tcBorders>
              <w:top w:val="single" w:sz="4" w:space="0" w:color="auto"/>
              <w:left w:val="single" w:sz="4" w:space="0" w:color="auto"/>
              <w:bottom w:val="single" w:sz="4" w:space="0" w:color="auto"/>
              <w:right w:val="single" w:sz="4" w:space="0" w:color="auto"/>
            </w:tcBorders>
          </w:tcPr>
          <w:p w14:paraId="268EF0EF" w14:textId="77777777" w:rsidR="00CA17D7" w:rsidRPr="00FF7585" w:rsidRDefault="00CA17D7" w:rsidP="00810F61">
            <w:pPr>
              <w:pStyle w:val="Tabletext"/>
              <w:jc w:val="center"/>
              <w:rPr>
                <w:snapToGrid w:val="0"/>
                <w:sz w:val="20"/>
                <w:lang w:val="es-ES_tradnl" w:eastAsia="zh-CN"/>
              </w:rPr>
            </w:pPr>
            <w:r w:rsidRPr="00FF7585">
              <w:rPr>
                <w:snapToGrid w:val="0"/>
                <w:sz w:val="20"/>
                <w:lang w:val="es-ES_tradnl"/>
              </w:rPr>
              <w:t>30</w:t>
            </w:r>
            <w:r w:rsidRPr="00FF7585">
              <w:rPr>
                <w:rFonts w:eastAsia="MS PGothic"/>
                <w:sz w:val="20"/>
                <w:lang w:val="es-ES_tradnl"/>
              </w:rPr>
              <w:t> × </w:t>
            </w:r>
            <w:r w:rsidRPr="00FF7585">
              <w:rPr>
                <w:snapToGrid w:val="0"/>
                <w:sz w:val="20"/>
                <w:lang w:val="es-ES_tradnl"/>
              </w:rPr>
              <w:t>10</w:t>
            </w:r>
            <w:r w:rsidRPr="00FF7585">
              <w:rPr>
                <w:snapToGrid w:val="0"/>
                <w:sz w:val="20"/>
                <w:vertAlign w:val="superscript"/>
                <w:lang w:val="es-ES_tradnl"/>
              </w:rPr>
              <w:t>−6</w:t>
            </w:r>
          </w:p>
        </w:tc>
      </w:tr>
      <w:tr w:rsidR="00CA17D7" w:rsidRPr="00CC6C05" w14:paraId="1F3EF3A2" w14:textId="77777777" w:rsidTr="0041059B">
        <w:trPr>
          <w:jc w:val="center"/>
        </w:trPr>
        <w:tc>
          <w:tcPr>
            <w:tcW w:w="14469" w:type="dxa"/>
            <w:gridSpan w:val="6"/>
            <w:vAlign w:val="center"/>
          </w:tcPr>
          <w:p w14:paraId="0D16BB82" w14:textId="77777777" w:rsidR="00CA17D7" w:rsidRPr="00CC6C05" w:rsidRDefault="00CA17D7" w:rsidP="00810F61">
            <w:pPr>
              <w:pStyle w:val="TableLegendNote"/>
              <w:spacing w:before="160"/>
              <w:rPr>
                <w:sz w:val="20"/>
                <w:lang w:val="es-ES_tradnl"/>
              </w:rPr>
            </w:pPr>
            <w:r w:rsidRPr="00CC6C05">
              <w:rPr>
                <w:sz w:val="20"/>
                <w:lang w:val="es-ES_tradnl"/>
              </w:rPr>
              <w:t xml:space="preserve">NOTA 1 </w:t>
            </w:r>
            <w:r w:rsidRPr="00FF7585">
              <w:rPr>
                <w:sz w:val="20"/>
                <w:lang w:val="es-ES_tradnl"/>
              </w:rPr>
              <w:t>– A menos que se especifique lo contrario, se</w:t>
            </w:r>
            <w:r w:rsidRPr="00CC6C05">
              <w:rPr>
                <w:sz w:val="20"/>
                <w:lang w:val="es-ES_tradnl"/>
              </w:rPr>
              <w:t xml:space="preserve"> considera que la interferencia continua de banda estrecha tiene una anchura de banda inferior a 700 Hz. Se considera que la interferencia continua de banda amplia tiene una anchura de banda inferior a 1 MHz. Los umbrales </w:t>
            </w:r>
            <w:r w:rsidRPr="00FF7585">
              <w:rPr>
                <w:sz w:val="20"/>
                <w:lang w:val="es-ES_tradnl"/>
              </w:rPr>
              <w:t xml:space="preserve">para el ancho de bandas de </w:t>
            </w:r>
            <w:r w:rsidRPr="00CC6C05">
              <w:rPr>
                <w:sz w:val="20"/>
                <w:lang w:val="es-ES_tradnl"/>
              </w:rPr>
              <w:t xml:space="preserve">interferencia entre 700 Hz y 1 MHz </w:t>
            </w:r>
            <w:r w:rsidRPr="00FF7585">
              <w:rPr>
                <w:sz w:val="20"/>
                <w:lang w:val="es-ES_tradnl"/>
              </w:rPr>
              <w:t>pueden requerir más estudios.</w:t>
            </w:r>
          </w:p>
          <w:p w14:paraId="3C2432D5" w14:textId="77777777" w:rsidR="00CA17D7" w:rsidRPr="00CC6C05" w:rsidRDefault="00CA17D7" w:rsidP="00810F61">
            <w:pPr>
              <w:pStyle w:val="TableLegendNote"/>
              <w:rPr>
                <w:sz w:val="20"/>
                <w:lang w:val="es-ES_tradnl"/>
              </w:rPr>
            </w:pPr>
            <w:r w:rsidRPr="00CC6C05">
              <w:rPr>
                <w:sz w:val="20"/>
                <w:lang w:val="es-ES_tradnl"/>
              </w:rPr>
              <w:t xml:space="preserve">NOTA 2 − La máxima ganancia de la </w:t>
            </w:r>
            <w:r w:rsidRPr="00FF7585">
              <w:rPr>
                <w:sz w:val="20"/>
                <w:lang w:val="es-ES_tradnl"/>
              </w:rPr>
              <w:t>antena</w:t>
            </w:r>
            <w:r w:rsidRPr="00CC6C05">
              <w:rPr>
                <w:sz w:val="20"/>
                <w:lang w:val="es-ES_tradnl"/>
              </w:rPr>
              <w:t xml:space="preserve"> RHCP receptora en el hemisferio superior aparece para un ángulo de elevación de </w:t>
            </w:r>
            <w:r w:rsidRPr="00FF7585">
              <w:rPr>
                <w:sz w:val="20"/>
                <w:lang w:val="es-ES_tradnl"/>
              </w:rPr>
              <w:t xml:space="preserve">90° </w:t>
            </w:r>
            <w:r w:rsidRPr="00CC6C05">
              <w:rPr>
                <w:sz w:val="20"/>
                <w:lang w:val="es-ES_tradnl"/>
              </w:rPr>
              <w:t>respecto al plano horizontal de la antena.</w:t>
            </w:r>
          </w:p>
          <w:p w14:paraId="53BEEF97" w14:textId="77777777" w:rsidR="00CA17D7" w:rsidRPr="00CC6C05" w:rsidRDefault="00CA17D7" w:rsidP="00810F61">
            <w:pPr>
              <w:pStyle w:val="TableLegendNote"/>
              <w:rPr>
                <w:sz w:val="20"/>
                <w:lang w:val="es-ES_tradnl"/>
              </w:rPr>
            </w:pPr>
            <w:r w:rsidRPr="00CC6C05">
              <w:rPr>
                <w:sz w:val="20"/>
                <w:lang w:val="es-ES_tradnl"/>
              </w:rPr>
              <w:t>NOTA 3 − El máximo valor de ganancia en el hemisferio interior se produce para un ángulo de elevación de 0°. Para ángulos de elevación comprendidos entre 0° y −30°, la máxima ganancia disminuye con el ángulo de elevación hasta −10 dBi a −30° y permanece constante a −10 dBi para ángulos de elevación entre −30° y −90°.</w:t>
            </w:r>
          </w:p>
          <w:p w14:paraId="5EFA685E" w14:textId="77777777" w:rsidR="00CA17D7" w:rsidRPr="00CC6C05" w:rsidRDefault="00CA17D7" w:rsidP="00810F61">
            <w:pPr>
              <w:pStyle w:val="TableLegendNote"/>
              <w:rPr>
                <w:sz w:val="20"/>
                <w:lang w:val="es-ES_tradnl"/>
              </w:rPr>
            </w:pPr>
            <w:r w:rsidRPr="00CC6C05">
              <w:rPr>
                <w:sz w:val="20"/>
                <w:lang w:val="es-ES_tradnl"/>
              </w:rPr>
              <w:t>NOTA 4 − Cuando se utiliza en el modelo de evaluación de la interferencia de la Recomendación UT-R M.1318-1, el valor umbral se inserta en la Línea (a) y 6 dB (el margen de seguridad descrito en el Anexo 1) se inserta en la Línea (b) de la plantilla de evaluación.</w:t>
            </w:r>
          </w:p>
          <w:p w14:paraId="4782C94C" w14:textId="77777777" w:rsidR="00CA17D7" w:rsidRPr="00CC6C05" w:rsidRDefault="00CA17D7" w:rsidP="00810F61">
            <w:pPr>
              <w:pStyle w:val="TableLegendNote"/>
              <w:rPr>
                <w:sz w:val="20"/>
                <w:lang w:val="es-ES_tradnl"/>
              </w:rPr>
            </w:pPr>
            <w:r w:rsidRPr="00CC6C05">
              <w:rPr>
                <w:sz w:val="20"/>
                <w:lang w:val="es-ES_tradnl"/>
              </w:rPr>
              <w:t xml:space="preserve">NOTA 5 − El valor umbral de interferencia de RF continua se aplica al funcionamiento de los receptores a bordo de aeronaves situadas a una altitud superior a 6 096 m (20 000 pies) sobre el nivel medio del mar. Los valores del modo de seguimiento para el funcionamiento a bordo de aeronave a una altitud inferior a 610 m (2 000 pies) sobre el nivel del suelo son </w:t>
            </w:r>
            <w:r w:rsidRPr="00CC6C05">
              <w:rPr>
                <w:rFonts w:eastAsia="MS PGothic"/>
                <w:sz w:val="20"/>
                <w:lang w:val="es-ES_tradnl"/>
              </w:rPr>
              <w:t>−143,0 dBW</w:t>
            </w:r>
            <w:r w:rsidRPr="00CC6C05">
              <w:rPr>
                <w:sz w:val="20"/>
                <w:lang w:val="es-ES_tradnl"/>
              </w:rPr>
              <w:t xml:space="preserve"> (banda estrecha) y </w:t>
            </w:r>
            <w:r w:rsidRPr="00CC6C05">
              <w:rPr>
                <w:rFonts w:eastAsia="MS PGothic"/>
                <w:sz w:val="20"/>
                <w:lang w:val="es-ES_tradnl"/>
              </w:rPr>
              <w:t>−133,0 dB(W/MHz)</w:t>
            </w:r>
            <w:r w:rsidRPr="00CC6C05">
              <w:rPr>
                <w:sz w:val="20"/>
                <w:lang w:val="es-ES_tradnl"/>
              </w:rPr>
              <w:t xml:space="preserve"> (banda amplia).</w:t>
            </w:r>
          </w:p>
          <w:p w14:paraId="7F7138B4" w14:textId="77777777" w:rsidR="00CA17D7" w:rsidRPr="00CC6C05" w:rsidRDefault="00CA17D7" w:rsidP="00810F61">
            <w:pPr>
              <w:pStyle w:val="TableLegendNote"/>
              <w:rPr>
                <w:sz w:val="20"/>
                <w:lang w:val="es-ES_tradnl"/>
              </w:rPr>
            </w:pPr>
            <w:r w:rsidRPr="00CC6C05">
              <w:rPr>
                <w:sz w:val="20"/>
                <w:lang w:val="es-ES_tradnl"/>
              </w:rPr>
              <w:t>NOTA 6 − El valor umbral de la interferencia de RF continua se aplica al funcionamiento de los receptores a bordo de aeronaves situados a una altitud superior a 6 096 m (20 000 pies) sobre el nivel medio del mar. Los valores del modo de adquisición para el funcionamiento a bordo de aeronave a una altitud inferior a 610 m (2 000 pies) sobre el nivel del suelo son</w:t>
            </w:r>
            <w:r w:rsidRPr="00FF7585">
              <w:rPr>
                <w:sz w:val="20"/>
                <w:lang w:val="es-ES_tradnl"/>
              </w:rPr>
              <w:t> </w:t>
            </w:r>
            <w:r w:rsidRPr="00CC6C05">
              <w:rPr>
                <w:rFonts w:eastAsia="MS PGothic"/>
                <w:sz w:val="20"/>
                <w:lang w:val="es-ES_tradnl"/>
              </w:rPr>
              <w:t>−143,1 dBW</w:t>
            </w:r>
            <w:r w:rsidRPr="00CC6C05">
              <w:rPr>
                <w:sz w:val="20"/>
                <w:lang w:val="es-ES_tradnl"/>
              </w:rPr>
              <w:t xml:space="preserve"> (banda estrecha) y </w:t>
            </w:r>
            <w:r w:rsidRPr="00CC6C05">
              <w:rPr>
                <w:rFonts w:eastAsia="MS PGothic"/>
                <w:sz w:val="20"/>
                <w:lang w:val="es-ES_tradnl"/>
              </w:rPr>
              <w:t>−133,1 dB(W/MHz)</w:t>
            </w:r>
            <w:r w:rsidRPr="00CC6C05">
              <w:rPr>
                <w:sz w:val="20"/>
                <w:lang w:val="es-ES_tradnl"/>
              </w:rPr>
              <w:t xml:space="preserve"> (banda amplia).</w:t>
            </w:r>
          </w:p>
          <w:p w14:paraId="760E70E6" w14:textId="77777777" w:rsidR="00CA17D7" w:rsidRDefault="00CA17D7" w:rsidP="00810F61">
            <w:pPr>
              <w:pStyle w:val="TableLegendNote"/>
              <w:rPr>
                <w:sz w:val="20"/>
                <w:lang w:val="es-ES_tradnl"/>
              </w:rPr>
            </w:pPr>
            <w:r w:rsidRPr="00CC6C05">
              <w:rPr>
                <w:sz w:val="20"/>
                <w:lang w:val="es-ES_tradnl"/>
              </w:rPr>
              <w:t xml:space="preserve">NOTA 7 − El nivel </w:t>
            </w:r>
            <w:r w:rsidRPr="00FF7585">
              <w:rPr>
                <w:sz w:val="20"/>
                <w:lang w:val="es-ES_tradnl"/>
              </w:rPr>
              <w:t xml:space="preserve">de saturación a </w:t>
            </w:r>
            <w:r w:rsidRPr="00CC6C05">
              <w:rPr>
                <w:sz w:val="20"/>
                <w:lang w:val="es-ES_tradnl"/>
              </w:rPr>
              <w:t>la entrada se refiere a la potencia en una anchura de banda del filtro precorrelados de 20 MHz.</w:t>
            </w:r>
          </w:p>
          <w:p w14:paraId="2FBA759E" w14:textId="6AD959E4" w:rsidR="0041059B" w:rsidRPr="0041059B" w:rsidRDefault="0041059B" w:rsidP="0041059B">
            <w:pPr>
              <w:pStyle w:val="TableLegendNote"/>
              <w:rPr>
                <w:sz w:val="20"/>
                <w:lang w:val="es-ES_tradnl"/>
              </w:rPr>
            </w:pPr>
            <w:r w:rsidRPr="00CC6C05">
              <w:rPr>
                <w:sz w:val="20"/>
                <w:lang w:val="es-ES_tradnl"/>
              </w:rPr>
              <w:t>NOTA 8 − El nivel de supervivencia es el nivel de potencia de cresta para una señal impulsiva con un factor de actividad máximo del 10%.</w:t>
            </w:r>
          </w:p>
        </w:tc>
      </w:tr>
    </w:tbl>
    <w:p w14:paraId="2316041B" w14:textId="1227E749" w:rsidR="0041059B" w:rsidRPr="00FF7585" w:rsidRDefault="0041059B" w:rsidP="0041059B">
      <w:pPr>
        <w:pStyle w:val="TableNo"/>
        <w:rPr>
          <w:lang w:val="es-ES_tradnl" w:eastAsia="ru-RU"/>
        </w:rPr>
      </w:pPr>
      <w:r w:rsidRPr="00FF7585">
        <w:rPr>
          <w:lang w:val="es-ES_tradnl" w:eastAsia="ru-RU"/>
        </w:rPr>
        <w:t>CUADRO 2-1 (</w:t>
      </w:r>
      <w:r>
        <w:rPr>
          <w:i/>
          <w:iCs/>
          <w:lang w:val="es-ES_tradnl" w:eastAsia="ru-RU"/>
        </w:rPr>
        <w:t>fin</w:t>
      </w:r>
      <w:r w:rsidRPr="00FF7585">
        <w:rPr>
          <w:lang w:val="es-ES_tradnl" w:eastAsia="ru-RU"/>
        </w:rPr>
        <w:t>)</w:t>
      </w:r>
    </w:p>
    <w:tbl>
      <w:tblPr>
        <w:tblW w:w="14464" w:type="dxa"/>
        <w:jc w:val="center"/>
        <w:tblLayout w:type="fixed"/>
        <w:tblLook w:val="0000" w:firstRow="0" w:lastRow="0" w:firstColumn="0" w:lastColumn="0" w:noHBand="0" w:noVBand="0"/>
      </w:tblPr>
      <w:tblGrid>
        <w:gridCol w:w="14464"/>
      </w:tblGrid>
      <w:tr w:rsidR="00CA17D7" w:rsidRPr="00CC6C05" w14:paraId="1C12FBBB" w14:textId="77777777" w:rsidTr="0041059B">
        <w:trPr>
          <w:jc w:val="center"/>
        </w:trPr>
        <w:tc>
          <w:tcPr>
            <w:tcW w:w="14464" w:type="dxa"/>
            <w:vAlign w:val="center"/>
          </w:tcPr>
          <w:p w14:paraId="44E87D1F" w14:textId="77777777" w:rsidR="0041059B" w:rsidRPr="00CC6C05" w:rsidRDefault="0041059B" w:rsidP="0041059B">
            <w:pPr>
              <w:pStyle w:val="TableLegendNote"/>
              <w:rPr>
                <w:sz w:val="20"/>
                <w:lang w:val="es-ES_tradnl"/>
              </w:rPr>
            </w:pPr>
            <w:r w:rsidRPr="00CC6C05">
              <w:rPr>
                <w:sz w:val="20"/>
                <w:lang w:val="es-ES_tradnl"/>
              </w:rPr>
              <w:t>NOTA 9 − Los valores indicados representan las características típicas de los receptores. Bajo ciertas condiciones, podrían exigirse valores más rígidos para algunos parámetros (por ejemplo, tiempo de recuperación tras una sobrecarga, valores umbral de interferencia combinada, etc.).</w:t>
            </w:r>
          </w:p>
          <w:p w14:paraId="20F6D7EC" w14:textId="2614E5C8" w:rsidR="0041059B" w:rsidRDefault="0041059B" w:rsidP="0041059B">
            <w:pPr>
              <w:pStyle w:val="TableLegendNote"/>
              <w:rPr>
                <w:sz w:val="20"/>
                <w:lang w:val="es-ES_tradnl"/>
              </w:rPr>
            </w:pPr>
            <w:r w:rsidRPr="00CC6C05">
              <w:rPr>
                <w:sz w:val="20"/>
                <w:lang w:val="es-ES_tradnl"/>
              </w:rPr>
              <w:t xml:space="preserve">NOTA 10 − Este tipo de receptor funciona en varias frecuencias portadoras simultáneamente, las frecuencias portadoras se definen por </w:t>
            </w:r>
            <w:r w:rsidRPr="00CC6C05">
              <w:rPr>
                <w:i/>
                <w:iCs/>
                <w:sz w:val="20"/>
                <w:lang w:val="es-ES_tradnl"/>
              </w:rPr>
              <w:t>f</w:t>
            </w:r>
            <w:r w:rsidRPr="00CC6C05">
              <w:rPr>
                <w:sz w:val="20"/>
                <w:vertAlign w:val="subscript"/>
                <w:lang w:val="es-ES_tradnl"/>
              </w:rPr>
              <w:t>c</w:t>
            </w:r>
            <w:r w:rsidRPr="00CC6C05">
              <w:rPr>
                <w:sz w:val="20"/>
                <w:lang w:val="es-ES_tradnl"/>
              </w:rPr>
              <w:t xml:space="preserve"> (MHz) = 1 204,704 + 0,423</w:t>
            </w:r>
            <w:r w:rsidRPr="00CC6C05">
              <w:rPr>
                <w:i/>
                <w:iCs/>
                <w:sz w:val="20"/>
                <w:lang w:val="es-ES_tradnl"/>
              </w:rPr>
              <w:t>K</w:t>
            </w:r>
            <w:r w:rsidRPr="00CC6C05">
              <w:rPr>
                <w:sz w:val="20"/>
                <w:lang w:val="es-ES_tradnl"/>
              </w:rPr>
              <w:t xml:space="preserve">, siendo </w:t>
            </w:r>
            <w:r w:rsidRPr="00CC6C05">
              <w:rPr>
                <w:i/>
                <w:iCs/>
                <w:sz w:val="20"/>
                <w:lang w:val="es-ES_tradnl"/>
              </w:rPr>
              <w:t>K</w:t>
            </w:r>
            <w:r w:rsidRPr="00CC6C05">
              <w:rPr>
                <w:sz w:val="20"/>
                <w:lang w:val="es-ES_tradnl"/>
              </w:rPr>
              <w:t> = −7 a +12 (señales del SRNS).</w:t>
            </w:r>
          </w:p>
          <w:p w14:paraId="4D156165" w14:textId="4E6F5AAF" w:rsidR="00CA17D7" w:rsidRPr="00CC6C05" w:rsidRDefault="00CA17D7" w:rsidP="00810F61">
            <w:pPr>
              <w:pStyle w:val="TableLegendNote"/>
              <w:rPr>
                <w:sz w:val="20"/>
                <w:lang w:val="es-ES_tradnl"/>
              </w:rPr>
            </w:pPr>
            <w:r w:rsidRPr="00CC6C05">
              <w:rPr>
                <w:sz w:val="20"/>
                <w:lang w:val="es-ES_tradnl"/>
              </w:rPr>
              <w:t>NOTA 11 − La mínima ganancia de antena del receptor para un ángulo de elevación de 5º es −</w:t>
            </w:r>
            <w:r w:rsidRPr="00FF7585">
              <w:rPr>
                <w:sz w:val="20"/>
                <w:lang w:val="es-ES_tradnl"/>
              </w:rPr>
              <w:t>5,5 dBic.</w:t>
            </w:r>
          </w:p>
          <w:p w14:paraId="48464DD6" w14:textId="77777777" w:rsidR="00CA17D7" w:rsidRPr="00CC6C05" w:rsidRDefault="00CA17D7" w:rsidP="00810F61">
            <w:pPr>
              <w:pStyle w:val="TableLegendNote"/>
              <w:rPr>
                <w:sz w:val="20"/>
                <w:lang w:val="es-ES_tradnl"/>
              </w:rPr>
            </w:pPr>
            <w:r w:rsidRPr="00CC6C05">
              <w:rPr>
                <w:sz w:val="20"/>
                <w:lang w:val="es-ES_tradnl"/>
              </w:rPr>
              <w:t>NOTA 12 − Esta columna del Cuadro cubre las características y umbrales de receptores que funcionan en la banda 1 164-1 215 MHz. Para las características y umbrales de receptores que también realizan la adquisición y el seguimiento de señales del SRNS en las bandas 1 215-1 300 MHz y/o 1 559-1 610 MHz véanse además las Recomendaciones UIT</w:t>
            </w:r>
            <w:r w:rsidRPr="00CC6C05">
              <w:rPr>
                <w:sz w:val="20"/>
                <w:lang w:val="es-ES_tradnl"/>
              </w:rPr>
              <w:noBreakHyphen/>
              <w:t>R M.1902 y/o UIT</w:t>
            </w:r>
            <w:r w:rsidRPr="00CC6C05">
              <w:rPr>
                <w:sz w:val="20"/>
                <w:lang w:val="es-ES_tradnl"/>
              </w:rPr>
              <w:noBreakHyphen/>
              <w:t xml:space="preserve">R M.1903. Las características y los niveles de protección indicados en esta columna también se aplican a los receptores del SRNS diseñados para funcionar en aplicaciones del SRNS especializadas (véase en el § 2.2 la definición de alta precisión). Los parámetros de la respuesta </w:t>
            </w:r>
            <w:r w:rsidRPr="00FF7585">
              <w:rPr>
                <w:sz w:val="20"/>
                <w:lang w:val="es-ES_tradnl"/>
              </w:rPr>
              <w:t xml:space="preserve">de </w:t>
            </w:r>
            <w:r w:rsidRPr="00CC6C05">
              <w:rPr>
                <w:sz w:val="20"/>
                <w:lang w:val="es-ES_tradnl"/>
              </w:rPr>
              <w:t>este tipo de receptor a la interferencia impulsiv</w:t>
            </w:r>
            <w:r w:rsidRPr="00FF7585">
              <w:rPr>
                <w:sz w:val="20"/>
                <w:lang w:val="es-ES_tradnl"/>
              </w:rPr>
              <w:t>a</w:t>
            </w:r>
            <w:r w:rsidRPr="00CC6C05">
              <w:rPr>
                <w:sz w:val="20"/>
                <w:lang w:val="es-ES_tradnl"/>
              </w:rPr>
              <w:t xml:space="preserve"> deben ser objeto de más estudio en el marco de los trabajos del UIT-R sobre un método de evaluación general de la interferencia de RF impulsiva.</w:t>
            </w:r>
          </w:p>
          <w:p w14:paraId="4C24E508" w14:textId="77777777" w:rsidR="00CA17D7" w:rsidRPr="00FF7585" w:rsidRDefault="00CA17D7" w:rsidP="00810F61">
            <w:pPr>
              <w:pStyle w:val="TableLegendNote"/>
              <w:rPr>
                <w:sz w:val="20"/>
                <w:lang w:val="es-ES_tradnl"/>
              </w:rPr>
            </w:pPr>
            <w:r w:rsidRPr="00CC6C05">
              <w:rPr>
                <w:sz w:val="20"/>
                <w:lang w:val="es-ES_tradnl"/>
              </w:rPr>
              <w:t>NOTA 13 − Este umbral debe tener en cuenta toda la interferencia combinada. El valor umbral no incluye ningún margen de seguridad. Para el procesamiento de la señal con AMDF o AMDC (frecuencia portadora 1 202</w:t>
            </w:r>
            <w:r w:rsidRPr="00FF7585">
              <w:rPr>
                <w:sz w:val="20"/>
                <w:lang w:val="es-ES_tradnl"/>
              </w:rPr>
              <w:t>,</w:t>
            </w:r>
            <w:r w:rsidRPr="00CC6C05">
              <w:rPr>
                <w:sz w:val="20"/>
                <w:lang w:val="es-ES_tradnl"/>
              </w:rPr>
              <w:t>025 MHz) se considera que la interferencia continua de banda estrecha tiene una anchura de banda inferior a 1 kHz. Se considera que la interferencia continua de banda amplia tiene una anchura de banda superior a 500 kHz</w:t>
            </w:r>
            <w:r w:rsidRPr="00FF7585">
              <w:rPr>
                <w:sz w:val="20"/>
                <w:lang w:val="es-ES_tradnl"/>
              </w:rPr>
              <w:t>.</w:t>
            </w:r>
            <w:r w:rsidRPr="00FF7585">
              <w:rPr>
                <w:lang w:val="es-ES_tradnl"/>
              </w:rPr>
              <w:t xml:space="preserve"> </w:t>
            </w:r>
            <w:r w:rsidRPr="00FF7585">
              <w:rPr>
                <w:sz w:val="20"/>
                <w:lang w:val="es-ES_tradnl"/>
              </w:rPr>
              <w:t>Los umbrales para el ancho de banda de interferencia entre 1 kHz y 500 kHz pueden requerir más estudios.</w:t>
            </w:r>
          </w:p>
          <w:p w14:paraId="3E733906" w14:textId="77777777" w:rsidR="00CA17D7" w:rsidRPr="00CC6C05" w:rsidRDefault="00CA17D7" w:rsidP="00810F61">
            <w:pPr>
              <w:pStyle w:val="TableLegendNote"/>
              <w:rPr>
                <w:sz w:val="20"/>
                <w:lang w:val="es-ES_tradnl"/>
              </w:rPr>
            </w:pPr>
            <w:r w:rsidRPr="00CC6C05">
              <w:rPr>
                <w:sz w:val="20"/>
                <w:lang w:val="es-ES_tradnl"/>
              </w:rPr>
              <w:t xml:space="preserve">NOTA 14 </w:t>
            </w:r>
            <w:r w:rsidRPr="00FF7585">
              <w:rPr>
                <w:sz w:val="20"/>
                <w:lang w:val="es-ES_tradnl"/>
              </w:rPr>
              <w:t>–</w:t>
            </w:r>
            <w:r w:rsidRPr="00CC6C05">
              <w:rPr>
                <w:sz w:val="20"/>
                <w:lang w:val="es-ES_tradnl"/>
              </w:rPr>
              <w:t xml:space="preserve"> En el caso de los receptores que funcionan con la frecuencia portadora de 1 176,45 MHz, el nivel de saturación a la entrada del receptor se aplica en el ancho de banda de </w:t>
            </w:r>
            <w:r w:rsidRPr="00FF7585">
              <w:rPr>
                <w:sz w:val="20"/>
                <w:lang w:val="es-ES_tradnl"/>
              </w:rPr>
              <w:t>–</w:t>
            </w:r>
            <w:r w:rsidRPr="00CC6C05">
              <w:rPr>
                <w:sz w:val="20"/>
                <w:lang w:val="es-ES_tradnl"/>
              </w:rPr>
              <w:t>3 dB del filtro de RF correspondiente. Para otras frecuencias portadoras, se está estudiando actualmente el ancho de banda de RF correspondiente para el nivel de saturación a la entrada del receptor.</w:t>
            </w:r>
          </w:p>
          <w:p w14:paraId="655F8234" w14:textId="77777777" w:rsidR="00CA17D7" w:rsidRPr="00CC6C05" w:rsidRDefault="00CA17D7" w:rsidP="00810F61">
            <w:pPr>
              <w:pStyle w:val="TableLegendNote"/>
              <w:rPr>
                <w:sz w:val="20"/>
                <w:lang w:val="es-ES_tradnl"/>
              </w:rPr>
            </w:pPr>
            <w:r w:rsidRPr="00CC6C05">
              <w:rPr>
                <w:sz w:val="20"/>
                <w:lang w:val="es-ES_tradnl"/>
              </w:rPr>
              <w:t xml:space="preserve">NOTA 15 </w:t>
            </w:r>
            <w:r w:rsidRPr="00FF7585">
              <w:rPr>
                <w:sz w:val="20"/>
                <w:lang w:val="es-ES_tradnl"/>
              </w:rPr>
              <w:t>–</w:t>
            </w:r>
            <w:r w:rsidRPr="00CC6C05">
              <w:rPr>
                <w:sz w:val="20"/>
                <w:lang w:val="es-ES_tradnl"/>
              </w:rPr>
              <w:t xml:space="preserve"> Los valores de esta fila deben utilizarse para evaluar la interferencia causada por fuentes impulsivas junto con la metodología descrita en la Recomendación UIT</w:t>
            </w:r>
            <w:r w:rsidRPr="00FF7585">
              <w:rPr>
                <w:sz w:val="20"/>
                <w:lang w:val="es-ES_tradnl"/>
              </w:rPr>
              <w:noBreakHyphen/>
            </w:r>
            <w:r w:rsidRPr="00CC6C05">
              <w:rPr>
                <w:sz w:val="20"/>
                <w:lang w:val="es-ES_tradnl"/>
              </w:rPr>
              <w:t>R</w:t>
            </w:r>
            <w:r w:rsidRPr="00FF7585">
              <w:rPr>
                <w:sz w:val="20"/>
                <w:lang w:val="es-ES_tradnl"/>
              </w:rPr>
              <w:t> </w:t>
            </w:r>
            <w:r w:rsidRPr="00CC6C05">
              <w:rPr>
                <w:sz w:val="20"/>
                <w:lang w:val="es-ES_tradnl"/>
              </w:rPr>
              <w:t>M.2030.</w:t>
            </w:r>
          </w:p>
        </w:tc>
      </w:tr>
    </w:tbl>
    <w:p w14:paraId="1F4FEB8F" w14:textId="77777777" w:rsidR="00CA17D7" w:rsidRPr="00FF7585" w:rsidRDefault="00CA17D7" w:rsidP="00CA17D7">
      <w:pPr>
        <w:pStyle w:val="Reasons"/>
        <w:rPr>
          <w:lang w:val="es-ES_tradnl"/>
        </w:rPr>
      </w:pPr>
    </w:p>
    <w:p w14:paraId="580C9062" w14:textId="77777777" w:rsidR="00CA17D7" w:rsidRPr="00FF7585" w:rsidRDefault="00CA17D7" w:rsidP="00CA17D7">
      <w:pPr>
        <w:jc w:val="center"/>
        <w:rPr>
          <w:lang w:val="es-ES_tradnl"/>
        </w:rPr>
      </w:pPr>
      <w:r w:rsidRPr="00FF7585">
        <w:rPr>
          <w:lang w:val="es-ES_tradnl"/>
        </w:rPr>
        <w:t>______________</w:t>
      </w:r>
    </w:p>
    <w:p w14:paraId="0732A2F5" w14:textId="77777777" w:rsidR="00574749" w:rsidRDefault="00574749" w:rsidP="0021735B">
      <w:pPr>
        <w:rPr>
          <w:lang w:val="es-ES_tradnl"/>
        </w:rPr>
      </w:pPr>
    </w:p>
    <w:sectPr w:rsidR="00574749" w:rsidSect="00925CAA">
      <w:headerReference w:type="even" r:id="rId17"/>
      <w:headerReference w:type="default"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CB360" w14:textId="77777777" w:rsidR="00A07AEB" w:rsidRDefault="00A07AEB">
      <w:r>
        <w:separator/>
      </w:r>
    </w:p>
  </w:endnote>
  <w:endnote w:type="continuationSeparator" w:id="0">
    <w:p w14:paraId="28E4CB11"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2D07" w14:textId="77777777" w:rsidR="00CA17D7" w:rsidRPr="00915A38" w:rsidRDefault="00CA17D7" w:rsidP="00915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B685C" w14:textId="42618BA5" w:rsidR="00CA17D7" w:rsidRPr="00554160" w:rsidRDefault="00CA17D7">
    <w:pPr>
      <w:pStyle w:val="Footer"/>
      <w:rPr>
        <w:lang w:val="en-US"/>
      </w:rPr>
    </w:pPr>
    <w:r>
      <w:fldChar w:fldCharType="begin"/>
    </w:r>
    <w:r w:rsidRPr="00554160">
      <w:rPr>
        <w:lang w:val="en-US"/>
      </w:rPr>
      <w:instrText xml:space="preserve"> FILENAME \p  \* MERGEFORMAT </w:instrText>
    </w:r>
    <w:r>
      <w:fldChar w:fldCharType="separate"/>
    </w:r>
    <w:r w:rsidR="003F537A">
      <w:rPr>
        <w:lang w:val="en-US"/>
      </w:rPr>
      <w:t>P:\QPUB\BR\REC\M\1905-1\M1905-1S.docx</w:t>
    </w:r>
    <w:r>
      <w:fldChar w:fldCharType="end"/>
    </w:r>
    <w:r w:rsidRPr="00554160">
      <w:rPr>
        <w:lang w:val="en-US"/>
      </w:rPr>
      <w:t xml:space="preserve"> (314429)</w:t>
    </w:r>
    <w:r w:rsidRPr="00554160">
      <w:rPr>
        <w:lang w:val="en-US"/>
      </w:rPr>
      <w:tab/>
    </w:r>
    <w:r>
      <w:fldChar w:fldCharType="begin"/>
    </w:r>
    <w:r>
      <w:instrText xml:space="preserve"> SAVEDATE \@ DD.MM.YY </w:instrText>
    </w:r>
    <w:r>
      <w:fldChar w:fldCharType="separate"/>
    </w:r>
    <w:r w:rsidR="003F537A">
      <w:t>16.06.20</w:t>
    </w:r>
    <w:r>
      <w:fldChar w:fldCharType="end"/>
    </w:r>
    <w:r w:rsidRPr="00554160">
      <w:rPr>
        <w:lang w:val="en-US"/>
      </w:rPr>
      <w:tab/>
    </w:r>
    <w:r>
      <w:fldChar w:fldCharType="begin"/>
    </w:r>
    <w:r>
      <w:instrText xml:space="preserve"> PRINTDATE \@ DD.MM.YY </w:instrText>
    </w:r>
    <w:r>
      <w:fldChar w:fldCharType="separate"/>
    </w:r>
    <w:r w:rsidR="003F537A">
      <w:t>16.06.20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23652" w14:textId="77777777" w:rsidR="00A07AEB" w:rsidRDefault="00A07AEB">
      <w:r>
        <w:separator/>
      </w:r>
    </w:p>
  </w:footnote>
  <w:footnote w:type="continuationSeparator" w:id="0">
    <w:p w14:paraId="5293F31D" w14:textId="77777777" w:rsidR="00A07AEB" w:rsidRDefault="00A07AEB">
      <w:r>
        <w:continuationSeparator/>
      </w:r>
    </w:p>
  </w:footnote>
  <w:footnote w:id="1">
    <w:p w14:paraId="750BEBB8" w14:textId="77777777" w:rsidR="00CA17D7" w:rsidRPr="009E5EE2" w:rsidRDefault="00CA17D7" w:rsidP="00CA17D7">
      <w:pPr>
        <w:pStyle w:val="FootnoteText"/>
        <w:rPr>
          <w:lang w:val="es-ES_tradnl"/>
        </w:rPr>
      </w:pPr>
      <w:r>
        <w:rPr>
          <w:rStyle w:val="FootnoteReference"/>
        </w:rPr>
        <w:footnoteRef/>
      </w:r>
      <w:r w:rsidRPr="009E5EE2">
        <w:rPr>
          <w:lang w:val="es-ES_tradnl"/>
        </w:rPr>
        <w:t xml:space="preserve"> </w:t>
      </w:r>
      <w:r>
        <w:rPr>
          <w:lang w:val="es-ES_tradnl"/>
        </w:rPr>
        <w:tab/>
      </w:r>
      <w:r w:rsidRPr="00507A54">
        <w:rPr>
          <w:lang w:val="es-ES_tradnl"/>
        </w:rPr>
        <w:t>Este texto aparece en el Anexo 5 a la anterior Recomenda</w:t>
      </w:r>
      <w:r>
        <w:rPr>
          <w:lang w:val="es-ES_tradnl"/>
        </w:rPr>
        <w:t>ció</w:t>
      </w:r>
      <w:r w:rsidRPr="00507A54">
        <w:rPr>
          <w:lang w:val="es-ES_tradnl"/>
        </w:rPr>
        <w:t>n U</w:t>
      </w:r>
      <w:r>
        <w:rPr>
          <w:lang w:val="es-ES_tradnl"/>
        </w:rPr>
        <w:t>IT</w:t>
      </w:r>
      <w:r>
        <w:rPr>
          <w:lang w:val="es-ES_tradnl"/>
        </w:rPr>
        <w:noBreakHyphen/>
      </w:r>
      <w:r w:rsidRPr="00507A54">
        <w:rPr>
          <w:lang w:val="es-ES_tradnl"/>
        </w:rPr>
        <w:t>R M.1477 (G</w:t>
      </w:r>
      <w:r>
        <w:rPr>
          <w:lang w:val="es-ES_tradnl"/>
        </w:rPr>
        <w:t>inebra</w:t>
      </w:r>
      <w:r w:rsidRPr="00507A54">
        <w:rPr>
          <w:lang w:val="es-ES_tradnl"/>
        </w:rPr>
        <w:t>, 2000).</w:t>
      </w:r>
    </w:p>
  </w:footnote>
  <w:footnote w:id="2">
    <w:p w14:paraId="655EF62A" w14:textId="77777777" w:rsidR="00CA17D7" w:rsidRPr="00A06A72" w:rsidRDefault="00CA17D7" w:rsidP="00CA17D7">
      <w:pPr>
        <w:pStyle w:val="FootnoteText"/>
        <w:rPr>
          <w:lang w:val="es-ES_tradnl"/>
        </w:rPr>
      </w:pPr>
      <w:r>
        <w:rPr>
          <w:rStyle w:val="FootnoteReference"/>
        </w:rPr>
        <w:footnoteRef/>
      </w:r>
      <w:r w:rsidRPr="00A06A72">
        <w:rPr>
          <w:lang w:val="es-ES_tradnl"/>
        </w:rPr>
        <w:tab/>
        <w:t>GNSS se refiere al sistema mundial de navegación por satélite, que es un conjunto de sistemas del SRNS que proporciona señales de sat</w:t>
      </w:r>
      <w:r>
        <w:rPr>
          <w:lang w:val="es-ES_tradnl"/>
        </w:rPr>
        <w:t>élite para la radionavegación aeronáutica reconocidas por la OACI</w:t>
      </w:r>
      <w:r w:rsidRPr="00A06A72">
        <w:rPr>
          <w:lang w:val="es-ES_tradnl"/>
        </w:rPr>
        <w:t>.</w:t>
      </w:r>
    </w:p>
  </w:footnote>
  <w:footnote w:id="3">
    <w:p w14:paraId="0716A112" w14:textId="77777777" w:rsidR="00CA17D7" w:rsidRPr="001E07AF" w:rsidRDefault="00CA17D7" w:rsidP="00CA17D7">
      <w:pPr>
        <w:pStyle w:val="FootnoteText"/>
        <w:rPr>
          <w:lang w:val="es-ES_tradnl"/>
        </w:rPr>
      </w:pPr>
      <w:r>
        <w:rPr>
          <w:rStyle w:val="FootnoteReference"/>
        </w:rPr>
        <w:footnoteRef/>
      </w:r>
      <w:r w:rsidRPr="001E07AF">
        <w:rPr>
          <w:lang w:val="es-ES_tradnl"/>
        </w:rPr>
        <w:tab/>
        <w:t>La interferencia no aeronáutica se refiere a la interferencia procedente de fuentes distintas a las del equipo de medici</w:t>
      </w:r>
      <w:r>
        <w:rPr>
          <w:lang w:val="es-ES_tradnl"/>
        </w:rPr>
        <w:t>ón de distancias (DME), a las del sistema de navegación táctica aérea (TACAN) y a los equipos instalados en aeronaves equipadas con receptores del GNSS</w:t>
      </w:r>
      <w:r w:rsidRPr="001E07AF">
        <w:rPr>
          <w:lang w:val="es-ES_tradnl"/>
        </w:rPr>
        <w:t>.</w:t>
      </w:r>
    </w:p>
  </w:footnote>
  <w:footnote w:id="4">
    <w:p w14:paraId="0A2DF407" w14:textId="77777777" w:rsidR="00CA17D7" w:rsidRPr="00617224" w:rsidRDefault="00CA17D7" w:rsidP="00CA17D7">
      <w:pPr>
        <w:pStyle w:val="FootnoteText"/>
        <w:rPr>
          <w:lang w:val="es-ES_tradnl"/>
        </w:rPr>
      </w:pPr>
      <w:r>
        <w:rPr>
          <w:rStyle w:val="FootnoteReference"/>
        </w:rPr>
        <w:footnoteRef/>
      </w:r>
      <w:r w:rsidRPr="00617224">
        <w:rPr>
          <w:lang w:val="es-ES_tradnl"/>
        </w:rPr>
        <w:tab/>
        <w:t>SBAS se refiere al sistema de aumento basado en satélite que es un m</w:t>
      </w:r>
      <w:r>
        <w:rPr>
          <w:lang w:val="es-ES_tradnl"/>
        </w:rPr>
        <w:t>étodo para proporcionar la corrección de errores en las mediciones regionales y datos de integridad del SRNS a través de una señal de satélite geoestacionario</w:t>
      </w:r>
      <w:r w:rsidRPr="00617224">
        <w:rPr>
          <w:lang w:val="es-ES_tradnl"/>
        </w:rPr>
        <w:t>.</w:t>
      </w:r>
    </w:p>
  </w:footnote>
  <w:footnote w:id="5">
    <w:p w14:paraId="1FF764C5" w14:textId="77777777" w:rsidR="00CA17D7" w:rsidRPr="001533F3" w:rsidRDefault="00CA17D7" w:rsidP="00CA17D7">
      <w:pPr>
        <w:pStyle w:val="FootnoteText"/>
        <w:rPr>
          <w:lang w:val="es-ES_tradnl"/>
        </w:rPr>
      </w:pPr>
      <w:r>
        <w:rPr>
          <w:rStyle w:val="FootnoteReference"/>
        </w:rPr>
        <w:footnoteRef/>
      </w:r>
      <w:r w:rsidRPr="001533F3">
        <w:rPr>
          <w:lang w:val="es-ES_tradnl"/>
        </w:rPr>
        <w:tab/>
      </w:r>
      <w:r>
        <w:rPr>
          <w:lang w:val="es-ES_tradnl"/>
        </w:rPr>
        <w:t>El término</w:t>
      </w:r>
      <w:r w:rsidRPr="001533F3">
        <w:rPr>
          <w:lang w:val="es-ES_tradnl"/>
        </w:rPr>
        <w:t xml:space="preserve"> «AMDC» se refiere a la utilizaci</w:t>
      </w:r>
      <w:r>
        <w:rPr>
          <w:lang w:val="es-ES_tradnl"/>
        </w:rPr>
        <w:t>ón de la técnica de modulación mediante acceso múltiple por división de código en la que todos los satélites del</w:t>
      </w:r>
      <w:r w:rsidRPr="001533F3">
        <w:rPr>
          <w:lang w:val="es-ES_tradnl"/>
        </w:rPr>
        <w:t xml:space="preserve"> RNSS </w:t>
      </w:r>
      <w:r>
        <w:rPr>
          <w:lang w:val="es-ES_tradnl"/>
        </w:rPr>
        <w:t>y el</w:t>
      </w:r>
      <w:r w:rsidRPr="001533F3">
        <w:rPr>
          <w:lang w:val="es-ES_tradnl"/>
        </w:rPr>
        <w:t xml:space="preserve"> SBAS </w:t>
      </w:r>
      <w:r>
        <w:rPr>
          <w:lang w:val="es-ES_tradnl"/>
        </w:rPr>
        <w:t>transmiten en la misma frecuencia portadora, pero con distintos códigos de modulación</w:t>
      </w:r>
      <w:r w:rsidRPr="001533F3">
        <w:rPr>
          <w:lang w:val="es-ES_tradnl"/>
        </w:rPr>
        <w:t xml:space="preserve">. </w:t>
      </w:r>
      <w:r>
        <w:rPr>
          <w:lang w:val="es-ES_tradnl"/>
        </w:rPr>
        <w:t>En el</w:t>
      </w:r>
      <w:r w:rsidRPr="001533F3">
        <w:rPr>
          <w:lang w:val="es-ES_tradnl"/>
        </w:rPr>
        <w:t xml:space="preserve"> Anex</w:t>
      </w:r>
      <w:r>
        <w:rPr>
          <w:lang w:val="es-ES_tradnl"/>
        </w:rPr>
        <w:t>o</w:t>
      </w:r>
      <w:r w:rsidRPr="001533F3">
        <w:rPr>
          <w:lang w:val="es-ES_tradnl"/>
        </w:rPr>
        <w:t xml:space="preserve"> 2 (GPS) </w:t>
      </w:r>
      <w:r>
        <w:rPr>
          <w:lang w:val="es-ES_tradnl"/>
        </w:rPr>
        <w:t xml:space="preserve">de la </w:t>
      </w:r>
      <w:r w:rsidRPr="001533F3">
        <w:rPr>
          <w:lang w:val="es-ES_tradnl"/>
        </w:rPr>
        <w:t>Recomenda</w:t>
      </w:r>
      <w:r>
        <w:rPr>
          <w:lang w:val="es-ES_tradnl"/>
        </w:rPr>
        <w:t>ció</w:t>
      </w:r>
      <w:r w:rsidRPr="001533F3">
        <w:rPr>
          <w:lang w:val="es-ES_tradnl"/>
        </w:rPr>
        <w:t>n U</w:t>
      </w:r>
      <w:r>
        <w:rPr>
          <w:lang w:val="es-ES_tradnl"/>
        </w:rPr>
        <w:t>IT</w:t>
      </w:r>
      <w:r w:rsidRPr="001533F3">
        <w:rPr>
          <w:lang w:val="es-ES_tradnl"/>
        </w:rPr>
        <w:noBreakHyphen/>
        <w:t>R</w:t>
      </w:r>
      <w:r>
        <w:rPr>
          <w:lang w:val="es-ES_tradnl"/>
        </w:rPr>
        <w:t> </w:t>
      </w:r>
      <w:r w:rsidRPr="001533F3">
        <w:rPr>
          <w:lang w:val="es-ES_tradnl"/>
        </w:rPr>
        <w:t>M.1787</w:t>
      </w:r>
      <w:r>
        <w:rPr>
          <w:lang w:val="es-ES_tradnl"/>
        </w:rPr>
        <w:t xml:space="preserve"> aparecen más detalles sobre la señal</w:t>
      </w:r>
      <w:r w:rsidRPr="001533F3">
        <w:rPr>
          <w:lang w:val="es-ES_tradnl"/>
        </w:rPr>
        <w:t>.</w:t>
      </w:r>
    </w:p>
  </w:footnote>
  <w:footnote w:id="6">
    <w:p w14:paraId="70E1A431" w14:textId="77777777" w:rsidR="00CA17D7" w:rsidRPr="00FC3522" w:rsidRDefault="00CA17D7" w:rsidP="00CA17D7">
      <w:pPr>
        <w:pStyle w:val="FootnoteText"/>
        <w:rPr>
          <w:lang w:val="es-ES_tradnl"/>
        </w:rPr>
      </w:pPr>
      <w:r>
        <w:rPr>
          <w:rStyle w:val="FootnoteReference"/>
        </w:rPr>
        <w:footnoteRef/>
      </w:r>
      <w:r w:rsidRPr="00FC3522">
        <w:rPr>
          <w:lang w:val="es-ES_tradnl"/>
        </w:rPr>
        <w:tab/>
      </w:r>
      <w:r>
        <w:rPr>
          <w:lang w:val="es-ES_tradnl"/>
        </w:rPr>
        <w:t>El término</w:t>
      </w:r>
      <w:r w:rsidRPr="001533F3">
        <w:rPr>
          <w:lang w:val="es-ES_tradnl"/>
        </w:rPr>
        <w:t xml:space="preserve"> «</w:t>
      </w:r>
      <w:r>
        <w:rPr>
          <w:lang w:val="es-ES_tradnl"/>
        </w:rPr>
        <w:t>AMDF</w:t>
      </w:r>
      <w:r w:rsidRPr="001533F3">
        <w:rPr>
          <w:lang w:val="es-ES_tradnl"/>
        </w:rPr>
        <w:t>» se refiere</w:t>
      </w:r>
      <w:r>
        <w:rPr>
          <w:lang w:val="es-ES_tradnl"/>
        </w:rPr>
        <w:t xml:space="preserve"> a la técnica de modulación mediante acceso múltiple por división de frecuencia en la que todos los satélites del SRNS utilizan el mismo código de modulación, pero cada satélite transmite en una frecuencia portadora distinta. El término </w:t>
      </w:r>
      <w:r w:rsidRPr="001533F3">
        <w:rPr>
          <w:lang w:val="es-ES_tradnl"/>
        </w:rPr>
        <w:t>«</w:t>
      </w:r>
      <w:r>
        <w:rPr>
          <w:lang w:val="es-ES_tradnl"/>
        </w:rPr>
        <w:t>AMDC</w:t>
      </w:r>
      <w:r w:rsidRPr="001533F3">
        <w:rPr>
          <w:lang w:val="es-ES_tradnl"/>
        </w:rPr>
        <w:t>»</w:t>
      </w:r>
      <w:r>
        <w:rPr>
          <w:lang w:val="es-ES_tradnl"/>
        </w:rPr>
        <w:t xml:space="preserve"> se refiere a una técnica en la que todas las señales de satélites del SRNS se transmiten en la misma frecuencia portadora con diferentes códigos de modulación. En el Anexo 1 (GLONASS) a la Recomendación UIT-R M.1787 aparecen más detalles sobre la señal.</w:t>
      </w:r>
    </w:p>
  </w:footnote>
  <w:footnote w:id="7">
    <w:p w14:paraId="1B64E8B5" w14:textId="77777777" w:rsidR="00CA17D7" w:rsidRPr="008D007B" w:rsidRDefault="00CA17D7" w:rsidP="00CA17D7">
      <w:pPr>
        <w:pStyle w:val="FootnoteText"/>
        <w:rPr>
          <w:lang w:val="es-ES_tradnl"/>
        </w:rPr>
      </w:pPr>
      <w:r>
        <w:rPr>
          <w:rStyle w:val="FootnoteReference"/>
        </w:rPr>
        <w:footnoteRef/>
      </w:r>
      <w:r w:rsidRPr="008D007B">
        <w:rPr>
          <w:lang w:val="es-ES_tradnl"/>
        </w:rPr>
        <w:tab/>
        <w:t>En el Anexo 3 (Galileo) a la Recomendaci</w:t>
      </w:r>
      <w:r>
        <w:rPr>
          <w:lang w:val="es-ES_tradnl"/>
        </w:rPr>
        <w:t>ó</w:t>
      </w:r>
      <w:r w:rsidRPr="008D007B">
        <w:rPr>
          <w:lang w:val="es-ES_tradnl"/>
        </w:rPr>
        <w:t>n U</w:t>
      </w:r>
      <w:r>
        <w:rPr>
          <w:lang w:val="es-ES_tradnl"/>
        </w:rPr>
        <w:t>IT</w:t>
      </w:r>
      <w:r w:rsidRPr="008D007B">
        <w:rPr>
          <w:lang w:val="es-ES_tradnl"/>
        </w:rPr>
        <w:noBreakHyphen/>
        <w:t xml:space="preserve">R M.1787 </w:t>
      </w:r>
      <w:r>
        <w:rPr>
          <w:lang w:val="es-ES_tradnl"/>
        </w:rPr>
        <w:t>aparecen más detalles sobre la señal E5a</w:t>
      </w:r>
      <w:r w:rsidRPr="008D007B">
        <w:rPr>
          <w:lang w:val="es-ES_tradnl"/>
        </w:rPr>
        <w:t>.</w:t>
      </w:r>
    </w:p>
  </w:footnote>
  <w:footnote w:id="8">
    <w:p w14:paraId="094039CE" w14:textId="77777777" w:rsidR="00CA17D7" w:rsidRPr="00453CEF" w:rsidRDefault="00CA17D7" w:rsidP="00CA17D7">
      <w:pPr>
        <w:pStyle w:val="FootnoteText"/>
        <w:rPr>
          <w:lang w:val="es-ES_tradnl"/>
        </w:rPr>
      </w:pPr>
      <w:r>
        <w:rPr>
          <w:rStyle w:val="FootnoteReference"/>
        </w:rPr>
        <w:footnoteRef/>
      </w:r>
      <w:r w:rsidRPr="00453CEF">
        <w:rPr>
          <w:lang w:val="es-ES_tradnl"/>
        </w:rPr>
        <w:tab/>
      </w:r>
      <w:r w:rsidRPr="008D007B">
        <w:rPr>
          <w:lang w:val="es-ES_tradnl"/>
        </w:rPr>
        <w:t xml:space="preserve">En el Anexo </w:t>
      </w:r>
      <w:r>
        <w:rPr>
          <w:lang w:val="es-ES_tradnl"/>
        </w:rPr>
        <w:t>7</w:t>
      </w:r>
      <w:r w:rsidRPr="008D007B">
        <w:rPr>
          <w:lang w:val="es-ES_tradnl"/>
        </w:rPr>
        <w:t xml:space="preserve"> </w:t>
      </w:r>
      <w:r w:rsidRPr="00453CEF">
        <w:rPr>
          <w:lang w:val="es-ES_tradnl"/>
        </w:rPr>
        <w:t xml:space="preserve">(COMPASS) </w:t>
      </w:r>
      <w:r w:rsidRPr="008D007B">
        <w:rPr>
          <w:lang w:val="es-ES_tradnl"/>
        </w:rPr>
        <w:t>a la Recomendaci</w:t>
      </w:r>
      <w:r>
        <w:rPr>
          <w:lang w:val="es-ES_tradnl"/>
        </w:rPr>
        <w:t>ó</w:t>
      </w:r>
      <w:r w:rsidRPr="008D007B">
        <w:rPr>
          <w:lang w:val="es-ES_tradnl"/>
        </w:rPr>
        <w:t>n U</w:t>
      </w:r>
      <w:r>
        <w:rPr>
          <w:lang w:val="es-ES_tradnl"/>
        </w:rPr>
        <w:t>IT</w:t>
      </w:r>
      <w:r w:rsidRPr="008D007B">
        <w:rPr>
          <w:lang w:val="es-ES_tradnl"/>
        </w:rPr>
        <w:noBreakHyphen/>
        <w:t xml:space="preserve">R M.1787 </w:t>
      </w:r>
      <w:r>
        <w:rPr>
          <w:lang w:val="es-ES_tradnl"/>
        </w:rPr>
        <w:t>aparecen más detalles sobre la señal </w:t>
      </w:r>
      <w:r w:rsidRPr="009F2634">
        <w:rPr>
          <w:lang w:val="es-ES_tradnl"/>
        </w:rPr>
        <w:t>B2</w:t>
      </w:r>
      <w:r w:rsidRPr="008D007B">
        <w:rPr>
          <w:lang w:val="es-ES_tradnl"/>
        </w:rPr>
        <w:t>.</w:t>
      </w:r>
    </w:p>
  </w:footnote>
  <w:footnote w:id="9">
    <w:p w14:paraId="7FF64356" w14:textId="77777777" w:rsidR="00CA17D7" w:rsidRPr="00CC6C05" w:rsidRDefault="00CA17D7" w:rsidP="00CA17D7">
      <w:pPr>
        <w:pStyle w:val="FootnoteText"/>
        <w:rPr>
          <w:lang w:val="es-ES"/>
        </w:rPr>
      </w:pPr>
      <w:r w:rsidRPr="00EB5867">
        <w:rPr>
          <w:rStyle w:val="FootnoteReference"/>
        </w:rPr>
        <w:footnoteRef/>
      </w:r>
      <w:r w:rsidRPr="00CC6C05">
        <w:rPr>
          <w:lang w:val="es-ES"/>
        </w:rPr>
        <w:tab/>
        <w:t>Por interferencia impulsiva se entiende la interferencia que consiste en ráfagas de transmisión seguidas de períodos sin transmisiones. La compatibilidad con el SRNS es una función de la potencia y duración de la ráfaga, y el ciclo de trabajo de transmisión.</w:t>
      </w:r>
    </w:p>
  </w:footnote>
  <w:footnote w:id="10">
    <w:p w14:paraId="25824097" w14:textId="77777777" w:rsidR="00CA17D7" w:rsidRPr="00B6757E" w:rsidRDefault="00CA17D7" w:rsidP="00CA17D7">
      <w:pPr>
        <w:pStyle w:val="FootnoteText"/>
        <w:rPr>
          <w:lang w:val="es-ES_tradnl"/>
        </w:rPr>
      </w:pPr>
      <w:r>
        <w:rPr>
          <w:rStyle w:val="FootnoteReference"/>
        </w:rPr>
        <w:footnoteRef/>
      </w:r>
      <w:r w:rsidRPr="00B6757E">
        <w:rPr>
          <w:lang w:val="es-ES_tradnl"/>
        </w:rPr>
        <w:tab/>
        <w:t xml:space="preserve">RTCA, con sede en Estados Unidos de América, </w:t>
      </w:r>
      <w:r>
        <w:rPr>
          <w:lang w:val="es-ES_tradnl"/>
        </w:rPr>
        <w:t>y</w:t>
      </w:r>
      <w:r w:rsidRPr="00B6757E">
        <w:rPr>
          <w:lang w:val="es-ES_tradnl"/>
        </w:rPr>
        <w:t xml:space="preserve"> EUROCAE </w:t>
      </w:r>
      <w:r>
        <w:rPr>
          <w:lang w:val="es-ES_tradnl"/>
        </w:rPr>
        <w:t>con sede en</w:t>
      </w:r>
      <w:r w:rsidRPr="00B6757E">
        <w:rPr>
          <w:lang w:val="es-ES_tradnl"/>
        </w:rPr>
        <w:t xml:space="preserve"> Europ</w:t>
      </w:r>
      <w:r>
        <w:rPr>
          <w:lang w:val="es-ES_tradnl"/>
        </w:rPr>
        <w:t>a</w:t>
      </w:r>
      <w:r w:rsidRPr="00B6757E">
        <w:rPr>
          <w:lang w:val="es-ES_tradnl"/>
        </w:rPr>
        <w:t>.</w:t>
      </w:r>
    </w:p>
  </w:footnote>
  <w:footnote w:id="11">
    <w:p w14:paraId="10F4AE8F" w14:textId="77777777" w:rsidR="00CA17D7" w:rsidRDefault="00CA17D7" w:rsidP="00CA17D7">
      <w:pPr>
        <w:pStyle w:val="FootnoteText"/>
        <w:rPr>
          <w:lang w:val="en-US"/>
        </w:rPr>
      </w:pPr>
      <w:r>
        <w:rPr>
          <w:rStyle w:val="FootnoteReference"/>
        </w:rPr>
        <w:footnoteRef/>
      </w:r>
      <w:r w:rsidRPr="00666EA9">
        <w:rPr>
          <w:lang w:val="en-US"/>
        </w:rPr>
        <w:tab/>
        <w:t>RTCA SC-</w:t>
      </w:r>
      <w:r>
        <w:rPr>
          <w:lang w:val="en-US"/>
        </w:rPr>
        <w:t>159</w:t>
      </w:r>
      <w:r w:rsidRPr="00666EA9">
        <w:rPr>
          <w:lang w:val="en-US"/>
        </w:rPr>
        <w:t xml:space="preserve">, </w:t>
      </w:r>
      <w:r>
        <w:rPr>
          <w:lang w:val="en-US"/>
        </w:rPr>
        <w:t>«</w:t>
      </w:r>
      <w:r w:rsidRPr="00666EA9">
        <w:rPr>
          <w:lang w:val="en-US"/>
        </w:rPr>
        <w:t>Assessment of the Radio Frequency Interference Relevant to the GNSS L5/E5A Frequency Band</w:t>
      </w:r>
      <w:r>
        <w:rPr>
          <w:lang w:val="en-US"/>
        </w:rPr>
        <w:t>»</w:t>
      </w:r>
      <w:r w:rsidRPr="00666EA9">
        <w:rPr>
          <w:lang w:val="en-US"/>
        </w:rPr>
        <w:t>, RTCA Document N</w:t>
      </w:r>
      <w:r>
        <w:rPr>
          <w:lang w:val="en-US"/>
        </w:rPr>
        <w:t>º</w:t>
      </w:r>
      <w:r w:rsidRPr="00666EA9">
        <w:rPr>
          <w:lang w:val="en-US"/>
        </w:rPr>
        <w:t> </w:t>
      </w:r>
      <w:r w:rsidRPr="00B6757E">
        <w:rPr>
          <w:lang w:val="en-US"/>
        </w:rPr>
        <w:t>RTCA/DO-292, Washington, DC, 29 </w:t>
      </w:r>
      <w:r>
        <w:rPr>
          <w:lang w:val="en-US"/>
        </w:rPr>
        <w:t xml:space="preserve">de julio de </w:t>
      </w:r>
      <w:r w:rsidRPr="00B6757E">
        <w:rPr>
          <w:lang w:val="en-US"/>
        </w:rPr>
        <w:t>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F5FE" w14:textId="77777777"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2BDD" w14:textId="77777777" w:rsidR="00042292" w:rsidRDefault="00044D65" w:rsidP="00CB1354">
    <w:pPr>
      <w:ind w:right="360" w:firstLine="360"/>
    </w:pPr>
    <w:r>
      <w:rPr>
        <w:noProof/>
        <w:lang w:val="en-US"/>
      </w:rPr>
      <w:drawing>
        <wp:anchor distT="0" distB="0" distL="114300" distR="114300" simplePos="0" relativeHeight="251656704" behindDoc="1" locked="0" layoutInCell="1" allowOverlap="1" wp14:anchorId="546D1D41" wp14:editId="790819A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C84D3" w14:textId="4CF13E93"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AD7FAD">
      <w:rPr>
        <w:rStyle w:val="PageNumber"/>
        <w:b/>
        <w:bCs/>
        <w:noProof/>
      </w:rPr>
      <w:t>ii</w:t>
    </w:r>
    <w:r>
      <w:rPr>
        <w:rStyle w:val="PageNumber"/>
        <w:b/>
        <w:bCs/>
      </w:rPr>
      <w:fldChar w:fldCharType="end"/>
    </w:r>
    <w:r w:rsidR="00042292">
      <w:tab/>
    </w:r>
    <w:fldSimple w:instr=" DOCPROPERTY &quot;Header&quot; \* MERGEFORMAT ">
      <w:r w:rsidR="003F537A" w:rsidRPr="003F537A">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3F537A">
      <w:rPr>
        <w:b/>
        <w:bCs/>
        <w:noProof/>
      </w:rPr>
      <w:t>UIT-R  M.1905-1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DFED" w14:textId="7F0F0438" w:rsidR="00042292" w:rsidRDefault="00042292">
    <w:r>
      <w:tab/>
    </w:r>
    <w:fldSimple w:instr=" DOCPROPERTY &quot;Header&quot; \* MERGEFORMAT ">
      <w:r w:rsidR="003F537A" w:rsidRPr="003F537A">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3F537A">
      <w:rPr>
        <w:b/>
        <w:bCs/>
        <w:noProof/>
      </w:rPr>
      <w:t>UIT-R  M.1905-1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9654A" w14:textId="7177DBE2" w:rsidR="00CA17D7" w:rsidRPr="00FC42AF" w:rsidRDefault="00CA17D7" w:rsidP="008F350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fldSimple w:instr=" DOCPROPERTY &quot;Header&quot; \* MERGEFORMAT ">
      <w:r w:rsidR="003F537A" w:rsidRPr="003F537A">
        <w:rPr>
          <w:b/>
          <w:bCs/>
        </w:rPr>
        <w:t xml:space="preserve">Rec. </w:t>
      </w:r>
    </w:fldSimple>
    <w:r>
      <w:rPr>
        <w:b/>
        <w:bCs/>
      </w:rPr>
      <w:t xml:space="preserve"> ITU-</w:t>
    </w:r>
    <w:proofErr w:type="gramStart"/>
    <w:r>
      <w:rPr>
        <w:b/>
        <w:bCs/>
      </w:rPr>
      <w:t>R  M.1905</w:t>
    </w:r>
    <w:proofErr w:type="gramEnd"/>
    <w:r>
      <w:rPr>
        <w:b/>
        <w:bCs/>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303A" w14:textId="6608BBAC" w:rsidR="00CA17D7" w:rsidRPr="008738B5" w:rsidRDefault="00CA17D7" w:rsidP="008F350E">
    <w:pPr>
      <w:pStyle w:val="Header"/>
      <w:jc w:val="left"/>
    </w:pPr>
    <w:r w:rsidRPr="00FC42AF">
      <w:tab/>
    </w:r>
    <w:fldSimple w:instr=" DOCPROPERTY &quot;Header&quot; \* MERGEFORMAT ">
      <w:r w:rsidR="003F537A" w:rsidRPr="003F537A">
        <w:rPr>
          <w:b/>
          <w:bCs/>
        </w:rPr>
        <w:t xml:space="preserve">Rec. </w:t>
      </w:r>
    </w:fldSimple>
    <w:r>
      <w:rPr>
        <w:b/>
        <w:bCs/>
      </w:rPr>
      <w:t xml:space="preserve"> ITU-</w:t>
    </w:r>
    <w:proofErr w:type="gramStart"/>
    <w:r>
      <w:rPr>
        <w:b/>
        <w:bCs/>
      </w:rPr>
      <w:t>R  M.1905</w:t>
    </w:r>
    <w:proofErr w:type="gramEnd"/>
    <w:r>
      <w:rPr>
        <w:b/>
        <w:bCs/>
      </w:rPr>
      <w:t>-1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16264" w14:textId="18C254E9" w:rsidR="00607D68" w:rsidRDefault="006870AA" w:rsidP="00FF7DEC">
    <w:pPr>
      <w:tabs>
        <w:tab w:val="clear" w:pos="794"/>
        <w:tab w:val="clear" w:pos="1191"/>
        <w:tab w:val="clear" w:pos="1588"/>
        <w:tab w:val="clear" w:pos="1985"/>
        <w:tab w:val="center" w:pos="7088"/>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7172BA">
      <w:rPr>
        <w:rStyle w:val="PageNumber"/>
        <w:b/>
        <w:bCs/>
        <w:noProof/>
        <w:lang w:val="en-US"/>
      </w:rPr>
      <w:t>2</w:t>
    </w:r>
    <w:r>
      <w:rPr>
        <w:rStyle w:val="PageNumber"/>
        <w:b/>
        <w:bCs/>
      </w:rPr>
      <w:fldChar w:fldCharType="end"/>
    </w:r>
    <w:r w:rsidR="00607D68">
      <w:rPr>
        <w:lang w:val="en-US"/>
      </w:rPr>
      <w:tab/>
    </w:r>
    <w:fldSimple w:instr=" DOCPROPERTY &quot;Header&quot; \* MERGEFORMAT ">
      <w:r w:rsidR="003F537A" w:rsidRPr="003F537A">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3F537A">
      <w:rPr>
        <w:b/>
        <w:bCs/>
        <w:noProof/>
        <w:lang w:val="en-US"/>
      </w:rPr>
      <w:t>UIT-R  M.1905-1</w:t>
    </w:r>
    <w:r>
      <w:rPr>
        <w:b/>
        <w:bCs/>
      </w:rPr>
      <w:fldChar w:fldCharType="end"/>
    </w:r>
  </w:p>
  <w:p w14:paraId="503887D8" w14:textId="77777777" w:rsidR="00427ED9" w:rsidRDefault="00427E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41316" w14:textId="575163DF" w:rsidR="00607D68" w:rsidRPr="001B395D" w:rsidRDefault="00F32218" w:rsidP="00CA17D7">
    <w:pPr>
      <w:pStyle w:val="Header"/>
      <w:tabs>
        <w:tab w:val="clear" w:pos="4848"/>
        <w:tab w:val="clear" w:pos="9696"/>
        <w:tab w:val="center" w:pos="7088"/>
        <w:tab w:val="right" w:pos="14282"/>
      </w:tabs>
      <w:jc w:val="left"/>
      <w:rPr>
        <w:b/>
        <w:bCs/>
      </w:rPr>
    </w:pPr>
    <w:r>
      <w:tab/>
    </w:r>
    <w:fldSimple w:instr=" DOCPROPERTY &quot;Header&quot; \* MERGEFORMAT ">
      <w:r w:rsidR="003F537A" w:rsidRPr="003F537A">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3F537A">
      <w:rPr>
        <w:b/>
        <w:bCs/>
        <w:noProof/>
      </w:rPr>
      <w:t>UIT-R  M.1905-1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AD7FAD">
      <w:rPr>
        <w:rStyle w:val="PageNumber"/>
        <w:b/>
        <w:bCs/>
        <w:noProof/>
      </w:rPr>
      <w:t>1</w:t>
    </w:r>
    <w:r w:rsidRPr="00F32218">
      <w:rPr>
        <w:rStyle w:val="PageNumber"/>
        <w:b/>
        <w:bCs/>
        <w:noProof/>
      </w:rPr>
      <w:fldChar w:fldCharType="end"/>
    </w:r>
  </w:p>
  <w:p w14:paraId="088D0485" w14:textId="77777777" w:rsidR="00427ED9" w:rsidRDefault="00427E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055C00"/>
    <w:rsid w:val="001B26B3"/>
    <w:rsid w:val="001B2F46"/>
    <w:rsid w:val="001B395D"/>
    <w:rsid w:val="0021735B"/>
    <w:rsid w:val="002D76C4"/>
    <w:rsid w:val="00341F06"/>
    <w:rsid w:val="00383195"/>
    <w:rsid w:val="003F537A"/>
    <w:rsid w:val="0041059B"/>
    <w:rsid w:val="00410F5B"/>
    <w:rsid w:val="00427ED9"/>
    <w:rsid w:val="004E4FBE"/>
    <w:rsid w:val="005418BE"/>
    <w:rsid w:val="00567624"/>
    <w:rsid w:val="00574749"/>
    <w:rsid w:val="006004E3"/>
    <w:rsid w:val="00607D68"/>
    <w:rsid w:val="00616F70"/>
    <w:rsid w:val="006870AA"/>
    <w:rsid w:val="006F3D6E"/>
    <w:rsid w:val="007172BA"/>
    <w:rsid w:val="0072064A"/>
    <w:rsid w:val="0076082A"/>
    <w:rsid w:val="00811D9E"/>
    <w:rsid w:val="008C67E6"/>
    <w:rsid w:val="008E5003"/>
    <w:rsid w:val="00906075"/>
    <w:rsid w:val="00925CAA"/>
    <w:rsid w:val="00972201"/>
    <w:rsid w:val="00981136"/>
    <w:rsid w:val="00982F3A"/>
    <w:rsid w:val="00A07AEB"/>
    <w:rsid w:val="00A6617B"/>
    <w:rsid w:val="00A80825"/>
    <w:rsid w:val="00AB0DC8"/>
    <w:rsid w:val="00AD7FAD"/>
    <w:rsid w:val="00B42F17"/>
    <w:rsid w:val="00B44E24"/>
    <w:rsid w:val="00B94C9A"/>
    <w:rsid w:val="00C36A75"/>
    <w:rsid w:val="00C411AF"/>
    <w:rsid w:val="00C627DD"/>
    <w:rsid w:val="00CA17D7"/>
    <w:rsid w:val="00CB1354"/>
    <w:rsid w:val="00CF7F63"/>
    <w:rsid w:val="00D131B8"/>
    <w:rsid w:val="00D25848"/>
    <w:rsid w:val="00D33FA3"/>
    <w:rsid w:val="00D4362D"/>
    <w:rsid w:val="00DD7A08"/>
    <w:rsid w:val="00DF4176"/>
    <w:rsid w:val="00DF4734"/>
    <w:rsid w:val="00E704B6"/>
    <w:rsid w:val="00E7594D"/>
    <w:rsid w:val="00E861C1"/>
    <w:rsid w:val="00ED4181"/>
    <w:rsid w:val="00ED6A57"/>
    <w:rsid w:val="00EE743D"/>
    <w:rsid w:val="00EF0106"/>
    <w:rsid w:val="00F32218"/>
    <w:rsid w:val="00F32854"/>
    <w:rsid w:val="00F90A3D"/>
    <w:rsid w:val="00F91385"/>
    <w:rsid w:val="00FD7CE8"/>
    <w:rsid w:val="00FF7D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007FB"/>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5C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55C00"/>
    <w:pPr>
      <w:keepNext/>
      <w:keepLines/>
      <w:spacing w:before="480"/>
      <w:ind w:left="794" w:hanging="794"/>
      <w:outlineLvl w:val="0"/>
    </w:pPr>
    <w:rPr>
      <w:b/>
    </w:rPr>
  </w:style>
  <w:style w:type="paragraph" w:styleId="Heading2">
    <w:name w:val="heading 2"/>
    <w:basedOn w:val="Heading1"/>
    <w:next w:val="Normal"/>
    <w:link w:val="Heading2Char"/>
    <w:qFormat/>
    <w:rsid w:val="00055C00"/>
    <w:pPr>
      <w:spacing w:before="320"/>
      <w:outlineLvl w:val="1"/>
    </w:pPr>
  </w:style>
  <w:style w:type="paragraph" w:styleId="Heading3">
    <w:name w:val="heading 3"/>
    <w:basedOn w:val="Heading1"/>
    <w:next w:val="Normal"/>
    <w:qFormat/>
    <w:rsid w:val="00055C00"/>
    <w:pPr>
      <w:spacing w:before="200"/>
      <w:outlineLvl w:val="2"/>
    </w:pPr>
  </w:style>
  <w:style w:type="paragraph" w:styleId="Heading4">
    <w:name w:val="heading 4"/>
    <w:basedOn w:val="Heading3"/>
    <w:next w:val="Normal"/>
    <w:qFormat/>
    <w:rsid w:val="00055C00"/>
    <w:pPr>
      <w:tabs>
        <w:tab w:val="clear" w:pos="794"/>
        <w:tab w:val="left" w:pos="992"/>
      </w:tabs>
      <w:ind w:left="992" w:hanging="992"/>
      <w:outlineLvl w:val="3"/>
    </w:pPr>
  </w:style>
  <w:style w:type="paragraph" w:styleId="Heading5">
    <w:name w:val="heading 5"/>
    <w:basedOn w:val="Heading4"/>
    <w:next w:val="Normal"/>
    <w:qFormat/>
    <w:rsid w:val="00055C00"/>
    <w:pPr>
      <w:outlineLvl w:val="4"/>
    </w:pPr>
  </w:style>
  <w:style w:type="paragraph" w:styleId="Heading6">
    <w:name w:val="heading 6"/>
    <w:basedOn w:val="Heading4"/>
    <w:next w:val="Normal"/>
    <w:qFormat/>
    <w:rsid w:val="00055C00"/>
    <w:pPr>
      <w:tabs>
        <w:tab w:val="clear" w:pos="992"/>
        <w:tab w:val="clear" w:pos="1191"/>
      </w:tabs>
      <w:ind w:left="1588" w:hanging="1588"/>
      <w:outlineLvl w:val="5"/>
    </w:pPr>
  </w:style>
  <w:style w:type="paragraph" w:styleId="Heading7">
    <w:name w:val="heading 7"/>
    <w:basedOn w:val="Heading6"/>
    <w:next w:val="Normal"/>
    <w:qFormat/>
    <w:rsid w:val="00055C00"/>
    <w:pPr>
      <w:outlineLvl w:val="6"/>
    </w:pPr>
  </w:style>
  <w:style w:type="paragraph" w:styleId="Heading8">
    <w:name w:val="heading 8"/>
    <w:basedOn w:val="Heading6"/>
    <w:next w:val="Normal"/>
    <w:qFormat/>
    <w:rsid w:val="00055C00"/>
    <w:pPr>
      <w:outlineLvl w:val="7"/>
    </w:pPr>
  </w:style>
  <w:style w:type="paragraph" w:styleId="Heading9">
    <w:name w:val="heading 9"/>
    <w:basedOn w:val="Heading6"/>
    <w:next w:val="Normal"/>
    <w:qFormat/>
    <w:rsid w:val="00055C0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5C0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55C0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55C00"/>
  </w:style>
  <w:style w:type="paragraph" w:customStyle="1" w:styleId="Headingb">
    <w:name w:val="Heading_b"/>
    <w:basedOn w:val="Heading3"/>
    <w:next w:val="Normal"/>
    <w:link w:val="HeadingbChar"/>
    <w:rsid w:val="00055C00"/>
    <w:pPr>
      <w:spacing w:before="160"/>
      <w:ind w:left="0" w:firstLine="0"/>
      <w:outlineLvl w:val="9"/>
    </w:pPr>
  </w:style>
  <w:style w:type="paragraph" w:customStyle="1" w:styleId="Headingi">
    <w:name w:val="Heading_i"/>
    <w:basedOn w:val="Heading3"/>
    <w:next w:val="Normal"/>
    <w:rsid w:val="00055C00"/>
    <w:pPr>
      <w:spacing w:before="160"/>
      <w:ind w:left="0" w:firstLine="0"/>
    </w:pPr>
    <w:rPr>
      <w:b w:val="0"/>
      <w:i/>
    </w:rPr>
  </w:style>
  <w:style w:type="character" w:customStyle="1" w:styleId="href">
    <w:name w:val="href"/>
    <w:basedOn w:val="DefaultParagraphFont"/>
    <w:rsid w:val="00055C00"/>
  </w:style>
  <w:style w:type="paragraph" w:customStyle="1" w:styleId="enumlev1">
    <w:name w:val="enumlev1"/>
    <w:basedOn w:val="Normal"/>
    <w:link w:val="enumlev1Char"/>
    <w:rsid w:val="00055C00"/>
    <w:pPr>
      <w:spacing w:before="80"/>
      <w:ind w:left="794" w:hanging="794"/>
    </w:pPr>
  </w:style>
  <w:style w:type="paragraph" w:customStyle="1" w:styleId="enumlev2">
    <w:name w:val="enumlev2"/>
    <w:basedOn w:val="enumlev1"/>
    <w:rsid w:val="00055C00"/>
    <w:pPr>
      <w:ind w:left="1191" w:hanging="397"/>
    </w:pPr>
  </w:style>
  <w:style w:type="paragraph" w:customStyle="1" w:styleId="enumlev3">
    <w:name w:val="enumlev3"/>
    <w:basedOn w:val="enumlev2"/>
    <w:rsid w:val="00055C00"/>
    <w:pPr>
      <w:ind w:left="1588"/>
    </w:pPr>
  </w:style>
  <w:style w:type="paragraph" w:customStyle="1" w:styleId="Normalaftertitle">
    <w:name w:val="Normal_after_title"/>
    <w:basedOn w:val="Normal"/>
    <w:next w:val="Normal"/>
    <w:rsid w:val="00055C00"/>
    <w:pPr>
      <w:spacing w:before="320"/>
    </w:pPr>
  </w:style>
  <w:style w:type="paragraph" w:customStyle="1" w:styleId="Note">
    <w:name w:val="Note"/>
    <w:basedOn w:val="Normal"/>
    <w:rsid w:val="00055C0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55C0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55C00"/>
    <w:pPr>
      <w:spacing w:before="240"/>
    </w:pPr>
    <w:rPr>
      <w:sz w:val="22"/>
      <w:lang w:val="es-ES_tradnl"/>
    </w:rPr>
  </w:style>
  <w:style w:type="paragraph" w:customStyle="1" w:styleId="Recref">
    <w:name w:val="Rec_ref"/>
    <w:basedOn w:val="Normal"/>
    <w:next w:val="Recdate"/>
    <w:rsid w:val="00055C00"/>
    <w:pPr>
      <w:jc w:val="center"/>
    </w:pPr>
  </w:style>
  <w:style w:type="paragraph" w:customStyle="1" w:styleId="Recdate">
    <w:name w:val="Rec_date"/>
    <w:basedOn w:val="Recref"/>
    <w:next w:val="Normalaftertitle"/>
    <w:rsid w:val="00055C00"/>
    <w:pPr>
      <w:jc w:val="right"/>
    </w:pPr>
  </w:style>
  <w:style w:type="paragraph" w:customStyle="1" w:styleId="AnnexNoTitle">
    <w:name w:val="Annex_NoTitle"/>
    <w:basedOn w:val="Normal"/>
    <w:next w:val="Normalaftertitle"/>
    <w:rsid w:val="00055C00"/>
    <w:pPr>
      <w:keepNext/>
      <w:keepLines/>
      <w:spacing w:before="480" w:after="80"/>
      <w:jc w:val="center"/>
    </w:pPr>
    <w:rPr>
      <w:b/>
      <w:sz w:val="28"/>
    </w:rPr>
  </w:style>
  <w:style w:type="paragraph" w:customStyle="1" w:styleId="AppendixNoTitle">
    <w:name w:val="Appendix_NoTitle"/>
    <w:basedOn w:val="AnnexNoTitle"/>
    <w:next w:val="Normal"/>
    <w:rsid w:val="00055C00"/>
  </w:style>
  <w:style w:type="paragraph" w:customStyle="1" w:styleId="Tablefin">
    <w:name w:val="Table_fin"/>
    <w:basedOn w:val="Normal"/>
    <w:next w:val="Normal"/>
    <w:rsid w:val="00055C00"/>
    <w:pPr>
      <w:spacing w:before="0"/>
    </w:pPr>
    <w:rPr>
      <w:sz w:val="20"/>
      <w:lang w:val="en-GB"/>
    </w:rPr>
  </w:style>
  <w:style w:type="paragraph" w:customStyle="1" w:styleId="Tablehead">
    <w:name w:val="Table_head"/>
    <w:basedOn w:val="Normal"/>
    <w:next w:val="Normal"/>
    <w:link w:val="TableheadChar"/>
    <w:rsid w:val="00055C0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55C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55C00"/>
    <w:pPr>
      <w:keepNext/>
      <w:spacing w:before="360" w:after="120"/>
      <w:jc w:val="center"/>
    </w:pPr>
  </w:style>
  <w:style w:type="paragraph" w:customStyle="1" w:styleId="Tabletext">
    <w:name w:val="Table_text"/>
    <w:basedOn w:val="Normal"/>
    <w:link w:val="TabletextChar"/>
    <w:rsid w:val="00055C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55C00"/>
    <w:pPr>
      <w:tabs>
        <w:tab w:val="clear" w:pos="1191"/>
        <w:tab w:val="clear" w:pos="1588"/>
        <w:tab w:val="clear" w:pos="1985"/>
        <w:tab w:val="center" w:pos="4820"/>
        <w:tab w:val="right" w:pos="9639"/>
      </w:tabs>
    </w:pPr>
  </w:style>
  <w:style w:type="paragraph" w:customStyle="1" w:styleId="Equationlegend">
    <w:name w:val="Equation_legend"/>
    <w:basedOn w:val="NormalIndent"/>
    <w:rsid w:val="00055C0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55C00"/>
    <w:pPr>
      <w:ind w:left="794"/>
    </w:pPr>
  </w:style>
  <w:style w:type="paragraph" w:customStyle="1" w:styleId="Figurelegend">
    <w:name w:val="Figure_legend"/>
    <w:basedOn w:val="Normal"/>
    <w:rsid w:val="00055C0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55C00"/>
    <w:pPr>
      <w:keepNext/>
      <w:keepLines/>
      <w:spacing w:before="480" w:after="80"/>
      <w:jc w:val="center"/>
    </w:pPr>
    <w:rPr>
      <w:caps/>
      <w:sz w:val="18"/>
    </w:rPr>
  </w:style>
  <w:style w:type="paragraph" w:customStyle="1" w:styleId="tocpart">
    <w:name w:val="tocpart"/>
    <w:basedOn w:val="Normal"/>
    <w:rsid w:val="00055C0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55C00"/>
    <w:pPr>
      <w:keepNext/>
      <w:keepLines/>
      <w:spacing w:before="480"/>
      <w:jc w:val="center"/>
    </w:pPr>
    <w:rPr>
      <w:sz w:val="28"/>
    </w:rPr>
  </w:style>
  <w:style w:type="paragraph" w:customStyle="1" w:styleId="Arttitle">
    <w:name w:val="Art_title"/>
    <w:basedOn w:val="Normal"/>
    <w:next w:val="Normalaftertitle"/>
    <w:rsid w:val="00055C00"/>
    <w:pPr>
      <w:keepNext/>
      <w:keepLines/>
      <w:spacing w:before="240"/>
      <w:jc w:val="center"/>
    </w:pPr>
    <w:rPr>
      <w:b/>
      <w:sz w:val="28"/>
    </w:rPr>
  </w:style>
  <w:style w:type="paragraph" w:customStyle="1" w:styleId="Blanc">
    <w:name w:val="Blanc"/>
    <w:basedOn w:val="Normal"/>
    <w:next w:val="Tabletext"/>
    <w:rsid w:val="00055C0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55C0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55C00"/>
    <w:pPr>
      <w:keepNext/>
      <w:keepLines/>
      <w:spacing w:before="160"/>
      <w:ind w:left="794"/>
    </w:pPr>
    <w:rPr>
      <w:i/>
    </w:rPr>
  </w:style>
  <w:style w:type="paragraph" w:customStyle="1" w:styleId="ChapNo">
    <w:name w:val="Chap_No"/>
    <w:basedOn w:val="ArtNo"/>
    <w:next w:val="Chaptitle"/>
    <w:rsid w:val="00055C00"/>
    <w:rPr>
      <w:b/>
    </w:rPr>
  </w:style>
  <w:style w:type="paragraph" w:customStyle="1" w:styleId="Chaptitle">
    <w:name w:val="Chap_title"/>
    <w:basedOn w:val="Arttitle"/>
    <w:next w:val="Normalaftertitle"/>
    <w:rsid w:val="00055C00"/>
  </w:style>
  <w:style w:type="character" w:styleId="FootnoteReference">
    <w:name w:val="footnote reference"/>
    <w:basedOn w:val="DefaultParagraphFont"/>
    <w:rsid w:val="00055C00"/>
    <w:rPr>
      <w:position w:val="6"/>
      <w:sz w:val="18"/>
    </w:rPr>
  </w:style>
  <w:style w:type="paragraph" w:styleId="FootnoteText">
    <w:name w:val="footnote text"/>
    <w:basedOn w:val="Normal"/>
    <w:link w:val="FootnoteTextChar"/>
    <w:rsid w:val="00055C00"/>
    <w:pPr>
      <w:keepLines/>
      <w:tabs>
        <w:tab w:val="left" w:pos="255"/>
      </w:tabs>
      <w:ind w:left="255" w:hanging="255"/>
    </w:pPr>
    <w:rPr>
      <w:sz w:val="22"/>
    </w:rPr>
  </w:style>
  <w:style w:type="paragraph" w:styleId="Index1">
    <w:name w:val="index 1"/>
    <w:basedOn w:val="Normal"/>
    <w:next w:val="Normal"/>
    <w:semiHidden/>
    <w:rsid w:val="00055C00"/>
  </w:style>
  <w:style w:type="paragraph" w:styleId="Index2">
    <w:name w:val="index 2"/>
    <w:basedOn w:val="Normal"/>
    <w:next w:val="Normal"/>
    <w:semiHidden/>
    <w:rsid w:val="00055C00"/>
    <w:pPr>
      <w:ind w:left="283"/>
    </w:pPr>
  </w:style>
  <w:style w:type="paragraph" w:styleId="Index3">
    <w:name w:val="index 3"/>
    <w:basedOn w:val="Normal"/>
    <w:next w:val="Normal"/>
    <w:semiHidden/>
    <w:rsid w:val="00055C00"/>
    <w:pPr>
      <w:ind w:left="566"/>
    </w:pPr>
  </w:style>
  <w:style w:type="paragraph" w:styleId="IndexHeading">
    <w:name w:val="index heading"/>
    <w:basedOn w:val="Normal"/>
    <w:next w:val="Index1"/>
    <w:semiHidden/>
    <w:rsid w:val="00055C00"/>
  </w:style>
  <w:style w:type="paragraph" w:customStyle="1" w:styleId="Line">
    <w:name w:val="Line"/>
    <w:basedOn w:val="Normal"/>
    <w:next w:val="Normal"/>
    <w:rsid w:val="00055C0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55C0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55C00"/>
  </w:style>
  <w:style w:type="paragraph" w:customStyle="1" w:styleId="Partref">
    <w:name w:val="Part_ref"/>
    <w:basedOn w:val="Normal"/>
    <w:next w:val="Normal"/>
    <w:rsid w:val="00055C00"/>
    <w:pPr>
      <w:keepNext/>
      <w:keepLines/>
      <w:spacing w:after="280"/>
      <w:jc w:val="center"/>
    </w:pPr>
  </w:style>
  <w:style w:type="paragraph" w:customStyle="1" w:styleId="Parttitle">
    <w:name w:val="Part_title"/>
    <w:basedOn w:val="Normal"/>
    <w:next w:val="Normalaftertitle"/>
    <w:rsid w:val="00055C0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55C00"/>
  </w:style>
  <w:style w:type="paragraph" w:customStyle="1" w:styleId="QuestionNo">
    <w:name w:val="Question_No"/>
    <w:basedOn w:val="RecNo"/>
    <w:next w:val="Normal"/>
    <w:rsid w:val="00055C00"/>
  </w:style>
  <w:style w:type="paragraph" w:customStyle="1" w:styleId="Questionref">
    <w:name w:val="Question_ref"/>
    <w:basedOn w:val="Recref"/>
    <w:next w:val="Questiondate"/>
    <w:rsid w:val="00055C00"/>
  </w:style>
  <w:style w:type="paragraph" w:customStyle="1" w:styleId="Questiontitle">
    <w:name w:val="Question_title"/>
    <w:basedOn w:val="Normal"/>
    <w:next w:val="Questionref"/>
    <w:rsid w:val="00055C00"/>
  </w:style>
  <w:style w:type="paragraph" w:customStyle="1" w:styleId="Reftext">
    <w:name w:val="Ref_text"/>
    <w:basedOn w:val="Normal"/>
    <w:rsid w:val="00055C00"/>
    <w:pPr>
      <w:ind w:left="794" w:hanging="794"/>
    </w:pPr>
    <w:rPr>
      <w:sz w:val="22"/>
    </w:rPr>
  </w:style>
  <w:style w:type="paragraph" w:customStyle="1" w:styleId="Reftitle">
    <w:name w:val="Ref_title"/>
    <w:basedOn w:val="Normal"/>
    <w:next w:val="Reftext"/>
    <w:rsid w:val="00055C0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55C00"/>
  </w:style>
  <w:style w:type="paragraph" w:customStyle="1" w:styleId="RepNo">
    <w:name w:val="Rep_No"/>
    <w:basedOn w:val="RecNo"/>
    <w:next w:val="Reptitle"/>
    <w:rsid w:val="00055C00"/>
  </w:style>
  <w:style w:type="paragraph" w:customStyle="1" w:styleId="Repref">
    <w:name w:val="Rep_ref"/>
    <w:basedOn w:val="Recref"/>
    <w:next w:val="Repdate"/>
    <w:rsid w:val="00055C00"/>
  </w:style>
  <w:style w:type="paragraph" w:customStyle="1" w:styleId="Reptitle">
    <w:name w:val="Rep_title"/>
    <w:basedOn w:val="Rectitle"/>
    <w:next w:val="Repref"/>
    <w:rsid w:val="00055C00"/>
  </w:style>
  <w:style w:type="paragraph" w:customStyle="1" w:styleId="Resdate">
    <w:name w:val="Res_date"/>
    <w:basedOn w:val="Recdate"/>
    <w:next w:val="Normalaftertitle"/>
    <w:rsid w:val="00055C00"/>
  </w:style>
  <w:style w:type="paragraph" w:customStyle="1" w:styleId="ResNo">
    <w:name w:val="Res_No"/>
    <w:basedOn w:val="RecNo"/>
    <w:next w:val="Restitle"/>
    <w:rsid w:val="00055C00"/>
  </w:style>
  <w:style w:type="paragraph" w:customStyle="1" w:styleId="Resref">
    <w:name w:val="Res_ref"/>
    <w:basedOn w:val="Recref"/>
    <w:next w:val="Resdate"/>
    <w:rsid w:val="00055C00"/>
  </w:style>
  <w:style w:type="paragraph" w:customStyle="1" w:styleId="Restitle">
    <w:name w:val="Res_title"/>
    <w:basedOn w:val="Normal"/>
    <w:next w:val="Resref"/>
    <w:rsid w:val="00055C00"/>
    <w:pPr>
      <w:spacing w:before="240"/>
      <w:jc w:val="center"/>
    </w:pPr>
    <w:rPr>
      <w:b/>
      <w:sz w:val="28"/>
    </w:rPr>
  </w:style>
  <w:style w:type="paragraph" w:customStyle="1" w:styleId="SectionNo">
    <w:name w:val="Section_No"/>
    <w:basedOn w:val="Normal"/>
    <w:next w:val="Normal"/>
    <w:rsid w:val="00055C00"/>
  </w:style>
  <w:style w:type="paragraph" w:customStyle="1" w:styleId="Sectiontitle">
    <w:name w:val="Section_title"/>
    <w:basedOn w:val="Normal"/>
    <w:next w:val="Normalaftertitle"/>
    <w:rsid w:val="00055C0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55C00"/>
    <w:pPr>
      <w:tabs>
        <w:tab w:val="clear" w:pos="794"/>
        <w:tab w:val="clear" w:pos="1191"/>
        <w:tab w:val="clear" w:pos="1588"/>
        <w:tab w:val="clear" w:pos="1985"/>
        <w:tab w:val="right" w:pos="9611"/>
      </w:tabs>
    </w:pPr>
    <w:rPr>
      <w:i/>
    </w:rPr>
  </w:style>
  <w:style w:type="paragraph" w:styleId="TOC1">
    <w:name w:val="toc 1"/>
    <w:basedOn w:val="Normal"/>
    <w:rsid w:val="00055C0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55C00"/>
    <w:pPr>
      <w:tabs>
        <w:tab w:val="clear" w:pos="567"/>
        <w:tab w:val="left" w:pos="1276"/>
      </w:tabs>
      <w:spacing w:before="160"/>
      <w:ind w:left="1276" w:hanging="709"/>
    </w:pPr>
  </w:style>
  <w:style w:type="paragraph" w:styleId="TOC3">
    <w:name w:val="toc 3"/>
    <w:basedOn w:val="TOC2"/>
    <w:semiHidden/>
    <w:rsid w:val="00055C00"/>
    <w:pPr>
      <w:tabs>
        <w:tab w:val="clear" w:pos="1276"/>
        <w:tab w:val="left" w:pos="2155"/>
      </w:tabs>
      <w:ind w:left="2155" w:hanging="879"/>
    </w:pPr>
  </w:style>
  <w:style w:type="paragraph" w:styleId="TOC4">
    <w:name w:val="toc 4"/>
    <w:basedOn w:val="TOC3"/>
    <w:semiHidden/>
    <w:rsid w:val="00055C00"/>
    <w:pPr>
      <w:tabs>
        <w:tab w:val="left" w:pos="3261"/>
      </w:tabs>
      <w:spacing w:before="80"/>
      <w:ind w:left="3261" w:hanging="993"/>
    </w:pPr>
  </w:style>
  <w:style w:type="paragraph" w:styleId="TOC5">
    <w:name w:val="toc 5"/>
    <w:basedOn w:val="TOC4"/>
    <w:semiHidden/>
    <w:rsid w:val="00055C00"/>
  </w:style>
  <w:style w:type="paragraph" w:styleId="TOC6">
    <w:name w:val="toc 6"/>
    <w:basedOn w:val="TOC4"/>
    <w:semiHidden/>
    <w:rsid w:val="00055C00"/>
  </w:style>
  <w:style w:type="paragraph" w:styleId="TOC7">
    <w:name w:val="toc 7"/>
    <w:basedOn w:val="TOC4"/>
    <w:semiHidden/>
    <w:rsid w:val="00055C00"/>
  </w:style>
  <w:style w:type="paragraph" w:styleId="TOC8">
    <w:name w:val="toc 8"/>
    <w:basedOn w:val="TOC4"/>
    <w:semiHidden/>
    <w:rsid w:val="00055C00"/>
  </w:style>
  <w:style w:type="paragraph" w:customStyle="1" w:styleId="Rectitle">
    <w:name w:val="Rec_title"/>
    <w:basedOn w:val="Normal"/>
    <w:next w:val="Recref"/>
    <w:link w:val="Rectitle0"/>
    <w:rsid w:val="00055C00"/>
    <w:pPr>
      <w:keepNext/>
      <w:keepLines/>
      <w:spacing w:before="240"/>
      <w:jc w:val="center"/>
    </w:pPr>
    <w:rPr>
      <w:b/>
      <w:sz w:val="28"/>
    </w:rPr>
  </w:style>
  <w:style w:type="paragraph" w:customStyle="1" w:styleId="Annexref">
    <w:name w:val="Annex_ref"/>
    <w:basedOn w:val="Normal"/>
    <w:next w:val="Normalaftertitle"/>
    <w:rsid w:val="00055C00"/>
    <w:pPr>
      <w:keepNext/>
      <w:keepLines/>
      <w:spacing w:after="280"/>
      <w:jc w:val="center"/>
    </w:pPr>
  </w:style>
  <w:style w:type="paragraph" w:customStyle="1" w:styleId="Appendixref">
    <w:name w:val="Appendix_ref"/>
    <w:basedOn w:val="Annexref"/>
    <w:next w:val="Normalaftertitle"/>
    <w:rsid w:val="00055C00"/>
  </w:style>
  <w:style w:type="paragraph" w:customStyle="1" w:styleId="Figuretitle">
    <w:name w:val="Figure_title"/>
    <w:basedOn w:val="Normal"/>
    <w:next w:val="Figure"/>
    <w:rsid w:val="00055C0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55C00"/>
    <w:pPr>
      <w:keepNext/>
      <w:spacing w:before="0" w:after="120"/>
      <w:jc w:val="center"/>
    </w:pPr>
    <w:rPr>
      <w:b/>
    </w:rPr>
  </w:style>
  <w:style w:type="paragraph" w:customStyle="1" w:styleId="Summary">
    <w:name w:val="Summary"/>
    <w:basedOn w:val="Normal"/>
    <w:next w:val="Normalaftertitle"/>
    <w:autoRedefine/>
    <w:rsid w:val="00055C00"/>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055C00"/>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55C00"/>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paragraph" w:styleId="BalloonText">
    <w:name w:val="Balloon Text"/>
    <w:basedOn w:val="Normal"/>
    <w:link w:val="BalloonTextChar"/>
    <w:semiHidden/>
    <w:unhideWhenUsed/>
    <w:rsid w:val="00CA17D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A17D7"/>
    <w:rPr>
      <w:rFonts w:ascii="Segoe UI" w:hAnsi="Segoe UI" w:cs="Segoe UI"/>
      <w:sz w:val="18"/>
      <w:szCs w:val="18"/>
      <w:lang w:val="fr-FR" w:eastAsia="en-US"/>
    </w:rPr>
  </w:style>
  <w:style w:type="character" w:customStyle="1" w:styleId="FootnoteTextChar">
    <w:name w:val="Footnote Text Char"/>
    <w:basedOn w:val="DefaultParagraphFont"/>
    <w:link w:val="FootnoteText"/>
    <w:rsid w:val="00CA17D7"/>
    <w:rPr>
      <w:sz w:val="22"/>
      <w:lang w:val="fr-FR" w:eastAsia="en-US"/>
    </w:rPr>
  </w:style>
  <w:style w:type="character" w:customStyle="1" w:styleId="enumlev1Char">
    <w:name w:val="enumlev1 Char"/>
    <w:link w:val="enumlev1"/>
    <w:locked/>
    <w:rsid w:val="00CA17D7"/>
    <w:rPr>
      <w:sz w:val="24"/>
      <w:lang w:val="fr-FR" w:eastAsia="en-US"/>
    </w:rPr>
  </w:style>
  <w:style w:type="character" w:customStyle="1" w:styleId="Rectitle0">
    <w:name w:val="Rec_title Знак"/>
    <w:link w:val="Rectitle"/>
    <w:locked/>
    <w:rsid w:val="00CA17D7"/>
    <w:rPr>
      <w:b/>
      <w:sz w:val="28"/>
      <w:lang w:val="fr-FR" w:eastAsia="en-US"/>
    </w:rPr>
  </w:style>
  <w:style w:type="character" w:customStyle="1" w:styleId="TableNoChar">
    <w:name w:val="Table_No Char"/>
    <w:link w:val="TableNo"/>
    <w:locked/>
    <w:rsid w:val="00CA17D7"/>
    <w:rPr>
      <w:sz w:val="24"/>
      <w:lang w:val="fr-FR" w:eastAsia="en-US"/>
    </w:rPr>
  </w:style>
  <w:style w:type="character" w:customStyle="1" w:styleId="Tabletitle0">
    <w:name w:val="Table_title Знак"/>
    <w:link w:val="Tabletitle"/>
    <w:locked/>
    <w:rsid w:val="00CA17D7"/>
    <w:rPr>
      <w:b/>
      <w:sz w:val="24"/>
      <w:lang w:val="fr-FR" w:eastAsia="en-US"/>
    </w:rPr>
  </w:style>
  <w:style w:type="character" w:customStyle="1" w:styleId="HeadingbChar">
    <w:name w:val="Heading_b Char"/>
    <w:basedOn w:val="DefaultParagraphFont"/>
    <w:link w:val="Headingb"/>
    <w:locked/>
    <w:rsid w:val="00CA17D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TotalTime>
  <Pages>14</Pages>
  <Words>5197</Words>
  <Characters>27130</Characters>
  <Application>Microsoft Office Word</Application>
  <DocSecurity>0</DocSecurity>
  <Lines>616</Lines>
  <Paragraphs>336</Paragraphs>
  <ScaleCrop>false</ScaleCrop>
  <HeadingPairs>
    <vt:vector size="2" baseType="variant">
      <vt:variant>
        <vt:lpstr>Title</vt:lpstr>
      </vt:variant>
      <vt:variant>
        <vt:i4>1</vt:i4>
      </vt:variant>
    </vt:vector>
  </HeadingPairs>
  <TitlesOfParts>
    <vt:vector size="1" baseType="lpstr">
      <vt:lpstr>RECOMENDACIÓN  UIT-R  M.1905-1 - Características y criterios de protección de las estaciones terrenas receptoras del servicio de radionavegación por satélite (espacio-Tierra) que funcionan en la banda 1 164-1 215 MHz</vt:lpstr>
    </vt:vector>
  </TitlesOfParts>
  <Manager/>
  <Company>ITU</Company>
  <LinksUpToDate>false</LinksUpToDate>
  <CharactersWithSpaces>31991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M.1905-1 - Características y criterios de protección de las estaciones terrenas receptoras del servicio de radionavegación por satélite (espacio-Tierra) que funcionan en la banda 1 164-1 215 MHz</dc:title>
  <dc:subject>Serie M = Servicios móviles, de radiodeterminación y de aficionados, incluidos los correspondientes servicios por satélite</dc:subject>
  <dc:creator>Oficina de Radiocomunicaciones del UIT (BR)</dc:creator>
  <cp:keywords>M,1905-1</cp:keywords>
  <dc:description>Gachetc, 16/06/2020, ITU51013811</dc:description>
  <cp:lastModifiedBy>Gachet, Christelle</cp:lastModifiedBy>
  <cp:revision>19</cp:revision>
  <cp:lastPrinted>2020-06-16T05:07:00Z</cp:lastPrinted>
  <dcterms:created xsi:type="dcterms:W3CDTF">2020-05-07T09:31:00Z</dcterms:created>
  <dcterms:modified xsi:type="dcterms:W3CDTF">2020-06-16T05:08:00Z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June 2020</vt:lpwstr>
  </property>
</Properties>
</file>