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F11AD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F11ADC">
              <w:rPr>
                <w:rFonts w:ascii="Tahoma" w:hAnsi="Tahoma" w:cs="Tahoma"/>
                <w:b/>
                <w:bCs/>
                <w:iCs/>
                <w:color w:val="243285"/>
                <w:sz w:val="36"/>
                <w:szCs w:val="36"/>
              </w:rPr>
              <w:t>1906</w:t>
            </w:r>
          </w:p>
          <w:p w:rsidR="00FE79FE" w:rsidRPr="004F65E4" w:rsidRDefault="00FE79FE" w:rsidP="00F11AD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11ADC">
              <w:rPr>
                <w:rFonts w:ascii="Tahoma" w:hAnsi="Tahoma" w:cs="Tahoma"/>
                <w:b/>
                <w:bCs/>
                <w:iCs/>
                <w:color w:val="243285"/>
                <w:szCs w:val="24"/>
              </w:rPr>
              <w:t>01</w:t>
            </w:r>
            <w:r w:rsidRPr="004F65E4">
              <w:rPr>
                <w:rFonts w:ascii="Tahoma" w:hAnsi="Tahoma" w:cs="Tahoma"/>
                <w:b/>
                <w:bCs/>
                <w:iCs/>
                <w:color w:val="243285"/>
                <w:szCs w:val="24"/>
              </w:rPr>
              <w:t>/</w:t>
            </w:r>
            <w:r w:rsidR="00F11ADC">
              <w:rPr>
                <w:rFonts w:ascii="Tahoma" w:hAnsi="Tahoma" w:cs="Tahoma"/>
                <w:b/>
                <w:bCs/>
                <w:iCs/>
                <w:color w:val="243285"/>
                <w:szCs w:val="24"/>
              </w:rPr>
              <w:t>2012</w:t>
            </w:r>
            <w:r w:rsidRPr="004F65E4">
              <w:rPr>
                <w:rFonts w:ascii="Tahoma" w:hAnsi="Tahoma" w:cs="Tahoma"/>
                <w:b/>
                <w:bCs/>
                <w:iCs/>
                <w:color w:val="243285"/>
                <w:szCs w:val="24"/>
              </w:rPr>
              <w:t>)</w:t>
            </w:r>
          </w:p>
        </w:tc>
      </w:tr>
      <w:tr w:rsidR="00FE79FE" w:rsidRPr="00AA3EF6">
        <w:tc>
          <w:tcPr>
            <w:tcW w:w="10089" w:type="dxa"/>
          </w:tcPr>
          <w:p w:rsidR="00013002" w:rsidRPr="00F11ADC"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F11ADC" w:rsidP="00F11ADC">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and protection criteria</w:t>
            </w:r>
            <w:r>
              <w:rPr>
                <w:rFonts w:ascii="Tahoma" w:hAnsi="Tahoma" w:cs="Tahoma"/>
                <w:b/>
                <w:bCs/>
                <w:iCs/>
                <w:color w:val="243285"/>
                <w:sz w:val="44"/>
                <w:szCs w:val="44"/>
                <w:lang w:val="en-US"/>
              </w:rPr>
              <w:br/>
              <w:t>of receiving space stations and characteristics of transmitting earth stations in the radionavigation-satellite service (Earth-to-space) operating</w:t>
            </w:r>
            <w:r>
              <w:rPr>
                <w:rFonts w:ascii="Tahoma" w:hAnsi="Tahoma" w:cs="Tahoma"/>
                <w:b/>
                <w:bCs/>
                <w:iCs/>
                <w:color w:val="243285"/>
                <w:sz w:val="44"/>
                <w:szCs w:val="44"/>
                <w:lang w:val="en-US"/>
              </w:rPr>
              <w:br/>
              <w:t>in the band 5 000-5 010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F11ADC" w:rsidRDefault="00FD15CF" w:rsidP="00FD15CF">
            <w:pPr>
              <w:spacing w:before="80" w:line="280" w:lineRule="exact"/>
              <w:ind w:right="640"/>
              <w:rPr>
                <w:rFonts w:ascii="Tahoma" w:hAnsi="Tahoma" w:cs="Tahoma"/>
                <w:b/>
                <w:bCs/>
                <w:iCs/>
                <w:color w:val="243285"/>
                <w:sz w:val="32"/>
                <w:szCs w:val="32"/>
                <w:lang w:val="en-US"/>
              </w:rPr>
            </w:pPr>
          </w:p>
          <w:p w:rsidR="00FD15CF" w:rsidRPr="00F11ADC"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AA3EF6">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A3EF6"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A3EF6"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A3EF6">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AA3EF6">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AA3EF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AA3EF6">
        <w:rPr>
          <w:sz w:val="20"/>
          <w:lang w:val="en-US"/>
        </w:rPr>
        <w:t>2</w:t>
      </w:r>
    </w:p>
    <w:p w:rsidR="00470E28" w:rsidRDefault="00470E28" w:rsidP="00906589">
      <w:pPr>
        <w:jc w:val="center"/>
        <w:rPr>
          <w:sz w:val="22"/>
          <w:lang w:val="en-US"/>
        </w:rPr>
      </w:pPr>
    </w:p>
    <w:p w:rsidR="00586EF8" w:rsidRPr="00470E28" w:rsidRDefault="00586EF8" w:rsidP="00AA3EF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AA3EF6">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F11ADC" w:rsidP="00F11AD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1906</w:t>
      </w:r>
      <w:r w:rsidR="00D34D30">
        <w:rPr>
          <w:rStyle w:val="FootnoteReference"/>
          <w:lang w:val="en-US"/>
        </w:rPr>
        <w:footnoteReference w:id="1"/>
      </w:r>
    </w:p>
    <w:p w:rsidR="00F11ADC" w:rsidRPr="00F11ADC" w:rsidRDefault="00F11ADC" w:rsidP="00F11ADC">
      <w:pPr>
        <w:pStyle w:val="Rectitle"/>
        <w:rPr>
          <w:lang w:val="en-US"/>
        </w:rPr>
      </w:pPr>
      <w:r w:rsidRPr="00F11ADC">
        <w:rPr>
          <w:lang w:val="en-US"/>
        </w:rPr>
        <w:t>Characteristics and protection criteria of receiving space stations</w:t>
      </w:r>
      <w:r w:rsidRPr="00F11ADC">
        <w:rPr>
          <w:lang w:val="en-US"/>
        </w:rPr>
        <w:br/>
        <w:t>and characteristics of transmitting earth stations in the</w:t>
      </w:r>
      <w:r w:rsidRPr="00F11ADC">
        <w:rPr>
          <w:lang w:val="en-US"/>
        </w:rPr>
        <w:br/>
        <w:t>radionavigation</w:t>
      </w:r>
      <w:r w:rsidRPr="00F11ADC">
        <w:rPr>
          <w:lang w:val="en-US"/>
        </w:rPr>
        <w:noBreakHyphen/>
        <w:t>satellite service (Earth-to-space)</w:t>
      </w:r>
      <w:r w:rsidRPr="00F11ADC">
        <w:rPr>
          <w:lang w:val="en-US"/>
        </w:rPr>
        <w:br/>
        <w:t>operating in the band 5 000-5 010 MHz</w:t>
      </w:r>
    </w:p>
    <w:p w:rsidR="00F11ADC" w:rsidRPr="00F11ADC" w:rsidRDefault="00F11ADC" w:rsidP="00F11ADC">
      <w:pPr>
        <w:pStyle w:val="Recref"/>
        <w:rPr>
          <w:lang w:val="en-US"/>
        </w:rPr>
      </w:pPr>
      <w:r w:rsidRPr="00F11ADC">
        <w:rPr>
          <w:lang w:val="en-US"/>
        </w:rPr>
        <w:t>(Questions ITU</w:t>
      </w:r>
      <w:r w:rsidRPr="00F11ADC">
        <w:rPr>
          <w:lang w:val="en-US"/>
        </w:rPr>
        <w:noBreakHyphen/>
        <w:t>R 217-2/4 and ITU</w:t>
      </w:r>
      <w:r w:rsidRPr="00F11ADC">
        <w:rPr>
          <w:lang w:val="en-US"/>
        </w:rPr>
        <w:noBreakHyphen/>
        <w:t>R 288/4)</w:t>
      </w:r>
    </w:p>
    <w:p w:rsidR="00F11ADC" w:rsidRPr="00F11ADC" w:rsidRDefault="002A74CE" w:rsidP="00F11ADC">
      <w:pPr>
        <w:pStyle w:val="Recdate"/>
        <w:rPr>
          <w:lang w:val="en-US"/>
        </w:rPr>
      </w:pPr>
      <w:r>
        <w:rPr>
          <w:lang w:val="en-US"/>
        </w:rPr>
        <w:t>(2012)</w:t>
      </w:r>
    </w:p>
    <w:p w:rsidR="00F9053C" w:rsidRDefault="00F9053C" w:rsidP="00F9053C">
      <w:pPr>
        <w:rPr>
          <w:lang w:val="en-US"/>
        </w:rPr>
      </w:pPr>
    </w:p>
    <w:p w:rsidR="00F11ADC" w:rsidRPr="00854349" w:rsidRDefault="00F11ADC" w:rsidP="002A74CE">
      <w:pPr>
        <w:pStyle w:val="HeadingSum"/>
        <w:rPr>
          <w:lang w:val="en-US"/>
        </w:rPr>
      </w:pPr>
      <w:r w:rsidRPr="00854349">
        <w:rPr>
          <w:lang w:val="en-US"/>
        </w:rPr>
        <w:t>Scope</w:t>
      </w:r>
    </w:p>
    <w:p w:rsidR="00F11ADC" w:rsidRPr="00854349" w:rsidRDefault="00F11ADC" w:rsidP="002A74CE">
      <w:pPr>
        <w:pStyle w:val="Summary"/>
        <w:rPr>
          <w:lang w:val="en-US"/>
        </w:rPr>
      </w:pPr>
      <w:r w:rsidRPr="00854349">
        <w:rPr>
          <w:lang w:val="en-US"/>
        </w:rPr>
        <w:t>Characteristics and protection criteria for radionavigation-satellite service (RNSS) receiving space stations, and characteristics of RNSS transmitting earth stations, planned or operating in the band 5 000-5 010 MHz are presented in this Recommendation. This information is intended for performing analyses of radio-frequency interference impact on systems and networks in the RNSS (Earth-to-space) operating in this band from radio sources other than in the RNSS.</w:t>
      </w:r>
    </w:p>
    <w:p w:rsidR="00F11ADC" w:rsidRPr="00854349" w:rsidRDefault="00F11ADC" w:rsidP="001F2AFD">
      <w:pPr>
        <w:pStyle w:val="Normalaftertitle"/>
        <w:rPr>
          <w:snapToGrid w:val="0"/>
          <w:lang w:val="en-US"/>
        </w:rPr>
      </w:pPr>
      <w:r w:rsidRPr="00854349">
        <w:rPr>
          <w:snapToGrid w:val="0"/>
          <w:lang w:val="en-US"/>
        </w:rPr>
        <w:t>The ITU Radiocommunication Assembly,</w:t>
      </w:r>
    </w:p>
    <w:p w:rsidR="00F11ADC" w:rsidRPr="00F11ADC" w:rsidRDefault="00F11ADC" w:rsidP="00F11ADC">
      <w:pPr>
        <w:pStyle w:val="Call"/>
        <w:rPr>
          <w:snapToGrid w:val="0"/>
          <w:lang w:val="en-US"/>
        </w:rPr>
      </w:pPr>
      <w:r w:rsidRPr="00F11ADC">
        <w:rPr>
          <w:lang w:val="en-US"/>
        </w:rPr>
        <w:t>considering</w:t>
      </w:r>
    </w:p>
    <w:p w:rsidR="00F11ADC" w:rsidRPr="00F11ADC" w:rsidRDefault="00F11ADC" w:rsidP="00F11ADC">
      <w:pPr>
        <w:rPr>
          <w:lang w:val="en-US"/>
        </w:rPr>
      </w:pPr>
      <w:r w:rsidRPr="00F11ADC">
        <w:rPr>
          <w:lang w:val="en-US"/>
        </w:rPr>
        <w:t>a)</w:t>
      </w:r>
      <w:r w:rsidRPr="00F11ADC">
        <w:rPr>
          <w:lang w:val="en-US"/>
        </w:rPr>
        <w:tab/>
        <w:t>that systems</w:t>
      </w:r>
      <w:r w:rsidRPr="00F11ADC">
        <w:rPr>
          <w:lang w:val="en-US" w:eastAsia="ja-JP"/>
        </w:rPr>
        <w:t xml:space="preserve"> and networks</w:t>
      </w:r>
      <w:r w:rsidRPr="00F11ADC">
        <w:rPr>
          <w:lang w:val="en-US"/>
        </w:rPr>
        <w:t xml:space="preserve"> </w:t>
      </w:r>
      <w:r w:rsidRPr="00F11ADC">
        <w:rPr>
          <w:lang w:val="en-US" w:eastAsia="ja-JP"/>
        </w:rPr>
        <w:t xml:space="preserve">in the radionavigation-satellite service (RNSS) </w:t>
      </w:r>
      <w:r w:rsidRPr="00F11ADC">
        <w:rPr>
          <w:lang w:val="en-US"/>
        </w:rPr>
        <w:t xml:space="preserve">provide worldwide accurate information for many positioning, navigation and timing applications, including safety aspects for some frequency bands and under certain circumstances and applications; </w:t>
      </w:r>
    </w:p>
    <w:p w:rsidR="00F11ADC" w:rsidRPr="00F11ADC" w:rsidRDefault="00F11ADC" w:rsidP="00F11ADC">
      <w:pPr>
        <w:rPr>
          <w:szCs w:val="24"/>
          <w:lang w:val="en-US"/>
        </w:rPr>
      </w:pPr>
      <w:r w:rsidRPr="00F11ADC">
        <w:rPr>
          <w:szCs w:val="24"/>
          <w:lang w:val="en-US"/>
        </w:rPr>
        <w:t>b)</w:t>
      </w:r>
      <w:r w:rsidRPr="00F11ADC">
        <w:rPr>
          <w:szCs w:val="24"/>
          <w:lang w:val="en-US"/>
        </w:rPr>
        <w:tab/>
        <w:t xml:space="preserve">that </w:t>
      </w:r>
      <w:r w:rsidRPr="00F11ADC">
        <w:rPr>
          <w:szCs w:val="24"/>
          <w:lang w:val="en-US" w:eastAsia="ja-JP"/>
        </w:rPr>
        <w:t>there are various operating and planned</w:t>
      </w:r>
      <w:r w:rsidRPr="00F11ADC">
        <w:rPr>
          <w:szCs w:val="24"/>
          <w:lang w:val="en-US"/>
        </w:rPr>
        <w:t xml:space="preserve"> systems and networks in the RNSS;</w:t>
      </w:r>
    </w:p>
    <w:p w:rsidR="00F11ADC" w:rsidRPr="00F11ADC" w:rsidRDefault="00F11ADC" w:rsidP="00F11ADC">
      <w:pPr>
        <w:rPr>
          <w:lang w:val="en-US"/>
        </w:rPr>
      </w:pPr>
      <w:r w:rsidRPr="00F11ADC">
        <w:rPr>
          <w:lang w:val="en-US"/>
        </w:rPr>
        <w:t>c)</w:t>
      </w:r>
      <w:r w:rsidRPr="00F11ADC">
        <w:rPr>
          <w:lang w:val="en-US"/>
        </w:rPr>
        <w:tab/>
        <w:t xml:space="preserve">that studies are being conducted on </w:t>
      </w:r>
      <w:r w:rsidRPr="00F11ADC">
        <w:rPr>
          <w:lang w:val="en-US" w:eastAsia="ja-JP"/>
        </w:rPr>
        <w:t>the interference into</w:t>
      </w:r>
      <w:r w:rsidRPr="00F11ADC">
        <w:rPr>
          <w:lang w:val="en-US"/>
        </w:rPr>
        <w:t xml:space="preserve"> RNSS </w:t>
      </w:r>
      <w:r w:rsidRPr="00F11ADC">
        <w:rPr>
          <w:lang w:val="en-US" w:eastAsia="ja-JP"/>
        </w:rPr>
        <w:t>systems and networks from</w:t>
      </w:r>
      <w:r w:rsidRPr="00F11ADC">
        <w:rPr>
          <w:lang w:val="en-US"/>
        </w:rPr>
        <w:t xml:space="preserve"> other radio services;</w:t>
      </w:r>
    </w:p>
    <w:p w:rsidR="00F11ADC" w:rsidRPr="00F11ADC" w:rsidRDefault="00F11ADC" w:rsidP="00D34D30">
      <w:pPr>
        <w:rPr>
          <w:szCs w:val="24"/>
          <w:lang w:val="en-US"/>
        </w:rPr>
      </w:pPr>
      <w:r w:rsidRPr="00F11ADC">
        <w:rPr>
          <w:szCs w:val="24"/>
          <w:lang w:val="en-US"/>
        </w:rPr>
        <w:t>d)</w:t>
      </w:r>
      <w:r w:rsidRPr="00F11ADC">
        <w:rPr>
          <w:szCs w:val="24"/>
          <w:lang w:val="en-US"/>
        </w:rPr>
        <w:tab/>
        <w:t>that Recommendation ITU</w:t>
      </w:r>
      <w:r w:rsidRPr="00F11ADC">
        <w:rPr>
          <w:szCs w:val="24"/>
          <w:lang w:val="en-US"/>
        </w:rPr>
        <w:noBreakHyphen/>
        <w:t>R M.</w:t>
      </w:r>
      <w:r w:rsidR="00D34D30">
        <w:rPr>
          <w:szCs w:val="24"/>
          <w:lang w:val="en-US"/>
        </w:rPr>
        <w:t>1901</w:t>
      </w:r>
      <w:r w:rsidRPr="00F11ADC">
        <w:rPr>
          <w:szCs w:val="24"/>
          <w:lang w:val="en-US"/>
        </w:rPr>
        <w:t xml:space="preserve"> provides guidance on ITU</w:t>
      </w:r>
      <w:r w:rsidRPr="00F11ADC">
        <w:rPr>
          <w:szCs w:val="24"/>
          <w:lang w:val="en-US"/>
        </w:rPr>
        <w:noBreakHyphen/>
        <w:t xml:space="preserve">R Recommendations related to systems and networks in the </w:t>
      </w:r>
      <w:r w:rsidR="00D34D30">
        <w:rPr>
          <w:szCs w:val="24"/>
          <w:lang w:val="en-US"/>
        </w:rPr>
        <w:t>RNSS</w:t>
      </w:r>
      <w:r w:rsidRPr="00F11ADC">
        <w:rPr>
          <w:szCs w:val="24"/>
          <w:lang w:val="en-US"/>
        </w:rPr>
        <w:t>,</w:t>
      </w:r>
    </w:p>
    <w:p w:rsidR="00F11ADC" w:rsidRPr="00F11ADC" w:rsidRDefault="00F11ADC" w:rsidP="00F11ADC">
      <w:pPr>
        <w:pStyle w:val="Call"/>
        <w:rPr>
          <w:snapToGrid w:val="0"/>
          <w:lang w:val="en-US"/>
        </w:rPr>
      </w:pPr>
      <w:r w:rsidRPr="00F11ADC">
        <w:rPr>
          <w:snapToGrid w:val="0"/>
          <w:lang w:val="en-US"/>
        </w:rPr>
        <w:t>recognizing</w:t>
      </w:r>
    </w:p>
    <w:p w:rsidR="00F11ADC" w:rsidRPr="00F11ADC" w:rsidRDefault="00F11ADC" w:rsidP="00F11ADC">
      <w:pPr>
        <w:rPr>
          <w:lang w:val="en-US"/>
        </w:rPr>
      </w:pPr>
      <w:r w:rsidRPr="00F11ADC">
        <w:rPr>
          <w:lang w:val="en-US"/>
        </w:rPr>
        <w:t>a)</w:t>
      </w:r>
      <w:r w:rsidRPr="00F11ADC">
        <w:rPr>
          <w:lang w:val="en-US"/>
        </w:rPr>
        <w:tab/>
        <w:t>that the band 5 000-5 010 MHz is globally allocated on a primary basis to RNSS (Earth-to-space);</w:t>
      </w:r>
    </w:p>
    <w:p w:rsidR="00F11ADC" w:rsidRPr="00F11ADC" w:rsidRDefault="00F11ADC" w:rsidP="00F11ADC">
      <w:pPr>
        <w:rPr>
          <w:lang w:val="en-US"/>
        </w:rPr>
      </w:pPr>
      <w:r w:rsidRPr="00F11ADC">
        <w:rPr>
          <w:lang w:val="en-US"/>
        </w:rPr>
        <w:t>b)</w:t>
      </w:r>
      <w:r w:rsidRPr="00F11ADC">
        <w:rPr>
          <w:lang w:val="en-US"/>
        </w:rPr>
        <w:tab/>
        <w:t>that the band 5 000-5 010 MHz is also globally allocated on a primary basis to the aeronautical radionavigation service (ARNS);</w:t>
      </w:r>
    </w:p>
    <w:p w:rsidR="00F11ADC" w:rsidRPr="00F11ADC" w:rsidRDefault="00F11ADC" w:rsidP="00F11ADC">
      <w:pPr>
        <w:rPr>
          <w:lang w:val="en-US"/>
        </w:rPr>
      </w:pPr>
      <w:r w:rsidRPr="00F11ADC">
        <w:rPr>
          <w:lang w:val="en-US"/>
        </w:rPr>
        <w:t>c)</w:t>
      </w:r>
      <w:r w:rsidRPr="00F11ADC">
        <w:rPr>
          <w:lang w:val="en-US"/>
        </w:rPr>
        <w:tab/>
        <w:t>that the band 5 000-5 010 MHz is also globally allocated on a primary basis to the aeronautical mobile-satellite (route) service (AMS(R)S) under No. 5.367 of the Radio Regulations (RR)</w:t>
      </w:r>
      <w:r w:rsidRPr="00F11ADC">
        <w:rPr>
          <w:lang w:val="en-US" w:eastAsia="ja-JP"/>
        </w:rPr>
        <w:t xml:space="preserve"> subject to No. </w:t>
      </w:r>
      <w:smartTag w:uri="urn:schemas-microsoft-com:office:smarttags" w:element="stockticker">
        <w:r w:rsidRPr="00F11ADC">
          <w:rPr>
            <w:lang w:val="en-US" w:eastAsia="ja-JP"/>
          </w:rPr>
          <w:t>9.21</w:t>
        </w:r>
      </w:smartTag>
      <w:r w:rsidRPr="00F11ADC">
        <w:rPr>
          <w:lang w:val="en-US" w:eastAsia="ja-JP"/>
        </w:rPr>
        <w:t xml:space="preserve"> of the RR</w:t>
      </w:r>
      <w:r w:rsidRPr="00F11ADC">
        <w:rPr>
          <w:lang w:val="en-US"/>
        </w:rPr>
        <w:t>,</w:t>
      </w:r>
    </w:p>
    <w:p w:rsidR="00F11ADC" w:rsidRPr="00F11ADC" w:rsidRDefault="00F11ADC" w:rsidP="00F11ADC">
      <w:pPr>
        <w:pStyle w:val="Call"/>
        <w:rPr>
          <w:snapToGrid w:val="0"/>
          <w:lang w:val="en-US"/>
        </w:rPr>
      </w:pPr>
      <w:r w:rsidRPr="00F11ADC">
        <w:rPr>
          <w:snapToGrid w:val="0"/>
          <w:lang w:val="en-US"/>
        </w:rPr>
        <w:t>recommends</w:t>
      </w:r>
    </w:p>
    <w:p w:rsidR="00F11ADC" w:rsidRPr="00F11ADC" w:rsidRDefault="00F11ADC" w:rsidP="00F11ADC">
      <w:pPr>
        <w:rPr>
          <w:snapToGrid w:val="0"/>
          <w:lang w:val="en-US"/>
        </w:rPr>
      </w:pPr>
      <w:r w:rsidRPr="00F11ADC">
        <w:rPr>
          <w:b/>
          <w:snapToGrid w:val="0"/>
          <w:lang w:val="en-US"/>
        </w:rPr>
        <w:t>1</w:t>
      </w:r>
      <w:r w:rsidRPr="00F11ADC">
        <w:rPr>
          <w:snapToGrid w:val="0"/>
          <w:lang w:val="en-US"/>
        </w:rPr>
        <w:tab/>
        <w:t xml:space="preserve">that the characteristics and protection criteria of receiving space stations and the characteristics of transmitting earth stations given in Annexes 1, 2 and 3 should be used </w:t>
      </w:r>
      <w:r w:rsidRPr="00F11ADC">
        <w:rPr>
          <w:snapToGrid w:val="0"/>
          <w:lang w:val="en-US" w:eastAsia="ja-JP"/>
        </w:rPr>
        <w:t xml:space="preserve">in performing analyses </w:t>
      </w:r>
      <w:r w:rsidRPr="00F11ADC">
        <w:rPr>
          <w:snapToGrid w:val="0"/>
          <w:lang w:val="en-US"/>
        </w:rPr>
        <w:t>of radio-frequency interference impact on systems</w:t>
      </w:r>
      <w:r w:rsidRPr="00F11ADC">
        <w:rPr>
          <w:snapToGrid w:val="0"/>
          <w:lang w:val="en-US" w:eastAsia="ja-JP"/>
        </w:rPr>
        <w:t xml:space="preserve"> and </w:t>
      </w:r>
      <w:r w:rsidRPr="00F11ADC">
        <w:rPr>
          <w:snapToGrid w:val="0"/>
          <w:lang w:val="en-US"/>
        </w:rPr>
        <w:t>networks</w:t>
      </w:r>
      <w:r w:rsidRPr="00F11ADC">
        <w:rPr>
          <w:snapToGrid w:val="0"/>
          <w:lang w:val="en-US" w:eastAsia="ja-JP"/>
        </w:rPr>
        <w:t xml:space="preserve"> in the RNSS</w:t>
      </w:r>
      <w:r w:rsidRPr="00F11ADC">
        <w:rPr>
          <w:snapToGrid w:val="0"/>
          <w:lang w:val="en-US"/>
        </w:rPr>
        <w:t xml:space="preserve"> (</w:t>
      </w:r>
      <w:r w:rsidRPr="00F11ADC">
        <w:rPr>
          <w:snapToGrid w:val="0"/>
          <w:lang w:val="en-US" w:eastAsia="ja-JP"/>
        </w:rPr>
        <w:t>Earth</w:t>
      </w:r>
      <w:r w:rsidRPr="00F11ADC">
        <w:rPr>
          <w:snapToGrid w:val="0"/>
          <w:lang w:val="en-US"/>
        </w:rPr>
        <w:noBreakHyphen/>
        <w:t>to</w:t>
      </w:r>
      <w:r w:rsidRPr="00F11ADC">
        <w:rPr>
          <w:snapToGrid w:val="0"/>
          <w:lang w:val="en-US"/>
        </w:rPr>
        <w:noBreakHyphen/>
      </w:r>
      <w:r w:rsidRPr="00F11ADC">
        <w:rPr>
          <w:snapToGrid w:val="0"/>
          <w:lang w:val="en-US" w:eastAsia="ja-JP"/>
        </w:rPr>
        <w:t>space</w:t>
      </w:r>
      <w:r w:rsidRPr="00F11ADC">
        <w:rPr>
          <w:snapToGrid w:val="0"/>
          <w:lang w:val="en-US"/>
        </w:rPr>
        <w:t xml:space="preserve">) </w:t>
      </w:r>
      <w:r w:rsidRPr="00F11ADC">
        <w:rPr>
          <w:snapToGrid w:val="0"/>
          <w:lang w:val="en-US" w:eastAsia="ja-JP"/>
        </w:rPr>
        <w:t xml:space="preserve">operating in the band </w:t>
      </w:r>
      <w:r w:rsidRPr="00F11ADC">
        <w:rPr>
          <w:lang w:val="en-US"/>
        </w:rPr>
        <w:t>5 000-5 010 MHz</w:t>
      </w:r>
      <w:r w:rsidRPr="00F11ADC">
        <w:rPr>
          <w:snapToGrid w:val="0"/>
          <w:lang w:val="en-US"/>
        </w:rPr>
        <w:t xml:space="preserve"> from radio sources other than in the RNSS;</w:t>
      </w:r>
    </w:p>
    <w:p w:rsidR="00F11ADC" w:rsidRDefault="00F11ADC" w:rsidP="00F11ADC">
      <w:pPr>
        <w:rPr>
          <w:snapToGrid w:val="0"/>
          <w:lang w:val="en-US"/>
        </w:rPr>
      </w:pPr>
      <w:r w:rsidRPr="00F11ADC">
        <w:rPr>
          <w:b/>
          <w:bCs/>
          <w:snapToGrid w:val="0"/>
          <w:lang w:val="en-US"/>
        </w:rPr>
        <w:lastRenderedPageBreak/>
        <w:t>2</w:t>
      </w:r>
      <w:r w:rsidRPr="00F11ADC">
        <w:rPr>
          <w:snapToGrid w:val="0"/>
          <w:lang w:val="en-US"/>
        </w:rPr>
        <w:tab/>
        <w:t>that the allowance for interference to systems and networks in the RNSS (</w:t>
      </w:r>
      <w:r w:rsidRPr="00F11ADC">
        <w:rPr>
          <w:snapToGrid w:val="0"/>
          <w:lang w:val="en-US" w:eastAsia="ja-JP"/>
        </w:rPr>
        <w:t>Earth</w:t>
      </w:r>
      <w:r w:rsidRPr="00F11ADC">
        <w:rPr>
          <w:snapToGrid w:val="0"/>
          <w:lang w:val="en-US"/>
        </w:rPr>
        <w:noBreakHyphen/>
        <w:t>to</w:t>
      </w:r>
      <w:r w:rsidRPr="00F11ADC">
        <w:rPr>
          <w:snapToGrid w:val="0"/>
          <w:lang w:val="en-US"/>
        </w:rPr>
        <w:noBreakHyphen/>
      </w:r>
      <w:r w:rsidRPr="00F11ADC">
        <w:rPr>
          <w:snapToGrid w:val="0"/>
          <w:lang w:val="en-US" w:eastAsia="ja-JP"/>
        </w:rPr>
        <w:t>space</w:t>
      </w:r>
      <w:r w:rsidRPr="00F11ADC">
        <w:rPr>
          <w:snapToGrid w:val="0"/>
          <w:lang w:val="en-US"/>
        </w:rPr>
        <w:t xml:space="preserve">) </w:t>
      </w:r>
      <w:r w:rsidRPr="00F11ADC">
        <w:rPr>
          <w:snapToGrid w:val="0"/>
          <w:lang w:val="en-US" w:eastAsia="ja-JP"/>
        </w:rPr>
        <w:t xml:space="preserve">operating in the band </w:t>
      </w:r>
      <w:r w:rsidRPr="00F11ADC">
        <w:rPr>
          <w:lang w:val="en-US"/>
        </w:rPr>
        <w:t>5 000-5 010 MHz</w:t>
      </w:r>
      <w:r w:rsidRPr="00F11ADC">
        <w:rPr>
          <w:snapToGrid w:val="0"/>
          <w:lang w:val="en-US"/>
        </w:rPr>
        <w:t xml:space="preserve"> from all radio sources of primary services in the band other than in the RNSS, should not exceed 6% of the RNSS receiver system noise.</w:t>
      </w:r>
    </w:p>
    <w:p w:rsidR="00F9053C" w:rsidRDefault="00F9053C" w:rsidP="00F11ADC">
      <w:pPr>
        <w:rPr>
          <w:snapToGrid w:val="0"/>
          <w:lang w:val="en-US"/>
        </w:rPr>
      </w:pPr>
    </w:p>
    <w:p w:rsidR="00F9053C" w:rsidRDefault="00F9053C" w:rsidP="00F11ADC">
      <w:pPr>
        <w:rPr>
          <w:snapToGrid w:val="0"/>
          <w:lang w:val="en-US"/>
        </w:rPr>
      </w:pPr>
    </w:p>
    <w:p w:rsidR="00F9053C" w:rsidRDefault="00F9053C" w:rsidP="00F11ADC">
      <w:pPr>
        <w:rPr>
          <w:snapToGrid w:val="0"/>
          <w:lang w:val="en-US"/>
        </w:rPr>
      </w:pPr>
    </w:p>
    <w:p w:rsidR="00F9053C" w:rsidRPr="00F11ADC" w:rsidRDefault="00F9053C" w:rsidP="00F11ADC">
      <w:pPr>
        <w:rPr>
          <w:snapToGrid w:val="0"/>
          <w:lang w:val="en-US"/>
        </w:rPr>
      </w:pPr>
    </w:p>
    <w:p w:rsidR="00F11ADC" w:rsidRPr="002A74CE" w:rsidRDefault="00F11ADC" w:rsidP="002A74CE">
      <w:pPr>
        <w:pStyle w:val="AnnexNoTitle"/>
        <w:rPr>
          <w:lang w:val="en-US"/>
        </w:rPr>
      </w:pPr>
      <w:r w:rsidRPr="002A74CE">
        <w:rPr>
          <w:lang w:val="en-US"/>
        </w:rPr>
        <w:t>Annex 1</w:t>
      </w:r>
      <w:r w:rsidR="002A74CE" w:rsidRPr="002A74CE">
        <w:rPr>
          <w:lang w:val="en-US"/>
        </w:rPr>
        <w:br/>
      </w:r>
      <w:r w:rsidR="002A74CE">
        <w:rPr>
          <w:lang w:val="en-US"/>
        </w:rPr>
        <w:br/>
      </w:r>
      <w:r w:rsidRPr="002A74CE">
        <w:rPr>
          <w:lang w:val="en-US"/>
        </w:rPr>
        <w:t>Technical characteristics and protection criteria of receiving space stations</w:t>
      </w:r>
      <w:r w:rsidRPr="002A74CE">
        <w:rPr>
          <w:lang w:val="en-US"/>
        </w:rPr>
        <w:br/>
        <w:t>and characteristics of transmitting earth stations of the Galileo system</w:t>
      </w:r>
      <w:r w:rsidRPr="002A74CE">
        <w:rPr>
          <w:lang w:val="en-US"/>
        </w:rPr>
        <w:br/>
        <w:t>operating in the band 5 000</w:t>
      </w:r>
      <w:r w:rsidRPr="002A74CE">
        <w:rPr>
          <w:lang w:val="en-US"/>
        </w:rPr>
        <w:noBreakHyphen/>
        <w:t>5 010 MHz</w:t>
      </w:r>
    </w:p>
    <w:p w:rsidR="00F11ADC" w:rsidRPr="00F11ADC" w:rsidRDefault="00F11ADC" w:rsidP="00F11ADC">
      <w:pPr>
        <w:pStyle w:val="Heading1"/>
        <w:rPr>
          <w:lang w:val="en-US"/>
        </w:rPr>
      </w:pPr>
      <w:r w:rsidRPr="00F11ADC">
        <w:rPr>
          <w:lang w:val="en-US"/>
        </w:rPr>
        <w:t>1</w:t>
      </w:r>
      <w:r w:rsidRPr="00F11ADC">
        <w:rPr>
          <w:lang w:val="en-US"/>
        </w:rPr>
        <w:tab/>
        <w:t>Introduction</w:t>
      </w:r>
    </w:p>
    <w:p w:rsidR="00F11ADC" w:rsidRPr="00F11ADC" w:rsidRDefault="00F11ADC" w:rsidP="00F11ADC">
      <w:pPr>
        <w:rPr>
          <w:lang w:val="en-US"/>
        </w:rPr>
      </w:pPr>
      <w:r w:rsidRPr="00F11ADC">
        <w:rPr>
          <w:lang w:val="en-US"/>
        </w:rPr>
        <w:t xml:space="preserve">This band is used by the Galileo system for the operation of feeder-link stations transmitting navigation mission information to the satellites. Through feeder links all system and navigation mission relevant information is transferred to the Galileo satellites comprising ephemerides, clock correction information, service integrity messages and all other data elements of the navigation message that require continuous updates. </w:t>
      </w:r>
    </w:p>
    <w:p w:rsidR="00F11ADC" w:rsidRPr="00F11ADC" w:rsidRDefault="00F11ADC" w:rsidP="00F11ADC">
      <w:pPr>
        <w:rPr>
          <w:lang w:val="en-US"/>
        </w:rPr>
      </w:pPr>
      <w:r w:rsidRPr="00F11ADC">
        <w:rPr>
          <w:lang w:val="en-US"/>
        </w:rPr>
        <w:t>The feeder link is not intended for user access. Up to 20 uplink earth stations, using the RNSS (Earth-to-space) allocation in the 5 000-5 010 MHz frequency band are operated from geographical locations worldwide to enable access to each satellite in the constellation at any time.</w:t>
      </w:r>
    </w:p>
    <w:p w:rsidR="00F11ADC" w:rsidRPr="00F11ADC" w:rsidRDefault="00F11ADC" w:rsidP="00F11ADC">
      <w:pPr>
        <w:rPr>
          <w:lang w:val="en-US"/>
        </w:rPr>
      </w:pPr>
      <w:r w:rsidRPr="00F11ADC">
        <w:rPr>
          <w:lang w:val="en-US"/>
        </w:rPr>
        <w:t>The system includes in its architecture:</w:t>
      </w:r>
    </w:p>
    <w:p w:rsidR="00F11ADC" w:rsidRPr="00F11ADC" w:rsidRDefault="00F11ADC" w:rsidP="00F11ADC">
      <w:pPr>
        <w:pStyle w:val="enumlev1"/>
        <w:rPr>
          <w:lang w:val="en-US"/>
        </w:rPr>
      </w:pPr>
      <w:r w:rsidRPr="00F11ADC">
        <w:rPr>
          <w:lang w:val="en-US"/>
        </w:rPr>
        <w:t>−</w:t>
      </w:r>
      <w:r w:rsidRPr="00F11ADC">
        <w:rPr>
          <w:lang w:val="en-US"/>
        </w:rPr>
        <w:tab/>
        <w:t>a space segment comprising 27 active satellites evenly distributed on three circular Earth orbits at 23 222 km altitude, each orbital plane inclined to the equator by 54° − a ground control segment providing system and satellite monitoring and control, operating on 2 GHz frequencies for satellite control (telecommand and telemetry);</w:t>
      </w:r>
    </w:p>
    <w:p w:rsidR="00F11ADC" w:rsidRPr="00F11ADC" w:rsidRDefault="00F11ADC" w:rsidP="00F11ADC">
      <w:pPr>
        <w:pStyle w:val="enumlev1"/>
        <w:rPr>
          <w:lang w:val="en-US"/>
        </w:rPr>
      </w:pPr>
      <w:r w:rsidRPr="00F11ADC">
        <w:rPr>
          <w:lang w:val="en-US"/>
        </w:rPr>
        <w:t>−</w:t>
      </w:r>
      <w:r w:rsidRPr="00F11ADC">
        <w:rPr>
          <w:lang w:val="en-US"/>
        </w:rPr>
        <w:tab/>
        <w:t xml:space="preserve">a ground mission segment that uploads data for subsequent broadcast to users of integrity messages via Galileo satellites. </w:t>
      </w:r>
    </w:p>
    <w:p w:rsidR="00F11ADC" w:rsidRPr="00F11ADC" w:rsidRDefault="00F11ADC" w:rsidP="00AA3EF6">
      <w:pPr>
        <w:rPr>
          <w:lang w:val="en-US"/>
        </w:rPr>
      </w:pPr>
      <w:r w:rsidRPr="00F11ADC">
        <w:rPr>
          <w:lang w:val="en-US"/>
        </w:rPr>
        <w:t xml:space="preserve">The data elements for the orbit ephemerides and service integrity information are calculated from measurements determined and processed by a worldwide network of Galileo monitoring stations. One of the most critical elements is the dissemination of integrity information to user receivers in the Galileo Safety-of-Life </w:t>
      </w:r>
      <w:r w:rsidR="00AA3EF6">
        <w:rPr>
          <w:lang w:val="en-US"/>
        </w:rPr>
        <w:t>(So</w:t>
      </w:r>
      <w:r w:rsidR="00DC4005">
        <w:rPr>
          <w:lang w:val="en-US"/>
        </w:rPr>
        <w:t>L</w:t>
      </w:r>
      <w:r w:rsidR="00AA3EF6">
        <w:rPr>
          <w:lang w:val="en-US"/>
        </w:rPr>
        <w:t xml:space="preserve">) </w:t>
      </w:r>
      <w:r w:rsidRPr="00F11ADC">
        <w:rPr>
          <w:lang w:val="en-US"/>
        </w:rPr>
        <w:t>service. This information is provided by the 5 GHz feeder uplink signal and is specified to reach user receivers within six seconds after detection of pre-defined limits of service degradation. The SoL positioning and timing information is provided through the E5</w:t>
      </w:r>
      <w:r w:rsidRPr="00F11ADC">
        <w:rPr>
          <w:lang w:val="en-US"/>
        </w:rPr>
        <w:noBreakHyphen/>
        <w:t xml:space="preserve">signals. </w:t>
      </w:r>
    </w:p>
    <w:p w:rsidR="00F11ADC" w:rsidRPr="00F11ADC" w:rsidRDefault="00F11ADC" w:rsidP="00F11ADC">
      <w:pPr>
        <w:pStyle w:val="Heading1"/>
        <w:rPr>
          <w:lang w:val="en-US"/>
        </w:rPr>
      </w:pPr>
      <w:r w:rsidRPr="00F11ADC">
        <w:rPr>
          <w:lang w:val="en-US"/>
        </w:rPr>
        <w:t>2</w:t>
      </w:r>
      <w:r w:rsidRPr="00F11ADC">
        <w:rPr>
          <w:lang w:val="en-US"/>
        </w:rPr>
        <w:tab/>
        <w:t>Galileo feeder uplink characteristics</w:t>
      </w:r>
    </w:p>
    <w:p w:rsidR="00F11ADC" w:rsidRPr="00F11ADC" w:rsidRDefault="00F11ADC" w:rsidP="00F11ADC">
      <w:pPr>
        <w:rPr>
          <w:lang w:val="en-US"/>
        </w:rPr>
      </w:pPr>
      <w:r w:rsidRPr="00F11ADC">
        <w:rPr>
          <w:lang w:val="en-US"/>
        </w:rPr>
        <w:t>The parameters for typical Galileo feeder uplink earth stations are listed in Table 1-1. Transmit filtering will be implemented for all Galileo transmit signals.</w:t>
      </w:r>
    </w:p>
    <w:p w:rsidR="00F11ADC" w:rsidRPr="00F11ADC" w:rsidRDefault="002A74CE" w:rsidP="00F11ADC">
      <w:pPr>
        <w:pStyle w:val="TableNo"/>
        <w:rPr>
          <w:lang w:val="en-US"/>
        </w:rPr>
      </w:pPr>
      <w:r w:rsidRPr="00F11ADC">
        <w:rPr>
          <w:lang w:val="en-US"/>
        </w:rPr>
        <w:lastRenderedPageBreak/>
        <w:t>TABLE</w:t>
      </w:r>
      <w:r w:rsidR="00F11ADC" w:rsidRPr="00F11ADC">
        <w:rPr>
          <w:lang w:val="en-US"/>
        </w:rPr>
        <w:t xml:space="preserve"> 1-1</w:t>
      </w:r>
    </w:p>
    <w:p w:rsidR="00F11ADC" w:rsidRPr="00F11ADC" w:rsidRDefault="00F11ADC" w:rsidP="00F11ADC">
      <w:pPr>
        <w:pStyle w:val="Tabletitle"/>
        <w:rPr>
          <w:lang w:val="en-US"/>
        </w:rPr>
      </w:pPr>
      <w:r w:rsidRPr="00F11ADC">
        <w:rPr>
          <w:lang w:val="en-US"/>
        </w:rPr>
        <w:t xml:space="preserve">Characteristics of Galileo transmitting earth stations </w:t>
      </w:r>
      <w:r w:rsidRPr="00F11ADC">
        <w:rPr>
          <w:lang w:val="en-US"/>
        </w:rPr>
        <w:br/>
        <w:t>operating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11ADC" w:rsidRPr="008E6054" w:rsidTr="00854349">
        <w:trPr>
          <w:tblHeader/>
          <w:jc w:val="center"/>
        </w:trPr>
        <w:tc>
          <w:tcPr>
            <w:tcW w:w="5670" w:type="dxa"/>
          </w:tcPr>
          <w:p w:rsidR="00F11ADC" w:rsidRPr="008E6054" w:rsidRDefault="00F11ADC" w:rsidP="000E7226">
            <w:pPr>
              <w:pStyle w:val="Tablehead"/>
            </w:pPr>
            <w:r w:rsidRPr="008E6054">
              <w:t>Parameter</w:t>
            </w:r>
          </w:p>
        </w:tc>
        <w:tc>
          <w:tcPr>
            <w:tcW w:w="3402" w:type="dxa"/>
          </w:tcPr>
          <w:p w:rsidR="00F11ADC" w:rsidRPr="008E6054" w:rsidRDefault="00F11ADC" w:rsidP="000E7226">
            <w:pPr>
              <w:pStyle w:val="Tablehead"/>
            </w:pPr>
            <w:r w:rsidRPr="008E6054">
              <w:t>Value</w:t>
            </w:r>
          </w:p>
        </w:tc>
      </w:tr>
      <w:tr w:rsidR="00F11ADC" w:rsidRPr="008E6054" w:rsidTr="00854349">
        <w:trPr>
          <w:jc w:val="center"/>
        </w:trPr>
        <w:tc>
          <w:tcPr>
            <w:tcW w:w="5670" w:type="dxa"/>
          </w:tcPr>
          <w:p w:rsidR="00F11ADC" w:rsidRPr="008E6054" w:rsidRDefault="00F11ADC" w:rsidP="000E7226">
            <w:pPr>
              <w:pStyle w:val="Tabletext"/>
              <w:rPr>
                <w:highlight w:val="green"/>
              </w:rPr>
            </w:pPr>
            <w:r w:rsidRPr="008E6054">
              <w:t>Centre frequency (MHz)</w:t>
            </w:r>
            <w:r w:rsidRPr="008E6054">
              <w:rPr>
                <w:highlight w:val="green"/>
              </w:rPr>
              <w:t xml:space="preserve"> </w:t>
            </w:r>
          </w:p>
        </w:tc>
        <w:tc>
          <w:tcPr>
            <w:tcW w:w="3402" w:type="dxa"/>
          </w:tcPr>
          <w:p w:rsidR="00F11ADC" w:rsidRPr="008E6054" w:rsidRDefault="00F11ADC" w:rsidP="000E7226">
            <w:pPr>
              <w:pStyle w:val="Tabletext"/>
              <w:jc w:val="center"/>
            </w:pPr>
            <w:r w:rsidRPr="008E6054">
              <w:t>5 005</w:t>
            </w:r>
          </w:p>
        </w:tc>
      </w:tr>
      <w:tr w:rsidR="00F11ADC" w:rsidRPr="008E6054" w:rsidTr="00854349">
        <w:trPr>
          <w:jc w:val="center"/>
        </w:trPr>
        <w:tc>
          <w:tcPr>
            <w:tcW w:w="5670" w:type="dxa"/>
          </w:tcPr>
          <w:p w:rsidR="00F11ADC" w:rsidRPr="008E6054" w:rsidRDefault="00F11ADC" w:rsidP="000E7226">
            <w:pPr>
              <w:pStyle w:val="Tabletext"/>
            </w:pPr>
            <w:r w:rsidRPr="008E6054">
              <w:t>Antenna diameter (m)</w:t>
            </w:r>
          </w:p>
        </w:tc>
        <w:tc>
          <w:tcPr>
            <w:tcW w:w="3402" w:type="dxa"/>
          </w:tcPr>
          <w:p w:rsidR="00F11ADC" w:rsidRPr="008E6054" w:rsidRDefault="00F11ADC" w:rsidP="000E7226">
            <w:pPr>
              <w:pStyle w:val="Tabletext"/>
              <w:jc w:val="center"/>
            </w:pPr>
            <w:r w:rsidRPr="008E6054">
              <w:t>3.0</w:t>
            </w:r>
          </w:p>
        </w:tc>
      </w:tr>
      <w:tr w:rsidR="00F11ADC" w:rsidRPr="008E6054" w:rsidTr="00854349">
        <w:trPr>
          <w:jc w:val="center"/>
        </w:trPr>
        <w:tc>
          <w:tcPr>
            <w:tcW w:w="5670" w:type="dxa"/>
          </w:tcPr>
          <w:p w:rsidR="00F11ADC" w:rsidRPr="008E6054" w:rsidRDefault="00F11ADC" w:rsidP="000E7226">
            <w:pPr>
              <w:pStyle w:val="Tabletext"/>
            </w:pPr>
            <w:r w:rsidRPr="008E6054">
              <w:t>Polarization</w:t>
            </w:r>
          </w:p>
        </w:tc>
        <w:tc>
          <w:tcPr>
            <w:tcW w:w="3402" w:type="dxa"/>
          </w:tcPr>
          <w:p w:rsidR="00F11ADC" w:rsidRPr="008E6054" w:rsidRDefault="00F11ADC" w:rsidP="000E7226">
            <w:pPr>
              <w:pStyle w:val="Tabletext"/>
              <w:jc w:val="center"/>
            </w:pPr>
            <w:r w:rsidRPr="008E6054">
              <w:t>RHCP</w:t>
            </w:r>
          </w:p>
        </w:tc>
      </w:tr>
      <w:tr w:rsidR="00F11ADC" w:rsidRPr="008E6054" w:rsidTr="00854349">
        <w:trPr>
          <w:jc w:val="center"/>
        </w:trPr>
        <w:tc>
          <w:tcPr>
            <w:tcW w:w="5670" w:type="dxa"/>
          </w:tcPr>
          <w:p w:rsidR="00F11ADC" w:rsidRPr="008E6054" w:rsidRDefault="00F11ADC" w:rsidP="000E7226">
            <w:pPr>
              <w:pStyle w:val="Tabletext"/>
            </w:pPr>
            <w:r w:rsidRPr="008E6054">
              <w:t>Antenna pattern</w:t>
            </w:r>
          </w:p>
        </w:tc>
        <w:tc>
          <w:tcPr>
            <w:tcW w:w="3402" w:type="dxa"/>
          </w:tcPr>
          <w:p w:rsidR="00F11ADC" w:rsidRPr="008E6054" w:rsidRDefault="00F11ADC" w:rsidP="000E7226">
            <w:pPr>
              <w:pStyle w:val="Tabletext"/>
              <w:jc w:val="center"/>
            </w:pPr>
            <w:r w:rsidRPr="008E6054">
              <w:t>Rec. ITU</w:t>
            </w:r>
            <w:r w:rsidRPr="008E6054">
              <w:noBreakHyphen/>
              <w:t>R S.465-5</w:t>
            </w:r>
          </w:p>
        </w:tc>
      </w:tr>
      <w:tr w:rsidR="00F11ADC" w:rsidRPr="008E6054" w:rsidTr="00854349">
        <w:trPr>
          <w:jc w:val="center"/>
        </w:trPr>
        <w:tc>
          <w:tcPr>
            <w:tcW w:w="5670" w:type="dxa"/>
          </w:tcPr>
          <w:p w:rsidR="00F11ADC" w:rsidRPr="008E6054" w:rsidRDefault="00F11ADC" w:rsidP="000E7226">
            <w:pPr>
              <w:pStyle w:val="Tabletext"/>
            </w:pPr>
            <w:r w:rsidRPr="008E6054">
              <w:t>Theoretical antenna gain (dBi)</w:t>
            </w:r>
          </w:p>
        </w:tc>
        <w:tc>
          <w:tcPr>
            <w:tcW w:w="3402" w:type="dxa"/>
          </w:tcPr>
          <w:p w:rsidR="00F11ADC" w:rsidRPr="008E6054" w:rsidRDefault="00F11ADC" w:rsidP="000E7226">
            <w:pPr>
              <w:pStyle w:val="Tabletext"/>
              <w:jc w:val="center"/>
            </w:pPr>
            <w:r w:rsidRPr="008E6054">
              <w:t>41.8</w:t>
            </w:r>
          </w:p>
        </w:tc>
      </w:tr>
      <w:tr w:rsidR="00F11ADC" w:rsidRPr="008E6054" w:rsidTr="00854349">
        <w:trPr>
          <w:jc w:val="center"/>
        </w:trPr>
        <w:tc>
          <w:tcPr>
            <w:tcW w:w="5670" w:type="dxa"/>
          </w:tcPr>
          <w:p w:rsidR="00F11ADC" w:rsidRPr="008E6054" w:rsidRDefault="00F11ADC" w:rsidP="000E7226">
            <w:pPr>
              <w:pStyle w:val="Tabletext"/>
            </w:pPr>
            <w:r w:rsidRPr="008E6054">
              <w:t>e.i.r.p. (dBW)</w:t>
            </w:r>
          </w:p>
        </w:tc>
        <w:tc>
          <w:tcPr>
            <w:tcW w:w="3402" w:type="dxa"/>
          </w:tcPr>
          <w:p w:rsidR="00F11ADC" w:rsidRPr="008E6054" w:rsidRDefault="00F11ADC" w:rsidP="000E7226">
            <w:pPr>
              <w:pStyle w:val="Tabletext"/>
              <w:jc w:val="center"/>
            </w:pPr>
            <w:r w:rsidRPr="008E6054">
              <w:t>50.3</w:t>
            </w:r>
          </w:p>
        </w:tc>
      </w:tr>
      <w:tr w:rsidR="00F11ADC" w:rsidRPr="008E6054" w:rsidTr="00854349">
        <w:trPr>
          <w:jc w:val="center"/>
        </w:trPr>
        <w:tc>
          <w:tcPr>
            <w:tcW w:w="5670" w:type="dxa"/>
          </w:tcPr>
          <w:p w:rsidR="00F11ADC" w:rsidRPr="008E6054" w:rsidRDefault="00F11ADC" w:rsidP="000E7226">
            <w:pPr>
              <w:pStyle w:val="Tabletext"/>
            </w:pPr>
            <w:r w:rsidRPr="008E6054">
              <w:t>Modulation/coding</w:t>
            </w:r>
          </w:p>
        </w:tc>
        <w:tc>
          <w:tcPr>
            <w:tcW w:w="3402" w:type="dxa"/>
          </w:tcPr>
          <w:p w:rsidR="00F11ADC" w:rsidRPr="008E6054" w:rsidRDefault="00F11ADC" w:rsidP="000E7226">
            <w:pPr>
              <w:pStyle w:val="Tabletext"/>
              <w:jc w:val="center"/>
            </w:pPr>
            <w:r w:rsidRPr="008E6054">
              <w:t>QPSK/spread spectrum</w:t>
            </w:r>
          </w:p>
        </w:tc>
      </w:tr>
      <w:tr w:rsidR="00F11ADC" w:rsidRPr="008E6054" w:rsidTr="00D34D30">
        <w:trPr>
          <w:jc w:val="center"/>
        </w:trPr>
        <w:tc>
          <w:tcPr>
            <w:tcW w:w="5670" w:type="dxa"/>
            <w:tcBorders>
              <w:bottom w:val="single" w:sz="4" w:space="0" w:color="auto"/>
            </w:tcBorders>
          </w:tcPr>
          <w:p w:rsidR="00F11ADC" w:rsidRPr="008E6054" w:rsidRDefault="00F11ADC" w:rsidP="000E7226">
            <w:pPr>
              <w:pStyle w:val="Tabletext"/>
            </w:pPr>
            <w:r w:rsidRPr="008E6054">
              <w:t>RF bandwidth (MHz)</w:t>
            </w:r>
          </w:p>
        </w:tc>
        <w:tc>
          <w:tcPr>
            <w:tcW w:w="3402" w:type="dxa"/>
            <w:tcBorders>
              <w:bottom w:val="single" w:sz="4" w:space="0" w:color="auto"/>
            </w:tcBorders>
          </w:tcPr>
          <w:p w:rsidR="00F11ADC" w:rsidRPr="008E6054" w:rsidRDefault="00F11ADC" w:rsidP="000E7226">
            <w:pPr>
              <w:pStyle w:val="Tabletext"/>
              <w:jc w:val="center"/>
            </w:pPr>
            <w:r w:rsidRPr="008E6054">
              <w:t>10</w:t>
            </w:r>
          </w:p>
        </w:tc>
      </w:tr>
      <w:tr w:rsidR="00D34D30" w:rsidRPr="00AA3EF6" w:rsidTr="00D34D30">
        <w:trPr>
          <w:jc w:val="center"/>
        </w:trPr>
        <w:tc>
          <w:tcPr>
            <w:tcW w:w="9072" w:type="dxa"/>
            <w:gridSpan w:val="2"/>
            <w:tcBorders>
              <w:left w:val="nil"/>
              <w:bottom w:val="nil"/>
              <w:right w:val="nil"/>
            </w:tcBorders>
          </w:tcPr>
          <w:p w:rsidR="00D34D30" w:rsidRPr="00D34D30" w:rsidRDefault="00D34D30" w:rsidP="00D34D30">
            <w:pPr>
              <w:pStyle w:val="Tablelegend"/>
              <w:rPr>
                <w:lang w:val="en-US"/>
              </w:rPr>
            </w:pPr>
            <w:r w:rsidRPr="00D34D30">
              <w:rPr>
                <w:lang w:val="en-US"/>
              </w:rPr>
              <w:t xml:space="preserve">RHCP: </w:t>
            </w:r>
            <w:r>
              <w:rPr>
                <w:lang w:val="en-US"/>
              </w:rPr>
              <w:t>R</w:t>
            </w:r>
            <w:r w:rsidRPr="00D34D30">
              <w:rPr>
                <w:lang w:val="en-US"/>
              </w:rPr>
              <w:t>ight-hand circular polarization.</w:t>
            </w:r>
          </w:p>
        </w:tc>
      </w:tr>
    </w:tbl>
    <w:p w:rsidR="00F11ADC" w:rsidRPr="008E6054" w:rsidRDefault="00F11ADC" w:rsidP="002A74CE">
      <w:pPr>
        <w:pStyle w:val="Tablefin"/>
      </w:pPr>
    </w:p>
    <w:p w:rsidR="00F11ADC" w:rsidRPr="00AA3EF6" w:rsidRDefault="00F11ADC" w:rsidP="00F11ADC">
      <w:pPr>
        <w:pStyle w:val="Heading1"/>
        <w:rPr>
          <w:lang w:val="en-US"/>
        </w:rPr>
      </w:pPr>
      <w:r w:rsidRPr="00AA3EF6">
        <w:rPr>
          <w:lang w:val="en-US"/>
        </w:rPr>
        <w:t>3</w:t>
      </w:r>
      <w:r w:rsidRPr="00AA3EF6">
        <w:rPr>
          <w:lang w:val="en-US"/>
        </w:rPr>
        <w:tab/>
        <w:t>Satellite receiver characteristics</w:t>
      </w:r>
    </w:p>
    <w:p w:rsidR="00F11ADC" w:rsidRDefault="00F11ADC" w:rsidP="00F11ADC">
      <w:pPr>
        <w:rPr>
          <w:lang w:val="en-US"/>
        </w:rPr>
      </w:pPr>
      <w:r w:rsidRPr="00F11ADC">
        <w:rPr>
          <w:lang w:val="en-US"/>
        </w:rPr>
        <w:t>Typical characteristics for satellite receivers are listed in Table 1</w:t>
      </w:r>
      <w:r w:rsidRPr="00F11ADC">
        <w:rPr>
          <w:lang w:val="en-US"/>
        </w:rPr>
        <w:noBreakHyphen/>
        <w:t>2.</w:t>
      </w:r>
    </w:p>
    <w:p w:rsidR="00F9053C" w:rsidRPr="00F11ADC" w:rsidRDefault="00F9053C" w:rsidP="00F11ADC">
      <w:pPr>
        <w:rPr>
          <w:lang w:val="en-US"/>
        </w:rPr>
      </w:pPr>
    </w:p>
    <w:p w:rsidR="00F11ADC" w:rsidRPr="00F11ADC" w:rsidRDefault="002A74CE" w:rsidP="00F11ADC">
      <w:pPr>
        <w:pStyle w:val="TableNo"/>
        <w:rPr>
          <w:lang w:val="en-US"/>
        </w:rPr>
      </w:pPr>
      <w:r w:rsidRPr="00F11ADC">
        <w:rPr>
          <w:lang w:val="en-US"/>
        </w:rPr>
        <w:t>TABLE</w:t>
      </w:r>
      <w:r w:rsidR="00F11ADC" w:rsidRPr="00F11ADC">
        <w:rPr>
          <w:lang w:val="en-US"/>
        </w:rPr>
        <w:t xml:space="preserve"> 1-2</w:t>
      </w:r>
    </w:p>
    <w:p w:rsidR="00F11ADC" w:rsidRPr="00F11ADC" w:rsidRDefault="00F11ADC" w:rsidP="00F11ADC">
      <w:pPr>
        <w:pStyle w:val="Tabletitle"/>
        <w:rPr>
          <w:lang w:val="en-US"/>
        </w:rPr>
      </w:pPr>
      <w:r w:rsidRPr="00F11ADC">
        <w:rPr>
          <w:lang w:val="en-US"/>
        </w:rPr>
        <w:t xml:space="preserve">Characteristics of Galileo receiving space stations </w:t>
      </w:r>
      <w:r w:rsidRPr="00F11ADC">
        <w:rPr>
          <w:lang w:val="en-US"/>
        </w:rPr>
        <w:br/>
        <w:t>operating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11ADC" w:rsidRPr="008E6054" w:rsidTr="00854349">
        <w:trPr>
          <w:tblHeader/>
          <w:jc w:val="center"/>
        </w:trPr>
        <w:tc>
          <w:tcPr>
            <w:tcW w:w="5670" w:type="dxa"/>
          </w:tcPr>
          <w:p w:rsidR="00F11ADC" w:rsidRPr="008E6054" w:rsidRDefault="00F11ADC" w:rsidP="000E7226">
            <w:pPr>
              <w:pStyle w:val="Tablehead"/>
            </w:pPr>
            <w:r w:rsidRPr="008E6054">
              <w:t>Parameter</w:t>
            </w:r>
          </w:p>
        </w:tc>
        <w:tc>
          <w:tcPr>
            <w:tcW w:w="3402" w:type="dxa"/>
          </w:tcPr>
          <w:p w:rsidR="00F11ADC" w:rsidRPr="008E6054" w:rsidRDefault="00F11ADC" w:rsidP="000E7226">
            <w:pPr>
              <w:pStyle w:val="Tablehead"/>
            </w:pPr>
            <w:r w:rsidRPr="008E6054">
              <w:t>Value</w:t>
            </w:r>
          </w:p>
        </w:tc>
      </w:tr>
      <w:tr w:rsidR="00F11ADC" w:rsidRPr="008E6054" w:rsidTr="00854349">
        <w:trPr>
          <w:jc w:val="center"/>
        </w:trPr>
        <w:tc>
          <w:tcPr>
            <w:tcW w:w="5670" w:type="dxa"/>
          </w:tcPr>
          <w:p w:rsidR="00F11ADC" w:rsidRPr="008E6054" w:rsidRDefault="00F11ADC" w:rsidP="000E7226">
            <w:pPr>
              <w:pStyle w:val="Tabletext"/>
            </w:pPr>
            <w:r w:rsidRPr="008E6054">
              <w:t>Centre frequency (MHz)</w:t>
            </w:r>
          </w:p>
        </w:tc>
        <w:tc>
          <w:tcPr>
            <w:tcW w:w="3402" w:type="dxa"/>
          </w:tcPr>
          <w:p w:rsidR="00F11ADC" w:rsidRPr="008E6054" w:rsidRDefault="00F11ADC" w:rsidP="000E7226">
            <w:pPr>
              <w:pStyle w:val="Tabletext"/>
              <w:jc w:val="center"/>
            </w:pPr>
            <w:r w:rsidRPr="008E6054">
              <w:t>5 005</w:t>
            </w:r>
          </w:p>
        </w:tc>
      </w:tr>
      <w:tr w:rsidR="00F11ADC" w:rsidRPr="008E6054" w:rsidTr="00854349">
        <w:trPr>
          <w:jc w:val="center"/>
        </w:trPr>
        <w:tc>
          <w:tcPr>
            <w:tcW w:w="5670" w:type="dxa"/>
          </w:tcPr>
          <w:p w:rsidR="00F11ADC" w:rsidRPr="008E6054" w:rsidRDefault="00F11ADC" w:rsidP="000E7226">
            <w:pPr>
              <w:pStyle w:val="Tabletext"/>
            </w:pPr>
            <w:r w:rsidRPr="008E6054">
              <w:t>RF bandwidth (MHz)</w:t>
            </w:r>
          </w:p>
        </w:tc>
        <w:tc>
          <w:tcPr>
            <w:tcW w:w="3402" w:type="dxa"/>
          </w:tcPr>
          <w:p w:rsidR="00F11ADC" w:rsidRPr="008E6054" w:rsidRDefault="00F11ADC" w:rsidP="000E7226">
            <w:pPr>
              <w:pStyle w:val="Tabletext"/>
              <w:jc w:val="center"/>
            </w:pPr>
            <w:r w:rsidRPr="008E6054">
              <w:t>10</w:t>
            </w:r>
          </w:p>
        </w:tc>
      </w:tr>
      <w:tr w:rsidR="00F11ADC" w:rsidRPr="008E6054" w:rsidTr="00854349">
        <w:trPr>
          <w:jc w:val="center"/>
        </w:trPr>
        <w:tc>
          <w:tcPr>
            <w:tcW w:w="5670" w:type="dxa"/>
          </w:tcPr>
          <w:p w:rsidR="00F11ADC" w:rsidRPr="008E6054" w:rsidRDefault="00F11ADC" w:rsidP="000E7226">
            <w:pPr>
              <w:pStyle w:val="Tabletext"/>
            </w:pPr>
            <w:r w:rsidRPr="008E6054">
              <w:t>Polarization</w:t>
            </w:r>
          </w:p>
        </w:tc>
        <w:tc>
          <w:tcPr>
            <w:tcW w:w="3402" w:type="dxa"/>
          </w:tcPr>
          <w:p w:rsidR="00F11ADC" w:rsidRPr="008E6054" w:rsidRDefault="00F11ADC" w:rsidP="000E7226">
            <w:pPr>
              <w:pStyle w:val="Tabletext"/>
              <w:jc w:val="center"/>
            </w:pPr>
            <w:r w:rsidRPr="008E6054">
              <w:t>RHCP</w:t>
            </w:r>
          </w:p>
        </w:tc>
      </w:tr>
      <w:tr w:rsidR="00F11ADC" w:rsidRPr="008E6054" w:rsidTr="00854349">
        <w:trPr>
          <w:jc w:val="center"/>
        </w:trPr>
        <w:tc>
          <w:tcPr>
            <w:tcW w:w="5670" w:type="dxa"/>
          </w:tcPr>
          <w:p w:rsidR="00F11ADC" w:rsidRPr="008E6054" w:rsidRDefault="00F11ADC" w:rsidP="000E7226">
            <w:pPr>
              <w:pStyle w:val="Tabletext"/>
            </w:pPr>
            <w:r w:rsidRPr="008E6054">
              <w:t>Antenna pattern/type</w:t>
            </w:r>
          </w:p>
        </w:tc>
        <w:tc>
          <w:tcPr>
            <w:tcW w:w="3402" w:type="dxa"/>
          </w:tcPr>
          <w:p w:rsidR="00F11ADC" w:rsidRPr="008E6054" w:rsidRDefault="00F11ADC" w:rsidP="000E7226">
            <w:pPr>
              <w:pStyle w:val="Tabletext"/>
              <w:jc w:val="center"/>
            </w:pPr>
            <w:r w:rsidRPr="008E6054">
              <w:t>Circular horn antenna</w:t>
            </w:r>
          </w:p>
        </w:tc>
      </w:tr>
      <w:tr w:rsidR="00F11ADC" w:rsidRPr="008E6054" w:rsidTr="00854349">
        <w:trPr>
          <w:jc w:val="center"/>
        </w:trPr>
        <w:tc>
          <w:tcPr>
            <w:tcW w:w="5670" w:type="dxa"/>
          </w:tcPr>
          <w:p w:rsidR="00F11ADC" w:rsidRPr="008E6054" w:rsidRDefault="00F11ADC" w:rsidP="000E7226">
            <w:pPr>
              <w:pStyle w:val="Tabletext"/>
            </w:pPr>
            <w:r w:rsidRPr="008E6054">
              <w:t xml:space="preserve">Antenna pointing </w:t>
            </w:r>
          </w:p>
        </w:tc>
        <w:tc>
          <w:tcPr>
            <w:tcW w:w="3402" w:type="dxa"/>
          </w:tcPr>
          <w:p w:rsidR="00F11ADC" w:rsidRPr="008E6054" w:rsidRDefault="00F11ADC" w:rsidP="000E7226">
            <w:pPr>
              <w:pStyle w:val="Tabletext"/>
              <w:jc w:val="center"/>
            </w:pPr>
            <w:r w:rsidRPr="008E6054">
              <w:t>Nadir</w:t>
            </w:r>
          </w:p>
        </w:tc>
      </w:tr>
      <w:tr w:rsidR="00F11ADC" w:rsidRPr="008E6054" w:rsidTr="00854349">
        <w:trPr>
          <w:jc w:val="center"/>
        </w:trPr>
        <w:tc>
          <w:tcPr>
            <w:tcW w:w="5670" w:type="dxa"/>
          </w:tcPr>
          <w:p w:rsidR="00F11ADC" w:rsidRPr="00F11ADC" w:rsidRDefault="00F11ADC" w:rsidP="000E7226">
            <w:pPr>
              <w:pStyle w:val="Tabletext"/>
              <w:rPr>
                <w:lang w:val="en-US"/>
              </w:rPr>
            </w:pPr>
            <w:r w:rsidRPr="00F11ADC">
              <w:rPr>
                <w:lang w:val="en-US"/>
              </w:rPr>
              <w:t>Maximum receive antenna gain (dBi)</w:t>
            </w:r>
          </w:p>
        </w:tc>
        <w:tc>
          <w:tcPr>
            <w:tcW w:w="3402" w:type="dxa"/>
          </w:tcPr>
          <w:p w:rsidR="00F11ADC" w:rsidRPr="008E6054" w:rsidRDefault="00F11ADC" w:rsidP="000E7226">
            <w:pPr>
              <w:pStyle w:val="Tabletext"/>
              <w:jc w:val="center"/>
            </w:pPr>
            <w:r w:rsidRPr="008E6054">
              <w:t>12.8</w:t>
            </w:r>
          </w:p>
        </w:tc>
      </w:tr>
      <w:tr w:rsidR="00F11ADC" w:rsidRPr="008E6054" w:rsidTr="00854349">
        <w:trPr>
          <w:jc w:val="center"/>
        </w:trPr>
        <w:tc>
          <w:tcPr>
            <w:tcW w:w="5670" w:type="dxa"/>
          </w:tcPr>
          <w:p w:rsidR="00F11ADC" w:rsidRPr="00F11ADC" w:rsidRDefault="00F11ADC" w:rsidP="000E7226">
            <w:pPr>
              <w:pStyle w:val="Tabletext"/>
              <w:rPr>
                <w:lang w:val="en-US"/>
              </w:rPr>
            </w:pPr>
            <w:r w:rsidRPr="00F11ADC">
              <w:rPr>
                <w:lang w:val="en-US"/>
              </w:rPr>
              <w:t>Antenna half-beam width (°) (at 5° elevation angle)</w:t>
            </w:r>
          </w:p>
        </w:tc>
        <w:tc>
          <w:tcPr>
            <w:tcW w:w="3402" w:type="dxa"/>
          </w:tcPr>
          <w:p w:rsidR="00F11ADC" w:rsidRPr="008E6054" w:rsidRDefault="00F11ADC" w:rsidP="000E7226">
            <w:pPr>
              <w:pStyle w:val="Tabletext"/>
              <w:jc w:val="center"/>
            </w:pPr>
            <w:r w:rsidRPr="008E6054">
              <w:t>12.4</w:t>
            </w:r>
          </w:p>
        </w:tc>
      </w:tr>
      <w:tr w:rsidR="00F11ADC" w:rsidRPr="008E6054" w:rsidTr="00854349">
        <w:trPr>
          <w:jc w:val="center"/>
        </w:trPr>
        <w:tc>
          <w:tcPr>
            <w:tcW w:w="5670" w:type="dxa"/>
          </w:tcPr>
          <w:p w:rsidR="00F11ADC" w:rsidRPr="008E6054" w:rsidRDefault="00F11ADC" w:rsidP="000E7226">
            <w:pPr>
              <w:pStyle w:val="Tabletext"/>
            </w:pPr>
            <w:r w:rsidRPr="008E6054">
              <w:t>Minimum elevation (°)</w:t>
            </w:r>
          </w:p>
        </w:tc>
        <w:tc>
          <w:tcPr>
            <w:tcW w:w="3402" w:type="dxa"/>
          </w:tcPr>
          <w:p w:rsidR="00F11ADC" w:rsidRPr="008E6054" w:rsidRDefault="00F11ADC" w:rsidP="000E7226">
            <w:pPr>
              <w:pStyle w:val="Tabletext"/>
              <w:jc w:val="center"/>
            </w:pPr>
            <w:r w:rsidRPr="008E6054">
              <w:t>5</w:t>
            </w:r>
          </w:p>
        </w:tc>
      </w:tr>
      <w:tr w:rsidR="00F11ADC" w:rsidRPr="008E6054" w:rsidTr="00854349">
        <w:trPr>
          <w:jc w:val="center"/>
        </w:trPr>
        <w:tc>
          <w:tcPr>
            <w:tcW w:w="5670" w:type="dxa"/>
          </w:tcPr>
          <w:p w:rsidR="00F11ADC" w:rsidRPr="008E6054" w:rsidRDefault="00F11ADC" w:rsidP="000E7226">
            <w:pPr>
              <w:pStyle w:val="Tabletext"/>
            </w:pPr>
            <w:r w:rsidRPr="008E6054">
              <w:t>Satellite altitude (km)</w:t>
            </w:r>
          </w:p>
        </w:tc>
        <w:tc>
          <w:tcPr>
            <w:tcW w:w="3402" w:type="dxa"/>
          </w:tcPr>
          <w:p w:rsidR="00F11ADC" w:rsidRPr="008E6054" w:rsidRDefault="00F11ADC" w:rsidP="000E7226">
            <w:pPr>
              <w:pStyle w:val="Tabletext"/>
              <w:jc w:val="center"/>
            </w:pPr>
            <w:r w:rsidRPr="008E6054">
              <w:t>23 222</w:t>
            </w:r>
          </w:p>
        </w:tc>
      </w:tr>
      <w:tr w:rsidR="00F11ADC" w:rsidRPr="008E6054" w:rsidTr="00854349">
        <w:trPr>
          <w:jc w:val="center"/>
        </w:trPr>
        <w:tc>
          <w:tcPr>
            <w:tcW w:w="5670" w:type="dxa"/>
          </w:tcPr>
          <w:p w:rsidR="00F11ADC" w:rsidRPr="008111F5" w:rsidRDefault="00F11ADC" w:rsidP="000E7226">
            <w:pPr>
              <w:pStyle w:val="Tabletext"/>
              <w:rPr>
                <w:highlight w:val="green"/>
                <w:lang w:val="fr-CH"/>
              </w:rPr>
            </w:pPr>
            <w:r w:rsidRPr="008111F5">
              <w:rPr>
                <w:lang w:val="fr-CH"/>
              </w:rPr>
              <w:t>Rx noise PSD (dBW/Hz)</w:t>
            </w:r>
          </w:p>
        </w:tc>
        <w:tc>
          <w:tcPr>
            <w:tcW w:w="3402" w:type="dxa"/>
          </w:tcPr>
          <w:p w:rsidR="00F11ADC" w:rsidRPr="008E6054" w:rsidRDefault="00F11ADC" w:rsidP="000E7226">
            <w:pPr>
              <w:pStyle w:val="Tabletext"/>
              <w:jc w:val="center"/>
              <w:rPr>
                <w:highlight w:val="green"/>
              </w:rPr>
            </w:pPr>
            <w:r w:rsidRPr="008E6054">
              <w:t>−201</w:t>
            </w:r>
          </w:p>
        </w:tc>
      </w:tr>
      <w:tr w:rsidR="00F11ADC" w:rsidRPr="008E6054" w:rsidTr="00854349">
        <w:trPr>
          <w:jc w:val="center"/>
        </w:trPr>
        <w:tc>
          <w:tcPr>
            <w:tcW w:w="5670" w:type="dxa"/>
          </w:tcPr>
          <w:p w:rsidR="00F11ADC" w:rsidRPr="00F11ADC" w:rsidRDefault="00F11ADC" w:rsidP="000E7226">
            <w:pPr>
              <w:pStyle w:val="Tabletext"/>
              <w:rPr>
                <w:lang w:val="en-US"/>
              </w:rPr>
            </w:pPr>
            <w:r w:rsidRPr="00F11ADC">
              <w:rPr>
                <w:lang w:val="en-US"/>
              </w:rPr>
              <w:t xml:space="preserve">Tolerable effective </w:t>
            </w:r>
            <w:r w:rsidRPr="00F11ADC">
              <w:rPr>
                <w:i/>
                <w:iCs/>
                <w:lang w:val="en-US"/>
              </w:rPr>
              <w:t>I</w:t>
            </w:r>
            <w:r w:rsidRPr="00F11ADC">
              <w:rPr>
                <w:vertAlign w:val="subscript"/>
                <w:lang w:val="en-US"/>
              </w:rPr>
              <w:t>0</w:t>
            </w:r>
            <w:r w:rsidRPr="00F11ADC">
              <w:rPr>
                <w:lang w:val="en-US"/>
              </w:rPr>
              <w:t xml:space="preserve"> (based on DT/T of 6%) (dBW/Hz)</w:t>
            </w:r>
          </w:p>
        </w:tc>
        <w:tc>
          <w:tcPr>
            <w:tcW w:w="3402" w:type="dxa"/>
          </w:tcPr>
          <w:p w:rsidR="00F11ADC" w:rsidRPr="008E6054" w:rsidRDefault="00F11ADC" w:rsidP="000E7226">
            <w:pPr>
              <w:pStyle w:val="Tabletext"/>
              <w:jc w:val="center"/>
            </w:pPr>
            <w:r w:rsidRPr="008E6054">
              <w:t>−213.2</w:t>
            </w:r>
          </w:p>
        </w:tc>
      </w:tr>
    </w:tbl>
    <w:p w:rsidR="00F11ADC" w:rsidRPr="008E6054" w:rsidRDefault="00F11ADC" w:rsidP="002A74CE">
      <w:pPr>
        <w:pStyle w:val="Tablefin"/>
      </w:pPr>
    </w:p>
    <w:p w:rsidR="00F11ADC" w:rsidRPr="002A74CE" w:rsidRDefault="00F11ADC" w:rsidP="00D34D30">
      <w:pPr>
        <w:pStyle w:val="AnnexNoTitle"/>
        <w:rPr>
          <w:lang w:val="en-US"/>
        </w:rPr>
      </w:pPr>
      <w:r w:rsidRPr="002A74CE">
        <w:rPr>
          <w:lang w:val="en-US"/>
        </w:rPr>
        <w:lastRenderedPageBreak/>
        <w:t>Annex 2</w:t>
      </w:r>
      <w:r w:rsidR="002A74CE" w:rsidRPr="002A74CE">
        <w:rPr>
          <w:lang w:val="en-US"/>
        </w:rPr>
        <w:br/>
      </w:r>
      <w:r w:rsidR="002A74CE">
        <w:rPr>
          <w:lang w:val="en-US"/>
        </w:rPr>
        <w:br/>
      </w:r>
      <w:r w:rsidRPr="002A74CE">
        <w:rPr>
          <w:lang w:val="en-US"/>
        </w:rPr>
        <w:t>Technical characteristics and protection criteria of receiving space stations</w:t>
      </w:r>
      <w:r w:rsidRPr="002A74CE">
        <w:rPr>
          <w:lang w:val="en-US"/>
        </w:rPr>
        <w:br/>
        <w:t>and characteristics of transmitting earth stations for the Global</w:t>
      </w:r>
      <w:r w:rsidR="00D34D30">
        <w:rPr>
          <w:lang w:val="en-US"/>
        </w:rPr>
        <w:br/>
      </w:r>
      <w:r w:rsidRPr="002A74CE">
        <w:rPr>
          <w:lang w:val="en-US"/>
        </w:rPr>
        <w:t>Positioning System operating Earth-to-space</w:t>
      </w:r>
      <w:r w:rsidR="00D34D30">
        <w:rPr>
          <w:lang w:val="en-US"/>
        </w:rPr>
        <w:br/>
      </w:r>
      <w:r w:rsidRPr="002A74CE">
        <w:rPr>
          <w:lang w:val="en-US"/>
        </w:rPr>
        <w:t>in the band 5 000-5 010 MHz</w:t>
      </w:r>
    </w:p>
    <w:p w:rsidR="00F11ADC" w:rsidRPr="00F11ADC" w:rsidRDefault="00F11ADC" w:rsidP="00F11ADC">
      <w:pPr>
        <w:pStyle w:val="Heading1"/>
        <w:rPr>
          <w:lang w:val="en-US"/>
        </w:rPr>
      </w:pPr>
      <w:r w:rsidRPr="00F11ADC">
        <w:rPr>
          <w:lang w:val="en-US"/>
        </w:rPr>
        <w:t>1</w:t>
      </w:r>
      <w:r w:rsidRPr="00F11ADC">
        <w:rPr>
          <w:lang w:val="en-US"/>
        </w:rPr>
        <w:tab/>
        <w:t>Introduction</w:t>
      </w:r>
    </w:p>
    <w:p w:rsidR="00F11ADC" w:rsidRPr="00F11ADC" w:rsidRDefault="00F11ADC" w:rsidP="00F11ADC">
      <w:pPr>
        <w:rPr>
          <w:lang w:val="en-US"/>
        </w:rPr>
      </w:pPr>
      <w:r w:rsidRPr="00F11ADC">
        <w:rPr>
          <w:lang w:val="en-US"/>
        </w:rPr>
        <w:t xml:space="preserve">The </w:t>
      </w:r>
      <w:r w:rsidR="00D34D30">
        <w:rPr>
          <w:lang w:val="en-US"/>
        </w:rPr>
        <w:t>Global Positioning System (</w:t>
      </w:r>
      <w:r w:rsidRPr="00F11ADC">
        <w:rPr>
          <w:lang w:val="en-US"/>
        </w:rPr>
        <w:t>GPS</w:t>
      </w:r>
      <w:r w:rsidR="00D34D30">
        <w:rPr>
          <w:lang w:val="en-US"/>
        </w:rPr>
        <w:t>)</w:t>
      </w:r>
      <w:r w:rsidRPr="00F11ADC">
        <w:rPr>
          <w:lang w:val="en-US"/>
        </w:rPr>
        <w:t xml:space="preserve"> uplink and downlink feeder links will provide communications for system and satellite monitoring, commanding and control; updates of orbit ephemerides and clock synchronization. A feeder uplink in the 5 000-5 010 MHz band is being considered for future GPS modernizations as a backup for the current 2.2 GHz GPS feeder uplink. Communications for feeder links may use filtered quadrature phase-shift keying (QPSK) or other bandwidth-efficient modulation.</w:t>
      </w:r>
    </w:p>
    <w:p w:rsidR="00F11ADC" w:rsidRPr="00F11ADC" w:rsidRDefault="00F11ADC" w:rsidP="00F11ADC">
      <w:pPr>
        <w:pStyle w:val="Heading1"/>
        <w:rPr>
          <w:lang w:val="en-US"/>
        </w:rPr>
      </w:pPr>
      <w:r w:rsidRPr="00F11ADC">
        <w:rPr>
          <w:lang w:val="en-US"/>
        </w:rPr>
        <w:t>2</w:t>
      </w:r>
      <w:r w:rsidRPr="00F11ADC">
        <w:rPr>
          <w:lang w:val="en-US"/>
        </w:rPr>
        <w:tab/>
        <w:t>GPS feeder uplink characteristics</w:t>
      </w:r>
    </w:p>
    <w:p w:rsidR="00F11ADC" w:rsidRPr="00F11ADC" w:rsidRDefault="00F11ADC" w:rsidP="00F11ADC">
      <w:pPr>
        <w:rPr>
          <w:lang w:val="en-US"/>
        </w:rPr>
      </w:pPr>
      <w:r w:rsidRPr="00F11ADC">
        <w:rPr>
          <w:lang w:val="en-US"/>
        </w:rPr>
        <w:t xml:space="preserve">GPS plans estimate the operational bandwidth of the uplink to be 1.1 MHz, with a data rate of 1.1 megabits per second or less. The earth station’s uplink transmit antenna is assumed to be a centre-fed circular parabolic dish, which is also assumed to be used as the downlink receive antenna for a 5 010-5 030 MHz feeder-link downlink. However, due to the fact that the 5 000-5 010 MHz Earth-to-space and 5 010-5 030 MHz space-to-Earth bands are adjacent, simultaneously using both uplink and downlink feeder links with a single GPS space station would require further research. The most likely solution is the implementation of satellite filters with very sharp cut-offs. However, at this point, studies have not concluded on whether satellites should simultaneously implement 5 GHz feeder uplinks and downlinks. Further study is currently being done as designs for this and other 5 GHz RNSS systems mature. </w:t>
      </w:r>
    </w:p>
    <w:p w:rsidR="00F11ADC" w:rsidRPr="00F11ADC" w:rsidRDefault="00F11ADC" w:rsidP="00F11ADC">
      <w:pPr>
        <w:rPr>
          <w:lang w:val="en-US"/>
        </w:rPr>
      </w:pPr>
      <w:r w:rsidRPr="00F11ADC">
        <w:rPr>
          <w:lang w:val="en-US"/>
        </w:rPr>
        <w:t xml:space="preserve">Tables 2-1 and 2-2 provide </w:t>
      </w:r>
      <w:r w:rsidRPr="00F11ADC">
        <w:rPr>
          <w:lang w:val="en-US" w:eastAsia="ja-JP"/>
        </w:rPr>
        <w:t>c</w:t>
      </w:r>
      <w:r w:rsidRPr="00F11ADC">
        <w:rPr>
          <w:lang w:val="en-US"/>
        </w:rPr>
        <w:t xml:space="preserve">haracteristics </w:t>
      </w:r>
      <w:r w:rsidRPr="00F11ADC">
        <w:rPr>
          <w:lang w:val="en-US" w:eastAsia="ja-JP"/>
        </w:rPr>
        <w:t>for</w:t>
      </w:r>
      <w:r w:rsidRPr="00F11ADC">
        <w:rPr>
          <w:lang w:val="en-US"/>
        </w:rPr>
        <w:t xml:space="preserve"> the GPS transmitting ground stations and characteristics and protection criteria for receiving feeder-link space stations, respectively, for operation in the band 5 000-5 010 MHz. Transmit filtering will be implemented for all GPS transmit signals. Spurious emissions are intended to be −60 dB from the peak. While these parameters are derived from and consistent with current GPS specifications, these values are still subject to change.</w:t>
      </w:r>
    </w:p>
    <w:p w:rsidR="00F11ADC" w:rsidRPr="00F11ADC" w:rsidRDefault="00854349" w:rsidP="00F11ADC">
      <w:pPr>
        <w:pStyle w:val="TableNo"/>
        <w:rPr>
          <w:lang w:val="en-US"/>
        </w:rPr>
      </w:pPr>
      <w:r w:rsidRPr="00F11ADC">
        <w:rPr>
          <w:lang w:val="en-US"/>
        </w:rPr>
        <w:t>TABLE</w:t>
      </w:r>
      <w:r w:rsidR="00F11ADC" w:rsidRPr="00F11ADC">
        <w:rPr>
          <w:lang w:val="en-US"/>
        </w:rPr>
        <w:t xml:space="preserve"> 2-1</w:t>
      </w:r>
    </w:p>
    <w:p w:rsidR="00F11ADC" w:rsidRPr="00F11ADC" w:rsidRDefault="00F11ADC" w:rsidP="00F11ADC">
      <w:pPr>
        <w:pStyle w:val="Tabletitle"/>
        <w:rPr>
          <w:lang w:val="en-US"/>
        </w:rPr>
      </w:pPr>
      <w:r w:rsidRPr="00F11ADC">
        <w:rPr>
          <w:lang w:val="en-US" w:eastAsia="ja-JP"/>
        </w:rPr>
        <w:t xml:space="preserve">GPS feeder uplink </w:t>
      </w:r>
      <w:r w:rsidRPr="00F11ADC">
        <w:rPr>
          <w:lang w:val="en-US"/>
        </w:rPr>
        <w:t>transmissions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11ADC" w:rsidRPr="008E6054" w:rsidTr="00854349">
        <w:trPr>
          <w:tblHeader/>
          <w:jc w:val="center"/>
        </w:trPr>
        <w:tc>
          <w:tcPr>
            <w:tcW w:w="5670" w:type="dxa"/>
            <w:vAlign w:val="center"/>
          </w:tcPr>
          <w:p w:rsidR="00F11ADC" w:rsidRPr="008E6054" w:rsidRDefault="00F11ADC" w:rsidP="00D34D30">
            <w:pPr>
              <w:pStyle w:val="Tablehead"/>
              <w:rPr>
                <w:rFonts w:eastAsia="MS PGothic"/>
              </w:rPr>
            </w:pPr>
            <w:r w:rsidRPr="008E6054">
              <w:rPr>
                <w:rFonts w:eastAsia="MS PGothic"/>
              </w:rPr>
              <w:t>Parameter</w:t>
            </w:r>
          </w:p>
        </w:tc>
        <w:tc>
          <w:tcPr>
            <w:tcW w:w="3402" w:type="dxa"/>
            <w:vAlign w:val="center"/>
          </w:tcPr>
          <w:p w:rsidR="00F11ADC" w:rsidRPr="008E6054" w:rsidRDefault="00F11ADC" w:rsidP="000E7226">
            <w:pPr>
              <w:pStyle w:val="Tablehead"/>
              <w:rPr>
                <w:rFonts w:eastAsia="MS PGothic"/>
              </w:rPr>
            </w:pPr>
            <w:r w:rsidRPr="008E6054">
              <w:rPr>
                <w:rFonts w:eastAsia="MS PGothic"/>
              </w:rPr>
              <w:t>Parameter value</w:t>
            </w:r>
          </w:p>
        </w:tc>
      </w:tr>
      <w:tr w:rsidR="00F11ADC" w:rsidRPr="008E6054" w:rsidTr="00854349">
        <w:trPr>
          <w:tblHeader/>
          <w:jc w:val="center"/>
        </w:trPr>
        <w:tc>
          <w:tcPr>
            <w:tcW w:w="5670" w:type="dxa"/>
            <w:vAlign w:val="center"/>
          </w:tcPr>
          <w:p w:rsidR="00F11ADC" w:rsidRPr="00F11ADC" w:rsidRDefault="00F11ADC" w:rsidP="000E7226">
            <w:pPr>
              <w:pStyle w:val="Tabletext"/>
              <w:rPr>
                <w:rFonts w:eastAsia="MS PGothic"/>
                <w:lang w:val="en-US"/>
              </w:rPr>
            </w:pPr>
            <w:r w:rsidRPr="00F11ADC">
              <w:rPr>
                <w:rFonts w:eastAsia="MS PGothic"/>
                <w:lang w:val="en-US"/>
              </w:rPr>
              <w:t>Signal frequency range (MHz) (Note 1)</w:t>
            </w:r>
          </w:p>
        </w:tc>
        <w:tc>
          <w:tcPr>
            <w:tcW w:w="3402" w:type="dxa"/>
            <w:vAlign w:val="center"/>
          </w:tcPr>
          <w:p w:rsidR="00F11ADC" w:rsidRPr="008E6054" w:rsidRDefault="00F11ADC" w:rsidP="000E7226">
            <w:pPr>
              <w:pStyle w:val="Tabletext"/>
              <w:jc w:val="center"/>
              <w:rPr>
                <w:rFonts w:eastAsia="MS PGothic"/>
                <w:szCs w:val="21"/>
              </w:rPr>
            </w:pPr>
            <w:r w:rsidRPr="008E6054">
              <w:t xml:space="preserve">5 000.605 </w:t>
            </w:r>
            <w:r w:rsidRPr="008E6054">
              <w:sym w:font="Symbol" w:char="F0B1"/>
            </w:r>
            <w:r w:rsidRPr="008E6054">
              <w:t xml:space="preserve"> 0.6</w:t>
            </w:r>
          </w:p>
        </w:tc>
      </w:tr>
      <w:tr w:rsidR="00F11ADC" w:rsidRPr="008E6054" w:rsidTr="00854349">
        <w:trPr>
          <w:tblHeader/>
          <w:jc w:val="center"/>
        </w:trPr>
        <w:tc>
          <w:tcPr>
            <w:tcW w:w="5670" w:type="dxa"/>
            <w:vAlign w:val="center"/>
          </w:tcPr>
          <w:p w:rsidR="00F11ADC" w:rsidRPr="008E6054" w:rsidRDefault="00F11ADC" w:rsidP="000E7226">
            <w:pPr>
              <w:pStyle w:val="Tabletext"/>
              <w:rPr>
                <w:rFonts w:eastAsia="MS PGothic"/>
              </w:rPr>
            </w:pPr>
            <w:r w:rsidRPr="008E6054">
              <w:rPr>
                <w:rFonts w:eastAsia="MS PGothic"/>
              </w:rPr>
              <w:t>Data rate (symbol/s)</w:t>
            </w:r>
          </w:p>
        </w:tc>
        <w:tc>
          <w:tcPr>
            <w:tcW w:w="3402" w:type="dxa"/>
            <w:vAlign w:val="center"/>
          </w:tcPr>
          <w:p w:rsidR="00F11ADC" w:rsidRPr="008E6054" w:rsidRDefault="00F11ADC" w:rsidP="000E7226">
            <w:pPr>
              <w:pStyle w:val="Tabletext"/>
              <w:jc w:val="center"/>
              <w:rPr>
                <w:rFonts w:eastAsia="MS PGothic"/>
                <w:szCs w:val="21"/>
              </w:rPr>
            </w:pPr>
            <w:r w:rsidRPr="008E6054">
              <w:rPr>
                <w:rFonts w:eastAsia="MS PGothic"/>
                <w:szCs w:val="21"/>
              </w:rPr>
              <w:t>2</w:t>
            </w:r>
            <w:r w:rsidRPr="008E6054">
              <w:t> </w:t>
            </w:r>
            <w:r w:rsidRPr="008E6054">
              <w:rPr>
                <w:rFonts w:eastAsia="MS PGothic"/>
                <w:szCs w:val="21"/>
              </w:rPr>
              <w:t>200 000 symbol/s</w:t>
            </w:r>
          </w:p>
        </w:tc>
      </w:tr>
      <w:tr w:rsidR="00F11ADC" w:rsidRPr="008E6054" w:rsidTr="00854349">
        <w:trPr>
          <w:tblHeader/>
          <w:jc w:val="center"/>
        </w:trPr>
        <w:tc>
          <w:tcPr>
            <w:tcW w:w="5670" w:type="dxa"/>
            <w:vAlign w:val="center"/>
          </w:tcPr>
          <w:p w:rsidR="00F11ADC" w:rsidRPr="008E6054" w:rsidRDefault="00F11ADC" w:rsidP="000E7226">
            <w:pPr>
              <w:pStyle w:val="Tabletext"/>
              <w:rPr>
                <w:rFonts w:eastAsia="MS PGothic"/>
              </w:rPr>
            </w:pPr>
            <w:r w:rsidRPr="008E6054">
              <w:rPr>
                <w:rFonts w:eastAsia="MS PGothic"/>
              </w:rPr>
              <w:t>Signal modulation method</w:t>
            </w:r>
          </w:p>
        </w:tc>
        <w:tc>
          <w:tcPr>
            <w:tcW w:w="3402" w:type="dxa"/>
            <w:vAlign w:val="center"/>
          </w:tcPr>
          <w:p w:rsidR="00F11ADC" w:rsidRPr="008E6054" w:rsidRDefault="00F11ADC" w:rsidP="000E7226">
            <w:pPr>
              <w:pStyle w:val="Tabletext"/>
              <w:jc w:val="center"/>
              <w:rPr>
                <w:rFonts w:eastAsia="MS PGothic"/>
                <w:szCs w:val="21"/>
              </w:rPr>
            </w:pPr>
            <w:r w:rsidRPr="008E6054">
              <w:t>Filtered QPSK</w:t>
            </w:r>
          </w:p>
        </w:tc>
      </w:tr>
      <w:tr w:rsidR="00F11ADC" w:rsidRPr="008E6054" w:rsidTr="00854349">
        <w:trPr>
          <w:tblHeader/>
          <w:jc w:val="center"/>
        </w:trPr>
        <w:tc>
          <w:tcPr>
            <w:tcW w:w="5670" w:type="dxa"/>
            <w:vAlign w:val="center"/>
          </w:tcPr>
          <w:p w:rsidR="00F11ADC" w:rsidRPr="008E6054" w:rsidRDefault="00F11ADC" w:rsidP="000E7226">
            <w:pPr>
              <w:pStyle w:val="Tabletext"/>
              <w:rPr>
                <w:rFonts w:eastAsia="MS PGothic"/>
              </w:rPr>
            </w:pPr>
            <w:r w:rsidRPr="008E6054">
              <w:rPr>
                <w:rFonts w:eastAsia="MS PGothic"/>
              </w:rPr>
              <w:t>Polarization</w:t>
            </w:r>
          </w:p>
        </w:tc>
        <w:tc>
          <w:tcPr>
            <w:tcW w:w="3402" w:type="dxa"/>
            <w:vAlign w:val="center"/>
          </w:tcPr>
          <w:p w:rsidR="00F11ADC" w:rsidRPr="008E6054" w:rsidRDefault="00F11ADC" w:rsidP="00D34D30">
            <w:pPr>
              <w:pStyle w:val="Tabletext"/>
              <w:jc w:val="center"/>
              <w:rPr>
                <w:rFonts w:eastAsia="MS PGothic"/>
                <w:szCs w:val="21"/>
              </w:rPr>
            </w:pPr>
            <w:r w:rsidRPr="008E6054">
              <w:rPr>
                <w:rFonts w:eastAsia="MS PGothic"/>
                <w:szCs w:val="21"/>
              </w:rPr>
              <w:t>RHCP</w:t>
            </w:r>
          </w:p>
        </w:tc>
      </w:tr>
      <w:tr w:rsidR="00F11ADC" w:rsidRPr="008E6054" w:rsidTr="00854349">
        <w:trPr>
          <w:tblHeader/>
          <w:jc w:val="center"/>
        </w:trPr>
        <w:tc>
          <w:tcPr>
            <w:tcW w:w="5670" w:type="dxa"/>
            <w:vAlign w:val="center"/>
          </w:tcPr>
          <w:p w:rsidR="00F11ADC" w:rsidRPr="008E6054" w:rsidRDefault="00F11ADC" w:rsidP="000E7226">
            <w:pPr>
              <w:pStyle w:val="Tabletext"/>
              <w:rPr>
                <w:rFonts w:eastAsia="MS PGothic"/>
              </w:rPr>
            </w:pPr>
            <w:r w:rsidRPr="008E6054">
              <w:rPr>
                <w:rFonts w:eastAsia="MS PGothic"/>
              </w:rPr>
              <w:t>Ellipticity (dB)</w:t>
            </w:r>
          </w:p>
        </w:tc>
        <w:tc>
          <w:tcPr>
            <w:tcW w:w="3402" w:type="dxa"/>
            <w:vAlign w:val="center"/>
          </w:tcPr>
          <w:p w:rsidR="00F11ADC" w:rsidRPr="008E6054" w:rsidRDefault="00F11ADC" w:rsidP="000E7226">
            <w:pPr>
              <w:pStyle w:val="Tabletext"/>
              <w:jc w:val="center"/>
              <w:rPr>
                <w:rFonts w:eastAsia="MS PGothic"/>
              </w:rPr>
            </w:pPr>
            <w:r w:rsidRPr="008E6054">
              <w:rPr>
                <w:rFonts w:eastAsia="MS PGothic"/>
              </w:rPr>
              <w:t>1.5 maximum</w:t>
            </w:r>
          </w:p>
        </w:tc>
      </w:tr>
      <w:tr w:rsidR="00F11ADC" w:rsidRPr="008E6054" w:rsidTr="00854349">
        <w:trPr>
          <w:tblHeader/>
          <w:jc w:val="center"/>
        </w:trPr>
        <w:tc>
          <w:tcPr>
            <w:tcW w:w="5670" w:type="dxa"/>
            <w:vAlign w:val="center"/>
          </w:tcPr>
          <w:p w:rsidR="00F11ADC" w:rsidRPr="00F11ADC" w:rsidRDefault="00F11ADC" w:rsidP="000E7226">
            <w:pPr>
              <w:pStyle w:val="Tabletext"/>
              <w:rPr>
                <w:rFonts w:eastAsia="MS PGothic"/>
                <w:lang w:val="en-US"/>
              </w:rPr>
            </w:pPr>
            <w:r w:rsidRPr="00F11ADC">
              <w:rPr>
                <w:rFonts w:eastAsia="MS PGothic"/>
                <w:lang w:val="en-US"/>
              </w:rPr>
              <w:t>Transmit e.i.r.p. (dBW)</w:t>
            </w:r>
          </w:p>
        </w:tc>
        <w:tc>
          <w:tcPr>
            <w:tcW w:w="3402" w:type="dxa"/>
            <w:vAlign w:val="center"/>
          </w:tcPr>
          <w:p w:rsidR="00F11ADC" w:rsidRPr="008E6054" w:rsidRDefault="00F11ADC" w:rsidP="000E7226">
            <w:pPr>
              <w:pStyle w:val="Tabletext"/>
              <w:jc w:val="center"/>
              <w:rPr>
                <w:rFonts w:eastAsia="MS PGothic"/>
                <w:szCs w:val="21"/>
              </w:rPr>
            </w:pPr>
            <w:r w:rsidRPr="008E6054">
              <w:rPr>
                <w:rFonts w:eastAsia="MS PGothic"/>
              </w:rPr>
              <w:t>66.6</w:t>
            </w:r>
          </w:p>
        </w:tc>
      </w:tr>
      <w:tr w:rsidR="00F11ADC" w:rsidRPr="00AA3EF6" w:rsidTr="00854349">
        <w:trPr>
          <w:tblHeader/>
          <w:jc w:val="center"/>
        </w:trPr>
        <w:tc>
          <w:tcPr>
            <w:tcW w:w="3402" w:type="dxa"/>
            <w:gridSpan w:val="2"/>
            <w:tcBorders>
              <w:left w:val="nil"/>
              <w:bottom w:val="nil"/>
              <w:right w:val="nil"/>
            </w:tcBorders>
            <w:vAlign w:val="center"/>
          </w:tcPr>
          <w:p w:rsidR="00F11ADC" w:rsidRPr="00F11ADC" w:rsidDel="008F4063" w:rsidRDefault="00F11ADC" w:rsidP="00854349">
            <w:pPr>
              <w:pStyle w:val="TableLegendNote"/>
              <w:rPr>
                <w:rFonts w:eastAsia="MS PGothic"/>
              </w:rPr>
            </w:pPr>
            <w:r w:rsidRPr="00F11ADC">
              <w:rPr>
                <w:rFonts w:eastAsia="MS PGothic"/>
              </w:rPr>
              <w:t>NOTE</w:t>
            </w:r>
            <w:r w:rsidR="00854349">
              <w:rPr>
                <w:rFonts w:eastAsia="MS PGothic"/>
              </w:rPr>
              <w:t> </w:t>
            </w:r>
            <w:r w:rsidRPr="00F11ADC">
              <w:rPr>
                <w:rFonts w:eastAsia="MS PGothic"/>
              </w:rPr>
              <w:t>1</w:t>
            </w:r>
            <w:r w:rsidR="00854349">
              <w:rPr>
                <w:rFonts w:eastAsia="MS PGothic"/>
              </w:rPr>
              <w:t> </w:t>
            </w:r>
            <w:r w:rsidRPr="00F11ADC">
              <w:rPr>
                <w:rFonts w:eastAsia="MS PGothic"/>
              </w:rPr>
              <w:t>−</w:t>
            </w:r>
            <w:r w:rsidR="00854349">
              <w:rPr>
                <w:rFonts w:eastAsia="MS PGothic"/>
              </w:rPr>
              <w:t> </w:t>
            </w:r>
            <w:r w:rsidRPr="00F11ADC">
              <w:rPr>
                <w:rFonts w:eastAsia="MS PGothic"/>
              </w:rPr>
              <w:t>Carrier frequency of the RNSS signal of interest ± half the signal bandwidth.</w:t>
            </w:r>
          </w:p>
        </w:tc>
      </w:tr>
    </w:tbl>
    <w:p w:rsidR="00854349" w:rsidRDefault="00854349" w:rsidP="00854349">
      <w:pPr>
        <w:pStyle w:val="Tablefin"/>
      </w:pPr>
    </w:p>
    <w:p w:rsidR="00F11ADC" w:rsidRPr="00F11ADC" w:rsidRDefault="00854349" w:rsidP="00F11ADC">
      <w:pPr>
        <w:pStyle w:val="TableNo"/>
        <w:rPr>
          <w:lang w:val="en-US"/>
        </w:rPr>
      </w:pPr>
      <w:r w:rsidRPr="00F11ADC">
        <w:rPr>
          <w:lang w:val="en-US"/>
        </w:rPr>
        <w:lastRenderedPageBreak/>
        <w:t>TABLE</w:t>
      </w:r>
      <w:r w:rsidR="00F11ADC" w:rsidRPr="00F11ADC">
        <w:rPr>
          <w:lang w:val="en-US"/>
        </w:rPr>
        <w:t xml:space="preserve"> 2-2</w:t>
      </w:r>
    </w:p>
    <w:p w:rsidR="00F11ADC" w:rsidRPr="00F11ADC" w:rsidRDefault="00F11ADC" w:rsidP="00F11ADC">
      <w:pPr>
        <w:pStyle w:val="Tabletitle"/>
        <w:rPr>
          <w:lang w:val="en-US"/>
        </w:rPr>
      </w:pPr>
      <w:r w:rsidRPr="00F11ADC">
        <w:rPr>
          <w:lang w:val="en-US"/>
        </w:rPr>
        <w:t xml:space="preserve">Characteristics and protection criteria of GPS receiving space </w:t>
      </w:r>
      <w:r w:rsidRPr="00F11ADC">
        <w:rPr>
          <w:lang w:val="en-US"/>
        </w:rPr>
        <w:br/>
        <w:t>stations operating in the band 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3402"/>
      </w:tblGrid>
      <w:tr w:rsidR="00F11ADC" w:rsidRPr="008E6054" w:rsidTr="00854349">
        <w:trPr>
          <w:jc w:val="center"/>
        </w:trPr>
        <w:tc>
          <w:tcPr>
            <w:tcW w:w="5670" w:type="dxa"/>
            <w:vAlign w:val="center"/>
          </w:tcPr>
          <w:p w:rsidR="00F11ADC" w:rsidRPr="008E6054" w:rsidRDefault="00F11ADC" w:rsidP="000E7226">
            <w:pPr>
              <w:pStyle w:val="Tablehead"/>
            </w:pPr>
            <w:r w:rsidRPr="008E6054">
              <w:t>Parameter</w:t>
            </w:r>
          </w:p>
        </w:tc>
        <w:tc>
          <w:tcPr>
            <w:tcW w:w="3402" w:type="dxa"/>
            <w:vAlign w:val="center"/>
          </w:tcPr>
          <w:p w:rsidR="00F11ADC" w:rsidRPr="008E6054" w:rsidRDefault="00F11ADC" w:rsidP="000E7226">
            <w:pPr>
              <w:pStyle w:val="Tablehead"/>
            </w:pPr>
            <w:r w:rsidRPr="008E6054">
              <w:t>Parameter value</w:t>
            </w:r>
          </w:p>
        </w:tc>
      </w:tr>
      <w:tr w:rsidR="00F11ADC" w:rsidRPr="008E6054" w:rsidTr="00854349">
        <w:trPr>
          <w:jc w:val="center"/>
        </w:trPr>
        <w:tc>
          <w:tcPr>
            <w:tcW w:w="5670" w:type="dxa"/>
          </w:tcPr>
          <w:p w:rsidR="00F11ADC" w:rsidRPr="008E6054" w:rsidRDefault="00F11ADC" w:rsidP="000E7226">
            <w:pPr>
              <w:pStyle w:val="Tabletext"/>
            </w:pPr>
            <w:r w:rsidRPr="008E6054">
              <w:t>Antenna diameter (m)</w:t>
            </w:r>
          </w:p>
        </w:tc>
        <w:tc>
          <w:tcPr>
            <w:tcW w:w="3402" w:type="dxa"/>
          </w:tcPr>
          <w:p w:rsidR="00F11ADC" w:rsidRPr="008E6054" w:rsidRDefault="00F11ADC" w:rsidP="000E7226">
            <w:pPr>
              <w:pStyle w:val="Tabletext"/>
              <w:jc w:val="center"/>
            </w:pPr>
            <w:r w:rsidRPr="008E6054">
              <w:t>0.150</w:t>
            </w:r>
          </w:p>
        </w:tc>
      </w:tr>
      <w:tr w:rsidR="00F11ADC" w:rsidRPr="008E6054" w:rsidTr="00854349">
        <w:trPr>
          <w:jc w:val="center"/>
        </w:trPr>
        <w:tc>
          <w:tcPr>
            <w:tcW w:w="5670" w:type="dxa"/>
          </w:tcPr>
          <w:p w:rsidR="00F11ADC" w:rsidRPr="008E6054" w:rsidRDefault="00F11ADC" w:rsidP="000E7226">
            <w:pPr>
              <w:pStyle w:val="Tabletext"/>
            </w:pPr>
            <w:r w:rsidRPr="008E6054">
              <w:t>Polarization</w:t>
            </w:r>
          </w:p>
        </w:tc>
        <w:tc>
          <w:tcPr>
            <w:tcW w:w="3402" w:type="dxa"/>
          </w:tcPr>
          <w:p w:rsidR="00F11ADC" w:rsidRPr="008E6054" w:rsidDel="007B0A43" w:rsidRDefault="00F11ADC" w:rsidP="000E7226">
            <w:pPr>
              <w:pStyle w:val="Tabletext"/>
              <w:jc w:val="center"/>
            </w:pPr>
            <w:r w:rsidRPr="008E6054">
              <w:t>RHCP</w:t>
            </w:r>
          </w:p>
        </w:tc>
      </w:tr>
      <w:tr w:rsidR="00F11ADC" w:rsidRPr="008E6054" w:rsidTr="00854349">
        <w:trPr>
          <w:jc w:val="center"/>
        </w:trPr>
        <w:tc>
          <w:tcPr>
            <w:tcW w:w="5670" w:type="dxa"/>
          </w:tcPr>
          <w:p w:rsidR="00F11ADC" w:rsidRPr="008E6054" w:rsidRDefault="00F11ADC" w:rsidP="000E7226">
            <w:pPr>
              <w:pStyle w:val="Tabletext"/>
            </w:pPr>
            <w:r w:rsidRPr="008E6054">
              <w:t>Antenna pattern</w:t>
            </w:r>
          </w:p>
        </w:tc>
        <w:tc>
          <w:tcPr>
            <w:tcW w:w="3402" w:type="dxa"/>
          </w:tcPr>
          <w:p w:rsidR="00F11ADC" w:rsidRPr="008E6054" w:rsidDel="007B0A43" w:rsidRDefault="00F11ADC" w:rsidP="000E7226">
            <w:pPr>
              <w:pStyle w:val="Tabletext"/>
              <w:jc w:val="center"/>
            </w:pPr>
            <w:r w:rsidRPr="008E6054">
              <w:t>Centre-fed circular parabolic dish</w:t>
            </w:r>
          </w:p>
        </w:tc>
      </w:tr>
      <w:tr w:rsidR="00F11ADC" w:rsidRPr="008E6054" w:rsidTr="00854349">
        <w:trPr>
          <w:jc w:val="center"/>
        </w:trPr>
        <w:tc>
          <w:tcPr>
            <w:tcW w:w="5670" w:type="dxa"/>
          </w:tcPr>
          <w:p w:rsidR="00F11ADC" w:rsidRPr="008E6054" w:rsidRDefault="00F11ADC" w:rsidP="000E7226">
            <w:pPr>
              <w:pStyle w:val="Tabletext"/>
            </w:pPr>
            <w:r w:rsidRPr="008E6054">
              <w:t>Theoretical antenna gain (dBi)</w:t>
            </w:r>
          </w:p>
        </w:tc>
        <w:tc>
          <w:tcPr>
            <w:tcW w:w="3402" w:type="dxa"/>
          </w:tcPr>
          <w:p w:rsidR="00F11ADC" w:rsidRPr="008E6054" w:rsidDel="007B0A43" w:rsidRDefault="00F11ADC" w:rsidP="000E7226">
            <w:pPr>
              <w:pStyle w:val="Tabletext"/>
              <w:jc w:val="center"/>
            </w:pPr>
            <w:r w:rsidRPr="008E6054">
              <w:t>17.91</w:t>
            </w:r>
          </w:p>
        </w:tc>
      </w:tr>
      <w:tr w:rsidR="00F11ADC" w:rsidRPr="008E6054" w:rsidTr="00854349">
        <w:trPr>
          <w:jc w:val="center"/>
        </w:trPr>
        <w:tc>
          <w:tcPr>
            <w:tcW w:w="5670" w:type="dxa"/>
          </w:tcPr>
          <w:p w:rsidR="00F11ADC" w:rsidRPr="008E6054" w:rsidRDefault="00F11ADC" w:rsidP="000E7226">
            <w:pPr>
              <w:pStyle w:val="Tabletext"/>
            </w:pPr>
            <w:r w:rsidRPr="008E6054">
              <w:t>Antenna efficiency loss (dB)</w:t>
            </w:r>
          </w:p>
        </w:tc>
        <w:tc>
          <w:tcPr>
            <w:tcW w:w="3402" w:type="dxa"/>
          </w:tcPr>
          <w:p w:rsidR="00F11ADC" w:rsidRPr="008E6054" w:rsidDel="002E4866" w:rsidRDefault="00F11ADC" w:rsidP="000E7226">
            <w:pPr>
              <w:pStyle w:val="Tabletext"/>
              <w:jc w:val="center"/>
            </w:pPr>
            <w:r w:rsidRPr="008E6054">
              <w:t>4.00</w:t>
            </w:r>
          </w:p>
        </w:tc>
      </w:tr>
      <w:tr w:rsidR="00F11ADC" w:rsidRPr="008E6054" w:rsidTr="00854349">
        <w:trPr>
          <w:jc w:val="center"/>
        </w:trPr>
        <w:tc>
          <w:tcPr>
            <w:tcW w:w="5670" w:type="dxa"/>
          </w:tcPr>
          <w:p w:rsidR="00F11ADC" w:rsidRPr="00F11ADC" w:rsidRDefault="00F11ADC" w:rsidP="000E7226">
            <w:pPr>
              <w:pStyle w:val="Tabletext"/>
              <w:rPr>
                <w:lang w:val="en-US"/>
              </w:rPr>
            </w:pPr>
            <w:r w:rsidRPr="00F11ADC">
              <w:rPr>
                <w:lang w:val="en-US"/>
              </w:rPr>
              <w:t>Maximum polarization mismatch loss (dB)</w:t>
            </w:r>
          </w:p>
        </w:tc>
        <w:tc>
          <w:tcPr>
            <w:tcW w:w="3402" w:type="dxa"/>
          </w:tcPr>
          <w:p w:rsidR="00F11ADC" w:rsidRPr="008E6054" w:rsidRDefault="00F11ADC" w:rsidP="000E7226">
            <w:pPr>
              <w:pStyle w:val="Tabletext"/>
              <w:jc w:val="center"/>
            </w:pPr>
            <w:r w:rsidRPr="008E6054">
              <w:t>0.31</w:t>
            </w:r>
          </w:p>
        </w:tc>
      </w:tr>
      <w:tr w:rsidR="00F11ADC" w:rsidRPr="008E6054" w:rsidTr="00854349">
        <w:trPr>
          <w:jc w:val="center"/>
        </w:trPr>
        <w:tc>
          <w:tcPr>
            <w:tcW w:w="5670" w:type="dxa"/>
          </w:tcPr>
          <w:p w:rsidR="00F11ADC" w:rsidRPr="00F11ADC" w:rsidRDefault="00F11ADC" w:rsidP="000E7226">
            <w:pPr>
              <w:pStyle w:val="Tabletext"/>
              <w:rPr>
                <w:lang w:val="en-US"/>
              </w:rPr>
            </w:pPr>
            <w:r w:rsidRPr="00F11ADC">
              <w:rPr>
                <w:lang w:val="en-US"/>
              </w:rPr>
              <w:t>Maximum receive antenna gain (dBi)</w:t>
            </w:r>
          </w:p>
        </w:tc>
        <w:tc>
          <w:tcPr>
            <w:tcW w:w="3402" w:type="dxa"/>
          </w:tcPr>
          <w:p w:rsidR="00F11ADC" w:rsidRPr="008E6054" w:rsidRDefault="00F11ADC" w:rsidP="000E7226">
            <w:pPr>
              <w:pStyle w:val="Tabletext"/>
              <w:jc w:val="center"/>
            </w:pPr>
            <w:r w:rsidRPr="008E6054">
              <w:t>13.60</w:t>
            </w:r>
          </w:p>
        </w:tc>
      </w:tr>
      <w:tr w:rsidR="00F11ADC" w:rsidRPr="008E6054" w:rsidTr="00854349">
        <w:trPr>
          <w:jc w:val="center"/>
        </w:trPr>
        <w:tc>
          <w:tcPr>
            <w:tcW w:w="5670" w:type="dxa"/>
          </w:tcPr>
          <w:p w:rsidR="00F11ADC" w:rsidRPr="00F11ADC" w:rsidRDefault="00F11ADC" w:rsidP="000E7226">
            <w:pPr>
              <w:pStyle w:val="Tabletext"/>
              <w:rPr>
                <w:lang w:val="en-US"/>
              </w:rPr>
            </w:pPr>
            <w:r w:rsidRPr="00F11ADC">
              <w:rPr>
                <w:lang w:val="en-US"/>
              </w:rPr>
              <w:t>Satellite receiver system noise temperature (K)</w:t>
            </w:r>
          </w:p>
        </w:tc>
        <w:tc>
          <w:tcPr>
            <w:tcW w:w="3402" w:type="dxa"/>
          </w:tcPr>
          <w:p w:rsidR="00F11ADC" w:rsidRPr="008E6054" w:rsidRDefault="00F11ADC" w:rsidP="000E7226">
            <w:pPr>
              <w:pStyle w:val="Tabletext"/>
              <w:jc w:val="center"/>
              <w:rPr>
                <w:highlight w:val="cyan"/>
              </w:rPr>
            </w:pPr>
            <w:r w:rsidRPr="008E6054">
              <w:t>590</w:t>
            </w:r>
          </w:p>
        </w:tc>
      </w:tr>
      <w:tr w:rsidR="00F11ADC" w:rsidRPr="008E6054" w:rsidTr="00854349">
        <w:trPr>
          <w:jc w:val="center"/>
        </w:trPr>
        <w:tc>
          <w:tcPr>
            <w:tcW w:w="5670" w:type="dxa"/>
          </w:tcPr>
          <w:p w:rsidR="00F11ADC" w:rsidRPr="008E6054" w:rsidRDefault="00F11ADC" w:rsidP="00D34D30">
            <w:pPr>
              <w:pStyle w:val="Tabletext"/>
            </w:pPr>
            <w:bookmarkStart w:id="4" w:name="OLE_LINK1"/>
            <w:bookmarkStart w:id="5" w:name="OLE_LINK2"/>
            <w:r w:rsidRPr="008E6054">
              <w:t>Minimum elevation (deg</w:t>
            </w:r>
            <w:r w:rsidR="00D34D30">
              <w:t>ree</w:t>
            </w:r>
            <w:r w:rsidRPr="008E6054">
              <w:t>)</w:t>
            </w:r>
          </w:p>
        </w:tc>
        <w:tc>
          <w:tcPr>
            <w:tcW w:w="3402" w:type="dxa"/>
          </w:tcPr>
          <w:p w:rsidR="00F11ADC" w:rsidRPr="008E6054" w:rsidRDefault="00F11ADC" w:rsidP="000E7226">
            <w:pPr>
              <w:pStyle w:val="Tabletext"/>
              <w:jc w:val="center"/>
            </w:pPr>
            <w:r w:rsidRPr="008E6054">
              <w:t>5.0</w:t>
            </w:r>
          </w:p>
        </w:tc>
      </w:tr>
      <w:tr w:rsidR="00F11ADC" w:rsidRPr="008E6054" w:rsidTr="00854349">
        <w:trPr>
          <w:jc w:val="center"/>
        </w:trPr>
        <w:tc>
          <w:tcPr>
            <w:tcW w:w="5670" w:type="dxa"/>
          </w:tcPr>
          <w:p w:rsidR="00F11ADC" w:rsidRPr="008E6054" w:rsidRDefault="00F11ADC" w:rsidP="000E7226">
            <w:pPr>
              <w:pStyle w:val="Tabletext"/>
            </w:pPr>
            <w:r w:rsidRPr="008E6054">
              <w:t>Satellite altitude (km)</w:t>
            </w:r>
          </w:p>
        </w:tc>
        <w:tc>
          <w:tcPr>
            <w:tcW w:w="3402" w:type="dxa"/>
          </w:tcPr>
          <w:p w:rsidR="00F11ADC" w:rsidRPr="008E6054" w:rsidRDefault="00F11ADC" w:rsidP="000E7226">
            <w:pPr>
              <w:pStyle w:val="Tabletext"/>
              <w:jc w:val="center"/>
            </w:pPr>
            <w:r w:rsidRPr="008E6054">
              <w:t>20 200</w:t>
            </w:r>
          </w:p>
        </w:tc>
      </w:tr>
      <w:bookmarkEnd w:id="4"/>
      <w:bookmarkEnd w:id="5"/>
    </w:tbl>
    <w:p w:rsidR="00F11ADC" w:rsidRPr="008E6054" w:rsidRDefault="00F11ADC" w:rsidP="00854349">
      <w:pPr>
        <w:pStyle w:val="Tablefin"/>
        <w:rPr>
          <w:rFonts w:eastAsia="MS Mincho"/>
        </w:rPr>
      </w:pPr>
    </w:p>
    <w:p w:rsidR="00F11ADC" w:rsidRPr="008E6054" w:rsidRDefault="00F11ADC" w:rsidP="00F11ADC">
      <w:pPr>
        <w:rPr>
          <w:rFonts w:eastAsia="MS Mincho"/>
        </w:rPr>
      </w:pPr>
    </w:p>
    <w:p w:rsidR="00F11ADC" w:rsidRPr="008E6054" w:rsidRDefault="00F11ADC" w:rsidP="00F11ADC">
      <w:pPr>
        <w:rPr>
          <w:rFonts w:eastAsia="MS Mincho"/>
        </w:rPr>
      </w:pPr>
    </w:p>
    <w:p w:rsidR="00F11ADC" w:rsidRPr="00854349" w:rsidRDefault="00F11ADC" w:rsidP="00D34D30">
      <w:pPr>
        <w:pStyle w:val="AnnexNoTitle"/>
        <w:rPr>
          <w:rFonts w:eastAsia="MS Mincho"/>
          <w:lang w:val="en-US"/>
        </w:rPr>
      </w:pPr>
      <w:r w:rsidRPr="00854349">
        <w:rPr>
          <w:rFonts w:eastAsia="MS Mincho"/>
          <w:lang w:val="en-US"/>
        </w:rPr>
        <w:t xml:space="preserve">Annex </w:t>
      </w:r>
      <w:r w:rsidRPr="00854349">
        <w:rPr>
          <w:rFonts w:eastAsia="MS Mincho"/>
          <w:lang w:val="en-US" w:eastAsia="ja-JP"/>
        </w:rPr>
        <w:t>3</w:t>
      </w:r>
      <w:r w:rsidR="00854349" w:rsidRPr="00854349">
        <w:rPr>
          <w:rFonts w:eastAsia="MS Mincho"/>
          <w:lang w:val="en-US"/>
        </w:rPr>
        <w:br/>
      </w:r>
      <w:r w:rsidR="00854349">
        <w:rPr>
          <w:rFonts w:eastAsia="MS Mincho"/>
          <w:lang w:val="en-US"/>
        </w:rPr>
        <w:br/>
      </w:r>
      <w:r w:rsidRPr="00854349">
        <w:rPr>
          <w:rFonts w:eastAsia="MS Mincho"/>
          <w:lang w:val="en-US"/>
        </w:rPr>
        <w:t>Technical characteristics and protection criteria of receiving space stations</w:t>
      </w:r>
      <w:r w:rsidR="00854349">
        <w:rPr>
          <w:rFonts w:eastAsia="MS Mincho"/>
          <w:lang w:val="en-US"/>
        </w:rPr>
        <w:br/>
      </w:r>
      <w:r w:rsidRPr="00854349">
        <w:rPr>
          <w:rFonts w:eastAsia="MS Mincho"/>
          <w:lang w:val="en-US"/>
        </w:rPr>
        <w:t>and the characteristics of transmitting earth stations</w:t>
      </w:r>
      <w:r w:rsidR="00D34D30">
        <w:rPr>
          <w:rFonts w:eastAsia="MS Mincho"/>
          <w:lang w:val="en-US"/>
        </w:rPr>
        <w:br/>
      </w:r>
      <w:r w:rsidRPr="00854349">
        <w:rPr>
          <w:rFonts w:eastAsia="MS Mincho"/>
          <w:lang w:val="en-US"/>
        </w:rPr>
        <w:t xml:space="preserve">of </w:t>
      </w:r>
      <w:r w:rsidRPr="00854349">
        <w:rPr>
          <w:rFonts w:eastAsia="MS Mincho"/>
          <w:lang w:val="en-US" w:eastAsia="ja-JP"/>
        </w:rPr>
        <w:t>the Quasi-Zenith Satellite</w:t>
      </w:r>
      <w:r w:rsidRPr="00854349">
        <w:rPr>
          <w:rFonts w:eastAsia="MS Mincho"/>
          <w:lang w:val="en-US"/>
        </w:rPr>
        <w:t xml:space="preserve"> System operating</w:t>
      </w:r>
      <w:r w:rsidR="00D34D30">
        <w:rPr>
          <w:rFonts w:eastAsia="MS Mincho"/>
          <w:lang w:val="en-US"/>
        </w:rPr>
        <w:br/>
      </w:r>
      <w:r w:rsidRPr="00854349">
        <w:rPr>
          <w:rFonts w:eastAsia="MS Mincho"/>
          <w:lang w:val="en-US"/>
        </w:rPr>
        <w:t>in the band</w:t>
      </w:r>
      <w:r w:rsidRPr="00854349">
        <w:rPr>
          <w:rFonts w:eastAsia="MS Mincho"/>
          <w:caps/>
          <w:lang w:val="en-US"/>
        </w:rPr>
        <w:t xml:space="preserve"> 5 000-5 010 MHz</w:t>
      </w:r>
    </w:p>
    <w:p w:rsidR="00F11ADC" w:rsidRPr="00F11ADC" w:rsidRDefault="00F11ADC" w:rsidP="00F11ADC">
      <w:pPr>
        <w:pStyle w:val="Heading1"/>
        <w:rPr>
          <w:rFonts w:eastAsia="MS Mincho"/>
          <w:lang w:val="en-US"/>
        </w:rPr>
      </w:pPr>
      <w:r w:rsidRPr="00F11ADC">
        <w:rPr>
          <w:rFonts w:eastAsia="MS Mincho"/>
          <w:lang w:val="en-US"/>
        </w:rPr>
        <w:t>1</w:t>
      </w:r>
      <w:r w:rsidRPr="00F11ADC">
        <w:rPr>
          <w:rFonts w:eastAsia="MS Mincho"/>
          <w:lang w:val="en-US"/>
        </w:rPr>
        <w:tab/>
        <w:t>Introduction</w:t>
      </w:r>
    </w:p>
    <w:p w:rsidR="00F11ADC" w:rsidRPr="00F11ADC" w:rsidRDefault="00F11ADC" w:rsidP="00F11ADC">
      <w:pPr>
        <w:rPr>
          <w:rFonts w:eastAsia="MS Mincho"/>
          <w:lang w:val="en-US"/>
        </w:rPr>
      </w:pPr>
      <w:r w:rsidRPr="00F11ADC">
        <w:rPr>
          <w:rFonts w:eastAsia="MS Mincho"/>
          <w:lang w:val="en-US"/>
        </w:rPr>
        <w:t xml:space="preserve">The </w:t>
      </w:r>
      <w:r w:rsidR="00D34D30">
        <w:rPr>
          <w:rFonts w:eastAsia="MS Mincho"/>
          <w:lang w:val="en-US"/>
        </w:rPr>
        <w:t>Quasi-Zenith Satellite System (</w:t>
      </w:r>
      <w:r w:rsidRPr="00F11ADC">
        <w:rPr>
          <w:rFonts w:eastAsia="MS Mincho"/>
          <w:lang w:val="en-US" w:eastAsia="ja-JP"/>
        </w:rPr>
        <w:t>QZS</w:t>
      </w:r>
      <w:r w:rsidRPr="00F11ADC">
        <w:rPr>
          <w:rFonts w:eastAsia="MS Mincho"/>
          <w:lang w:val="en-US"/>
        </w:rPr>
        <w:t>S</w:t>
      </w:r>
      <w:r w:rsidR="00D34D30">
        <w:rPr>
          <w:rFonts w:eastAsia="MS Mincho"/>
          <w:lang w:val="en-US"/>
        </w:rPr>
        <w:t>)</w:t>
      </w:r>
      <w:r w:rsidRPr="00F11ADC">
        <w:rPr>
          <w:rFonts w:eastAsia="MS Mincho"/>
          <w:lang w:val="en-US"/>
        </w:rPr>
        <w:t xml:space="preserve"> uplink and downlink feeder links provide communications for system and satellite monitoring, command, control </w:t>
      </w:r>
      <w:r w:rsidRPr="00F11ADC">
        <w:rPr>
          <w:rFonts w:eastAsia="MS Mincho"/>
          <w:lang w:val="en-US" w:eastAsia="ja-JP"/>
        </w:rPr>
        <w:t>and navigation message upload</w:t>
      </w:r>
      <w:r w:rsidRPr="00F11ADC">
        <w:rPr>
          <w:rFonts w:eastAsia="MS Mincho"/>
          <w:lang w:val="en-US"/>
        </w:rPr>
        <w:t xml:space="preserve">. </w:t>
      </w:r>
      <w:r w:rsidRPr="00F11ADC">
        <w:rPr>
          <w:rFonts w:eastAsia="MS Mincho"/>
          <w:lang w:val="en-US" w:eastAsia="ja-JP"/>
        </w:rPr>
        <w:t>The</w:t>
      </w:r>
      <w:r w:rsidRPr="00F11ADC">
        <w:rPr>
          <w:rFonts w:eastAsia="MS Mincho"/>
          <w:lang w:val="en-US"/>
        </w:rPr>
        <w:t xml:space="preserve"> </w:t>
      </w:r>
      <w:r w:rsidRPr="00F11ADC">
        <w:rPr>
          <w:rFonts w:eastAsia="MS Mincho"/>
          <w:lang w:val="en-US" w:eastAsia="ja-JP"/>
        </w:rPr>
        <w:t>QZS</w:t>
      </w:r>
      <w:r w:rsidRPr="00F11ADC">
        <w:rPr>
          <w:rFonts w:eastAsia="MS Mincho"/>
          <w:lang w:val="en-US"/>
        </w:rPr>
        <w:t>S control station</w:t>
      </w:r>
      <w:r w:rsidRPr="00F11ADC">
        <w:rPr>
          <w:rFonts w:eastAsia="MS Mincho"/>
          <w:lang w:val="en-US" w:eastAsia="ja-JP"/>
        </w:rPr>
        <w:t>s</w:t>
      </w:r>
      <w:r w:rsidRPr="00F11ADC">
        <w:rPr>
          <w:rFonts w:eastAsia="MS Mincho"/>
          <w:lang w:val="en-US"/>
        </w:rPr>
        <w:t xml:space="preserve"> </w:t>
      </w:r>
      <w:r w:rsidRPr="00F11ADC">
        <w:rPr>
          <w:rFonts w:eastAsia="MS Mincho"/>
          <w:lang w:val="en-US" w:eastAsia="ja-JP"/>
        </w:rPr>
        <w:t xml:space="preserve">are </w:t>
      </w:r>
      <w:r w:rsidRPr="00F11ADC">
        <w:rPr>
          <w:rFonts w:eastAsia="MS Mincho"/>
          <w:lang w:val="en-US"/>
        </w:rPr>
        <w:t xml:space="preserve">located in </w:t>
      </w:r>
      <w:r w:rsidRPr="00F11ADC">
        <w:rPr>
          <w:rFonts w:eastAsia="MS Mincho"/>
          <w:lang w:val="en-US" w:eastAsia="ja-JP"/>
        </w:rPr>
        <w:t>the Asia-Pacific Region</w:t>
      </w:r>
      <w:r w:rsidRPr="00F11ADC">
        <w:rPr>
          <w:rFonts w:eastAsia="MS Mincho"/>
          <w:lang w:val="en-US"/>
        </w:rPr>
        <w:t>.</w:t>
      </w:r>
    </w:p>
    <w:p w:rsidR="00F11ADC" w:rsidRPr="00F11ADC" w:rsidRDefault="00F11ADC" w:rsidP="00F11ADC">
      <w:pPr>
        <w:pStyle w:val="Heading1"/>
        <w:rPr>
          <w:rFonts w:eastAsia="MS Mincho"/>
          <w:lang w:val="en-US"/>
        </w:rPr>
      </w:pPr>
      <w:r w:rsidRPr="00F11ADC">
        <w:rPr>
          <w:rFonts w:eastAsia="MS Mincho"/>
          <w:lang w:val="en-US"/>
        </w:rPr>
        <w:t>2</w:t>
      </w:r>
      <w:r w:rsidRPr="00F11ADC">
        <w:rPr>
          <w:rFonts w:eastAsia="MS Mincho"/>
          <w:lang w:val="en-US"/>
        </w:rPr>
        <w:tab/>
      </w:r>
      <w:r w:rsidRPr="00F11ADC">
        <w:rPr>
          <w:rFonts w:eastAsia="MS Mincho"/>
          <w:lang w:val="en-US" w:eastAsia="ja-JP"/>
        </w:rPr>
        <w:t>QZS</w:t>
      </w:r>
      <w:r w:rsidRPr="00F11ADC">
        <w:rPr>
          <w:rFonts w:eastAsia="MS Mincho"/>
          <w:lang w:val="en-US"/>
        </w:rPr>
        <w:t>S characteristics</w:t>
      </w:r>
    </w:p>
    <w:p w:rsidR="00F11ADC" w:rsidRPr="00F11ADC" w:rsidRDefault="00F11ADC" w:rsidP="00F11ADC">
      <w:pPr>
        <w:rPr>
          <w:lang w:val="en-US" w:eastAsia="ja-JP"/>
        </w:rPr>
      </w:pPr>
      <w:r w:rsidRPr="00F11ADC">
        <w:rPr>
          <w:rFonts w:eastAsia="MS Mincho"/>
          <w:lang w:val="en-US" w:eastAsia="ja-JP"/>
        </w:rPr>
        <w:t xml:space="preserve">QZSS satellites </w:t>
      </w:r>
      <w:r w:rsidRPr="00F11ADC">
        <w:rPr>
          <w:lang w:val="en-US" w:eastAsia="ja-JP"/>
        </w:rPr>
        <w:t>include RNSS</w:t>
      </w:r>
      <w:r w:rsidRPr="00F11ADC">
        <w:rPr>
          <w:rFonts w:eastAsia="MS Mincho"/>
          <w:lang w:val="en-US" w:eastAsia="ja-JP"/>
        </w:rPr>
        <w:t xml:space="preserve"> payloads </w:t>
      </w:r>
      <w:r w:rsidRPr="00F11ADC">
        <w:rPr>
          <w:lang w:val="en-US" w:eastAsia="ja-JP"/>
        </w:rPr>
        <w:t xml:space="preserve">operating in </w:t>
      </w:r>
      <w:r w:rsidRPr="00F11ADC">
        <w:rPr>
          <w:rFonts w:eastAsia="MS Mincho"/>
          <w:lang w:val="en-US" w:eastAsia="ja-JP"/>
        </w:rPr>
        <w:t xml:space="preserve">both the 5 000-5 010 MHz band (satellite receivers) and the 5 010-5 030 MHz band (satellite transmitters). </w:t>
      </w:r>
      <w:r w:rsidRPr="00F11ADC">
        <w:rPr>
          <w:rFonts w:eastAsia="MS Mincho"/>
          <w:lang w:val="en-US"/>
        </w:rPr>
        <w:t xml:space="preserve">Due to the fact that </w:t>
      </w:r>
      <w:r w:rsidRPr="00F11ADC">
        <w:rPr>
          <w:lang w:val="en-US" w:eastAsia="ja-JP"/>
        </w:rPr>
        <w:t>these</w:t>
      </w:r>
      <w:r w:rsidRPr="00F11ADC">
        <w:rPr>
          <w:rFonts w:eastAsia="MS Mincho"/>
          <w:lang w:val="en-US"/>
        </w:rPr>
        <w:t xml:space="preserve"> bands are adjacent, </w:t>
      </w:r>
      <w:r w:rsidRPr="00F11ADC">
        <w:rPr>
          <w:rFonts w:eastAsia="MS Mincho"/>
          <w:lang w:val="en-US" w:eastAsia="ja-JP"/>
        </w:rPr>
        <w:t xml:space="preserve">a self-interference mitigation technique </w:t>
      </w:r>
      <w:r w:rsidRPr="00F11ADC">
        <w:rPr>
          <w:lang w:val="en-US" w:eastAsia="ja-JP"/>
        </w:rPr>
        <w:t>is</w:t>
      </w:r>
      <w:r w:rsidRPr="00F11ADC">
        <w:rPr>
          <w:rFonts w:eastAsia="MS Mincho"/>
          <w:lang w:val="en-US" w:eastAsia="ja-JP"/>
        </w:rPr>
        <w:t xml:space="preserve"> implemented in </w:t>
      </w:r>
      <w:r w:rsidRPr="00F11ADC">
        <w:rPr>
          <w:lang w:val="en-US" w:eastAsia="ja-JP"/>
        </w:rPr>
        <w:t xml:space="preserve">the </w:t>
      </w:r>
      <w:r w:rsidRPr="00F11ADC">
        <w:rPr>
          <w:rFonts w:eastAsia="MS Mincho"/>
          <w:lang w:val="en-US" w:eastAsia="ja-JP"/>
        </w:rPr>
        <w:t xml:space="preserve">QZSS satellites’ </w:t>
      </w:r>
      <w:r w:rsidRPr="00F11ADC">
        <w:rPr>
          <w:lang w:val="en-US" w:eastAsia="ja-JP"/>
        </w:rPr>
        <w:t xml:space="preserve">payload </w:t>
      </w:r>
      <w:r w:rsidRPr="00F11ADC">
        <w:rPr>
          <w:rFonts w:eastAsia="MS Mincho"/>
          <w:lang w:val="en-US" w:eastAsia="ja-JP"/>
        </w:rPr>
        <w:t xml:space="preserve">in order </w:t>
      </w:r>
      <w:r w:rsidRPr="00F11ADC">
        <w:rPr>
          <w:rFonts w:eastAsia="MS Mincho"/>
          <w:lang w:val="en-US"/>
        </w:rPr>
        <w:t>to avoid self</w:t>
      </w:r>
      <w:r w:rsidRPr="00F11ADC">
        <w:rPr>
          <w:rFonts w:eastAsia="MS Mincho"/>
          <w:lang w:val="en-US"/>
        </w:rPr>
        <w:noBreakHyphen/>
        <w:t>interference</w:t>
      </w:r>
      <w:r w:rsidRPr="00F11ADC">
        <w:rPr>
          <w:rFonts w:eastAsia="MS Mincho"/>
          <w:lang w:val="en-US" w:eastAsia="ja-JP"/>
        </w:rPr>
        <w:t>. Furthermore, only t</w:t>
      </w:r>
      <w:r w:rsidRPr="00F11ADC">
        <w:rPr>
          <w:rFonts w:eastAsia="MS Mincho"/>
          <w:lang w:val="en-US"/>
        </w:rPr>
        <w:t xml:space="preserve">he </w:t>
      </w:r>
      <w:r w:rsidRPr="00F11ADC">
        <w:rPr>
          <w:rFonts w:eastAsia="MS Mincho"/>
          <w:lang w:val="en-US" w:eastAsia="ja-JP"/>
        </w:rPr>
        <w:t xml:space="preserve">lower portion of the </w:t>
      </w:r>
      <w:r w:rsidRPr="00F11ADC">
        <w:rPr>
          <w:rFonts w:eastAsia="MS Mincho"/>
          <w:lang w:val="en-US"/>
        </w:rPr>
        <w:t>5 000-5 010 MHz uplink</w:t>
      </w:r>
      <w:r w:rsidRPr="00F11ADC">
        <w:rPr>
          <w:rFonts w:eastAsia="MS Mincho"/>
          <w:lang w:val="en-US" w:eastAsia="ja-JP"/>
        </w:rPr>
        <w:t xml:space="preserve"> frequency band</w:t>
      </w:r>
      <w:r w:rsidRPr="00F11ADC">
        <w:rPr>
          <w:rFonts w:eastAsia="MS Mincho"/>
          <w:lang w:val="en-US"/>
        </w:rPr>
        <w:t xml:space="preserve"> and </w:t>
      </w:r>
      <w:r w:rsidRPr="00F11ADC">
        <w:rPr>
          <w:rFonts w:eastAsia="MS Mincho"/>
          <w:lang w:val="en-US" w:eastAsia="ja-JP"/>
        </w:rPr>
        <w:t xml:space="preserve">the upper portion of the </w:t>
      </w:r>
      <w:r w:rsidRPr="00F11ADC">
        <w:rPr>
          <w:rFonts w:eastAsia="MS Mincho"/>
          <w:lang w:val="en-US"/>
        </w:rPr>
        <w:t>5 0</w:t>
      </w:r>
      <w:r w:rsidRPr="00F11ADC">
        <w:rPr>
          <w:rFonts w:eastAsia="MS Mincho"/>
          <w:lang w:val="en-US" w:eastAsia="ja-JP"/>
        </w:rPr>
        <w:t>1</w:t>
      </w:r>
      <w:r w:rsidRPr="00F11ADC">
        <w:rPr>
          <w:rFonts w:eastAsia="MS Mincho"/>
          <w:lang w:val="en-US"/>
        </w:rPr>
        <w:t xml:space="preserve">0-5 030 MHz downlink </w:t>
      </w:r>
      <w:r w:rsidRPr="00F11ADC">
        <w:rPr>
          <w:rFonts w:eastAsia="MS Mincho"/>
          <w:lang w:val="en-US" w:eastAsia="ja-JP"/>
        </w:rPr>
        <w:t>frequency band are used</w:t>
      </w:r>
      <w:r w:rsidRPr="00F11ADC">
        <w:rPr>
          <w:lang w:val="en-US"/>
        </w:rPr>
        <w:t xml:space="preserve"> </w:t>
      </w:r>
      <w:r w:rsidRPr="00F11ADC">
        <w:rPr>
          <w:lang w:val="en-US" w:eastAsia="ja-JP"/>
        </w:rPr>
        <w:t>by QZSS</w:t>
      </w:r>
      <w:r w:rsidRPr="00F11ADC">
        <w:rPr>
          <w:rFonts w:eastAsia="MS Mincho"/>
          <w:lang w:val="en-US" w:eastAsia="ja-JP"/>
        </w:rPr>
        <w:t>.</w:t>
      </w:r>
    </w:p>
    <w:p w:rsidR="00F11ADC" w:rsidRPr="00F11ADC" w:rsidRDefault="00F11ADC" w:rsidP="00F11ADC">
      <w:pPr>
        <w:rPr>
          <w:lang w:val="en-US" w:eastAsia="ja-JP"/>
        </w:rPr>
      </w:pPr>
      <w:r w:rsidRPr="00F11ADC">
        <w:rPr>
          <w:lang w:val="en-US" w:eastAsia="ja-JP"/>
        </w:rPr>
        <w:t xml:space="preserve">The QZSS feeder uplink in the </w:t>
      </w:r>
      <w:r w:rsidRPr="00F11ADC">
        <w:rPr>
          <w:rFonts w:eastAsia="MS Mincho"/>
          <w:lang w:val="en-US" w:eastAsia="ja-JP"/>
        </w:rPr>
        <w:t>5 000-5 010 MHz band</w:t>
      </w:r>
      <w:r w:rsidRPr="00F11ADC">
        <w:rPr>
          <w:lang w:val="en-US" w:eastAsia="ja-JP"/>
        </w:rPr>
        <w:t xml:space="preserve"> includes command, navigation message upload and ranging functions. </w:t>
      </w:r>
    </w:p>
    <w:p w:rsidR="00F11ADC" w:rsidRPr="00F11ADC" w:rsidRDefault="00F11ADC" w:rsidP="00F11ADC">
      <w:pPr>
        <w:rPr>
          <w:lang w:val="en-US" w:eastAsia="ja-JP"/>
        </w:rPr>
      </w:pPr>
      <w:r w:rsidRPr="00F11ADC">
        <w:rPr>
          <w:lang w:val="en-US" w:eastAsia="ja-JP"/>
        </w:rPr>
        <w:t>For evaluation of potential interference to the QZSS command link and navigation message upload link, the characteristics in Tables</w:t>
      </w:r>
      <w:r w:rsidRPr="00F11ADC">
        <w:rPr>
          <w:rFonts w:eastAsia="MS Mincho"/>
          <w:lang w:val="en-US" w:eastAsia="ja-JP"/>
        </w:rPr>
        <w:t> </w:t>
      </w:r>
      <w:r w:rsidRPr="00F11ADC">
        <w:rPr>
          <w:lang w:val="en-US" w:eastAsia="ja-JP"/>
        </w:rPr>
        <w:t>3</w:t>
      </w:r>
      <w:r w:rsidRPr="00F11ADC">
        <w:rPr>
          <w:lang w:val="en-US" w:eastAsia="ja-JP"/>
        </w:rPr>
        <w:noBreakHyphen/>
        <w:t>1 and</w:t>
      </w:r>
      <w:r w:rsidRPr="00F11ADC">
        <w:rPr>
          <w:rFonts w:eastAsia="MS Mincho"/>
          <w:lang w:val="en-US" w:eastAsia="ja-JP"/>
        </w:rPr>
        <w:t> </w:t>
      </w:r>
      <w:r w:rsidRPr="00F11ADC">
        <w:rPr>
          <w:lang w:val="en-US" w:eastAsia="ja-JP"/>
        </w:rPr>
        <w:t>3</w:t>
      </w:r>
      <w:r w:rsidRPr="00F11ADC">
        <w:rPr>
          <w:lang w:val="en-US" w:eastAsia="ja-JP"/>
        </w:rPr>
        <w:noBreakHyphen/>
        <w:t>2 should be used.</w:t>
      </w:r>
    </w:p>
    <w:p w:rsidR="00F11ADC" w:rsidRDefault="00F11ADC" w:rsidP="00F11ADC">
      <w:pPr>
        <w:rPr>
          <w:lang w:val="en-US" w:eastAsia="ja-JP"/>
        </w:rPr>
      </w:pPr>
      <w:r w:rsidRPr="00F11ADC">
        <w:rPr>
          <w:lang w:val="en-US" w:eastAsia="ja-JP"/>
        </w:rPr>
        <w:lastRenderedPageBreak/>
        <w:t xml:space="preserve">For interference evaluation of the ranging link, the characteristics and protection criteria should be exchanged in bilateral discussions as in the usual practice for satellite inter-system frequency coordination. This is because proper assessment of any interference impact to the QZSS ranging link requires overall </w:t>
      </w:r>
      <w:r w:rsidRPr="00F11ADC">
        <w:rPr>
          <w:i/>
          <w:iCs/>
          <w:lang w:val="en-US" w:eastAsia="ja-JP"/>
        </w:rPr>
        <w:t>C</w:t>
      </w:r>
      <w:r w:rsidRPr="00F11ADC">
        <w:rPr>
          <w:lang w:val="en-US" w:eastAsia="ja-JP"/>
        </w:rPr>
        <w:t>/</w:t>
      </w:r>
      <w:r w:rsidRPr="00F11ADC">
        <w:rPr>
          <w:i/>
          <w:iCs/>
          <w:lang w:val="en-US" w:eastAsia="ja-JP"/>
        </w:rPr>
        <w:t>N</w:t>
      </w:r>
      <w:r w:rsidRPr="00F11ADC">
        <w:rPr>
          <w:vertAlign w:val="subscript"/>
          <w:lang w:val="en-US" w:eastAsia="ja-JP"/>
        </w:rPr>
        <w:t>0</w:t>
      </w:r>
      <w:r w:rsidRPr="00F11ADC">
        <w:rPr>
          <w:lang w:val="en-US" w:eastAsia="ja-JP"/>
        </w:rPr>
        <w:t xml:space="preserve"> evaluation taking into account the uplink and downlink segments. (It is not possible to evaluate the QZSS ranging link performance based only on interference to the uplink.) </w:t>
      </w:r>
    </w:p>
    <w:p w:rsidR="00F9053C" w:rsidRPr="00F11ADC" w:rsidRDefault="00F9053C" w:rsidP="00F11ADC">
      <w:pPr>
        <w:rPr>
          <w:lang w:val="en-US" w:eastAsia="ja-JP"/>
        </w:rPr>
      </w:pPr>
    </w:p>
    <w:p w:rsidR="00F11ADC" w:rsidRPr="00F11ADC" w:rsidRDefault="00854349" w:rsidP="00F11ADC">
      <w:pPr>
        <w:pStyle w:val="TableNo"/>
        <w:rPr>
          <w:rFonts w:eastAsia="MS Mincho"/>
          <w:lang w:val="en-US"/>
        </w:rPr>
      </w:pPr>
      <w:r w:rsidRPr="00F11ADC">
        <w:rPr>
          <w:rFonts w:eastAsia="MS Mincho"/>
          <w:lang w:val="en-US"/>
        </w:rPr>
        <w:t>TABLE</w:t>
      </w:r>
      <w:r w:rsidR="00F11ADC" w:rsidRPr="00F11ADC">
        <w:rPr>
          <w:rFonts w:eastAsia="MS Mincho"/>
          <w:lang w:val="en-US"/>
        </w:rPr>
        <w:t xml:space="preserve"> </w:t>
      </w:r>
      <w:r w:rsidR="00F11ADC" w:rsidRPr="00F11ADC">
        <w:rPr>
          <w:rFonts w:eastAsia="MS Mincho"/>
          <w:lang w:val="en-US" w:eastAsia="ja-JP"/>
        </w:rPr>
        <w:t>3</w:t>
      </w:r>
      <w:r w:rsidR="00F11ADC" w:rsidRPr="00F11ADC">
        <w:rPr>
          <w:rFonts w:eastAsia="MS Mincho"/>
          <w:lang w:val="en-US"/>
        </w:rPr>
        <w:t>-1</w:t>
      </w:r>
    </w:p>
    <w:p w:rsidR="00F11ADC" w:rsidRPr="00F11ADC" w:rsidRDefault="00F11ADC" w:rsidP="00F11ADC">
      <w:pPr>
        <w:pStyle w:val="Tabletitle"/>
        <w:rPr>
          <w:rFonts w:eastAsia="MS Mincho"/>
          <w:lang w:val="en-US" w:eastAsia="ja-JP"/>
        </w:rPr>
      </w:pPr>
      <w:r w:rsidRPr="00F11ADC">
        <w:rPr>
          <w:rFonts w:eastAsia="MS Mincho"/>
          <w:lang w:val="en-US"/>
        </w:rPr>
        <w:t xml:space="preserve">Characteristics of </w:t>
      </w:r>
      <w:r w:rsidRPr="00F11ADC">
        <w:rPr>
          <w:rFonts w:eastAsia="MS Mincho"/>
          <w:lang w:val="en-US" w:eastAsia="ja-JP"/>
        </w:rPr>
        <w:t>QZS</w:t>
      </w:r>
      <w:r w:rsidRPr="00F11ADC">
        <w:rPr>
          <w:rFonts w:eastAsia="MS Mincho"/>
          <w:lang w:val="en-US"/>
        </w:rPr>
        <w:t>S transmitting earth station</w:t>
      </w:r>
      <w:r w:rsidRPr="00F11ADC">
        <w:rPr>
          <w:rFonts w:eastAsia="MS Mincho"/>
          <w:lang w:val="en-US" w:eastAsia="ja-JP"/>
        </w:rPr>
        <w:t xml:space="preserve">s </w:t>
      </w:r>
      <w:r w:rsidRPr="00F11ADC">
        <w:rPr>
          <w:rFonts w:eastAsia="MS Mincho"/>
          <w:lang w:val="en-US" w:eastAsia="ja-JP"/>
        </w:rPr>
        <w:br/>
        <w:t>operating</w:t>
      </w:r>
      <w:r w:rsidRPr="00F11ADC">
        <w:rPr>
          <w:rFonts w:eastAsia="MS Mincho"/>
          <w:lang w:val="en-US"/>
        </w:rPr>
        <w:t xml:space="preserve"> in the</w:t>
      </w:r>
      <w:r w:rsidRPr="00F11ADC">
        <w:rPr>
          <w:rFonts w:eastAsia="MS Mincho"/>
          <w:lang w:val="en-US" w:eastAsia="ja-JP"/>
        </w:rPr>
        <w:t xml:space="preserve"> band </w:t>
      </w:r>
      <w:r w:rsidRPr="00F11ADC">
        <w:rPr>
          <w:rFonts w:eastAsia="MS Mincho"/>
          <w:lang w:val="en-US"/>
        </w:rPr>
        <w:t>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F11ADC" w:rsidRPr="008E6054" w:rsidTr="00854349">
        <w:trPr>
          <w:cantSplit/>
          <w:jc w:val="center"/>
        </w:trPr>
        <w:tc>
          <w:tcPr>
            <w:tcW w:w="5103" w:type="dxa"/>
          </w:tcPr>
          <w:p w:rsidR="00F11ADC" w:rsidRPr="008E6054" w:rsidRDefault="00F11ADC" w:rsidP="000E7226">
            <w:pPr>
              <w:pStyle w:val="Tablehead"/>
              <w:rPr>
                <w:rFonts w:eastAsia="MS Mincho"/>
              </w:rPr>
            </w:pPr>
            <w:r w:rsidRPr="008E6054">
              <w:rPr>
                <w:rFonts w:eastAsia="MS Mincho"/>
              </w:rPr>
              <w:t>Parameter</w:t>
            </w:r>
          </w:p>
        </w:tc>
        <w:tc>
          <w:tcPr>
            <w:tcW w:w="3969" w:type="dxa"/>
          </w:tcPr>
          <w:p w:rsidR="00F11ADC" w:rsidRPr="008E6054" w:rsidRDefault="00F11ADC" w:rsidP="000E7226">
            <w:pPr>
              <w:pStyle w:val="Tablehead"/>
              <w:rPr>
                <w:rFonts w:eastAsia="MS Mincho"/>
              </w:rPr>
            </w:pPr>
            <w:r w:rsidRPr="008E6054">
              <w:rPr>
                <w:rFonts w:eastAsia="MS Mincho"/>
              </w:rPr>
              <w:t>Parameter value</w:t>
            </w:r>
          </w:p>
        </w:tc>
      </w:tr>
      <w:tr w:rsidR="00F11ADC" w:rsidRPr="008E6054" w:rsidTr="00854349">
        <w:trPr>
          <w:cantSplit/>
          <w:jc w:val="center"/>
        </w:trPr>
        <w:tc>
          <w:tcPr>
            <w:tcW w:w="5103" w:type="dxa"/>
          </w:tcPr>
          <w:p w:rsidR="00F11ADC" w:rsidRPr="008E6054" w:rsidRDefault="00F11ADC" w:rsidP="000E7226">
            <w:pPr>
              <w:pStyle w:val="Tabletext"/>
              <w:rPr>
                <w:rFonts w:eastAsia="MS Mincho"/>
                <w:lang w:eastAsia="ja-JP"/>
              </w:rPr>
            </w:pPr>
            <w:r w:rsidRPr="008E6054">
              <w:rPr>
                <w:rFonts w:eastAsia="MS Mincho"/>
                <w:lang w:eastAsia="ja-JP"/>
              </w:rPr>
              <w:t>Maximum antenna gain</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49.0 dBi</w:t>
            </w:r>
          </w:p>
        </w:tc>
      </w:tr>
      <w:tr w:rsidR="00F11ADC" w:rsidRPr="008E6054" w:rsidTr="00854349">
        <w:trPr>
          <w:cantSplit/>
          <w:jc w:val="center"/>
        </w:trPr>
        <w:tc>
          <w:tcPr>
            <w:tcW w:w="5103" w:type="dxa"/>
          </w:tcPr>
          <w:p w:rsidR="00F11ADC" w:rsidRPr="008E6054" w:rsidRDefault="00F11ADC" w:rsidP="000E7226">
            <w:pPr>
              <w:pStyle w:val="Tabletext"/>
              <w:rPr>
                <w:rFonts w:eastAsia="MS Mincho"/>
              </w:rPr>
            </w:pPr>
            <w:r w:rsidRPr="008E6054">
              <w:rPr>
                <w:rFonts w:eastAsia="MS Mincho"/>
              </w:rPr>
              <w:t>Antenna pattern</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Rec. ITU</w:t>
            </w:r>
            <w:r w:rsidRPr="008E6054">
              <w:rPr>
                <w:rFonts w:eastAsia="MS Mincho"/>
                <w:lang w:eastAsia="ja-JP"/>
              </w:rPr>
              <w:noBreakHyphen/>
              <w:t>R S.465-5</w:t>
            </w:r>
          </w:p>
        </w:tc>
      </w:tr>
      <w:tr w:rsidR="00F11ADC" w:rsidRPr="008E6054" w:rsidTr="00854349">
        <w:trPr>
          <w:cantSplit/>
          <w:jc w:val="center"/>
        </w:trPr>
        <w:tc>
          <w:tcPr>
            <w:tcW w:w="5103" w:type="dxa"/>
          </w:tcPr>
          <w:p w:rsidR="00F11ADC" w:rsidRPr="008E6054" w:rsidRDefault="00F11ADC" w:rsidP="000E7226">
            <w:pPr>
              <w:pStyle w:val="Tabletext"/>
              <w:rPr>
                <w:rFonts w:eastAsia="MS Mincho"/>
              </w:rPr>
            </w:pPr>
            <w:r w:rsidRPr="008E6054">
              <w:rPr>
                <w:rFonts w:eastAsia="MS Mincho"/>
              </w:rPr>
              <w:t>Polarization</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LHCP</w:t>
            </w:r>
          </w:p>
        </w:tc>
      </w:tr>
      <w:tr w:rsidR="00F11ADC" w:rsidRPr="00AA3EF6" w:rsidTr="00854349">
        <w:trPr>
          <w:cantSplit/>
          <w:jc w:val="center"/>
        </w:trPr>
        <w:tc>
          <w:tcPr>
            <w:tcW w:w="5103" w:type="dxa"/>
          </w:tcPr>
          <w:p w:rsidR="00F11ADC" w:rsidRPr="00F11ADC" w:rsidRDefault="00F11ADC" w:rsidP="000E7226">
            <w:pPr>
              <w:pStyle w:val="Tabletext"/>
              <w:rPr>
                <w:rFonts w:eastAsia="MS Mincho"/>
                <w:lang w:val="en-US"/>
              </w:rPr>
            </w:pPr>
            <w:r w:rsidRPr="00F11ADC">
              <w:rPr>
                <w:rFonts w:eastAsia="MS Mincho"/>
                <w:lang w:val="en-US"/>
              </w:rPr>
              <w:t>Transmit e.i.r.p. (dBW)</w:t>
            </w:r>
          </w:p>
        </w:tc>
        <w:tc>
          <w:tcPr>
            <w:tcW w:w="3969" w:type="dxa"/>
          </w:tcPr>
          <w:p w:rsidR="00F11ADC" w:rsidRPr="00F11ADC" w:rsidRDefault="00F11ADC" w:rsidP="000E7226">
            <w:pPr>
              <w:pStyle w:val="Tabletext"/>
              <w:jc w:val="center"/>
              <w:rPr>
                <w:rFonts w:eastAsia="MS Mincho"/>
                <w:lang w:val="en-US" w:eastAsia="ja-JP"/>
              </w:rPr>
            </w:pPr>
            <w:r w:rsidRPr="00F11ADC">
              <w:rPr>
                <w:rFonts w:eastAsia="MS Mincho"/>
                <w:lang w:val="en-US" w:eastAsia="ja-JP"/>
              </w:rPr>
              <w:t>61.4/56.1 for command</w:t>
            </w:r>
            <w:r w:rsidRPr="00F11ADC">
              <w:rPr>
                <w:rFonts w:eastAsia="MS Mincho"/>
                <w:lang w:val="en-US" w:eastAsia="ja-JP"/>
              </w:rPr>
              <w:br/>
              <w:t>60.4/55.4 for navigation message upload</w:t>
            </w:r>
          </w:p>
        </w:tc>
      </w:tr>
      <w:tr w:rsidR="00F11ADC" w:rsidRPr="008E6054" w:rsidTr="00D34D30">
        <w:trPr>
          <w:cantSplit/>
          <w:jc w:val="center"/>
        </w:trPr>
        <w:tc>
          <w:tcPr>
            <w:tcW w:w="5103" w:type="dxa"/>
            <w:tcBorders>
              <w:bottom w:val="single" w:sz="4" w:space="0" w:color="auto"/>
            </w:tcBorders>
          </w:tcPr>
          <w:p w:rsidR="00F11ADC" w:rsidRPr="008E6054" w:rsidRDefault="00F11ADC" w:rsidP="000E7226">
            <w:pPr>
              <w:pStyle w:val="Tabletext"/>
              <w:rPr>
                <w:rFonts w:eastAsia="MS Mincho"/>
              </w:rPr>
            </w:pPr>
            <w:r w:rsidRPr="008E6054">
              <w:rPr>
                <w:rFonts w:eastAsia="MS Mincho"/>
              </w:rPr>
              <w:t>Modulation</w:t>
            </w:r>
          </w:p>
        </w:tc>
        <w:tc>
          <w:tcPr>
            <w:tcW w:w="3969" w:type="dxa"/>
            <w:tcBorders>
              <w:bottom w:val="single" w:sz="4" w:space="0" w:color="auto"/>
            </w:tcBorders>
          </w:tcPr>
          <w:p w:rsidR="00F11ADC" w:rsidRPr="008E6054" w:rsidRDefault="00F11ADC" w:rsidP="000E7226">
            <w:pPr>
              <w:pStyle w:val="Tabletext"/>
              <w:jc w:val="center"/>
              <w:rPr>
                <w:rFonts w:eastAsia="MS Mincho"/>
                <w:lang w:eastAsia="ja-JP"/>
              </w:rPr>
            </w:pPr>
            <w:r w:rsidRPr="008E6054">
              <w:rPr>
                <w:rFonts w:eastAsia="MS Mincho"/>
                <w:lang w:eastAsia="ja-JP"/>
              </w:rPr>
              <w:t>PCM-PSK/PM</w:t>
            </w:r>
          </w:p>
        </w:tc>
      </w:tr>
      <w:tr w:rsidR="00D34D30" w:rsidRPr="00AA3EF6" w:rsidTr="00D34D30">
        <w:trPr>
          <w:cantSplit/>
          <w:jc w:val="center"/>
        </w:trPr>
        <w:tc>
          <w:tcPr>
            <w:tcW w:w="9072" w:type="dxa"/>
            <w:gridSpan w:val="2"/>
            <w:tcBorders>
              <w:left w:val="nil"/>
              <w:bottom w:val="nil"/>
              <w:right w:val="nil"/>
            </w:tcBorders>
          </w:tcPr>
          <w:p w:rsidR="00D34D30" w:rsidRPr="00D34D30" w:rsidRDefault="00D34D30" w:rsidP="00D34D30">
            <w:pPr>
              <w:pStyle w:val="Tablelegend"/>
              <w:rPr>
                <w:rFonts w:eastAsia="MS Mincho"/>
                <w:lang w:val="en-US" w:eastAsia="ja-JP"/>
              </w:rPr>
            </w:pPr>
            <w:r w:rsidRPr="00D34D30">
              <w:rPr>
                <w:rFonts w:eastAsia="MS Mincho"/>
                <w:lang w:val="en-US" w:eastAsia="ja-JP"/>
              </w:rPr>
              <w:t>LHCP: Left-hand circular polarization.</w:t>
            </w:r>
          </w:p>
        </w:tc>
      </w:tr>
    </w:tbl>
    <w:p w:rsidR="00854349" w:rsidRDefault="00854349" w:rsidP="00854349">
      <w:pPr>
        <w:pStyle w:val="Tablefin"/>
        <w:rPr>
          <w:rFonts w:eastAsia="MS Mincho"/>
        </w:rPr>
      </w:pPr>
    </w:p>
    <w:p w:rsidR="00F9053C" w:rsidRPr="00F9053C" w:rsidRDefault="00F9053C" w:rsidP="00F9053C">
      <w:pPr>
        <w:rPr>
          <w:rFonts w:eastAsia="MS Mincho"/>
          <w:lang w:val="en-GB"/>
        </w:rPr>
      </w:pPr>
    </w:p>
    <w:p w:rsidR="00F11ADC" w:rsidRPr="00AA3EF6" w:rsidRDefault="00854349" w:rsidP="00F11ADC">
      <w:pPr>
        <w:pStyle w:val="TableNo"/>
        <w:rPr>
          <w:rFonts w:eastAsia="MS Mincho"/>
          <w:lang w:val="en-US"/>
        </w:rPr>
      </w:pPr>
      <w:r w:rsidRPr="00AA3EF6">
        <w:rPr>
          <w:rFonts w:eastAsia="MS Mincho"/>
          <w:lang w:val="en-US"/>
        </w:rPr>
        <w:t>TABLE</w:t>
      </w:r>
      <w:r w:rsidR="00F11ADC" w:rsidRPr="00AA3EF6">
        <w:rPr>
          <w:rFonts w:eastAsia="MS Mincho"/>
          <w:lang w:val="en-US"/>
        </w:rPr>
        <w:t xml:space="preserve"> </w:t>
      </w:r>
      <w:r w:rsidR="00F11ADC" w:rsidRPr="00AA3EF6">
        <w:rPr>
          <w:rFonts w:eastAsia="MS Mincho"/>
          <w:lang w:val="en-US" w:eastAsia="ja-JP"/>
        </w:rPr>
        <w:t>3</w:t>
      </w:r>
      <w:r w:rsidR="00F11ADC" w:rsidRPr="00AA3EF6">
        <w:rPr>
          <w:rFonts w:eastAsia="MS Mincho"/>
          <w:lang w:val="en-US"/>
        </w:rPr>
        <w:t>-2</w:t>
      </w:r>
    </w:p>
    <w:p w:rsidR="00F11ADC" w:rsidRPr="00F11ADC" w:rsidRDefault="00F11ADC" w:rsidP="00F11ADC">
      <w:pPr>
        <w:pStyle w:val="Tabletitle"/>
        <w:rPr>
          <w:rFonts w:eastAsia="MS Mincho"/>
          <w:lang w:val="en-US"/>
        </w:rPr>
      </w:pPr>
      <w:r w:rsidRPr="00F11ADC">
        <w:rPr>
          <w:rFonts w:eastAsia="MS Mincho"/>
          <w:lang w:val="en-US"/>
        </w:rPr>
        <w:t xml:space="preserve">Characteristics </w:t>
      </w:r>
      <w:r w:rsidRPr="00F11ADC">
        <w:rPr>
          <w:rFonts w:eastAsia="MS Mincho"/>
          <w:lang w:val="en-US" w:eastAsia="ja-JP"/>
        </w:rPr>
        <w:t xml:space="preserve">and protection criteria </w:t>
      </w:r>
      <w:r w:rsidRPr="00F11ADC">
        <w:rPr>
          <w:rFonts w:eastAsia="MS Mincho"/>
          <w:lang w:val="en-US"/>
        </w:rPr>
        <w:t xml:space="preserve">of </w:t>
      </w:r>
      <w:r w:rsidRPr="00F11ADC">
        <w:rPr>
          <w:rFonts w:eastAsia="MS Mincho"/>
          <w:lang w:val="en-US" w:eastAsia="ja-JP"/>
        </w:rPr>
        <w:t>QZS</w:t>
      </w:r>
      <w:r w:rsidRPr="00F11ADC">
        <w:rPr>
          <w:rFonts w:eastAsia="MS Mincho"/>
          <w:lang w:val="en-US"/>
        </w:rPr>
        <w:t xml:space="preserve">S receiving space </w:t>
      </w:r>
      <w:r w:rsidRPr="00F11ADC">
        <w:rPr>
          <w:rFonts w:eastAsia="MS Mincho"/>
          <w:lang w:val="en-US"/>
        </w:rPr>
        <w:br/>
        <w:t xml:space="preserve">stations </w:t>
      </w:r>
      <w:r w:rsidRPr="00F11ADC">
        <w:rPr>
          <w:rFonts w:eastAsia="MS Mincho"/>
          <w:lang w:val="en-US" w:eastAsia="ja-JP"/>
        </w:rPr>
        <w:t xml:space="preserve">operating </w:t>
      </w:r>
      <w:r w:rsidRPr="00F11ADC">
        <w:rPr>
          <w:rFonts w:eastAsia="MS Mincho"/>
          <w:lang w:val="en-US"/>
        </w:rPr>
        <w:t>in the</w:t>
      </w:r>
      <w:r w:rsidRPr="00F11ADC">
        <w:rPr>
          <w:rFonts w:eastAsia="MS Mincho"/>
          <w:lang w:val="en-US" w:eastAsia="ja-JP"/>
        </w:rPr>
        <w:t xml:space="preserve"> band </w:t>
      </w:r>
      <w:r w:rsidRPr="00F11ADC">
        <w:rPr>
          <w:rFonts w:eastAsia="MS Mincho"/>
          <w:lang w:val="en-US"/>
        </w:rPr>
        <w:t>5 000-5 010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3969"/>
      </w:tblGrid>
      <w:tr w:rsidR="00F11ADC" w:rsidRPr="008E6054" w:rsidTr="00854349">
        <w:trPr>
          <w:jc w:val="center"/>
        </w:trPr>
        <w:tc>
          <w:tcPr>
            <w:tcW w:w="5103" w:type="dxa"/>
            <w:vAlign w:val="center"/>
          </w:tcPr>
          <w:p w:rsidR="00F11ADC" w:rsidRPr="008E6054" w:rsidRDefault="00F11ADC" w:rsidP="000E7226">
            <w:pPr>
              <w:pStyle w:val="Tablehead"/>
              <w:rPr>
                <w:rFonts w:eastAsia="MS Mincho"/>
              </w:rPr>
            </w:pPr>
            <w:r w:rsidRPr="008E6054">
              <w:rPr>
                <w:rFonts w:eastAsia="MS Mincho"/>
              </w:rPr>
              <w:t>Parameter</w:t>
            </w:r>
          </w:p>
        </w:tc>
        <w:tc>
          <w:tcPr>
            <w:tcW w:w="3969" w:type="dxa"/>
            <w:vAlign w:val="center"/>
          </w:tcPr>
          <w:p w:rsidR="00F11ADC" w:rsidRPr="008E6054" w:rsidRDefault="00F11ADC" w:rsidP="000E7226">
            <w:pPr>
              <w:pStyle w:val="Tablehead"/>
              <w:rPr>
                <w:rFonts w:eastAsia="MS Mincho"/>
              </w:rPr>
            </w:pPr>
            <w:r w:rsidRPr="008E6054">
              <w:rPr>
                <w:rFonts w:eastAsia="MS Mincho"/>
              </w:rPr>
              <w:t>Parameter value</w:t>
            </w:r>
          </w:p>
        </w:tc>
      </w:tr>
      <w:tr w:rsidR="00F11ADC" w:rsidRPr="008E6054" w:rsidTr="00854349">
        <w:trPr>
          <w:jc w:val="center"/>
        </w:trPr>
        <w:tc>
          <w:tcPr>
            <w:tcW w:w="5103" w:type="dxa"/>
          </w:tcPr>
          <w:p w:rsidR="00F11ADC" w:rsidRPr="008E6054" w:rsidRDefault="00F11ADC" w:rsidP="000E7226">
            <w:pPr>
              <w:pStyle w:val="Tabletext"/>
              <w:rPr>
                <w:rFonts w:eastAsia="MS Mincho"/>
              </w:rPr>
            </w:pPr>
            <w:r w:rsidRPr="008E6054">
              <w:rPr>
                <w:rFonts w:eastAsia="MS Mincho"/>
              </w:rPr>
              <w:t xml:space="preserve">Antenna </w:t>
            </w:r>
            <w:r w:rsidRPr="008E6054">
              <w:rPr>
                <w:rFonts w:eastAsia="MS Mincho"/>
                <w:lang w:eastAsia="ja-JP"/>
              </w:rPr>
              <w:t xml:space="preserve">pattern </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Global beam</w:t>
            </w:r>
          </w:p>
        </w:tc>
      </w:tr>
      <w:tr w:rsidR="00F11ADC" w:rsidRPr="008E6054" w:rsidTr="00854349">
        <w:trPr>
          <w:jc w:val="center"/>
        </w:trPr>
        <w:tc>
          <w:tcPr>
            <w:tcW w:w="5103" w:type="dxa"/>
          </w:tcPr>
          <w:p w:rsidR="00F11ADC" w:rsidRPr="008E6054" w:rsidRDefault="00F11ADC" w:rsidP="000E7226">
            <w:pPr>
              <w:pStyle w:val="Tabletext"/>
              <w:rPr>
                <w:rFonts w:eastAsia="MS Mincho"/>
                <w:lang w:eastAsia="ja-JP"/>
              </w:rPr>
            </w:pPr>
            <w:r w:rsidRPr="008E6054">
              <w:rPr>
                <w:rFonts w:eastAsia="MS Mincho"/>
                <w:lang w:eastAsia="ja-JP"/>
              </w:rPr>
              <w:t>Necessary bandwidth (kHz)</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400</w:t>
            </w:r>
          </w:p>
        </w:tc>
      </w:tr>
      <w:tr w:rsidR="00F11ADC" w:rsidRPr="008E6054" w:rsidTr="00854349">
        <w:trPr>
          <w:jc w:val="center"/>
        </w:trPr>
        <w:tc>
          <w:tcPr>
            <w:tcW w:w="5103" w:type="dxa"/>
          </w:tcPr>
          <w:p w:rsidR="00F11ADC" w:rsidRPr="008E6054" w:rsidRDefault="00F11ADC" w:rsidP="000E7226">
            <w:pPr>
              <w:pStyle w:val="Tabletext"/>
              <w:rPr>
                <w:rFonts w:eastAsia="MS Mincho"/>
                <w:lang w:eastAsia="ja-JP"/>
              </w:rPr>
            </w:pPr>
            <w:r w:rsidRPr="008E6054">
              <w:rPr>
                <w:rFonts w:eastAsia="MS Mincho"/>
                <w:lang w:eastAsia="ja-JP"/>
              </w:rPr>
              <w:t>Noise temperature (K)</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400</w:t>
            </w:r>
          </w:p>
        </w:tc>
      </w:tr>
      <w:tr w:rsidR="00F11ADC" w:rsidRPr="00AA3EF6" w:rsidTr="00854349">
        <w:trPr>
          <w:jc w:val="center"/>
        </w:trPr>
        <w:tc>
          <w:tcPr>
            <w:tcW w:w="5103" w:type="dxa"/>
          </w:tcPr>
          <w:p w:rsidR="00F11ADC" w:rsidRPr="008E6054" w:rsidRDefault="00F11ADC" w:rsidP="000E7226">
            <w:pPr>
              <w:pStyle w:val="Tabletext"/>
              <w:rPr>
                <w:rFonts w:eastAsia="MS Mincho"/>
              </w:rPr>
            </w:pPr>
            <w:r w:rsidRPr="008E6054">
              <w:rPr>
                <w:rFonts w:eastAsia="MS Mincho"/>
              </w:rPr>
              <w:t>Satellite g</w:t>
            </w:r>
            <w:r w:rsidRPr="008E6054">
              <w:rPr>
                <w:rFonts w:eastAsia="MS Mincho"/>
                <w:lang w:eastAsia="ja-JP"/>
              </w:rPr>
              <w:t xml:space="preserve">ain </w:t>
            </w:r>
            <w:r w:rsidRPr="008E6054">
              <w:rPr>
                <w:rFonts w:eastAsia="MS Mincho"/>
              </w:rPr>
              <w:t>(dB</w:t>
            </w:r>
            <w:r w:rsidRPr="008E6054">
              <w:rPr>
                <w:rFonts w:eastAsia="MS Mincho"/>
                <w:lang w:eastAsia="ja-JP"/>
              </w:rPr>
              <w:t>i</w:t>
            </w:r>
            <w:r w:rsidRPr="008E6054">
              <w:rPr>
                <w:rFonts w:eastAsia="MS Mincho"/>
              </w:rPr>
              <w:t>)</w:t>
            </w:r>
          </w:p>
        </w:tc>
        <w:tc>
          <w:tcPr>
            <w:tcW w:w="3969" w:type="dxa"/>
          </w:tcPr>
          <w:p w:rsidR="00F11ADC" w:rsidRPr="00F11ADC" w:rsidRDefault="00F11ADC" w:rsidP="000E7226">
            <w:pPr>
              <w:pStyle w:val="Tabletext"/>
              <w:jc w:val="center"/>
              <w:rPr>
                <w:rFonts w:eastAsia="MS Mincho"/>
                <w:lang w:val="en-US" w:eastAsia="ja-JP"/>
              </w:rPr>
            </w:pPr>
            <w:r w:rsidRPr="00F11ADC">
              <w:rPr>
                <w:rFonts w:eastAsia="MS Mincho"/>
                <w:lang w:val="en-US" w:eastAsia="ja-JP"/>
              </w:rPr>
              <w:t>Maximum: 16.8</w:t>
            </w:r>
            <w:r w:rsidRPr="00F11ADC">
              <w:rPr>
                <w:rFonts w:eastAsia="MS Mincho"/>
                <w:lang w:val="en-US" w:eastAsia="ja-JP"/>
              </w:rPr>
              <w:br/>
              <w:t>Minimum: 8.0</w:t>
            </w:r>
            <w:r w:rsidRPr="00F11ADC">
              <w:rPr>
                <w:rFonts w:eastAsia="MS Mincho"/>
                <w:lang w:val="en-US" w:eastAsia="ja-JP"/>
              </w:rPr>
              <w:br/>
              <w:t>(including feeder loss)</w:t>
            </w:r>
          </w:p>
        </w:tc>
      </w:tr>
      <w:tr w:rsidR="00F11ADC" w:rsidRPr="008E6054" w:rsidTr="00854349">
        <w:trPr>
          <w:jc w:val="center"/>
        </w:trPr>
        <w:tc>
          <w:tcPr>
            <w:tcW w:w="5103" w:type="dxa"/>
          </w:tcPr>
          <w:p w:rsidR="00F11ADC" w:rsidRPr="008E6054" w:rsidRDefault="00F11ADC" w:rsidP="000E7226">
            <w:pPr>
              <w:pStyle w:val="Tabletext"/>
              <w:rPr>
                <w:rFonts w:eastAsia="MS Mincho"/>
                <w:lang w:eastAsia="ja-JP"/>
              </w:rPr>
            </w:pPr>
            <w:r w:rsidRPr="008E6054">
              <w:rPr>
                <w:rFonts w:eastAsia="MS Mincho"/>
                <w:lang w:eastAsia="ja-JP"/>
              </w:rPr>
              <w:t>Minimum satellite altitude (km)</w:t>
            </w:r>
          </w:p>
        </w:tc>
        <w:tc>
          <w:tcPr>
            <w:tcW w:w="3969" w:type="dxa"/>
          </w:tcPr>
          <w:p w:rsidR="00F11ADC" w:rsidRPr="008E6054" w:rsidRDefault="00F11ADC" w:rsidP="000E7226">
            <w:pPr>
              <w:pStyle w:val="Tabletext"/>
              <w:jc w:val="center"/>
              <w:rPr>
                <w:rFonts w:eastAsia="MS Mincho"/>
                <w:lang w:eastAsia="ja-JP"/>
              </w:rPr>
            </w:pPr>
            <w:r w:rsidRPr="008E6054">
              <w:rPr>
                <w:rFonts w:eastAsia="MS Mincho"/>
                <w:lang w:eastAsia="ja-JP"/>
              </w:rPr>
              <w:t>31 600</w:t>
            </w:r>
          </w:p>
        </w:tc>
      </w:tr>
      <w:tr w:rsidR="00F11ADC" w:rsidRPr="00AA3EF6" w:rsidTr="00854349">
        <w:trPr>
          <w:jc w:val="center"/>
        </w:trPr>
        <w:tc>
          <w:tcPr>
            <w:tcW w:w="3969" w:type="dxa"/>
            <w:gridSpan w:val="2"/>
            <w:tcBorders>
              <w:left w:val="nil"/>
              <w:bottom w:val="nil"/>
              <w:right w:val="nil"/>
            </w:tcBorders>
          </w:tcPr>
          <w:p w:rsidR="00F11ADC" w:rsidRPr="00F11ADC" w:rsidRDefault="00F11ADC" w:rsidP="00854349">
            <w:pPr>
              <w:pStyle w:val="TableLegendNote"/>
              <w:rPr>
                <w:rFonts w:eastAsia="MS Mincho"/>
                <w:lang w:eastAsia="ja-JP"/>
              </w:rPr>
            </w:pPr>
            <w:r w:rsidRPr="00F11ADC">
              <w:rPr>
                <w:rFonts w:eastAsia="MS Mincho"/>
                <w:lang w:eastAsia="ja-JP"/>
              </w:rPr>
              <w:t>NOTE</w:t>
            </w:r>
            <w:r w:rsidR="00854349">
              <w:rPr>
                <w:rFonts w:eastAsia="MS Mincho"/>
                <w:lang w:eastAsia="ja-JP"/>
              </w:rPr>
              <w:t> </w:t>
            </w:r>
            <w:r w:rsidRPr="00F11ADC">
              <w:rPr>
                <w:rFonts w:eastAsia="MS Mincho"/>
                <w:lang w:eastAsia="ja-JP"/>
              </w:rPr>
              <w:t>−</w:t>
            </w:r>
            <w:r w:rsidR="00854349">
              <w:rPr>
                <w:rFonts w:eastAsia="MS Mincho"/>
                <w:lang w:eastAsia="ja-JP"/>
              </w:rPr>
              <w:t> </w:t>
            </w:r>
            <w:r w:rsidRPr="00F11ADC">
              <w:rPr>
                <w:lang w:eastAsia="ja-JP"/>
              </w:rPr>
              <w:t>Tables 3-1 and 3-2</w:t>
            </w:r>
            <w:r w:rsidRPr="00F11ADC">
              <w:rPr>
                <w:rFonts w:eastAsia="MS Mincho"/>
                <w:lang w:eastAsia="ja-JP"/>
              </w:rPr>
              <w:t xml:space="preserve"> </w:t>
            </w:r>
            <w:r w:rsidRPr="00F11ADC">
              <w:rPr>
                <w:lang w:eastAsia="ja-JP"/>
              </w:rPr>
              <w:t>only contain the characteristics of the QZSS command and navigation upload links. The paragraph preceding Table 3</w:t>
            </w:r>
            <w:r w:rsidRPr="00F11ADC">
              <w:rPr>
                <w:lang w:eastAsia="ja-JP"/>
              </w:rPr>
              <w:noBreakHyphen/>
              <w:t>1 should be referenced regarding the characteristics and protection criteria of the QZSS ranging link.</w:t>
            </w:r>
          </w:p>
        </w:tc>
      </w:tr>
    </w:tbl>
    <w:p w:rsidR="00F11ADC" w:rsidRPr="00F11ADC" w:rsidRDefault="00F11ADC" w:rsidP="00F11ADC">
      <w:pPr>
        <w:pStyle w:val="Tablefin"/>
        <w:rPr>
          <w:lang w:val="en-US"/>
        </w:rPr>
      </w:pPr>
    </w:p>
    <w:p w:rsidR="00F11ADC" w:rsidRDefault="00F11ADC" w:rsidP="00F11ADC">
      <w:pPr>
        <w:rPr>
          <w:lang w:val="en-US"/>
        </w:rPr>
      </w:pPr>
    </w:p>
    <w:p w:rsidR="00F11ADC" w:rsidRDefault="00F11ADC" w:rsidP="00F11ADC">
      <w:pPr>
        <w:rPr>
          <w:lang w:val="en-US"/>
        </w:rPr>
      </w:pPr>
    </w:p>
    <w:p w:rsidR="00F11ADC" w:rsidRPr="00F11ADC" w:rsidRDefault="00F11ADC" w:rsidP="00F11ADC">
      <w:pPr>
        <w:pStyle w:val="Line"/>
      </w:pPr>
    </w:p>
    <w:sectPr w:rsidR="00F11ADC" w:rsidRPr="00F11ADC"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3F5" w:rsidRDefault="006003F5">
      <w:r>
        <w:separator/>
      </w:r>
    </w:p>
  </w:endnote>
  <w:endnote w:type="continuationSeparator" w:id="0">
    <w:p w:rsidR="006003F5" w:rsidRDefault="0060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3F5" w:rsidRDefault="006003F5">
      <w:r>
        <w:separator/>
      </w:r>
    </w:p>
  </w:footnote>
  <w:footnote w:type="continuationSeparator" w:id="0">
    <w:p w:rsidR="006003F5" w:rsidRDefault="006003F5">
      <w:r>
        <w:continuationSeparator/>
      </w:r>
    </w:p>
  </w:footnote>
  <w:footnote w:id="1">
    <w:p w:rsidR="00D34D30" w:rsidRPr="00D34D30" w:rsidRDefault="00D34D30">
      <w:pPr>
        <w:pStyle w:val="FootnoteText"/>
        <w:rPr>
          <w:lang w:val="en-US"/>
        </w:rPr>
      </w:pPr>
      <w:r>
        <w:rPr>
          <w:rStyle w:val="FootnoteReference"/>
        </w:rPr>
        <w:footnoteRef/>
      </w:r>
      <w:r w:rsidRPr="00D34D30">
        <w:rPr>
          <w:lang w:val="en-US"/>
        </w:rPr>
        <w:tab/>
        <w:t>This Recommendation should be brought to the attention of ITU-R Study G</w:t>
      </w:r>
      <w:r w:rsidR="00BD381F">
        <w:rPr>
          <w:lang w:val="en-US"/>
        </w:rPr>
        <w:t>r</w:t>
      </w:r>
      <w:bookmarkStart w:id="3" w:name="_GoBack"/>
      <w:bookmarkEnd w:id="3"/>
      <w:r w:rsidRPr="00D34D30">
        <w:rPr>
          <w:lang w:val="en-US"/>
        </w:rPr>
        <w:t>oup 5 and the International Civil Aviation Organization (ICAO).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1D7190" w:rsidP="00B033C8">
    <w:pPr>
      <w:pStyle w:val="Header"/>
      <w:ind w:right="360" w:firstLine="360"/>
    </w:pPr>
    <w:r>
      <w:rPr>
        <w:noProof/>
        <w:lang w:val="en-US" w:eastAsia="zh-CN"/>
      </w:rPr>
      <w:drawing>
        <wp:anchor distT="0" distB="0" distL="114300" distR="114300" simplePos="0" relativeHeight="251657728" behindDoc="1" locked="0" layoutInCell="1" allowOverlap="1" wp14:anchorId="0E4D9603" wp14:editId="5180985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Pr="00FC42AF" w:rsidRDefault="00291F7A">
    <w:pPr>
      <w:pStyle w:val="Header"/>
      <w:jc w:val="left"/>
    </w:pPr>
    <w:r>
      <w:rPr>
        <w:rStyle w:val="PageNumber"/>
        <w:b/>
        <w:bCs/>
      </w:rPr>
      <w:fldChar w:fldCharType="begin"/>
    </w:r>
    <w:r w:rsidR="00470FEC" w:rsidRPr="00FC42AF">
      <w:rPr>
        <w:rStyle w:val="PageNumber"/>
        <w:b/>
        <w:bCs/>
      </w:rPr>
      <w:instrText xml:space="preserve"> PAGE </w:instrText>
    </w:r>
    <w:r>
      <w:rPr>
        <w:rStyle w:val="PageNumber"/>
        <w:b/>
        <w:bCs/>
      </w:rPr>
      <w:fldChar w:fldCharType="separate"/>
    </w:r>
    <w:r w:rsidR="00BD381F">
      <w:rPr>
        <w:rStyle w:val="PageNumber"/>
        <w:b/>
        <w:bCs/>
        <w:noProof/>
      </w:rPr>
      <w:t>2</w:t>
    </w:r>
    <w:r>
      <w:rPr>
        <w:rStyle w:val="PageNumber"/>
        <w:b/>
        <w:bCs/>
      </w:rPr>
      <w:fldChar w:fldCharType="end"/>
    </w:r>
    <w:r w:rsidR="00470FEC" w:rsidRPr="00FC42AF">
      <w:tab/>
    </w:r>
    <w:fldSimple w:instr=" DOCPROPERTY &quot;Header&quot; \* MERGEFORMAT ">
      <w:r w:rsidR="00F9053C" w:rsidRPr="00F9053C">
        <w:rPr>
          <w:b/>
          <w:bCs/>
        </w:rPr>
        <w:t xml:space="preserve">Rec. </w:t>
      </w:r>
    </w:fldSimple>
    <w:r w:rsidR="00470FEC">
      <w:rPr>
        <w:b/>
        <w:bCs/>
      </w:rPr>
      <w:t xml:space="preserve"> </w:t>
    </w:r>
    <w:r>
      <w:rPr>
        <w:b/>
        <w:bCs/>
      </w:rPr>
      <w:fldChar w:fldCharType="begin"/>
    </w:r>
    <w:r w:rsidR="00470FEC" w:rsidRPr="00FC42AF">
      <w:rPr>
        <w:b/>
        <w:bCs/>
      </w:rPr>
      <w:instrText>styleref href</w:instrText>
    </w:r>
    <w:r>
      <w:rPr>
        <w:b/>
        <w:bCs/>
      </w:rPr>
      <w:fldChar w:fldCharType="separate"/>
    </w:r>
    <w:r w:rsidR="00BD381F">
      <w:rPr>
        <w:b/>
        <w:bCs/>
        <w:noProof/>
      </w:rPr>
      <w:t>ITU-R  M.1906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FEC" w:rsidRDefault="00470FEC">
    <w:pPr>
      <w:pStyle w:val="Header"/>
    </w:pPr>
    <w:r>
      <w:tab/>
    </w:r>
    <w:fldSimple w:instr=" DOCPROPERTY &quot;Header&quot; \* MERGEFORMAT ">
      <w:r w:rsidR="00F9053C" w:rsidRPr="00F9053C">
        <w:rPr>
          <w:b/>
          <w:bCs/>
        </w:rPr>
        <w:t xml:space="preserve">Rec. </w:t>
      </w:r>
    </w:fldSimple>
    <w:r>
      <w:rPr>
        <w:b/>
        <w:bCs/>
      </w:rPr>
      <w:t xml:space="preserve"> </w:t>
    </w:r>
    <w:r w:rsidR="00291F7A">
      <w:rPr>
        <w:b/>
        <w:bCs/>
      </w:rPr>
      <w:fldChar w:fldCharType="begin"/>
    </w:r>
    <w:r>
      <w:rPr>
        <w:b/>
        <w:bCs/>
      </w:rPr>
      <w:instrText>styleref href</w:instrText>
    </w:r>
    <w:r w:rsidR="00291F7A">
      <w:rPr>
        <w:b/>
        <w:bCs/>
      </w:rPr>
      <w:fldChar w:fldCharType="separate"/>
    </w:r>
    <w:r w:rsidR="00BD381F">
      <w:rPr>
        <w:b/>
        <w:bCs/>
        <w:noProof/>
      </w:rPr>
      <w:t>ITU-R  M.1906</w:t>
    </w:r>
    <w:r w:rsidR="00291F7A">
      <w:rPr>
        <w:b/>
        <w:bCs/>
      </w:rPr>
      <w:fldChar w:fldCharType="end"/>
    </w:r>
    <w:r>
      <w:tab/>
    </w:r>
    <w:r w:rsidR="00291F7A">
      <w:rPr>
        <w:rStyle w:val="PageNumber"/>
        <w:b/>
        <w:bCs/>
      </w:rPr>
      <w:fldChar w:fldCharType="begin"/>
    </w:r>
    <w:r>
      <w:rPr>
        <w:rStyle w:val="PageNumber"/>
        <w:b/>
        <w:bCs/>
      </w:rPr>
      <w:instrText xml:space="preserve"> PAGE </w:instrText>
    </w:r>
    <w:r w:rsidR="00291F7A">
      <w:rPr>
        <w:rStyle w:val="PageNumber"/>
        <w:b/>
        <w:bCs/>
      </w:rPr>
      <w:fldChar w:fldCharType="separate"/>
    </w:r>
    <w:r w:rsidR="00BD381F">
      <w:rPr>
        <w:rStyle w:val="PageNumber"/>
        <w:b/>
        <w:bCs/>
        <w:noProof/>
      </w:rPr>
      <w:t>1</w:t>
    </w:r>
    <w:r w:rsidR="00291F7A">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47110"/>
    <w:rsid w:val="001511A6"/>
    <w:rsid w:val="001D7190"/>
    <w:rsid w:val="001F2AFD"/>
    <w:rsid w:val="002058CE"/>
    <w:rsid w:val="002165F1"/>
    <w:rsid w:val="002572B3"/>
    <w:rsid w:val="00276D21"/>
    <w:rsid w:val="00291F7A"/>
    <w:rsid w:val="00296D7F"/>
    <w:rsid w:val="002A74CE"/>
    <w:rsid w:val="002B3CF6"/>
    <w:rsid w:val="002C768A"/>
    <w:rsid w:val="002D76C4"/>
    <w:rsid w:val="002F06BF"/>
    <w:rsid w:val="002F5199"/>
    <w:rsid w:val="00333892"/>
    <w:rsid w:val="00356B5D"/>
    <w:rsid w:val="0041667C"/>
    <w:rsid w:val="00420DFD"/>
    <w:rsid w:val="00437A76"/>
    <w:rsid w:val="00470E28"/>
    <w:rsid w:val="00470FEC"/>
    <w:rsid w:val="004934C5"/>
    <w:rsid w:val="004F65E4"/>
    <w:rsid w:val="00554C61"/>
    <w:rsid w:val="00556548"/>
    <w:rsid w:val="00586EF8"/>
    <w:rsid w:val="005B49AB"/>
    <w:rsid w:val="005B50E7"/>
    <w:rsid w:val="005D0454"/>
    <w:rsid w:val="005E7B4F"/>
    <w:rsid w:val="006003F5"/>
    <w:rsid w:val="00601882"/>
    <w:rsid w:val="00607D68"/>
    <w:rsid w:val="00613212"/>
    <w:rsid w:val="006149B1"/>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8310C9"/>
    <w:rsid w:val="00853CC5"/>
    <w:rsid w:val="00854349"/>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71A1"/>
    <w:rsid w:val="00AA3AD8"/>
    <w:rsid w:val="00AA3EF6"/>
    <w:rsid w:val="00AB0DC8"/>
    <w:rsid w:val="00B033C8"/>
    <w:rsid w:val="00B33425"/>
    <w:rsid w:val="00B44E24"/>
    <w:rsid w:val="00B53EBC"/>
    <w:rsid w:val="00B54ECC"/>
    <w:rsid w:val="00B714F3"/>
    <w:rsid w:val="00B87B6B"/>
    <w:rsid w:val="00BC5D77"/>
    <w:rsid w:val="00BD381F"/>
    <w:rsid w:val="00BE262F"/>
    <w:rsid w:val="00BF487A"/>
    <w:rsid w:val="00C44EEB"/>
    <w:rsid w:val="00C46BD9"/>
    <w:rsid w:val="00C55258"/>
    <w:rsid w:val="00C73560"/>
    <w:rsid w:val="00CA7D0E"/>
    <w:rsid w:val="00CB0F14"/>
    <w:rsid w:val="00CD659B"/>
    <w:rsid w:val="00CE0A43"/>
    <w:rsid w:val="00D34D30"/>
    <w:rsid w:val="00D83556"/>
    <w:rsid w:val="00DC4005"/>
    <w:rsid w:val="00DF4176"/>
    <w:rsid w:val="00E17240"/>
    <w:rsid w:val="00E406BD"/>
    <w:rsid w:val="00E74595"/>
    <w:rsid w:val="00EB786E"/>
    <w:rsid w:val="00EB7C57"/>
    <w:rsid w:val="00ED2695"/>
    <w:rsid w:val="00F11ADC"/>
    <w:rsid w:val="00F30C9B"/>
    <w:rsid w:val="00F354B1"/>
    <w:rsid w:val="00F9053C"/>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1740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A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F2AFD"/>
    <w:pPr>
      <w:keepNext/>
      <w:keepLines/>
      <w:spacing w:before="480"/>
      <w:ind w:left="794" w:hanging="794"/>
      <w:outlineLvl w:val="0"/>
    </w:pPr>
    <w:rPr>
      <w:b/>
    </w:rPr>
  </w:style>
  <w:style w:type="paragraph" w:styleId="Heading2">
    <w:name w:val="heading 2"/>
    <w:basedOn w:val="Heading1"/>
    <w:next w:val="Normal"/>
    <w:qFormat/>
    <w:rsid w:val="001F2AFD"/>
    <w:pPr>
      <w:spacing w:before="320"/>
      <w:outlineLvl w:val="1"/>
    </w:pPr>
  </w:style>
  <w:style w:type="paragraph" w:styleId="Heading3">
    <w:name w:val="heading 3"/>
    <w:basedOn w:val="Heading1"/>
    <w:next w:val="Normal"/>
    <w:qFormat/>
    <w:rsid w:val="001F2AFD"/>
    <w:pPr>
      <w:spacing w:before="200"/>
      <w:outlineLvl w:val="2"/>
    </w:pPr>
  </w:style>
  <w:style w:type="paragraph" w:styleId="Heading4">
    <w:name w:val="heading 4"/>
    <w:basedOn w:val="Heading3"/>
    <w:next w:val="Normal"/>
    <w:qFormat/>
    <w:rsid w:val="001F2AFD"/>
    <w:pPr>
      <w:tabs>
        <w:tab w:val="clear" w:pos="794"/>
        <w:tab w:val="left" w:pos="992"/>
      </w:tabs>
      <w:ind w:left="992" w:hanging="992"/>
      <w:outlineLvl w:val="3"/>
    </w:pPr>
  </w:style>
  <w:style w:type="paragraph" w:styleId="Heading5">
    <w:name w:val="heading 5"/>
    <w:basedOn w:val="Heading4"/>
    <w:next w:val="Normal"/>
    <w:qFormat/>
    <w:rsid w:val="001F2AFD"/>
    <w:pPr>
      <w:outlineLvl w:val="4"/>
    </w:pPr>
  </w:style>
  <w:style w:type="paragraph" w:styleId="Heading6">
    <w:name w:val="heading 6"/>
    <w:basedOn w:val="Heading4"/>
    <w:next w:val="Normal"/>
    <w:qFormat/>
    <w:rsid w:val="001F2AFD"/>
    <w:pPr>
      <w:tabs>
        <w:tab w:val="clear" w:pos="992"/>
        <w:tab w:val="clear" w:pos="1191"/>
      </w:tabs>
      <w:ind w:left="1588" w:hanging="1588"/>
      <w:outlineLvl w:val="5"/>
    </w:pPr>
  </w:style>
  <w:style w:type="paragraph" w:styleId="Heading7">
    <w:name w:val="heading 7"/>
    <w:basedOn w:val="Heading6"/>
    <w:next w:val="Normal"/>
    <w:qFormat/>
    <w:rsid w:val="001F2AFD"/>
    <w:pPr>
      <w:outlineLvl w:val="6"/>
    </w:pPr>
  </w:style>
  <w:style w:type="paragraph" w:styleId="Heading8">
    <w:name w:val="heading 8"/>
    <w:basedOn w:val="Heading6"/>
    <w:next w:val="Normal"/>
    <w:qFormat/>
    <w:rsid w:val="001F2AFD"/>
    <w:pPr>
      <w:outlineLvl w:val="7"/>
    </w:pPr>
  </w:style>
  <w:style w:type="paragraph" w:styleId="Heading9">
    <w:name w:val="heading 9"/>
    <w:basedOn w:val="Heading6"/>
    <w:next w:val="Normal"/>
    <w:qFormat/>
    <w:rsid w:val="001F2AF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2AF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F2AF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F2AFD"/>
  </w:style>
  <w:style w:type="paragraph" w:customStyle="1" w:styleId="Headingb">
    <w:name w:val="Heading_b"/>
    <w:basedOn w:val="Heading3"/>
    <w:next w:val="Normal"/>
    <w:rsid w:val="001F2AFD"/>
    <w:pPr>
      <w:spacing w:before="160"/>
      <w:ind w:left="0" w:firstLine="0"/>
      <w:outlineLvl w:val="9"/>
    </w:pPr>
  </w:style>
  <w:style w:type="paragraph" w:customStyle="1" w:styleId="Headingi">
    <w:name w:val="Heading_i"/>
    <w:basedOn w:val="Heading3"/>
    <w:next w:val="Normal"/>
    <w:rsid w:val="001F2AFD"/>
    <w:pPr>
      <w:spacing w:before="160"/>
      <w:ind w:left="0" w:firstLine="0"/>
    </w:pPr>
    <w:rPr>
      <w:b w:val="0"/>
      <w:i/>
    </w:rPr>
  </w:style>
  <w:style w:type="character" w:customStyle="1" w:styleId="href">
    <w:name w:val="href"/>
    <w:basedOn w:val="DefaultParagraphFont"/>
    <w:rsid w:val="001F2AFD"/>
  </w:style>
  <w:style w:type="paragraph" w:customStyle="1" w:styleId="AnnexNoTitle">
    <w:name w:val="Annex_NoTitle"/>
    <w:basedOn w:val="Normal"/>
    <w:next w:val="Normalaftertitle"/>
    <w:rsid w:val="001F2AFD"/>
    <w:pPr>
      <w:keepNext/>
      <w:keepLines/>
      <w:spacing w:before="480" w:after="80"/>
      <w:jc w:val="center"/>
    </w:pPr>
    <w:rPr>
      <w:b/>
      <w:sz w:val="28"/>
    </w:rPr>
  </w:style>
  <w:style w:type="paragraph" w:customStyle="1" w:styleId="Normalaftertitle">
    <w:name w:val="Normal_after_title"/>
    <w:basedOn w:val="Normal"/>
    <w:next w:val="Normal"/>
    <w:rsid w:val="001F2AFD"/>
    <w:pPr>
      <w:spacing w:before="320"/>
    </w:pPr>
  </w:style>
  <w:style w:type="paragraph" w:customStyle="1" w:styleId="enumlev2">
    <w:name w:val="enumlev2"/>
    <w:basedOn w:val="enumlev1"/>
    <w:rsid w:val="001F2AFD"/>
    <w:pPr>
      <w:ind w:left="1191" w:hanging="397"/>
    </w:pPr>
  </w:style>
  <w:style w:type="paragraph" w:customStyle="1" w:styleId="enumlev1">
    <w:name w:val="enumlev1"/>
    <w:basedOn w:val="Normal"/>
    <w:rsid w:val="001F2AFD"/>
    <w:pPr>
      <w:spacing w:before="80"/>
      <w:ind w:left="794" w:hanging="794"/>
    </w:pPr>
  </w:style>
  <w:style w:type="paragraph" w:customStyle="1" w:styleId="enumlev3">
    <w:name w:val="enumlev3"/>
    <w:basedOn w:val="enumlev2"/>
    <w:rsid w:val="001F2AFD"/>
    <w:pPr>
      <w:ind w:left="1588"/>
    </w:pPr>
  </w:style>
  <w:style w:type="paragraph" w:customStyle="1" w:styleId="Note">
    <w:name w:val="Note"/>
    <w:basedOn w:val="Normal"/>
    <w:rsid w:val="001F2AF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F2AF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F2AFD"/>
    <w:pPr>
      <w:keepNext/>
      <w:keepLines/>
      <w:spacing w:before="240"/>
      <w:jc w:val="center"/>
    </w:pPr>
    <w:rPr>
      <w:b/>
      <w:sz w:val="28"/>
    </w:rPr>
  </w:style>
  <w:style w:type="paragraph" w:customStyle="1" w:styleId="Recref">
    <w:name w:val="Rec_ref"/>
    <w:basedOn w:val="Normal"/>
    <w:next w:val="Recdate"/>
    <w:rsid w:val="001F2AFD"/>
    <w:pPr>
      <w:jc w:val="center"/>
    </w:pPr>
  </w:style>
  <w:style w:type="paragraph" w:customStyle="1" w:styleId="Recdate">
    <w:name w:val="Rec_date"/>
    <w:basedOn w:val="Recref"/>
    <w:next w:val="Normalaftertitle"/>
    <w:rsid w:val="001F2AFD"/>
    <w:pPr>
      <w:jc w:val="right"/>
    </w:pPr>
  </w:style>
  <w:style w:type="paragraph" w:customStyle="1" w:styleId="HeadingSum">
    <w:name w:val="Heading_Sum"/>
    <w:basedOn w:val="Headingb"/>
    <w:next w:val="Normal"/>
    <w:autoRedefine/>
    <w:rsid w:val="001F2AFD"/>
    <w:pPr>
      <w:spacing w:before="240"/>
    </w:pPr>
    <w:rPr>
      <w:sz w:val="22"/>
      <w:lang w:val="es-ES_tradnl"/>
    </w:rPr>
  </w:style>
  <w:style w:type="paragraph" w:customStyle="1" w:styleId="AppendixNoTitle">
    <w:name w:val="Appendix_NoTitle"/>
    <w:basedOn w:val="AnnexNoTitle"/>
    <w:next w:val="Normal"/>
    <w:rsid w:val="001F2AFD"/>
  </w:style>
  <w:style w:type="paragraph" w:customStyle="1" w:styleId="Tablefin">
    <w:name w:val="Table_fin"/>
    <w:basedOn w:val="Normal"/>
    <w:next w:val="Normal"/>
    <w:rsid w:val="001F2AFD"/>
    <w:pPr>
      <w:spacing w:before="0"/>
    </w:pPr>
    <w:rPr>
      <w:sz w:val="20"/>
      <w:lang w:val="en-GB"/>
    </w:rPr>
  </w:style>
  <w:style w:type="paragraph" w:customStyle="1" w:styleId="Tablehead">
    <w:name w:val="Table_head"/>
    <w:basedOn w:val="Normal"/>
    <w:next w:val="Normal"/>
    <w:rsid w:val="001F2A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F2A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F2AFD"/>
    <w:pPr>
      <w:keepNext/>
      <w:spacing w:before="360" w:after="120"/>
      <w:jc w:val="center"/>
    </w:pPr>
  </w:style>
  <w:style w:type="paragraph" w:customStyle="1" w:styleId="Tabletext">
    <w:name w:val="Table_text"/>
    <w:basedOn w:val="Normal"/>
    <w:rsid w:val="001F2A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F2AFD"/>
    <w:pPr>
      <w:tabs>
        <w:tab w:val="clear" w:pos="1191"/>
        <w:tab w:val="clear" w:pos="1588"/>
        <w:tab w:val="clear" w:pos="1985"/>
        <w:tab w:val="center" w:pos="4820"/>
        <w:tab w:val="right" w:pos="9639"/>
      </w:tabs>
    </w:pPr>
  </w:style>
  <w:style w:type="paragraph" w:customStyle="1" w:styleId="Equationlegend">
    <w:name w:val="Equation_legend"/>
    <w:basedOn w:val="NormalIndent"/>
    <w:rsid w:val="001F2AF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2AFD"/>
    <w:pPr>
      <w:ind w:left="794"/>
    </w:pPr>
  </w:style>
  <w:style w:type="paragraph" w:customStyle="1" w:styleId="Figurelegend">
    <w:name w:val="Figure_legend"/>
    <w:basedOn w:val="Normal"/>
    <w:rsid w:val="001F2AF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F2AFD"/>
    <w:pPr>
      <w:keepNext/>
      <w:keepLines/>
      <w:spacing w:before="480" w:after="80"/>
      <w:jc w:val="center"/>
    </w:pPr>
    <w:rPr>
      <w:caps/>
      <w:sz w:val="18"/>
    </w:rPr>
  </w:style>
  <w:style w:type="paragraph" w:customStyle="1" w:styleId="Figuretitle">
    <w:name w:val="Figure_title"/>
    <w:basedOn w:val="Normal"/>
    <w:next w:val="Figure"/>
    <w:rsid w:val="001F2AFD"/>
    <w:pPr>
      <w:keepNext/>
      <w:spacing w:before="0" w:after="120"/>
      <w:jc w:val="center"/>
    </w:pPr>
    <w:rPr>
      <w:rFonts w:ascii="Times New Roman Bold" w:hAnsi="Times New Roman Bold"/>
      <w:b/>
      <w:sz w:val="18"/>
    </w:rPr>
  </w:style>
  <w:style w:type="paragraph" w:customStyle="1" w:styleId="Figure">
    <w:name w:val="Figure"/>
    <w:basedOn w:val="FigureNo"/>
    <w:next w:val="Normal"/>
    <w:rsid w:val="001F2AFD"/>
    <w:pPr>
      <w:keepNext w:val="0"/>
      <w:spacing w:before="0" w:after="240"/>
    </w:pPr>
  </w:style>
  <w:style w:type="paragraph" w:customStyle="1" w:styleId="tocpart">
    <w:name w:val="tocpart"/>
    <w:basedOn w:val="Normal"/>
    <w:rsid w:val="001F2AF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2AFD"/>
    <w:pPr>
      <w:keepNext/>
      <w:keepLines/>
      <w:spacing w:before="480"/>
      <w:jc w:val="center"/>
    </w:pPr>
    <w:rPr>
      <w:sz w:val="28"/>
    </w:rPr>
  </w:style>
  <w:style w:type="paragraph" w:customStyle="1" w:styleId="Arttitle">
    <w:name w:val="Art_title"/>
    <w:basedOn w:val="Normal"/>
    <w:next w:val="Normalaftertitle"/>
    <w:rsid w:val="001F2AFD"/>
    <w:pPr>
      <w:keepNext/>
      <w:keepLines/>
      <w:spacing w:before="240"/>
      <w:jc w:val="center"/>
    </w:pPr>
    <w:rPr>
      <w:b/>
      <w:sz w:val="28"/>
    </w:rPr>
  </w:style>
  <w:style w:type="paragraph" w:customStyle="1" w:styleId="Blanc">
    <w:name w:val="Blanc"/>
    <w:basedOn w:val="Normal"/>
    <w:next w:val="Tabletext"/>
    <w:rsid w:val="001F2AF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F2AF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F2AFD"/>
    <w:pPr>
      <w:keepNext/>
      <w:keepLines/>
      <w:spacing w:before="160"/>
      <w:ind w:left="794"/>
    </w:pPr>
    <w:rPr>
      <w:i/>
    </w:rPr>
  </w:style>
  <w:style w:type="paragraph" w:customStyle="1" w:styleId="ChapNo">
    <w:name w:val="Chap_No"/>
    <w:basedOn w:val="ArtNo"/>
    <w:next w:val="Chaptitle"/>
    <w:rsid w:val="001F2AFD"/>
    <w:rPr>
      <w:b/>
    </w:rPr>
  </w:style>
  <w:style w:type="paragraph" w:customStyle="1" w:styleId="Chaptitle">
    <w:name w:val="Chap_title"/>
    <w:basedOn w:val="Arttitle"/>
    <w:next w:val="Normalaftertitle"/>
    <w:rsid w:val="001F2AFD"/>
  </w:style>
  <w:style w:type="character" w:styleId="FootnoteReference">
    <w:name w:val="footnote reference"/>
    <w:basedOn w:val="DefaultParagraphFont"/>
    <w:semiHidden/>
    <w:rsid w:val="001F2AFD"/>
    <w:rPr>
      <w:position w:val="6"/>
      <w:sz w:val="18"/>
    </w:rPr>
  </w:style>
  <w:style w:type="paragraph" w:styleId="FootnoteText">
    <w:name w:val="footnote text"/>
    <w:basedOn w:val="Normal"/>
    <w:semiHidden/>
    <w:rsid w:val="001F2AFD"/>
    <w:pPr>
      <w:keepLines/>
      <w:tabs>
        <w:tab w:val="left" w:pos="255"/>
      </w:tabs>
      <w:ind w:left="255" w:hanging="255"/>
    </w:pPr>
    <w:rPr>
      <w:sz w:val="22"/>
    </w:rPr>
  </w:style>
  <w:style w:type="paragraph" w:styleId="Index1">
    <w:name w:val="index 1"/>
    <w:basedOn w:val="Normal"/>
    <w:next w:val="Normal"/>
    <w:semiHidden/>
    <w:rsid w:val="001F2AFD"/>
  </w:style>
  <w:style w:type="paragraph" w:styleId="Index2">
    <w:name w:val="index 2"/>
    <w:basedOn w:val="Normal"/>
    <w:next w:val="Normal"/>
    <w:semiHidden/>
    <w:rsid w:val="001F2AFD"/>
    <w:pPr>
      <w:ind w:left="283"/>
    </w:pPr>
  </w:style>
  <w:style w:type="paragraph" w:styleId="Index3">
    <w:name w:val="index 3"/>
    <w:basedOn w:val="Normal"/>
    <w:next w:val="Normal"/>
    <w:semiHidden/>
    <w:rsid w:val="001F2AFD"/>
    <w:pPr>
      <w:ind w:left="566"/>
    </w:pPr>
  </w:style>
  <w:style w:type="paragraph" w:styleId="IndexHeading">
    <w:name w:val="index heading"/>
    <w:basedOn w:val="Normal"/>
    <w:next w:val="Index1"/>
    <w:semiHidden/>
    <w:rsid w:val="001F2AFD"/>
  </w:style>
  <w:style w:type="paragraph" w:customStyle="1" w:styleId="Line">
    <w:name w:val="Line"/>
    <w:basedOn w:val="Normal"/>
    <w:next w:val="Normal"/>
    <w:rsid w:val="001F2AF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2AF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2AFD"/>
  </w:style>
  <w:style w:type="paragraph" w:customStyle="1" w:styleId="Partref">
    <w:name w:val="Part_ref"/>
    <w:basedOn w:val="Normal"/>
    <w:next w:val="Normal"/>
    <w:rsid w:val="001F2AFD"/>
    <w:pPr>
      <w:keepNext/>
      <w:keepLines/>
      <w:spacing w:after="280"/>
      <w:jc w:val="center"/>
    </w:pPr>
  </w:style>
  <w:style w:type="paragraph" w:customStyle="1" w:styleId="Parttitle">
    <w:name w:val="Part_title"/>
    <w:basedOn w:val="Normal"/>
    <w:next w:val="Normalaftertitle"/>
    <w:rsid w:val="001F2AF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2AFD"/>
  </w:style>
  <w:style w:type="paragraph" w:customStyle="1" w:styleId="QuestionNo">
    <w:name w:val="Question_No"/>
    <w:basedOn w:val="RecNo"/>
    <w:next w:val="Normal"/>
    <w:rsid w:val="001F2AFD"/>
  </w:style>
  <w:style w:type="paragraph" w:customStyle="1" w:styleId="Questionref">
    <w:name w:val="Question_ref"/>
    <w:basedOn w:val="Recref"/>
    <w:next w:val="Questiondate"/>
    <w:rsid w:val="001F2AFD"/>
  </w:style>
  <w:style w:type="paragraph" w:customStyle="1" w:styleId="Questiontitle">
    <w:name w:val="Question_title"/>
    <w:basedOn w:val="Normal"/>
    <w:next w:val="Questionref"/>
    <w:rsid w:val="001F2AFD"/>
  </w:style>
  <w:style w:type="paragraph" w:customStyle="1" w:styleId="Reftext">
    <w:name w:val="Ref_text"/>
    <w:basedOn w:val="Normal"/>
    <w:rsid w:val="001F2AFD"/>
    <w:pPr>
      <w:ind w:left="794" w:hanging="794"/>
    </w:pPr>
    <w:rPr>
      <w:sz w:val="22"/>
    </w:rPr>
  </w:style>
  <w:style w:type="paragraph" w:customStyle="1" w:styleId="Reftitle">
    <w:name w:val="Ref_title"/>
    <w:basedOn w:val="Normal"/>
    <w:next w:val="Reftext"/>
    <w:rsid w:val="001F2AF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2AFD"/>
  </w:style>
  <w:style w:type="paragraph" w:customStyle="1" w:styleId="RepNo">
    <w:name w:val="Rep_No"/>
    <w:basedOn w:val="RecNo"/>
    <w:next w:val="Reptitle"/>
    <w:rsid w:val="001F2AFD"/>
  </w:style>
  <w:style w:type="paragraph" w:customStyle="1" w:styleId="Reptitle">
    <w:name w:val="Rep_title"/>
    <w:basedOn w:val="Rectitle"/>
    <w:next w:val="Repref"/>
    <w:rsid w:val="001F2AFD"/>
  </w:style>
  <w:style w:type="paragraph" w:customStyle="1" w:styleId="Repref">
    <w:name w:val="Rep_ref"/>
    <w:basedOn w:val="Recref"/>
    <w:next w:val="Repdate"/>
    <w:rsid w:val="001F2AFD"/>
  </w:style>
  <w:style w:type="paragraph" w:customStyle="1" w:styleId="Resdate">
    <w:name w:val="Res_date"/>
    <w:basedOn w:val="Recdate"/>
    <w:next w:val="Normalaftertitle"/>
    <w:rsid w:val="001F2AFD"/>
  </w:style>
  <w:style w:type="paragraph" w:customStyle="1" w:styleId="ResNo">
    <w:name w:val="Res_No"/>
    <w:basedOn w:val="RecNo"/>
    <w:next w:val="Restitle"/>
    <w:rsid w:val="001F2AFD"/>
  </w:style>
  <w:style w:type="paragraph" w:customStyle="1" w:styleId="Restitle">
    <w:name w:val="Res_title"/>
    <w:basedOn w:val="Normal"/>
    <w:next w:val="Resref"/>
    <w:rsid w:val="001F2AFD"/>
    <w:pPr>
      <w:spacing w:before="240"/>
      <w:jc w:val="center"/>
    </w:pPr>
    <w:rPr>
      <w:b/>
      <w:sz w:val="28"/>
    </w:rPr>
  </w:style>
  <w:style w:type="paragraph" w:customStyle="1" w:styleId="Resref">
    <w:name w:val="Res_ref"/>
    <w:basedOn w:val="Recref"/>
    <w:next w:val="Resdate"/>
    <w:rsid w:val="001F2AFD"/>
  </w:style>
  <w:style w:type="paragraph" w:customStyle="1" w:styleId="SectionNo">
    <w:name w:val="Section_No"/>
    <w:basedOn w:val="Normal"/>
    <w:next w:val="Normal"/>
    <w:rsid w:val="001F2AFD"/>
  </w:style>
  <w:style w:type="paragraph" w:customStyle="1" w:styleId="Sectiontitle">
    <w:name w:val="Section_title"/>
    <w:basedOn w:val="Normal"/>
    <w:next w:val="Normalaftertitle"/>
    <w:rsid w:val="001F2AF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2AFD"/>
    <w:pPr>
      <w:tabs>
        <w:tab w:val="clear" w:pos="794"/>
        <w:tab w:val="clear" w:pos="1191"/>
        <w:tab w:val="clear" w:pos="1588"/>
        <w:tab w:val="clear" w:pos="1985"/>
        <w:tab w:val="right" w:pos="9611"/>
      </w:tabs>
    </w:pPr>
    <w:rPr>
      <w:i/>
    </w:rPr>
  </w:style>
  <w:style w:type="paragraph" w:styleId="TOC1">
    <w:name w:val="toc 1"/>
    <w:basedOn w:val="Normal"/>
    <w:semiHidden/>
    <w:rsid w:val="001F2AF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F2AFD"/>
    <w:pPr>
      <w:tabs>
        <w:tab w:val="clear" w:pos="567"/>
        <w:tab w:val="left" w:pos="1276"/>
      </w:tabs>
      <w:spacing w:before="160"/>
      <w:ind w:left="1276" w:hanging="709"/>
    </w:pPr>
  </w:style>
  <w:style w:type="paragraph" w:styleId="TOC3">
    <w:name w:val="toc 3"/>
    <w:basedOn w:val="TOC2"/>
    <w:semiHidden/>
    <w:rsid w:val="001F2AFD"/>
    <w:pPr>
      <w:tabs>
        <w:tab w:val="clear" w:pos="1276"/>
        <w:tab w:val="left" w:pos="2155"/>
      </w:tabs>
      <w:ind w:left="2155" w:hanging="879"/>
    </w:pPr>
  </w:style>
  <w:style w:type="paragraph" w:styleId="TOC4">
    <w:name w:val="toc 4"/>
    <w:basedOn w:val="TOC3"/>
    <w:semiHidden/>
    <w:rsid w:val="001F2AFD"/>
    <w:pPr>
      <w:tabs>
        <w:tab w:val="left" w:pos="3261"/>
      </w:tabs>
      <w:spacing w:before="80"/>
      <w:ind w:left="3261" w:hanging="993"/>
    </w:pPr>
  </w:style>
  <w:style w:type="paragraph" w:styleId="TOC5">
    <w:name w:val="toc 5"/>
    <w:basedOn w:val="TOC4"/>
    <w:semiHidden/>
    <w:rsid w:val="001F2AFD"/>
  </w:style>
  <w:style w:type="paragraph" w:styleId="TOC6">
    <w:name w:val="toc 6"/>
    <w:basedOn w:val="TOC4"/>
    <w:semiHidden/>
    <w:rsid w:val="001F2AFD"/>
  </w:style>
  <w:style w:type="paragraph" w:styleId="TOC7">
    <w:name w:val="toc 7"/>
    <w:basedOn w:val="TOC4"/>
    <w:semiHidden/>
    <w:rsid w:val="001F2AFD"/>
  </w:style>
  <w:style w:type="paragraph" w:styleId="TOC8">
    <w:name w:val="toc 8"/>
    <w:basedOn w:val="TOC4"/>
    <w:semiHidden/>
    <w:rsid w:val="001F2AFD"/>
  </w:style>
  <w:style w:type="paragraph" w:customStyle="1" w:styleId="Annexref">
    <w:name w:val="Annex_ref"/>
    <w:basedOn w:val="Normal"/>
    <w:next w:val="Normalaftertitle"/>
    <w:rsid w:val="001F2AFD"/>
    <w:pPr>
      <w:keepNext/>
      <w:keepLines/>
      <w:spacing w:after="280"/>
      <w:jc w:val="center"/>
    </w:pPr>
  </w:style>
  <w:style w:type="paragraph" w:customStyle="1" w:styleId="Appendixref">
    <w:name w:val="Appendix_ref"/>
    <w:basedOn w:val="Annexref"/>
    <w:next w:val="Normalaftertitle"/>
    <w:rsid w:val="001F2AFD"/>
  </w:style>
  <w:style w:type="paragraph" w:customStyle="1" w:styleId="Tabletitle">
    <w:name w:val="Table_title"/>
    <w:basedOn w:val="Normal"/>
    <w:next w:val="Tablehead"/>
    <w:rsid w:val="001F2AFD"/>
    <w:pPr>
      <w:keepNext/>
      <w:spacing w:before="0" w:after="120"/>
      <w:jc w:val="center"/>
    </w:pPr>
    <w:rPr>
      <w:b/>
    </w:rPr>
  </w:style>
  <w:style w:type="paragraph" w:customStyle="1" w:styleId="Summary">
    <w:name w:val="Summary"/>
    <w:basedOn w:val="Normal"/>
    <w:next w:val="Normalaftertitle"/>
    <w:autoRedefine/>
    <w:rsid w:val="001F2AF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F2AFD"/>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2AF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F2AFD"/>
    <w:pPr>
      <w:keepNext/>
      <w:keepLines/>
      <w:spacing w:before="480"/>
      <w:ind w:left="794" w:hanging="794"/>
      <w:outlineLvl w:val="0"/>
    </w:pPr>
    <w:rPr>
      <w:b/>
    </w:rPr>
  </w:style>
  <w:style w:type="paragraph" w:styleId="Heading2">
    <w:name w:val="heading 2"/>
    <w:basedOn w:val="Heading1"/>
    <w:next w:val="Normal"/>
    <w:qFormat/>
    <w:rsid w:val="001F2AFD"/>
    <w:pPr>
      <w:spacing w:before="320"/>
      <w:outlineLvl w:val="1"/>
    </w:pPr>
  </w:style>
  <w:style w:type="paragraph" w:styleId="Heading3">
    <w:name w:val="heading 3"/>
    <w:basedOn w:val="Heading1"/>
    <w:next w:val="Normal"/>
    <w:qFormat/>
    <w:rsid w:val="001F2AFD"/>
    <w:pPr>
      <w:spacing w:before="200"/>
      <w:outlineLvl w:val="2"/>
    </w:pPr>
  </w:style>
  <w:style w:type="paragraph" w:styleId="Heading4">
    <w:name w:val="heading 4"/>
    <w:basedOn w:val="Heading3"/>
    <w:next w:val="Normal"/>
    <w:qFormat/>
    <w:rsid w:val="001F2AFD"/>
    <w:pPr>
      <w:tabs>
        <w:tab w:val="clear" w:pos="794"/>
        <w:tab w:val="left" w:pos="992"/>
      </w:tabs>
      <w:ind w:left="992" w:hanging="992"/>
      <w:outlineLvl w:val="3"/>
    </w:pPr>
  </w:style>
  <w:style w:type="paragraph" w:styleId="Heading5">
    <w:name w:val="heading 5"/>
    <w:basedOn w:val="Heading4"/>
    <w:next w:val="Normal"/>
    <w:qFormat/>
    <w:rsid w:val="001F2AFD"/>
    <w:pPr>
      <w:outlineLvl w:val="4"/>
    </w:pPr>
  </w:style>
  <w:style w:type="paragraph" w:styleId="Heading6">
    <w:name w:val="heading 6"/>
    <w:basedOn w:val="Heading4"/>
    <w:next w:val="Normal"/>
    <w:qFormat/>
    <w:rsid w:val="001F2AFD"/>
    <w:pPr>
      <w:tabs>
        <w:tab w:val="clear" w:pos="992"/>
        <w:tab w:val="clear" w:pos="1191"/>
      </w:tabs>
      <w:ind w:left="1588" w:hanging="1588"/>
      <w:outlineLvl w:val="5"/>
    </w:pPr>
  </w:style>
  <w:style w:type="paragraph" w:styleId="Heading7">
    <w:name w:val="heading 7"/>
    <w:basedOn w:val="Heading6"/>
    <w:next w:val="Normal"/>
    <w:qFormat/>
    <w:rsid w:val="001F2AFD"/>
    <w:pPr>
      <w:outlineLvl w:val="6"/>
    </w:pPr>
  </w:style>
  <w:style w:type="paragraph" w:styleId="Heading8">
    <w:name w:val="heading 8"/>
    <w:basedOn w:val="Heading6"/>
    <w:next w:val="Normal"/>
    <w:qFormat/>
    <w:rsid w:val="001F2AFD"/>
    <w:pPr>
      <w:outlineLvl w:val="7"/>
    </w:pPr>
  </w:style>
  <w:style w:type="paragraph" w:styleId="Heading9">
    <w:name w:val="heading 9"/>
    <w:basedOn w:val="Heading6"/>
    <w:next w:val="Normal"/>
    <w:qFormat/>
    <w:rsid w:val="001F2AF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2AF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F2AF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F2AFD"/>
  </w:style>
  <w:style w:type="paragraph" w:customStyle="1" w:styleId="Headingb">
    <w:name w:val="Heading_b"/>
    <w:basedOn w:val="Heading3"/>
    <w:next w:val="Normal"/>
    <w:rsid w:val="001F2AFD"/>
    <w:pPr>
      <w:spacing w:before="160"/>
      <w:ind w:left="0" w:firstLine="0"/>
      <w:outlineLvl w:val="9"/>
    </w:pPr>
  </w:style>
  <w:style w:type="paragraph" w:customStyle="1" w:styleId="Headingi">
    <w:name w:val="Heading_i"/>
    <w:basedOn w:val="Heading3"/>
    <w:next w:val="Normal"/>
    <w:rsid w:val="001F2AFD"/>
    <w:pPr>
      <w:spacing w:before="160"/>
      <w:ind w:left="0" w:firstLine="0"/>
    </w:pPr>
    <w:rPr>
      <w:b w:val="0"/>
      <w:i/>
    </w:rPr>
  </w:style>
  <w:style w:type="character" w:customStyle="1" w:styleId="href">
    <w:name w:val="href"/>
    <w:basedOn w:val="DefaultParagraphFont"/>
    <w:rsid w:val="001F2AFD"/>
  </w:style>
  <w:style w:type="paragraph" w:customStyle="1" w:styleId="AnnexNoTitle">
    <w:name w:val="Annex_NoTitle"/>
    <w:basedOn w:val="Normal"/>
    <w:next w:val="Normalaftertitle"/>
    <w:rsid w:val="001F2AFD"/>
    <w:pPr>
      <w:keepNext/>
      <w:keepLines/>
      <w:spacing w:before="480" w:after="80"/>
      <w:jc w:val="center"/>
    </w:pPr>
    <w:rPr>
      <w:b/>
      <w:sz w:val="28"/>
    </w:rPr>
  </w:style>
  <w:style w:type="paragraph" w:customStyle="1" w:styleId="Normalaftertitle">
    <w:name w:val="Normal_after_title"/>
    <w:basedOn w:val="Normal"/>
    <w:next w:val="Normal"/>
    <w:rsid w:val="001F2AFD"/>
    <w:pPr>
      <w:spacing w:before="320"/>
    </w:pPr>
  </w:style>
  <w:style w:type="paragraph" w:customStyle="1" w:styleId="enumlev2">
    <w:name w:val="enumlev2"/>
    <w:basedOn w:val="enumlev1"/>
    <w:rsid w:val="001F2AFD"/>
    <w:pPr>
      <w:ind w:left="1191" w:hanging="397"/>
    </w:pPr>
  </w:style>
  <w:style w:type="paragraph" w:customStyle="1" w:styleId="enumlev1">
    <w:name w:val="enumlev1"/>
    <w:basedOn w:val="Normal"/>
    <w:rsid w:val="001F2AFD"/>
    <w:pPr>
      <w:spacing w:before="80"/>
      <w:ind w:left="794" w:hanging="794"/>
    </w:pPr>
  </w:style>
  <w:style w:type="paragraph" w:customStyle="1" w:styleId="enumlev3">
    <w:name w:val="enumlev3"/>
    <w:basedOn w:val="enumlev2"/>
    <w:rsid w:val="001F2AFD"/>
    <w:pPr>
      <w:ind w:left="1588"/>
    </w:pPr>
  </w:style>
  <w:style w:type="paragraph" w:customStyle="1" w:styleId="Note">
    <w:name w:val="Note"/>
    <w:basedOn w:val="Normal"/>
    <w:rsid w:val="001F2AF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F2AF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F2AFD"/>
    <w:pPr>
      <w:keepNext/>
      <w:keepLines/>
      <w:spacing w:before="240"/>
      <w:jc w:val="center"/>
    </w:pPr>
    <w:rPr>
      <w:b/>
      <w:sz w:val="28"/>
    </w:rPr>
  </w:style>
  <w:style w:type="paragraph" w:customStyle="1" w:styleId="Recref">
    <w:name w:val="Rec_ref"/>
    <w:basedOn w:val="Normal"/>
    <w:next w:val="Recdate"/>
    <w:rsid w:val="001F2AFD"/>
    <w:pPr>
      <w:jc w:val="center"/>
    </w:pPr>
  </w:style>
  <w:style w:type="paragraph" w:customStyle="1" w:styleId="Recdate">
    <w:name w:val="Rec_date"/>
    <w:basedOn w:val="Recref"/>
    <w:next w:val="Normalaftertitle"/>
    <w:rsid w:val="001F2AFD"/>
    <w:pPr>
      <w:jc w:val="right"/>
    </w:pPr>
  </w:style>
  <w:style w:type="paragraph" w:customStyle="1" w:styleId="HeadingSum">
    <w:name w:val="Heading_Sum"/>
    <w:basedOn w:val="Headingb"/>
    <w:next w:val="Normal"/>
    <w:autoRedefine/>
    <w:rsid w:val="001F2AFD"/>
    <w:pPr>
      <w:spacing w:before="240"/>
    </w:pPr>
    <w:rPr>
      <w:sz w:val="22"/>
      <w:lang w:val="es-ES_tradnl"/>
    </w:rPr>
  </w:style>
  <w:style w:type="paragraph" w:customStyle="1" w:styleId="AppendixNoTitle">
    <w:name w:val="Appendix_NoTitle"/>
    <w:basedOn w:val="AnnexNoTitle"/>
    <w:next w:val="Normal"/>
    <w:rsid w:val="001F2AFD"/>
  </w:style>
  <w:style w:type="paragraph" w:customStyle="1" w:styleId="Tablefin">
    <w:name w:val="Table_fin"/>
    <w:basedOn w:val="Normal"/>
    <w:next w:val="Normal"/>
    <w:rsid w:val="001F2AFD"/>
    <w:pPr>
      <w:spacing w:before="0"/>
    </w:pPr>
    <w:rPr>
      <w:sz w:val="20"/>
      <w:lang w:val="en-GB"/>
    </w:rPr>
  </w:style>
  <w:style w:type="paragraph" w:customStyle="1" w:styleId="Tablehead">
    <w:name w:val="Table_head"/>
    <w:basedOn w:val="Normal"/>
    <w:next w:val="Normal"/>
    <w:rsid w:val="001F2AF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F2A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F2AFD"/>
    <w:pPr>
      <w:keepNext/>
      <w:spacing w:before="360" w:after="120"/>
      <w:jc w:val="center"/>
    </w:pPr>
  </w:style>
  <w:style w:type="paragraph" w:customStyle="1" w:styleId="Tabletext">
    <w:name w:val="Table_text"/>
    <w:basedOn w:val="Normal"/>
    <w:rsid w:val="001F2A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F2AFD"/>
    <w:pPr>
      <w:tabs>
        <w:tab w:val="clear" w:pos="1191"/>
        <w:tab w:val="clear" w:pos="1588"/>
        <w:tab w:val="clear" w:pos="1985"/>
        <w:tab w:val="center" w:pos="4820"/>
        <w:tab w:val="right" w:pos="9639"/>
      </w:tabs>
    </w:pPr>
  </w:style>
  <w:style w:type="paragraph" w:customStyle="1" w:styleId="Equationlegend">
    <w:name w:val="Equation_legend"/>
    <w:basedOn w:val="NormalIndent"/>
    <w:rsid w:val="001F2AF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F2AFD"/>
    <w:pPr>
      <w:ind w:left="794"/>
    </w:pPr>
  </w:style>
  <w:style w:type="paragraph" w:customStyle="1" w:styleId="Figurelegend">
    <w:name w:val="Figure_legend"/>
    <w:basedOn w:val="Normal"/>
    <w:rsid w:val="001F2AF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F2AFD"/>
    <w:pPr>
      <w:keepNext/>
      <w:keepLines/>
      <w:spacing w:before="480" w:after="80"/>
      <w:jc w:val="center"/>
    </w:pPr>
    <w:rPr>
      <w:caps/>
      <w:sz w:val="18"/>
    </w:rPr>
  </w:style>
  <w:style w:type="paragraph" w:customStyle="1" w:styleId="Figuretitle">
    <w:name w:val="Figure_title"/>
    <w:basedOn w:val="Normal"/>
    <w:next w:val="Figure"/>
    <w:rsid w:val="001F2AFD"/>
    <w:pPr>
      <w:keepNext/>
      <w:spacing w:before="0" w:after="120"/>
      <w:jc w:val="center"/>
    </w:pPr>
    <w:rPr>
      <w:rFonts w:ascii="Times New Roman Bold" w:hAnsi="Times New Roman Bold"/>
      <w:b/>
      <w:sz w:val="18"/>
    </w:rPr>
  </w:style>
  <w:style w:type="paragraph" w:customStyle="1" w:styleId="Figure">
    <w:name w:val="Figure"/>
    <w:basedOn w:val="FigureNo"/>
    <w:next w:val="Normal"/>
    <w:rsid w:val="001F2AFD"/>
    <w:pPr>
      <w:keepNext w:val="0"/>
      <w:spacing w:before="0" w:after="240"/>
    </w:pPr>
  </w:style>
  <w:style w:type="paragraph" w:customStyle="1" w:styleId="tocpart">
    <w:name w:val="tocpart"/>
    <w:basedOn w:val="Normal"/>
    <w:rsid w:val="001F2AF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F2AFD"/>
    <w:pPr>
      <w:keepNext/>
      <w:keepLines/>
      <w:spacing w:before="480"/>
      <w:jc w:val="center"/>
    </w:pPr>
    <w:rPr>
      <w:sz w:val="28"/>
    </w:rPr>
  </w:style>
  <w:style w:type="paragraph" w:customStyle="1" w:styleId="Arttitle">
    <w:name w:val="Art_title"/>
    <w:basedOn w:val="Normal"/>
    <w:next w:val="Normalaftertitle"/>
    <w:rsid w:val="001F2AFD"/>
    <w:pPr>
      <w:keepNext/>
      <w:keepLines/>
      <w:spacing w:before="240"/>
      <w:jc w:val="center"/>
    </w:pPr>
    <w:rPr>
      <w:b/>
      <w:sz w:val="28"/>
    </w:rPr>
  </w:style>
  <w:style w:type="paragraph" w:customStyle="1" w:styleId="Blanc">
    <w:name w:val="Blanc"/>
    <w:basedOn w:val="Normal"/>
    <w:next w:val="Tabletext"/>
    <w:rsid w:val="001F2AF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F2AF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F2AFD"/>
    <w:pPr>
      <w:keepNext/>
      <w:keepLines/>
      <w:spacing w:before="160"/>
      <w:ind w:left="794"/>
    </w:pPr>
    <w:rPr>
      <w:i/>
    </w:rPr>
  </w:style>
  <w:style w:type="paragraph" w:customStyle="1" w:styleId="ChapNo">
    <w:name w:val="Chap_No"/>
    <w:basedOn w:val="ArtNo"/>
    <w:next w:val="Chaptitle"/>
    <w:rsid w:val="001F2AFD"/>
    <w:rPr>
      <w:b/>
    </w:rPr>
  </w:style>
  <w:style w:type="paragraph" w:customStyle="1" w:styleId="Chaptitle">
    <w:name w:val="Chap_title"/>
    <w:basedOn w:val="Arttitle"/>
    <w:next w:val="Normalaftertitle"/>
    <w:rsid w:val="001F2AFD"/>
  </w:style>
  <w:style w:type="character" w:styleId="FootnoteReference">
    <w:name w:val="footnote reference"/>
    <w:basedOn w:val="DefaultParagraphFont"/>
    <w:semiHidden/>
    <w:rsid w:val="001F2AFD"/>
    <w:rPr>
      <w:position w:val="6"/>
      <w:sz w:val="18"/>
    </w:rPr>
  </w:style>
  <w:style w:type="paragraph" w:styleId="FootnoteText">
    <w:name w:val="footnote text"/>
    <w:basedOn w:val="Normal"/>
    <w:semiHidden/>
    <w:rsid w:val="001F2AFD"/>
    <w:pPr>
      <w:keepLines/>
      <w:tabs>
        <w:tab w:val="left" w:pos="255"/>
      </w:tabs>
      <w:ind w:left="255" w:hanging="255"/>
    </w:pPr>
    <w:rPr>
      <w:sz w:val="22"/>
    </w:rPr>
  </w:style>
  <w:style w:type="paragraph" w:styleId="Index1">
    <w:name w:val="index 1"/>
    <w:basedOn w:val="Normal"/>
    <w:next w:val="Normal"/>
    <w:semiHidden/>
    <w:rsid w:val="001F2AFD"/>
  </w:style>
  <w:style w:type="paragraph" w:styleId="Index2">
    <w:name w:val="index 2"/>
    <w:basedOn w:val="Normal"/>
    <w:next w:val="Normal"/>
    <w:semiHidden/>
    <w:rsid w:val="001F2AFD"/>
    <w:pPr>
      <w:ind w:left="283"/>
    </w:pPr>
  </w:style>
  <w:style w:type="paragraph" w:styleId="Index3">
    <w:name w:val="index 3"/>
    <w:basedOn w:val="Normal"/>
    <w:next w:val="Normal"/>
    <w:semiHidden/>
    <w:rsid w:val="001F2AFD"/>
    <w:pPr>
      <w:ind w:left="566"/>
    </w:pPr>
  </w:style>
  <w:style w:type="paragraph" w:styleId="IndexHeading">
    <w:name w:val="index heading"/>
    <w:basedOn w:val="Normal"/>
    <w:next w:val="Index1"/>
    <w:semiHidden/>
    <w:rsid w:val="001F2AFD"/>
  </w:style>
  <w:style w:type="paragraph" w:customStyle="1" w:styleId="Line">
    <w:name w:val="Line"/>
    <w:basedOn w:val="Normal"/>
    <w:next w:val="Normal"/>
    <w:rsid w:val="001F2AF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F2AF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F2AFD"/>
  </w:style>
  <w:style w:type="paragraph" w:customStyle="1" w:styleId="Partref">
    <w:name w:val="Part_ref"/>
    <w:basedOn w:val="Normal"/>
    <w:next w:val="Normal"/>
    <w:rsid w:val="001F2AFD"/>
    <w:pPr>
      <w:keepNext/>
      <w:keepLines/>
      <w:spacing w:after="280"/>
      <w:jc w:val="center"/>
    </w:pPr>
  </w:style>
  <w:style w:type="paragraph" w:customStyle="1" w:styleId="Parttitle">
    <w:name w:val="Part_title"/>
    <w:basedOn w:val="Normal"/>
    <w:next w:val="Normalaftertitle"/>
    <w:rsid w:val="001F2AF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F2AFD"/>
  </w:style>
  <w:style w:type="paragraph" w:customStyle="1" w:styleId="QuestionNo">
    <w:name w:val="Question_No"/>
    <w:basedOn w:val="RecNo"/>
    <w:next w:val="Normal"/>
    <w:rsid w:val="001F2AFD"/>
  </w:style>
  <w:style w:type="paragraph" w:customStyle="1" w:styleId="Questionref">
    <w:name w:val="Question_ref"/>
    <w:basedOn w:val="Recref"/>
    <w:next w:val="Questiondate"/>
    <w:rsid w:val="001F2AFD"/>
  </w:style>
  <w:style w:type="paragraph" w:customStyle="1" w:styleId="Questiontitle">
    <w:name w:val="Question_title"/>
    <w:basedOn w:val="Normal"/>
    <w:next w:val="Questionref"/>
    <w:rsid w:val="001F2AFD"/>
  </w:style>
  <w:style w:type="paragraph" w:customStyle="1" w:styleId="Reftext">
    <w:name w:val="Ref_text"/>
    <w:basedOn w:val="Normal"/>
    <w:rsid w:val="001F2AFD"/>
    <w:pPr>
      <w:ind w:left="794" w:hanging="794"/>
    </w:pPr>
    <w:rPr>
      <w:sz w:val="22"/>
    </w:rPr>
  </w:style>
  <w:style w:type="paragraph" w:customStyle="1" w:styleId="Reftitle">
    <w:name w:val="Ref_title"/>
    <w:basedOn w:val="Normal"/>
    <w:next w:val="Reftext"/>
    <w:rsid w:val="001F2AF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F2AFD"/>
  </w:style>
  <w:style w:type="paragraph" w:customStyle="1" w:styleId="RepNo">
    <w:name w:val="Rep_No"/>
    <w:basedOn w:val="RecNo"/>
    <w:next w:val="Reptitle"/>
    <w:rsid w:val="001F2AFD"/>
  </w:style>
  <w:style w:type="paragraph" w:customStyle="1" w:styleId="Reptitle">
    <w:name w:val="Rep_title"/>
    <w:basedOn w:val="Rectitle"/>
    <w:next w:val="Repref"/>
    <w:rsid w:val="001F2AFD"/>
  </w:style>
  <w:style w:type="paragraph" w:customStyle="1" w:styleId="Repref">
    <w:name w:val="Rep_ref"/>
    <w:basedOn w:val="Recref"/>
    <w:next w:val="Repdate"/>
    <w:rsid w:val="001F2AFD"/>
  </w:style>
  <w:style w:type="paragraph" w:customStyle="1" w:styleId="Resdate">
    <w:name w:val="Res_date"/>
    <w:basedOn w:val="Recdate"/>
    <w:next w:val="Normalaftertitle"/>
    <w:rsid w:val="001F2AFD"/>
  </w:style>
  <w:style w:type="paragraph" w:customStyle="1" w:styleId="ResNo">
    <w:name w:val="Res_No"/>
    <w:basedOn w:val="RecNo"/>
    <w:next w:val="Restitle"/>
    <w:rsid w:val="001F2AFD"/>
  </w:style>
  <w:style w:type="paragraph" w:customStyle="1" w:styleId="Restitle">
    <w:name w:val="Res_title"/>
    <w:basedOn w:val="Normal"/>
    <w:next w:val="Resref"/>
    <w:rsid w:val="001F2AFD"/>
    <w:pPr>
      <w:spacing w:before="240"/>
      <w:jc w:val="center"/>
    </w:pPr>
    <w:rPr>
      <w:b/>
      <w:sz w:val="28"/>
    </w:rPr>
  </w:style>
  <w:style w:type="paragraph" w:customStyle="1" w:styleId="Resref">
    <w:name w:val="Res_ref"/>
    <w:basedOn w:val="Recref"/>
    <w:next w:val="Resdate"/>
    <w:rsid w:val="001F2AFD"/>
  </w:style>
  <w:style w:type="paragraph" w:customStyle="1" w:styleId="SectionNo">
    <w:name w:val="Section_No"/>
    <w:basedOn w:val="Normal"/>
    <w:next w:val="Normal"/>
    <w:rsid w:val="001F2AFD"/>
  </w:style>
  <w:style w:type="paragraph" w:customStyle="1" w:styleId="Sectiontitle">
    <w:name w:val="Section_title"/>
    <w:basedOn w:val="Normal"/>
    <w:next w:val="Normalaftertitle"/>
    <w:rsid w:val="001F2AF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F2AFD"/>
    <w:pPr>
      <w:tabs>
        <w:tab w:val="clear" w:pos="794"/>
        <w:tab w:val="clear" w:pos="1191"/>
        <w:tab w:val="clear" w:pos="1588"/>
        <w:tab w:val="clear" w:pos="1985"/>
        <w:tab w:val="right" w:pos="9611"/>
      </w:tabs>
    </w:pPr>
    <w:rPr>
      <w:i/>
    </w:rPr>
  </w:style>
  <w:style w:type="paragraph" w:styleId="TOC1">
    <w:name w:val="toc 1"/>
    <w:basedOn w:val="Normal"/>
    <w:semiHidden/>
    <w:rsid w:val="001F2AF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F2AFD"/>
    <w:pPr>
      <w:tabs>
        <w:tab w:val="clear" w:pos="567"/>
        <w:tab w:val="left" w:pos="1276"/>
      </w:tabs>
      <w:spacing w:before="160"/>
      <w:ind w:left="1276" w:hanging="709"/>
    </w:pPr>
  </w:style>
  <w:style w:type="paragraph" w:styleId="TOC3">
    <w:name w:val="toc 3"/>
    <w:basedOn w:val="TOC2"/>
    <w:semiHidden/>
    <w:rsid w:val="001F2AFD"/>
    <w:pPr>
      <w:tabs>
        <w:tab w:val="clear" w:pos="1276"/>
        <w:tab w:val="left" w:pos="2155"/>
      </w:tabs>
      <w:ind w:left="2155" w:hanging="879"/>
    </w:pPr>
  </w:style>
  <w:style w:type="paragraph" w:styleId="TOC4">
    <w:name w:val="toc 4"/>
    <w:basedOn w:val="TOC3"/>
    <w:semiHidden/>
    <w:rsid w:val="001F2AFD"/>
    <w:pPr>
      <w:tabs>
        <w:tab w:val="left" w:pos="3261"/>
      </w:tabs>
      <w:spacing w:before="80"/>
      <w:ind w:left="3261" w:hanging="993"/>
    </w:pPr>
  </w:style>
  <w:style w:type="paragraph" w:styleId="TOC5">
    <w:name w:val="toc 5"/>
    <w:basedOn w:val="TOC4"/>
    <w:semiHidden/>
    <w:rsid w:val="001F2AFD"/>
  </w:style>
  <w:style w:type="paragraph" w:styleId="TOC6">
    <w:name w:val="toc 6"/>
    <w:basedOn w:val="TOC4"/>
    <w:semiHidden/>
    <w:rsid w:val="001F2AFD"/>
  </w:style>
  <w:style w:type="paragraph" w:styleId="TOC7">
    <w:name w:val="toc 7"/>
    <w:basedOn w:val="TOC4"/>
    <w:semiHidden/>
    <w:rsid w:val="001F2AFD"/>
  </w:style>
  <w:style w:type="paragraph" w:styleId="TOC8">
    <w:name w:val="toc 8"/>
    <w:basedOn w:val="TOC4"/>
    <w:semiHidden/>
    <w:rsid w:val="001F2AFD"/>
  </w:style>
  <w:style w:type="paragraph" w:customStyle="1" w:styleId="Annexref">
    <w:name w:val="Annex_ref"/>
    <w:basedOn w:val="Normal"/>
    <w:next w:val="Normalaftertitle"/>
    <w:rsid w:val="001F2AFD"/>
    <w:pPr>
      <w:keepNext/>
      <w:keepLines/>
      <w:spacing w:after="280"/>
      <w:jc w:val="center"/>
    </w:pPr>
  </w:style>
  <w:style w:type="paragraph" w:customStyle="1" w:styleId="Appendixref">
    <w:name w:val="Appendix_ref"/>
    <w:basedOn w:val="Annexref"/>
    <w:next w:val="Normalaftertitle"/>
    <w:rsid w:val="001F2AFD"/>
  </w:style>
  <w:style w:type="paragraph" w:customStyle="1" w:styleId="Tabletitle">
    <w:name w:val="Table_title"/>
    <w:basedOn w:val="Normal"/>
    <w:next w:val="Tablehead"/>
    <w:rsid w:val="001F2AFD"/>
    <w:pPr>
      <w:keepNext/>
      <w:spacing w:before="0" w:after="120"/>
      <w:jc w:val="center"/>
    </w:pPr>
    <w:rPr>
      <w:b/>
    </w:rPr>
  </w:style>
  <w:style w:type="paragraph" w:customStyle="1" w:styleId="Summary">
    <w:name w:val="Summary"/>
    <w:basedOn w:val="Normal"/>
    <w:next w:val="Normalaftertitle"/>
    <w:autoRedefine/>
    <w:rsid w:val="001F2AF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F2AFD"/>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23</TotalTime>
  <Pages>8</Pages>
  <Words>2103</Words>
  <Characters>11989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RECOMMENDATION  ITU-R  M.1906 - Characteristics and protection criteria of receiving space stations and characteristics of transmitting earth stations in the radionavigation-satellite service (Earth-to-space) operating in the band 5 000-5 010 MHz</vt:lpstr>
    </vt:vector>
  </TitlesOfParts>
  <Manager/>
  <Company>ITU</Company>
  <LinksUpToDate>false</LinksUpToDate>
  <CharactersWithSpaces>14064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M.1906 - Characteristics and protection criteria of receiving space stations and characteristics of transmitting earth stations in the radionavigation-satellite service (Earth-to-space) operating in the band 5 000-5 010 MHz</dc:title>
  <dc:subject>M Series = Mobile, radiodetermination, amateur and related satellite services</dc:subject>
  <dc:creator>ITU Radiocommunication Bureau (BR)</dc:creator>
  <cp:keywords>M,1906</cp:keywords>
  <dc:description>Santosbo, 17.11.2011, MSB106309</dc:description>
  <cp:lastModifiedBy>Gachet, Christelle</cp:lastModifiedBy>
  <cp:revision>11</cp:revision>
  <cp:lastPrinted>2009-06-26T13:19:00Z</cp:lastPrinted>
  <dcterms:created xsi:type="dcterms:W3CDTF">2011-11-17T10:19:00Z</dcterms:created>
  <dcterms:modified xsi:type="dcterms:W3CDTF">2011-11-22T12:19:00Z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jeudi, 17. novembre 2011</vt:lpwstr>
  </property>
</Properties>
</file>