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2EC" w:rsidRDefault="001952EC" w:rsidP="001952EC"/>
    <w:p w:rsidR="001952EC" w:rsidRDefault="001952EC" w:rsidP="001952EC"/>
    <w:p w:rsidR="001952EC" w:rsidRDefault="001952EC" w:rsidP="001952EC"/>
    <w:p w:rsidR="001952EC" w:rsidRDefault="001952EC" w:rsidP="001952EC"/>
    <w:p w:rsidR="001952EC" w:rsidRDefault="001952EC" w:rsidP="001952EC"/>
    <w:p w:rsidR="001952EC" w:rsidRDefault="001952EC" w:rsidP="001952EC"/>
    <w:p w:rsidR="001952EC" w:rsidRDefault="001952EC" w:rsidP="001952EC"/>
    <w:p w:rsidR="001952EC" w:rsidRDefault="001952EC" w:rsidP="001952EC"/>
    <w:p w:rsidR="001952EC" w:rsidRDefault="001952EC" w:rsidP="001952EC"/>
    <w:p w:rsidR="001952EC" w:rsidRDefault="001952EC" w:rsidP="001952EC"/>
    <w:p w:rsidR="001952EC" w:rsidRDefault="001952EC" w:rsidP="001952EC"/>
    <w:p w:rsidR="001952EC" w:rsidRDefault="001952EC" w:rsidP="001952EC"/>
    <w:tbl>
      <w:tblPr>
        <w:tblW w:w="10089" w:type="dxa"/>
        <w:tblLook w:val="01E0" w:firstRow="1" w:lastRow="1" w:firstColumn="1" w:lastColumn="1" w:noHBand="0" w:noVBand="0"/>
      </w:tblPr>
      <w:tblGrid>
        <w:gridCol w:w="10089"/>
      </w:tblGrid>
      <w:tr w:rsidR="001952EC" w:rsidRPr="00A443C2" w:rsidTr="00243303">
        <w:tc>
          <w:tcPr>
            <w:tcW w:w="10089" w:type="dxa"/>
          </w:tcPr>
          <w:p w:rsidR="001952EC" w:rsidRPr="00B033C8" w:rsidRDefault="001952EC" w:rsidP="00243303">
            <w:pPr>
              <w:spacing w:before="380" w:line="280" w:lineRule="exact"/>
              <w:jc w:val="right"/>
              <w:rPr>
                <w:rFonts w:ascii="Tahoma" w:hAnsi="Tahoma" w:cs="Tahoma"/>
                <w:b/>
                <w:bCs/>
                <w:iCs/>
                <w:color w:val="243285"/>
                <w:sz w:val="32"/>
                <w:szCs w:val="32"/>
                <w:lang w:val="en-US"/>
              </w:rPr>
            </w:pPr>
          </w:p>
          <w:p w:rsidR="001952EC" w:rsidRPr="00A443C2" w:rsidRDefault="001952EC" w:rsidP="00A851F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A851F1">
              <w:rPr>
                <w:rFonts w:ascii="Tahoma" w:hAnsi="Tahoma" w:cs="Tahoma"/>
                <w:b/>
                <w:bCs/>
                <w:iCs/>
                <w:color w:val="243285"/>
                <w:sz w:val="36"/>
                <w:szCs w:val="36"/>
              </w:rPr>
              <w:t>1906</w:t>
            </w:r>
          </w:p>
          <w:p w:rsidR="001952EC" w:rsidRPr="00A443C2" w:rsidRDefault="001952EC" w:rsidP="00A851F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A851F1">
              <w:rPr>
                <w:rFonts w:ascii="Tahoma" w:hAnsi="Tahoma" w:cs="Tahoma"/>
                <w:b/>
                <w:bCs/>
                <w:iCs/>
                <w:color w:val="243285"/>
                <w:szCs w:val="24"/>
              </w:rPr>
              <w:t>1</w:t>
            </w:r>
            <w:r w:rsidRPr="00A443C2">
              <w:rPr>
                <w:rFonts w:ascii="Tahoma" w:hAnsi="Tahoma" w:cs="Tahoma"/>
                <w:b/>
                <w:bCs/>
                <w:iCs/>
                <w:color w:val="243285"/>
                <w:szCs w:val="24"/>
              </w:rPr>
              <w:t>/</w:t>
            </w:r>
            <w:r w:rsidR="00A851F1">
              <w:rPr>
                <w:rFonts w:ascii="Tahoma" w:hAnsi="Tahoma" w:cs="Tahoma"/>
                <w:b/>
                <w:bCs/>
                <w:iCs/>
                <w:color w:val="243285"/>
                <w:szCs w:val="24"/>
              </w:rPr>
              <w:t>2012</w:t>
            </w:r>
            <w:r w:rsidRPr="00A443C2">
              <w:rPr>
                <w:rFonts w:ascii="Tahoma" w:hAnsi="Tahoma" w:cs="Tahoma"/>
                <w:b/>
                <w:bCs/>
                <w:iCs/>
                <w:color w:val="243285"/>
                <w:szCs w:val="24"/>
              </w:rPr>
              <w:t>)</w:t>
            </w:r>
          </w:p>
        </w:tc>
      </w:tr>
      <w:tr w:rsidR="001952EC" w:rsidRPr="00F54FBD" w:rsidTr="00243303">
        <w:tc>
          <w:tcPr>
            <w:tcW w:w="10089" w:type="dxa"/>
          </w:tcPr>
          <w:p w:rsidR="001952EC" w:rsidRDefault="001952EC" w:rsidP="00243303">
            <w:pPr>
              <w:spacing w:before="80" w:line="500" w:lineRule="exact"/>
              <w:jc w:val="right"/>
              <w:rPr>
                <w:rFonts w:ascii="Tahoma" w:hAnsi="Tahoma" w:cs="Tahoma"/>
                <w:b/>
                <w:bCs/>
                <w:iCs/>
                <w:color w:val="243285"/>
                <w:sz w:val="44"/>
                <w:szCs w:val="44"/>
              </w:rPr>
            </w:pPr>
          </w:p>
          <w:p w:rsidR="001952EC" w:rsidRDefault="00A851F1" w:rsidP="00243303">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et critères de protection des stations spatiales de réception et caractéristiques des stations terriennes d'émission du service de radionavigation par satellite (Terre vers espace) fonctionnant dans la bande 5 000-5 010 MHz</w:t>
            </w:r>
          </w:p>
          <w:p w:rsidR="001952EC" w:rsidRPr="00F54FBD" w:rsidRDefault="001952EC" w:rsidP="00243303">
            <w:pPr>
              <w:spacing w:before="80" w:line="500" w:lineRule="exact"/>
              <w:jc w:val="right"/>
              <w:rPr>
                <w:rFonts w:ascii="Tahoma" w:hAnsi="Tahoma" w:cs="Tahoma"/>
                <w:b/>
                <w:bCs/>
                <w:iCs/>
                <w:color w:val="243285"/>
                <w:sz w:val="44"/>
                <w:szCs w:val="44"/>
              </w:rPr>
            </w:pPr>
          </w:p>
        </w:tc>
      </w:tr>
      <w:tr w:rsidR="001952EC" w:rsidRPr="00F54FBD" w:rsidTr="00243303">
        <w:tc>
          <w:tcPr>
            <w:tcW w:w="10089" w:type="dxa"/>
          </w:tcPr>
          <w:p w:rsidR="001952EC" w:rsidRPr="00F54FBD" w:rsidRDefault="001952EC" w:rsidP="00243303">
            <w:pPr>
              <w:spacing w:before="80" w:line="280" w:lineRule="exact"/>
              <w:ind w:right="640"/>
              <w:rPr>
                <w:rFonts w:ascii="Tahoma" w:hAnsi="Tahoma" w:cs="Tahoma"/>
                <w:b/>
                <w:bCs/>
                <w:iCs/>
                <w:color w:val="243285"/>
                <w:sz w:val="32"/>
                <w:szCs w:val="32"/>
              </w:rPr>
            </w:pPr>
          </w:p>
          <w:p w:rsidR="001952EC" w:rsidRPr="00F54FBD" w:rsidRDefault="001952EC" w:rsidP="00243303">
            <w:pPr>
              <w:spacing w:before="80" w:line="280" w:lineRule="exact"/>
              <w:ind w:right="640"/>
              <w:rPr>
                <w:rFonts w:ascii="Tahoma" w:hAnsi="Tahoma" w:cs="Tahoma"/>
                <w:b/>
                <w:bCs/>
                <w:iCs/>
                <w:color w:val="243285"/>
                <w:sz w:val="32"/>
                <w:szCs w:val="32"/>
              </w:rPr>
            </w:pPr>
          </w:p>
          <w:p w:rsidR="001952EC" w:rsidRPr="00F54FBD" w:rsidRDefault="001952EC" w:rsidP="00243303">
            <w:pPr>
              <w:spacing w:before="80" w:after="180" w:line="360" w:lineRule="exact"/>
              <w:ind w:right="720"/>
              <w:rPr>
                <w:rFonts w:ascii="Tahoma" w:hAnsi="Tahoma" w:cs="Tahoma"/>
                <w:b/>
                <w:bCs/>
                <w:iCs/>
                <w:color w:val="243285"/>
                <w:sz w:val="36"/>
                <w:szCs w:val="36"/>
              </w:rPr>
            </w:pPr>
          </w:p>
          <w:p w:rsidR="001952EC" w:rsidRPr="00F54FBD" w:rsidRDefault="001952EC" w:rsidP="0024330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1952EC" w:rsidRPr="00F54FBD" w:rsidRDefault="001952EC" w:rsidP="0024330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1952EC" w:rsidRPr="00F54FBD" w:rsidRDefault="001952EC" w:rsidP="001952EC">
      <w:pPr>
        <w:spacing w:before="80"/>
        <w:rPr>
          <w:i/>
          <w:sz w:val="22"/>
        </w:rPr>
      </w:pPr>
    </w:p>
    <w:p w:rsidR="001952EC" w:rsidRPr="00F54FBD" w:rsidRDefault="001952EC" w:rsidP="001952EC">
      <w:pPr>
        <w:spacing w:before="80"/>
        <w:rPr>
          <w:i/>
          <w:sz w:val="22"/>
        </w:rPr>
      </w:pPr>
    </w:p>
    <w:p w:rsidR="001952EC" w:rsidRPr="00F54FBD" w:rsidRDefault="001952EC" w:rsidP="001952EC">
      <w:pPr>
        <w:spacing w:before="80"/>
        <w:rPr>
          <w:i/>
          <w:sz w:val="22"/>
        </w:rPr>
      </w:pPr>
    </w:p>
    <w:p w:rsidR="001952EC" w:rsidRPr="00F54FBD" w:rsidRDefault="001952EC" w:rsidP="001952EC">
      <w:pPr>
        <w:spacing w:before="80"/>
        <w:rPr>
          <w:i/>
          <w:sz w:val="22"/>
        </w:rPr>
      </w:pPr>
    </w:p>
    <w:p w:rsidR="001952EC" w:rsidRPr="00F54FBD" w:rsidRDefault="001952EC" w:rsidP="001952EC">
      <w:pPr>
        <w:spacing w:before="80"/>
        <w:rPr>
          <w:i/>
          <w:sz w:val="22"/>
        </w:rPr>
      </w:pPr>
    </w:p>
    <w:p w:rsidR="001952EC" w:rsidRPr="00F54FBD" w:rsidRDefault="001952EC" w:rsidP="001952EC">
      <w:pPr>
        <w:spacing w:before="80"/>
        <w:rPr>
          <w:i/>
          <w:sz w:val="22"/>
        </w:rPr>
      </w:pPr>
    </w:p>
    <w:p w:rsidR="001952EC" w:rsidRPr="00F54FBD" w:rsidRDefault="001952EC" w:rsidP="001952EC">
      <w:pPr>
        <w:pStyle w:val="Equation"/>
        <w:tabs>
          <w:tab w:val="clear" w:pos="4820"/>
          <w:tab w:val="clear" w:pos="9639"/>
          <w:tab w:val="left" w:pos="1191"/>
          <w:tab w:val="left" w:pos="1588"/>
          <w:tab w:val="left" w:pos="1985"/>
        </w:tabs>
        <w:rPr>
          <w:rFonts w:ascii="Palatino Linotype" w:hAnsi="Palatino Linotype"/>
        </w:rPr>
        <w:sectPr w:rsidR="001952EC" w:rsidRPr="00F54FBD">
          <w:headerReference w:type="even" r:id="rId7"/>
          <w:headerReference w:type="default" r:id="rId8"/>
          <w:pgSz w:w="11907" w:h="16840" w:code="9"/>
          <w:pgMar w:top="1089" w:right="1089" w:bottom="284" w:left="1089" w:header="567" w:footer="284" w:gutter="0"/>
          <w:pgNumType w:start="1"/>
          <w:cols w:space="720"/>
        </w:sectPr>
      </w:pPr>
    </w:p>
    <w:p w:rsidR="001952EC" w:rsidRPr="00F54FBD" w:rsidRDefault="001952EC" w:rsidP="00195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952EC" w:rsidRPr="00F54FBD" w:rsidRDefault="001952EC" w:rsidP="001952E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952EC" w:rsidRPr="00F54FBD" w:rsidRDefault="001952EC" w:rsidP="001952E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952EC" w:rsidRPr="00E44CBB" w:rsidRDefault="001952EC" w:rsidP="001952E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952EC" w:rsidRPr="00E44CBB" w:rsidRDefault="001952EC" w:rsidP="001952E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952EC" w:rsidRPr="00C95B6F" w:rsidRDefault="001952EC" w:rsidP="001952E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952EC" w:rsidRPr="009454F8" w:rsidTr="00243303">
        <w:tc>
          <w:tcPr>
            <w:tcW w:w="9360" w:type="dxa"/>
            <w:gridSpan w:val="2"/>
          </w:tcPr>
          <w:p w:rsidR="001952EC" w:rsidRPr="009454F8" w:rsidRDefault="001952EC" w:rsidP="0024330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952EC" w:rsidRPr="009454F8" w:rsidRDefault="001952EC" w:rsidP="00243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1952EC" w:rsidRPr="00036EE3" w:rsidTr="00243303">
        <w:tc>
          <w:tcPr>
            <w:tcW w:w="1140" w:type="dxa"/>
          </w:tcPr>
          <w:p w:rsidR="001952EC" w:rsidRPr="00614CC6" w:rsidRDefault="001952EC" w:rsidP="00243303">
            <w:pPr>
              <w:spacing w:before="90" w:after="100"/>
              <w:ind w:left="57"/>
              <w:rPr>
                <w:b/>
                <w:bCs/>
                <w:sz w:val="20"/>
                <w:lang w:val="en-US"/>
              </w:rPr>
            </w:pPr>
            <w:r w:rsidRPr="00614CC6">
              <w:rPr>
                <w:b/>
                <w:bCs/>
                <w:sz w:val="20"/>
                <w:lang w:val="en-US"/>
              </w:rPr>
              <w:t>Séries</w:t>
            </w:r>
          </w:p>
        </w:tc>
        <w:tc>
          <w:tcPr>
            <w:tcW w:w="8220" w:type="dxa"/>
          </w:tcPr>
          <w:p w:rsidR="001952EC" w:rsidRPr="00614CC6" w:rsidRDefault="001952EC" w:rsidP="00243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952EC" w:rsidRPr="00036EE3"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BO</w:t>
            </w:r>
          </w:p>
        </w:tc>
        <w:tc>
          <w:tcPr>
            <w:tcW w:w="8220" w:type="dxa"/>
          </w:tcPr>
          <w:p w:rsidR="001952EC" w:rsidRPr="00614CC6" w:rsidRDefault="001952EC" w:rsidP="00243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952EC" w:rsidRPr="009454F8"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BR</w:t>
            </w:r>
          </w:p>
        </w:tc>
        <w:tc>
          <w:tcPr>
            <w:tcW w:w="8220" w:type="dxa"/>
          </w:tcPr>
          <w:p w:rsidR="001952EC" w:rsidRPr="00614CC6" w:rsidRDefault="001952EC" w:rsidP="00243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952EC" w:rsidRPr="00036EE3"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BS</w:t>
            </w:r>
          </w:p>
        </w:tc>
        <w:tc>
          <w:tcPr>
            <w:tcW w:w="8220" w:type="dxa"/>
          </w:tcPr>
          <w:p w:rsidR="001952EC" w:rsidRPr="00614CC6" w:rsidRDefault="001952EC" w:rsidP="00243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952EC" w:rsidRPr="00ED2695" w:rsidTr="00243303">
        <w:tc>
          <w:tcPr>
            <w:tcW w:w="1140" w:type="dxa"/>
            <w:shd w:val="clear" w:color="auto" w:fill="auto"/>
          </w:tcPr>
          <w:p w:rsidR="001952EC" w:rsidRPr="00614CC6" w:rsidRDefault="001952EC" w:rsidP="00243303">
            <w:pPr>
              <w:spacing w:before="30" w:after="30"/>
              <w:ind w:left="57"/>
              <w:jc w:val="left"/>
              <w:rPr>
                <w:b/>
                <w:bCs/>
                <w:sz w:val="20"/>
                <w:lang w:val="en-US"/>
              </w:rPr>
            </w:pPr>
            <w:r w:rsidRPr="00614CC6">
              <w:rPr>
                <w:b/>
                <w:bCs/>
                <w:sz w:val="20"/>
                <w:lang w:val="en-US"/>
              </w:rPr>
              <w:t>BT</w:t>
            </w:r>
          </w:p>
        </w:tc>
        <w:tc>
          <w:tcPr>
            <w:tcW w:w="8220" w:type="dxa"/>
            <w:shd w:val="clear" w:color="auto" w:fill="auto"/>
          </w:tcPr>
          <w:p w:rsidR="001952EC" w:rsidRPr="00614CC6" w:rsidRDefault="001952EC" w:rsidP="00243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952EC" w:rsidRPr="00036EE3" w:rsidTr="00243303">
        <w:tc>
          <w:tcPr>
            <w:tcW w:w="1140" w:type="dxa"/>
            <w:shd w:val="clear" w:color="auto" w:fill="auto"/>
          </w:tcPr>
          <w:p w:rsidR="001952EC" w:rsidRPr="00614CC6" w:rsidRDefault="001952EC" w:rsidP="00243303">
            <w:pPr>
              <w:spacing w:before="30" w:after="30"/>
              <w:ind w:left="57"/>
              <w:jc w:val="left"/>
              <w:rPr>
                <w:b/>
                <w:bCs/>
                <w:sz w:val="20"/>
                <w:lang w:val="fr-CH"/>
              </w:rPr>
            </w:pPr>
            <w:r w:rsidRPr="00614CC6">
              <w:rPr>
                <w:b/>
                <w:bCs/>
                <w:sz w:val="20"/>
                <w:lang w:val="fr-CH"/>
              </w:rPr>
              <w:t>F</w:t>
            </w:r>
          </w:p>
        </w:tc>
        <w:tc>
          <w:tcPr>
            <w:tcW w:w="8220" w:type="dxa"/>
            <w:shd w:val="clear" w:color="auto" w:fill="auto"/>
          </w:tcPr>
          <w:p w:rsidR="001952EC" w:rsidRPr="00614CC6" w:rsidRDefault="001952EC" w:rsidP="002433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952EC" w:rsidRPr="00592F9F" w:rsidTr="00243303">
        <w:tc>
          <w:tcPr>
            <w:tcW w:w="1140" w:type="dxa"/>
            <w:shd w:val="clear" w:color="auto" w:fill="F3F3F3"/>
          </w:tcPr>
          <w:p w:rsidR="001952EC" w:rsidRPr="00592F9F" w:rsidRDefault="001952EC" w:rsidP="00243303">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1952EC" w:rsidRPr="00592F9F" w:rsidRDefault="001952EC" w:rsidP="00243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1952EC" w:rsidRPr="00036EE3" w:rsidTr="00243303">
        <w:tc>
          <w:tcPr>
            <w:tcW w:w="1140" w:type="dxa"/>
          </w:tcPr>
          <w:p w:rsidR="001952EC" w:rsidRPr="00614CC6" w:rsidRDefault="001952EC" w:rsidP="00243303">
            <w:pPr>
              <w:spacing w:before="30" w:after="30"/>
              <w:ind w:left="57"/>
              <w:jc w:val="left"/>
              <w:rPr>
                <w:b/>
                <w:bCs/>
                <w:sz w:val="20"/>
                <w:lang w:val="fr-CH"/>
              </w:rPr>
            </w:pPr>
            <w:r w:rsidRPr="00614CC6">
              <w:rPr>
                <w:b/>
                <w:bCs/>
                <w:sz w:val="20"/>
                <w:lang w:val="fr-CH"/>
              </w:rPr>
              <w:t>P</w:t>
            </w:r>
          </w:p>
        </w:tc>
        <w:tc>
          <w:tcPr>
            <w:tcW w:w="8220" w:type="dxa"/>
          </w:tcPr>
          <w:p w:rsidR="001952EC" w:rsidRPr="00614CC6" w:rsidRDefault="001952EC" w:rsidP="00243303">
            <w:pPr>
              <w:spacing w:before="30" w:after="30"/>
              <w:jc w:val="left"/>
              <w:rPr>
                <w:sz w:val="20"/>
                <w:lang w:val="fr-CH"/>
              </w:rPr>
            </w:pPr>
            <w:r w:rsidRPr="00614CC6">
              <w:rPr>
                <w:sz w:val="20"/>
              </w:rPr>
              <w:t>Propagation des ondes radioélectriques</w:t>
            </w:r>
          </w:p>
        </w:tc>
      </w:tr>
      <w:tr w:rsidR="001952EC" w:rsidRPr="00036EE3"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RA</w:t>
            </w:r>
          </w:p>
        </w:tc>
        <w:tc>
          <w:tcPr>
            <w:tcW w:w="8220" w:type="dxa"/>
          </w:tcPr>
          <w:p w:rsidR="001952EC" w:rsidRPr="00614CC6" w:rsidRDefault="001952EC" w:rsidP="002433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952EC" w:rsidRPr="00036EE3"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RS</w:t>
            </w:r>
          </w:p>
        </w:tc>
        <w:tc>
          <w:tcPr>
            <w:tcW w:w="8220" w:type="dxa"/>
          </w:tcPr>
          <w:p w:rsidR="001952EC" w:rsidRPr="00614CC6" w:rsidRDefault="001952EC" w:rsidP="002433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952EC" w:rsidRPr="00036EE3"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S</w:t>
            </w:r>
          </w:p>
        </w:tc>
        <w:tc>
          <w:tcPr>
            <w:tcW w:w="8220" w:type="dxa"/>
          </w:tcPr>
          <w:p w:rsidR="001952EC" w:rsidRPr="00614CC6" w:rsidRDefault="001952EC" w:rsidP="00243303">
            <w:pPr>
              <w:spacing w:before="30" w:after="30"/>
              <w:jc w:val="left"/>
              <w:rPr>
                <w:sz w:val="20"/>
                <w:lang w:val="en-US"/>
              </w:rPr>
            </w:pPr>
            <w:r w:rsidRPr="00614CC6">
              <w:rPr>
                <w:sz w:val="20"/>
              </w:rPr>
              <w:t>Service fixe par satellite</w:t>
            </w:r>
          </w:p>
        </w:tc>
      </w:tr>
      <w:tr w:rsidR="001952EC" w:rsidRPr="00036EE3"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SA</w:t>
            </w:r>
          </w:p>
        </w:tc>
        <w:tc>
          <w:tcPr>
            <w:tcW w:w="8220" w:type="dxa"/>
          </w:tcPr>
          <w:p w:rsidR="001952EC" w:rsidRPr="00614CC6" w:rsidRDefault="001952EC" w:rsidP="00243303">
            <w:pPr>
              <w:spacing w:before="30" w:after="30"/>
              <w:jc w:val="left"/>
              <w:rPr>
                <w:sz w:val="20"/>
                <w:lang w:val="en-US"/>
              </w:rPr>
            </w:pPr>
            <w:r w:rsidRPr="00614CC6">
              <w:rPr>
                <w:sz w:val="20"/>
              </w:rPr>
              <w:t>Applications spatiales et météorologie</w:t>
            </w:r>
          </w:p>
        </w:tc>
      </w:tr>
      <w:tr w:rsidR="001952EC" w:rsidRPr="00614CC6"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SF</w:t>
            </w:r>
          </w:p>
        </w:tc>
        <w:tc>
          <w:tcPr>
            <w:tcW w:w="8220" w:type="dxa"/>
          </w:tcPr>
          <w:p w:rsidR="001952EC" w:rsidRPr="00614CC6" w:rsidRDefault="001952EC" w:rsidP="00243303">
            <w:pPr>
              <w:spacing w:before="30" w:after="30"/>
              <w:jc w:val="left"/>
              <w:rPr>
                <w:sz w:val="20"/>
              </w:rPr>
            </w:pPr>
            <w:r w:rsidRPr="00614CC6">
              <w:rPr>
                <w:sz w:val="20"/>
              </w:rPr>
              <w:t>Partage des fréquences et coordination entre les systèmes du service fixe par satellite et du service fixe</w:t>
            </w:r>
          </w:p>
        </w:tc>
      </w:tr>
      <w:tr w:rsidR="001952EC" w:rsidRPr="00036EE3" w:rsidTr="00243303">
        <w:tc>
          <w:tcPr>
            <w:tcW w:w="1140" w:type="dxa"/>
            <w:shd w:val="clear" w:color="auto" w:fill="auto"/>
          </w:tcPr>
          <w:p w:rsidR="001952EC" w:rsidRPr="00592F9F" w:rsidRDefault="001952EC" w:rsidP="00243303">
            <w:pPr>
              <w:spacing w:before="30" w:after="30"/>
              <w:ind w:left="57"/>
              <w:jc w:val="left"/>
              <w:rPr>
                <w:b/>
                <w:bCs/>
                <w:sz w:val="20"/>
                <w:lang w:val="en-US"/>
              </w:rPr>
            </w:pPr>
            <w:r w:rsidRPr="00592F9F">
              <w:rPr>
                <w:b/>
                <w:bCs/>
                <w:sz w:val="20"/>
                <w:lang w:val="en-US"/>
              </w:rPr>
              <w:t>SM</w:t>
            </w:r>
          </w:p>
        </w:tc>
        <w:tc>
          <w:tcPr>
            <w:tcW w:w="8220" w:type="dxa"/>
            <w:shd w:val="clear" w:color="auto" w:fill="auto"/>
          </w:tcPr>
          <w:p w:rsidR="001952EC" w:rsidRPr="00592F9F" w:rsidRDefault="001952EC" w:rsidP="00243303">
            <w:pPr>
              <w:spacing w:before="30" w:after="30"/>
              <w:jc w:val="left"/>
              <w:rPr>
                <w:sz w:val="20"/>
                <w:lang w:val="en-US"/>
              </w:rPr>
            </w:pPr>
            <w:r w:rsidRPr="00592F9F">
              <w:rPr>
                <w:sz w:val="20"/>
              </w:rPr>
              <w:t>Gestion du spectre</w:t>
            </w:r>
          </w:p>
        </w:tc>
      </w:tr>
      <w:tr w:rsidR="001952EC" w:rsidRPr="00036EE3"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SNG</w:t>
            </w:r>
          </w:p>
        </w:tc>
        <w:tc>
          <w:tcPr>
            <w:tcW w:w="8220" w:type="dxa"/>
          </w:tcPr>
          <w:p w:rsidR="001952EC" w:rsidRPr="00614CC6" w:rsidRDefault="001952EC" w:rsidP="00243303">
            <w:pPr>
              <w:spacing w:before="30" w:after="30"/>
              <w:jc w:val="left"/>
              <w:rPr>
                <w:sz w:val="20"/>
                <w:lang w:val="en-US"/>
              </w:rPr>
            </w:pPr>
            <w:r w:rsidRPr="00614CC6">
              <w:rPr>
                <w:sz w:val="20"/>
              </w:rPr>
              <w:t>Reportage d'actualités par satellite</w:t>
            </w:r>
          </w:p>
        </w:tc>
      </w:tr>
      <w:tr w:rsidR="001952EC" w:rsidRPr="00614CC6"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TF</w:t>
            </w:r>
          </w:p>
        </w:tc>
        <w:tc>
          <w:tcPr>
            <w:tcW w:w="8220" w:type="dxa"/>
          </w:tcPr>
          <w:p w:rsidR="001952EC" w:rsidRPr="00614CC6" w:rsidRDefault="001952EC" w:rsidP="00243303">
            <w:pPr>
              <w:spacing w:before="30" w:after="30"/>
              <w:jc w:val="left"/>
              <w:rPr>
                <w:sz w:val="20"/>
              </w:rPr>
            </w:pPr>
            <w:r w:rsidRPr="00614CC6">
              <w:rPr>
                <w:sz w:val="20"/>
              </w:rPr>
              <w:t>Emissions de fréquences étalon et de signaux horaires</w:t>
            </w:r>
          </w:p>
        </w:tc>
      </w:tr>
      <w:tr w:rsidR="001952EC" w:rsidRPr="00036EE3" w:rsidTr="00243303">
        <w:tc>
          <w:tcPr>
            <w:tcW w:w="1140" w:type="dxa"/>
          </w:tcPr>
          <w:p w:rsidR="001952EC" w:rsidRPr="00614CC6" w:rsidRDefault="001952EC" w:rsidP="00243303">
            <w:pPr>
              <w:spacing w:before="30" w:after="30"/>
              <w:ind w:left="57"/>
              <w:jc w:val="left"/>
              <w:rPr>
                <w:b/>
                <w:bCs/>
                <w:sz w:val="20"/>
                <w:lang w:val="en-US"/>
              </w:rPr>
            </w:pPr>
            <w:r w:rsidRPr="00614CC6">
              <w:rPr>
                <w:b/>
                <w:bCs/>
                <w:sz w:val="20"/>
                <w:lang w:val="en-US"/>
              </w:rPr>
              <w:t>V</w:t>
            </w:r>
          </w:p>
        </w:tc>
        <w:tc>
          <w:tcPr>
            <w:tcW w:w="8220" w:type="dxa"/>
          </w:tcPr>
          <w:p w:rsidR="001952EC" w:rsidRPr="00614CC6" w:rsidRDefault="001952EC" w:rsidP="00243303">
            <w:pPr>
              <w:spacing w:before="30" w:after="140"/>
              <w:jc w:val="left"/>
              <w:rPr>
                <w:sz w:val="20"/>
                <w:lang w:val="en-US"/>
              </w:rPr>
            </w:pPr>
            <w:r w:rsidRPr="00614CC6">
              <w:rPr>
                <w:sz w:val="20"/>
              </w:rPr>
              <w:t>Vocabulaire et sujets associés</w:t>
            </w:r>
          </w:p>
        </w:tc>
      </w:tr>
    </w:tbl>
    <w:p w:rsidR="001952EC" w:rsidRPr="00036EE3" w:rsidRDefault="001952EC" w:rsidP="001952EC">
      <w:pPr>
        <w:spacing w:before="0"/>
        <w:jc w:val="center"/>
        <w:rPr>
          <w:sz w:val="20"/>
          <w:lang w:val="en-US"/>
        </w:rPr>
      </w:pPr>
    </w:p>
    <w:p w:rsidR="001952EC" w:rsidRPr="00036EE3" w:rsidRDefault="001952EC" w:rsidP="001952E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952EC" w:rsidRPr="00756B4D" w:rsidTr="00243303">
        <w:tc>
          <w:tcPr>
            <w:tcW w:w="9360" w:type="dxa"/>
          </w:tcPr>
          <w:p w:rsidR="001952EC" w:rsidRPr="00756B4D" w:rsidRDefault="001952EC" w:rsidP="0024330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952EC" w:rsidRPr="00756B4D" w:rsidRDefault="001952EC" w:rsidP="001952EC">
      <w:pPr>
        <w:spacing w:before="0"/>
        <w:jc w:val="center"/>
        <w:rPr>
          <w:sz w:val="22"/>
        </w:rPr>
      </w:pPr>
    </w:p>
    <w:p w:rsidR="001952EC" w:rsidRPr="00614CC6" w:rsidRDefault="001952EC" w:rsidP="001952EC">
      <w:pPr>
        <w:spacing w:before="100"/>
        <w:jc w:val="right"/>
        <w:rPr>
          <w:i/>
          <w:iCs/>
          <w:sz w:val="20"/>
        </w:rPr>
      </w:pPr>
      <w:r w:rsidRPr="00614CC6">
        <w:rPr>
          <w:i/>
          <w:iCs/>
          <w:sz w:val="20"/>
        </w:rPr>
        <w:t>Publication électronique</w:t>
      </w:r>
    </w:p>
    <w:p w:rsidR="001952EC" w:rsidRPr="00614CC6" w:rsidRDefault="001952EC" w:rsidP="001952EC">
      <w:pPr>
        <w:spacing w:before="0"/>
        <w:jc w:val="right"/>
        <w:rPr>
          <w:sz w:val="20"/>
        </w:rPr>
      </w:pPr>
      <w:r w:rsidRPr="00614CC6">
        <w:rPr>
          <w:sz w:val="20"/>
        </w:rPr>
        <w:t>Genève, 20</w:t>
      </w:r>
      <w:r>
        <w:rPr>
          <w:sz w:val="20"/>
        </w:rPr>
        <w:t>12</w:t>
      </w:r>
    </w:p>
    <w:p w:rsidR="001952EC" w:rsidRPr="00614CC6" w:rsidRDefault="001952EC" w:rsidP="001952E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1952EC" w:rsidRPr="00614CC6" w:rsidRDefault="001952EC" w:rsidP="001952E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952EC" w:rsidRPr="00614CC6" w:rsidRDefault="001952EC" w:rsidP="001952EC">
      <w:pPr>
        <w:spacing w:before="160"/>
        <w:rPr>
          <w:i/>
          <w:sz w:val="20"/>
          <w:highlight w:val="yellow"/>
        </w:rPr>
        <w:sectPr w:rsidR="001952E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1952EC" w:rsidRPr="00756B4D" w:rsidRDefault="001952EC" w:rsidP="00D90A29">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D90A29">
        <w:rPr>
          <w:rStyle w:val="href"/>
        </w:rPr>
        <w:t>1906</w:t>
      </w:r>
      <w:r w:rsidR="0027287C" w:rsidRPr="007C2042">
        <w:rPr>
          <w:rStyle w:val="FootnoteReference"/>
        </w:rPr>
        <w:footnoteReference w:id="1"/>
      </w:r>
    </w:p>
    <w:p w:rsidR="00711C86" w:rsidRPr="007C2042" w:rsidRDefault="00711C86" w:rsidP="00711C86">
      <w:pPr>
        <w:pStyle w:val="Rectitle"/>
      </w:pPr>
      <w:r w:rsidRPr="007C2042">
        <w:t xml:space="preserve">Caractéristiques et critères de protection des stations spatiales </w:t>
      </w:r>
      <w:r w:rsidRPr="007C2042">
        <w:br/>
        <w:t xml:space="preserve">de réception et caractéristiques des stations terriennes d'émission </w:t>
      </w:r>
      <w:r w:rsidRPr="007C2042">
        <w:br/>
        <w:t xml:space="preserve">du service de radionavigation par satellite (Terre vers espace) </w:t>
      </w:r>
      <w:r w:rsidRPr="007C2042">
        <w:br/>
        <w:t>fonctionnant dans la bande 5 000-5 010 MHz</w:t>
      </w:r>
    </w:p>
    <w:p w:rsidR="00711C86" w:rsidRPr="007C2042" w:rsidRDefault="00711C86" w:rsidP="00711C86">
      <w:pPr>
        <w:pStyle w:val="Recref"/>
      </w:pPr>
      <w:r w:rsidRPr="007C2042">
        <w:t>(Questions UIT</w:t>
      </w:r>
      <w:r w:rsidRPr="007C2042">
        <w:noBreakHyphen/>
        <w:t>R 217-2/4 et UIT</w:t>
      </w:r>
      <w:r w:rsidRPr="007C2042">
        <w:noBreakHyphen/>
        <w:t>R 288/4)</w:t>
      </w:r>
    </w:p>
    <w:p w:rsidR="00711C86" w:rsidRPr="007C2042" w:rsidRDefault="00711C86" w:rsidP="00711C86">
      <w:pPr>
        <w:pStyle w:val="Recdate"/>
      </w:pPr>
      <w:r w:rsidRPr="007C2042">
        <w:t>(2012)</w:t>
      </w:r>
    </w:p>
    <w:p w:rsidR="00711C86" w:rsidRPr="007C2042" w:rsidRDefault="00711C86" w:rsidP="00711C86">
      <w:pPr>
        <w:pStyle w:val="HeadingSum"/>
        <w:rPr>
          <w:lang w:val="fr-FR"/>
        </w:rPr>
      </w:pPr>
      <w:r w:rsidRPr="007C2042">
        <w:rPr>
          <w:lang w:val="fr-FR"/>
        </w:rPr>
        <w:t>Domaine d'application</w:t>
      </w:r>
    </w:p>
    <w:p w:rsidR="00711C86" w:rsidRPr="007C2042" w:rsidRDefault="00711C86" w:rsidP="00711C86">
      <w:pPr>
        <w:pStyle w:val="Summary"/>
        <w:rPr>
          <w:lang w:val="fr-FR"/>
        </w:rPr>
      </w:pPr>
      <w:r w:rsidRPr="007C2042">
        <w:rPr>
          <w:lang w:val="fr-FR"/>
        </w:rPr>
        <w:t>Les caractéristiques et les critères de protection applicables aux stations spatiales de réception du service de radionavigation par satellite (SRNS) et les caractéristiques des stations terriennes d'émission du SRNS exploitées ou qu'il est prévu d'exploiter dans la bande 5 000-5 010 MHz sont présentés dans cette Recommandation. Ces informations sont destinées à être utilisées pour analyser l'incidence des brouillages radioélectriques causés aux systèmes et réseaux du SRNS (Terre vers espace) fonctionnant dans cette bande par des sources radioélectriques autres que celles du SRNS.</w:t>
      </w:r>
    </w:p>
    <w:p w:rsidR="00711C86" w:rsidRPr="007C2042" w:rsidRDefault="00711C86" w:rsidP="00711C86">
      <w:pPr>
        <w:pStyle w:val="Normalaftertitle"/>
      </w:pPr>
      <w:r w:rsidRPr="007C2042">
        <w:t>L'Assemblée des radiocommunications de l'UIT,</w:t>
      </w:r>
    </w:p>
    <w:p w:rsidR="00711C86" w:rsidRPr="007C2042" w:rsidRDefault="00711C86" w:rsidP="00711C86">
      <w:pPr>
        <w:pStyle w:val="Call"/>
      </w:pPr>
      <w:r w:rsidRPr="007C2042">
        <w:t>considérant</w:t>
      </w:r>
    </w:p>
    <w:p w:rsidR="00711C86" w:rsidRPr="007C2042" w:rsidRDefault="00711C86" w:rsidP="00711C86">
      <w:r w:rsidRPr="007C2042">
        <w:t>a)</w:t>
      </w:r>
      <w:r w:rsidRPr="007C2042">
        <w:tab/>
        <w:t>que les systèmes et réseaux du service de radionavigation par satellite (SRNS) permettent de disposer dans le monde entier d'informations précises pour de nombreuses applications de localisation, de navigation et de référence de temps, y compris d'informations sur les aspects de sécurité pour certaines bandes de fréquences, dans certaines circonstances et pour certaines applications;</w:t>
      </w:r>
    </w:p>
    <w:p w:rsidR="00711C86" w:rsidRPr="007C2042" w:rsidRDefault="00711C86" w:rsidP="00711C86">
      <w:r w:rsidRPr="007C2042">
        <w:t>b)</w:t>
      </w:r>
      <w:r w:rsidRPr="007C2042">
        <w:tab/>
        <w:t xml:space="preserve">qu'il existe plusieurs systèmes et réseaux du SRNS opérationnels ou en projet; </w:t>
      </w:r>
    </w:p>
    <w:p w:rsidR="00711C86" w:rsidRPr="007C2042" w:rsidRDefault="00711C86" w:rsidP="00711C86">
      <w:r w:rsidRPr="007C2042">
        <w:t>c)</w:t>
      </w:r>
      <w:r w:rsidRPr="007C2042">
        <w:tab/>
        <w:t>que les brouillages causés aux systèmes et réseaux du SRNS par d'autres services de radiocommunication font actuellement l'objet d'études;</w:t>
      </w:r>
    </w:p>
    <w:p w:rsidR="00711C86" w:rsidRPr="007C2042" w:rsidRDefault="00711C86" w:rsidP="00711C86">
      <w:pPr>
        <w:rPr>
          <w:szCs w:val="24"/>
        </w:rPr>
      </w:pPr>
      <w:r w:rsidRPr="007C2042">
        <w:rPr>
          <w:szCs w:val="24"/>
        </w:rPr>
        <w:t>d)</w:t>
      </w:r>
      <w:r w:rsidRPr="007C2042">
        <w:rPr>
          <w:szCs w:val="24"/>
        </w:rPr>
        <w:tab/>
        <w:t>que la Recommandation UIT</w:t>
      </w:r>
      <w:r w:rsidRPr="007C2042">
        <w:rPr>
          <w:szCs w:val="24"/>
        </w:rPr>
        <w:noBreakHyphen/>
        <w:t>R M.1901 donne des orientations générales sur les Recommandations UIT</w:t>
      </w:r>
      <w:r w:rsidRPr="007C2042">
        <w:rPr>
          <w:szCs w:val="24"/>
        </w:rPr>
        <w:noBreakHyphen/>
        <w:t>R relatives aux systèmes et réseaux du SRNS,</w:t>
      </w:r>
    </w:p>
    <w:p w:rsidR="00711C86" w:rsidRPr="007C2042" w:rsidRDefault="00711C86" w:rsidP="00711C86">
      <w:pPr>
        <w:pStyle w:val="Call"/>
        <w:rPr>
          <w:snapToGrid w:val="0"/>
        </w:rPr>
      </w:pPr>
      <w:r w:rsidRPr="007C2042">
        <w:rPr>
          <w:snapToGrid w:val="0"/>
        </w:rPr>
        <w:t>reconnaissant</w:t>
      </w:r>
    </w:p>
    <w:p w:rsidR="00711C86" w:rsidRPr="007C2042" w:rsidRDefault="00711C86" w:rsidP="00711C86">
      <w:r w:rsidRPr="007C2042">
        <w:t>a)</w:t>
      </w:r>
      <w:r w:rsidRPr="007C2042">
        <w:tab/>
        <w:t>que la bande 5 000-5 010 MHz est attribuée à l'échelle mondiale à titre primaire au SRNS (Terre vers espace);</w:t>
      </w:r>
    </w:p>
    <w:p w:rsidR="00711C86" w:rsidRPr="007C2042" w:rsidRDefault="00711C86" w:rsidP="00711C86">
      <w:r w:rsidRPr="007C2042">
        <w:t>b)</w:t>
      </w:r>
      <w:r w:rsidRPr="007C2042">
        <w:tab/>
        <w:t>que la bande 5 000-5 010 MHz est aussi attribuée à l'échelle mondiale à titre primaire au service de radionavigation aéronautique (SRNA);</w:t>
      </w:r>
    </w:p>
    <w:p w:rsidR="00711C86" w:rsidRPr="007C2042" w:rsidRDefault="00711C86" w:rsidP="00711C86">
      <w:r w:rsidRPr="007C2042">
        <w:t>c)</w:t>
      </w:r>
      <w:r w:rsidRPr="007C2042">
        <w:tab/>
        <w:t>que la bande 5 000-5 010 MHz est aussi attribuée à l'échelle mondiale à titre primaire au service mobile aéronautique (le long des routes) par satellite (SMA(R)S) en vertu du numéro 5.367 du Règlement des radiocommunications (RR)</w:t>
      </w:r>
      <w:r w:rsidRPr="007C2042">
        <w:rPr>
          <w:lang w:eastAsia="ja-JP"/>
        </w:rPr>
        <w:t xml:space="preserve"> sous réserve de l'application du numéro </w:t>
      </w:r>
      <w:smartTag w:uri="urn:schemas-microsoft-com:office:smarttags" w:element="stockticker">
        <w:r w:rsidRPr="007C2042">
          <w:rPr>
            <w:lang w:eastAsia="ja-JP"/>
          </w:rPr>
          <w:t>9.21</w:t>
        </w:r>
      </w:smartTag>
      <w:r w:rsidRPr="007C2042">
        <w:rPr>
          <w:lang w:eastAsia="ja-JP"/>
        </w:rPr>
        <w:t xml:space="preserve"> du RR</w:t>
      </w:r>
      <w:r w:rsidRPr="007C2042">
        <w:t>,</w:t>
      </w:r>
    </w:p>
    <w:p w:rsidR="00711C86" w:rsidRPr="007C2042" w:rsidRDefault="00711C86" w:rsidP="00711C86">
      <w:pPr>
        <w:pStyle w:val="Call"/>
        <w:rPr>
          <w:snapToGrid w:val="0"/>
        </w:rPr>
      </w:pPr>
      <w:r w:rsidRPr="007C2042">
        <w:rPr>
          <w:snapToGrid w:val="0"/>
        </w:rPr>
        <w:lastRenderedPageBreak/>
        <w:t>recommande</w:t>
      </w:r>
    </w:p>
    <w:p w:rsidR="00711C86" w:rsidRPr="007C2042" w:rsidRDefault="00711C86" w:rsidP="008275F9">
      <w:pPr>
        <w:keepNext/>
        <w:keepLines/>
        <w:rPr>
          <w:snapToGrid w:val="0"/>
        </w:rPr>
      </w:pPr>
      <w:r w:rsidRPr="007C2042">
        <w:rPr>
          <w:b/>
          <w:snapToGrid w:val="0"/>
        </w:rPr>
        <w:t>1</w:t>
      </w:r>
      <w:r w:rsidRPr="007C2042">
        <w:rPr>
          <w:snapToGrid w:val="0"/>
        </w:rPr>
        <w:tab/>
        <w:t xml:space="preserve">que, pour analyser l'incidence des brouillages radioélectriques causés aux systèmes et réseaux du SRNS (Terre vers espace) fonctionnant dans la bande </w:t>
      </w:r>
      <w:r w:rsidRPr="007C2042">
        <w:t xml:space="preserve">5 000-5 010 MHz </w:t>
      </w:r>
      <w:r w:rsidRPr="007C2042">
        <w:rPr>
          <w:snapToGrid w:val="0"/>
        </w:rPr>
        <w:t>par des sources radioélectriques autres que celles du SRNS, on utilise les caractéristiques et les critères de protection des stations spatiales de réception et les caractéristiques des stations terriennes d'émission figurant dans les Annexes 1, 2 et 3;</w:t>
      </w:r>
    </w:p>
    <w:p w:rsidR="00711C86" w:rsidRPr="007C2042" w:rsidRDefault="00711C86" w:rsidP="00711C86">
      <w:pPr>
        <w:rPr>
          <w:snapToGrid w:val="0"/>
        </w:rPr>
      </w:pPr>
      <w:r w:rsidRPr="007C2042">
        <w:rPr>
          <w:b/>
          <w:bCs/>
          <w:snapToGrid w:val="0"/>
        </w:rPr>
        <w:t>2</w:t>
      </w:r>
      <w:r w:rsidRPr="007C2042">
        <w:rPr>
          <w:snapToGrid w:val="0"/>
        </w:rPr>
        <w:tab/>
        <w:t>que la marge pour les brouillages causés aux systèmes et réseaux du SRNS (</w:t>
      </w:r>
      <w:r w:rsidRPr="007C2042">
        <w:rPr>
          <w:snapToGrid w:val="0"/>
          <w:lang w:eastAsia="ja-JP"/>
        </w:rPr>
        <w:t xml:space="preserve">Terre vers </w:t>
      </w:r>
      <w:r w:rsidRPr="007C2042">
        <w:rPr>
          <w:snapToGrid w:val="0"/>
        </w:rPr>
        <w:t>e</w:t>
      </w:r>
      <w:r w:rsidRPr="007C2042">
        <w:rPr>
          <w:snapToGrid w:val="0"/>
          <w:lang w:eastAsia="ja-JP"/>
        </w:rPr>
        <w:t>space</w:t>
      </w:r>
      <w:r w:rsidRPr="007C2042">
        <w:rPr>
          <w:snapToGrid w:val="0"/>
        </w:rPr>
        <w:t xml:space="preserve">) </w:t>
      </w:r>
      <w:r w:rsidRPr="007C2042">
        <w:rPr>
          <w:snapToGrid w:val="0"/>
          <w:lang w:eastAsia="ja-JP"/>
        </w:rPr>
        <w:t xml:space="preserve">fonctionnant dans la bande </w:t>
      </w:r>
      <w:r w:rsidRPr="007C2042">
        <w:t>5 000-5 010 MHz</w:t>
      </w:r>
      <w:r w:rsidRPr="007C2042">
        <w:rPr>
          <w:snapToGrid w:val="0"/>
        </w:rPr>
        <w:t xml:space="preserve"> par toutes les sources radioélectriques des services autres que le SRNS bénéficiant d'une attribution à titre primaire dans la bande, ne dépasse pas 6% du bruit du système de réception du SRNS.</w:t>
      </w:r>
    </w:p>
    <w:p w:rsidR="00711C86" w:rsidRPr="007C2042" w:rsidRDefault="00711C86" w:rsidP="00711C86">
      <w:pPr>
        <w:rPr>
          <w:snapToGrid w:val="0"/>
        </w:rPr>
      </w:pPr>
    </w:p>
    <w:p w:rsidR="00711C86" w:rsidRDefault="00711C86" w:rsidP="00711C86">
      <w:pPr>
        <w:rPr>
          <w:snapToGrid w:val="0"/>
        </w:rPr>
      </w:pPr>
    </w:p>
    <w:p w:rsidR="00711C86" w:rsidRDefault="00711C86" w:rsidP="00711C86">
      <w:pPr>
        <w:rPr>
          <w:snapToGrid w:val="0"/>
        </w:rPr>
      </w:pPr>
    </w:p>
    <w:p w:rsidR="00711C86" w:rsidRPr="007C2042" w:rsidRDefault="00711C86" w:rsidP="00711C86">
      <w:pPr>
        <w:rPr>
          <w:snapToGrid w:val="0"/>
        </w:rPr>
      </w:pPr>
    </w:p>
    <w:p w:rsidR="00711C86" w:rsidRPr="007C2042" w:rsidRDefault="00711C86" w:rsidP="00711C86">
      <w:pPr>
        <w:pStyle w:val="AnnexNoTitle"/>
      </w:pPr>
      <w:r w:rsidRPr="007C2042">
        <w:t>Annexe 1</w:t>
      </w:r>
      <w:r w:rsidRPr="007C2042">
        <w:br/>
      </w:r>
      <w:r w:rsidRPr="007C2042">
        <w:br/>
        <w:t xml:space="preserve">Caractéristiques techniques et critères de protection des stations spatiales </w:t>
      </w:r>
      <w:r w:rsidR="00D608A1">
        <w:br/>
      </w:r>
      <w:r w:rsidRPr="007C2042">
        <w:t xml:space="preserve">de réception et caractéristiques des stations terriennes d'émission </w:t>
      </w:r>
      <w:r w:rsidR="00D608A1">
        <w:br/>
      </w:r>
      <w:r w:rsidRPr="007C2042">
        <w:t>du système Galileo fonctionnant dans la bande 5 000</w:t>
      </w:r>
      <w:r w:rsidRPr="007C2042">
        <w:noBreakHyphen/>
        <w:t>5 010 MHz</w:t>
      </w:r>
    </w:p>
    <w:p w:rsidR="00711C86" w:rsidRPr="007C2042" w:rsidRDefault="00711C86" w:rsidP="00711C86">
      <w:pPr>
        <w:pStyle w:val="Heading1"/>
      </w:pPr>
      <w:r w:rsidRPr="007C2042">
        <w:t>1</w:t>
      </w:r>
      <w:r w:rsidRPr="007C2042">
        <w:tab/>
        <w:t>Introduction</w:t>
      </w:r>
    </w:p>
    <w:p w:rsidR="00711C86" w:rsidRPr="007C2042" w:rsidRDefault="00711C86" w:rsidP="00711C86">
      <w:r w:rsidRPr="007C2042">
        <w:t xml:space="preserve">Cette bande est utilisée par le système Galileo pour l'exploitation de stations de liaison de connexion qui transmettent aux satellites des informations relatives aux missions de navigation. Les liaisons de connexion permettent de transférer aux satellites Galileo toutes les informations utiles relatives au système et aux missions de navigation, notamment les éphémérides, les informations de correction d'horloge, les messages d'intégrité de service et tous les autres éléments de données du message de navigation qui nécessitent des mises à jour continues. </w:t>
      </w:r>
    </w:p>
    <w:p w:rsidR="00711C86" w:rsidRPr="007C2042" w:rsidRDefault="00711C86" w:rsidP="00711C86">
      <w:r w:rsidRPr="007C2042">
        <w:t>Les liaisons de connexion ne sont pas destinées à être utilisées pour l'accès des utilisateurs. Jusqu'à 20 stations terriennes de liaison montante, utilisant l'attribution au SRNS (Terre vers espace) dans la bande 5 000-5 010 MHz, sont exploitées depuis des emplacements géographiques dans le monde entier pour permettre l'accès à chaque satellite de la constellation à tout moment.</w:t>
      </w:r>
    </w:p>
    <w:p w:rsidR="00711C86" w:rsidRPr="007C2042" w:rsidRDefault="00711C86" w:rsidP="00711C86">
      <w:r w:rsidRPr="007C2042">
        <w:t>L'architecture du système comporte:</w:t>
      </w:r>
    </w:p>
    <w:p w:rsidR="00711C86" w:rsidRPr="007C2042" w:rsidRDefault="00711C86" w:rsidP="00711C86">
      <w:pPr>
        <w:pStyle w:val="enumlev1"/>
      </w:pPr>
      <w:r w:rsidRPr="007C2042">
        <w:t>−</w:t>
      </w:r>
      <w:r w:rsidRPr="007C2042">
        <w:tab/>
        <w:t>un segment spatial avec 27 satellites actifs espacés régulièrement sur trois orbites terrestres circulaires à une altitude de 23 222 km, chaque plan orbital étant incliné de 54° par rapport à l'équateur;</w:t>
      </w:r>
    </w:p>
    <w:p w:rsidR="00711C86" w:rsidRPr="007C2042" w:rsidRDefault="00711C86" w:rsidP="00711C86">
      <w:pPr>
        <w:pStyle w:val="enumlev1"/>
      </w:pPr>
      <w:r w:rsidRPr="007C2042">
        <w:t>–</w:t>
      </w:r>
      <w:r w:rsidRPr="007C2042">
        <w:tab/>
        <w:t>un segment au sol de contrôle assurant la surveillance et le contrôle du système et des satellites, fonctionnant à une fréquence de 2 GHz pour le contrôle de satellite (télécommande et télémesure);</w:t>
      </w:r>
    </w:p>
    <w:p w:rsidR="00711C86" w:rsidRPr="007C2042" w:rsidRDefault="00711C86" w:rsidP="00711C86">
      <w:pPr>
        <w:pStyle w:val="enumlev1"/>
      </w:pPr>
      <w:r w:rsidRPr="007C2042">
        <w:t>−</w:t>
      </w:r>
      <w:r w:rsidRPr="007C2042">
        <w:tab/>
        <w:t xml:space="preserve">un segment au sol de mission qui téléverse les données en vue d'une radiodiffusion des messages d'intégrité aux utilisateurs via les satellites Galileo. </w:t>
      </w:r>
    </w:p>
    <w:p w:rsidR="00711C86" w:rsidRPr="007C2042" w:rsidRDefault="00711C86" w:rsidP="00711C86">
      <w:r w:rsidRPr="007C2042">
        <w:t xml:space="preserve">Les éléments de données concernant les éphémérides orbitales et les informations d'intégrité de service sont calculés à partir de mesures déterminées et traitées par un réseau mondial de stations de surveillance Galileo. L'un des éléments essentiels est la diffusion d'informations d'intégrité aux </w:t>
      </w:r>
      <w:r w:rsidRPr="007C2042">
        <w:lastRenderedPageBreak/>
        <w:t xml:space="preserve">récepteurs d'utilisateur dans le service Galileo de sécurité de la vie humaine (SoL, </w:t>
      </w:r>
      <w:r w:rsidRPr="007C2042">
        <w:rPr>
          <w:i/>
          <w:iCs/>
        </w:rPr>
        <w:t>safety of life</w:t>
      </w:r>
      <w:r w:rsidRPr="007C2042">
        <w:t xml:space="preserve">). Ces informations </w:t>
      </w:r>
      <w:r>
        <w:t xml:space="preserve">sont </w:t>
      </w:r>
      <w:r w:rsidRPr="007C2042">
        <w:t xml:space="preserve">acheminées sur les liaisons montantes de connexion à 5 GHz et doivent, conformément aux spécifications, parvenir aux récepteurs d'utilisateur dans un délai de six secondes après la détection de limites prédéfinies de dégradation de service. Les informations de localisation et de référence de temps SoL sont fournies via les signaux E5. </w:t>
      </w:r>
    </w:p>
    <w:p w:rsidR="00711C86" w:rsidRPr="007C2042" w:rsidRDefault="00711C86" w:rsidP="00711C86">
      <w:pPr>
        <w:pStyle w:val="Heading1"/>
      </w:pPr>
      <w:r w:rsidRPr="007C2042">
        <w:t>2</w:t>
      </w:r>
      <w:r w:rsidRPr="007C2042">
        <w:tab/>
        <w:t xml:space="preserve">Caractéristiques des liaisons montantes de connexion Galileo </w:t>
      </w:r>
    </w:p>
    <w:p w:rsidR="00711C86" w:rsidRPr="007C2042" w:rsidRDefault="00711C86" w:rsidP="00711C86">
      <w:r w:rsidRPr="007C2042">
        <w:t>Le Tableau 1-1 contient la liste des paramètres types des stations terriennes de liaison montante de connexion Galileo. Un filtrage à l'émission sera mis en œuvre pour tous les signaux d'émission Galileo.</w:t>
      </w:r>
    </w:p>
    <w:p w:rsidR="00711C86" w:rsidRPr="007C2042" w:rsidRDefault="00711C86" w:rsidP="00711C86">
      <w:pPr>
        <w:pStyle w:val="TableNo"/>
      </w:pPr>
      <w:r w:rsidRPr="007C2042">
        <w:t>TABLEAU 1-1</w:t>
      </w:r>
    </w:p>
    <w:p w:rsidR="00711C86" w:rsidRPr="007C2042" w:rsidRDefault="00711C86" w:rsidP="00711C86">
      <w:pPr>
        <w:pStyle w:val="Tabletitle"/>
      </w:pPr>
      <w:r w:rsidRPr="007C2042">
        <w:t xml:space="preserve">Caractéristiques des stations terriennes d'émission Galileo </w:t>
      </w:r>
      <w:r w:rsidRPr="007C2042">
        <w:br/>
        <w:t>fonctionnant dans la bande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711C86" w:rsidRPr="007C2042" w:rsidTr="00243303">
        <w:trPr>
          <w:tblHeader/>
          <w:jc w:val="center"/>
        </w:trPr>
        <w:tc>
          <w:tcPr>
            <w:tcW w:w="5670" w:type="dxa"/>
          </w:tcPr>
          <w:p w:rsidR="00711C86" w:rsidRPr="007C2042" w:rsidRDefault="00711C86" w:rsidP="00243303">
            <w:pPr>
              <w:pStyle w:val="Tablehead"/>
            </w:pPr>
            <w:r w:rsidRPr="007C2042">
              <w:t>Paramètre</w:t>
            </w:r>
          </w:p>
        </w:tc>
        <w:tc>
          <w:tcPr>
            <w:tcW w:w="3402" w:type="dxa"/>
          </w:tcPr>
          <w:p w:rsidR="00711C86" w:rsidRPr="007C2042" w:rsidRDefault="00711C86" w:rsidP="00243303">
            <w:pPr>
              <w:pStyle w:val="Tablehead"/>
            </w:pPr>
            <w:r w:rsidRPr="007C2042">
              <w:t>Valeur</w:t>
            </w:r>
          </w:p>
        </w:tc>
      </w:tr>
      <w:tr w:rsidR="00711C86" w:rsidRPr="007C2042" w:rsidTr="00243303">
        <w:trPr>
          <w:jc w:val="center"/>
        </w:trPr>
        <w:tc>
          <w:tcPr>
            <w:tcW w:w="5670" w:type="dxa"/>
          </w:tcPr>
          <w:p w:rsidR="00711C86" w:rsidRPr="007C2042" w:rsidRDefault="00711C86" w:rsidP="00243303">
            <w:pPr>
              <w:pStyle w:val="Tabletext"/>
              <w:rPr>
                <w:highlight w:val="green"/>
              </w:rPr>
            </w:pPr>
            <w:r w:rsidRPr="007C2042">
              <w:t>Fréquence centrale (MHz)</w:t>
            </w:r>
            <w:r w:rsidRPr="007C2042">
              <w:rPr>
                <w:highlight w:val="green"/>
              </w:rPr>
              <w:t xml:space="preserve"> </w:t>
            </w:r>
          </w:p>
        </w:tc>
        <w:tc>
          <w:tcPr>
            <w:tcW w:w="3402" w:type="dxa"/>
          </w:tcPr>
          <w:p w:rsidR="00711C86" w:rsidRPr="007C2042" w:rsidRDefault="00711C86" w:rsidP="00243303">
            <w:pPr>
              <w:pStyle w:val="Tabletext"/>
              <w:jc w:val="center"/>
            </w:pPr>
            <w:r w:rsidRPr="007C2042">
              <w:t>5 005</w:t>
            </w:r>
          </w:p>
        </w:tc>
      </w:tr>
      <w:tr w:rsidR="00711C86" w:rsidRPr="007C2042" w:rsidTr="00243303">
        <w:trPr>
          <w:jc w:val="center"/>
        </w:trPr>
        <w:tc>
          <w:tcPr>
            <w:tcW w:w="5670" w:type="dxa"/>
          </w:tcPr>
          <w:p w:rsidR="00711C86" w:rsidRPr="007C2042" w:rsidRDefault="00711C86" w:rsidP="00243303">
            <w:pPr>
              <w:pStyle w:val="Tabletext"/>
            </w:pPr>
            <w:r w:rsidRPr="007C2042">
              <w:t>Diamètre de l'antenne (m)</w:t>
            </w:r>
          </w:p>
        </w:tc>
        <w:tc>
          <w:tcPr>
            <w:tcW w:w="3402" w:type="dxa"/>
          </w:tcPr>
          <w:p w:rsidR="00711C86" w:rsidRPr="007C2042" w:rsidRDefault="00711C86" w:rsidP="00243303">
            <w:pPr>
              <w:pStyle w:val="Tabletext"/>
              <w:jc w:val="center"/>
            </w:pPr>
            <w:r w:rsidRPr="007C2042">
              <w:t>3,0</w:t>
            </w:r>
          </w:p>
        </w:tc>
      </w:tr>
      <w:tr w:rsidR="00711C86" w:rsidRPr="007C2042" w:rsidTr="00243303">
        <w:trPr>
          <w:jc w:val="center"/>
        </w:trPr>
        <w:tc>
          <w:tcPr>
            <w:tcW w:w="5670" w:type="dxa"/>
          </w:tcPr>
          <w:p w:rsidR="00711C86" w:rsidRPr="007C2042" w:rsidRDefault="00711C86" w:rsidP="00243303">
            <w:pPr>
              <w:pStyle w:val="Tabletext"/>
            </w:pPr>
            <w:r w:rsidRPr="007C2042">
              <w:t>Polarisation</w:t>
            </w:r>
          </w:p>
        </w:tc>
        <w:tc>
          <w:tcPr>
            <w:tcW w:w="3402" w:type="dxa"/>
          </w:tcPr>
          <w:p w:rsidR="00711C86" w:rsidRPr="007C2042" w:rsidRDefault="00711C86" w:rsidP="00243303">
            <w:pPr>
              <w:pStyle w:val="Tabletext"/>
              <w:jc w:val="center"/>
            </w:pPr>
            <w:r w:rsidRPr="007C2042">
              <w:t>circulaire droite</w:t>
            </w:r>
          </w:p>
        </w:tc>
      </w:tr>
      <w:tr w:rsidR="00711C86" w:rsidRPr="007C2042" w:rsidTr="00243303">
        <w:trPr>
          <w:jc w:val="center"/>
        </w:trPr>
        <w:tc>
          <w:tcPr>
            <w:tcW w:w="5670" w:type="dxa"/>
          </w:tcPr>
          <w:p w:rsidR="00711C86" w:rsidRPr="007C2042" w:rsidRDefault="00711C86" w:rsidP="00243303">
            <w:pPr>
              <w:pStyle w:val="Tabletext"/>
            </w:pPr>
            <w:r w:rsidRPr="007C2042">
              <w:t>Diagramme d'antenne</w:t>
            </w:r>
          </w:p>
        </w:tc>
        <w:tc>
          <w:tcPr>
            <w:tcW w:w="3402" w:type="dxa"/>
          </w:tcPr>
          <w:p w:rsidR="00711C86" w:rsidRPr="007C2042" w:rsidRDefault="00711C86" w:rsidP="00243303">
            <w:pPr>
              <w:pStyle w:val="Tabletext"/>
              <w:jc w:val="center"/>
            </w:pPr>
            <w:r w:rsidRPr="007C2042">
              <w:t>Rec. UIT</w:t>
            </w:r>
            <w:r w:rsidRPr="007C2042">
              <w:noBreakHyphen/>
              <w:t>R S.465-5</w:t>
            </w:r>
          </w:p>
        </w:tc>
      </w:tr>
      <w:tr w:rsidR="00711C86" w:rsidRPr="007C2042" w:rsidTr="00243303">
        <w:trPr>
          <w:jc w:val="center"/>
        </w:trPr>
        <w:tc>
          <w:tcPr>
            <w:tcW w:w="5670" w:type="dxa"/>
          </w:tcPr>
          <w:p w:rsidR="00711C86" w:rsidRPr="007C2042" w:rsidRDefault="00711C86" w:rsidP="00243303">
            <w:pPr>
              <w:pStyle w:val="Tabletext"/>
            </w:pPr>
            <w:r w:rsidRPr="007C2042">
              <w:t>Gain d'antenne théorique (dBi)</w:t>
            </w:r>
          </w:p>
        </w:tc>
        <w:tc>
          <w:tcPr>
            <w:tcW w:w="3402" w:type="dxa"/>
          </w:tcPr>
          <w:p w:rsidR="00711C86" w:rsidRPr="007C2042" w:rsidRDefault="00711C86" w:rsidP="00243303">
            <w:pPr>
              <w:pStyle w:val="Tabletext"/>
              <w:jc w:val="center"/>
            </w:pPr>
            <w:r w:rsidRPr="007C2042">
              <w:t>41,8</w:t>
            </w:r>
          </w:p>
        </w:tc>
      </w:tr>
      <w:tr w:rsidR="00711C86" w:rsidRPr="007C2042" w:rsidTr="00243303">
        <w:trPr>
          <w:jc w:val="center"/>
        </w:trPr>
        <w:tc>
          <w:tcPr>
            <w:tcW w:w="5670" w:type="dxa"/>
          </w:tcPr>
          <w:p w:rsidR="00711C86" w:rsidRPr="007C2042" w:rsidRDefault="00711C86" w:rsidP="00243303">
            <w:pPr>
              <w:pStyle w:val="Tabletext"/>
            </w:pPr>
            <w:r w:rsidRPr="007C2042">
              <w:t>p.i.r.e. (dBW)</w:t>
            </w:r>
          </w:p>
        </w:tc>
        <w:tc>
          <w:tcPr>
            <w:tcW w:w="3402" w:type="dxa"/>
          </w:tcPr>
          <w:p w:rsidR="00711C86" w:rsidRPr="007C2042" w:rsidRDefault="00711C86" w:rsidP="00243303">
            <w:pPr>
              <w:pStyle w:val="Tabletext"/>
              <w:jc w:val="center"/>
            </w:pPr>
            <w:r w:rsidRPr="007C2042">
              <w:t>50,3</w:t>
            </w:r>
          </w:p>
        </w:tc>
      </w:tr>
      <w:tr w:rsidR="00711C86" w:rsidRPr="007C2042" w:rsidTr="00243303">
        <w:trPr>
          <w:jc w:val="center"/>
        </w:trPr>
        <w:tc>
          <w:tcPr>
            <w:tcW w:w="5670" w:type="dxa"/>
          </w:tcPr>
          <w:p w:rsidR="00711C86" w:rsidRPr="007C2042" w:rsidRDefault="00711C86" w:rsidP="00243303">
            <w:pPr>
              <w:pStyle w:val="Tabletext"/>
            </w:pPr>
            <w:r w:rsidRPr="007C2042">
              <w:t>Modulation/codage</w:t>
            </w:r>
          </w:p>
        </w:tc>
        <w:tc>
          <w:tcPr>
            <w:tcW w:w="3402" w:type="dxa"/>
          </w:tcPr>
          <w:p w:rsidR="00711C86" w:rsidRPr="007C2042" w:rsidRDefault="00711C86" w:rsidP="00243303">
            <w:pPr>
              <w:pStyle w:val="Tabletext"/>
              <w:jc w:val="center"/>
            </w:pPr>
            <w:r w:rsidRPr="007C2042">
              <w:t>MDPQ/étalement de spectre</w:t>
            </w:r>
          </w:p>
        </w:tc>
      </w:tr>
      <w:tr w:rsidR="00711C86" w:rsidRPr="007C2042" w:rsidTr="00243303">
        <w:trPr>
          <w:jc w:val="center"/>
        </w:trPr>
        <w:tc>
          <w:tcPr>
            <w:tcW w:w="5670" w:type="dxa"/>
            <w:tcBorders>
              <w:bottom w:val="single" w:sz="4" w:space="0" w:color="auto"/>
            </w:tcBorders>
          </w:tcPr>
          <w:p w:rsidR="00711C86" w:rsidRPr="007C2042" w:rsidRDefault="00711C86" w:rsidP="00243303">
            <w:pPr>
              <w:pStyle w:val="Tabletext"/>
            </w:pPr>
            <w:r w:rsidRPr="007C2042">
              <w:t>Largeur de bande RF (MHz)</w:t>
            </w:r>
          </w:p>
        </w:tc>
        <w:tc>
          <w:tcPr>
            <w:tcW w:w="3402" w:type="dxa"/>
            <w:tcBorders>
              <w:bottom w:val="single" w:sz="4" w:space="0" w:color="auto"/>
            </w:tcBorders>
          </w:tcPr>
          <w:p w:rsidR="00711C86" w:rsidRPr="007C2042" w:rsidRDefault="00711C86" w:rsidP="00243303">
            <w:pPr>
              <w:pStyle w:val="Tabletext"/>
              <w:jc w:val="center"/>
            </w:pPr>
            <w:r w:rsidRPr="007C2042">
              <w:t>10</w:t>
            </w:r>
          </w:p>
        </w:tc>
      </w:tr>
    </w:tbl>
    <w:p w:rsidR="00711C86" w:rsidRPr="007C2042" w:rsidRDefault="00711C86" w:rsidP="00711C86">
      <w:pPr>
        <w:pStyle w:val="Tablefin"/>
        <w:rPr>
          <w:lang w:val="fr-FR"/>
        </w:rPr>
      </w:pPr>
    </w:p>
    <w:p w:rsidR="00711C86" w:rsidRPr="007C2042" w:rsidRDefault="00711C86" w:rsidP="00711C86">
      <w:pPr>
        <w:pStyle w:val="Heading1"/>
      </w:pPr>
      <w:r w:rsidRPr="007C2042">
        <w:t>3</w:t>
      </w:r>
      <w:r w:rsidRPr="007C2042">
        <w:tab/>
        <w:t xml:space="preserve">Caractéristiques des récepteurs de satellite </w:t>
      </w:r>
    </w:p>
    <w:p w:rsidR="00711C86" w:rsidRPr="007C2042" w:rsidRDefault="00711C86" w:rsidP="00711C86">
      <w:r w:rsidRPr="007C2042">
        <w:t>Le Tableau 1-2 contient la liste des caractéristiques types des récepteurs de satellite.</w:t>
      </w:r>
    </w:p>
    <w:p w:rsidR="00711C86" w:rsidRPr="007C2042" w:rsidRDefault="00711C86" w:rsidP="00711C86"/>
    <w:p w:rsidR="00711C86" w:rsidRPr="007C2042" w:rsidRDefault="00711C86" w:rsidP="00711C86">
      <w:pPr>
        <w:tabs>
          <w:tab w:val="clear" w:pos="794"/>
          <w:tab w:val="clear" w:pos="1191"/>
          <w:tab w:val="clear" w:pos="1588"/>
          <w:tab w:val="clear" w:pos="1985"/>
        </w:tabs>
        <w:overflowPunct/>
        <w:autoSpaceDE/>
        <w:autoSpaceDN/>
        <w:adjustRightInd/>
        <w:spacing w:before="0"/>
        <w:textAlignment w:val="auto"/>
        <w:rPr>
          <w:caps/>
        </w:rPr>
      </w:pPr>
      <w:r w:rsidRPr="007C2042">
        <w:br w:type="page"/>
      </w:r>
    </w:p>
    <w:p w:rsidR="00711C86" w:rsidRPr="007C2042" w:rsidRDefault="00711C86" w:rsidP="00711C86">
      <w:pPr>
        <w:pStyle w:val="TableNo"/>
      </w:pPr>
      <w:r w:rsidRPr="007C2042">
        <w:lastRenderedPageBreak/>
        <w:t>TABLEAU 1-2</w:t>
      </w:r>
    </w:p>
    <w:p w:rsidR="00711C86" w:rsidRPr="007C2042" w:rsidRDefault="00711C86" w:rsidP="00711C86">
      <w:pPr>
        <w:pStyle w:val="Tabletitle"/>
      </w:pPr>
      <w:r w:rsidRPr="007C2042">
        <w:t xml:space="preserve">Caractéristiques des stations spatiales de réception Galileo </w:t>
      </w:r>
      <w:r w:rsidRPr="007C2042">
        <w:br/>
        <w:t>fonctionnant dans la bande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711C86" w:rsidRPr="007C2042" w:rsidTr="00243303">
        <w:trPr>
          <w:tblHeader/>
          <w:jc w:val="center"/>
        </w:trPr>
        <w:tc>
          <w:tcPr>
            <w:tcW w:w="5670" w:type="dxa"/>
          </w:tcPr>
          <w:p w:rsidR="00711C86" w:rsidRPr="007C2042" w:rsidRDefault="00711C86" w:rsidP="00243303">
            <w:pPr>
              <w:pStyle w:val="Tablehead"/>
            </w:pPr>
            <w:r w:rsidRPr="007C2042">
              <w:t>Paramètre</w:t>
            </w:r>
          </w:p>
        </w:tc>
        <w:tc>
          <w:tcPr>
            <w:tcW w:w="3402" w:type="dxa"/>
          </w:tcPr>
          <w:p w:rsidR="00711C86" w:rsidRPr="007C2042" w:rsidRDefault="00711C86" w:rsidP="00243303">
            <w:pPr>
              <w:pStyle w:val="Tablehead"/>
            </w:pPr>
            <w:r w:rsidRPr="007C2042">
              <w:t>Valeur</w:t>
            </w:r>
          </w:p>
        </w:tc>
      </w:tr>
      <w:tr w:rsidR="00711C86" w:rsidRPr="007C2042" w:rsidTr="00243303">
        <w:trPr>
          <w:jc w:val="center"/>
        </w:trPr>
        <w:tc>
          <w:tcPr>
            <w:tcW w:w="5670" w:type="dxa"/>
          </w:tcPr>
          <w:p w:rsidR="00711C86" w:rsidRPr="007C2042" w:rsidRDefault="00711C86" w:rsidP="00243303">
            <w:pPr>
              <w:pStyle w:val="Tabletext"/>
            </w:pPr>
            <w:r w:rsidRPr="007C2042">
              <w:t>Fréquence centrale (MHz)</w:t>
            </w:r>
          </w:p>
        </w:tc>
        <w:tc>
          <w:tcPr>
            <w:tcW w:w="3402" w:type="dxa"/>
          </w:tcPr>
          <w:p w:rsidR="00711C86" w:rsidRPr="007C2042" w:rsidRDefault="00711C86" w:rsidP="00243303">
            <w:pPr>
              <w:pStyle w:val="Tabletext"/>
              <w:jc w:val="center"/>
            </w:pPr>
            <w:r w:rsidRPr="007C2042">
              <w:t>5 005</w:t>
            </w:r>
          </w:p>
        </w:tc>
      </w:tr>
      <w:tr w:rsidR="00711C86" w:rsidRPr="007C2042" w:rsidTr="00243303">
        <w:trPr>
          <w:jc w:val="center"/>
        </w:trPr>
        <w:tc>
          <w:tcPr>
            <w:tcW w:w="5670" w:type="dxa"/>
          </w:tcPr>
          <w:p w:rsidR="00711C86" w:rsidRPr="007C2042" w:rsidRDefault="00711C86" w:rsidP="00243303">
            <w:pPr>
              <w:pStyle w:val="Tabletext"/>
            </w:pPr>
            <w:r w:rsidRPr="007C2042">
              <w:t>Largeur de bande RF (MHz)</w:t>
            </w:r>
          </w:p>
        </w:tc>
        <w:tc>
          <w:tcPr>
            <w:tcW w:w="3402" w:type="dxa"/>
          </w:tcPr>
          <w:p w:rsidR="00711C86" w:rsidRPr="007C2042" w:rsidRDefault="00711C86" w:rsidP="00243303">
            <w:pPr>
              <w:pStyle w:val="Tabletext"/>
              <w:jc w:val="center"/>
            </w:pPr>
            <w:r w:rsidRPr="007C2042">
              <w:t>10</w:t>
            </w:r>
          </w:p>
        </w:tc>
      </w:tr>
      <w:tr w:rsidR="00711C86" w:rsidRPr="007C2042" w:rsidTr="00243303">
        <w:trPr>
          <w:jc w:val="center"/>
        </w:trPr>
        <w:tc>
          <w:tcPr>
            <w:tcW w:w="5670" w:type="dxa"/>
          </w:tcPr>
          <w:p w:rsidR="00711C86" w:rsidRPr="007C2042" w:rsidRDefault="00711C86" w:rsidP="00243303">
            <w:pPr>
              <w:pStyle w:val="Tabletext"/>
            </w:pPr>
            <w:r w:rsidRPr="007C2042">
              <w:t>Polarisation</w:t>
            </w:r>
          </w:p>
        </w:tc>
        <w:tc>
          <w:tcPr>
            <w:tcW w:w="3402" w:type="dxa"/>
          </w:tcPr>
          <w:p w:rsidR="00711C86" w:rsidRPr="007C2042" w:rsidRDefault="00711C86" w:rsidP="00243303">
            <w:pPr>
              <w:pStyle w:val="Tabletext"/>
              <w:jc w:val="center"/>
            </w:pPr>
            <w:r w:rsidRPr="007C2042">
              <w:t>circulaire droite</w:t>
            </w:r>
          </w:p>
        </w:tc>
      </w:tr>
      <w:tr w:rsidR="00711C86" w:rsidRPr="007C2042" w:rsidTr="00243303">
        <w:trPr>
          <w:jc w:val="center"/>
        </w:trPr>
        <w:tc>
          <w:tcPr>
            <w:tcW w:w="5670" w:type="dxa"/>
          </w:tcPr>
          <w:p w:rsidR="00711C86" w:rsidRPr="007C2042" w:rsidRDefault="00711C86" w:rsidP="00243303">
            <w:pPr>
              <w:pStyle w:val="Tabletext"/>
            </w:pPr>
            <w:r w:rsidRPr="007C2042">
              <w:t>Diagramme/type d'antenne</w:t>
            </w:r>
          </w:p>
        </w:tc>
        <w:tc>
          <w:tcPr>
            <w:tcW w:w="3402" w:type="dxa"/>
          </w:tcPr>
          <w:p w:rsidR="00711C86" w:rsidRPr="007C2042" w:rsidRDefault="00711C86" w:rsidP="00243303">
            <w:pPr>
              <w:pStyle w:val="Tabletext"/>
              <w:jc w:val="center"/>
            </w:pPr>
            <w:r w:rsidRPr="007C2042">
              <w:t>Antenne cornet circulaire</w:t>
            </w:r>
          </w:p>
        </w:tc>
      </w:tr>
      <w:tr w:rsidR="00711C86" w:rsidRPr="007C2042" w:rsidTr="00243303">
        <w:trPr>
          <w:jc w:val="center"/>
        </w:trPr>
        <w:tc>
          <w:tcPr>
            <w:tcW w:w="5670" w:type="dxa"/>
          </w:tcPr>
          <w:p w:rsidR="00711C86" w:rsidRPr="007C2042" w:rsidRDefault="00711C86" w:rsidP="00243303">
            <w:pPr>
              <w:pStyle w:val="Tabletext"/>
            </w:pPr>
            <w:r w:rsidRPr="007C2042">
              <w:t xml:space="preserve">Pointage de l'antenne </w:t>
            </w:r>
          </w:p>
        </w:tc>
        <w:tc>
          <w:tcPr>
            <w:tcW w:w="3402" w:type="dxa"/>
          </w:tcPr>
          <w:p w:rsidR="00711C86" w:rsidRPr="007C2042" w:rsidRDefault="00711C86" w:rsidP="00243303">
            <w:pPr>
              <w:pStyle w:val="Tabletext"/>
              <w:jc w:val="center"/>
            </w:pPr>
            <w:r w:rsidRPr="007C2042">
              <w:t>Nadir</w:t>
            </w:r>
          </w:p>
        </w:tc>
      </w:tr>
      <w:tr w:rsidR="00711C86" w:rsidRPr="007C2042" w:rsidTr="00243303">
        <w:trPr>
          <w:jc w:val="center"/>
        </w:trPr>
        <w:tc>
          <w:tcPr>
            <w:tcW w:w="5670" w:type="dxa"/>
          </w:tcPr>
          <w:p w:rsidR="00711C86" w:rsidRPr="007C2042" w:rsidRDefault="00711C86" w:rsidP="00243303">
            <w:pPr>
              <w:pStyle w:val="Tabletext"/>
            </w:pPr>
            <w:r w:rsidRPr="007C2042">
              <w:t>Gain maximal de l'antenne de réception (dBi)</w:t>
            </w:r>
          </w:p>
        </w:tc>
        <w:tc>
          <w:tcPr>
            <w:tcW w:w="3402" w:type="dxa"/>
          </w:tcPr>
          <w:p w:rsidR="00711C86" w:rsidRPr="007C2042" w:rsidRDefault="00711C86" w:rsidP="00243303">
            <w:pPr>
              <w:pStyle w:val="Tabletext"/>
              <w:jc w:val="center"/>
            </w:pPr>
            <w:r w:rsidRPr="007C2042">
              <w:t>12,8</w:t>
            </w:r>
          </w:p>
        </w:tc>
      </w:tr>
      <w:tr w:rsidR="00711C86" w:rsidRPr="007C2042" w:rsidTr="00243303">
        <w:trPr>
          <w:jc w:val="center"/>
        </w:trPr>
        <w:tc>
          <w:tcPr>
            <w:tcW w:w="5670" w:type="dxa"/>
          </w:tcPr>
          <w:p w:rsidR="00711C86" w:rsidRPr="007C2042" w:rsidRDefault="00711C86" w:rsidP="00243303">
            <w:pPr>
              <w:pStyle w:val="Tabletext"/>
            </w:pPr>
            <w:r w:rsidRPr="007C2042">
              <w:t>Demi-ouverture de faisceau de l'antenne (°) (pour un angle d'élévation de 5°)</w:t>
            </w:r>
          </w:p>
        </w:tc>
        <w:tc>
          <w:tcPr>
            <w:tcW w:w="3402" w:type="dxa"/>
          </w:tcPr>
          <w:p w:rsidR="00711C86" w:rsidRPr="007C2042" w:rsidRDefault="00711C86" w:rsidP="00243303">
            <w:pPr>
              <w:pStyle w:val="Tabletext"/>
              <w:jc w:val="center"/>
            </w:pPr>
            <w:r w:rsidRPr="007C2042">
              <w:t>12,4</w:t>
            </w:r>
          </w:p>
        </w:tc>
      </w:tr>
      <w:tr w:rsidR="00711C86" w:rsidRPr="007C2042" w:rsidTr="00243303">
        <w:trPr>
          <w:jc w:val="center"/>
        </w:trPr>
        <w:tc>
          <w:tcPr>
            <w:tcW w:w="5670" w:type="dxa"/>
          </w:tcPr>
          <w:p w:rsidR="00711C86" w:rsidRPr="007C2042" w:rsidRDefault="00711C86" w:rsidP="00243303">
            <w:pPr>
              <w:pStyle w:val="Tabletext"/>
            </w:pPr>
            <w:r>
              <w:t>E</w:t>
            </w:r>
            <w:r w:rsidRPr="007C2042">
              <w:t>lévation minimale (°)</w:t>
            </w:r>
          </w:p>
        </w:tc>
        <w:tc>
          <w:tcPr>
            <w:tcW w:w="3402" w:type="dxa"/>
          </w:tcPr>
          <w:p w:rsidR="00711C86" w:rsidRPr="007C2042" w:rsidRDefault="00711C86" w:rsidP="00243303">
            <w:pPr>
              <w:pStyle w:val="Tabletext"/>
              <w:jc w:val="center"/>
            </w:pPr>
            <w:r w:rsidRPr="007C2042">
              <w:t>5</w:t>
            </w:r>
          </w:p>
        </w:tc>
      </w:tr>
      <w:tr w:rsidR="00711C86" w:rsidRPr="007C2042" w:rsidTr="00243303">
        <w:trPr>
          <w:jc w:val="center"/>
        </w:trPr>
        <w:tc>
          <w:tcPr>
            <w:tcW w:w="5670" w:type="dxa"/>
          </w:tcPr>
          <w:p w:rsidR="00711C86" w:rsidRPr="007C2042" w:rsidRDefault="00711C86" w:rsidP="00243303">
            <w:pPr>
              <w:pStyle w:val="Tabletext"/>
            </w:pPr>
            <w:r w:rsidRPr="007C2042">
              <w:t>Altitude du satellite (km)</w:t>
            </w:r>
          </w:p>
        </w:tc>
        <w:tc>
          <w:tcPr>
            <w:tcW w:w="3402" w:type="dxa"/>
          </w:tcPr>
          <w:p w:rsidR="00711C86" w:rsidRPr="007C2042" w:rsidRDefault="00711C86" w:rsidP="00243303">
            <w:pPr>
              <w:pStyle w:val="Tabletext"/>
              <w:jc w:val="center"/>
            </w:pPr>
            <w:r w:rsidRPr="007C2042">
              <w:t>23 222</w:t>
            </w:r>
          </w:p>
        </w:tc>
      </w:tr>
      <w:tr w:rsidR="00711C86" w:rsidRPr="007C2042" w:rsidTr="00243303">
        <w:trPr>
          <w:jc w:val="center"/>
        </w:trPr>
        <w:tc>
          <w:tcPr>
            <w:tcW w:w="5670" w:type="dxa"/>
          </w:tcPr>
          <w:p w:rsidR="00711C86" w:rsidRPr="007C2042" w:rsidRDefault="00711C86" w:rsidP="00243303">
            <w:pPr>
              <w:pStyle w:val="Tabletext"/>
              <w:rPr>
                <w:highlight w:val="green"/>
              </w:rPr>
            </w:pPr>
            <w:r w:rsidRPr="007C2042">
              <w:t>Densité spectrale de puissance du bruit de réception (dBW/Hz)</w:t>
            </w:r>
          </w:p>
        </w:tc>
        <w:tc>
          <w:tcPr>
            <w:tcW w:w="3402" w:type="dxa"/>
          </w:tcPr>
          <w:p w:rsidR="00711C86" w:rsidRPr="007C2042" w:rsidRDefault="00711C86" w:rsidP="00243303">
            <w:pPr>
              <w:pStyle w:val="Tabletext"/>
              <w:jc w:val="center"/>
              <w:rPr>
                <w:highlight w:val="green"/>
              </w:rPr>
            </w:pPr>
            <w:r w:rsidRPr="007C2042">
              <w:t>−201</w:t>
            </w:r>
          </w:p>
        </w:tc>
      </w:tr>
      <w:tr w:rsidR="00711C86" w:rsidRPr="007C2042" w:rsidTr="00243303">
        <w:trPr>
          <w:jc w:val="center"/>
        </w:trPr>
        <w:tc>
          <w:tcPr>
            <w:tcW w:w="5670" w:type="dxa"/>
          </w:tcPr>
          <w:p w:rsidR="00711C86" w:rsidRPr="007C2042" w:rsidRDefault="00711C86" w:rsidP="00243303">
            <w:pPr>
              <w:pStyle w:val="Tabletext"/>
            </w:pPr>
            <w:r w:rsidRPr="007C2042">
              <w:rPr>
                <w:i/>
                <w:iCs/>
              </w:rPr>
              <w:t>I</w:t>
            </w:r>
            <w:r w:rsidRPr="007C2042">
              <w:rPr>
                <w:vertAlign w:val="subscript"/>
              </w:rPr>
              <w:t>0</w:t>
            </w:r>
            <w:r w:rsidRPr="007C2042">
              <w:t xml:space="preserve"> tolérable effectif (basé sur DT/T de 6%) (dBW/Hz)</w:t>
            </w:r>
          </w:p>
        </w:tc>
        <w:tc>
          <w:tcPr>
            <w:tcW w:w="3402" w:type="dxa"/>
          </w:tcPr>
          <w:p w:rsidR="00711C86" w:rsidRPr="007C2042" w:rsidRDefault="00711C86" w:rsidP="00243303">
            <w:pPr>
              <w:pStyle w:val="Tabletext"/>
              <w:jc w:val="center"/>
            </w:pPr>
            <w:r w:rsidRPr="007C2042">
              <w:t>−213,2</w:t>
            </w:r>
          </w:p>
        </w:tc>
      </w:tr>
    </w:tbl>
    <w:p w:rsidR="00711C86" w:rsidRPr="007C2042" w:rsidRDefault="00711C86" w:rsidP="00711C86">
      <w:pPr>
        <w:pStyle w:val="Tablefin"/>
        <w:rPr>
          <w:lang w:val="fr-FR"/>
        </w:rPr>
      </w:pPr>
    </w:p>
    <w:p w:rsidR="00711C86" w:rsidRPr="007C2042" w:rsidRDefault="00711C86" w:rsidP="00711C86"/>
    <w:p w:rsidR="00711C86" w:rsidRPr="007C2042" w:rsidRDefault="00711C86" w:rsidP="00711C86"/>
    <w:p w:rsidR="00711C86" w:rsidRPr="007C2042" w:rsidRDefault="00711C86" w:rsidP="00D608A1">
      <w:pPr>
        <w:pStyle w:val="AnnexNoTitle"/>
      </w:pPr>
      <w:r w:rsidRPr="007C2042">
        <w:t>Annexe 2</w:t>
      </w:r>
      <w:r w:rsidRPr="007C2042">
        <w:br/>
      </w:r>
      <w:r w:rsidRPr="007C2042">
        <w:br/>
        <w:t>Caractéristiques techniques et critères de protection des stations</w:t>
      </w:r>
      <w:r w:rsidR="00D608A1">
        <w:t xml:space="preserve"> </w:t>
      </w:r>
      <w:r w:rsidRPr="007C2042">
        <w:t>spatiales</w:t>
      </w:r>
      <w:r w:rsidR="00D608A1">
        <w:br/>
      </w:r>
      <w:r w:rsidRPr="007C2042">
        <w:t>de réception et caractéristiques des stations terriennes</w:t>
      </w:r>
      <w:r w:rsidR="00D608A1">
        <w:t xml:space="preserve"> </w:t>
      </w:r>
      <w:r w:rsidRPr="007C2042">
        <w:t>d'émission</w:t>
      </w:r>
      <w:r w:rsidR="00D608A1">
        <w:br/>
      </w:r>
      <w:r w:rsidRPr="007C2042">
        <w:t>du système GPS fonctionnant dans le sens</w:t>
      </w:r>
      <w:r w:rsidR="00D608A1">
        <w:t xml:space="preserve"> </w:t>
      </w:r>
      <w:r w:rsidRPr="007C2042">
        <w:t>Terre</w:t>
      </w:r>
      <w:r w:rsidR="00D608A1">
        <w:t xml:space="preserve"> </w:t>
      </w:r>
      <w:r w:rsidRPr="007C2042">
        <w:t>vers espace</w:t>
      </w:r>
      <w:r w:rsidR="00D608A1">
        <w:br/>
      </w:r>
      <w:r w:rsidRPr="007C2042">
        <w:t>dans la bande 5 000</w:t>
      </w:r>
      <w:r w:rsidRPr="007C2042">
        <w:noBreakHyphen/>
        <w:t>5 010 MHz</w:t>
      </w:r>
    </w:p>
    <w:p w:rsidR="00711C86" w:rsidRPr="007C2042" w:rsidRDefault="00711C86" w:rsidP="00711C86">
      <w:pPr>
        <w:pStyle w:val="Heading1"/>
      </w:pPr>
      <w:r w:rsidRPr="007C2042">
        <w:t>1</w:t>
      </w:r>
      <w:r w:rsidRPr="007C2042">
        <w:tab/>
        <w:t>Introduction</w:t>
      </w:r>
    </w:p>
    <w:p w:rsidR="00711C86" w:rsidRPr="007C2042" w:rsidRDefault="00711C86" w:rsidP="00711C86">
      <w:r w:rsidRPr="007C2042">
        <w:t>Les liaisons montantes et descendantes de connexion du système mondial de localisation (GPS) assureront des communications pour la surveillance, la commande et le contrôle du système et des satellites, la mise à jour des éphémérides orbitales et la synchronisation des horloges. Des liaisons montantes de connexion dans la bande 5 000-5 010 MHz sont actuellement envisagées dans le cadre de la modernisation future du système GPS en tant que liaisons de secours pour les actuelles liaisons montantes de connexion GPS à 2,2 GHz. Les communications sur les liaisons de connexion peuvent utiliser une modulation par déplacement de phase en quadrature (MDPQ) avec filtrage ou une autre modulation utilisant efficacement la largeur de bande.</w:t>
      </w:r>
    </w:p>
    <w:p w:rsidR="00711C86" w:rsidRPr="007C2042" w:rsidRDefault="00711C86" w:rsidP="00711C86">
      <w:pPr>
        <w:pStyle w:val="Heading1"/>
      </w:pPr>
      <w:r w:rsidRPr="007C2042">
        <w:t>2</w:t>
      </w:r>
      <w:r w:rsidRPr="007C2042">
        <w:tab/>
        <w:t xml:space="preserve">Caractéristiques des liaisons montantes de connexion GPS </w:t>
      </w:r>
    </w:p>
    <w:p w:rsidR="00711C86" w:rsidRPr="007C2042" w:rsidRDefault="00711C86" w:rsidP="00711C86">
      <w:r w:rsidRPr="007C2042">
        <w:t xml:space="preserve">D'après les estimations concernant le système GPS, la largeur de bande opérationnelle des liaisons montantes est de 1,1 MHz, avec un débit de données de 1,1 Mbit/s au plus. L'antenne d'émission de liaison montante de station terrienne est supposée être une parabole circulaire à alimentation centrale, laquelle est supposée être utilisée également comme antenne de réception de liaison </w:t>
      </w:r>
      <w:r w:rsidRPr="007C2042">
        <w:lastRenderedPageBreak/>
        <w:t xml:space="preserve">descendante de connexion dans la bande 5 010-5 030 MHz. Toutefois, étant donné que les bandes 5 000-5 010 MHz dans le sens Terre vers espace et 5 010-5 030 MHz dans le sens espace vers Terre sont adjacentes, l'utilisation simultanée d'une liaison montante et d'une liaison descendante de connexion avec une même station spatiale GPS nécessiterait des études complémentaires. La solution la plus probable consisterait à mettre en œuvre au niveau du satellite des filtres à coupure très raide. Toutefois, les études n'ont pas encore apporté de conclusions sur la question de savoir si les satellites devraient ou non mettre en œuvre simultanément des liaisons montantes et des liaisons descendantes de connexion à 5 GHz. Des études complémentaires sont actuellement réalisées alors que la conception de ce système et d'autres systèmes du SRNS à 5 GHz progresse. </w:t>
      </w:r>
    </w:p>
    <w:p w:rsidR="00711C86" w:rsidRPr="007C2042" w:rsidRDefault="00711C86" w:rsidP="00711C86">
      <w:r w:rsidRPr="007C2042">
        <w:t>Les Tableaux 2-1 et 2-2 présentent respectivement les caractéristiques des stations au sol d'émission GPS et les caractéristiques et les critères de protection des stations spatiales de liaison de connexion de réception, pour une exploitation dans la bande 5 000-5 010 MHz. Un filtrage à l'émission sera mis en œuvre pour tous les signaux d'émission GPS. Les rayonnements non essentiels sont censés être inférieurs de 60 dB à la valeur crête. Ces paramètres découlent des spécifications GPS actuelles et sont cohérents avec ces spécifications, mais les valeurs indiquées sont encore susceptibles de changer.</w:t>
      </w:r>
    </w:p>
    <w:p w:rsidR="00711C86" w:rsidRPr="007C2042" w:rsidRDefault="00711C86" w:rsidP="00711C86">
      <w:pPr>
        <w:pStyle w:val="TableNo"/>
      </w:pPr>
      <w:r w:rsidRPr="007C2042">
        <w:t>TABLEAU 2-1</w:t>
      </w:r>
    </w:p>
    <w:p w:rsidR="00711C86" w:rsidRPr="007C2042" w:rsidRDefault="00711C86" w:rsidP="00711C86">
      <w:pPr>
        <w:pStyle w:val="Tabletitle"/>
      </w:pPr>
      <w:r w:rsidRPr="007C2042">
        <w:t xml:space="preserve">Transmissions sur les liaisons montantes de connexion GPS </w:t>
      </w:r>
      <w:r w:rsidR="00714D6C">
        <w:br/>
      </w:r>
      <w:r w:rsidRPr="007C2042">
        <w:t>dans la bande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711C86" w:rsidRPr="007C2042" w:rsidTr="00243303">
        <w:trPr>
          <w:tblHeader/>
          <w:jc w:val="center"/>
        </w:trPr>
        <w:tc>
          <w:tcPr>
            <w:tcW w:w="5670" w:type="dxa"/>
            <w:vAlign w:val="center"/>
          </w:tcPr>
          <w:p w:rsidR="00711C86" w:rsidRPr="007C2042" w:rsidRDefault="00711C86" w:rsidP="00243303">
            <w:pPr>
              <w:pStyle w:val="Tablehead"/>
              <w:rPr>
                <w:rFonts w:eastAsia="MS PGothic"/>
              </w:rPr>
            </w:pPr>
            <w:r w:rsidRPr="007C2042">
              <w:rPr>
                <w:rFonts w:eastAsia="MS PGothic"/>
              </w:rPr>
              <w:t>Paramètre</w:t>
            </w:r>
          </w:p>
        </w:tc>
        <w:tc>
          <w:tcPr>
            <w:tcW w:w="3402" w:type="dxa"/>
            <w:vAlign w:val="center"/>
          </w:tcPr>
          <w:p w:rsidR="00711C86" w:rsidRPr="007C2042" w:rsidRDefault="00711C86" w:rsidP="00243303">
            <w:pPr>
              <w:pStyle w:val="Tablehead"/>
              <w:rPr>
                <w:rFonts w:eastAsia="MS PGothic"/>
              </w:rPr>
            </w:pPr>
            <w:r w:rsidRPr="007C2042">
              <w:rPr>
                <w:rFonts w:eastAsia="MS PGothic"/>
              </w:rPr>
              <w:t xml:space="preserve">Valeur </w:t>
            </w:r>
          </w:p>
        </w:tc>
      </w:tr>
      <w:tr w:rsidR="00711C86" w:rsidRPr="007C2042" w:rsidTr="00243303">
        <w:trPr>
          <w:tblHeader/>
          <w:jc w:val="center"/>
        </w:trPr>
        <w:tc>
          <w:tcPr>
            <w:tcW w:w="5670" w:type="dxa"/>
            <w:vAlign w:val="center"/>
          </w:tcPr>
          <w:p w:rsidR="00711C86" w:rsidRPr="007C2042" w:rsidRDefault="00711C86" w:rsidP="00243303">
            <w:pPr>
              <w:pStyle w:val="Tabletext"/>
              <w:rPr>
                <w:rFonts w:eastAsia="MS PGothic"/>
              </w:rPr>
            </w:pPr>
            <w:r w:rsidRPr="007C2042">
              <w:rPr>
                <w:rFonts w:eastAsia="MS PGothic"/>
              </w:rPr>
              <w:t>Plage de fréquences du signal (MHz) (Note 1)</w:t>
            </w:r>
          </w:p>
        </w:tc>
        <w:tc>
          <w:tcPr>
            <w:tcW w:w="3402" w:type="dxa"/>
            <w:vAlign w:val="center"/>
          </w:tcPr>
          <w:p w:rsidR="00711C86" w:rsidRPr="007C2042" w:rsidRDefault="00711C86" w:rsidP="00243303">
            <w:pPr>
              <w:pStyle w:val="Tabletext"/>
              <w:jc w:val="center"/>
              <w:rPr>
                <w:rFonts w:eastAsia="MS PGothic"/>
                <w:szCs w:val="21"/>
              </w:rPr>
            </w:pPr>
            <w:r w:rsidRPr="007C2042">
              <w:t xml:space="preserve">5 000,605 </w:t>
            </w:r>
            <w:r w:rsidRPr="007C2042">
              <w:sym w:font="Symbol" w:char="F0B1"/>
            </w:r>
            <w:r w:rsidRPr="007C2042">
              <w:t xml:space="preserve"> 0,6</w:t>
            </w:r>
          </w:p>
        </w:tc>
      </w:tr>
      <w:tr w:rsidR="00711C86" w:rsidRPr="007C2042" w:rsidTr="00243303">
        <w:trPr>
          <w:tblHeader/>
          <w:jc w:val="center"/>
        </w:trPr>
        <w:tc>
          <w:tcPr>
            <w:tcW w:w="5670" w:type="dxa"/>
            <w:vAlign w:val="center"/>
          </w:tcPr>
          <w:p w:rsidR="00711C86" w:rsidRPr="007C2042" w:rsidRDefault="00711C86" w:rsidP="00243303">
            <w:pPr>
              <w:pStyle w:val="Tabletext"/>
              <w:rPr>
                <w:rFonts w:eastAsia="MS PGothic"/>
              </w:rPr>
            </w:pPr>
            <w:r w:rsidRPr="007C2042">
              <w:rPr>
                <w:rFonts w:eastAsia="MS PGothic"/>
              </w:rPr>
              <w:t>Débit de données (symboles/s)</w:t>
            </w:r>
          </w:p>
        </w:tc>
        <w:tc>
          <w:tcPr>
            <w:tcW w:w="3402" w:type="dxa"/>
            <w:vAlign w:val="center"/>
          </w:tcPr>
          <w:p w:rsidR="00711C86" w:rsidRPr="007C2042" w:rsidRDefault="00711C86" w:rsidP="00243303">
            <w:pPr>
              <w:pStyle w:val="Tabletext"/>
              <w:jc w:val="center"/>
              <w:rPr>
                <w:rFonts w:eastAsia="MS PGothic"/>
                <w:szCs w:val="21"/>
              </w:rPr>
            </w:pPr>
            <w:r w:rsidRPr="007C2042">
              <w:rPr>
                <w:rFonts w:eastAsia="MS PGothic"/>
                <w:szCs w:val="21"/>
              </w:rPr>
              <w:t>2</w:t>
            </w:r>
            <w:r w:rsidRPr="007C2042">
              <w:t> </w:t>
            </w:r>
            <w:r w:rsidRPr="007C2042">
              <w:rPr>
                <w:rFonts w:eastAsia="MS PGothic"/>
                <w:szCs w:val="21"/>
              </w:rPr>
              <w:t>200 000 symboles/s</w:t>
            </w:r>
          </w:p>
        </w:tc>
      </w:tr>
      <w:tr w:rsidR="00711C86" w:rsidRPr="007C2042" w:rsidTr="00243303">
        <w:trPr>
          <w:tblHeader/>
          <w:jc w:val="center"/>
        </w:trPr>
        <w:tc>
          <w:tcPr>
            <w:tcW w:w="5670" w:type="dxa"/>
            <w:vAlign w:val="center"/>
          </w:tcPr>
          <w:p w:rsidR="00711C86" w:rsidRPr="007C2042" w:rsidRDefault="00711C86" w:rsidP="00243303">
            <w:pPr>
              <w:pStyle w:val="Tabletext"/>
              <w:rPr>
                <w:rFonts w:eastAsia="MS PGothic"/>
              </w:rPr>
            </w:pPr>
            <w:r w:rsidRPr="007C2042">
              <w:rPr>
                <w:rFonts w:eastAsia="MS PGothic"/>
              </w:rPr>
              <w:t xml:space="preserve">Méthode de modulation du signal </w:t>
            </w:r>
          </w:p>
        </w:tc>
        <w:tc>
          <w:tcPr>
            <w:tcW w:w="3402" w:type="dxa"/>
            <w:vAlign w:val="center"/>
          </w:tcPr>
          <w:p w:rsidR="00711C86" w:rsidRPr="007C2042" w:rsidRDefault="00711C86" w:rsidP="00243303">
            <w:pPr>
              <w:pStyle w:val="Tabletext"/>
              <w:jc w:val="center"/>
              <w:rPr>
                <w:rFonts w:eastAsia="MS PGothic"/>
                <w:szCs w:val="21"/>
              </w:rPr>
            </w:pPr>
            <w:r w:rsidRPr="007C2042">
              <w:t>MDPQ avec filtrage</w:t>
            </w:r>
          </w:p>
        </w:tc>
      </w:tr>
      <w:tr w:rsidR="00711C86" w:rsidRPr="007C2042" w:rsidTr="00243303">
        <w:trPr>
          <w:tblHeader/>
          <w:jc w:val="center"/>
        </w:trPr>
        <w:tc>
          <w:tcPr>
            <w:tcW w:w="5670" w:type="dxa"/>
            <w:vAlign w:val="center"/>
          </w:tcPr>
          <w:p w:rsidR="00711C86" w:rsidRPr="007C2042" w:rsidRDefault="00711C86" w:rsidP="00243303">
            <w:pPr>
              <w:pStyle w:val="Tabletext"/>
              <w:rPr>
                <w:rFonts w:eastAsia="MS PGothic"/>
              </w:rPr>
            </w:pPr>
            <w:r w:rsidRPr="007C2042">
              <w:rPr>
                <w:rFonts w:eastAsia="MS PGothic"/>
              </w:rPr>
              <w:t>Polarisation</w:t>
            </w:r>
          </w:p>
        </w:tc>
        <w:tc>
          <w:tcPr>
            <w:tcW w:w="3402" w:type="dxa"/>
            <w:vAlign w:val="center"/>
          </w:tcPr>
          <w:p w:rsidR="00711C86" w:rsidRPr="007C2042" w:rsidRDefault="00711C86" w:rsidP="00243303">
            <w:pPr>
              <w:pStyle w:val="Tabletext"/>
              <w:jc w:val="center"/>
              <w:rPr>
                <w:rFonts w:eastAsia="MS PGothic"/>
                <w:szCs w:val="21"/>
              </w:rPr>
            </w:pPr>
            <w:r w:rsidRPr="007C2042">
              <w:rPr>
                <w:rFonts w:eastAsia="MS PGothic"/>
                <w:szCs w:val="21"/>
              </w:rPr>
              <w:t>circulaire droite</w:t>
            </w:r>
          </w:p>
        </w:tc>
      </w:tr>
      <w:tr w:rsidR="00711C86" w:rsidRPr="007C2042" w:rsidTr="00243303">
        <w:trPr>
          <w:tblHeader/>
          <w:jc w:val="center"/>
        </w:trPr>
        <w:tc>
          <w:tcPr>
            <w:tcW w:w="5670" w:type="dxa"/>
            <w:vAlign w:val="center"/>
          </w:tcPr>
          <w:p w:rsidR="00711C86" w:rsidRPr="007C2042" w:rsidRDefault="00711C86" w:rsidP="00243303">
            <w:pPr>
              <w:pStyle w:val="Tabletext"/>
              <w:rPr>
                <w:rFonts w:eastAsia="MS PGothic"/>
              </w:rPr>
            </w:pPr>
            <w:r w:rsidRPr="007C2042">
              <w:rPr>
                <w:rFonts w:eastAsia="MS PGothic"/>
              </w:rPr>
              <w:t>Ellipticité (dB)</w:t>
            </w:r>
          </w:p>
        </w:tc>
        <w:tc>
          <w:tcPr>
            <w:tcW w:w="3402" w:type="dxa"/>
            <w:vAlign w:val="center"/>
          </w:tcPr>
          <w:p w:rsidR="00711C86" w:rsidRPr="007C2042" w:rsidRDefault="00711C86" w:rsidP="00243303">
            <w:pPr>
              <w:pStyle w:val="Tabletext"/>
              <w:jc w:val="center"/>
              <w:rPr>
                <w:rFonts w:eastAsia="MS PGothic"/>
              </w:rPr>
            </w:pPr>
            <w:r w:rsidRPr="007C2042">
              <w:rPr>
                <w:rFonts w:eastAsia="MS PGothic"/>
              </w:rPr>
              <w:t>1,5 maximum</w:t>
            </w:r>
          </w:p>
        </w:tc>
      </w:tr>
      <w:tr w:rsidR="00711C86" w:rsidRPr="007C2042" w:rsidTr="00243303">
        <w:trPr>
          <w:tblHeader/>
          <w:jc w:val="center"/>
        </w:trPr>
        <w:tc>
          <w:tcPr>
            <w:tcW w:w="5670" w:type="dxa"/>
            <w:vAlign w:val="center"/>
          </w:tcPr>
          <w:p w:rsidR="00711C86" w:rsidRPr="007C2042" w:rsidRDefault="00711C86" w:rsidP="00243303">
            <w:pPr>
              <w:pStyle w:val="Tabletext"/>
              <w:rPr>
                <w:rFonts w:eastAsia="MS PGothic"/>
              </w:rPr>
            </w:pPr>
            <w:r w:rsidRPr="007C2042">
              <w:rPr>
                <w:rFonts w:eastAsia="MS PGothic"/>
              </w:rPr>
              <w:t>p.i.r.e. d'émission (dBW)</w:t>
            </w:r>
          </w:p>
        </w:tc>
        <w:tc>
          <w:tcPr>
            <w:tcW w:w="3402" w:type="dxa"/>
            <w:vAlign w:val="center"/>
          </w:tcPr>
          <w:p w:rsidR="00711C86" w:rsidRPr="007C2042" w:rsidRDefault="00711C86" w:rsidP="00243303">
            <w:pPr>
              <w:pStyle w:val="Tabletext"/>
              <w:jc w:val="center"/>
              <w:rPr>
                <w:rFonts w:eastAsia="MS PGothic"/>
                <w:szCs w:val="21"/>
              </w:rPr>
            </w:pPr>
            <w:r w:rsidRPr="007C2042">
              <w:rPr>
                <w:rFonts w:eastAsia="MS PGothic"/>
              </w:rPr>
              <w:t>66,6</w:t>
            </w:r>
          </w:p>
        </w:tc>
      </w:tr>
      <w:tr w:rsidR="00711C86" w:rsidRPr="007C2042" w:rsidTr="00243303">
        <w:trPr>
          <w:tblHeader/>
          <w:jc w:val="center"/>
        </w:trPr>
        <w:tc>
          <w:tcPr>
            <w:tcW w:w="3402" w:type="dxa"/>
            <w:gridSpan w:val="2"/>
            <w:tcBorders>
              <w:left w:val="nil"/>
              <w:bottom w:val="nil"/>
              <w:right w:val="nil"/>
            </w:tcBorders>
            <w:vAlign w:val="center"/>
          </w:tcPr>
          <w:p w:rsidR="00711C86" w:rsidRPr="007C2042" w:rsidDel="008F4063" w:rsidRDefault="00711C86" w:rsidP="00243303">
            <w:pPr>
              <w:pStyle w:val="TableLegendNote"/>
              <w:rPr>
                <w:rFonts w:eastAsia="MS PGothic"/>
                <w:lang w:val="fr-FR"/>
              </w:rPr>
            </w:pPr>
            <w:r w:rsidRPr="007C2042">
              <w:rPr>
                <w:rFonts w:eastAsia="MS PGothic"/>
                <w:lang w:val="fr-FR"/>
              </w:rPr>
              <w:t>NOTE 1 – Fréquence porteuse du signal considéré du SRNS ± la moitié de la largeur de bande du signal.</w:t>
            </w:r>
          </w:p>
        </w:tc>
      </w:tr>
    </w:tbl>
    <w:p w:rsidR="00711C86" w:rsidRPr="007C2042" w:rsidRDefault="00711C86" w:rsidP="00711C86">
      <w:pPr>
        <w:pStyle w:val="Tablefin"/>
        <w:rPr>
          <w:lang w:val="fr-FR"/>
        </w:rPr>
      </w:pPr>
    </w:p>
    <w:p w:rsidR="00711C86" w:rsidRPr="007C2042" w:rsidRDefault="00711C86" w:rsidP="00711C86">
      <w:pPr>
        <w:tabs>
          <w:tab w:val="clear" w:pos="794"/>
          <w:tab w:val="clear" w:pos="1191"/>
          <w:tab w:val="clear" w:pos="1588"/>
          <w:tab w:val="clear" w:pos="1985"/>
        </w:tabs>
        <w:overflowPunct/>
        <w:autoSpaceDE/>
        <w:autoSpaceDN/>
        <w:adjustRightInd/>
        <w:spacing w:before="0"/>
        <w:textAlignment w:val="auto"/>
        <w:rPr>
          <w:caps/>
        </w:rPr>
      </w:pPr>
      <w:r w:rsidRPr="007C2042">
        <w:br w:type="page"/>
      </w:r>
    </w:p>
    <w:p w:rsidR="00711C86" w:rsidRPr="007C2042" w:rsidRDefault="00711C86" w:rsidP="00711C86">
      <w:pPr>
        <w:pStyle w:val="TableNo"/>
      </w:pPr>
      <w:r w:rsidRPr="007C2042">
        <w:lastRenderedPageBreak/>
        <w:t>TABLEAU 2-2</w:t>
      </w:r>
    </w:p>
    <w:p w:rsidR="00711C86" w:rsidRPr="007C2042" w:rsidRDefault="00711C86" w:rsidP="00711C86">
      <w:pPr>
        <w:pStyle w:val="Tabletitle"/>
      </w:pPr>
      <w:r w:rsidRPr="007C2042">
        <w:t xml:space="preserve">Caractéristiques et critères de protection des stations spatiales de réception GPS </w:t>
      </w:r>
      <w:r w:rsidR="00963F02">
        <w:br/>
      </w:r>
      <w:bookmarkStart w:id="3" w:name="_GoBack"/>
      <w:bookmarkEnd w:id="3"/>
      <w:r w:rsidRPr="007C2042">
        <w:t>fonctionnant dans la bande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711C86" w:rsidRPr="007C2042" w:rsidTr="00243303">
        <w:trPr>
          <w:jc w:val="center"/>
        </w:trPr>
        <w:tc>
          <w:tcPr>
            <w:tcW w:w="5670" w:type="dxa"/>
            <w:vAlign w:val="center"/>
          </w:tcPr>
          <w:p w:rsidR="00711C86" w:rsidRPr="007C2042" w:rsidRDefault="00711C86" w:rsidP="00243303">
            <w:pPr>
              <w:pStyle w:val="Tablehead"/>
            </w:pPr>
            <w:r w:rsidRPr="007C2042">
              <w:t>Paramètre</w:t>
            </w:r>
          </w:p>
        </w:tc>
        <w:tc>
          <w:tcPr>
            <w:tcW w:w="3402" w:type="dxa"/>
            <w:vAlign w:val="center"/>
          </w:tcPr>
          <w:p w:rsidR="00711C86" w:rsidRPr="007C2042" w:rsidRDefault="00711C86" w:rsidP="00243303">
            <w:pPr>
              <w:pStyle w:val="Tablehead"/>
            </w:pPr>
            <w:r w:rsidRPr="007C2042">
              <w:t>Valeur</w:t>
            </w:r>
          </w:p>
        </w:tc>
      </w:tr>
      <w:tr w:rsidR="00711C86" w:rsidRPr="007C2042" w:rsidTr="00243303">
        <w:trPr>
          <w:jc w:val="center"/>
        </w:trPr>
        <w:tc>
          <w:tcPr>
            <w:tcW w:w="5670" w:type="dxa"/>
          </w:tcPr>
          <w:p w:rsidR="00711C86" w:rsidRPr="007C2042" w:rsidRDefault="00711C86" w:rsidP="00243303">
            <w:pPr>
              <w:pStyle w:val="Tabletext"/>
            </w:pPr>
            <w:r w:rsidRPr="007C2042">
              <w:t>Diamètre de l'antenne (m)</w:t>
            </w:r>
          </w:p>
        </w:tc>
        <w:tc>
          <w:tcPr>
            <w:tcW w:w="3402" w:type="dxa"/>
          </w:tcPr>
          <w:p w:rsidR="00711C86" w:rsidRPr="007C2042" w:rsidRDefault="00711C86" w:rsidP="00243303">
            <w:pPr>
              <w:pStyle w:val="Tabletext"/>
              <w:jc w:val="center"/>
            </w:pPr>
            <w:r w:rsidRPr="007C2042">
              <w:t>0,150</w:t>
            </w:r>
          </w:p>
        </w:tc>
      </w:tr>
      <w:tr w:rsidR="00711C86" w:rsidRPr="007C2042" w:rsidTr="00243303">
        <w:trPr>
          <w:jc w:val="center"/>
        </w:trPr>
        <w:tc>
          <w:tcPr>
            <w:tcW w:w="5670" w:type="dxa"/>
          </w:tcPr>
          <w:p w:rsidR="00711C86" w:rsidRPr="007C2042" w:rsidRDefault="00711C86" w:rsidP="00243303">
            <w:pPr>
              <w:pStyle w:val="Tabletext"/>
            </w:pPr>
            <w:r w:rsidRPr="007C2042">
              <w:t>Polarisation</w:t>
            </w:r>
          </w:p>
        </w:tc>
        <w:tc>
          <w:tcPr>
            <w:tcW w:w="3402" w:type="dxa"/>
          </w:tcPr>
          <w:p w:rsidR="00711C86" w:rsidRPr="007C2042" w:rsidDel="007B0A43" w:rsidRDefault="00711C86" w:rsidP="00243303">
            <w:pPr>
              <w:pStyle w:val="Tabletext"/>
              <w:jc w:val="center"/>
            </w:pPr>
            <w:r w:rsidRPr="007C2042">
              <w:t>circulaire droite</w:t>
            </w:r>
          </w:p>
        </w:tc>
      </w:tr>
      <w:tr w:rsidR="00711C86" w:rsidRPr="007C2042" w:rsidTr="00243303">
        <w:trPr>
          <w:jc w:val="center"/>
        </w:trPr>
        <w:tc>
          <w:tcPr>
            <w:tcW w:w="5670" w:type="dxa"/>
          </w:tcPr>
          <w:p w:rsidR="00711C86" w:rsidRPr="007C2042" w:rsidRDefault="00711C86" w:rsidP="00243303">
            <w:pPr>
              <w:pStyle w:val="Tabletext"/>
            </w:pPr>
            <w:r w:rsidRPr="007C2042">
              <w:t>Diagramme d'antenne</w:t>
            </w:r>
          </w:p>
        </w:tc>
        <w:tc>
          <w:tcPr>
            <w:tcW w:w="3402" w:type="dxa"/>
          </w:tcPr>
          <w:p w:rsidR="00711C86" w:rsidRPr="007C2042" w:rsidDel="007B0A43" w:rsidRDefault="00711C86" w:rsidP="00243303">
            <w:pPr>
              <w:pStyle w:val="Tabletext"/>
              <w:jc w:val="center"/>
            </w:pPr>
            <w:r w:rsidRPr="007C2042">
              <w:t xml:space="preserve">parabole circulaire à alimentation centrale </w:t>
            </w:r>
          </w:p>
        </w:tc>
      </w:tr>
      <w:tr w:rsidR="00711C86" w:rsidRPr="007C2042" w:rsidTr="00243303">
        <w:trPr>
          <w:jc w:val="center"/>
        </w:trPr>
        <w:tc>
          <w:tcPr>
            <w:tcW w:w="5670" w:type="dxa"/>
          </w:tcPr>
          <w:p w:rsidR="00711C86" w:rsidRPr="007C2042" w:rsidRDefault="00711C86" w:rsidP="00243303">
            <w:pPr>
              <w:pStyle w:val="Tabletext"/>
            </w:pPr>
            <w:r w:rsidRPr="007C2042">
              <w:t>Gain d'antenne théorique (dBi)</w:t>
            </w:r>
          </w:p>
        </w:tc>
        <w:tc>
          <w:tcPr>
            <w:tcW w:w="3402" w:type="dxa"/>
          </w:tcPr>
          <w:p w:rsidR="00711C86" w:rsidRPr="007C2042" w:rsidDel="007B0A43" w:rsidRDefault="00711C86" w:rsidP="00243303">
            <w:pPr>
              <w:pStyle w:val="Tabletext"/>
              <w:jc w:val="center"/>
            </w:pPr>
            <w:r w:rsidRPr="007C2042">
              <w:t>17,91</w:t>
            </w:r>
          </w:p>
        </w:tc>
      </w:tr>
      <w:tr w:rsidR="00711C86" w:rsidRPr="007C2042" w:rsidTr="00243303">
        <w:trPr>
          <w:jc w:val="center"/>
        </w:trPr>
        <w:tc>
          <w:tcPr>
            <w:tcW w:w="5670" w:type="dxa"/>
          </w:tcPr>
          <w:p w:rsidR="00711C86" w:rsidRPr="007C2042" w:rsidRDefault="00711C86" w:rsidP="00243303">
            <w:pPr>
              <w:pStyle w:val="Tabletext"/>
            </w:pPr>
            <w:r w:rsidRPr="007C2042">
              <w:t>Perte d'efficacité de l'antenne (dB)</w:t>
            </w:r>
          </w:p>
        </w:tc>
        <w:tc>
          <w:tcPr>
            <w:tcW w:w="3402" w:type="dxa"/>
          </w:tcPr>
          <w:p w:rsidR="00711C86" w:rsidRPr="007C2042" w:rsidDel="002E4866" w:rsidRDefault="00711C86" w:rsidP="00243303">
            <w:pPr>
              <w:pStyle w:val="Tabletext"/>
              <w:jc w:val="center"/>
            </w:pPr>
            <w:r w:rsidRPr="007C2042">
              <w:t>4,00</w:t>
            </w:r>
          </w:p>
        </w:tc>
      </w:tr>
      <w:tr w:rsidR="00711C86" w:rsidRPr="007C2042" w:rsidTr="00243303">
        <w:trPr>
          <w:jc w:val="center"/>
        </w:trPr>
        <w:tc>
          <w:tcPr>
            <w:tcW w:w="5670" w:type="dxa"/>
          </w:tcPr>
          <w:p w:rsidR="00711C86" w:rsidRPr="007C2042" w:rsidRDefault="00711C86" w:rsidP="00243303">
            <w:pPr>
              <w:pStyle w:val="Tabletext"/>
            </w:pPr>
            <w:r w:rsidRPr="007C2042">
              <w:t>Affaiblissement maximal par défaut d'adaptation de la polarisation (dB)</w:t>
            </w:r>
          </w:p>
        </w:tc>
        <w:tc>
          <w:tcPr>
            <w:tcW w:w="3402" w:type="dxa"/>
          </w:tcPr>
          <w:p w:rsidR="00711C86" w:rsidRPr="007C2042" w:rsidRDefault="00711C86" w:rsidP="00243303">
            <w:pPr>
              <w:pStyle w:val="Tabletext"/>
              <w:jc w:val="center"/>
            </w:pPr>
            <w:r w:rsidRPr="007C2042">
              <w:t>0,31</w:t>
            </w:r>
          </w:p>
        </w:tc>
      </w:tr>
      <w:tr w:rsidR="00711C86" w:rsidRPr="007C2042" w:rsidTr="00243303">
        <w:trPr>
          <w:jc w:val="center"/>
        </w:trPr>
        <w:tc>
          <w:tcPr>
            <w:tcW w:w="5670" w:type="dxa"/>
          </w:tcPr>
          <w:p w:rsidR="00711C86" w:rsidRPr="007C2042" w:rsidRDefault="00711C86" w:rsidP="00243303">
            <w:pPr>
              <w:pStyle w:val="Tabletext"/>
            </w:pPr>
            <w:r w:rsidRPr="007C2042">
              <w:t>Gain maximal de l'antenne de réception (dBi)</w:t>
            </w:r>
          </w:p>
        </w:tc>
        <w:tc>
          <w:tcPr>
            <w:tcW w:w="3402" w:type="dxa"/>
          </w:tcPr>
          <w:p w:rsidR="00711C86" w:rsidRPr="007C2042" w:rsidRDefault="00711C86" w:rsidP="00243303">
            <w:pPr>
              <w:pStyle w:val="Tabletext"/>
              <w:jc w:val="center"/>
            </w:pPr>
            <w:r w:rsidRPr="007C2042">
              <w:t>13,60</w:t>
            </w:r>
          </w:p>
        </w:tc>
      </w:tr>
      <w:tr w:rsidR="00711C86" w:rsidRPr="007C2042" w:rsidTr="00243303">
        <w:trPr>
          <w:jc w:val="center"/>
        </w:trPr>
        <w:tc>
          <w:tcPr>
            <w:tcW w:w="5670" w:type="dxa"/>
          </w:tcPr>
          <w:p w:rsidR="00711C86" w:rsidRPr="007C2042" w:rsidRDefault="00711C86" w:rsidP="00243303">
            <w:pPr>
              <w:pStyle w:val="Tabletext"/>
            </w:pPr>
            <w:r w:rsidRPr="007C2042">
              <w:t>Température de bruit du système de réception du satellite (K)</w:t>
            </w:r>
          </w:p>
        </w:tc>
        <w:tc>
          <w:tcPr>
            <w:tcW w:w="3402" w:type="dxa"/>
          </w:tcPr>
          <w:p w:rsidR="00711C86" w:rsidRPr="007C2042" w:rsidRDefault="00711C86" w:rsidP="00243303">
            <w:pPr>
              <w:pStyle w:val="Tabletext"/>
              <w:jc w:val="center"/>
              <w:rPr>
                <w:highlight w:val="cyan"/>
              </w:rPr>
            </w:pPr>
            <w:r w:rsidRPr="007C2042">
              <w:t>590</w:t>
            </w:r>
          </w:p>
        </w:tc>
      </w:tr>
      <w:tr w:rsidR="00711C86" w:rsidRPr="007C2042" w:rsidTr="00243303">
        <w:trPr>
          <w:jc w:val="center"/>
        </w:trPr>
        <w:tc>
          <w:tcPr>
            <w:tcW w:w="5670" w:type="dxa"/>
          </w:tcPr>
          <w:p w:rsidR="00711C86" w:rsidRPr="007C2042" w:rsidRDefault="00711C86" w:rsidP="00243303">
            <w:pPr>
              <w:pStyle w:val="Tabletext"/>
            </w:pPr>
            <w:bookmarkStart w:id="4" w:name="OLE_LINK1"/>
            <w:bookmarkStart w:id="5" w:name="OLE_LINK2"/>
            <w:r>
              <w:t>E</w:t>
            </w:r>
            <w:r w:rsidRPr="007C2042">
              <w:t>lévation minimale (degrés)</w:t>
            </w:r>
          </w:p>
        </w:tc>
        <w:tc>
          <w:tcPr>
            <w:tcW w:w="3402" w:type="dxa"/>
          </w:tcPr>
          <w:p w:rsidR="00711C86" w:rsidRPr="007C2042" w:rsidRDefault="00711C86" w:rsidP="00243303">
            <w:pPr>
              <w:pStyle w:val="Tabletext"/>
              <w:jc w:val="center"/>
            </w:pPr>
            <w:r w:rsidRPr="007C2042">
              <w:t>5,0</w:t>
            </w:r>
          </w:p>
        </w:tc>
      </w:tr>
      <w:tr w:rsidR="00711C86" w:rsidRPr="007C2042" w:rsidTr="00243303">
        <w:trPr>
          <w:jc w:val="center"/>
        </w:trPr>
        <w:tc>
          <w:tcPr>
            <w:tcW w:w="5670" w:type="dxa"/>
          </w:tcPr>
          <w:p w:rsidR="00711C86" w:rsidRPr="007C2042" w:rsidRDefault="00711C86" w:rsidP="00243303">
            <w:pPr>
              <w:pStyle w:val="Tabletext"/>
            </w:pPr>
            <w:r w:rsidRPr="007C2042">
              <w:t>Altitude du satellite (km)</w:t>
            </w:r>
          </w:p>
        </w:tc>
        <w:tc>
          <w:tcPr>
            <w:tcW w:w="3402" w:type="dxa"/>
          </w:tcPr>
          <w:p w:rsidR="00711C86" w:rsidRPr="007C2042" w:rsidRDefault="00711C86" w:rsidP="00243303">
            <w:pPr>
              <w:pStyle w:val="Tabletext"/>
              <w:jc w:val="center"/>
            </w:pPr>
            <w:r w:rsidRPr="007C2042">
              <w:t>20 200</w:t>
            </w:r>
          </w:p>
        </w:tc>
      </w:tr>
      <w:bookmarkEnd w:id="4"/>
      <w:bookmarkEnd w:id="5"/>
    </w:tbl>
    <w:p w:rsidR="00711C86" w:rsidRPr="007C2042" w:rsidRDefault="00711C86" w:rsidP="00711C86">
      <w:pPr>
        <w:pStyle w:val="Tablefin"/>
        <w:rPr>
          <w:rFonts w:eastAsia="MS Mincho"/>
          <w:lang w:val="fr-FR"/>
        </w:rPr>
      </w:pPr>
    </w:p>
    <w:p w:rsidR="00711C86" w:rsidRPr="007C2042" w:rsidRDefault="00711C86" w:rsidP="00711C86">
      <w:pPr>
        <w:rPr>
          <w:rFonts w:eastAsia="MS Mincho"/>
        </w:rPr>
      </w:pPr>
    </w:p>
    <w:p w:rsidR="00711C86" w:rsidRPr="007C2042" w:rsidRDefault="00711C86" w:rsidP="00711C86">
      <w:pPr>
        <w:rPr>
          <w:rFonts w:eastAsia="MS Mincho"/>
        </w:rPr>
      </w:pPr>
    </w:p>
    <w:p w:rsidR="00711C86" w:rsidRPr="007C2042" w:rsidRDefault="00711C86" w:rsidP="00711C86">
      <w:pPr>
        <w:pStyle w:val="AnnexNoTitle"/>
      </w:pPr>
      <w:r w:rsidRPr="007C2042">
        <w:t>Annexe 3</w:t>
      </w:r>
      <w:r w:rsidRPr="007C2042">
        <w:br/>
      </w:r>
      <w:r w:rsidRPr="007C2042">
        <w:br/>
        <w:t xml:space="preserve">Caractéristiques techniques et critères de protection des stations </w:t>
      </w:r>
      <w:r>
        <w:br/>
      </w:r>
      <w:r w:rsidRPr="007C2042">
        <w:t xml:space="preserve">spatiales de réception et caractéristiques des stations terriennes </w:t>
      </w:r>
      <w:r>
        <w:br/>
      </w:r>
      <w:r w:rsidRPr="007C2042">
        <w:t xml:space="preserve">d'émission du système QZSS fonctionnant dans </w:t>
      </w:r>
      <w:r>
        <w:br/>
      </w:r>
      <w:r w:rsidRPr="007C2042">
        <w:t>la bande 5 000</w:t>
      </w:r>
      <w:r w:rsidRPr="007C2042">
        <w:noBreakHyphen/>
        <w:t>5 010 MHz</w:t>
      </w:r>
    </w:p>
    <w:p w:rsidR="00711C86" w:rsidRPr="007C2042" w:rsidRDefault="00711C86" w:rsidP="00711C86">
      <w:pPr>
        <w:pStyle w:val="Heading1"/>
        <w:rPr>
          <w:rFonts w:eastAsia="MS Mincho"/>
        </w:rPr>
      </w:pPr>
      <w:r w:rsidRPr="007C2042">
        <w:rPr>
          <w:rFonts w:eastAsia="MS Mincho"/>
        </w:rPr>
        <w:t>1</w:t>
      </w:r>
      <w:r w:rsidRPr="007C2042">
        <w:rPr>
          <w:rFonts w:eastAsia="MS Mincho"/>
        </w:rPr>
        <w:tab/>
        <w:t>Introduction</w:t>
      </w:r>
    </w:p>
    <w:p w:rsidR="00711C86" w:rsidRPr="007C2042" w:rsidRDefault="00711C86" w:rsidP="00711C86">
      <w:pPr>
        <w:rPr>
          <w:rFonts w:eastAsia="MS Mincho"/>
        </w:rPr>
      </w:pPr>
      <w:r w:rsidRPr="007C2042">
        <w:rPr>
          <w:rFonts w:eastAsia="MS Mincho"/>
        </w:rPr>
        <w:t>Les liaisons montantes et descendantes de connexion du système à satellites quasi zénithal (</w:t>
      </w:r>
      <w:r w:rsidRPr="007C2042">
        <w:rPr>
          <w:rFonts w:eastAsia="MS Mincho"/>
          <w:lang w:eastAsia="ja-JP"/>
        </w:rPr>
        <w:t>QZS</w:t>
      </w:r>
      <w:r w:rsidRPr="007C2042">
        <w:rPr>
          <w:rFonts w:eastAsia="MS Mincho"/>
        </w:rPr>
        <w:t xml:space="preserve">S, </w:t>
      </w:r>
      <w:r w:rsidRPr="007C2042">
        <w:rPr>
          <w:rFonts w:eastAsia="MS Mincho"/>
          <w:i/>
          <w:iCs/>
        </w:rPr>
        <w:t>quasi-zenith satellite system</w:t>
      </w:r>
      <w:r w:rsidRPr="007C2042">
        <w:rPr>
          <w:rFonts w:eastAsia="MS Mincho"/>
        </w:rPr>
        <w:t xml:space="preserve">) assurent des communications pour la surveillance, la commande et le contrôle du système et des satellites et le téléversement de messages de </w:t>
      </w:r>
      <w:r w:rsidRPr="007C2042">
        <w:rPr>
          <w:rFonts w:eastAsia="MS Mincho"/>
          <w:lang w:eastAsia="ja-JP"/>
        </w:rPr>
        <w:t>navigation</w:t>
      </w:r>
      <w:r w:rsidRPr="007C2042">
        <w:rPr>
          <w:rFonts w:eastAsia="MS Mincho"/>
        </w:rPr>
        <w:t xml:space="preserve">. </w:t>
      </w:r>
      <w:r w:rsidRPr="007C2042">
        <w:rPr>
          <w:rFonts w:eastAsia="MS Mincho"/>
          <w:lang w:eastAsia="ja-JP"/>
        </w:rPr>
        <w:t>Les stations de contrôle QZS</w:t>
      </w:r>
      <w:r w:rsidRPr="007C2042">
        <w:rPr>
          <w:rFonts w:eastAsia="MS Mincho"/>
        </w:rPr>
        <w:t xml:space="preserve">S sont situées dans la région </w:t>
      </w:r>
      <w:r w:rsidRPr="007C2042">
        <w:rPr>
          <w:rFonts w:eastAsia="MS Mincho"/>
          <w:lang w:eastAsia="ja-JP"/>
        </w:rPr>
        <w:t>Asie-Pacifique</w:t>
      </w:r>
      <w:r w:rsidRPr="007C2042">
        <w:rPr>
          <w:rFonts w:eastAsia="MS Mincho"/>
        </w:rPr>
        <w:t>.</w:t>
      </w:r>
    </w:p>
    <w:p w:rsidR="00711C86" w:rsidRPr="007C2042" w:rsidRDefault="00711C86" w:rsidP="00711C86">
      <w:pPr>
        <w:pStyle w:val="Heading1"/>
        <w:rPr>
          <w:rFonts w:eastAsia="MS Mincho"/>
        </w:rPr>
      </w:pPr>
      <w:r w:rsidRPr="007C2042">
        <w:rPr>
          <w:rFonts w:eastAsia="MS Mincho"/>
        </w:rPr>
        <w:t>2</w:t>
      </w:r>
      <w:r w:rsidRPr="007C2042">
        <w:rPr>
          <w:rFonts w:eastAsia="MS Mincho"/>
        </w:rPr>
        <w:tab/>
        <w:t xml:space="preserve">Caractéristiques du système </w:t>
      </w:r>
      <w:r w:rsidRPr="007C2042">
        <w:rPr>
          <w:rFonts w:eastAsia="MS Mincho"/>
          <w:lang w:eastAsia="ja-JP"/>
        </w:rPr>
        <w:t>QZS</w:t>
      </w:r>
      <w:r w:rsidRPr="007C2042">
        <w:rPr>
          <w:rFonts w:eastAsia="MS Mincho"/>
        </w:rPr>
        <w:t xml:space="preserve">S </w:t>
      </w:r>
    </w:p>
    <w:p w:rsidR="00711C86" w:rsidRPr="007C2042" w:rsidRDefault="00711C86" w:rsidP="00711C86">
      <w:pPr>
        <w:rPr>
          <w:lang w:eastAsia="ja-JP"/>
        </w:rPr>
      </w:pPr>
      <w:r w:rsidRPr="007C2042">
        <w:rPr>
          <w:rFonts w:eastAsia="MS Mincho"/>
          <w:lang w:eastAsia="ja-JP"/>
        </w:rPr>
        <w:t xml:space="preserve">Les satellites QZSS comportent une charge utile du SRNS </w:t>
      </w:r>
      <w:r w:rsidRPr="007C2042">
        <w:rPr>
          <w:lang w:eastAsia="ja-JP"/>
        </w:rPr>
        <w:t xml:space="preserve">fonctionnant dans la bande </w:t>
      </w:r>
      <w:r>
        <w:rPr>
          <w:rFonts w:eastAsia="MS Mincho"/>
          <w:lang w:eastAsia="ja-JP"/>
        </w:rPr>
        <w:t>5 000</w:t>
      </w:r>
      <w:r>
        <w:rPr>
          <w:rFonts w:eastAsia="MS Mincho"/>
          <w:lang w:eastAsia="ja-JP"/>
        </w:rPr>
        <w:noBreakHyphen/>
      </w:r>
      <w:r w:rsidRPr="007C2042">
        <w:rPr>
          <w:rFonts w:eastAsia="MS Mincho"/>
          <w:lang w:eastAsia="ja-JP"/>
        </w:rPr>
        <w:t xml:space="preserve">5 010 MHz (récepteur de satellite) et dans la bande 5 010-5 030 MHz (émetteur de satellite). Étant donné que </w:t>
      </w:r>
      <w:r w:rsidRPr="007C2042">
        <w:rPr>
          <w:rFonts w:eastAsia="MS Mincho"/>
        </w:rPr>
        <w:t xml:space="preserve">ces bandes sont adjacentes, </w:t>
      </w:r>
      <w:r w:rsidRPr="007C2042">
        <w:rPr>
          <w:rFonts w:eastAsia="MS Mincho"/>
          <w:lang w:eastAsia="ja-JP"/>
        </w:rPr>
        <w:t xml:space="preserve">une technique d'atténuation des autobrouillages est mise en œuvre dans la charge utile des satellites QZSS afin d'éviter les autobrouillages. En outre, le système QZSS utilise uniquement la partie inférieure de la bande </w:t>
      </w:r>
      <w:r w:rsidRPr="007C2042">
        <w:rPr>
          <w:rFonts w:eastAsia="MS Mincho"/>
        </w:rPr>
        <w:t>5 000-5 010 MHz pour les liaisons montantes et la partie supérieure de la bande 5 0</w:t>
      </w:r>
      <w:r w:rsidRPr="007C2042">
        <w:rPr>
          <w:rFonts w:eastAsia="MS Mincho"/>
          <w:lang w:eastAsia="ja-JP"/>
        </w:rPr>
        <w:t>1</w:t>
      </w:r>
      <w:r w:rsidRPr="007C2042">
        <w:rPr>
          <w:rFonts w:eastAsia="MS Mincho"/>
        </w:rPr>
        <w:t>0-5 030 MHz pour les liaisons descendantes</w:t>
      </w:r>
      <w:r w:rsidRPr="007C2042">
        <w:rPr>
          <w:rFonts w:eastAsia="MS Mincho"/>
          <w:lang w:eastAsia="ja-JP"/>
        </w:rPr>
        <w:t>.</w:t>
      </w:r>
    </w:p>
    <w:p w:rsidR="00711C86" w:rsidRPr="007C2042" w:rsidRDefault="00711C86" w:rsidP="00711C86">
      <w:pPr>
        <w:rPr>
          <w:lang w:eastAsia="ja-JP"/>
        </w:rPr>
      </w:pPr>
      <w:r w:rsidRPr="007C2042">
        <w:rPr>
          <w:lang w:eastAsia="ja-JP"/>
        </w:rPr>
        <w:t xml:space="preserve">Les liaisons montantes de connexion QZSS dans la bande </w:t>
      </w:r>
      <w:r w:rsidRPr="007C2042">
        <w:rPr>
          <w:rFonts w:eastAsia="MS Mincho"/>
          <w:lang w:eastAsia="ja-JP"/>
        </w:rPr>
        <w:t xml:space="preserve">5 000-5 010 MHz assurent des fonctions de </w:t>
      </w:r>
      <w:r w:rsidRPr="007C2042">
        <w:rPr>
          <w:lang w:eastAsia="ja-JP"/>
        </w:rPr>
        <w:t xml:space="preserve">commande, de téléversement de messages de navigation et de télémétrie. </w:t>
      </w:r>
    </w:p>
    <w:p w:rsidR="00711C86" w:rsidRPr="007C2042" w:rsidRDefault="00711C86" w:rsidP="00711C86">
      <w:pPr>
        <w:rPr>
          <w:lang w:eastAsia="ja-JP"/>
        </w:rPr>
      </w:pPr>
      <w:r w:rsidRPr="007C2042">
        <w:rPr>
          <w:lang w:eastAsia="ja-JP"/>
        </w:rPr>
        <w:lastRenderedPageBreak/>
        <w:t>Pour l'évaluation des brouillages potentiels sur la liaison de commande QZSS et sur la liaison de téléversement de messages de navigation, il convient d'utiliser les caractéristiques présentées dans les Tableaux</w:t>
      </w:r>
      <w:r w:rsidRPr="007C2042">
        <w:rPr>
          <w:rFonts w:eastAsia="MS Mincho"/>
          <w:lang w:eastAsia="ja-JP"/>
        </w:rPr>
        <w:t> </w:t>
      </w:r>
      <w:r w:rsidRPr="007C2042">
        <w:rPr>
          <w:lang w:eastAsia="ja-JP"/>
        </w:rPr>
        <w:t>3</w:t>
      </w:r>
      <w:r w:rsidRPr="007C2042">
        <w:rPr>
          <w:lang w:eastAsia="ja-JP"/>
        </w:rPr>
        <w:noBreakHyphen/>
        <w:t>1 et 3</w:t>
      </w:r>
      <w:r w:rsidRPr="007C2042">
        <w:rPr>
          <w:lang w:eastAsia="ja-JP"/>
        </w:rPr>
        <w:noBreakHyphen/>
        <w:t>2.</w:t>
      </w:r>
    </w:p>
    <w:p w:rsidR="00711C86" w:rsidRPr="007C2042" w:rsidRDefault="00711C86" w:rsidP="00711C86">
      <w:pPr>
        <w:rPr>
          <w:lang w:eastAsia="ja-JP"/>
        </w:rPr>
      </w:pPr>
      <w:r w:rsidRPr="007C2042">
        <w:rPr>
          <w:lang w:eastAsia="ja-JP"/>
        </w:rPr>
        <w:t xml:space="preserve">Pour l'évaluation des brouillages sur la liaison de télémétrie, il convient d'échanger bilatéralement les caractéristiques et les critères de protection comme c'est habituellement le cas pour la coordination des fréquences entre systèmes à satellites. En effet, pour pouvoir évaluer correctement l'incidence des éventuels brouillages sur la liaison de télémétrie QZSS, il faut procéder à une évaluation du rapport </w:t>
      </w:r>
      <w:r w:rsidRPr="007C2042">
        <w:rPr>
          <w:i/>
          <w:iCs/>
          <w:lang w:eastAsia="ja-JP"/>
        </w:rPr>
        <w:t>C</w:t>
      </w:r>
      <w:r w:rsidRPr="007C2042">
        <w:rPr>
          <w:lang w:eastAsia="ja-JP"/>
        </w:rPr>
        <w:t>/</w:t>
      </w:r>
      <w:r w:rsidRPr="007C2042">
        <w:rPr>
          <w:i/>
          <w:iCs/>
          <w:lang w:eastAsia="ja-JP"/>
        </w:rPr>
        <w:t>N</w:t>
      </w:r>
      <w:r w:rsidRPr="007C2042">
        <w:rPr>
          <w:vertAlign w:val="subscript"/>
          <w:lang w:eastAsia="ja-JP"/>
        </w:rPr>
        <w:t>0</w:t>
      </w:r>
      <w:r w:rsidRPr="007C2042">
        <w:rPr>
          <w:lang w:eastAsia="ja-JP"/>
        </w:rPr>
        <w:t xml:space="preserve"> global compte tenu à la fois de la liaison montante et de la liaison descendante. (Il est impossible d'évaluer la qualité de fonctionnement de la liaison de télémétrie QZSS uniquement sur la base des brouillages sur la liaison montante.) </w:t>
      </w:r>
    </w:p>
    <w:p w:rsidR="00711C86" w:rsidRPr="007C2042" w:rsidRDefault="00711C86" w:rsidP="00711C86">
      <w:pPr>
        <w:pStyle w:val="TableNo"/>
        <w:rPr>
          <w:rFonts w:eastAsia="MS Mincho"/>
        </w:rPr>
      </w:pPr>
      <w:r w:rsidRPr="007C2042">
        <w:rPr>
          <w:rFonts w:eastAsia="MS Mincho"/>
        </w:rPr>
        <w:t xml:space="preserve">TABLEAU </w:t>
      </w:r>
      <w:r w:rsidRPr="007C2042">
        <w:rPr>
          <w:rFonts w:eastAsia="MS Mincho"/>
          <w:lang w:eastAsia="ja-JP"/>
        </w:rPr>
        <w:t>3</w:t>
      </w:r>
      <w:r w:rsidRPr="007C2042">
        <w:rPr>
          <w:rFonts w:eastAsia="MS Mincho"/>
        </w:rPr>
        <w:t>-1</w:t>
      </w:r>
    </w:p>
    <w:p w:rsidR="00711C86" w:rsidRPr="007C2042" w:rsidRDefault="00711C86" w:rsidP="00711C86">
      <w:pPr>
        <w:pStyle w:val="Tabletitle"/>
        <w:rPr>
          <w:rFonts w:eastAsia="MS Mincho"/>
          <w:lang w:eastAsia="ja-JP"/>
        </w:rPr>
      </w:pPr>
      <w:r w:rsidRPr="007C2042">
        <w:rPr>
          <w:rFonts w:eastAsia="MS Mincho"/>
        </w:rPr>
        <w:t xml:space="preserve">Caractéristiques des stations terriennes d'émission </w:t>
      </w:r>
      <w:r w:rsidRPr="007C2042">
        <w:rPr>
          <w:rFonts w:eastAsia="MS Mincho"/>
          <w:lang w:eastAsia="ja-JP"/>
        </w:rPr>
        <w:t>QZS</w:t>
      </w:r>
      <w:r w:rsidRPr="007C2042">
        <w:rPr>
          <w:rFonts w:eastAsia="MS Mincho"/>
        </w:rPr>
        <w:t xml:space="preserve">S </w:t>
      </w:r>
      <w:r w:rsidRPr="007C2042">
        <w:rPr>
          <w:rFonts w:eastAsia="MS Mincho"/>
        </w:rPr>
        <w:br/>
        <w:t>fonctionnant dans la bande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711C86" w:rsidRPr="007C2042" w:rsidTr="00243303">
        <w:trPr>
          <w:cantSplit/>
          <w:jc w:val="center"/>
        </w:trPr>
        <w:tc>
          <w:tcPr>
            <w:tcW w:w="5103" w:type="dxa"/>
          </w:tcPr>
          <w:p w:rsidR="00711C86" w:rsidRPr="007C2042" w:rsidRDefault="00711C86" w:rsidP="00243303">
            <w:pPr>
              <w:pStyle w:val="Tablehead"/>
              <w:rPr>
                <w:rFonts w:eastAsia="MS Mincho"/>
              </w:rPr>
            </w:pPr>
            <w:r w:rsidRPr="007C2042">
              <w:rPr>
                <w:rFonts w:eastAsia="MS Mincho"/>
              </w:rPr>
              <w:t>Paramètre</w:t>
            </w:r>
          </w:p>
        </w:tc>
        <w:tc>
          <w:tcPr>
            <w:tcW w:w="3969" w:type="dxa"/>
          </w:tcPr>
          <w:p w:rsidR="00711C86" w:rsidRPr="007C2042" w:rsidRDefault="00711C86" w:rsidP="00243303">
            <w:pPr>
              <w:pStyle w:val="Tablehead"/>
              <w:rPr>
                <w:rFonts w:eastAsia="MS Mincho"/>
              </w:rPr>
            </w:pPr>
            <w:r w:rsidRPr="007C2042">
              <w:rPr>
                <w:rFonts w:eastAsia="MS Mincho"/>
              </w:rPr>
              <w:t>Valeur</w:t>
            </w:r>
          </w:p>
        </w:tc>
      </w:tr>
      <w:tr w:rsidR="00711C86" w:rsidRPr="007C2042" w:rsidTr="00243303">
        <w:trPr>
          <w:cantSplit/>
          <w:jc w:val="center"/>
        </w:trPr>
        <w:tc>
          <w:tcPr>
            <w:tcW w:w="5103" w:type="dxa"/>
          </w:tcPr>
          <w:p w:rsidR="00711C86" w:rsidRPr="007C2042" w:rsidRDefault="00711C86" w:rsidP="00243303">
            <w:pPr>
              <w:pStyle w:val="Tabletext"/>
              <w:rPr>
                <w:rFonts w:eastAsia="MS Mincho"/>
                <w:lang w:eastAsia="ja-JP"/>
              </w:rPr>
            </w:pPr>
            <w:r w:rsidRPr="007C2042">
              <w:rPr>
                <w:rFonts w:eastAsia="MS Mincho"/>
                <w:lang w:eastAsia="ja-JP"/>
              </w:rPr>
              <w:t>Gain maximal de l'antenne</w:t>
            </w:r>
          </w:p>
        </w:tc>
        <w:tc>
          <w:tcPr>
            <w:tcW w:w="3969" w:type="dxa"/>
          </w:tcPr>
          <w:p w:rsidR="00711C86" w:rsidRPr="007C2042" w:rsidRDefault="00711C86" w:rsidP="00243303">
            <w:pPr>
              <w:pStyle w:val="Tabletext"/>
              <w:jc w:val="center"/>
              <w:rPr>
                <w:rFonts w:eastAsia="MS Mincho"/>
                <w:lang w:eastAsia="ja-JP"/>
              </w:rPr>
            </w:pPr>
            <w:r w:rsidRPr="007C2042">
              <w:rPr>
                <w:rFonts w:eastAsia="MS Mincho"/>
                <w:lang w:eastAsia="ja-JP"/>
              </w:rPr>
              <w:t>49,0 dBi</w:t>
            </w:r>
          </w:p>
        </w:tc>
      </w:tr>
      <w:tr w:rsidR="00711C86" w:rsidRPr="007C2042" w:rsidTr="00243303">
        <w:trPr>
          <w:cantSplit/>
          <w:jc w:val="center"/>
        </w:trPr>
        <w:tc>
          <w:tcPr>
            <w:tcW w:w="5103" w:type="dxa"/>
          </w:tcPr>
          <w:p w:rsidR="00711C86" w:rsidRPr="007C2042" w:rsidRDefault="00711C86" w:rsidP="00243303">
            <w:pPr>
              <w:pStyle w:val="Tabletext"/>
              <w:rPr>
                <w:rFonts w:eastAsia="MS Mincho"/>
              </w:rPr>
            </w:pPr>
            <w:r w:rsidRPr="007C2042">
              <w:rPr>
                <w:rFonts w:eastAsia="MS Mincho"/>
              </w:rPr>
              <w:t>Diagramme d'antenne</w:t>
            </w:r>
          </w:p>
        </w:tc>
        <w:tc>
          <w:tcPr>
            <w:tcW w:w="3969" w:type="dxa"/>
          </w:tcPr>
          <w:p w:rsidR="00711C86" w:rsidRPr="007C2042" w:rsidRDefault="00711C86" w:rsidP="00243303">
            <w:pPr>
              <w:pStyle w:val="Tabletext"/>
              <w:jc w:val="center"/>
              <w:rPr>
                <w:rFonts w:eastAsia="MS Mincho"/>
                <w:lang w:eastAsia="ja-JP"/>
              </w:rPr>
            </w:pPr>
            <w:r w:rsidRPr="007C2042">
              <w:rPr>
                <w:rFonts w:eastAsia="MS Mincho"/>
                <w:lang w:eastAsia="ja-JP"/>
              </w:rPr>
              <w:t>Rec. UIT</w:t>
            </w:r>
            <w:r w:rsidRPr="007C2042">
              <w:rPr>
                <w:rFonts w:eastAsia="MS Mincho"/>
                <w:lang w:eastAsia="ja-JP"/>
              </w:rPr>
              <w:noBreakHyphen/>
              <w:t>R S.465-5</w:t>
            </w:r>
          </w:p>
        </w:tc>
      </w:tr>
      <w:tr w:rsidR="00711C86" w:rsidRPr="007C2042" w:rsidTr="00243303">
        <w:trPr>
          <w:cantSplit/>
          <w:jc w:val="center"/>
        </w:trPr>
        <w:tc>
          <w:tcPr>
            <w:tcW w:w="5103" w:type="dxa"/>
          </w:tcPr>
          <w:p w:rsidR="00711C86" w:rsidRPr="007C2042" w:rsidRDefault="00711C86" w:rsidP="00243303">
            <w:pPr>
              <w:pStyle w:val="Tabletext"/>
              <w:rPr>
                <w:rFonts w:eastAsia="MS Mincho"/>
              </w:rPr>
            </w:pPr>
            <w:r w:rsidRPr="007C2042">
              <w:rPr>
                <w:rFonts w:eastAsia="MS Mincho"/>
              </w:rPr>
              <w:t>Polarisation</w:t>
            </w:r>
          </w:p>
        </w:tc>
        <w:tc>
          <w:tcPr>
            <w:tcW w:w="3969" w:type="dxa"/>
          </w:tcPr>
          <w:p w:rsidR="00711C86" w:rsidRPr="007C2042" w:rsidRDefault="00711C86" w:rsidP="00243303">
            <w:pPr>
              <w:pStyle w:val="Tabletext"/>
              <w:jc w:val="center"/>
              <w:rPr>
                <w:rFonts w:eastAsia="MS Mincho"/>
                <w:lang w:eastAsia="ja-JP"/>
              </w:rPr>
            </w:pPr>
            <w:r w:rsidRPr="007C2042">
              <w:rPr>
                <w:rFonts w:eastAsia="MS Mincho"/>
                <w:lang w:eastAsia="ja-JP"/>
              </w:rPr>
              <w:t>circulaire gauche</w:t>
            </w:r>
          </w:p>
        </w:tc>
      </w:tr>
      <w:tr w:rsidR="00711C86" w:rsidRPr="007C2042" w:rsidTr="00243303">
        <w:trPr>
          <w:cantSplit/>
          <w:jc w:val="center"/>
        </w:trPr>
        <w:tc>
          <w:tcPr>
            <w:tcW w:w="5103" w:type="dxa"/>
          </w:tcPr>
          <w:p w:rsidR="00711C86" w:rsidRPr="007C2042" w:rsidRDefault="00711C86" w:rsidP="00243303">
            <w:pPr>
              <w:pStyle w:val="Tabletext"/>
              <w:rPr>
                <w:rFonts w:eastAsia="MS Mincho"/>
              </w:rPr>
            </w:pPr>
            <w:r w:rsidRPr="007C2042">
              <w:rPr>
                <w:rFonts w:eastAsia="MS Mincho"/>
              </w:rPr>
              <w:t>p.i.r.e. d'émission (dBW)</w:t>
            </w:r>
          </w:p>
        </w:tc>
        <w:tc>
          <w:tcPr>
            <w:tcW w:w="3969" w:type="dxa"/>
          </w:tcPr>
          <w:p w:rsidR="00711C86" w:rsidRPr="007C2042" w:rsidRDefault="00711C86" w:rsidP="00243303">
            <w:pPr>
              <w:pStyle w:val="Tabletext"/>
              <w:jc w:val="center"/>
              <w:rPr>
                <w:rFonts w:eastAsia="MS Mincho"/>
                <w:lang w:eastAsia="ja-JP"/>
              </w:rPr>
            </w:pPr>
            <w:r w:rsidRPr="007C2042">
              <w:rPr>
                <w:rFonts w:eastAsia="MS Mincho"/>
                <w:lang w:eastAsia="ja-JP"/>
              </w:rPr>
              <w:t>61,4/56,1 pour la commande</w:t>
            </w:r>
            <w:r w:rsidRPr="007C2042">
              <w:rPr>
                <w:rFonts w:eastAsia="MS Mincho"/>
                <w:lang w:eastAsia="ja-JP"/>
              </w:rPr>
              <w:br/>
              <w:t xml:space="preserve">60,4/55,4 pour le téléversement de messages de navigation </w:t>
            </w:r>
          </w:p>
        </w:tc>
      </w:tr>
      <w:tr w:rsidR="00711C86" w:rsidRPr="007C2042" w:rsidTr="00243303">
        <w:trPr>
          <w:cantSplit/>
          <w:jc w:val="center"/>
        </w:trPr>
        <w:tc>
          <w:tcPr>
            <w:tcW w:w="5103" w:type="dxa"/>
            <w:tcBorders>
              <w:bottom w:val="single" w:sz="4" w:space="0" w:color="auto"/>
            </w:tcBorders>
          </w:tcPr>
          <w:p w:rsidR="00711C86" w:rsidRPr="007C2042" w:rsidRDefault="00711C86" w:rsidP="00243303">
            <w:pPr>
              <w:pStyle w:val="Tabletext"/>
              <w:rPr>
                <w:rFonts w:eastAsia="MS Mincho"/>
              </w:rPr>
            </w:pPr>
            <w:r w:rsidRPr="007C2042">
              <w:rPr>
                <w:rFonts w:eastAsia="MS Mincho"/>
              </w:rPr>
              <w:t>Modulation</w:t>
            </w:r>
          </w:p>
        </w:tc>
        <w:tc>
          <w:tcPr>
            <w:tcW w:w="3969" w:type="dxa"/>
            <w:tcBorders>
              <w:bottom w:val="single" w:sz="4" w:space="0" w:color="auto"/>
            </w:tcBorders>
          </w:tcPr>
          <w:p w:rsidR="00711C86" w:rsidRPr="007C2042" w:rsidRDefault="00711C86" w:rsidP="00243303">
            <w:pPr>
              <w:pStyle w:val="Tabletext"/>
              <w:jc w:val="center"/>
              <w:rPr>
                <w:rFonts w:eastAsia="MS Mincho"/>
                <w:lang w:eastAsia="ja-JP"/>
              </w:rPr>
            </w:pPr>
            <w:r w:rsidRPr="007C2042">
              <w:rPr>
                <w:rFonts w:eastAsia="MS Mincho"/>
                <w:lang w:eastAsia="ja-JP"/>
              </w:rPr>
              <w:t>MIC-MDP/MP</w:t>
            </w:r>
          </w:p>
        </w:tc>
      </w:tr>
    </w:tbl>
    <w:p w:rsidR="00711C86" w:rsidRPr="007C2042" w:rsidRDefault="00711C86" w:rsidP="00711C86">
      <w:pPr>
        <w:pStyle w:val="Tablefin"/>
        <w:rPr>
          <w:rFonts w:eastAsia="MS Mincho"/>
          <w:lang w:val="fr-FR"/>
        </w:rPr>
      </w:pPr>
    </w:p>
    <w:p w:rsidR="00711C86" w:rsidRPr="007C2042" w:rsidRDefault="00711C86" w:rsidP="00711C86">
      <w:pPr>
        <w:pStyle w:val="TableNo"/>
        <w:rPr>
          <w:rFonts w:eastAsia="MS Mincho"/>
        </w:rPr>
      </w:pPr>
      <w:r w:rsidRPr="007C2042">
        <w:rPr>
          <w:rFonts w:eastAsia="MS Mincho"/>
        </w:rPr>
        <w:t xml:space="preserve">TABLEAU </w:t>
      </w:r>
      <w:r w:rsidRPr="007C2042">
        <w:rPr>
          <w:rFonts w:eastAsia="MS Mincho"/>
          <w:lang w:eastAsia="ja-JP"/>
        </w:rPr>
        <w:t>3</w:t>
      </w:r>
      <w:r w:rsidRPr="007C2042">
        <w:rPr>
          <w:rFonts w:eastAsia="MS Mincho"/>
        </w:rPr>
        <w:t>-2</w:t>
      </w:r>
    </w:p>
    <w:p w:rsidR="00711C86" w:rsidRPr="007C2042" w:rsidRDefault="00711C86" w:rsidP="00711C86">
      <w:pPr>
        <w:pStyle w:val="Tabletitle"/>
        <w:rPr>
          <w:rFonts w:eastAsia="MS Mincho"/>
        </w:rPr>
      </w:pPr>
      <w:r w:rsidRPr="007C2042">
        <w:rPr>
          <w:rFonts w:eastAsia="MS Mincho"/>
        </w:rPr>
        <w:t xml:space="preserve">Caractéristiques </w:t>
      </w:r>
      <w:r w:rsidRPr="007C2042">
        <w:rPr>
          <w:rFonts w:eastAsia="MS Mincho"/>
          <w:lang w:eastAsia="ja-JP"/>
        </w:rPr>
        <w:t>et critères de protection des stations spatiales de réception QZS</w:t>
      </w:r>
      <w:r w:rsidRPr="007C2042">
        <w:rPr>
          <w:rFonts w:eastAsia="MS Mincho"/>
        </w:rPr>
        <w:t>S fonctionnant dans la bande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711C86" w:rsidRPr="007C2042" w:rsidTr="00243303">
        <w:trPr>
          <w:jc w:val="center"/>
        </w:trPr>
        <w:tc>
          <w:tcPr>
            <w:tcW w:w="5103" w:type="dxa"/>
            <w:vAlign w:val="center"/>
          </w:tcPr>
          <w:p w:rsidR="00711C86" w:rsidRPr="007C2042" w:rsidRDefault="00711C86" w:rsidP="00243303">
            <w:pPr>
              <w:pStyle w:val="Tablehead"/>
              <w:rPr>
                <w:rFonts w:eastAsia="MS Mincho"/>
              </w:rPr>
            </w:pPr>
            <w:r w:rsidRPr="007C2042">
              <w:rPr>
                <w:rFonts w:eastAsia="MS Mincho"/>
              </w:rPr>
              <w:t>Paramètre</w:t>
            </w:r>
          </w:p>
        </w:tc>
        <w:tc>
          <w:tcPr>
            <w:tcW w:w="3969" w:type="dxa"/>
            <w:vAlign w:val="center"/>
          </w:tcPr>
          <w:p w:rsidR="00711C86" w:rsidRPr="007C2042" w:rsidRDefault="00711C86" w:rsidP="00243303">
            <w:pPr>
              <w:pStyle w:val="Tablehead"/>
              <w:rPr>
                <w:rFonts w:eastAsia="MS Mincho"/>
              </w:rPr>
            </w:pPr>
            <w:r w:rsidRPr="007C2042">
              <w:rPr>
                <w:rFonts w:eastAsia="MS Mincho"/>
              </w:rPr>
              <w:t>Valeur</w:t>
            </w:r>
          </w:p>
        </w:tc>
      </w:tr>
      <w:tr w:rsidR="00711C86" w:rsidRPr="007C2042" w:rsidTr="00243303">
        <w:trPr>
          <w:jc w:val="center"/>
        </w:trPr>
        <w:tc>
          <w:tcPr>
            <w:tcW w:w="5103" w:type="dxa"/>
          </w:tcPr>
          <w:p w:rsidR="00711C86" w:rsidRPr="007C2042" w:rsidRDefault="00711C86" w:rsidP="00243303">
            <w:pPr>
              <w:pStyle w:val="Tabletext"/>
              <w:rPr>
                <w:rFonts w:eastAsia="MS Mincho"/>
              </w:rPr>
            </w:pPr>
            <w:r w:rsidRPr="007C2042">
              <w:rPr>
                <w:rFonts w:eastAsia="MS Mincho"/>
              </w:rPr>
              <w:t>Diagramme d'antenne</w:t>
            </w:r>
          </w:p>
        </w:tc>
        <w:tc>
          <w:tcPr>
            <w:tcW w:w="3969" w:type="dxa"/>
          </w:tcPr>
          <w:p w:rsidR="00711C86" w:rsidRPr="007C2042" w:rsidRDefault="00711C86" w:rsidP="00243303">
            <w:pPr>
              <w:pStyle w:val="Tabletext"/>
              <w:jc w:val="center"/>
              <w:rPr>
                <w:rFonts w:eastAsia="MS Mincho"/>
                <w:lang w:eastAsia="ja-JP"/>
              </w:rPr>
            </w:pPr>
            <w:r w:rsidRPr="007C2042">
              <w:rPr>
                <w:rFonts w:eastAsia="MS Mincho"/>
                <w:lang w:eastAsia="ja-JP"/>
              </w:rPr>
              <w:t>Faisceau à couverture mondiale</w:t>
            </w:r>
          </w:p>
        </w:tc>
      </w:tr>
      <w:tr w:rsidR="00711C86" w:rsidRPr="007C2042" w:rsidTr="00243303">
        <w:trPr>
          <w:jc w:val="center"/>
        </w:trPr>
        <w:tc>
          <w:tcPr>
            <w:tcW w:w="5103" w:type="dxa"/>
          </w:tcPr>
          <w:p w:rsidR="00711C86" w:rsidRPr="007C2042" w:rsidRDefault="00711C86" w:rsidP="00243303">
            <w:pPr>
              <w:pStyle w:val="Tabletext"/>
              <w:rPr>
                <w:rFonts w:eastAsia="MS Mincho"/>
                <w:lang w:eastAsia="ja-JP"/>
              </w:rPr>
            </w:pPr>
            <w:r w:rsidRPr="007C2042">
              <w:rPr>
                <w:rFonts w:eastAsia="MS Mincho"/>
                <w:lang w:eastAsia="ja-JP"/>
              </w:rPr>
              <w:t>Largeur de bande nécessaire (kHz)</w:t>
            </w:r>
          </w:p>
        </w:tc>
        <w:tc>
          <w:tcPr>
            <w:tcW w:w="3969" w:type="dxa"/>
          </w:tcPr>
          <w:p w:rsidR="00711C86" w:rsidRPr="007C2042" w:rsidRDefault="00711C86" w:rsidP="00243303">
            <w:pPr>
              <w:pStyle w:val="Tabletext"/>
              <w:jc w:val="center"/>
              <w:rPr>
                <w:rFonts w:eastAsia="MS Mincho"/>
                <w:lang w:eastAsia="ja-JP"/>
              </w:rPr>
            </w:pPr>
            <w:r w:rsidRPr="007C2042">
              <w:rPr>
                <w:rFonts w:eastAsia="MS Mincho"/>
                <w:lang w:eastAsia="ja-JP"/>
              </w:rPr>
              <w:t>400</w:t>
            </w:r>
          </w:p>
        </w:tc>
      </w:tr>
      <w:tr w:rsidR="00711C86" w:rsidRPr="007C2042" w:rsidTr="00243303">
        <w:trPr>
          <w:jc w:val="center"/>
        </w:trPr>
        <w:tc>
          <w:tcPr>
            <w:tcW w:w="5103" w:type="dxa"/>
          </w:tcPr>
          <w:p w:rsidR="00711C86" w:rsidRPr="007C2042" w:rsidRDefault="00711C86" w:rsidP="00243303">
            <w:pPr>
              <w:pStyle w:val="Tabletext"/>
              <w:rPr>
                <w:rFonts w:eastAsia="MS Mincho"/>
                <w:lang w:eastAsia="ja-JP"/>
              </w:rPr>
            </w:pPr>
            <w:r w:rsidRPr="007C2042">
              <w:rPr>
                <w:rFonts w:eastAsia="MS Mincho"/>
                <w:lang w:eastAsia="ja-JP"/>
              </w:rPr>
              <w:t>Température de bruit (K)</w:t>
            </w:r>
          </w:p>
        </w:tc>
        <w:tc>
          <w:tcPr>
            <w:tcW w:w="3969" w:type="dxa"/>
          </w:tcPr>
          <w:p w:rsidR="00711C86" w:rsidRPr="007C2042" w:rsidRDefault="00711C86" w:rsidP="00243303">
            <w:pPr>
              <w:pStyle w:val="Tabletext"/>
              <w:jc w:val="center"/>
              <w:rPr>
                <w:rFonts w:eastAsia="MS Mincho"/>
                <w:lang w:eastAsia="ja-JP"/>
              </w:rPr>
            </w:pPr>
            <w:r w:rsidRPr="007C2042">
              <w:rPr>
                <w:rFonts w:eastAsia="MS Mincho"/>
                <w:lang w:eastAsia="ja-JP"/>
              </w:rPr>
              <w:t>400</w:t>
            </w:r>
          </w:p>
        </w:tc>
      </w:tr>
      <w:tr w:rsidR="00711C86" w:rsidRPr="007C2042" w:rsidTr="00243303">
        <w:trPr>
          <w:jc w:val="center"/>
        </w:trPr>
        <w:tc>
          <w:tcPr>
            <w:tcW w:w="5103" w:type="dxa"/>
          </w:tcPr>
          <w:p w:rsidR="00711C86" w:rsidRPr="007C2042" w:rsidRDefault="00711C86" w:rsidP="00243303">
            <w:pPr>
              <w:pStyle w:val="Tabletext"/>
              <w:rPr>
                <w:rFonts w:eastAsia="MS Mincho"/>
              </w:rPr>
            </w:pPr>
            <w:r w:rsidRPr="007C2042">
              <w:rPr>
                <w:rFonts w:eastAsia="MS Mincho"/>
              </w:rPr>
              <w:t>Gain du satellite (dB</w:t>
            </w:r>
            <w:r w:rsidRPr="007C2042">
              <w:rPr>
                <w:rFonts w:eastAsia="MS Mincho"/>
                <w:lang w:eastAsia="ja-JP"/>
              </w:rPr>
              <w:t>i</w:t>
            </w:r>
            <w:r w:rsidRPr="007C2042">
              <w:rPr>
                <w:rFonts w:eastAsia="MS Mincho"/>
              </w:rPr>
              <w:t>)</w:t>
            </w:r>
          </w:p>
        </w:tc>
        <w:tc>
          <w:tcPr>
            <w:tcW w:w="3969" w:type="dxa"/>
          </w:tcPr>
          <w:p w:rsidR="00711C86" w:rsidRPr="007C2042" w:rsidRDefault="00711C86" w:rsidP="00243303">
            <w:pPr>
              <w:pStyle w:val="Tabletext"/>
              <w:jc w:val="center"/>
              <w:rPr>
                <w:rFonts w:eastAsia="MS Mincho"/>
                <w:lang w:eastAsia="ja-JP"/>
              </w:rPr>
            </w:pPr>
            <w:r w:rsidRPr="007C2042">
              <w:rPr>
                <w:rFonts w:eastAsia="MS Mincho"/>
                <w:lang w:eastAsia="ja-JP"/>
              </w:rPr>
              <w:t>Maximum: 16,8</w:t>
            </w:r>
            <w:r w:rsidRPr="007C2042">
              <w:rPr>
                <w:rFonts w:eastAsia="MS Mincho"/>
                <w:lang w:eastAsia="ja-JP"/>
              </w:rPr>
              <w:br/>
              <w:t>Minimum: 8,0</w:t>
            </w:r>
            <w:r w:rsidRPr="007C2042">
              <w:rPr>
                <w:rFonts w:eastAsia="MS Mincho"/>
                <w:lang w:eastAsia="ja-JP"/>
              </w:rPr>
              <w:br/>
              <w:t>(y compris l'affaiblissement dans la ligne d'alimentation)</w:t>
            </w:r>
          </w:p>
        </w:tc>
      </w:tr>
      <w:tr w:rsidR="00711C86" w:rsidRPr="007C2042" w:rsidTr="00243303">
        <w:trPr>
          <w:jc w:val="center"/>
        </w:trPr>
        <w:tc>
          <w:tcPr>
            <w:tcW w:w="5103" w:type="dxa"/>
          </w:tcPr>
          <w:p w:rsidR="00711C86" w:rsidRPr="007C2042" w:rsidRDefault="00711C86" w:rsidP="00243303">
            <w:pPr>
              <w:pStyle w:val="Tabletext"/>
              <w:rPr>
                <w:rFonts w:eastAsia="MS Mincho"/>
                <w:lang w:eastAsia="ja-JP"/>
              </w:rPr>
            </w:pPr>
            <w:r w:rsidRPr="007C2042">
              <w:rPr>
                <w:rFonts w:eastAsia="MS Mincho"/>
                <w:lang w:eastAsia="ja-JP"/>
              </w:rPr>
              <w:t>Altitude minimale du satellite (km)</w:t>
            </w:r>
          </w:p>
        </w:tc>
        <w:tc>
          <w:tcPr>
            <w:tcW w:w="3969" w:type="dxa"/>
          </w:tcPr>
          <w:p w:rsidR="00711C86" w:rsidRPr="007C2042" w:rsidRDefault="00711C86" w:rsidP="00243303">
            <w:pPr>
              <w:pStyle w:val="Tabletext"/>
              <w:jc w:val="center"/>
              <w:rPr>
                <w:rFonts w:eastAsia="MS Mincho"/>
                <w:lang w:eastAsia="ja-JP"/>
              </w:rPr>
            </w:pPr>
            <w:r w:rsidRPr="007C2042">
              <w:rPr>
                <w:rFonts w:eastAsia="MS Mincho"/>
                <w:lang w:eastAsia="ja-JP"/>
              </w:rPr>
              <w:t>31 600</w:t>
            </w:r>
          </w:p>
        </w:tc>
      </w:tr>
      <w:tr w:rsidR="00711C86" w:rsidRPr="007C2042" w:rsidTr="00243303">
        <w:trPr>
          <w:jc w:val="center"/>
        </w:trPr>
        <w:tc>
          <w:tcPr>
            <w:tcW w:w="3969" w:type="dxa"/>
            <w:gridSpan w:val="2"/>
            <w:tcBorders>
              <w:left w:val="nil"/>
              <w:bottom w:val="nil"/>
              <w:right w:val="nil"/>
            </w:tcBorders>
          </w:tcPr>
          <w:p w:rsidR="00711C86" w:rsidRPr="007C2042" w:rsidRDefault="00711C86" w:rsidP="00243303">
            <w:pPr>
              <w:pStyle w:val="TableLegendNote"/>
              <w:rPr>
                <w:rFonts w:eastAsia="MS Mincho"/>
                <w:lang w:val="fr-FR" w:eastAsia="ja-JP"/>
              </w:rPr>
            </w:pPr>
            <w:r w:rsidRPr="007C2042">
              <w:rPr>
                <w:rFonts w:eastAsia="MS Mincho"/>
                <w:lang w:val="fr-FR" w:eastAsia="ja-JP"/>
              </w:rPr>
              <w:t xml:space="preserve">NOTE – Les </w:t>
            </w:r>
            <w:r w:rsidRPr="007C2042">
              <w:rPr>
                <w:lang w:val="fr-FR" w:eastAsia="ja-JP"/>
              </w:rPr>
              <w:t>Tableaux 3-1 et 3-2</w:t>
            </w:r>
            <w:r w:rsidRPr="007C2042">
              <w:rPr>
                <w:rFonts w:eastAsia="MS Mincho"/>
                <w:lang w:val="fr-FR" w:eastAsia="ja-JP"/>
              </w:rPr>
              <w:t xml:space="preserve"> </w:t>
            </w:r>
            <w:r w:rsidRPr="007C2042">
              <w:rPr>
                <w:lang w:val="fr-FR" w:eastAsia="ja-JP"/>
              </w:rPr>
              <w:t>contiennent uniquement les caractéristiques applicables aux liaisons de commande et de téléversement de messages de navigation QZSS. En ce qui concerne les caractéristiques et les critères de protection applicables à la liaison de télémétrie QZSS, il convient de se reporter à l'alinéa qui précède le Tableau 3</w:t>
            </w:r>
            <w:r w:rsidRPr="007C2042">
              <w:rPr>
                <w:lang w:val="fr-FR" w:eastAsia="ja-JP"/>
              </w:rPr>
              <w:noBreakHyphen/>
              <w:t>1.</w:t>
            </w:r>
          </w:p>
        </w:tc>
      </w:tr>
    </w:tbl>
    <w:p w:rsidR="00711C86" w:rsidRPr="007C2042" w:rsidRDefault="00711C86" w:rsidP="00711C86"/>
    <w:p w:rsidR="00A6617B" w:rsidRDefault="00A6617B" w:rsidP="00242AEE">
      <w:pPr>
        <w:pStyle w:val="HeadingSum"/>
        <w:rPr>
          <w:lang w:val="fr-FR"/>
        </w:rPr>
      </w:pPr>
    </w:p>
    <w:p w:rsidR="007F4F6C" w:rsidRPr="007F4F6C" w:rsidRDefault="007F4F6C" w:rsidP="007F4F6C">
      <w:pPr>
        <w:jc w:val="center"/>
      </w:pPr>
      <w:r>
        <w:t>_____________</w:t>
      </w:r>
    </w:p>
    <w:sectPr w:rsidR="007F4F6C" w:rsidRPr="007F4F6C" w:rsidSect="00B036C3">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2EC" w:rsidRDefault="001952EC">
      <w:r>
        <w:separator/>
      </w:r>
    </w:p>
  </w:endnote>
  <w:endnote w:type="continuationSeparator" w:id="0">
    <w:p w:rsidR="001952EC" w:rsidRDefault="00195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2EC" w:rsidRDefault="001952EC">
      <w:r>
        <w:separator/>
      </w:r>
    </w:p>
  </w:footnote>
  <w:footnote w:type="continuationSeparator" w:id="0">
    <w:p w:rsidR="001952EC" w:rsidRDefault="001952EC">
      <w:r>
        <w:continuationSeparator/>
      </w:r>
    </w:p>
  </w:footnote>
  <w:footnote w:id="1">
    <w:p w:rsidR="0027287C" w:rsidRPr="007B41E1" w:rsidRDefault="0027287C" w:rsidP="0027287C">
      <w:pPr>
        <w:pStyle w:val="FootnoteText"/>
        <w:rPr>
          <w:lang w:val="fr-CH"/>
        </w:rPr>
      </w:pPr>
      <w:r>
        <w:rPr>
          <w:rStyle w:val="FootnoteReference"/>
        </w:rPr>
        <w:footnoteRef/>
      </w:r>
      <w:r w:rsidRPr="007B41E1">
        <w:rPr>
          <w:lang w:val="fr-CH"/>
        </w:rPr>
        <w:tab/>
      </w:r>
      <w:r w:rsidRPr="00287E30">
        <w:rPr>
          <w:sz w:val="24"/>
          <w:szCs w:val="24"/>
        </w:rPr>
        <w:t>Cette Recommandation doit être portée à l'attention de la Commission d'études 5 de l'UIT</w:t>
      </w:r>
      <w:r w:rsidRPr="00287E30">
        <w:rPr>
          <w:sz w:val="24"/>
          <w:szCs w:val="24"/>
        </w:rPr>
        <w:noBreakHyphen/>
        <w:t>R et de l'Organisation de l'aviation civile internationale (OACI).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EC" w:rsidRDefault="001952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EC" w:rsidRDefault="001952EC" w:rsidP="00C668C8">
    <w:pPr>
      <w:pStyle w:val="Header"/>
      <w:ind w:right="360" w:firstLine="360"/>
    </w:pPr>
    <w:r>
      <w:rPr>
        <w:noProof/>
        <w:lang w:val="en-US" w:eastAsia="zh-CN"/>
      </w:rPr>
      <w:drawing>
        <wp:anchor distT="0" distB="0" distL="114300" distR="114300" simplePos="0" relativeHeight="251659264" behindDoc="1" locked="0" layoutInCell="1" allowOverlap="1" wp14:anchorId="6391E502" wp14:editId="6F0B610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EC" w:rsidRPr="00837CB5" w:rsidRDefault="001952E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63F02">
      <w:rPr>
        <w:rStyle w:val="PageNumber"/>
        <w:b/>
        <w:bCs/>
        <w:noProof/>
      </w:rPr>
      <w:t>ii</w:t>
    </w:r>
    <w:r>
      <w:rPr>
        <w:rStyle w:val="PageNumber"/>
        <w:b/>
        <w:bCs/>
      </w:rPr>
      <w:fldChar w:fldCharType="end"/>
    </w:r>
    <w:r w:rsidRPr="00837CB5">
      <w:tab/>
    </w:r>
    <w:fldSimple w:instr=" DOCPROPERTY &quot;Header&quot; \* MERGEFORMAT ">
      <w:r w:rsidR="00963F02" w:rsidRPr="00963F0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63F02">
      <w:rPr>
        <w:b/>
        <w:bCs/>
        <w:noProof/>
      </w:rPr>
      <w:t>UIT-R  M.1906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EC" w:rsidRDefault="001952EC">
    <w:pPr>
      <w:pStyle w:val="Header"/>
    </w:pPr>
    <w:r>
      <w:tab/>
    </w:r>
    <w:fldSimple w:instr=" DOCPROPERTY &quot;Header&quot; \* MERGEFORMAT ">
      <w:r w:rsidR="00963F02" w:rsidRPr="00963F0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63F02">
      <w:rPr>
        <w:b/>
        <w:bCs/>
        <w:noProof/>
      </w:rPr>
      <w:t>UIT-R  M.1906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3F02">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63F02" w:rsidRPr="00963F0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63F02">
      <w:rPr>
        <w:b/>
        <w:bCs/>
        <w:noProof/>
      </w:rPr>
      <w:t>UIT-R  M.1906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963F02" w:rsidRPr="00963F0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63F02">
      <w:rPr>
        <w:b/>
        <w:bCs/>
        <w:noProof/>
      </w:rPr>
      <w:t>UIT-R  M.1906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63F02">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2EC"/>
    <w:rsid w:val="001952EC"/>
    <w:rsid w:val="00217EBF"/>
    <w:rsid w:val="00242AEE"/>
    <w:rsid w:val="0027287C"/>
    <w:rsid w:val="002D76C4"/>
    <w:rsid w:val="0052529D"/>
    <w:rsid w:val="00607D68"/>
    <w:rsid w:val="00711C86"/>
    <w:rsid w:val="00714D6C"/>
    <w:rsid w:val="007468DA"/>
    <w:rsid w:val="007F4F6C"/>
    <w:rsid w:val="008275F9"/>
    <w:rsid w:val="00963F02"/>
    <w:rsid w:val="009E00A8"/>
    <w:rsid w:val="00A6617B"/>
    <w:rsid w:val="00A851F1"/>
    <w:rsid w:val="00AB0DC8"/>
    <w:rsid w:val="00B036C3"/>
    <w:rsid w:val="00B44E24"/>
    <w:rsid w:val="00D608A1"/>
    <w:rsid w:val="00D90A29"/>
    <w:rsid w:val="00DF4176"/>
    <w:rsid w:val="00F424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52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952EC"/>
    <w:rPr>
      <w:color w:val="0000FF"/>
      <w:u w:val="single"/>
    </w:rPr>
  </w:style>
  <w:style w:type="character" w:customStyle="1" w:styleId="enumlev1Char">
    <w:name w:val="enumlev1 Char"/>
    <w:basedOn w:val="DefaultParagraphFont"/>
    <w:link w:val="enumlev1"/>
    <w:rsid w:val="00711C86"/>
    <w:rPr>
      <w:sz w:val="24"/>
      <w:lang w:val="fr-FR" w:eastAsia="en-US"/>
    </w:rPr>
  </w:style>
  <w:style w:type="character" w:customStyle="1" w:styleId="Rectitle0">
    <w:name w:val="Rec_title Знак"/>
    <w:basedOn w:val="DefaultParagraphFont"/>
    <w:link w:val="Rectitle"/>
    <w:locked/>
    <w:rsid w:val="00711C86"/>
    <w:rPr>
      <w:b/>
      <w:sz w:val="28"/>
      <w:lang w:val="fr-FR" w:eastAsia="en-US"/>
    </w:rPr>
  </w:style>
  <w:style w:type="character" w:customStyle="1" w:styleId="AnnexNoTitleChar">
    <w:name w:val="Annex_NoTitle Char"/>
    <w:basedOn w:val="DefaultParagraphFont"/>
    <w:link w:val="AnnexNoTitle"/>
    <w:rsid w:val="00711C86"/>
    <w:rPr>
      <w:b/>
      <w:sz w:val="28"/>
      <w:lang w:val="fr-FR" w:eastAsia="en-US"/>
    </w:rPr>
  </w:style>
  <w:style w:type="character" w:customStyle="1" w:styleId="TableNoChar">
    <w:name w:val="Table_No Char"/>
    <w:basedOn w:val="DefaultParagraphFont"/>
    <w:link w:val="TableNo"/>
    <w:rsid w:val="00711C86"/>
    <w:rPr>
      <w:sz w:val="24"/>
      <w:lang w:val="fr-FR"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711C86"/>
    <w:rPr>
      <w:sz w:val="22"/>
      <w:lang w:val="fr-FR" w:eastAsia="en-US"/>
    </w:rPr>
  </w:style>
  <w:style w:type="character" w:customStyle="1" w:styleId="TabletitleChar">
    <w:name w:val="Table_title Char"/>
    <w:basedOn w:val="DefaultParagraphFont"/>
    <w:link w:val="Tabletitle"/>
    <w:rsid w:val="00711C86"/>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52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952EC"/>
    <w:rPr>
      <w:color w:val="0000FF"/>
      <w:u w:val="single"/>
    </w:rPr>
  </w:style>
  <w:style w:type="character" w:customStyle="1" w:styleId="enumlev1Char">
    <w:name w:val="enumlev1 Char"/>
    <w:basedOn w:val="DefaultParagraphFont"/>
    <w:link w:val="enumlev1"/>
    <w:rsid w:val="00711C86"/>
    <w:rPr>
      <w:sz w:val="24"/>
      <w:lang w:val="fr-FR" w:eastAsia="en-US"/>
    </w:rPr>
  </w:style>
  <w:style w:type="character" w:customStyle="1" w:styleId="Rectitle0">
    <w:name w:val="Rec_title Знак"/>
    <w:basedOn w:val="DefaultParagraphFont"/>
    <w:link w:val="Rectitle"/>
    <w:locked/>
    <w:rsid w:val="00711C86"/>
    <w:rPr>
      <w:b/>
      <w:sz w:val="28"/>
      <w:lang w:val="fr-FR" w:eastAsia="en-US"/>
    </w:rPr>
  </w:style>
  <w:style w:type="character" w:customStyle="1" w:styleId="AnnexNoTitleChar">
    <w:name w:val="Annex_NoTitle Char"/>
    <w:basedOn w:val="DefaultParagraphFont"/>
    <w:link w:val="AnnexNoTitle"/>
    <w:rsid w:val="00711C86"/>
    <w:rPr>
      <w:b/>
      <w:sz w:val="28"/>
      <w:lang w:val="fr-FR" w:eastAsia="en-US"/>
    </w:rPr>
  </w:style>
  <w:style w:type="character" w:customStyle="1" w:styleId="TableNoChar">
    <w:name w:val="Table_No Char"/>
    <w:basedOn w:val="DefaultParagraphFont"/>
    <w:link w:val="TableNo"/>
    <w:rsid w:val="00711C86"/>
    <w:rPr>
      <w:sz w:val="24"/>
      <w:lang w:val="fr-FR"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711C86"/>
    <w:rPr>
      <w:sz w:val="22"/>
      <w:lang w:val="fr-FR" w:eastAsia="en-US"/>
    </w:rPr>
  </w:style>
  <w:style w:type="character" w:customStyle="1" w:styleId="TabletitleChar">
    <w:name w:val="Table_title Char"/>
    <w:basedOn w:val="DefaultParagraphFont"/>
    <w:link w:val="Tabletitle"/>
    <w:rsid w:val="00711C8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9</Pages>
  <Words>2569</Words>
  <Characters>14992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12</cp:revision>
  <cp:lastPrinted>2005-02-10T15:54:00Z</cp:lastPrinted>
  <dcterms:created xsi:type="dcterms:W3CDTF">2012-05-25T13:37:00Z</dcterms:created>
  <dcterms:modified xsi:type="dcterms:W3CDTF">2012-05-28T11:54:00Z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