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17B" w:rsidRDefault="00A6617B" w:rsidP="008F0698"/>
    <w:p w:rsidR="008F0698" w:rsidRPr="00575CB8" w:rsidRDefault="008F0698" w:rsidP="008F0698">
      <w:pPr>
        <w:rPr>
          <w:lang w:val="en-US"/>
        </w:rPr>
      </w:pPr>
    </w:p>
    <w:p w:rsidR="008F0698" w:rsidRDefault="008F0698" w:rsidP="008F0698"/>
    <w:p w:rsidR="008F0698" w:rsidRDefault="008F0698" w:rsidP="008F0698"/>
    <w:p w:rsidR="008F0698" w:rsidRDefault="008F0698" w:rsidP="008F0698"/>
    <w:p w:rsidR="008F0698" w:rsidRDefault="008F0698" w:rsidP="008F0698"/>
    <w:p w:rsidR="008F0698" w:rsidRDefault="008F0698" w:rsidP="008F0698"/>
    <w:p w:rsidR="008F0698" w:rsidRDefault="008F0698" w:rsidP="008F0698"/>
    <w:p w:rsidR="008F0698" w:rsidRDefault="008F0698" w:rsidP="008F0698"/>
    <w:p w:rsidR="008F0698" w:rsidRDefault="008F0698" w:rsidP="008F0698"/>
    <w:tbl>
      <w:tblPr>
        <w:tblW w:w="10089" w:type="dxa"/>
        <w:tblLook w:val="01E0" w:firstRow="1" w:lastRow="1" w:firstColumn="1" w:lastColumn="1" w:noHBand="0" w:noVBand="0"/>
      </w:tblPr>
      <w:tblGrid>
        <w:gridCol w:w="10089"/>
      </w:tblGrid>
      <w:tr w:rsidR="008F0698" w:rsidRPr="00ED4181" w:rsidTr="00ED5760">
        <w:tc>
          <w:tcPr>
            <w:tcW w:w="10089" w:type="dxa"/>
          </w:tcPr>
          <w:p w:rsidR="008F0698" w:rsidRPr="00A07AEB" w:rsidRDefault="008F0698" w:rsidP="00ED5760">
            <w:pPr>
              <w:spacing w:before="380" w:line="280" w:lineRule="exact"/>
              <w:jc w:val="right"/>
              <w:rPr>
                <w:rFonts w:ascii="Tahoma" w:hAnsi="Tahoma" w:cs="Tahoma"/>
                <w:b/>
                <w:bCs/>
                <w:iCs/>
                <w:color w:val="243285"/>
                <w:sz w:val="32"/>
                <w:szCs w:val="32"/>
                <w:lang w:val="en-US"/>
              </w:rPr>
            </w:pPr>
          </w:p>
          <w:p w:rsidR="008F0698" w:rsidRPr="00A07AEB" w:rsidRDefault="008F0698" w:rsidP="00ED5760">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sidRPr="008B0B24">
              <w:rPr>
                <w:rFonts w:ascii="Tahoma" w:hAnsi="Tahoma" w:cs="Tahoma"/>
                <w:b/>
                <w:bCs/>
                <w:iCs/>
                <w:color w:val="243285"/>
                <w:sz w:val="36"/>
                <w:szCs w:val="36"/>
                <w:lang w:val="es-ES_tradnl"/>
              </w:rPr>
              <w:t>M.2009-2</w:t>
            </w:r>
          </w:p>
          <w:p w:rsidR="008F0698" w:rsidRPr="00A07AEB" w:rsidRDefault="008F0698" w:rsidP="008F0698">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01</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2019</w:t>
            </w:r>
            <w:r w:rsidRPr="00A07AEB">
              <w:rPr>
                <w:rFonts w:ascii="Tahoma" w:hAnsi="Tahoma" w:cs="Tahoma"/>
                <w:b/>
                <w:bCs/>
                <w:iCs/>
                <w:color w:val="243285"/>
                <w:szCs w:val="24"/>
                <w:lang w:val="es-ES_tradnl"/>
              </w:rPr>
              <w:t>)</w:t>
            </w:r>
          </w:p>
        </w:tc>
      </w:tr>
      <w:tr w:rsidR="008F0698" w:rsidRPr="0021735B" w:rsidTr="00ED5760">
        <w:tc>
          <w:tcPr>
            <w:tcW w:w="10089" w:type="dxa"/>
          </w:tcPr>
          <w:p w:rsidR="008F0698" w:rsidRPr="0010336F" w:rsidRDefault="008F0698" w:rsidP="00ED5760">
            <w:pPr>
              <w:spacing w:before="80" w:line="500" w:lineRule="exact"/>
              <w:jc w:val="right"/>
              <w:rPr>
                <w:rFonts w:ascii="Tahoma" w:hAnsi="Tahoma" w:cs="Tahoma"/>
                <w:b/>
                <w:bCs/>
                <w:iCs/>
                <w:color w:val="243285"/>
                <w:sz w:val="44"/>
                <w:szCs w:val="44"/>
                <w:lang w:val="es-ES_tradnl"/>
              </w:rPr>
            </w:pPr>
          </w:p>
          <w:p w:rsidR="008F0698" w:rsidRPr="0010336F" w:rsidRDefault="008F0698" w:rsidP="00ED5760">
            <w:pPr>
              <w:spacing w:before="80" w:line="500" w:lineRule="exact"/>
              <w:jc w:val="right"/>
              <w:rPr>
                <w:rFonts w:ascii="Tahoma" w:hAnsi="Tahoma" w:cs="Tahoma"/>
                <w:b/>
                <w:bCs/>
                <w:iCs/>
                <w:color w:val="243285"/>
                <w:sz w:val="44"/>
                <w:szCs w:val="44"/>
                <w:lang w:val="es-ES_tradnl"/>
              </w:rPr>
            </w:pPr>
          </w:p>
          <w:p w:rsidR="008F0698" w:rsidRDefault="008F0698" w:rsidP="00ED5760">
            <w:pPr>
              <w:spacing w:before="80" w:line="500" w:lineRule="exact"/>
              <w:jc w:val="right"/>
              <w:rPr>
                <w:rFonts w:ascii="Tahoma" w:hAnsi="Tahoma" w:cs="Tahoma"/>
                <w:b/>
                <w:bCs/>
                <w:color w:val="243285"/>
                <w:sz w:val="44"/>
                <w:szCs w:val="44"/>
                <w:lang w:val="es-ES_tradnl"/>
              </w:rPr>
            </w:pPr>
            <w:r w:rsidRPr="008B0B24">
              <w:rPr>
                <w:rFonts w:ascii="Tahoma" w:hAnsi="Tahoma" w:cs="Tahoma"/>
                <w:b/>
                <w:bCs/>
                <w:color w:val="243285"/>
                <w:sz w:val="44"/>
                <w:szCs w:val="44"/>
                <w:lang w:val="es-ES_tradnl"/>
              </w:rPr>
              <w:t>Normas de interfaz radioeléctrica para</w:t>
            </w:r>
            <w:r>
              <w:rPr>
                <w:rFonts w:ascii="Tahoma" w:hAnsi="Tahoma" w:cs="Tahoma"/>
                <w:b/>
                <w:bCs/>
                <w:color w:val="243285"/>
                <w:sz w:val="44"/>
                <w:szCs w:val="44"/>
                <w:lang w:val="es-ES_tradnl"/>
              </w:rPr>
              <w:br/>
            </w:r>
            <w:r w:rsidRPr="008B0B24">
              <w:rPr>
                <w:rFonts w:ascii="Tahoma" w:hAnsi="Tahoma" w:cs="Tahoma"/>
                <w:b/>
                <w:bCs/>
                <w:color w:val="243285"/>
                <w:sz w:val="44"/>
                <w:szCs w:val="44"/>
                <w:lang w:val="es-ES_tradnl"/>
              </w:rPr>
              <w:t>las actividades de protección pública</w:t>
            </w:r>
            <w:r>
              <w:rPr>
                <w:rFonts w:ascii="Tahoma" w:hAnsi="Tahoma" w:cs="Tahoma"/>
                <w:b/>
                <w:bCs/>
                <w:color w:val="243285"/>
                <w:sz w:val="44"/>
                <w:szCs w:val="44"/>
                <w:lang w:val="es-ES_tradnl"/>
              </w:rPr>
              <w:br/>
            </w:r>
            <w:r w:rsidRPr="008B0B24">
              <w:rPr>
                <w:rFonts w:ascii="Tahoma" w:hAnsi="Tahoma" w:cs="Tahoma"/>
                <w:b/>
                <w:bCs/>
                <w:color w:val="243285"/>
                <w:sz w:val="44"/>
                <w:szCs w:val="44"/>
                <w:lang w:val="es-ES_tradnl"/>
              </w:rPr>
              <w:t>y socorro en caso de catástrofe de conformidad con la Resolución 646 (Rev.CMR-15)</w:t>
            </w:r>
          </w:p>
          <w:p w:rsidR="008F0698" w:rsidRPr="00A07AEB" w:rsidRDefault="008F0698" w:rsidP="00ED5760">
            <w:pPr>
              <w:spacing w:before="80" w:line="500" w:lineRule="exact"/>
              <w:jc w:val="right"/>
              <w:rPr>
                <w:rFonts w:ascii="Tahoma" w:hAnsi="Tahoma" w:cs="Tahoma"/>
                <w:b/>
                <w:bCs/>
                <w:iCs/>
                <w:color w:val="243285"/>
                <w:sz w:val="44"/>
                <w:szCs w:val="44"/>
                <w:lang w:val="es-ES_tradnl"/>
              </w:rPr>
            </w:pPr>
          </w:p>
        </w:tc>
      </w:tr>
      <w:tr w:rsidR="008F0698" w:rsidRPr="00ED4181" w:rsidTr="00ED5760">
        <w:tc>
          <w:tcPr>
            <w:tcW w:w="10089" w:type="dxa"/>
          </w:tcPr>
          <w:p w:rsidR="008F0698" w:rsidRPr="00A07AEB" w:rsidRDefault="008F0698" w:rsidP="00ED5760">
            <w:pPr>
              <w:spacing w:before="80" w:line="280" w:lineRule="exact"/>
              <w:ind w:right="640"/>
              <w:rPr>
                <w:rFonts w:ascii="Tahoma" w:hAnsi="Tahoma" w:cs="Tahoma"/>
                <w:b/>
                <w:bCs/>
                <w:iCs/>
                <w:color w:val="243285"/>
                <w:sz w:val="32"/>
                <w:szCs w:val="32"/>
                <w:lang w:val="es-ES_tradnl"/>
              </w:rPr>
            </w:pPr>
          </w:p>
          <w:p w:rsidR="008F0698" w:rsidRPr="00A07AEB" w:rsidRDefault="008F0698" w:rsidP="00ED5760">
            <w:pPr>
              <w:spacing w:before="80" w:line="280" w:lineRule="exact"/>
              <w:ind w:right="640"/>
              <w:rPr>
                <w:rFonts w:ascii="Tahoma" w:hAnsi="Tahoma" w:cs="Tahoma"/>
                <w:b/>
                <w:bCs/>
                <w:iCs/>
                <w:color w:val="243285"/>
                <w:sz w:val="32"/>
                <w:szCs w:val="32"/>
                <w:lang w:val="es-ES_tradnl"/>
              </w:rPr>
            </w:pPr>
          </w:p>
          <w:p w:rsidR="008F0698" w:rsidRPr="00A07AEB" w:rsidRDefault="008F0698" w:rsidP="00ED5760">
            <w:pPr>
              <w:spacing w:before="80" w:after="180" w:line="360" w:lineRule="exact"/>
              <w:ind w:right="720"/>
              <w:rPr>
                <w:rFonts w:ascii="Tahoma" w:hAnsi="Tahoma" w:cs="Tahoma"/>
                <w:b/>
                <w:bCs/>
                <w:iCs/>
                <w:color w:val="243285"/>
                <w:sz w:val="36"/>
                <w:szCs w:val="36"/>
                <w:lang w:val="es-ES_tradnl"/>
              </w:rPr>
            </w:pPr>
          </w:p>
          <w:p w:rsidR="008F0698" w:rsidRPr="00A07AEB" w:rsidRDefault="008F0698" w:rsidP="00ED5760">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8F0698" w:rsidRPr="00A07AEB" w:rsidRDefault="008F0698" w:rsidP="00ED5760">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8F0698" w:rsidRPr="0026666F" w:rsidRDefault="008F0698" w:rsidP="008F0698">
      <w:pPr>
        <w:spacing w:before="80"/>
        <w:rPr>
          <w:i/>
          <w:sz w:val="22"/>
          <w:lang w:val="es-ES_tradnl"/>
        </w:rPr>
      </w:pPr>
    </w:p>
    <w:p w:rsidR="008F0698" w:rsidRPr="0026666F" w:rsidRDefault="008F0698" w:rsidP="008F0698">
      <w:pPr>
        <w:spacing w:before="80"/>
        <w:rPr>
          <w:i/>
          <w:sz w:val="22"/>
          <w:lang w:val="es-ES_tradnl"/>
        </w:rPr>
      </w:pPr>
    </w:p>
    <w:p w:rsidR="008F0698" w:rsidRPr="0026666F" w:rsidRDefault="008F0698" w:rsidP="008F0698">
      <w:pPr>
        <w:spacing w:before="80"/>
        <w:rPr>
          <w:i/>
          <w:sz w:val="22"/>
          <w:lang w:val="es-ES_tradnl"/>
        </w:rPr>
      </w:pPr>
    </w:p>
    <w:p w:rsidR="008F0698" w:rsidRPr="0026666F" w:rsidRDefault="008F0698" w:rsidP="008F0698">
      <w:pPr>
        <w:pStyle w:val="Equation"/>
        <w:tabs>
          <w:tab w:val="clear" w:pos="4820"/>
          <w:tab w:val="clear" w:pos="9639"/>
          <w:tab w:val="left" w:pos="1191"/>
          <w:tab w:val="left" w:pos="1588"/>
          <w:tab w:val="left" w:pos="1985"/>
        </w:tabs>
        <w:rPr>
          <w:rFonts w:ascii="Palatino Linotype" w:hAnsi="Palatino Linotype"/>
          <w:lang w:val="es-ES_tradnl"/>
        </w:rPr>
        <w:sectPr w:rsidR="008F0698" w:rsidRPr="0026666F">
          <w:headerReference w:type="even" r:id="rId6"/>
          <w:headerReference w:type="default" r:id="rId7"/>
          <w:pgSz w:w="11907" w:h="16840" w:code="9"/>
          <w:pgMar w:top="1089" w:right="1089" w:bottom="284" w:left="1089" w:header="567" w:footer="284" w:gutter="0"/>
          <w:pgNumType w:start="1"/>
          <w:cols w:space="720"/>
        </w:sectPr>
      </w:pPr>
    </w:p>
    <w:p w:rsidR="008F0698" w:rsidRPr="006C718C" w:rsidRDefault="008F0698" w:rsidP="008F06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8F0698" w:rsidRPr="006C718C" w:rsidRDefault="008F0698" w:rsidP="008F069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F0698" w:rsidRPr="006C718C" w:rsidRDefault="008F0698" w:rsidP="008F069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8F0698" w:rsidRPr="00021E8A" w:rsidRDefault="008F0698" w:rsidP="008F0698">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8F0698" w:rsidRPr="00021E8A" w:rsidRDefault="008F0698" w:rsidP="008F069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8F0698" w:rsidRPr="007C36CA" w:rsidRDefault="008F0698" w:rsidP="008F0698">
      <w:pPr>
        <w:spacing w:before="0"/>
        <w:jc w:val="center"/>
        <w:rPr>
          <w:sz w:val="22"/>
          <w:lang w:val="es-ES_tradnl"/>
        </w:rPr>
      </w:pPr>
    </w:p>
    <w:p w:rsidR="008F0698" w:rsidRPr="007C36CA" w:rsidRDefault="008F0698" w:rsidP="008F069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F0698" w:rsidRPr="00ED4181" w:rsidTr="00ED5760">
        <w:tc>
          <w:tcPr>
            <w:tcW w:w="9360" w:type="dxa"/>
            <w:gridSpan w:val="2"/>
          </w:tcPr>
          <w:p w:rsidR="008F0698" w:rsidRPr="00021E8A" w:rsidRDefault="008F0698" w:rsidP="00ED5760">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8F0698" w:rsidRPr="00763D08" w:rsidRDefault="008F0698" w:rsidP="00ED57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Pr>
                  <w:rStyle w:val="Hyperlink"/>
                  <w:b w:val="0"/>
                  <w:bCs/>
                  <w:sz w:val="18"/>
                  <w:szCs w:val="18"/>
                  <w:lang w:val="es-ES_tradnl"/>
                </w:rPr>
                <w:t>http://www.itu.int/publ/R-REC/es</w:t>
              </w:r>
            </w:hyperlink>
            <w:r w:rsidRPr="00763D08">
              <w:rPr>
                <w:b w:val="0"/>
                <w:bCs/>
                <w:sz w:val="18"/>
                <w:szCs w:val="18"/>
                <w:lang w:val="es-ES_tradnl"/>
              </w:rPr>
              <w:t>)</w:t>
            </w:r>
          </w:p>
        </w:tc>
      </w:tr>
      <w:tr w:rsidR="008F0698" w:rsidRPr="00036EE3" w:rsidTr="00ED5760">
        <w:tc>
          <w:tcPr>
            <w:tcW w:w="1140" w:type="dxa"/>
          </w:tcPr>
          <w:p w:rsidR="008F0698" w:rsidRPr="00036EE3" w:rsidRDefault="008F0698" w:rsidP="00ED5760">
            <w:pPr>
              <w:spacing w:before="180" w:after="100"/>
              <w:ind w:left="57"/>
              <w:rPr>
                <w:b/>
                <w:bCs/>
                <w:sz w:val="20"/>
                <w:lang w:val="en-US"/>
              </w:rPr>
            </w:pPr>
            <w:r w:rsidRPr="00036EE3">
              <w:rPr>
                <w:b/>
                <w:bCs/>
                <w:sz w:val="20"/>
                <w:lang w:val="en-US"/>
              </w:rPr>
              <w:t>Series</w:t>
            </w:r>
          </w:p>
        </w:tc>
        <w:tc>
          <w:tcPr>
            <w:tcW w:w="8220" w:type="dxa"/>
          </w:tcPr>
          <w:p w:rsidR="008F0698" w:rsidRPr="00036EE3" w:rsidRDefault="008F0698" w:rsidP="00ED57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8F0698" w:rsidRPr="00036EE3" w:rsidTr="00ED5760">
        <w:tc>
          <w:tcPr>
            <w:tcW w:w="1140" w:type="dxa"/>
          </w:tcPr>
          <w:p w:rsidR="008F0698" w:rsidRPr="00036EE3" w:rsidRDefault="008F0698" w:rsidP="00ED5760">
            <w:pPr>
              <w:spacing w:before="30" w:after="30"/>
              <w:ind w:left="57"/>
              <w:jc w:val="left"/>
              <w:rPr>
                <w:b/>
                <w:bCs/>
                <w:sz w:val="20"/>
                <w:lang w:val="en-US"/>
              </w:rPr>
            </w:pPr>
            <w:r w:rsidRPr="00036EE3">
              <w:rPr>
                <w:b/>
                <w:bCs/>
                <w:sz w:val="20"/>
                <w:lang w:val="en-US"/>
              </w:rPr>
              <w:t>BO</w:t>
            </w:r>
          </w:p>
        </w:tc>
        <w:tc>
          <w:tcPr>
            <w:tcW w:w="8220" w:type="dxa"/>
          </w:tcPr>
          <w:p w:rsidR="008F0698" w:rsidRPr="00021E8A" w:rsidRDefault="008F0698" w:rsidP="00ED57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8F0698" w:rsidRPr="00ED4181" w:rsidTr="00ED5760">
        <w:tc>
          <w:tcPr>
            <w:tcW w:w="1140" w:type="dxa"/>
          </w:tcPr>
          <w:p w:rsidR="008F0698" w:rsidRPr="00036EE3" w:rsidRDefault="008F0698" w:rsidP="00ED5760">
            <w:pPr>
              <w:spacing w:before="30" w:after="30"/>
              <w:ind w:left="57"/>
              <w:jc w:val="left"/>
              <w:rPr>
                <w:b/>
                <w:bCs/>
                <w:sz w:val="20"/>
                <w:lang w:val="en-US"/>
              </w:rPr>
            </w:pPr>
            <w:r w:rsidRPr="00036EE3">
              <w:rPr>
                <w:b/>
                <w:bCs/>
                <w:sz w:val="20"/>
                <w:lang w:val="en-US"/>
              </w:rPr>
              <w:t>BR</w:t>
            </w:r>
          </w:p>
        </w:tc>
        <w:tc>
          <w:tcPr>
            <w:tcW w:w="8220" w:type="dxa"/>
          </w:tcPr>
          <w:p w:rsidR="008F0698" w:rsidRPr="00021E8A" w:rsidRDefault="008F0698" w:rsidP="00ED57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8F0698" w:rsidRPr="00036EE3" w:rsidTr="00ED5760">
        <w:tc>
          <w:tcPr>
            <w:tcW w:w="1140" w:type="dxa"/>
          </w:tcPr>
          <w:p w:rsidR="008F0698" w:rsidRPr="00036EE3" w:rsidRDefault="008F0698" w:rsidP="00ED5760">
            <w:pPr>
              <w:spacing w:before="30" w:after="30"/>
              <w:ind w:left="57"/>
              <w:jc w:val="left"/>
              <w:rPr>
                <w:b/>
                <w:bCs/>
                <w:sz w:val="20"/>
                <w:lang w:val="en-US"/>
              </w:rPr>
            </w:pPr>
            <w:r w:rsidRPr="00036EE3">
              <w:rPr>
                <w:b/>
                <w:bCs/>
                <w:sz w:val="20"/>
                <w:lang w:val="en-US"/>
              </w:rPr>
              <w:t>BS</w:t>
            </w:r>
          </w:p>
        </w:tc>
        <w:tc>
          <w:tcPr>
            <w:tcW w:w="8220" w:type="dxa"/>
          </w:tcPr>
          <w:p w:rsidR="008F0698" w:rsidRPr="00021E8A" w:rsidRDefault="008F0698" w:rsidP="00ED57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8F0698" w:rsidRPr="00ED2695" w:rsidTr="00ED5760">
        <w:tc>
          <w:tcPr>
            <w:tcW w:w="1140" w:type="dxa"/>
            <w:shd w:val="clear" w:color="auto" w:fill="auto"/>
          </w:tcPr>
          <w:p w:rsidR="008F0698" w:rsidRPr="00ED2695" w:rsidRDefault="008F0698" w:rsidP="00ED5760">
            <w:pPr>
              <w:spacing w:before="30" w:after="30"/>
              <w:ind w:left="57"/>
              <w:jc w:val="left"/>
              <w:rPr>
                <w:b/>
                <w:bCs/>
                <w:sz w:val="20"/>
                <w:lang w:val="en-US"/>
              </w:rPr>
            </w:pPr>
            <w:r w:rsidRPr="00ED2695">
              <w:rPr>
                <w:b/>
                <w:bCs/>
                <w:sz w:val="20"/>
                <w:lang w:val="en-US"/>
              </w:rPr>
              <w:t>BT</w:t>
            </w:r>
          </w:p>
        </w:tc>
        <w:tc>
          <w:tcPr>
            <w:tcW w:w="8220" w:type="dxa"/>
            <w:shd w:val="clear" w:color="auto" w:fill="auto"/>
          </w:tcPr>
          <w:p w:rsidR="008F0698" w:rsidRPr="00021E8A" w:rsidRDefault="008F0698" w:rsidP="00ED57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F0698" w:rsidRPr="00036EE3" w:rsidTr="00ED5760">
        <w:tc>
          <w:tcPr>
            <w:tcW w:w="1140" w:type="dxa"/>
            <w:shd w:val="clear" w:color="auto" w:fill="auto"/>
          </w:tcPr>
          <w:p w:rsidR="008F0698" w:rsidRPr="00036EE3" w:rsidRDefault="008F0698" w:rsidP="00ED5760">
            <w:pPr>
              <w:spacing w:before="30" w:after="30"/>
              <w:ind w:left="57"/>
              <w:jc w:val="left"/>
              <w:rPr>
                <w:b/>
                <w:bCs/>
                <w:sz w:val="20"/>
                <w:lang w:val="fr-CH"/>
              </w:rPr>
            </w:pPr>
            <w:r w:rsidRPr="00036EE3">
              <w:rPr>
                <w:b/>
                <w:bCs/>
                <w:sz w:val="20"/>
                <w:lang w:val="fr-CH"/>
              </w:rPr>
              <w:t>F</w:t>
            </w:r>
          </w:p>
        </w:tc>
        <w:tc>
          <w:tcPr>
            <w:tcW w:w="8220" w:type="dxa"/>
            <w:shd w:val="clear" w:color="auto" w:fill="auto"/>
          </w:tcPr>
          <w:p w:rsidR="008F0698" w:rsidRPr="00021E8A" w:rsidRDefault="008F0698" w:rsidP="00ED57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8F0698" w:rsidRPr="00ED4181" w:rsidTr="00ED5760">
        <w:tc>
          <w:tcPr>
            <w:tcW w:w="1140" w:type="dxa"/>
            <w:shd w:val="clear" w:color="auto" w:fill="F3F3F3"/>
          </w:tcPr>
          <w:p w:rsidR="008F0698" w:rsidRPr="001240BC" w:rsidRDefault="008F0698" w:rsidP="00ED5760">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8F0698" w:rsidRPr="001240BC" w:rsidRDefault="008F0698" w:rsidP="00ED57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8F0698" w:rsidRPr="00ED4181" w:rsidTr="00ED5760">
        <w:tc>
          <w:tcPr>
            <w:tcW w:w="1140" w:type="dxa"/>
          </w:tcPr>
          <w:p w:rsidR="008F0698" w:rsidRPr="00036EE3" w:rsidRDefault="008F0698" w:rsidP="00ED5760">
            <w:pPr>
              <w:spacing w:before="30" w:after="30"/>
              <w:ind w:left="57"/>
              <w:jc w:val="left"/>
              <w:rPr>
                <w:b/>
                <w:bCs/>
                <w:sz w:val="20"/>
                <w:lang w:val="fr-CH"/>
              </w:rPr>
            </w:pPr>
            <w:r w:rsidRPr="00036EE3">
              <w:rPr>
                <w:b/>
                <w:bCs/>
                <w:sz w:val="20"/>
                <w:lang w:val="fr-CH"/>
              </w:rPr>
              <w:t>P</w:t>
            </w:r>
          </w:p>
        </w:tc>
        <w:tc>
          <w:tcPr>
            <w:tcW w:w="8220" w:type="dxa"/>
          </w:tcPr>
          <w:p w:rsidR="008F0698" w:rsidRPr="00021E8A" w:rsidRDefault="008F0698" w:rsidP="00ED5760">
            <w:pPr>
              <w:spacing w:before="30" w:after="30"/>
              <w:jc w:val="left"/>
              <w:rPr>
                <w:bCs/>
                <w:sz w:val="20"/>
                <w:lang w:val="es-ES_tradnl"/>
              </w:rPr>
            </w:pPr>
            <w:r w:rsidRPr="00021E8A">
              <w:rPr>
                <w:bCs/>
                <w:sz w:val="20"/>
                <w:lang w:val="es-ES_tradnl"/>
              </w:rPr>
              <w:t>Propagación de las ondas radioeléctricas</w:t>
            </w:r>
          </w:p>
        </w:tc>
      </w:tr>
      <w:tr w:rsidR="008F0698" w:rsidRPr="00036EE3" w:rsidTr="00ED5760">
        <w:tc>
          <w:tcPr>
            <w:tcW w:w="1140" w:type="dxa"/>
          </w:tcPr>
          <w:p w:rsidR="008F0698" w:rsidRPr="00036EE3" w:rsidRDefault="008F0698" w:rsidP="00ED5760">
            <w:pPr>
              <w:spacing w:before="30" w:after="30"/>
              <w:ind w:left="57"/>
              <w:jc w:val="left"/>
              <w:rPr>
                <w:b/>
                <w:bCs/>
                <w:sz w:val="20"/>
                <w:lang w:val="en-US"/>
              </w:rPr>
            </w:pPr>
            <w:r w:rsidRPr="00036EE3">
              <w:rPr>
                <w:b/>
                <w:bCs/>
                <w:sz w:val="20"/>
                <w:lang w:val="en-US"/>
              </w:rPr>
              <w:t>RA</w:t>
            </w:r>
          </w:p>
        </w:tc>
        <w:tc>
          <w:tcPr>
            <w:tcW w:w="8220" w:type="dxa"/>
          </w:tcPr>
          <w:p w:rsidR="008F0698" w:rsidRPr="00021E8A" w:rsidRDefault="008F0698" w:rsidP="00ED57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8F0698" w:rsidRPr="00ED4181" w:rsidTr="00ED5760">
        <w:tc>
          <w:tcPr>
            <w:tcW w:w="1140" w:type="dxa"/>
          </w:tcPr>
          <w:p w:rsidR="008F0698" w:rsidRPr="00036EE3" w:rsidRDefault="008F0698" w:rsidP="00ED5760">
            <w:pPr>
              <w:spacing w:before="30" w:after="30"/>
              <w:ind w:left="57"/>
              <w:jc w:val="left"/>
              <w:rPr>
                <w:b/>
                <w:bCs/>
                <w:sz w:val="20"/>
                <w:lang w:val="en-US"/>
              </w:rPr>
            </w:pPr>
            <w:r w:rsidRPr="00036EE3">
              <w:rPr>
                <w:b/>
                <w:bCs/>
                <w:sz w:val="20"/>
                <w:lang w:val="en-US"/>
              </w:rPr>
              <w:t>RS</w:t>
            </w:r>
          </w:p>
        </w:tc>
        <w:tc>
          <w:tcPr>
            <w:tcW w:w="8220" w:type="dxa"/>
          </w:tcPr>
          <w:p w:rsidR="008F0698" w:rsidRPr="00021E8A" w:rsidRDefault="008F0698" w:rsidP="00ED576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8F0698" w:rsidRPr="00036EE3" w:rsidTr="00ED5760">
        <w:tc>
          <w:tcPr>
            <w:tcW w:w="1140" w:type="dxa"/>
          </w:tcPr>
          <w:p w:rsidR="008F0698" w:rsidRPr="00036EE3" w:rsidRDefault="008F0698" w:rsidP="00ED5760">
            <w:pPr>
              <w:spacing w:before="30" w:after="30"/>
              <w:ind w:left="57"/>
              <w:jc w:val="left"/>
              <w:rPr>
                <w:b/>
                <w:bCs/>
                <w:sz w:val="20"/>
                <w:lang w:val="en-US"/>
              </w:rPr>
            </w:pPr>
            <w:r w:rsidRPr="00036EE3">
              <w:rPr>
                <w:b/>
                <w:bCs/>
                <w:sz w:val="20"/>
                <w:lang w:val="en-US"/>
              </w:rPr>
              <w:t>S</w:t>
            </w:r>
          </w:p>
        </w:tc>
        <w:tc>
          <w:tcPr>
            <w:tcW w:w="8220" w:type="dxa"/>
          </w:tcPr>
          <w:p w:rsidR="008F0698" w:rsidRPr="00021E8A" w:rsidRDefault="008F0698" w:rsidP="00ED5760">
            <w:pPr>
              <w:spacing w:before="30" w:after="30"/>
              <w:jc w:val="left"/>
              <w:rPr>
                <w:bCs/>
                <w:sz w:val="20"/>
                <w:lang w:val="en-US"/>
              </w:rPr>
            </w:pPr>
            <w:r w:rsidRPr="00021E8A">
              <w:rPr>
                <w:bCs/>
                <w:sz w:val="20"/>
              </w:rPr>
              <w:t>Servicio fijo por satélite</w:t>
            </w:r>
          </w:p>
        </w:tc>
      </w:tr>
      <w:tr w:rsidR="008F0698" w:rsidRPr="00036EE3" w:rsidTr="00ED5760">
        <w:tc>
          <w:tcPr>
            <w:tcW w:w="1140" w:type="dxa"/>
          </w:tcPr>
          <w:p w:rsidR="008F0698" w:rsidRPr="00036EE3" w:rsidRDefault="008F0698" w:rsidP="00ED5760">
            <w:pPr>
              <w:spacing w:before="30" w:after="30"/>
              <w:ind w:left="57"/>
              <w:jc w:val="left"/>
              <w:rPr>
                <w:b/>
                <w:bCs/>
                <w:sz w:val="20"/>
                <w:lang w:val="en-US"/>
              </w:rPr>
            </w:pPr>
            <w:r w:rsidRPr="00036EE3">
              <w:rPr>
                <w:b/>
                <w:bCs/>
                <w:sz w:val="20"/>
                <w:lang w:val="en-US"/>
              </w:rPr>
              <w:t>SA</w:t>
            </w:r>
          </w:p>
        </w:tc>
        <w:tc>
          <w:tcPr>
            <w:tcW w:w="8220" w:type="dxa"/>
          </w:tcPr>
          <w:p w:rsidR="008F0698" w:rsidRPr="00021E8A" w:rsidRDefault="008F0698" w:rsidP="00ED5760">
            <w:pPr>
              <w:spacing w:before="30" w:after="30"/>
              <w:jc w:val="left"/>
              <w:rPr>
                <w:bCs/>
                <w:sz w:val="20"/>
                <w:lang w:val="en-US"/>
              </w:rPr>
            </w:pPr>
            <w:r w:rsidRPr="00021E8A">
              <w:rPr>
                <w:bCs/>
                <w:sz w:val="20"/>
              </w:rPr>
              <w:t>Aplicaciones espaciales y meteorología</w:t>
            </w:r>
          </w:p>
        </w:tc>
      </w:tr>
      <w:tr w:rsidR="008F0698" w:rsidRPr="00ED4181" w:rsidTr="00ED5760">
        <w:tc>
          <w:tcPr>
            <w:tcW w:w="1140" w:type="dxa"/>
          </w:tcPr>
          <w:p w:rsidR="008F0698" w:rsidRPr="00036EE3" w:rsidRDefault="008F0698" w:rsidP="00ED5760">
            <w:pPr>
              <w:spacing w:before="30" w:after="30"/>
              <w:ind w:left="57"/>
              <w:jc w:val="left"/>
              <w:rPr>
                <w:b/>
                <w:bCs/>
                <w:sz w:val="20"/>
                <w:lang w:val="en-US"/>
              </w:rPr>
            </w:pPr>
            <w:r w:rsidRPr="00036EE3">
              <w:rPr>
                <w:b/>
                <w:bCs/>
                <w:sz w:val="20"/>
                <w:lang w:val="en-US"/>
              </w:rPr>
              <w:t>SF</w:t>
            </w:r>
          </w:p>
        </w:tc>
        <w:tc>
          <w:tcPr>
            <w:tcW w:w="8220" w:type="dxa"/>
          </w:tcPr>
          <w:p w:rsidR="008F0698" w:rsidRPr="00021E8A" w:rsidRDefault="008F0698" w:rsidP="00ED5760">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8F0698" w:rsidRPr="00036EE3" w:rsidTr="00ED5760">
        <w:tc>
          <w:tcPr>
            <w:tcW w:w="1140" w:type="dxa"/>
            <w:shd w:val="clear" w:color="auto" w:fill="auto"/>
          </w:tcPr>
          <w:p w:rsidR="008F0698" w:rsidRPr="001240BC" w:rsidRDefault="008F0698" w:rsidP="00ED5760">
            <w:pPr>
              <w:spacing w:before="30" w:after="30"/>
              <w:ind w:left="57"/>
              <w:jc w:val="left"/>
              <w:rPr>
                <w:b/>
                <w:bCs/>
                <w:sz w:val="20"/>
                <w:lang w:val="en-US"/>
              </w:rPr>
            </w:pPr>
            <w:r w:rsidRPr="001240BC">
              <w:rPr>
                <w:b/>
                <w:bCs/>
                <w:sz w:val="20"/>
                <w:lang w:val="en-US"/>
              </w:rPr>
              <w:t>SM</w:t>
            </w:r>
          </w:p>
        </w:tc>
        <w:tc>
          <w:tcPr>
            <w:tcW w:w="8220" w:type="dxa"/>
            <w:shd w:val="clear" w:color="auto" w:fill="auto"/>
          </w:tcPr>
          <w:p w:rsidR="008F0698" w:rsidRPr="001240BC" w:rsidRDefault="008F0698" w:rsidP="00ED5760">
            <w:pPr>
              <w:spacing w:before="30" w:after="30"/>
              <w:jc w:val="left"/>
              <w:rPr>
                <w:sz w:val="20"/>
                <w:lang w:val="en-US"/>
              </w:rPr>
            </w:pPr>
            <w:r w:rsidRPr="001240BC">
              <w:rPr>
                <w:sz w:val="20"/>
              </w:rPr>
              <w:t>Gestión del espectro</w:t>
            </w:r>
          </w:p>
        </w:tc>
      </w:tr>
      <w:tr w:rsidR="008F0698" w:rsidRPr="00036EE3" w:rsidTr="00ED5760">
        <w:tc>
          <w:tcPr>
            <w:tcW w:w="1140" w:type="dxa"/>
          </w:tcPr>
          <w:p w:rsidR="008F0698" w:rsidRPr="00036EE3" w:rsidRDefault="008F0698" w:rsidP="00ED5760">
            <w:pPr>
              <w:spacing w:before="30" w:after="30"/>
              <w:ind w:left="57"/>
              <w:jc w:val="left"/>
              <w:rPr>
                <w:b/>
                <w:bCs/>
                <w:sz w:val="20"/>
                <w:lang w:val="en-US"/>
              </w:rPr>
            </w:pPr>
            <w:r w:rsidRPr="00036EE3">
              <w:rPr>
                <w:b/>
                <w:bCs/>
                <w:sz w:val="20"/>
                <w:lang w:val="en-US"/>
              </w:rPr>
              <w:t>SNG</w:t>
            </w:r>
          </w:p>
        </w:tc>
        <w:tc>
          <w:tcPr>
            <w:tcW w:w="8220" w:type="dxa"/>
          </w:tcPr>
          <w:p w:rsidR="008F0698" w:rsidRPr="00021E8A" w:rsidRDefault="008F0698" w:rsidP="00ED5760">
            <w:pPr>
              <w:spacing w:before="30" w:after="30"/>
              <w:jc w:val="left"/>
              <w:rPr>
                <w:bCs/>
                <w:sz w:val="20"/>
                <w:lang w:val="en-US"/>
              </w:rPr>
            </w:pPr>
            <w:r w:rsidRPr="00021E8A">
              <w:rPr>
                <w:bCs/>
                <w:sz w:val="20"/>
              </w:rPr>
              <w:t>Periodismo electrónico por satélite</w:t>
            </w:r>
          </w:p>
        </w:tc>
      </w:tr>
      <w:tr w:rsidR="008F0698" w:rsidRPr="00ED4181" w:rsidTr="00ED5760">
        <w:tc>
          <w:tcPr>
            <w:tcW w:w="1140" w:type="dxa"/>
          </w:tcPr>
          <w:p w:rsidR="008F0698" w:rsidRPr="00036EE3" w:rsidRDefault="008F0698" w:rsidP="00ED5760">
            <w:pPr>
              <w:spacing w:before="30" w:after="30"/>
              <w:ind w:left="57"/>
              <w:jc w:val="left"/>
              <w:rPr>
                <w:b/>
                <w:bCs/>
                <w:sz w:val="20"/>
                <w:lang w:val="en-US"/>
              </w:rPr>
            </w:pPr>
            <w:r w:rsidRPr="00036EE3">
              <w:rPr>
                <w:b/>
                <w:bCs/>
                <w:sz w:val="20"/>
                <w:lang w:val="en-US"/>
              </w:rPr>
              <w:t>TF</w:t>
            </w:r>
          </w:p>
        </w:tc>
        <w:tc>
          <w:tcPr>
            <w:tcW w:w="8220" w:type="dxa"/>
          </w:tcPr>
          <w:p w:rsidR="008F0698" w:rsidRPr="00021E8A" w:rsidRDefault="008F0698" w:rsidP="00ED5760">
            <w:pPr>
              <w:spacing w:before="30" w:after="30"/>
              <w:jc w:val="left"/>
              <w:rPr>
                <w:bCs/>
                <w:sz w:val="20"/>
                <w:lang w:val="es-ES_tradnl"/>
              </w:rPr>
            </w:pPr>
            <w:r w:rsidRPr="00021E8A">
              <w:rPr>
                <w:bCs/>
                <w:sz w:val="20"/>
                <w:lang w:val="es-ES_tradnl"/>
              </w:rPr>
              <w:t>Emisiones de frecuencias patrón y señales horarias</w:t>
            </w:r>
          </w:p>
        </w:tc>
      </w:tr>
      <w:tr w:rsidR="008F0698" w:rsidRPr="00036EE3" w:rsidTr="00ED5760">
        <w:tc>
          <w:tcPr>
            <w:tcW w:w="1140" w:type="dxa"/>
          </w:tcPr>
          <w:p w:rsidR="008F0698" w:rsidRPr="00036EE3" w:rsidRDefault="008F0698" w:rsidP="00ED5760">
            <w:pPr>
              <w:spacing w:before="30" w:after="30"/>
              <w:ind w:left="57"/>
              <w:jc w:val="left"/>
              <w:rPr>
                <w:b/>
                <w:bCs/>
                <w:sz w:val="20"/>
                <w:lang w:val="en-US"/>
              </w:rPr>
            </w:pPr>
            <w:r w:rsidRPr="00036EE3">
              <w:rPr>
                <w:b/>
                <w:bCs/>
                <w:sz w:val="20"/>
                <w:lang w:val="en-US"/>
              </w:rPr>
              <w:t>V</w:t>
            </w:r>
          </w:p>
        </w:tc>
        <w:tc>
          <w:tcPr>
            <w:tcW w:w="8220" w:type="dxa"/>
          </w:tcPr>
          <w:p w:rsidR="008F0698" w:rsidRPr="00021E8A" w:rsidRDefault="008F0698" w:rsidP="00ED5760">
            <w:pPr>
              <w:spacing w:before="30" w:after="140"/>
              <w:jc w:val="left"/>
              <w:rPr>
                <w:bCs/>
                <w:sz w:val="20"/>
                <w:lang w:val="en-US"/>
              </w:rPr>
            </w:pPr>
            <w:r w:rsidRPr="00021E8A">
              <w:rPr>
                <w:bCs/>
                <w:sz w:val="20"/>
              </w:rPr>
              <w:t>Vocabulario y cuestiones afines</w:t>
            </w:r>
          </w:p>
        </w:tc>
      </w:tr>
    </w:tbl>
    <w:p w:rsidR="008F0698" w:rsidRPr="00036EE3" w:rsidRDefault="008F0698" w:rsidP="008F0698">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F0698" w:rsidTr="00ED5760">
        <w:tc>
          <w:tcPr>
            <w:tcW w:w="720" w:type="dxa"/>
          </w:tcPr>
          <w:p w:rsidR="008F0698" w:rsidRDefault="008F0698" w:rsidP="00ED5760">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F0698" w:rsidRPr="00ED4181" w:rsidTr="00ED5760">
        <w:tc>
          <w:tcPr>
            <w:tcW w:w="9360" w:type="dxa"/>
          </w:tcPr>
          <w:p w:rsidR="008F0698" w:rsidRPr="00A07AEB" w:rsidRDefault="008F0698" w:rsidP="00ED5760">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8F0698" w:rsidRPr="00763D08" w:rsidRDefault="008F0698" w:rsidP="008F0698">
      <w:pPr>
        <w:spacing w:before="0"/>
        <w:jc w:val="center"/>
        <w:rPr>
          <w:sz w:val="22"/>
          <w:lang w:val="es-ES_tradnl"/>
        </w:rPr>
      </w:pPr>
    </w:p>
    <w:p w:rsidR="008F0698" w:rsidRPr="00763D08" w:rsidRDefault="008F0698" w:rsidP="008F0698">
      <w:pPr>
        <w:spacing w:before="60"/>
        <w:jc w:val="right"/>
        <w:rPr>
          <w:i/>
          <w:iCs/>
          <w:sz w:val="20"/>
          <w:lang w:val="es-ES_tradnl"/>
        </w:rPr>
      </w:pPr>
      <w:r w:rsidRPr="00763D08">
        <w:rPr>
          <w:i/>
          <w:iCs/>
          <w:sz w:val="20"/>
          <w:lang w:val="es-ES_tradnl"/>
        </w:rPr>
        <w:t>Publicación electrónica</w:t>
      </w:r>
    </w:p>
    <w:p w:rsidR="008F0698" w:rsidRPr="00763D08" w:rsidRDefault="008F0698" w:rsidP="008F0698">
      <w:pPr>
        <w:spacing w:before="0" w:after="40"/>
        <w:jc w:val="right"/>
        <w:rPr>
          <w:sz w:val="20"/>
          <w:lang w:val="es-ES_tradnl"/>
        </w:rPr>
      </w:pPr>
      <w:r w:rsidRPr="00763D08">
        <w:rPr>
          <w:sz w:val="20"/>
          <w:lang w:val="es-ES_tradnl"/>
        </w:rPr>
        <w:t>Ginebra, 20</w:t>
      </w:r>
      <w:r>
        <w:rPr>
          <w:sz w:val="20"/>
          <w:lang w:val="es-ES_tradnl"/>
        </w:rPr>
        <w:t>19</w:t>
      </w:r>
    </w:p>
    <w:p w:rsidR="008F0698" w:rsidRPr="00763D08" w:rsidRDefault="008F0698" w:rsidP="008F0698">
      <w:pPr>
        <w:spacing w:before="0"/>
        <w:jc w:val="center"/>
        <w:rPr>
          <w:sz w:val="22"/>
          <w:lang w:val="es-ES_tradnl"/>
        </w:rPr>
      </w:pPr>
    </w:p>
    <w:p w:rsidR="008F0698" w:rsidRPr="00763D08" w:rsidRDefault="008F0698" w:rsidP="008F069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19</w:t>
      </w:r>
    </w:p>
    <w:p w:rsidR="008F0698" w:rsidRPr="006C718C" w:rsidRDefault="008F0698" w:rsidP="008F069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8F0698" w:rsidRPr="006C718C" w:rsidRDefault="008F0698" w:rsidP="008F0698">
      <w:pPr>
        <w:spacing w:before="160"/>
        <w:rPr>
          <w:i/>
          <w:sz w:val="20"/>
          <w:highlight w:val="yellow"/>
          <w:lang w:val="es-ES_tradnl"/>
        </w:rPr>
        <w:sectPr w:rsidR="008F0698" w:rsidRPr="006C718C" w:rsidSect="00CB1354">
          <w:headerReference w:type="even" r:id="rId10"/>
          <w:headerReference w:type="default" r:id="rId11"/>
          <w:pgSz w:w="11907" w:h="16834" w:code="9"/>
          <w:pgMar w:top="1418" w:right="1134" w:bottom="1134" w:left="1134" w:header="720" w:footer="482" w:gutter="0"/>
          <w:pgNumType w:fmt="lowerRoman" w:start="2"/>
          <w:cols w:space="720"/>
        </w:sectPr>
      </w:pPr>
    </w:p>
    <w:p w:rsidR="008F0698" w:rsidRPr="0010336F" w:rsidRDefault="008F0698" w:rsidP="008F0698">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Pr>
          <w:rStyle w:val="href"/>
          <w:lang w:val="es-ES_tradnl"/>
        </w:rPr>
        <w:t>2009-2</w:t>
      </w:r>
    </w:p>
    <w:p w:rsidR="008F0698" w:rsidRPr="008B0B24" w:rsidRDefault="008F0698" w:rsidP="008F0698">
      <w:pPr>
        <w:pStyle w:val="Rectitle"/>
        <w:rPr>
          <w:lang w:val="es-ES_tradnl" w:eastAsia="zh-CN"/>
        </w:rPr>
      </w:pPr>
      <w:r w:rsidRPr="008B0B24">
        <w:rPr>
          <w:lang w:val="es-ES_tradnl" w:eastAsia="zh-CN"/>
        </w:rPr>
        <w:t>Normas de interfaz radioeléctrica para las ac</w:t>
      </w:r>
      <w:r w:rsidR="008B5342">
        <w:rPr>
          <w:lang w:val="es-ES_tradnl" w:eastAsia="zh-CN"/>
        </w:rPr>
        <w:t>tividades de protección</w:t>
      </w:r>
      <w:r w:rsidRPr="008B0B24">
        <w:rPr>
          <w:lang w:val="es-ES_tradnl" w:eastAsia="zh-CN"/>
        </w:rPr>
        <w:br/>
      </w:r>
      <w:r w:rsidR="008B5342">
        <w:rPr>
          <w:lang w:val="es-ES_tradnl" w:eastAsia="zh-CN"/>
        </w:rPr>
        <w:t>pública</w:t>
      </w:r>
      <w:r w:rsidR="008B5342" w:rsidRPr="008B0B24">
        <w:rPr>
          <w:lang w:val="es-ES_tradnl" w:eastAsia="zh-CN"/>
        </w:rPr>
        <w:t xml:space="preserve"> </w:t>
      </w:r>
      <w:r w:rsidRPr="008B0B24">
        <w:rPr>
          <w:lang w:val="es-ES_tradnl" w:eastAsia="zh-CN"/>
        </w:rPr>
        <w:t>y socorro en ca</w:t>
      </w:r>
      <w:r w:rsidR="00AE2D7D">
        <w:rPr>
          <w:lang w:val="es-ES_tradnl" w:eastAsia="zh-CN"/>
        </w:rPr>
        <w:t>so de catástrofe de conformidad</w:t>
      </w:r>
      <w:r w:rsidRPr="008B0B24">
        <w:rPr>
          <w:lang w:val="es-ES_tradnl" w:eastAsia="zh-CN"/>
        </w:rPr>
        <w:br/>
      </w:r>
      <w:r w:rsidR="0046220F" w:rsidRPr="008B0B24">
        <w:rPr>
          <w:lang w:val="es-ES_tradnl" w:eastAsia="zh-CN"/>
        </w:rPr>
        <w:t xml:space="preserve">con </w:t>
      </w:r>
      <w:r w:rsidRPr="008B0B24">
        <w:rPr>
          <w:lang w:val="es-ES_tradnl" w:eastAsia="zh-CN"/>
        </w:rPr>
        <w:t>la Resolución 646 (Rev.CMR-15)</w:t>
      </w:r>
    </w:p>
    <w:p w:rsidR="008F0698" w:rsidRPr="008B0B24" w:rsidRDefault="008F0698" w:rsidP="008F0698">
      <w:pPr>
        <w:pStyle w:val="Recdate"/>
        <w:rPr>
          <w:lang w:val="es-ES_tradnl"/>
        </w:rPr>
      </w:pPr>
      <w:r w:rsidRPr="008B0B24">
        <w:rPr>
          <w:lang w:val="es-ES_tradnl" w:eastAsia="ja-JP"/>
        </w:rPr>
        <w:t>(2012-2015-2019)</w:t>
      </w:r>
    </w:p>
    <w:p w:rsidR="008F0698" w:rsidRPr="008B0B24" w:rsidRDefault="008F0698" w:rsidP="008F0698">
      <w:pPr>
        <w:pStyle w:val="HeadingSum"/>
      </w:pPr>
      <w:r w:rsidRPr="008B0B24">
        <w:t>Cometido</w:t>
      </w:r>
    </w:p>
    <w:p w:rsidR="008F0698" w:rsidRPr="008B0B24" w:rsidRDefault="008F0698" w:rsidP="0046220F">
      <w:pPr>
        <w:pStyle w:val="Summary"/>
        <w:spacing w:after="0"/>
      </w:pPr>
      <w:r w:rsidRPr="008B0B24">
        <w:t>En esta Recomendación se definen las normas de interfaz radioeléctrica aplicables a las actividades de protección pública y socorro en caso de catástrofe (PPDR) de conformidad con la Resolución</w:t>
      </w:r>
      <w:r w:rsidR="0046220F">
        <w:t> </w:t>
      </w:r>
      <w:r>
        <w:rPr>
          <w:b/>
          <w:bCs/>
        </w:rPr>
        <w:t>646 (Rev.CMR</w:t>
      </w:r>
      <w:r>
        <w:rPr>
          <w:b/>
          <w:bCs/>
        </w:rPr>
        <w:noBreakHyphen/>
      </w:r>
      <w:r w:rsidRPr="008B0B24">
        <w:rPr>
          <w:b/>
          <w:bCs/>
        </w:rPr>
        <w:t>15)</w:t>
      </w:r>
      <w:r w:rsidRPr="008B0B24">
        <w:t>. Las normas de banda ancha que se recogen en esta Recomendación permiten soportar velocidades de datos de banda ancha de varios usuarios, teniendo en cuenta las definiciones del UIT</w:t>
      </w:r>
      <w:r w:rsidRPr="008B0B24">
        <w:noBreakHyphen/>
        <w:t>R de «acceso inalámbrico» y «acceso inalámbrico de banda ancha» que figuran en la Recomendación UIT</w:t>
      </w:r>
      <w:r w:rsidRPr="008B0B24">
        <w:noBreakHyphen/>
        <w:t>R F.1399.</w:t>
      </w:r>
    </w:p>
    <w:p w:rsidR="008F0698" w:rsidRPr="008B0B24" w:rsidRDefault="008F0698" w:rsidP="0046220F">
      <w:pPr>
        <w:pStyle w:val="Summary"/>
        <w:spacing w:after="0"/>
      </w:pPr>
      <w:r w:rsidRPr="008B0B24">
        <w:t>En esta Recomendación se analizan dichas normas sin abordar la disposición de frecuencia de los sistemas</w:t>
      </w:r>
      <w:r w:rsidR="008B5342">
        <w:t> </w:t>
      </w:r>
      <w:r w:rsidRPr="008B0B24">
        <w:t>PPDR, a los que corresponde otra Recomendación: la Recomendación UIT-R M.2015.</w:t>
      </w:r>
    </w:p>
    <w:p w:rsidR="008F0698" w:rsidRPr="008B0B24" w:rsidRDefault="008F0698" w:rsidP="008F0698">
      <w:pPr>
        <w:pStyle w:val="Summary"/>
        <w:rPr>
          <w:lang w:eastAsia="ja-JP"/>
        </w:rPr>
      </w:pPr>
      <w:r w:rsidRPr="008B0B24">
        <w:t>Esta Recomendación también se refiere a las normas de interfaz radioeléctrica aplicables a las actividades de protección pública y socorro en caso de catástrofe</w:t>
      </w:r>
      <w:r w:rsidRPr="008B0B24">
        <w:rPr>
          <w:lang w:eastAsia="ja-JP"/>
        </w:rPr>
        <w:t xml:space="preserve">. </w:t>
      </w:r>
      <w:r w:rsidRPr="008B0B24">
        <w:t xml:space="preserve">Estas normas se basan en especificaciones comunes elaboradas por organizaciones de normalización (SDO). Al utilizar esta Recomendación, los organismos reguladores, los fabricantes y los operadores de PPDR deberían ser capaces de determinar las normas </w:t>
      </w:r>
      <w:r>
        <w:t>más adecuadas a sus necesidades.</w:t>
      </w:r>
    </w:p>
    <w:p w:rsidR="008F0698" w:rsidRPr="008B0B24" w:rsidRDefault="008F0698" w:rsidP="008F0698">
      <w:pPr>
        <w:pStyle w:val="Headingb"/>
        <w:rPr>
          <w:lang w:val="es-ES_tradnl"/>
        </w:rPr>
      </w:pPr>
      <w:r w:rsidRPr="008B0B24">
        <w:rPr>
          <w:lang w:val="es-ES_tradnl"/>
        </w:rPr>
        <w:t>Palabras clave</w:t>
      </w:r>
    </w:p>
    <w:p w:rsidR="008F0698" w:rsidRPr="008B0B24" w:rsidRDefault="008F0698" w:rsidP="0046220F">
      <w:pPr>
        <w:rPr>
          <w:lang w:val="es-ES_tradnl"/>
        </w:rPr>
      </w:pPr>
      <w:r w:rsidRPr="008B0B24">
        <w:rPr>
          <w:lang w:val="es-ES_tradnl"/>
        </w:rPr>
        <w:t>IMT, normas de interfaz radioeléctrica</w:t>
      </w:r>
      <w:r w:rsidR="0046220F">
        <w:rPr>
          <w:lang w:val="es-ES_tradnl"/>
        </w:rPr>
        <w:t>,</w:t>
      </w:r>
      <w:r w:rsidR="0046220F" w:rsidRPr="0046220F">
        <w:rPr>
          <w:lang w:val="es-ES_tradnl"/>
        </w:rPr>
        <w:t xml:space="preserve"> </w:t>
      </w:r>
      <w:r w:rsidR="0046220F" w:rsidRPr="008B0B24">
        <w:rPr>
          <w:lang w:val="es-ES_tradnl"/>
        </w:rPr>
        <w:t>PPDR</w:t>
      </w:r>
    </w:p>
    <w:p w:rsidR="008F0698" w:rsidRPr="008B0B24" w:rsidRDefault="008F0698" w:rsidP="008F0698">
      <w:pPr>
        <w:pStyle w:val="Headingb"/>
        <w:rPr>
          <w:lang w:val="es-ES_tradnl"/>
        </w:rPr>
      </w:pPr>
      <w:r w:rsidRPr="008B0B24">
        <w:rPr>
          <w:lang w:val="es-ES_tradnl"/>
        </w:rPr>
        <w:t>Recomendaciones e Informes UIT-R conexos</w:t>
      </w:r>
    </w:p>
    <w:p w:rsidR="008F0698" w:rsidRPr="008B0B24" w:rsidRDefault="008F0698" w:rsidP="008F0698">
      <w:pPr>
        <w:pStyle w:val="Reftext"/>
        <w:rPr>
          <w:lang w:val="es-ES_tradnl"/>
        </w:rPr>
      </w:pPr>
      <w:bookmarkStart w:id="3" w:name="OLE_LINK9"/>
      <w:bookmarkStart w:id="4" w:name="OLE_LINK10"/>
      <w:r w:rsidRPr="008B0B24">
        <w:rPr>
          <w:lang w:val="es-ES_tradnl"/>
        </w:rPr>
        <w:t>Recomendación UIT-R F.1399 – Terminología del acceso inalámbrico</w:t>
      </w:r>
    </w:p>
    <w:p w:rsidR="008F0698" w:rsidRPr="008B0B24" w:rsidRDefault="008F0698" w:rsidP="008F0698">
      <w:pPr>
        <w:pStyle w:val="Reftext"/>
        <w:rPr>
          <w:lang w:val="es-ES_tradnl"/>
        </w:rPr>
      </w:pPr>
      <w:r w:rsidRPr="008B0B24">
        <w:rPr>
          <w:lang w:val="es-ES_tradnl"/>
        </w:rPr>
        <w:t>Recomendación</w:t>
      </w:r>
      <w:r w:rsidR="006F681F">
        <w:rPr>
          <w:lang w:val="es-ES_tradnl"/>
        </w:rPr>
        <w:t> </w:t>
      </w:r>
      <w:r w:rsidRPr="008B0B24">
        <w:rPr>
          <w:lang w:val="es-ES_tradnl"/>
        </w:rPr>
        <w:t>UIT-R</w:t>
      </w:r>
      <w:r w:rsidR="006F681F">
        <w:rPr>
          <w:lang w:val="es-ES_tradnl"/>
        </w:rPr>
        <w:t> </w:t>
      </w:r>
      <w:r w:rsidRPr="008B0B24">
        <w:rPr>
          <w:lang w:val="es-ES_tradnl"/>
        </w:rPr>
        <w:t>M.1457</w:t>
      </w:r>
      <w:r w:rsidR="006F681F">
        <w:rPr>
          <w:lang w:val="es-ES_tradnl"/>
        </w:rPr>
        <w:t> </w:t>
      </w:r>
      <w:r w:rsidRPr="008B0B24">
        <w:rPr>
          <w:lang w:val="es-ES_tradnl"/>
        </w:rPr>
        <w:t>–</w:t>
      </w:r>
      <w:r w:rsidR="006F681F">
        <w:rPr>
          <w:lang w:val="es-ES_tradnl"/>
        </w:rPr>
        <w:t> </w:t>
      </w:r>
      <w:r w:rsidRPr="008B0B24">
        <w:rPr>
          <w:lang w:val="es-ES_tradnl"/>
        </w:rPr>
        <w:t>Especificaciones detalladas de las interfaces radioeléctricas de las telecomunicaciones móviles internacionales-2000 (IMT 2000)</w:t>
      </w:r>
    </w:p>
    <w:p w:rsidR="008F0698" w:rsidRPr="008B0B24" w:rsidRDefault="008F0698" w:rsidP="008F0698">
      <w:pPr>
        <w:pStyle w:val="Reftext"/>
        <w:rPr>
          <w:lang w:val="es-ES_tradnl"/>
        </w:rPr>
      </w:pPr>
      <w:r w:rsidRPr="008B0B24">
        <w:rPr>
          <w:lang w:val="es-ES_tradnl"/>
        </w:rPr>
        <w:t>Recomendación</w:t>
      </w:r>
      <w:r w:rsidR="006F681F">
        <w:rPr>
          <w:lang w:val="es-ES_tradnl"/>
        </w:rPr>
        <w:t> </w:t>
      </w:r>
      <w:r w:rsidRPr="008B0B24">
        <w:rPr>
          <w:lang w:val="es-ES_tradnl"/>
        </w:rPr>
        <w:t>UIT-R</w:t>
      </w:r>
      <w:r w:rsidR="006F681F">
        <w:rPr>
          <w:lang w:val="es-ES_tradnl"/>
        </w:rPr>
        <w:t> </w:t>
      </w:r>
      <w:r w:rsidRPr="008B0B24">
        <w:rPr>
          <w:lang w:val="es-ES_tradnl"/>
        </w:rPr>
        <w:t>M.1801</w:t>
      </w:r>
      <w:r w:rsidR="006F681F">
        <w:rPr>
          <w:lang w:val="es-ES_tradnl"/>
        </w:rPr>
        <w:t> </w:t>
      </w:r>
      <w:r w:rsidRPr="008B0B24">
        <w:rPr>
          <w:lang w:val="es-ES_tradnl"/>
        </w:rPr>
        <w:t>–</w:t>
      </w:r>
      <w:r w:rsidR="006F681F">
        <w:rPr>
          <w:lang w:val="es-ES_tradnl"/>
        </w:rPr>
        <w:t> </w:t>
      </w:r>
      <w:r w:rsidRPr="008B0B24">
        <w:rPr>
          <w:lang w:val="es-ES_tradnl"/>
        </w:rPr>
        <w:t>Normas de interfaz radioeléctrica para sistemas de acceso inalámbrico de banda ancha, incluidas aplicaciones móviles y nómadas en el servicio móvil que funcionan por debajo de 6 GHz</w:t>
      </w:r>
    </w:p>
    <w:p w:rsidR="008F0698" w:rsidRPr="008B0B24" w:rsidRDefault="008F0698" w:rsidP="008F0698">
      <w:pPr>
        <w:pStyle w:val="Reftext"/>
        <w:rPr>
          <w:lang w:val="es-ES_tradnl"/>
        </w:rPr>
      </w:pPr>
      <w:r w:rsidRPr="008B0B24">
        <w:rPr>
          <w:lang w:val="es-ES_tradnl"/>
        </w:rPr>
        <w:t>Recomendación</w:t>
      </w:r>
      <w:r w:rsidR="006F681F">
        <w:rPr>
          <w:lang w:val="es-ES_tradnl"/>
        </w:rPr>
        <w:t> </w:t>
      </w:r>
      <w:r w:rsidRPr="008B0B24">
        <w:rPr>
          <w:lang w:val="es-ES_tradnl"/>
        </w:rPr>
        <w:t>UIT-R</w:t>
      </w:r>
      <w:r w:rsidR="006F681F">
        <w:rPr>
          <w:lang w:val="es-ES_tradnl"/>
        </w:rPr>
        <w:t> </w:t>
      </w:r>
      <w:r w:rsidRPr="008B0B24">
        <w:rPr>
          <w:lang w:val="es-ES_tradnl"/>
        </w:rPr>
        <w:t>M.2012</w:t>
      </w:r>
      <w:r w:rsidR="006F681F">
        <w:rPr>
          <w:lang w:val="es-ES_tradnl"/>
        </w:rPr>
        <w:t> </w:t>
      </w:r>
      <w:r w:rsidR="006F681F" w:rsidRPr="008B0B24">
        <w:rPr>
          <w:lang w:val="es-ES_tradnl"/>
        </w:rPr>
        <w:t>–</w:t>
      </w:r>
      <w:r w:rsidR="006F681F">
        <w:rPr>
          <w:lang w:val="es-ES_tradnl"/>
        </w:rPr>
        <w:t> </w:t>
      </w:r>
      <w:r w:rsidRPr="008B0B24">
        <w:rPr>
          <w:lang w:val="es-ES_tradnl"/>
        </w:rPr>
        <w:t>Especificaciones detalladas de las interfaces radioeléctricas terrenales de las telecomunicaciones móviles internacionales-avanzadas (IMT-Avanzadas)</w:t>
      </w:r>
    </w:p>
    <w:p w:rsidR="008F0698" w:rsidRPr="008B0B24" w:rsidRDefault="008F0698" w:rsidP="008F0698">
      <w:pPr>
        <w:pStyle w:val="Reftext"/>
        <w:rPr>
          <w:shd w:val="pct15" w:color="auto" w:fill="FFFFFF"/>
          <w:lang w:val="es-ES_tradnl"/>
        </w:rPr>
      </w:pPr>
      <w:r w:rsidRPr="008B0B24">
        <w:rPr>
          <w:lang w:val="es-ES_tradnl"/>
        </w:rPr>
        <w:t>Recomendación</w:t>
      </w:r>
      <w:r w:rsidR="006F681F">
        <w:rPr>
          <w:lang w:val="es-ES_tradnl"/>
        </w:rPr>
        <w:t> </w:t>
      </w:r>
      <w:r w:rsidRPr="008B0B24">
        <w:rPr>
          <w:lang w:val="es-ES_tradnl"/>
        </w:rPr>
        <w:t>UIT-R</w:t>
      </w:r>
      <w:r w:rsidR="006F681F">
        <w:rPr>
          <w:lang w:val="es-ES_tradnl"/>
        </w:rPr>
        <w:t> </w:t>
      </w:r>
      <w:r w:rsidRPr="008B0B24">
        <w:rPr>
          <w:lang w:val="es-ES_tradnl"/>
        </w:rPr>
        <w:t>M.2015</w:t>
      </w:r>
      <w:r w:rsidR="006F681F">
        <w:rPr>
          <w:lang w:val="es-ES_tradnl"/>
        </w:rPr>
        <w:t> </w:t>
      </w:r>
      <w:r w:rsidRPr="008B0B24">
        <w:rPr>
          <w:lang w:val="es-ES_tradnl"/>
        </w:rPr>
        <w:t>–</w:t>
      </w:r>
      <w:r w:rsidR="006F681F">
        <w:rPr>
          <w:lang w:val="es-ES_tradnl"/>
        </w:rPr>
        <w:t> </w:t>
      </w:r>
      <w:r w:rsidRPr="008B0B24">
        <w:rPr>
          <w:lang w:val="es-ES_tradnl"/>
        </w:rPr>
        <w:t>Disposición de frecuencias para sistemas de radiocomunicaciones de protección pública y operaciones de socorro en caso de catástrofe con arreglo a la Resolución</w:t>
      </w:r>
      <w:r w:rsidR="0046220F">
        <w:rPr>
          <w:lang w:val="es-ES_tradnl"/>
        </w:rPr>
        <w:t> </w:t>
      </w:r>
      <w:r w:rsidRPr="008B0B24">
        <w:rPr>
          <w:b/>
          <w:bCs/>
          <w:lang w:val="es-ES_tradnl"/>
        </w:rPr>
        <w:t>646 (Rev.CMR-15)</w:t>
      </w:r>
    </w:p>
    <w:bookmarkEnd w:id="3"/>
    <w:bookmarkEnd w:id="4"/>
    <w:p w:rsidR="008F0698" w:rsidRPr="008B0B24" w:rsidRDefault="008F0698" w:rsidP="008F0698">
      <w:pPr>
        <w:pStyle w:val="Reftext"/>
        <w:rPr>
          <w:lang w:val="es-ES_tradnl"/>
        </w:rPr>
      </w:pPr>
      <w:r w:rsidRPr="008B0B24">
        <w:rPr>
          <w:lang w:val="es-ES_tradnl"/>
        </w:rPr>
        <w:t>Informe</w:t>
      </w:r>
      <w:r w:rsidR="006F681F">
        <w:rPr>
          <w:lang w:val="es-ES_tradnl"/>
        </w:rPr>
        <w:t> </w:t>
      </w:r>
      <w:r w:rsidRPr="008B0B24">
        <w:rPr>
          <w:lang w:val="es-ES_tradnl"/>
        </w:rPr>
        <w:t>UIT-R M.2014</w:t>
      </w:r>
      <w:r w:rsidR="006F681F">
        <w:rPr>
          <w:lang w:val="es-ES_tradnl"/>
        </w:rPr>
        <w:t> </w:t>
      </w:r>
      <w:r w:rsidRPr="008B0B24">
        <w:rPr>
          <w:lang w:val="es-ES_tradnl"/>
        </w:rPr>
        <w:t>–</w:t>
      </w:r>
      <w:r w:rsidR="006F681F">
        <w:rPr>
          <w:lang w:val="es-ES_tradnl"/>
        </w:rPr>
        <w:t> </w:t>
      </w:r>
      <w:r w:rsidRPr="008B0B24">
        <w:rPr>
          <w:lang w:val="es-ES_tradnl"/>
        </w:rPr>
        <w:t>Sistemas móviles digitales terrestres para el despacho de tráfico</w:t>
      </w:r>
    </w:p>
    <w:p w:rsidR="008F0698" w:rsidRPr="008B0B24" w:rsidRDefault="008F0698" w:rsidP="008F0698">
      <w:pPr>
        <w:pStyle w:val="Reftext"/>
        <w:rPr>
          <w:lang w:val="es-ES_tradnl"/>
        </w:rPr>
      </w:pPr>
      <w:r w:rsidRPr="008B0B24">
        <w:rPr>
          <w:lang w:val="es-ES_tradnl"/>
        </w:rPr>
        <w:t>Informe</w:t>
      </w:r>
      <w:r w:rsidR="006F681F">
        <w:rPr>
          <w:lang w:val="es-ES_tradnl"/>
        </w:rPr>
        <w:t> </w:t>
      </w:r>
      <w:r w:rsidRPr="008B0B24">
        <w:rPr>
          <w:lang w:val="es-ES_tradnl"/>
        </w:rPr>
        <w:t>UIT-R</w:t>
      </w:r>
      <w:r w:rsidR="006F681F">
        <w:rPr>
          <w:lang w:val="es-ES_tradnl"/>
        </w:rPr>
        <w:t> </w:t>
      </w:r>
      <w:r w:rsidRPr="008B0B24">
        <w:rPr>
          <w:lang w:val="es-ES_tradnl"/>
        </w:rPr>
        <w:t>M.2291</w:t>
      </w:r>
      <w:r w:rsidR="006F681F">
        <w:rPr>
          <w:lang w:val="es-ES_tradnl"/>
        </w:rPr>
        <w:t> </w:t>
      </w:r>
      <w:r w:rsidR="006F681F" w:rsidRPr="008B0B24">
        <w:rPr>
          <w:lang w:val="es-ES_tradnl"/>
        </w:rPr>
        <w:t>–</w:t>
      </w:r>
      <w:r w:rsidR="006F681F">
        <w:rPr>
          <w:lang w:val="es-ES_tradnl"/>
        </w:rPr>
        <w:t> </w:t>
      </w:r>
      <w:r w:rsidRPr="008B0B24">
        <w:rPr>
          <w:lang w:val="es-ES_tradnl"/>
        </w:rPr>
        <w:t>Utilización de las telecomunicaciones móviles internacionales (IMT) para aplicaciones de banda ancha de protección pública y socorro en caso de catástrofe</w:t>
      </w:r>
    </w:p>
    <w:p w:rsidR="008F0698" w:rsidRPr="008B0B24" w:rsidRDefault="008F0698" w:rsidP="008F0698">
      <w:pPr>
        <w:pStyle w:val="Reftext"/>
        <w:rPr>
          <w:lang w:val="es-ES_tradnl"/>
        </w:rPr>
      </w:pPr>
      <w:r w:rsidRPr="008B0B24">
        <w:rPr>
          <w:lang w:val="es-ES_tradnl"/>
        </w:rPr>
        <w:t>Informe</w:t>
      </w:r>
      <w:r w:rsidR="006F681F">
        <w:rPr>
          <w:lang w:val="es-ES_tradnl"/>
        </w:rPr>
        <w:t> </w:t>
      </w:r>
      <w:r w:rsidRPr="008B0B24">
        <w:rPr>
          <w:lang w:val="es-ES_tradnl"/>
        </w:rPr>
        <w:t>UIT-R</w:t>
      </w:r>
      <w:r w:rsidR="006F681F">
        <w:rPr>
          <w:lang w:val="es-ES_tradnl"/>
        </w:rPr>
        <w:t> </w:t>
      </w:r>
      <w:r w:rsidRPr="008B0B24">
        <w:rPr>
          <w:lang w:val="es-ES_tradnl"/>
        </w:rPr>
        <w:t>M.2377</w:t>
      </w:r>
      <w:r w:rsidR="006F681F">
        <w:rPr>
          <w:lang w:val="es-ES_tradnl"/>
        </w:rPr>
        <w:t> </w:t>
      </w:r>
      <w:r w:rsidR="006F681F" w:rsidRPr="008B0B24">
        <w:rPr>
          <w:lang w:val="es-ES_tradnl"/>
        </w:rPr>
        <w:t>–</w:t>
      </w:r>
      <w:r w:rsidR="006F681F">
        <w:rPr>
          <w:lang w:val="es-ES_tradnl"/>
        </w:rPr>
        <w:t> </w:t>
      </w:r>
      <w:r w:rsidRPr="008B0B24">
        <w:rPr>
          <w:lang w:val="es-ES_tradnl"/>
        </w:rPr>
        <w:t>Objetivos y requisitos de las radiocomunicaciones de protección pública y operaciones de socorro</w:t>
      </w:r>
    </w:p>
    <w:p w:rsidR="008F0698" w:rsidRPr="008B0B24" w:rsidRDefault="008F0698" w:rsidP="008F0698">
      <w:pPr>
        <w:pStyle w:val="Reftext"/>
        <w:rPr>
          <w:lang w:val="es-ES_tradnl"/>
        </w:rPr>
      </w:pPr>
      <w:r w:rsidRPr="008B0B24">
        <w:rPr>
          <w:lang w:val="es-ES_tradnl"/>
        </w:rPr>
        <w:t>Informe</w:t>
      </w:r>
      <w:r w:rsidR="006F681F">
        <w:rPr>
          <w:lang w:val="es-ES_tradnl"/>
        </w:rPr>
        <w:t> </w:t>
      </w:r>
      <w:r w:rsidRPr="008B0B24">
        <w:rPr>
          <w:lang w:val="es-ES_tradnl"/>
        </w:rPr>
        <w:t>UIT-R M.2415</w:t>
      </w:r>
      <w:r w:rsidR="006F681F">
        <w:rPr>
          <w:lang w:val="es-ES_tradnl"/>
        </w:rPr>
        <w:t> </w:t>
      </w:r>
      <w:r w:rsidRPr="008B0B24">
        <w:rPr>
          <w:lang w:val="es-ES_tradnl"/>
        </w:rPr>
        <w:t>–</w:t>
      </w:r>
      <w:r w:rsidR="006F681F">
        <w:rPr>
          <w:lang w:val="es-ES_tradnl"/>
        </w:rPr>
        <w:t> </w:t>
      </w:r>
      <w:r w:rsidRPr="008B0B24">
        <w:rPr>
          <w:lang w:val="es-ES_tradnl"/>
        </w:rPr>
        <w:t>Necesidades de espectro para la protección pública y las operaciones de socorro en caso de catástrofe (PPDR)</w:t>
      </w:r>
    </w:p>
    <w:p w:rsidR="008F0698" w:rsidRDefault="008F0698" w:rsidP="0046220F">
      <w:pPr>
        <w:pStyle w:val="Normalaftertitle"/>
        <w:keepNext/>
        <w:keepLines/>
        <w:rPr>
          <w:lang w:val="es-ES_tradnl"/>
        </w:rPr>
      </w:pPr>
      <w:r w:rsidRPr="008B0B24">
        <w:rPr>
          <w:lang w:val="es-ES_tradnl"/>
        </w:rPr>
        <w:lastRenderedPageBreak/>
        <w:t>La Asamblea de Radiocomunicaciones de la UIT,</w:t>
      </w:r>
    </w:p>
    <w:p w:rsidR="008F0698" w:rsidRPr="008B0B24" w:rsidRDefault="008F0698" w:rsidP="008F0698">
      <w:pPr>
        <w:pStyle w:val="Call"/>
        <w:rPr>
          <w:lang w:val="es-ES_tradnl"/>
        </w:rPr>
      </w:pPr>
      <w:r w:rsidRPr="008B0B24">
        <w:rPr>
          <w:lang w:val="es-ES_tradnl"/>
        </w:rPr>
        <w:t>considerando</w:t>
      </w:r>
    </w:p>
    <w:p w:rsidR="008F0698" w:rsidRPr="008B0B24" w:rsidRDefault="008F0698" w:rsidP="008F0698">
      <w:pPr>
        <w:rPr>
          <w:lang w:val="es-ES_tradnl"/>
        </w:rPr>
      </w:pPr>
      <w:r w:rsidRPr="008B0B24">
        <w:rPr>
          <w:i/>
          <w:iCs/>
          <w:lang w:val="es-ES_tradnl"/>
        </w:rPr>
        <w:t>a)</w:t>
      </w:r>
      <w:r w:rsidRPr="008B0B24">
        <w:rPr>
          <w:i/>
          <w:iCs/>
          <w:lang w:val="es-ES_tradnl"/>
        </w:rPr>
        <w:tab/>
      </w:r>
      <w:r w:rsidRPr="008B0B24">
        <w:rPr>
          <w:lang w:val="es-ES_tradnl"/>
        </w:rPr>
        <w:t>que las administraciones pueden determinar qué tecnologías conviene utilizar para llevar a cabo actividades de PPDR;</w:t>
      </w:r>
    </w:p>
    <w:p w:rsidR="008F0698" w:rsidRPr="008B0B24" w:rsidRDefault="008F0698" w:rsidP="008F0698">
      <w:pPr>
        <w:rPr>
          <w:lang w:val="es-ES_tradnl"/>
        </w:rPr>
      </w:pPr>
      <w:r w:rsidRPr="008B0B24">
        <w:rPr>
          <w:i/>
          <w:iCs/>
          <w:lang w:val="es-ES_tradnl"/>
        </w:rPr>
        <w:t>b)</w:t>
      </w:r>
      <w:r w:rsidRPr="008B0B24">
        <w:rPr>
          <w:i/>
          <w:iCs/>
          <w:lang w:val="es-ES_tradnl"/>
        </w:rPr>
        <w:tab/>
      </w:r>
      <w:r w:rsidRPr="008B0B24">
        <w:rPr>
          <w:lang w:val="es-ES_tradnl"/>
        </w:rPr>
        <w:t>que la inclusión de normas en esta Recomendación no excluye la utilización de otras normas en las actividades de PPDR,</w:t>
      </w:r>
    </w:p>
    <w:p w:rsidR="008F0698" w:rsidRPr="008B0B24" w:rsidRDefault="008F0698" w:rsidP="008F0698">
      <w:pPr>
        <w:pStyle w:val="Call"/>
        <w:rPr>
          <w:lang w:val="es-ES_tradnl"/>
        </w:rPr>
      </w:pPr>
      <w:r w:rsidRPr="008B0B24">
        <w:rPr>
          <w:lang w:val="es-ES_tradnl"/>
        </w:rPr>
        <w:t>observando</w:t>
      </w:r>
    </w:p>
    <w:p w:rsidR="008F0698" w:rsidRPr="008B0B24" w:rsidRDefault="008F0698" w:rsidP="008F0698">
      <w:pPr>
        <w:rPr>
          <w:lang w:val="es-ES_tradnl"/>
        </w:rPr>
      </w:pPr>
      <w:r w:rsidRPr="008B0B24">
        <w:rPr>
          <w:lang w:val="es-ES_tradnl"/>
        </w:rPr>
        <w:t>las abreviaturas y los acrónimos indicados en el Anexo 3,</w:t>
      </w:r>
    </w:p>
    <w:p w:rsidR="008F0698" w:rsidRPr="008B0B24" w:rsidRDefault="008F0698" w:rsidP="008F0698">
      <w:pPr>
        <w:pStyle w:val="Call"/>
        <w:rPr>
          <w:lang w:val="es-ES_tradnl"/>
        </w:rPr>
      </w:pPr>
      <w:r w:rsidRPr="008B0B24">
        <w:rPr>
          <w:lang w:val="es-ES_tradnl"/>
        </w:rPr>
        <w:t>reconociendo</w:t>
      </w:r>
    </w:p>
    <w:p w:rsidR="008F0698" w:rsidRPr="008B0B24" w:rsidRDefault="008F0698" w:rsidP="008F0698">
      <w:pPr>
        <w:rPr>
          <w:lang w:val="es-ES_tradnl"/>
        </w:rPr>
      </w:pPr>
      <w:r w:rsidRPr="008B0B24">
        <w:rPr>
          <w:i/>
          <w:iCs/>
          <w:lang w:val="es-ES_tradnl"/>
        </w:rPr>
        <w:t>a)</w:t>
      </w:r>
      <w:r w:rsidRPr="008B0B24">
        <w:rPr>
          <w:i/>
          <w:iCs/>
          <w:lang w:val="es-ES_tradnl"/>
        </w:rPr>
        <w:tab/>
      </w:r>
      <w:r w:rsidRPr="008B0B24">
        <w:rPr>
          <w:lang w:val="es-ES_tradnl"/>
        </w:rPr>
        <w:t xml:space="preserve">que en la Resolución </w:t>
      </w:r>
      <w:r w:rsidRPr="008B0B24">
        <w:rPr>
          <w:b/>
          <w:bCs/>
          <w:lang w:val="es-ES_tradnl"/>
        </w:rPr>
        <w:t>646 (Rev.CMR-15)</w:t>
      </w:r>
      <w:r w:rsidRPr="008B0B24">
        <w:rPr>
          <w:lang w:val="es-ES_tradnl"/>
        </w:rPr>
        <w:t xml:space="preserve"> se alienta a las administraciones a considerar las bandas/gamas de frecuencia especificadas en dicha Resolución, o partes de ellas, cuando lleven a cabo su planificación nacional, en aras de una armonización de las soluciones avanzadas en materia de protección pública y operaciones de socorro en caso de catástrofe;</w:t>
      </w:r>
    </w:p>
    <w:p w:rsidR="008F0698" w:rsidRPr="008B0B24" w:rsidRDefault="008F0698" w:rsidP="008F0698">
      <w:pPr>
        <w:rPr>
          <w:lang w:val="es-ES_tradnl"/>
        </w:rPr>
      </w:pPr>
      <w:r w:rsidRPr="008B0B24">
        <w:rPr>
          <w:i/>
          <w:lang w:val="es-ES_tradnl"/>
        </w:rPr>
        <w:t>b)</w:t>
      </w:r>
      <w:r w:rsidRPr="008B0B24">
        <w:rPr>
          <w:i/>
          <w:lang w:val="es-ES_tradnl"/>
        </w:rPr>
        <w:tab/>
      </w:r>
      <w:r w:rsidRPr="008B0B24">
        <w:rPr>
          <w:lang w:val="es-ES_tradnl"/>
        </w:rPr>
        <w:t xml:space="preserve">que en la Resolución </w:t>
      </w:r>
      <w:r w:rsidRPr="008B0B24">
        <w:rPr>
          <w:b/>
          <w:bCs/>
          <w:lang w:val="es-ES_tradnl"/>
        </w:rPr>
        <w:t>646 (Rev.CMR-15)</w:t>
      </w:r>
      <w:r w:rsidRPr="008B0B24">
        <w:rPr>
          <w:lang w:val="es-ES_tradnl"/>
        </w:rPr>
        <w:t xml:space="preserve"> se alienta a las administraciones a utilizar gamas de frecuencias armonizadas para la PPDR, en la mayor medida posible, teniendo en cuenta las necesidades nacionales y regionales, y teniendo también presente la necesidad de consultas y cooperación con otros países afectados;</w:t>
      </w:r>
    </w:p>
    <w:p w:rsidR="008F0698" w:rsidRPr="008B0B24" w:rsidRDefault="008F0698" w:rsidP="008F0698">
      <w:pPr>
        <w:rPr>
          <w:lang w:val="es-ES_tradnl"/>
        </w:rPr>
      </w:pPr>
      <w:r w:rsidRPr="008B0B24">
        <w:rPr>
          <w:i/>
          <w:iCs/>
          <w:lang w:val="es-ES_tradnl"/>
        </w:rPr>
        <w:t>c)</w:t>
      </w:r>
      <w:r w:rsidRPr="008B0B24">
        <w:rPr>
          <w:i/>
          <w:iCs/>
          <w:lang w:val="es-ES_tradnl"/>
        </w:rPr>
        <w:tab/>
      </w:r>
      <w:r w:rsidRPr="008B0B24">
        <w:rPr>
          <w:lang w:val="es-ES_tradnl"/>
        </w:rPr>
        <w:t>que la Recomendación UIT-R M.2015, relativa a la disposición de frecuencias para los sistemas de radiocomunicaciones de protección pública y operaciones de socorro en caso de catástrofe con arreglo a la Resolución</w:t>
      </w:r>
      <w:r w:rsidR="00AE2D7D">
        <w:rPr>
          <w:lang w:val="es-ES_tradnl"/>
        </w:rPr>
        <w:t> </w:t>
      </w:r>
      <w:r w:rsidRPr="008B0B24">
        <w:rPr>
          <w:b/>
          <w:bCs/>
          <w:lang w:val="es-ES_tradnl"/>
        </w:rPr>
        <w:t>646 (Rev.CMR-15)</w:t>
      </w:r>
      <w:r w:rsidRPr="008B0B24">
        <w:rPr>
          <w:lang w:val="es-ES_tradnl"/>
        </w:rPr>
        <w:t xml:space="preserve">, proporciona orientaciones acerca de la disposición de frecuencias para las radiocomunicaciones de protección pública y operaciones de socorro en caso de catástrofe, especialmente en las gamas de frecuencias especificadas en los </w:t>
      </w:r>
      <w:r w:rsidRPr="008B0B24">
        <w:rPr>
          <w:i/>
          <w:iCs/>
          <w:lang w:val="es-ES_tradnl"/>
        </w:rPr>
        <w:t>resuelve</w:t>
      </w:r>
      <w:r w:rsidR="008B5342">
        <w:rPr>
          <w:lang w:val="es-ES_tradnl"/>
        </w:rPr>
        <w:t> </w:t>
      </w:r>
      <w:r w:rsidRPr="008B0B24">
        <w:rPr>
          <w:lang w:val="es-ES_tradnl"/>
        </w:rPr>
        <w:t>2 y 3 de la propia Resolución</w:t>
      </w:r>
      <w:r w:rsidR="00AE2D7D">
        <w:rPr>
          <w:lang w:val="es-ES_tradnl"/>
        </w:rPr>
        <w:t> </w:t>
      </w:r>
      <w:r w:rsidRPr="008B0B24">
        <w:rPr>
          <w:b/>
          <w:bCs/>
          <w:lang w:val="es-ES_tradnl"/>
        </w:rPr>
        <w:t>646 (Rev.CMR-15)</w:t>
      </w:r>
      <w:r w:rsidRPr="008B0B24">
        <w:rPr>
          <w:lang w:val="es-ES_tradnl"/>
        </w:rPr>
        <w:t>, así como de las disposiciones de frecuencias de cada país;</w:t>
      </w:r>
    </w:p>
    <w:p w:rsidR="008F0698" w:rsidRPr="008B0B24" w:rsidRDefault="008F0698" w:rsidP="008F0698">
      <w:pPr>
        <w:rPr>
          <w:lang w:val="es-ES_tradnl"/>
        </w:rPr>
      </w:pPr>
      <w:r w:rsidRPr="008B0B24">
        <w:rPr>
          <w:i/>
          <w:lang w:val="es-ES_tradnl"/>
        </w:rPr>
        <w:t>d)</w:t>
      </w:r>
      <w:r w:rsidRPr="008B0B24">
        <w:rPr>
          <w:lang w:val="es-ES_tradnl"/>
        </w:rPr>
        <w:tab/>
        <w:t>que el Informe UIT-R</w:t>
      </w:r>
      <w:r w:rsidR="00AE2D7D">
        <w:rPr>
          <w:lang w:val="es-ES_tradnl"/>
        </w:rPr>
        <w:t> </w:t>
      </w:r>
      <w:r w:rsidRPr="008B0B24">
        <w:rPr>
          <w:lang w:val="es-ES_tradnl"/>
        </w:rPr>
        <w:t>M.2291 versa sobre las capacidades de las IMT, incluida la utilización de la evolución a largo plazo (LTE) y la LTE-Avanzada, para soportar las comunicaciones PPDR de banda ancha;</w:t>
      </w:r>
    </w:p>
    <w:p w:rsidR="008F0698" w:rsidRPr="008B0B24" w:rsidRDefault="008F0698" w:rsidP="008F0698">
      <w:pPr>
        <w:rPr>
          <w:lang w:val="es-ES_tradnl"/>
        </w:rPr>
      </w:pPr>
      <w:r w:rsidRPr="008B0B24">
        <w:rPr>
          <w:i/>
          <w:lang w:val="es-ES_tradnl"/>
        </w:rPr>
        <w:t>e</w:t>
      </w:r>
      <w:r w:rsidRPr="008B0B24">
        <w:rPr>
          <w:i/>
          <w:iCs/>
          <w:lang w:val="es-ES_tradnl"/>
        </w:rPr>
        <w:t>)</w:t>
      </w:r>
      <w:r w:rsidRPr="008B0B24">
        <w:rPr>
          <w:lang w:val="es-ES_tradnl"/>
        </w:rPr>
        <w:tab/>
        <w:t>que en el Informe UIT-R M.2377 se abordan los objetivos y requisitos de la PPDR,</w:t>
      </w:r>
    </w:p>
    <w:p w:rsidR="008F0698" w:rsidRPr="008B0B24" w:rsidRDefault="008F0698" w:rsidP="008F0698">
      <w:pPr>
        <w:pStyle w:val="Call"/>
        <w:rPr>
          <w:lang w:val="es-ES_tradnl"/>
        </w:rPr>
      </w:pPr>
      <w:r w:rsidRPr="008B0B24">
        <w:rPr>
          <w:lang w:val="es-ES_tradnl"/>
        </w:rPr>
        <w:t>recomienda</w:t>
      </w:r>
    </w:p>
    <w:p w:rsidR="008F0698" w:rsidRPr="008B0B24" w:rsidRDefault="008F0698" w:rsidP="008F0698">
      <w:pPr>
        <w:rPr>
          <w:rFonts w:eastAsia="SimSun"/>
          <w:lang w:val="es-ES_tradnl"/>
        </w:rPr>
      </w:pPr>
      <w:r w:rsidRPr="008B0B24">
        <w:rPr>
          <w:rFonts w:eastAsia="SimSun"/>
          <w:lang w:val="es-ES_tradnl"/>
        </w:rPr>
        <w:t xml:space="preserve">que en las actividades de PPDR se utilicen las </w:t>
      </w:r>
      <w:r w:rsidRPr="008B0B24">
        <w:rPr>
          <w:lang w:val="es-ES_tradnl"/>
        </w:rPr>
        <w:t>normas de interfaz radioeléctrica</w:t>
      </w:r>
      <w:r w:rsidRPr="008B0B24">
        <w:rPr>
          <w:rFonts w:eastAsia="SimSun"/>
          <w:lang w:val="es-ES_tradnl"/>
        </w:rPr>
        <w:t xml:space="preserve"> contenidas en los Anexos</w:t>
      </w:r>
      <w:r w:rsidR="008B5342">
        <w:rPr>
          <w:rFonts w:eastAsia="SimSun"/>
          <w:lang w:val="es-ES_tradnl"/>
        </w:rPr>
        <w:t> </w:t>
      </w:r>
      <w:r w:rsidRPr="008B0B24">
        <w:rPr>
          <w:rFonts w:eastAsia="SimSun"/>
          <w:lang w:val="es-ES_tradnl"/>
        </w:rPr>
        <w:t>1 y 2.</w:t>
      </w:r>
    </w:p>
    <w:p w:rsidR="008F0698" w:rsidRPr="008B0B24" w:rsidRDefault="008F0698" w:rsidP="008F0698">
      <w:pPr>
        <w:rPr>
          <w:rFonts w:eastAsia="SimSun"/>
          <w:lang w:val="es-ES_tradnl"/>
        </w:rPr>
      </w:pPr>
    </w:p>
    <w:p w:rsidR="008F0698" w:rsidRPr="008B0B24" w:rsidRDefault="008F0698" w:rsidP="008F0698">
      <w:pPr>
        <w:rPr>
          <w:rFonts w:eastAsia="SimSun"/>
          <w:lang w:val="es-ES_tradnl"/>
        </w:rPr>
      </w:pPr>
    </w:p>
    <w:p w:rsidR="008F0698" w:rsidRPr="008B0B24" w:rsidRDefault="008F0698" w:rsidP="0046220F">
      <w:pPr>
        <w:pStyle w:val="AnnexNoTitle"/>
        <w:rPr>
          <w:rFonts w:ascii="Times New Roman Bold" w:hAnsi="Times New Roman Bold"/>
          <w:lang w:val="es-ES_tradnl"/>
        </w:rPr>
      </w:pPr>
      <w:r w:rsidRPr="008B0B24">
        <w:rPr>
          <w:lang w:val="es-ES_tradnl"/>
        </w:rPr>
        <w:lastRenderedPageBreak/>
        <w:t>Anexo 1</w:t>
      </w:r>
      <w:r w:rsidRPr="008B0B24">
        <w:rPr>
          <w:lang w:val="es-ES_tradnl"/>
        </w:rPr>
        <w:br/>
      </w:r>
      <w:r w:rsidRPr="008B0B24">
        <w:rPr>
          <w:lang w:val="es-ES_tradnl"/>
        </w:rPr>
        <w:br/>
      </w:r>
      <w:r w:rsidRPr="008B0B24">
        <w:rPr>
          <w:rFonts w:ascii="Times New Roman Bold" w:hAnsi="Times New Roman Bold"/>
          <w:lang w:val="es-ES_tradnl"/>
        </w:rPr>
        <w:t>Normas de interfaz radioeléctrica de banda ancha para las actividades</w:t>
      </w:r>
      <w:r w:rsidR="0046220F">
        <w:rPr>
          <w:rFonts w:ascii="Times New Roman Bold" w:hAnsi="Times New Roman Bold"/>
          <w:lang w:val="es-ES_tradnl"/>
        </w:rPr>
        <w:br/>
      </w:r>
      <w:r w:rsidR="0046220F" w:rsidRPr="008B0B24">
        <w:rPr>
          <w:rFonts w:ascii="Times New Roman Bold" w:hAnsi="Times New Roman Bold"/>
          <w:lang w:val="es-ES_tradnl"/>
        </w:rPr>
        <w:t xml:space="preserve">de </w:t>
      </w:r>
      <w:r w:rsidRPr="008B0B24">
        <w:rPr>
          <w:rFonts w:ascii="Times New Roman Bold" w:hAnsi="Times New Roman Bold"/>
          <w:lang w:val="es-ES_tradnl"/>
        </w:rPr>
        <w:t>protección pública y socorro en ca</w:t>
      </w:r>
      <w:r w:rsidR="00FA5053">
        <w:rPr>
          <w:rFonts w:ascii="Times New Roman Bold" w:hAnsi="Times New Roman Bold"/>
          <w:lang w:val="es-ES_tradnl"/>
        </w:rPr>
        <w:t>so de catástrofe de conformidad</w:t>
      </w:r>
      <w:r w:rsidRPr="008B0B24">
        <w:rPr>
          <w:rFonts w:ascii="Times New Roman Bold" w:hAnsi="Times New Roman Bold"/>
          <w:lang w:val="es-ES_tradnl"/>
        </w:rPr>
        <w:br/>
        <w:t>con la Resolución 646 (Rev.CMR-15)</w:t>
      </w:r>
    </w:p>
    <w:p w:rsidR="008F0698" w:rsidRPr="008B0B24" w:rsidRDefault="008F0698" w:rsidP="0046220F">
      <w:pPr>
        <w:pStyle w:val="Normalaftertitle"/>
        <w:keepNext/>
        <w:keepLines/>
        <w:rPr>
          <w:lang w:val="es-ES_tradnl"/>
        </w:rPr>
      </w:pPr>
      <w:r w:rsidRPr="008B0B24">
        <w:rPr>
          <w:lang w:val="es-ES_tradnl"/>
        </w:rPr>
        <w:t xml:space="preserve">El presente </w:t>
      </w:r>
      <w:r w:rsidR="0046220F" w:rsidRPr="008B0B24">
        <w:rPr>
          <w:lang w:val="es-ES_tradnl"/>
        </w:rPr>
        <w:t xml:space="preserve">Anexo </w:t>
      </w:r>
      <w:r w:rsidRPr="008B0B24">
        <w:rPr>
          <w:lang w:val="es-ES_tradnl"/>
        </w:rPr>
        <w:t>contiene información sobre las normas de banda ancha para las actividades de PPDR. También hace referencia a textos de la UIT que contienen descripciones más detalladas de dichas normas y sus capacidades. Se reconoce que esas normas pueden no ajustarse a todas las necesidades de los usuarios descritas en el Informe UIT-R M.2377, y que cada administración y sus organismos de PPDR deberán analizar la información y determinar qué normas son las más adecuadas para alcanzar sus objetivos.</w:t>
      </w:r>
    </w:p>
    <w:p w:rsidR="008F0698" w:rsidRPr="008B0B24" w:rsidRDefault="008F0698" w:rsidP="008F0698">
      <w:pPr>
        <w:pStyle w:val="Heading1"/>
        <w:rPr>
          <w:lang w:val="es-ES_tradnl"/>
        </w:rPr>
      </w:pPr>
      <w:r w:rsidRPr="008B0B24">
        <w:rPr>
          <w:lang w:val="es-ES_tradnl"/>
        </w:rPr>
        <w:t>1</w:t>
      </w:r>
      <w:r w:rsidRPr="008B0B24">
        <w:rPr>
          <w:lang w:val="es-ES_tradnl"/>
        </w:rPr>
        <w:tab/>
      </w:r>
      <w:r w:rsidRPr="008B0B24">
        <w:rPr>
          <w:szCs w:val="22"/>
          <w:lang w:val="es-ES_tradnl"/>
        </w:rPr>
        <w:t>Multiportadora de acceso múltiple por división de código de las IMT-2000</w:t>
      </w:r>
    </w:p>
    <w:p w:rsidR="008F0698" w:rsidRPr="006F681F" w:rsidRDefault="008F0698" w:rsidP="008F0698">
      <w:r w:rsidRPr="008B0B24">
        <w:rPr>
          <w:lang w:val="es-ES_tradnl"/>
        </w:rPr>
        <w:t xml:space="preserve">Las especificaciones de la interfaz radioeléctrica de la multiportadora de acceso múltiple por división de código (CDMA) de las IMT-2000 (IMT-2000 CDMA-MC) se desarrollan en el marco del 3GPP2 (Proyecto de asociación de la tercera generación </w:t>
      </w:r>
      <w:r w:rsidR="0046220F" w:rsidRPr="008B0B24">
        <w:rPr>
          <w:lang w:val="es-ES_tradnl"/>
        </w:rPr>
        <w:t>N</w:t>
      </w:r>
      <w:r w:rsidR="0046220F">
        <w:rPr>
          <w:lang w:val="es-ES_tradnl"/>
        </w:rPr>
        <w:t>.° </w:t>
      </w:r>
      <w:r w:rsidRPr="008B0B24">
        <w:rPr>
          <w:lang w:val="es-ES_tradnl"/>
        </w:rPr>
        <w:t>2). Se puede consultar una descripción completa de las mismas en el Anexo</w:t>
      </w:r>
      <w:r w:rsidR="008B5342">
        <w:rPr>
          <w:lang w:val="es-ES_tradnl"/>
        </w:rPr>
        <w:t> </w:t>
      </w:r>
      <w:r w:rsidRPr="008B0B24">
        <w:rPr>
          <w:lang w:val="es-ES_tradnl"/>
        </w:rPr>
        <w:t xml:space="preserve">2 a la </w:t>
      </w:r>
      <w:r w:rsidRPr="006F681F">
        <w:t>Recomendación UIT</w:t>
      </w:r>
      <w:r w:rsidRPr="006F681F">
        <w:noBreakHyphen/>
        <w:t>R M.1801</w:t>
      </w:r>
      <w:r w:rsidRPr="008B0B24">
        <w:rPr>
          <w:lang w:val="es-ES_tradnl"/>
        </w:rPr>
        <w:t xml:space="preserve">. Para más información, véase también el § 5.2 de la </w:t>
      </w:r>
      <w:r w:rsidRPr="006F681F">
        <w:t>Recomendación UIT-R M.1457.</w:t>
      </w:r>
    </w:p>
    <w:p w:rsidR="008F0698" w:rsidRPr="008B0B24" w:rsidRDefault="008F0698" w:rsidP="008F0698">
      <w:pPr>
        <w:pStyle w:val="Heading1"/>
        <w:rPr>
          <w:lang w:val="es-ES_tradnl"/>
        </w:rPr>
      </w:pPr>
      <w:r w:rsidRPr="008B0B24">
        <w:rPr>
          <w:lang w:val="es-ES_tradnl"/>
        </w:rPr>
        <w:t>2</w:t>
      </w:r>
      <w:r w:rsidRPr="008B0B24">
        <w:rPr>
          <w:lang w:val="es-ES_tradnl"/>
        </w:rPr>
        <w:tab/>
        <w:t>Ensanchamiento directo CDMA de las IMT-2000</w:t>
      </w:r>
    </w:p>
    <w:p w:rsidR="008F0698" w:rsidRPr="008B0B24" w:rsidRDefault="008F0698" w:rsidP="008F0698">
      <w:pPr>
        <w:rPr>
          <w:lang w:val="es-ES_tradnl"/>
        </w:rPr>
      </w:pPr>
      <w:r w:rsidRPr="008B0B24">
        <w:rPr>
          <w:lang w:val="es-ES_tradnl"/>
        </w:rPr>
        <w:t>Las especificaciones de la norma de interfaz radioeléctrica del ensanchamiento directo de acceso múltiple por división de código (CDMA) de las IMT-2000 (IMT-2000 CDMA-DS), en particular el dúplex por división de frecuencia de acceso radioeléctrico terrenal universal (UTRA FDD), se desarrollan en el marco del 3GPP (Proyecto de asociación de la tercera generación). Esta norma de interfaz radioeléctrica también incluye los elementos FDD del acceso radioeléctrico terrenal universal evolucionado (E-UTRA) denominada evolución a largo plazo (LTE). Se puede consultar una descripción completa de las mismas en el Anexo</w:t>
      </w:r>
      <w:r w:rsidR="008B5342">
        <w:rPr>
          <w:lang w:val="es-ES_tradnl"/>
        </w:rPr>
        <w:t> </w:t>
      </w:r>
      <w:r w:rsidRPr="008B0B24">
        <w:rPr>
          <w:lang w:val="es-ES_tradnl"/>
        </w:rPr>
        <w:t xml:space="preserve">2 a la </w:t>
      </w:r>
      <w:r w:rsidRPr="006F681F">
        <w:t xml:space="preserve">Recomendación UIT-R M.1801. Para </w:t>
      </w:r>
      <w:r w:rsidRPr="008B0B24">
        <w:rPr>
          <w:lang w:val="es-ES_tradnl"/>
        </w:rPr>
        <w:t xml:space="preserve">más información, véase también el § 5.1 de la </w:t>
      </w:r>
      <w:r w:rsidRPr="006F681F">
        <w:t>Recomendación UIT-R M.1457</w:t>
      </w:r>
      <w:r w:rsidRPr="008B0B24">
        <w:rPr>
          <w:lang w:val="es-ES_tradnl"/>
        </w:rPr>
        <w:t xml:space="preserve">. </w:t>
      </w:r>
    </w:p>
    <w:p w:rsidR="008F0698" w:rsidRPr="008B0B24" w:rsidRDefault="008F0698" w:rsidP="008F0698">
      <w:pPr>
        <w:pStyle w:val="Heading1"/>
        <w:rPr>
          <w:lang w:val="es-ES_tradnl"/>
        </w:rPr>
      </w:pPr>
      <w:r w:rsidRPr="008B0B24">
        <w:rPr>
          <w:lang w:val="es-ES_tradnl"/>
        </w:rPr>
        <w:t>3</w:t>
      </w:r>
      <w:r w:rsidRPr="008B0B24">
        <w:rPr>
          <w:lang w:val="es-ES_tradnl"/>
        </w:rPr>
        <w:tab/>
        <w:t>Red de área metropolitana inalámbrica dúplex por división en el tiempo de acceso múltiple por división de frecuencia ortogonal de las IMT-2000</w:t>
      </w:r>
    </w:p>
    <w:p w:rsidR="008F0698" w:rsidRPr="006F681F" w:rsidRDefault="008F0698" w:rsidP="008F0698">
      <w:pPr>
        <w:rPr>
          <w:rFonts w:eastAsia="SimSun"/>
        </w:rPr>
      </w:pPr>
      <w:r w:rsidRPr="008B0B24">
        <w:rPr>
          <w:lang w:val="es-ES_tradnl"/>
        </w:rPr>
        <w:t>La norma de interfaz radioeléctrica de la red de área metropolitana inalámbrica dúplex por división en el tiempo de acceso múltiple por división de frecuencia ortogonal de las IMT-2000 (IMT-2000 OFDMA TDD WMAN) se desarrolla en el marco del Instituto de Ingenieros Eléctricos y Electrónicos (IEEE). Se puede consultar una descripción completa de la misma en el Anexo</w:t>
      </w:r>
      <w:r w:rsidR="008B5342">
        <w:rPr>
          <w:lang w:val="es-ES_tradnl"/>
        </w:rPr>
        <w:t> </w:t>
      </w:r>
      <w:r w:rsidRPr="008B0B24">
        <w:rPr>
          <w:lang w:val="es-ES_tradnl"/>
        </w:rPr>
        <w:t xml:space="preserve">2 a la </w:t>
      </w:r>
      <w:r w:rsidRPr="006F681F">
        <w:t>Recomendación UIT-R M.1801. Para más información, véase también el §</w:t>
      </w:r>
      <w:r w:rsidR="0046220F" w:rsidRPr="006F681F">
        <w:t> </w:t>
      </w:r>
      <w:r w:rsidRPr="006F681F">
        <w:t>5.6 de la Recomendación UIT-R M.1457.</w:t>
      </w:r>
    </w:p>
    <w:p w:rsidR="008F0698" w:rsidRPr="008B0B24" w:rsidRDefault="008F0698" w:rsidP="008F0698">
      <w:pPr>
        <w:pStyle w:val="Heading1"/>
        <w:rPr>
          <w:lang w:val="es-ES_tradnl"/>
        </w:rPr>
      </w:pPr>
      <w:r w:rsidRPr="008B0B24">
        <w:rPr>
          <w:lang w:val="es-ES_tradnl"/>
        </w:rPr>
        <w:t>4</w:t>
      </w:r>
      <w:r w:rsidRPr="008B0B24">
        <w:rPr>
          <w:lang w:val="es-ES_tradnl"/>
        </w:rPr>
        <w:tab/>
      </w:r>
      <w:r w:rsidRPr="008B0B24">
        <w:rPr>
          <w:szCs w:val="22"/>
          <w:lang w:val="es-ES_tradnl"/>
        </w:rPr>
        <w:t>Portadora única de acceso múltiple por división de tiempo de las IMT-2000</w:t>
      </w:r>
    </w:p>
    <w:p w:rsidR="008F0698" w:rsidRPr="006F681F" w:rsidRDefault="008F0698" w:rsidP="008F0698">
      <w:r w:rsidRPr="008B0B24">
        <w:rPr>
          <w:lang w:val="es-ES_tradnl"/>
        </w:rPr>
        <w:t xml:space="preserve">La norma de interfaz radioeléctrica de la portadora única de acceso múltiple por división de tiempo de las </w:t>
      </w:r>
      <w:r w:rsidRPr="008B0B24">
        <w:rPr>
          <w:rFonts w:eastAsia="Batang"/>
          <w:lang w:val="es-ES_tradnl"/>
        </w:rPr>
        <w:t xml:space="preserve">IMT-2000 </w:t>
      </w:r>
      <w:r w:rsidRPr="008B0B24">
        <w:rPr>
          <w:lang w:val="es-ES_tradnl"/>
        </w:rPr>
        <w:t>(IMT-2000 TDMA-SC) se desarrolla en el marco de la Alianza para Soluciones en la Industria de las Telecomunicaciones</w:t>
      </w:r>
      <w:r w:rsidRPr="008B0B24">
        <w:rPr>
          <w:rFonts w:eastAsia="Batang"/>
          <w:lang w:val="es-ES_tradnl"/>
        </w:rPr>
        <w:t xml:space="preserve"> (ATIS), mediante la utilización de especificaciones </w:t>
      </w:r>
      <w:r w:rsidRPr="008B0B24">
        <w:rPr>
          <w:lang w:val="es-ES_tradnl"/>
        </w:rPr>
        <w:t>3GPP. Se puede consultar una descripción completa de la misma en el Anexo</w:t>
      </w:r>
      <w:r w:rsidR="0046220F">
        <w:rPr>
          <w:lang w:val="es-ES_tradnl"/>
        </w:rPr>
        <w:t> </w:t>
      </w:r>
      <w:r w:rsidRPr="008B0B24">
        <w:rPr>
          <w:lang w:val="es-ES_tradnl"/>
        </w:rPr>
        <w:t xml:space="preserve">2 a la </w:t>
      </w:r>
      <w:r w:rsidRPr="006F681F">
        <w:t>Recomendación UIT</w:t>
      </w:r>
      <w:r w:rsidR="0046220F" w:rsidRPr="006F681F">
        <w:noBreakHyphen/>
      </w:r>
      <w:r w:rsidRPr="006F681F">
        <w:t>R M.1801. Para más información, véase también el §</w:t>
      </w:r>
      <w:r w:rsidR="008B5342" w:rsidRPr="006F681F">
        <w:t> </w:t>
      </w:r>
      <w:r w:rsidRPr="006F681F">
        <w:t>5.4 de la Recomendación UIT-R M.1457</w:t>
      </w:r>
      <w:r w:rsidR="00C76FC0" w:rsidRPr="006F681F">
        <w:t>.</w:t>
      </w:r>
    </w:p>
    <w:p w:rsidR="008F0698" w:rsidRPr="008B0B24" w:rsidRDefault="008F0698" w:rsidP="008F0698">
      <w:pPr>
        <w:pStyle w:val="Heading1"/>
        <w:rPr>
          <w:rFonts w:eastAsia="SimSun"/>
          <w:lang w:val="es-ES_tradnl" w:eastAsia="zh-CN"/>
        </w:rPr>
      </w:pPr>
      <w:r w:rsidRPr="008B0B24">
        <w:rPr>
          <w:rFonts w:eastAsia="SimSun"/>
          <w:lang w:val="es-ES_tradnl" w:eastAsia="zh-CN"/>
        </w:rPr>
        <w:lastRenderedPageBreak/>
        <w:t>5</w:t>
      </w:r>
      <w:r w:rsidRPr="008B0B24">
        <w:rPr>
          <w:rFonts w:eastAsia="SimSun"/>
          <w:lang w:val="es-ES_tradnl" w:eastAsia="zh-CN"/>
        </w:rPr>
        <w:tab/>
      </w:r>
      <w:r w:rsidRPr="008B0B24">
        <w:rPr>
          <w:lang w:val="es-ES_tradnl"/>
        </w:rPr>
        <w:t>Dúplex por división en el tiempo</w:t>
      </w:r>
      <w:r w:rsidRPr="008B0B24">
        <w:rPr>
          <w:rFonts w:eastAsia="SimSun"/>
          <w:szCs w:val="22"/>
          <w:lang w:val="es-ES_tradnl" w:eastAsia="zh-CN"/>
        </w:rPr>
        <w:t xml:space="preserve"> CDMA de las</w:t>
      </w:r>
      <w:r w:rsidRPr="008B0B24">
        <w:rPr>
          <w:lang w:val="es-ES_tradnl"/>
        </w:rPr>
        <w:t xml:space="preserve"> </w:t>
      </w:r>
      <w:r w:rsidRPr="008B0B24">
        <w:rPr>
          <w:rFonts w:eastAsia="SimSun"/>
          <w:szCs w:val="22"/>
          <w:lang w:val="es-ES_tradnl" w:eastAsia="zh-CN"/>
        </w:rPr>
        <w:t>IMT-2000</w:t>
      </w:r>
    </w:p>
    <w:p w:rsidR="008F0698" w:rsidRPr="006F681F" w:rsidRDefault="008F0698" w:rsidP="008F0698">
      <w:r w:rsidRPr="008B0B24">
        <w:rPr>
          <w:lang w:val="es-ES_tradnl"/>
        </w:rPr>
        <w:t>Las especificaciones para la norma de interfaz radioeléctrica del dúplex por división en el tiempo CDMA de las IMT-2000, en particular UTRA TDD, se desarrollan en el marco del 3GPP. Esta interfaz radioeléctrica se denomina dúplex por división en el tiempo (TDD) del acceso radioeléctrico terrenal universal (UTRA), en la que se distinguen tres opciones, a saber, el TDD de 1,28</w:t>
      </w:r>
      <w:r w:rsidR="0046220F">
        <w:rPr>
          <w:lang w:val="es-ES_tradnl"/>
        </w:rPr>
        <w:t> </w:t>
      </w:r>
      <w:r w:rsidRPr="008B0B24">
        <w:rPr>
          <w:lang w:val="es-ES_tradnl"/>
        </w:rPr>
        <w:t>Mchip/s, de 3,84</w:t>
      </w:r>
      <w:r w:rsidR="0046220F">
        <w:rPr>
          <w:lang w:val="es-ES_tradnl"/>
        </w:rPr>
        <w:t> </w:t>
      </w:r>
      <w:r w:rsidRPr="008B0B24">
        <w:rPr>
          <w:lang w:val="es-ES_tradnl"/>
        </w:rPr>
        <w:t>Mchip/s y de 7,68</w:t>
      </w:r>
      <w:r w:rsidR="0046220F">
        <w:rPr>
          <w:lang w:val="es-ES_tradnl"/>
        </w:rPr>
        <w:t> </w:t>
      </w:r>
      <w:r w:rsidRPr="008B0B24">
        <w:rPr>
          <w:lang w:val="es-ES_tradnl"/>
        </w:rPr>
        <w:t>Mchip/s</w:t>
      </w:r>
      <w:r w:rsidRPr="008B0B24">
        <w:rPr>
          <w:lang w:val="es-ES_tradnl" w:eastAsia="zh-CN"/>
        </w:rPr>
        <w:t>.</w:t>
      </w:r>
      <w:r w:rsidRPr="008B0B24">
        <w:rPr>
          <w:rFonts w:eastAsia="SimSun"/>
          <w:lang w:val="es-ES_tradnl" w:eastAsia="zh-CN"/>
        </w:rPr>
        <w:t xml:space="preserve"> Esta norma de interfaz radioeléctrica también incluye los elementos </w:t>
      </w:r>
      <w:r w:rsidRPr="008B0B24">
        <w:rPr>
          <w:lang w:val="es-ES_tradnl"/>
        </w:rPr>
        <w:t>TDD del E-UTRA denominado evolución a largo plazo (LTE). Se puede consultar una descripción completa de las mismas en el Anexo</w:t>
      </w:r>
      <w:r w:rsidR="00FD24DC">
        <w:rPr>
          <w:lang w:val="es-ES_tradnl"/>
        </w:rPr>
        <w:t> </w:t>
      </w:r>
      <w:r w:rsidRPr="008B0B24">
        <w:rPr>
          <w:lang w:val="es-ES_tradnl"/>
        </w:rPr>
        <w:t>2</w:t>
      </w:r>
      <w:r w:rsidR="00FD24DC">
        <w:rPr>
          <w:lang w:val="es-ES_tradnl"/>
        </w:rPr>
        <w:t xml:space="preserve"> </w:t>
      </w:r>
      <w:r w:rsidRPr="008B0B24">
        <w:rPr>
          <w:lang w:val="es-ES_tradnl"/>
        </w:rPr>
        <w:t xml:space="preserve">a la </w:t>
      </w:r>
      <w:r w:rsidRPr="006F681F">
        <w:t>Recomendación UIT</w:t>
      </w:r>
      <w:r w:rsidR="0046220F" w:rsidRPr="006F681F">
        <w:noBreakHyphen/>
      </w:r>
      <w:r w:rsidRPr="006F681F">
        <w:t>R</w:t>
      </w:r>
      <w:r w:rsidR="0046220F" w:rsidRPr="006F681F">
        <w:t> </w:t>
      </w:r>
      <w:r w:rsidRPr="006F681F">
        <w:t>M.1801. Para más información, véase también el §</w:t>
      </w:r>
      <w:r w:rsidR="008B5342" w:rsidRPr="006F681F">
        <w:t> </w:t>
      </w:r>
      <w:r w:rsidRPr="006F681F">
        <w:t>5.</w:t>
      </w:r>
      <w:r w:rsidRPr="006F681F">
        <w:rPr>
          <w:rFonts w:eastAsia="SimSun"/>
        </w:rPr>
        <w:t>3</w:t>
      </w:r>
      <w:r w:rsidRPr="006F681F">
        <w:t xml:space="preserve"> de la Recomendación UIT</w:t>
      </w:r>
      <w:r w:rsidRPr="006F681F">
        <w:rPr>
          <w:rFonts w:eastAsia="SimSun"/>
        </w:rPr>
        <w:t>-</w:t>
      </w:r>
      <w:r w:rsidRPr="006F681F">
        <w:t>R M.1457.</w:t>
      </w:r>
    </w:p>
    <w:p w:rsidR="008F0698" w:rsidRPr="008B0B24" w:rsidRDefault="008F0698" w:rsidP="008F0698">
      <w:pPr>
        <w:pStyle w:val="Heading1"/>
        <w:rPr>
          <w:rFonts w:eastAsia="SimSun"/>
          <w:lang w:val="es-ES_tradnl" w:eastAsia="zh-CN"/>
        </w:rPr>
      </w:pPr>
      <w:r w:rsidRPr="008B0B24">
        <w:rPr>
          <w:rFonts w:eastAsia="SimSun"/>
          <w:lang w:val="es-ES_tradnl" w:eastAsia="zh-CN"/>
        </w:rPr>
        <w:t>6</w:t>
      </w:r>
      <w:r w:rsidRPr="008B0B24">
        <w:rPr>
          <w:rFonts w:eastAsia="SimSun"/>
          <w:lang w:val="es-ES_tradnl" w:eastAsia="zh-CN"/>
        </w:rPr>
        <w:tab/>
        <w:t>LTE-Avanzadas</w:t>
      </w:r>
    </w:p>
    <w:p w:rsidR="008F0698" w:rsidRPr="008B0B24" w:rsidRDefault="008F0698" w:rsidP="008F0698">
      <w:pPr>
        <w:rPr>
          <w:rFonts w:eastAsia="SimSun"/>
          <w:b/>
          <w:lang w:val="es-ES_tradnl" w:eastAsia="zh-CN"/>
        </w:rPr>
      </w:pPr>
      <w:r w:rsidRPr="008B0B24">
        <w:rPr>
          <w:lang w:val="es-ES_tradnl" w:eastAsia="zh-CN"/>
        </w:rPr>
        <w:t>«</w:t>
      </w:r>
      <w:r w:rsidRPr="008B0B24">
        <w:rPr>
          <w:rFonts w:eastAsia="SimSun"/>
          <w:lang w:val="es-ES_tradnl" w:eastAsia="zh-CN"/>
        </w:rPr>
        <w:t>Las especificaciones de la interfaz radioeléctrica terrenal de las IMT-Avanzadas conocida como LTE Avanzada basada en la LTE Versión</w:t>
      </w:r>
      <w:r w:rsidR="008B5342">
        <w:rPr>
          <w:rFonts w:eastAsia="SimSun"/>
          <w:lang w:val="es-ES_tradnl" w:eastAsia="zh-CN"/>
        </w:rPr>
        <w:t> </w:t>
      </w:r>
      <w:r w:rsidRPr="008B0B24">
        <w:rPr>
          <w:rFonts w:eastAsia="SimSun"/>
          <w:lang w:val="es-ES_tradnl" w:eastAsia="zh-CN"/>
        </w:rPr>
        <w:t>10 y sistemas posteriores, se elaboran en el 3GPP. De conformidad con la terminología del 3GPP, el término E-UTRA (UTRA) evolucionado también se utiliza para indicar la interfaz radioeléctrica de la LTE.</w:t>
      </w:r>
    </w:p>
    <w:p w:rsidR="008F0698" w:rsidRPr="008B0B24" w:rsidRDefault="008F0698" w:rsidP="008F0698">
      <w:pPr>
        <w:rPr>
          <w:rFonts w:eastAsia="SimSun"/>
          <w:lang w:val="es-ES_tradnl"/>
        </w:rPr>
      </w:pPr>
      <w:r w:rsidRPr="008B0B24">
        <w:rPr>
          <w:rFonts w:eastAsia="SimSun"/>
          <w:lang w:val="es-ES_tradnl" w:eastAsia="zh-CN"/>
        </w:rPr>
        <w:t>La LTE-Avanzada es un conjunto de RIT (tecnologías de la interfaz radioeléctrica) que consta de una RIT FDD y una RIT TDD diseñadas para funcionar en un espectro de frecuencias apareadas y no apareadas, respectivamente. Las RIT TDD se denominan asimismo TD-LTE versión 10 y sistemas posteriores o TD-LTE-Avanzada. Las dos RIT han sido desarrolladas conjuntamente, por lo que poseen un alto grado de uniformidad, sin perjuicio de la optimización de cada RIT con respecto a su esquema específico de espectro/dúplex.</w:t>
      </w:r>
      <w:r w:rsidRPr="008B0B24">
        <w:rPr>
          <w:lang w:val="es-ES_tradnl" w:eastAsia="zh-CN"/>
        </w:rPr>
        <w:t>»</w:t>
      </w:r>
      <w:r w:rsidRPr="008B0B24">
        <w:rPr>
          <w:rStyle w:val="FootnoteReference"/>
          <w:rFonts w:eastAsia="SimSun"/>
          <w:lang w:val="es-ES_tradnl"/>
        </w:rPr>
        <w:footnoteReference w:id="1"/>
      </w:r>
    </w:p>
    <w:p w:rsidR="008F0698" w:rsidRPr="006F681F" w:rsidRDefault="008F0698" w:rsidP="008F0698">
      <w:r w:rsidRPr="008B0B24">
        <w:rPr>
          <w:lang w:val="es-ES_tradnl"/>
        </w:rPr>
        <w:t>Se puede consultar una descripción completa de las mismas en el Anexo</w:t>
      </w:r>
      <w:r w:rsidR="00A563A7">
        <w:rPr>
          <w:lang w:val="es-ES_tradnl"/>
        </w:rPr>
        <w:t> </w:t>
      </w:r>
      <w:r w:rsidRPr="008B0B24">
        <w:rPr>
          <w:lang w:val="es-ES_tradnl"/>
        </w:rPr>
        <w:t xml:space="preserve">3 a la </w:t>
      </w:r>
      <w:r w:rsidRPr="006F681F">
        <w:rPr>
          <w:lang w:val="es-ES_tradnl"/>
        </w:rPr>
        <w:t>Recomendación UIT</w:t>
      </w:r>
      <w:r w:rsidRPr="006F681F">
        <w:rPr>
          <w:lang w:val="es-ES_tradnl"/>
        </w:rPr>
        <w:noBreakHyphen/>
        <w:t>R M.1801</w:t>
      </w:r>
      <w:r w:rsidRPr="006F681F">
        <w:t>.</w:t>
      </w:r>
    </w:p>
    <w:p w:rsidR="008F0698" w:rsidRPr="008B0B24" w:rsidRDefault="008F0698" w:rsidP="008F0698">
      <w:pPr>
        <w:rPr>
          <w:lang w:val="es-ES_tradnl"/>
        </w:rPr>
      </w:pPr>
      <w:r w:rsidRPr="008B0B24">
        <w:rPr>
          <w:lang w:val="es-ES_tradnl"/>
        </w:rPr>
        <w:t>Para más información, véase el Anexo 1 a la Recomendación UIT-R M.2012.</w:t>
      </w:r>
    </w:p>
    <w:p w:rsidR="008F0698" w:rsidRPr="008B0B24" w:rsidRDefault="008F0698" w:rsidP="008F0698">
      <w:pPr>
        <w:pStyle w:val="Heading1"/>
        <w:rPr>
          <w:lang w:val="es-ES_tradnl"/>
        </w:rPr>
      </w:pPr>
      <w:r w:rsidRPr="008B0B24">
        <w:rPr>
          <w:lang w:val="es-ES_tradnl"/>
        </w:rPr>
        <w:t>7</w:t>
      </w:r>
      <w:r w:rsidRPr="008B0B24">
        <w:rPr>
          <w:rFonts w:eastAsia="SimSun"/>
          <w:lang w:val="es-ES_tradnl"/>
        </w:rPr>
        <w:tab/>
      </w:r>
      <w:r w:rsidRPr="008B0B24">
        <w:rPr>
          <w:lang w:val="es-ES_tradnl"/>
        </w:rPr>
        <w:t>Acceso múltiple por división de código síncrono</w:t>
      </w:r>
    </w:p>
    <w:p w:rsidR="008F0698" w:rsidRPr="008B0B24" w:rsidRDefault="008F0698" w:rsidP="008F0698">
      <w:pPr>
        <w:rPr>
          <w:lang w:val="es-ES_tradnl"/>
        </w:rPr>
      </w:pPr>
      <w:r w:rsidRPr="008B0B24">
        <w:rPr>
          <w:lang w:val="es-ES_tradnl"/>
        </w:rPr>
        <w:t>La norma de interfaz radioeléctrica del acceso múltiple por división de código síncrono (SCDMA) se desarrolla en el marco de la Asociación de Normalización de las Comunicaciones de China (CCSA). La interfaz radioeléctrica admite una anchura de banda del canal en múltiplos de 1</w:t>
      </w:r>
      <w:r w:rsidR="0046220F">
        <w:rPr>
          <w:lang w:val="es-ES_tradnl"/>
        </w:rPr>
        <w:t> </w:t>
      </w:r>
      <w:r w:rsidRPr="008B0B24">
        <w:rPr>
          <w:lang w:val="es-ES_tradnl"/>
        </w:rPr>
        <w:t>MHz hasta 5 MHz. La subcanalización y el ensanchamiento de espectro por código, especialmente dentro de cada anchura de banda de 1</w:t>
      </w:r>
      <w:r w:rsidR="0046220F">
        <w:rPr>
          <w:lang w:val="es-ES_tradnl"/>
        </w:rPr>
        <w:t> </w:t>
      </w:r>
      <w:r w:rsidRPr="008B0B24">
        <w:rPr>
          <w:lang w:val="es-ES_tradnl"/>
        </w:rPr>
        <w:t>MHz, proporciona diversidad en frecuencia y capacidad de observación de la interferencia para la asignación de recursos radioeléctricos con una granularidad de anchura de banda de 8 kbit/s. La canalización también permite la asignación dinámica de canales de forma coordinada entre celdas para evitar la interferencia mutua de forma eficiente.</w:t>
      </w:r>
    </w:p>
    <w:p w:rsidR="008F0698" w:rsidRPr="006F681F" w:rsidRDefault="008F0698" w:rsidP="008F0698">
      <w:r w:rsidRPr="008B0B24">
        <w:rPr>
          <w:lang w:val="es-ES_tradnl"/>
        </w:rPr>
        <w:t xml:space="preserve">El sistema utiliza TDD para separar la transmisión ascendente y descendente. Para más información, véase el Anexo 7 a la </w:t>
      </w:r>
      <w:r w:rsidRPr="006F681F">
        <w:t>Recomendación UIT-R M.1801.</w:t>
      </w:r>
    </w:p>
    <w:p w:rsidR="008F0698" w:rsidRPr="008B0B24" w:rsidRDefault="008F0698" w:rsidP="008F0698">
      <w:pPr>
        <w:pStyle w:val="Heading1"/>
        <w:rPr>
          <w:lang w:val="es-ES_tradnl" w:eastAsia="zh-CN"/>
        </w:rPr>
      </w:pPr>
      <w:r w:rsidRPr="008B0B24">
        <w:rPr>
          <w:lang w:val="es-ES_tradnl" w:eastAsia="zh-CN"/>
        </w:rPr>
        <w:lastRenderedPageBreak/>
        <w:t>8</w:t>
      </w:r>
      <w:r w:rsidRPr="008B0B24">
        <w:rPr>
          <w:rFonts w:eastAsia="SimSun"/>
          <w:lang w:val="es-ES_tradnl"/>
        </w:rPr>
        <w:tab/>
      </w:r>
      <w:r w:rsidRPr="008B0B24">
        <w:rPr>
          <w:lang w:val="es-ES_tradnl"/>
        </w:rPr>
        <w:t>Comunicación por concentración de enlaces de banda ancha</w:t>
      </w:r>
    </w:p>
    <w:p w:rsidR="008F0698" w:rsidRPr="008B0B24" w:rsidRDefault="008F0698" w:rsidP="00A563A7">
      <w:pPr>
        <w:keepNext/>
        <w:keepLines/>
        <w:rPr>
          <w:lang w:val="es-ES_tradnl" w:eastAsia="zh-CN"/>
        </w:rPr>
      </w:pPr>
      <w:r w:rsidRPr="008B0B24">
        <w:rPr>
          <w:lang w:val="es-ES_tradnl" w:eastAsia="en-GB"/>
        </w:rPr>
        <w:t>La norma de interfaz radioeléctrica de la c</w:t>
      </w:r>
      <w:r w:rsidRPr="008B0B24">
        <w:rPr>
          <w:lang w:val="es-ES_tradnl"/>
        </w:rPr>
        <w:t>omunicación por concentración de enlaces de banda ancha</w:t>
      </w:r>
      <w:r w:rsidRPr="008B0B24">
        <w:rPr>
          <w:lang w:val="es-ES_tradnl" w:eastAsia="en-GB"/>
        </w:rPr>
        <w:t xml:space="preserve"> (B-TrunC) se desarrolla en el marco de la </w:t>
      </w:r>
      <w:r w:rsidRPr="008B0B24">
        <w:rPr>
          <w:lang w:val="es-ES_tradnl" w:eastAsia="zh-CN"/>
        </w:rPr>
        <w:t xml:space="preserve">CCSA y la publica el Ministerio de Industria y Tecnologías de la Información de la República Popular de China. </w:t>
      </w:r>
      <w:r w:rsidRPr="008B0B24">
        <w:rPr>
          <w:lang w:val="es-ES_tradnl" w:eastAsia="en-GB"/>
        </w:rPr>
        <w:t>B-TrunC soporta anchuras de banda escalables, entre 20</w:t>
      </w:r>
      <w:r w:rsidR="00A563A7">
        <w:rPr>
          <w:lang w:val="es-ES_tradnl" w:eastAsia="en-GB"/>
        </w:rPr>
        <w:t> </w:t>
      </w:r>
      <w:r w:rsidRPr="008B0B24">
        <w:rPr>
          <w:lang w:val="es-ES_tradnl" w:eastAsia="en-GB"/>
        </w:rPr>
        <w:t>MHz y 1,4</w:t>
      </w:r>
      <w:r w:rsidR="00A563A7">
        <w:rPr>
          <w:lang w:val="es-ES_tradnl" w:eastAsia="en-GB"/>
        </w:rPr>
        <w:t> </w:t>
      </w:r>
      <w:r w:rsidRPr="008B0B24">
        <w:rPr>
          <w:lang w:val="es-ES_tradnl" w:eastAsia="en-GB"/>
        </w:rPr>
        <w:t>MHz. Además, B-TrunC es capaz de soportar llamadas de uno a varios, videollamadas de uno a varios y otras aplicaciones de PPDR introduciendo nuevos mecanismos de transmisión de uno a varios en la interfaz radioeléctrica</w:t>
      </w:r>
      <w:r w:rsidRPr="008B0B24">
        <w:rPr>
          <w:lang w:val="es-ES_tradnl" w:eastAsia="zh-CN"/>
        </w:rPr>
        <w:t xml:space="preserve">. Para más información, véase también </w:t>
      </w:r>
      <w:r w:rsidRPr="003E7077">
        <w:rPr>
          <w:lang w:val="es-ES_tradnl" w:eastAsia="en-GB"/>
        </w:rPr>
        <w:t>YD/T 2741-2014</w:t>
      </w:r>
      <w:r w:rsidRPr="008B0B24">
        <w:rPr>
          <w:lang w:val="es-ES_tradnl" w:eastAsia="zh-CN"/>
        </w:rPr>
        <w:t>.</w:t>
      </w:r>
    </w:p>
    <w:p w:rsidR="008F0698" w:rsidRDefault="008F0698" w:rsidP="008F0698">
      <w:pPr>
        <w:rPr>
          <w:lang w:val="es-ES_tradnl" w:eastAsia="zh-CN"/>
        </w:rPr>
      </w:pPr>
    </w:p>
    <w:p w:rsidR="007F6848" w:rsidRDefault="007F6848" w:rsidP="008F0698">
      <w:pPr>
        <w:rPr>
          <w:lang w:val="es-ES_tradnl" w:eastAsia="zh-CN"/>
        </w:rPr>
      </w:pPr>
    </w:p>
    <w:p w:rsidR="007F6848" w:rsidRDefault="007F6848" w:rsidP="008F0698">
      <w:pPr>
        <w:rPr>
          <w:lang w:val="es-ES_tradnl" w:eastAsia="zh-CN"/>
        </w:rPr>
      </w:pPr>
    </w:p>
    <w:p w:rsidR="007F6848" w:rsidRDefault="007F6848" w:rsidP="008F0698">
      <w:pPr>
        <w:rPr>
          <w:lang w:val="es-ES_tradnl" w:eastAsia="zh-CN"/>
        </w:rPr>
      </w:pPr>
    </w:p>
    <w:p w:rsidR="007F6848" w:rsidRDefault="007F6848" w:rsidP="008F0698">
      <w:pPr>
        <w:rPr>
          <w:lang w:val="es-ES_tradnl" w:eastAsia="zh-CN"/>
        </w:rPr>
      </w:pPr>
    </w:p>
    <w:p w:rsidR="007F6848" w:rsidRDefault="007F6848" w:rsidP="008F0698">
      <w:pPr>
        <w:rPr>
          <w:lang w:val="es-ES_tradnl" w:eastAsia="zh-CN"/>
        </w:rPr>
      </w:pPr>
    </w:p>
    <w:p w:rsidR="007F6848" w:rsidRPr="008B0B24" w:rsidRDefault="007F6848" w:rsidP="008F0698">
      <w:pPr>
        <w:rPr>
          <w:lang w:val="es-ES_tradnl" w:eastAsia="zh-CN"/>
        </w:rPr>
      </w:pPr>
    </w:p>
    <w:p w:rsidR="008F0698" w:rsidRPr="008B0B24" w:rsidRDefault="008F0698" w:rsidP="008F0698">
      <w:pPr>
        <w:rPr>
          <w:lang w:val="es-ES_tradnl"/>
        </w:rPr>
      </w:pPr>
    </w:p>
    <w:p w:rsidR="008F0698" w:rsidRPr="008B0B24" w:rsidRDefault="008F0698" w:rsidP="008F0698">
      <w:pPr>
        <w:pStyle w:val="AnnexNoTitle"/>
        <w:rPr>
          <w:lang w:val="es-ES_tradnl"/>
        </w:rPr>
      </w:pPr>
      <w:r w:rsidRPr="008B0B24">
        <w:rPr>
          <w:lang w:val="es-ES_tradnl"/>
        </w:rPr>
        <w:t>Anexo 2</w:t>
      </w:r>
      <w:r w:rsidRPr="008B0B24">
        <w:rPr>
          <w:lang w:val="es-ES_tradnl"/>
        </w:rPr>
        <w:br/>
      </w:r>
      <w:r w:rsidRPr="008B0B24">
        <w:rPr>
          <w:lang w:val="es-ES_tradnl"/>
        </w:rPr>
        <w:br/>
        <w:t>Normas de interfaz radioeléctrica de band</w:t>
      </w:r>
      <w:r w:rsidR="00A04A2F">
        <w:rPr>
          <w:lang w:val="es-ES_tradnl"/>
        </w:rPr>
        <w:t>a estrecha para las actividades</w:t>
      </w:r>
      <w:r w:rsidRPr="008B0B24">
        <w:rPr>
          <w:lang w:val="es-ES_tradnl"/>
        </w:rPr>
        <w:br/>
        <w:t>de protección pública y socorro en ca</w:t>
      </w:r>
      <w:r w:rsidR="00A04A2F">
        <w:rPr>
          <w:lang w:val="es-ES_tradnl"/>
        </w:rPr>
        <w:t>so de catástrofe de conformidad</w:t>
      </w:r>
      <w:r w:rsidRPr="008B0B24">
        <w:rPr>
          <w:lang w:val="es-ES_tradnl"/>
        </w:rPr>
        <w:br/>
        <w:t>con la</w:t>
      </w:r>
      <w:r w:rsidR="00A04A2F">
        <w:rPr>
          <w:lang w:val="es-ES_tradnl"/>
        </w:rPr>
        <w:t xml:space="preserve"> </w:t>
      </w:r>
      <w:r w:rsidRPr="008B0B24">
        <w:rPr>
          <w:lang w:val="es-ES_tradnl"/>
        </w:rPr>
        <w:t>Resolu</w:t>
      </w:r>
      <w:bookmarkStart w:id="5" w:name="_GoBack"/>
      <w:bookmarkEnd w:id="5"/>
      <w:r w:rsidRPr="008B0B24">
        <w:rPr>
          <w:lang w:val="es-ES_tradnl"/>
        </w:rPr>
        <w:t>ción 646 (Rev.CMR-15)</w:t>
      </w:r>
    </w:p>
    <w:p w:rsidR="008F0698" w:rsidRPr="008B0B24" w:rsidRDefault="008F0698" w:rsidP="008F0698">
      <w:pPr>
        <w:pStyle w:val="Normalaftertitle"/>
        <w:rPr>
          <w:lang w:val="es-ES_tradnl"/>
        </w:rPr>
      </w:pPr>
      <w:r w:rsidRPr="008B0B24">
        <w:rPr>
          <w:lang w:val="es-ES_tradnl"/>
        </w:rPr>
        <w:t xml:space="preserve">El presente </w:t>
      </w:r>
      <w:r w:rsidR="00E21D89" w:rsidRPr="008B0B24">
        <w:rPr>
          <w:lang w:val="es-ES_tradnl"/>
        </w:rPr>
        <w:t xml:space="preserve">Anexo </w:t>
      </w:r>
      <w:r w:rsidRPr="008B0B24">
        <w:rPr>
          <w:lang w:val="es-ES_tradnl"/>
        </w:rPr>
        <w:t>contiene información sobre las normas de banda estrecha para las actividades de PPDR. También hace referencia a textos de la UIT que contienen descripciones más detalladas de dichas normas y sus capacidades. Se reconoce que esas normas pueden no ajustarse a todas las necesidades de los usuarios descritas en el Informe UIT-R M.2377, y que cada administración y sus organismos de PPDR deberán analizar la información y determinar qué normas son las más adecuadas para alcanzar sus objetivos.</w:t>
      </w:r>
    </w:p>
    <w:p w:rsidR="008F0698" w:rsidRPr="008B0B24" w:rsidRDefault="008F0698" w:rsidP="008F0698">
      <w:pPr>
        <w:pStyle w:val="Heading1"/>
        <w:rPr>
          <w:lang w:val="es-ES_tradnl"/>
        </w:rPr>
      </w:pPr>
      <w:r w:rsidRPr="008B0B24">
        <w:rPr>
          <w:lang w:val="es-ES_tradnl"/>
        </w:rPr>
        <w:t>1</w:t>
      </w:r>
      <w:r w:rsidRPr="008B0B24">
        <w:rPr>
          <w:lang w:val="es-ES_tradnl"/>
        </w:rPr>
        <w:tab/>
        <w:t>Proyecto 25</w:t>
      </w:r>
    </w:p>
    <w:p w:rsidR="008F0698" w:rsidRPr="008B0B24" w:rsidRDefault="008F0698" w:rsidP="008F0698">
      <w:pPr>
        <w:rPr>
          <w:lang w:val="es-ES_tradnl"/>
        </w:rPr>
      </w:pPr>
      <w:r w:rsidRPr="008B0B24">
        <w:rPr>
          <w:lang w:val="es-ES_tradnl"/>
        </w:rPr>
        <w:t>El Proyecto 25 se desarrolla en el marco de la Asociación de Industrias de Telecomunicación (TIA) con las aportaciones de la comisión de dirección del Proyecto</w:t>
      </w:r>
      <w:r w:rsidR="00A563A7">
        <w:rPr>
          <w:lang w:val="es-ES_tradnl"/>
        </w:rPr>
        <w:t> </w:t>
      </w:r>
      <w:r w:rsidRPr="008B0B24">
        <w:rPr>
          <w:lang w:val="es-ES_tradnl"/>
        </w:rPr>
        <w:t xml:space="preserve">25, que está integrada por representantes de la </w:t>
      </w:r>
      <w:r w:rsidRPr="008B0B24">
        <w:rPr>
          <w:i/>
          <w:iCs/>
          <w:lang w:val="es-ES_tradnl"/>
        </w:rPr>
        <w:t>Association of Public Safety Communications Officials International</w:t>
      </w:r>
      <w:r w:rsidRPr="008B0B24">
        <w:rPr>
          <w:lang w:val="es-ES_tradnl"/>
        </w:rPr>
        <w:t xml:space="preserve"> (APCO), la </w:t>
      </w:r>
      <w:r w:rsidRPr="008B0B24">
        <w:rPr>
          <w:i/>
          <w:iCs/>
          <w:lang w:val="es-ES_tradnl"/>
        </w:rPr>
        <w:t>National Association of State Technology Directors</w:t>
      </w:r>
      <w:r w:rsidRPr="008B0B24">
        <w:rPr>
          <w:lang w:val="es-ES_tradnl"/>
        </w:rPr>
        <w:t xml:space="preserve"> (NASTD), determinados organismos federales y el </w:t>
      </w:r>
      <w:r w:rsidRPr="008B0B24">
        <w:rPr>
          <w:i/>
          <w:iCs/>
          <w:lang w:val="es-ES_tradnl"/>
        </w:rPr>
        <w:t>National Communications System</w:t>
      </w:r>
      <w:r w:rsidRPr="008B0B24">
        <w:rPr>
          <w:lang w:val="es-ES_tradnl"/>
        </w:rPr>
        <w:t xml:space="preserve"> (NCS). El Proyecto</w:t>
      </w:r>
      <w:r w:rsidR="003E7077">
        <w:rPr>
          <w:lang w:val="es-ES_tradnl"/>
        </w:rPr>
        <w:t> </w:t>
      </w:r>
      <w:r w:rsidRPr="008B0B24">
        <w:rPr>
          <w:lang w:val="es-ES_tradnl"/>
        </w:rPr>
        <w:t>25 funciona en los canales 12,5</w:t>
      </w:r>
      <w:r w:rsidR="00A563A7">
        <w:rPr>
          <w:lang w:val="es-ES_tradnl"/>
        </w:rPr>
        <w:t> </w:t>
      </w:r>
      <w:r w:rsidRPr="008B0B24">
        <w:rPr>
          <w:lang w:val="es-ES_tradnl"/>
        </w:rPr>
        <w:t>kHz o 25 kHz.</w:t>
      </w:r>
    </w:p>
    <w:p w:rsidR="008F0698" w:rsidRPr="008B0B24" w:rsidRDefault="008F0698" w:rsidP="008F0698">
      <w:pPr>
        <w:rPr>
          <w:lang w:val="es-ES_tradnl"/>
        </w:rPr>
      </w:pPr>
      <w:bookmarkStart w:id="6" w:name="OLE_LINK1"/>
      <w:bookmarkStart w:id="7" w:name="OLE_LINK2"/>
      <w:r w:rsidRPr="008B0B24">
        <w:rPr>
          <w:lang w:val="es-ES_tradnl"/>
        </w:rPr>
        <w:t>Para más información sobre las características técnicas y operacionales del Proyecto</w:t>
      </w:r>
      <w:r w:rsidR="006E1335">
        <w:rPr>
          <w:lang w:val="es-ES_tradnl"/>
        </w:rPr>
        <w:t> </w:t>
      </w:r>
      <w:r w:rsidRPr="008B0B24">
        <w:rPr>
          <w:lang w:val="es-ES_tradnl"/>
        </w:rPr>
        <w:t xml:space="preserve">25, véase el </w:t>
      </w:r>
      <w:hyperlink r:id="rId12" w:history="1">
        <w:r w:rsidRPr="00961C08">
          <w:t>Informe UIT-R M.2014</w:t>
        </w:r>
      </w:hyperlink>
      <w:bookmarkEnd w:id="6"/>
      <w:bookmarkEnd w:id="7"/>
      <w:r w:rsidRPr="008B0B24">
        <w:rPr>
          <w:lang w:val="es-ES_tradnl"/>
        </w:rPr>
        <w:t xml:space="preserve"> y el Volumen 3 del Manual del Servicio Móvil Terrestre. </w:t>
      </w:r>
    </w:p>
    <w:p w:rsidR="008F0698" w:rsidRPr="008B0B24" w:rsidRDefault="008F0698" w:rsidP="008F0698">
      <w:pPr>
        <w:pStyle w:val="Heading1"/>
        <w:rPr>
          <w:lang w:val="es-ES_tradnl"/>
        </w:rPr>
      </w:pPr>
      <w:r w:rsidRPr="008B0B24">
        <w:rPr>
          <w:lang w:val="es-ES_tradnl"/>
        </w:rPr>
        <w:lastRenderedPageBreak/>
        <w:t>2</w:t>
      </w:r>
      <w:r w:rsidRPr="008B0B24">
        <w:rPr>
          <w:lang w:val="es-ES_tradnl"/>
        </w:rPr>
        <w:tab/>
        <w:t>Radiocomunicaciones terrenales con concentración de enlaces (TETRA)</w:t>
      </w:r>
    </w:p>
    <w:p w:rsidR="008F0698" w:rsidRPr="008B0B24" w:rsidRDefault="008F0698" w:rsidP="007F6848">
      <w:pPr>
        <w:keepNext/>
        <w:keepLines/>
        <w:rPr>
          <w:lang w:val="es-ES_tradnl" w:eastAsia="zh-CN"/>
        </w:rPr>
      </w:pPr>
      <w:r w:rsidRPr="008B0B24">
        <w:rPr>
          <w:lang w:val="es-ES_tradnl" w:eastAsia="zh-CN"/>
        </w:rPr>
        <w:t xml:space="preserve">El sistema de </w:t>
      </w:r>
      <w:r w:rsidRPr="008B0B24">
        <w:rPr>
          <w:szCs w:val="22"/>
          <w:lang w:val="es-ES_tradnl"/>
        </w:rPr>
        <w:t xml:space="preserve">radiocomunicaciones terrenales con concentración de enlaces </w:t>
      </w:r>
      <w:r w:rsidRPr="008B0B24">
        <w:rPr>
          <w:lang w:val="es-ES_tradnl" w:eastAsia="zh-CN"/>
        </w:rPr>
        <w:t>(TETRA) se desarrolló en el Instituto Europeo de Normas de Telecomunicación (ETSI) como Proyecto TETRA del ETSI (ahora conocido como TETRA del Comité Técnico del ETSI) con el fin de elaborar un conjunto de normas sobre radiocomunicaciones móviles con concentración de enlaces digitales, bajo el mandato de la Comisión Europea, y crear un sistema de comunicaciones PMR que pudiera implantarse en Europea Occidental.</w:t>
      </w:r>
    </w:p>
    <w:p w:rsidR="008F0698" w:rsidRPr="008B0B24" w:rsidRDefault="008F0698" w:rsidP="008F0698">
      <w:pPr>
        <w:rPr>
          <w:lang w:val="es-ES_tradnl" w:eastAsia="zh-CN"/>
        </w:rPr>
      </w:pPr>
      <w:r w:rsidRPr="008B0B24">
        <w:rPr>
          <w:lang w:val="es-ES_tradnl" w:eastAsia="zh-CN"/>
        </w:rPr>
        <w:t>Además de atender a las necesidades de las organizaciones tradicionales de usuarios PMR, la norma TETRA también se creó para atender a las necesidades de los operadores de la red radioeléctrica móvil de acceso público (PAMR).</w:t>
      </w:r>
    </w:p>
    <w:p w:rsidR="008F0698" w:rsidRPr="008B0B24" w:rsidRDefault="008F0698" w:rsidP="008F0698">
      <w:pPr>
        <w:rPr>
          <w:lang w:val="es-ES_tradnl" w:eastAsia="zh-CN"/>
        </w:rPr>
      </w:pPr>
      <w:r w:rsidRPr="008B0B24">
        <w:rPr>
          <w:lang w:val="es-ES_tradnl" w:eastAsia="zh-CN"/>
        </w:rPr>
        <w:t xml:space="preserve">Para más información sobre las características técnicas y operacionales de TETRA, véase el </w:t>
      </w:r>
      <w:r w:rsidRPr="003E7077">
        <w:t>Informe UIT-R</w:t>
      </w:r>
      <w:r w:rsidR="003E7077">
        <w:t> </w:t>
      </w:r>
      <w:r w:rsidRPr="003E7077">
        <w:t>M.2014.</w:t>
      </w:r>
    </w:p>
    <w:p w:rsidR="008F0698" w:rsidRPr="008B0B24" w:rsidRDefault="008F0698" w:rsidP="008F0698">
      <w:pPr>
        <w:pStyle w:val="Heading1"/>
        <w:rPr>
          <w:lang w:val="es-ES_tradnl"/>
        </w:rPr>
      </w:pPr>
      <w:r w:rsidRPr="008B0B24">
        <w:rPr>
          <w:lang w:val="es-ES_tradnl"/>
        </w:rPr>
        <w:t>3</w:t>
      </w:r>
      <w:r w:rsidRPr="008B0B24">
        <w:rPr>
          <w:lang w:val="es-ES_tradnl"/>
        </w:rPr>
        <w:tab/>
        <w:t>Radiocomunicaciones móviles digitales (DMR)</w:t>
      </w:r>
    </w:p>
    <w:p w:rsidR="008F0698" w:rsidRPr="008B0B24" w:rsidRDefault="008F0698" w:rsidP="008F0698">
      <w:pPr>
        <w:rPr>
          <w:lang w:val="es-ES_tradnl" w:eastAsia="zh-CN"/>
        </w:rPr>
      </w:pPr>
      <w:r w:rsidRPr="008B0B24">
        <w:rPr>
          <w:lang w:val="es-ES_tradnl" w:eastAsia="zh-CN"/>
        </w:rPr>
        <w:t xml:space="preserve">El sistema de </w:t>
      </w:r>
      <w:r w:rsidRPr="008B0B24">
        <w:rPr>
          <w:szCs w:val="22"/>
          <w:lang w:val="es-ES_tradnl"/>
        </w:rPr>
        <w:t xml:space="preserve">radiocomunicaciones móviles digitales </w:t>
      </w:r>
      <w:r w:rsidRPr="008B0B24">
        <w:rPr>
          <w:lang w:val="es-ES_tradnl" w:eastAsia="zh-CN"/>
        </w:rPr>
        <w:t>(DMR) fue creado por el ETSI como sustituto digital directo de las PMR analógicas, sin que se introdujeran cambios de fondo en la arquitectura de los sistemas convencional ni con concentración de enlaces.</w:t>
      </w:r>
    </w:p>
    <w:p w:rsidR="008F0698" w:rsidRPr="008B0B24" w:rsidRDefault="008F0698" w:rsidP="008F0698">
      <w:pPr>
        <w:rPr>
          <w:lang w:val="es-ES_tradnl" w:eastAsia="zh-CN"/>
        </w:rPr>
      </w:pPr>
      <w:r w:rsidRPr="008B0B24">
        <w:rPr>
          <w:lang w:val="es-ES_tradnl" w:eastAsia="zh-CN"/>
        </w:rPr>
        <w:t>Las DMR son un sistema escalable que puede utilizarse con y sin licencia según la planificación nacional de frecuencias. Se desarrolla en tres «niveles»:</w:t>
      </w:r>
    </w:p>
    <w:p w:rsidR="008F0698" w:rsidRPr="008B0B24" w:rsidRDefault="008F0698" w:rsidP="008F0698">
      <w:pPr>
        <w:pStyle w:val="enumlev1"/>
        <w:rPr>
          <w:lang w:val="es-ES_tradnl" w:eastAsia="zh-CN"/>
        </w:rPr>
      </w:pPr>
      <w:r w:rsidRPr="008B0B24">
        <w:rPr>
          <w:lang w:val="es-ES_tradnl" w:eastAsia="zh-CN"/>
        </w:rPr>
        <w:t>–</w:t>
      </w:r>
      <w:r w:rsidRPr="008B0B24">
        <w:rPr>
          <w:lang w:val="es-ES_tradnl" w:eastAsia="zh-CN"/>
        </w:rPr>
        <w:tab/>
        <w:t>el Nivel 1 es el de bajo coste, y está exento de licencia «digital PMR446»;</w:t>
      </w:r>
    </w:p>
    <w:p w:rsidR="008F0698" w:rsidRPr="008B0B24" w:rsidRDefault="008F0698" w:rsidP="008F0698">
      <w:pPr>
        <w:pStyle w:val="enumlev1"/>
        <w:rPr>
          <w:lang w:val="es-ES_tradnl" w:eastAsia="zh-CN"/>
        </w:rPr>
      </w:pPr>
      <w:r w:rsidRPr="008B0B24">
        <w:rPr>
          <w:lang w:val="es-ES_tradnl" w:eastAsia="zh-CN"/>
        </w:rPr>
        <w:t>–</w:t>
      </w:r>
      <w:r w:rsidRPr="008B0B24">
        <w:rPr>
          <w:lang w:val="es-ES_tradnl" w:eastAsia="zh-CN"/>
        </w:rPr>
        <w:tab/>
        <w:t>el Nivel</w:t>
      </w:r>
      <w:r w:rsidR="003E7077">
        <w:rPr>
          <w:lang w:val="es-ES_tradnl" w:eastAsia="zh-CN"/>
        </w:rPr>
        <w:t> </w:t>
      </w:r>
      <w:r w:rsidRPr="008B0B24">
        <w:rPr>
          <w:lang w:val="es-ES_tradnl" w:eastAsia="zh-CN"/>
        </w:rPr>
        <w:t>2 está destinado a los profesionales, y ofrece el modo entre pares y el modo repetidor (con licencia);</w:t>
      </w:r>
    </w:p>
    <w:p w:rsidR="008F0698" w:rsidRPr="008B0B24" w:rsidRDefault="008F0698" w:rsidP="008F0698">
      <w:pPr>
        <w:pStyle w:val="enumlev1"/>
        <w:rPr>
          <w:lang w:val="es-ES_tradnl" w:eastAsia="zh-CN"/>
        </w:rPr>
      </w:pPr>
      <w:r w:rsidRPr="008B0B24">
        <w:rPr>
          <w:lang w:val="es-ES_tradnl" w:eastAsia="zh-CN"/>
        </w:rPr>
        <w:t>–</w:t>
      </w:r>
      <w:r w:rsidRPr="008B0B24">
        <w:rPr>
          <w:lang w:val="es-ES_tradnl" w:eastAsia="zh-CN"/>
        </w:rPr>
        <w:tab/>
        <w:t>el Nivel</w:t>
      </w:r>
      <w:r w:rsidR="003E7077">
        <w:rPr>
          <w:lang w:val="es-ES_tradnl" w:eastAsia="zh-CN"/>
        </w:rPr>
        <w:t> </w:t>
      </w:r>
      <w:r w:rsidRPr="008B0B24">
        <w:rPr>
          <w:lang w:val="es-ES_tradnl" w:eastAsia="zh-CN"/>
        </w:rPr>
        <w:t>3 está destinado al funcionamiento con concentración de enlaces (con licencia).</w:t>
      </w:r>
    </w:p>
    <w:p w:rsidR="008F0698" w:rsidRPr="008B0B24" w:rsidRDefault="008F0698" w:rsidP="008F0698">
      <w:pPr>
        <w:rPr>
          <w:lang w:val="es-ES_tradnl" w:eastAsia="zh-CN"/>
        </w:rPr>
      </w:pPr>
      <w:r w:rsidRPr="008B0B24">
        <w:rPr>
          <w:lang w:val="es-ES_tradnl" w:eastAsia="zh-CN"/>
        </w:rPr>
        <w:t xml:space="preserve">Las DMR son un sistema de </w:t>
      </w:r>
      <w:r w:rsidRPr="008B0B24">
        <w:rPr>
          <w:lang w:val="es-ES_tradnl"/>
        </w:rPr>
        <w:t>acceso múltiple por división de tiempo</w:t>
      </w:r>
      <w:r w:rsidRPr="008B0B24">
        <w:rPr>
          <w:lang w:val="es-ES_tradnl" w:eastAsia="zh-CN"/>
        </w:rPr>
        <w:t xml:space="preserve"> (TDMA) de dos intervalos que ofrece soluciones de voz y datos digitales, y utiliza un sistema de modulación 4FSK de 6,25</w:t>
      </w:r>
      <w:r w:rsidR="00A563A7">
        <w:rPr>
          <w:lang w:val="es-ES_tradnl" w:eastAsia="zh-CN"/>
        </w:rPr>
        <w:t> </w:t>
      </w:r>
      <w:r w:rsidRPr="008B0B24">
        <w:rPr>
          <w:lang w:val="es-ES_tradnl" w:eastAsia="zh-CN"/>
        </w:rPr>
        <w:t>kHz por canal. La norma tiene por objeto asegurar su funcionamiento en la separación entre canales existente de 12,5</w:t>
      </w:r>
      <w:r w:rsidR="004E5C81">
        <w:rPr>
          <w:lang w:val="es-ES_tradnl" w:eastAsia="zh-CN"/>
        </w:rPr>
        <w:t> </w:t>
      </w:r>
      <w:r w:rsidRPr="008B0B24">
        <w:rPr>
          <w:lang w:val="es-ES_tradnl" w:eastAsia="zh-CN"/>
        </w:rPr>
        <w:t>kHz.</w:t>
      </w:r>
    </w:p>
    <w:p w:rsidR="008F0698" w:rsidRPr="008B0B24" w:rsidRDefault="008F0698" w:rsidP="008F0698">
      <w:pPr>
        <w:rPr>
          <w:lang w:val="es-ES_tradnl" w:eastAsia="zh-CN"/>
        </w:rPr>
      </w:pPr>
      <w:r w:rsidRPr="008B0B24">
        <w:rPr>
          <w:lang w:val="es-ES_tradnl" w:eastAsia="zh-CN"/>
        </w:rPr>
        <w:t>Para más información sobre las características técnicas y operacionales de las DMR, véase el Informe Técnico del ETSI TR</w:t>
      </w:r>
      <w:r w:rsidR="00A563A7">
        <w:rPr>
          <w:lang w:val="es-ES_tradnl" w:eastAsia="zh-CN"/>
        </w:rPr>
        <w:t> </w:t>
      </w:r>
      <w:r w:rsidRPr="008B0B24">
        <w:rPr>
          <w:lang w:val="es-ES_tradnl" w:eastAsia="zh-CN"/>
        </w:rPr>
        <w:t>102</w:t>
      </w:r>
      <w:r w:rsidR="003E7077">
        <w:rPr>
          <w:lang w:val="es-ES_tradnl" w:eastAsia="zh-CN"/>
        </w:rPr>
        <w:t> </w:t>
      </w:r>
      <w:r w:rsidRPr="008B0B24">
        <w:rPr>
          <w:lang w:val="es-ES_tradnl" w:eastAsia="zh-CN"/>
        </w:rPr>
        <w:t>398, que contiene una introducción útil al respecto. Las partes</w:t>
      </w:r>
      <w:r w:rsidR="006E1335">
        <w:rPr>
          <w:lang w:val="es-ES_tradnl" w:eastAsia="zh-CN"/>
        </w:rPr>
        <w:t> </w:t>
      </w:r>
      <w:r w:rsidRPr="008B0B24">
        <w:rPr>
          <w:lang w:val="es-ES_tradnl" w:eastAsia="zh-CN"/>
        </w:rPr>
        <w:t>1 a 3 de las Especificaciones Técnicas TS</w:t>
      </w:r>
      <w:r w:rsidR="006E1335">
        <w:rPr>
          <w:lang w:val="es-ES_tradnl" w:eastAsia="zh-CN"/>
        </w:rPr>
        <w:t> </w:t>
      </w:r>
      <w:r w:rsidRPr="008B0B24">
        <w:rPr>
          <w:lang w:val="es-ES_tradnl" w:eastAsia="zh-CN"/>
        </w:rPr>
        <w:t>102</w:t>
      </w:r>
      <w:r w:rsidR="006E1335">
        <w:rPr>
          <w:lang w:val="es-ES_tradnl" w:eastAsia="zh-CN"/>
        </w:rPr>
        <w:t> </w:t>
      </w:r>
      <w:r w:rsidRPr="008B0B24">
        <w:rPr>
          <w:lang w:val="es-ES_tradnl" w:eastAsia="zh-CN"/>
        </w:rPr>
        <w:t>362 se refieren a las pruebas de conformidad del protocolo y las sucesiones de pruebas de las DMR, y en la Especificación Técnica TS</w:t>
      </w:r>
      <w:r w:rsidR="006E1335">
        <w:rPr>
          <w:lang w:val="es-ES_tradnl" w:eastAsia="zh-CN"/>
        </w:rPr>
        <w:t> </w:t>
      </w:r>
      <w:r w:rsidRPr="008B0B24">
        <w:rPr>
          <w:lang w:val="es-ES_tradnl" w:eastAsia="zh-CN"/>
        </w:rPr>
        <w:t>102</w:t>
      </w:r>
      <w:r w:rsidR="006E1335">
        <w:rPr>
          <w:lang w:val="es-ES_tradnl" w:eastAsia="zh-CN"/>
        </w:rPr>
        <w:t> </w:t>
      </w:r>
      <w:r w:rsidRPr="008B0B24">
        <w:rPr>
          <w:lang w:val="es-ES_tradnl" w:eastAsia="zh-CN"/>
        </w:rPr>
        <w:t>490 se define el protocolo de banda estrecha o «PMR digital».</w:t>
      </w:r>
    </w:p>
    <w:p w:rsidR="008F0698" w:rsidRPr="008B0B24" w:rsidRDefault="008F0698" w:rsidP="008F0698">
      <w:pPr>
        <w:rPr>
          <w:lang w:val="es-ES_tradnl" w:eastAsia="zh-CN"/>
        </w:rPr>
      </w:pPr>
      <w:r w:rsidRPr="008B0B24">
        <w:rPr>
          <w:lang w:val="es-ES_tradnl" w:eastAsia="zh-CN"/>
        </w:rPr>
        <w:t>Los documentos de referencia del sistema son el Informe Técnico del ETSI TR</w:t>
      </w:r>
      <w:r w:rsidR="006E1335">
        <w:rPr>
          <w:lang w:val="es-ES_tradnl" w:eastAsia="zh-CN"/>
        </w:rPr>
        <w:t> </w:t>
      </w:r>
      <w:r w:rsidRPr="008B0B24">
        <w:rPr>
          <w:lang w:val="es-ES_tradnl" w:eastAsia="zh-CN"/>
        </w:rPr>
        <w:t>102</w:t>
      </w:r>
      <w:r w:rsidR="006E1335">
        <w:rPr>
          <w:lang w:val="es-ES_tradnl" w:eastAsia="zh-CN"/>
        </w:rPr>
        <w:t> </w:t>
      </w:r>
      <w:r w:rsidRPr="008B0B24">
        <w:rPr>
          <w:lang w:val="es-ES_tradnl" w:eastAsia="zh-CN"/>
        </w:rPr>
        <w:t>335-1 (DMR de nivel</w:t>
      </w:r>
      <w:r w:rsidR="00A563A7">
        <w:rPr>
          <w:lang w:val="es-ES_tradnl" w:eastAsia="zh-CN"/>
        </w:rPr>
        <w:t> </w:t>
      </w:r>
      <w:r w:rsidRPr="008B0B24">
        <w:rPr>
          <w:lang w:val="es-ES_tradnl" w:eastAsia="zh-CN"/>
        </w:rPr>
        <w:t>1) y TR 102</w:t>
      </w:r>
      <w:r w:rsidR="006E1335">
        <w:rPr>
          <w:lang w:val="es-ES_tradnl" w:eastAsia="zh-CN"/>
        </w:rPr>
        <w:t> </w:t>
      </w:r>
      <w:r w:rsidRPr="008B0B24">
        <w:rPr>
          <w:lang w:val="es-ES_tradnl" w:eastAsia="zh-CN"/>
        </w:rPr>
        <w:t>335-2 (con licencia).</w:t>
      </w:r>
    </w:p>
    <w:p w:rsidR="008F0698" w:rsidRPr="008B0B24" w:rsidRDefault="008F0698" w:rsidP="008F0698">
      <w:pPr>
        <w:rPr>
          <w:lang w:val="es-ES_tradnl" w:eastAsia="zh-CN"/>
        </w:rPr>
      </w:pPr>
    </w:p>
    <w:p w:rsidR="008F0698" w:rsidRPr="008B0B24" w:rsidRDefault="008F0698" w:rsidP="008F0698">
      <w:pPr>
        <w:rPr>
          <w:lang w:val="es-ES_tradnl" w:eastAsia="zh-CN"/>
        </w:rPr>
      </w:pPr>
    </w:p>
    <w:p w:rsidR="008F0698" w:rsidRPr="008B0B24" w:rsidRDefault="008F0698" w:rsidP="008F0698">
      <w:pPr>
        <w:pStyle w:val="AnnexNoTitle"/>
        <w:rPr>
          <w:rFonts w:ascii="Times New Roman Bold" w:hAnsi="Times New Roman Bold"/>
          <w:lang w:val="es-ES_tradnl"/>
        </w:rPr>
      </w:pPr>
      <w:r w:rsidRPr="008B0B24">
        <w:rPr>
          <w:lang w:val="es-ES_tradnl"/>
        </w:rPr>
        <w:lastRenderedPageBreak/>
        <w:t>Anexo 3</w:t>
      </w:r>
      <w:r w:rsidRPr="008B0B24">
        <w:rPr>
          <w:lang w:val="es-ES_tradnl"/>
        </w:rPr>
        <w:br/>
      </w:r>
      <w:r w:rsidRPr="008B0B24">
        <w:rPr>
          <w:lang w:val="es-ES_tradnl"/>
        </w:rPr>
        <w:br/>
        <w:t>Abreviaturas y acrónimos</w:t>
      </w:r>
    </w:p>
    <w:p w:rsidR="008F0698" w:rsidRPr="008B0B24" w:rsidRDefault="008F0698" w:rsidP="007F6848">
      <w:pPr>
        <w:keepNext/>
        <w:keepLines/>
        <w:tabs>
          <w:tab w:val="clear" w:pos="794"/>
          <w:tab w:val="clear" w:pos="1191"/>
          <w:tab w:val="clear" w:pos="1588"/>
          <w:tab w:val="clear" w:pos="1985"/>
          <w:tab w:val="left" w:pos="2410"/>
        </w:tabs>
        <w:spacing w:before="280"/>
        <w:ind w:left="2410" w:hanging="2410"/>
        <w:rPr>
          <w:lang w:val="es-ES_tradnl"/>
        </w:rPr>
      </w:pPr>
      <w:r w:rsidRPr="008B0B24">
        <w:rPr>
          <w:lang w:val="es-ES_tradnl"/>
        </w:rPr>
        <w:t>3GPP</w:t>
      </w:r>
      <w:r w:rsidRPr="008B0B24">
        <w:rPr>
          <w:lang w:val="es-ES_tradnl"/>
        </w:rPr>
        <w:tab/>
        <w:t>Proyecto de asociación de la tercera generación</w:t>
      </w:r>
    </w:p>
    <w:p w:rsidR="008F0698" w:rsidRPr="008B0B24" w:rsidRDefault="008F0698" w:rsidP="007F6848">
      <w:pPr>
        <w:keepNext/>
        <w:keepLines/>
        <w:tabs>
          <w:tab w:val="clear" w:pos="794"/>
          <w:tab w:val="clear" w:pos="1191"/>
          <w:tab w:val="clear" w:pos="1588"/>
          <w:tab w:val="clear" w:pos="1985"/>
          <w:tab w:val="left" w:pos="2410"/>
        </w:tabs>
        <w:spacing w:before="80"/>
        <w:ind w:left="2410" w:hanging="2410"/>
        <w:rPr>
          <w:lang w:val="es-ES_tradnl"/>
        </w:rPr>
      </w:pPr>
      <w:r w:rsidRPr="008B0B24">
        <w:rPr>
          <w:lang w:val="es-ES_tradnl"/>
        </w:rPr>
        <w:t>B-TrunC</w:t>
      </w:r>
      <w:r w:rsidRPr="008B0B24">
        <w:rPr>
          <w:lang w:val="es-ES_tradnl"/>
        </w:rPr>
        <w:tab/>
        <w:t xml:space="preserve">Comunicación por concentración de enlaces de banda ancha </w:t>
      </w:r>
    </w:p>
    <w:p w:rsidR="008F0698" w:rsidRPr="008B0B24" w:rsidRDefault="008F0698" w:rsidP="007F6848">
      <w:pPr>
        <w:keepNext/>
        <w:keepLines/>
        <w:tabs>
          <w:tab w:val="clear" w:pos="794"/>
          <w:tab w:val="clear" w:pos="1191"/>
          <w:tab w:val="clear" w:pos="1588"/>
          <w:tab w:val="clear" w:pos="1985"/>
          <w:tab w:val="left" w:pos="2410"/>
        </w:tabs>
        <w:spacing w:before="80"/>
        <w:ind w:left="2410" w:hanging="2410"/>
        <w:rPr>
          <w:lang w:val="es-ES_tradnl"/>
        </w:rPr>
      </w:pPr>
      <w:r w:rsidRPr="008B0B24">
        <w:rPr>
          <w:lang w:val="es-ES_tradnl"/>
        </w:rPr>
        <w:t>CDMA TDD</w:t>
      </w:r>
      <w:r w:rsidRPr="008B0B24">
        <w:rPr>
          <w:lang w:val="es-ES_tradnl"/>
        </w:rPr>
        <w:tab/>
        <w:t>Acceso múltiple por división de código – dúplex por división en el tiempo</w:t>
      </w:r>
    </w:p>
    <w:p w:rsidR="008F0698" w:rsidRPr="008B0B24" w:rsidRDefault="008F0698" w:rsidP="007F6848">
      <w:pPr>
        <w:keepNext/>
        <w:keepLines/>
        <w:tabs>
          <w:tab w:val="clear" w:pos="794"/>
          <w:tab w:val="clear" w:pos="1191"/>
          <w:tab w:val="clear" w:pos="1588"/>
          <w:tab w:val="clear" w:pos="1985"/>
          <w:tab w:val="left" w:pos="2410"/>
        </w:tabs>
        <w:spacing w:before="80"/>
        <w:ind w:left="2410" w:hanging="2410"/>
        <w:rPr>
          <w:lang w:val="es-ES_tradnl"/>
        </w:rPr>
      </w:pPr>
      <w:r w:rsidRPr="008B0B24">
        <w:rPr>
          <w:lang w:val="es-ES_tradnl"/>
        </w:rPr>
        <w:t>DMR</w:t>
      </w:r>
      <w:r w:rsidRPr="008B0B24">
        <w:rPr>
          <w:lang w:val="es-ES_tradnl"/>
        </w:rPr>
        <w:tab/>
      </w:r>
      <w:r w:rsidRPr="008B0B24">
        <w:rPr>
          <w:szCs w:val="22"/>
          <w:lang w:val="es-ES_tradnl"/>
        </w:rPr>
        <w:t>Radiocomunicaciones móviles digitales</w:t>
      </w:r>
    </w:p>
    <w:p w:rsidR="008F0698" w:rsidRPr="008B0B24" w:rsidRDefault="008F0698" w:rsidP="007F6848">
      <w:pPr>
        <w:keepNext/>
        <w:keepLines/>
        <w:tabs>
          <w:tab w:val="clear" w:pos="794"/>
          <w:tab w:val="clear" w:pos="1191"/>
          <w:tab w:val="clear" w:pos="1588"/>
          <w:tab w:val="clear" w:pos="1985"/>
          <w:tab w:val="left" w:pos="2410"/>
        </w:tabs>
        <w:spacing w:before="80"/>
        <w:ind w:left="2410" w:hanging="2410"/>
        <w:rPr>
          <w:lang w:val="es-ES_tradnl"/>
        </w:rPr>
      </w:pPr>
      <w:r w:rsidRPr="008B0B24">
        <w:rPr>
          <w:lang w:val="es-ES_tradnl"/>
        </w:rPr>
        <w:t>ETSI</w:t>
      </w:r>
      <w:r w:rsidRPr="008B0B24">
        <w:rPr>
          <w:lang w:val="es-ES_tradnl"/>
        </w:rPr>
        <w:tab/>
      </w:r>
      <w:r w:rsidRPr="008B0B24">
        <w:rPr>
          <w:lang w:val="es-ES_tradnl" w:eastAsia="zh-CN"/>
        </w:rPr>
        <w:t>Instituto Europeo de Normas de Telecomunicación</w:t>
      </w:r>
    </w:p>
    <w:p w:rsidR="008F0698" w:rsidRPr="008B0B24" w:rsidRDefault="008F0698" w:rsidP="007F6848">
      <w:pPr>
        <w:keepNext/>
        <w:keepLines/>
        <w:tabs>
          <w:tab w:val="clear" w:pos="794"/>
          <w:tab w:val="clear" w:pos="1191"/>
          <w:tab w:val="clear" w:pos="1588"/>
          <w:tab w:val="clear" w:pos="1985"/>
          <w:tab w:val="left" w:pos="2410"/>
        </w:tabs>
        <w:spacing w:before="80"/>
        <w:ind w:left="2410" w:hanging="2410"/>
        <w:rPr>
          <w:lang w:val="es-ES_tradnl"/>
        </w:rPr>
      </w:pPr>
      <w:r w:rsidRPr="008B0B24">
        <w:rPr>
          <w:lang w:val="es-ES_tradnl"/>
        </w:rPr>
        <w:t>E-UTRA</w:t>
      </w:r>
      <w:r w:rsidRPr="008B0B24">
        <w:rPr>
          <w:lang w:val="es-ES_tradnl"/>
        </w:rPr>
        <w:tab/>
        <w:t xml:space="preserve">Acceso radioeléctrico </w:t>
      </w:r>
      <w:r w:rsidR="00856DB4">
        <w:rPr>
          <w:lang w:val="es-ES_tradnl"/>
        </w:rPr>
        <w:t>terrenal universal evolucionado</w:t>
      </w:r>
    </w:p>
    <w:p w:rsidR="008F0698" w:rsidRPr="008B0B24" w:rsidRDefault="008F0698" w:rsidP="007F6848">
      <w:pPr>
        <w:keepNext/>
        <w:keepLines/>
        <w:tabs>
          <w:tab w:val="clear" w:pos="794"/>
          <w:tab w:val="clear" w:pos="1191"/>
          <w:tab w:val="clear" w:pos="1588"/>
          <w:tab w:val="clear" w:pos="1985"/>
          <w:tab w:val="left" w:pos="2410"/>
        </w:tabs>
        <w:spacing w:before="80"/>
        <w:ind w:left="2410" w:hanging="2410"/>
        <w:rPr>
          <w:lang w:val="es-ES_tradnl"/>
        </w:rPr>
      </w:pPr>
      <w:r w:rsidRPr="008B0B24">
        <w:rPr>
          <w:lang w:val="es-ES_tradnl"/>
        </w:rPr>
        <w:t>FDD</w:t>
      </w:r>
      <w:r w:rsidRPr="008B0B24">
        <w:rPr>
          <w:lang w:val="es-ES_tradnl"/>
        </w:rPr>
        <w:tab/>
        <w:t>Dúplex por división de frecuencia</w:t>
      </w:r>
    </w:p>
    <w:p w:rsidR="008F0698" w:rsidRPr="008B0B24" w:rsidRDefault="008F0698" w:rsidP="007F6848">
      <w:pPr>
        <w:keepNext/>
        <w:keepLines/>
        <w:tabs>
          <w:tab w:val="clear" w:pos="794"/>
          <w:tab w:val="clear" w:pos="1191"/>
          <w:tab w:val="clear" w:pos="1588"/>
          <w:tab w:val="clear" w:pos="1985"/>
          <w:tab w:val="left" w:pos="2410"/>
        </w:tabs>
        <w:spacing w:before="80"/>
        <w:ind w:left="2410" w:hanging="2410"/>
        <w:rPr>
          <w:lang w:val="es-ES_tradnl"/>
        </w:rPr>
      </w:pPr>
      <w:r w:rsidRPr="008B0B24">
        <w:rPr>
          <w:lang w:val="es-ES_tradnl"/>
        </w:rPr>
        <w:t>FDMA</w:t>
      </w:r>
      <w:r w:rsidRPr="008B0B24">
        <w:rPr>
          <w:lang w:val="es-ES_tradnl"/>
        </w:rPr>
        <w:tab/>
        <w:t xml:space="preserve">Acceso múltiple por división de frecuencia </w:t>
      </w:r>
    </w:p>
    <w:p w:rsidR="008F0698" w:rsidRPr="008B0B24" w:rsidRDefault="008F0698" w:rsidP="007F6848">
      <w:pPr>
        <w:keepNext/>
        <w:keepLines/>
        <w:tabs>
          <w:tab w:val="clear" w:pos="794"/>
          <w:tab w:val="clear" w:pos="1191"/>
          <w:tab w:val="clear" w:pos="1588"/>
          <w:tab w:val="clear" w:pos="1985"/>
          <w:tab w:val="left" w:pos="2410"/>
        </w:tabs>
        <w:spacing w:before="80"/>
        <w:ind w:left="2410" w:hanging="2410"/>
        <w:rPr>
          <w:lang w:val="es-ES_tradnl"/>
        </w:rPr>
      </w:pPr>
      <w:r w:rsidRPr="008B0B24">
        <w:rPr>
          <w:lang w:val="es-ES_tradnl"/>
        </w:rPr>
        <w:t>IEEE</w:t>
      </w:r>
      <w:r w:rsidRPr="008B0B24">
        <w:rPr>
          <w:lang w:val="es-ES_tradnl"/>
        </w:rPr>
        <w:tab/>
        <w:t>Instituto de Ingenieros Eléctricos y Electrónicos</w:t>
      </w:r>
    </w:p>
    <w:p w:rsidR="008F0698" w:rsidRPr="008B0B24" w:rsidRDefault="008F0698" w:rsidP="008F0698">
      <w:pPr>
        <w:tabs>
          <w:tab w:val="clear" w:pos="794"/>
          <w:tab w:val="clear" w:pos="1191"/>
          <w:tab w:val="clear" w:pos="1588"/>
          <w:tab w:val="clear" w:pos="1985"/>
          <w:tab w:val="left" w:pos="2410"/>
        </w:tabs>
        <w:spacing w:before="80"/>
        <w:ind w:left="2410" w:hanging="2410"/>
        <w:rPr>
          <w:lang w:val="es-ES_tradnl"/>
        </w:rPr>
      </w:pPr>
      <w:r w:rsidRPr="008B0B24">
        <w:rPr>
          <w:lang w:val="es-ES_tradnl"/>
        </w:rPr>
        <w:t>LTE</w:t>
      </w:r>
      <w:r w:rsidRPr="008B0B24">
        <w:rPr>
          <w:lang w:val="es-ES_tradnl"/>
        </w:rPr>
        <w:tab/>
        <w:t>Evolución a largo plazo</w:t>
      </w:r>
    </w:p>
    <w:p w:rsidR="008F0698" w:rsidRPr="008B0B24" w:rsidRDefault="008F0698" w:rsidP="008F0698">
      <w:pPr>
        <w:tabs>
          <w:tab w:val="clear" w:pos="794"/>
          <w:tab w:val="clear" w:pos="1191"/>
          <w:tab w:val="clear" w:pos="1588"/>
          <w:tab w:val="clear" w:pos="1985"/>
          <w:tab w:val="left" w:pos="2410"/>
        </w:tabs>
        <w:spacing w:before="80"/>
        <w:ind w:left="2410" w:hanging="2410"/>
        <w:rPr>
          <w:lang w:val="es-ES_tradnl"/>
        </w:rPr>
      </w:pPr>
      <w:r w:rsidRPr="008B0B24">
        <w:rPr>
          <w:lang w:val="es-ES_tradnl"/>
        </w:rPr>
        <w:t>OFDMA TDD WMAN</w:t>
      </w:r>
      <w:r w:rsidRPr="008B0B24">
        <w:rPr>
          <w:lang w:val="es-ES_tradnl"/>
        </w:rPr>
        <w:tab/>
        <w:t xml:space="preserve">Red de área metropolitana inalámbrica dúplex por división en el tiempo con acceso múltiple por división de frecuencia ortogonal </w:t>
      </w:r>
    </w:p>
    <w:p w:rsidR="008F0698" w:rsidRPr="008B0B24" w:rsidRDefault="008F0698" w:rsidP="008F0698">
      <w:pPr>
        <w:tabs>
          <w:tab w:val="clear" w:pos="794"/>
          <w:tab w:val="clear" w:pos="1191"/>
          <w:tab w:val="clear" w:pos="1588"/>
          <w:tab w:val="clear" w:pos="1985"/>
          <w:tab w:val="left" w:pos="2410"/>
        </w:tabs>
        <w:spacing w:before="80"/>
        <w:ind w:left="2410" w:hanging="2410"/>
        <w:rPr>
          <w:lang w:val="es-ES_tradnl"/>
        </w:rPr>
      </w:pPr>
      <w:r w:rsidRPr="008B0B24">
        <w:rPr>
          <w:lang w:val="es-ES_tradnl"/>
        </w:rPr>
        <w:t>PAMR</w:t>
      </w:r>
      <w:r w:rsidRPr="008B0B24">
        <w:rPr>
          <w:lang w:val="es-ES_tradnl"/>
        </w:rPr>
        <w:tab/>
      </w:r>
      <w:r w:rsidRPr="008B0B24">
        <w:rPr>
          <w:lang w:val="es-ES_tradnl" w:eastAsia="zh-CN"/>
        </w:rPr>
        <w:t>Red radioeléctrica móvil de acceso público</w:t>
      </w:r>
    </w:p>
    <w:p w:rsidR="008F0698" w:rsidRPr="008B0B24" w:rsidRDefault="008F0698" w:rsidP="008F0698">
      <w:pPr>
        <w:tabs>
          <w:tab w:val="clear" w:pos="794"/>
          <w:tab w:val="clear" w:pos="1191"/>
          <w:tab w:val="clear" w:pos="1588"/>
          <w:tab w:val="clear" w:pos="1985"/>
          <w:tab w:val="left" w:pos="2410"/>
        </w:tabs>
        <w:spacing w:before="80"/>
        <w:ind w:left="2410" w:hanging="2410"/>
        <w:rPr>
          <w:lang w:val="es-ES_tradnl"/>
        </w:rPr>
      </w:pPr>
      <w:r w:rsidRPr="008B0B24">
        <w:rPr>
          <w:lang w:val="es-ES_tradnl"/>
        </w:rPr>
        <w:t>PMR</w:t>
      </w:r>
      <w:r w:rsidRPr="008B0B24">
        <w:rPr>
          <w:lang w:val="es-ES_tradnl"/>
        </w:rPr>
        <w:tab/>
        <w:t>Radiocomunicación móvil privado</w:t>
      </w:r>
    </w:p>
    <w:p w:rsidR="008F0698" w:rsidRPr="008B0B24" w:rsidRDefault="008F0698" w:rsidP="008F0698">
      <w:pPr>
        <w:tabs>
          <w:tab w:val="clear" w:pos="794"/>
          <w:tab w:val="clear" w:pos="1191"/>
          <w:tab w:val="clear" w:pos="1588"/>
          <w:tab w:val="clear" w:pos="1985"/>
          <w:tab w:val="left" w:pos="2410"/>
        </w:tabs>
        <w:spacing w:before="80"/>
        <w:ind w:left="2410" w:hanging="2410"/>
        <w:rPr>
          <w:lang w:val="es-ES_tradnl"/>
        </w:rPr>
      </w:pPr>
      <w:r w:rsidRPr="008B0B24">
        <w:rPr>
          <w:lang w:val="es-ES_tradnl"/>
        </w:rPr>
        <w:t>PPDR</w:t>
      </w:r>
      <w:r w:rsidRPr="008B0B24">
        <w:rPr>
          <w:lang w:val="es-ES_tradnl"/>
        </w:rPr>
        <w:tab/>
        <w:t xml:space="preserve">Protección pública </w:t>
      </w:r>
      <w:r w:rsidR="00A60C5D">
        <w:rPr>
          <w:lang w:val="es-ES_tradnl"/>
        </w:rPr>
        <w:t>y socorro en caso de catástrofe</w:t>
      </w:r>
    </w:p>
    <w:p w:rsidR="008F0698" w:rsidRPr="008B0B24" w:rsidRDefault="008F0698" w:rsidP="008F0698">
      <w:pPr>
        <w:tabs>
          <w:tab w:val="clear" w:pos="794"/>
          <w:tab w:val="clear" w:pos="1191"/>
          <w:tab w:val="clear" w:pos="1588"/>
          <w:tab w:val="clear" w:pos="1985"/>
          <w:tab w:val="left" w:pos="2410"/>
        </w:tabs>
        <w:spacing w:before="60"/>
        <w:ind w:left="2410" w:hanging="2410"/>
        <w:rPr>
          <w:lang w:val="es-ES_tradnl"/>
        </w:rPr>
      </w:pPr>
      <w:r w:rsidRPr="008B0B24">
        <w:rPr>
          <w:lang w:val="es-ES_tradnl"/>
        </w:rPr>
        <w:t>SCDMA</w:t>
      </w:r>
      <w:r w:rsidRPr="008B0B24">
        <w:rPr>
          <w:lang w:val="es-ES_tradnl"/>
        </w:rPr>
        <w:tab/>
        <w:t>Acceso múltiple por división de código síncrono</w:t>
      </w:r>
    </w:p>
    <w:p w:rsidR="008F0698" w:rsidRPr="008B0B24" w:rsidRDefault="008F0698" w:rsidP="008F0698">
      <w:pPr>
        <w:tabs>
          <w:tab w:val="clear" w:pos="794"/>
          <w:tab w:val="clear" w:pos="1191"/>
          <w:tab w:val="clear" w:pos="1588"/>
          <w:tab w:val="clear" w:pos="1985"/>
          <w:tab w:val="left" w:pos="2410"/>
        </w:tabs>
        <w:spacing w:before="80"/>
        <w:ind w:left="2410" w:hanging="2410"/>
        <w:rPr>
          <w:lang w:val="es-ES_tradnl"/>
        </w:rPr>
      </w:pPr>
      <w:r w:rsidRPr="008B0B24">
        <w:rPr>
          <w:lang w:val="es-ES_tradnl"/>
        </w:rPr>
        <w:t>TETRA</w:t>
      </w:r>
      <w:r w:rsidRPr="008B0B24">
        <w:rPr>
          <w:lang w:val="es-ES_tradnl"/>
        </w:rPr>
        <w:tab/>
      </w:r>
      <w:r w:rsidRPr="008B0B24">
        <w:rPr>
          <w:szCs w:val="22"/>
          <w:lang w:val="es-ES_tradnl"/>
        </w:rPr>
        <w:t>Sistema de radiocomunicaciones terrenales con concentración de enlaces</w:t>
      </w:r>
    </w:p>
    <w:p w:rsidR="008F0698" w:rsidRPr="008B0B24" w:rsidRDefault="008F0698" w:rsidP="008F0698">
      <w:pPr>
        <w:tabs>
          <w:tab w:val="clear" w:pos="794"/>
          <w:tab w:val="clear" w:pos="1191"/>
          <w:tab w:val="clear" w:pos="1588"/>
          <w:tab w:val="clear" w:pos="1985"/>
          <w:tab w:val="left" w:pos="2410"/>
        </w:tabs>
        <w:spacing w:before="80"/>
        <w:ind w:left="2410" w:hanging="2410"/>
        <w:rPr>
          <w:lang w:val="es-ES_tradnl"/>
        </w:rPr>
      </w:pPr>
      <w:r w:rsidRPr="008B0B24">
        <w:rPr>
          <w:lang w:val="es-ES_tradnl"/>
        </w:rPr>
        <w:t>TR</w:t>
      </w:r>
      <w:r w:rsidRPr="008B0B24">
        <w:rPr>
          <w:lang w:val="es-ES_tradnl"/>
        </w:rPr>
        <w:tab/>
        <w:t>Informe Técnico</w:t>
      </w:r>
    </w:p>
    <w:p w:rsidR="008F0698" w:rsidRPr="008B0B24" w:rsidRDefault="008F0698" w:rsidP="008F0698">
      <w:pPr>
        <w:tabs>
          <w:tab w:val="clear" w:pos="794"/>
          <w:tab w:val="clear" w:pos="1191"/>
          <w:tab w:val="clear" w:pos="1588"/>
          <w:tab w:val="clear" w:pos="1985"/>
          <w:tab w:val="left" w:pos="2410"/>
        </w:tabs>
        <w:spacing w:before="80"/>
        <w:ind w:left="2410" w:hanging="2410"/>
        <w:rPr>
          <w:lang w:val="es-ES_tradnl"/>
        </w:rPr>
      </w:pPr>
      <w:r w:rsidRPr="008B0B24">
        <w:rPr>
          <w:lang w:val="es-ES_tradnl"/>
        </w:rPr>
        <w:t>UHF</w:t>
      </w:r>
      <w:r w:rsidRPr="008B0B24">
        <w:rPr>
          <w:lang w:val="es-ES_tradnl"/>
        </w:rPr>
        <w:tab/>
      </w:r>
      <w:r w:rsidRPr="008B0B24">
        <w:rPr>
          <w:lang w:val="es-ES_tradnl" w:eastAsia="zh-CN"/>
        </w:rPr>
        <w:t>Ondas decimétricas</w:t>
      </w:r>
    </w:p>
    <w:p w:rsidR="008F0698" w:rsidRPr="008B0B24" w:rsidRDefault="008F0698" w:rsidP="008F0698">
      <w:pPr>
        <w:tabs>
          <w:tab w:val="clear" w:pos="794"/>
          <w:tab w:val="clear" w:pos="1191"/>
          <w:tab w:val="clear" w:pos="1588"/>
          <w:tab w:val="clear" w:pos="1985"/>
          <w:tab w:val="left" w:pos="2410"/>
        </w:tabs>
        <w:spacing w:before="80"/>
        <w:ind w:left="2410" w:hanging="2410"/>
        <w:rPr>
          <w:lang w:val="es-ES_tradnl"/>
        </w:rPr>
      </w:pPr>
      <w:r w:rsidRPr="008B0B24">
        <w:rPr>
          <w:lang w:val="es-ES_tradnl"/>
        </w:rPr>
        <w:t>UTRA</w:t>
      </w:r>
      <w:r w:rsidRPr="008B0B24">
        <w:rPr>
          <w:lang w:val="es-ES_tradnl"/>
        </w:rPr>
        <w:tab/>
        <w:t>Acceso radioeléctrico terrenal universal</w:t>
      </w:r>
    </w:p>
    <w:p w:rsidR="008F0698" w:rsidRDefault="008F0698" w:rsidP="007F6848"/>
    <w:p w:rsidR="007F6848" w:rsidRDefault="007F6848" w:rsidP="007F6848"/>
    <w:p w:rsidR="008F0698" w:rsidRDefault="008F0698">
      <w:pPr>
        <w:jc w:val="center"/>
      </w:pPr>
      <w:r>
        <w:t>______________</w:t>
      </w:r>
    </w:p>
    <w:p w:rsidR="008F0698" w:rsidRDefault="008F0698" w:rsidP="008F0698">
      <w:pPr>
        <w:rPr>
          <w:lang w:val="es-ES_tradnl"/>
        </w:rPr>
      </w:pPr>
    </w:p>
    <w:sectPr w:rsidR="008F0698" w:rsidSect="0046220F">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0698" w:rsidRDefault="008F0698">
      <w:r>
        <w:separator/>
      </w:r>
    </w:p>
  </w:endnote>
  <w:endnote w:type="continuationSeparator" w:id="0">
    <w:p w:rsidR="008F0698" w:rsidRDefault="008F0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0698" w:rsidRDefault="008F0698">
      <w:r>
        <w:separator/>
      </w:r>
    </w:p>
  </w:footnote>
  <w:footnote w:type="continuationSeparator" w:id="0">
    <w:p w:rsidR="008F0698" w:rsidRDefault="008F0698">
      <w:r>
        <w:continuationSeparator/>
      </w:r>
    </w:p>
  </w:footnote>
  <w:footnote w:id="1">
    <w:p w:rsidR="008F0698" w:rsidRPr="00311C47" w:rsidRDefault="008F0698" w:rsidP="008F0698">
      <w:pPr>
        <w:pStyle w:val="FootnoteText"/>
        <w:rPr>
          <w:lang w:val="es-ES_tradnl"/>
        </w:rPr>
      </w:pPr>
      <w:r w:rsidRPr="00637322">
        <w:rPr>
          <w:rStyle w:val="FootnoteReference"/>
        </w:rPr>
        <w:footnoteRef/>
      </w:r>
      <w:r w:rsidRPr="00311C47">
        <w:rPr>
          <w:lang w:val="es-ES_tradnl"/>
        </w:rPr>
        <w:tab/>
        <w:t>Véase el § 1.1.1 de la Recomendación UIT-R M.2012-1 – Especificaciones de las interfaces radioeléctricas terrenales de las telecomunicaciones móviles internacionales-avanzadas (IMT-A</w:t>
      </w:r>
      <w:r>
        <w:rPr>
          <w:lang w:val="es-ES_tradnl"/>
        </w:rPr>
        <w:t>vanzadas</w:t>
      </w:r>
      <w:r w:rsidRPr="00311C47">
        <w:rPr>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698" w:rsidRDefault="008F0698">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698" w:rsidRDefault="008F0698" w:rsidP="00CB1354">
    <w:pPr>
      <w:ind w:right="360" w:firstLine="360"/>
    </w:pPr>
    <w:r>
      <w:rPr>
        <w:noProof/>
        <w:lang w:val="en-US"/>
      </w:rPr>
      <w:drawing>
        <wp:anchor distT="0" distB="0" distL="114300" distR="114300" simplePos="0" relativeHeight="251657216" behindDoc="1" locked="0" layoutInCell="1" allowOverlap="1" wp14:anchorId="631E2FD5" wp14:editId="181DD78C">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698" w:rsidRDefault="008F0698"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21561">
      <w:rPr>
        <w:rStyle w:val="PageNumber"/>
        <w:b/>
        <w:bCs/>
        <w:noProof/>
      </w:rPr>
      <w:t>ii</w:t>
    </w:r>
    <w:r>
      <w:rPr>
        <w:rStyle w:val="PageNumber"/>
        <w:b/>
        <w:bCs/>
      </w:rPr>
      <w:fldChar w:fldCharType="end"/>
    </w:r>
    <w:r>
      <w:tab/>
    </w:r>
    <w:fldSimple w:instr=" DOCPROPERTY &quot;Header&quot; \* MERGEFORMAT ">
      <w:r w:rsidR="00D21561" w:rsidRPr="00D21561">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D21561">
      <w:rPr>
        <w:b/>
        <w:bCs/>
        <w:noProof/>
      </w:rPr>
      <w:t>UIT-R  M.2009-2</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698" w:rsidRDefault="008F0698">
    <w:r>
      <w:tab/>
    </w:r>
    <w:fldSimple w:instr=" DOCPROPERTY &quot;Header&quot; \* MERGEFORMAT ">
      <w:r w:rsidR="00D21561" w:rsidRPr="00D2156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21561">
      <w:rPr>
        <w:b/>
        <w:bCs/>
        <w:noProof/>
      </w:rPr>
      <w:t>UIT-R  M.2009-2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21561">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21561" w:rsidRPr="00D2156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21561">
      <w:rPr>
        <w:b/>
        <w:bCs/>
        <w:noProof/>
        <w:lang w:val="en-US"/>
      </w:rPr>
      <w:t>UIT-R  M.2009-2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D21561" w:rsidRPr="00D2156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21561">
      <w:rPr>
        <w:b/>
        <w:bCs/>
        <w:noProof/>
      </w:rPr>
      <w:t>UIT-R  M.2009-2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21561">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698"/>
    <w:rsid w:val="000923F4"/>
    <w:rsid w:val="00217EBF"/>
    <w:rsid w:val="00242AEE"/>
    <w:rsid w:val="002B5275"/>
    <w:rsid w:val="002D76C4"/>
    <w:rsid w:val="003E7077"/>
    <w:rsid w:val="00402821"/>
    <w:rsid w:val="0046220F"/>
    <w:rsid w:val="004E5C81"/>
    <w:rsid w:val="0052529D"/>
    <w:rsid w:val="00607D68"/>
    <w:rsid w:val="00634322"/>
    <w:rsid w:val="006E1335"/>
    <w:rsid w:val="006F681F"/>
    <w:rsid w:val="007468DA"/>
    <w:rsid w:val="007F6848"/>
    <w:rsid w:val="00856DB4"/>
    <w:rsid w:val="008B5342"/>
    <w:rsid w:val="008F0698"/>
    <w:rsid w:val="00961C08"/>
    <w:rsid w:val="009E00A8"/>
    <w:rsid w:val="00A04A2F"/>
    <w:rsid w:val="00A563A7"/>
    <w:rsid w:val="00A60C5D"/>
    <w:rsid w:val="00A6617B"/>
    <w:rsid w:val="00AB0DC8"/>
    <w:rsid w:val="00AE2D7D"/>
    <w:rsid w:val="00B44E24"/>
    <w:rsid w:val="00C15069"/>
    <w:rsid w:val="00C76FC0"/>
    <w:rsid w:val="00D21561"/>
    <w:rsid w:val="00DF4176"/>
    <w:rsid w:val="00E21D89"/>
    <w:rsid w:val="00E37AB0"/>
    <w:rsid w:val="00FA5053"/>
    <w:rsid w:val="00FD24D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7511F15-18B5-4A96-AC34-4693108D7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69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F0698"/>
    <w:rPr>
      <w:color w:val="0000FF"/>
      <w:u w:val="single"/>
    </w:rPr>
  </w:style>
  <w:style w:type="character" w:customStyle="1" w:styleId="TableheadChar">
    <w:name w:val="Table_head Char"/>
    <w:basedOn w:val="DefaultParagraphFont"/>
    <w:link w:val="Tablehead"/>
    <w:locked/>
    <w:rsid w:val="008F0698"/>
    <w:rPr>
      <w:b/>
      <w:sz w:val="22"/>
      <w:lang w:val="fr-FR" w:eastAsia="en-US"/>
    </w:rPr>
  </w:style>
  <w:style w:type="character" w:customStyle="1" w:styleId="TabletextChar">
    <w:name w:val="Table_text Char"/>
    <w:basedOn w:val="DefaultParagraphFont"/>
    <w:link w:val="Tabletext"/>
    <w:locked/>
    <w:rsid w:val="008F0698"/>
    <w:rPr>
      <w:sz w:val="22"/>
      <w:lang w:val="fr-FR" w:eastAsia="en-US"/>
    </w:rPr>
  </w:style>
  <w:style w:type="character" w:customStyle="1" w:styleId="Heading1Char">
    <w:name w:val="Heading 1 Char"/>
    <w:basedOn w:val="DefaultParagraphFont"/>
    <w:link w:val="Heading1"/>
    <w:rsid w:val="008F0698"/>
    <w:rPr>
      <w:b/>
      <w:sz w:val="24"/>
      <w:lang w:val="fr-FR" w:eastAsia="en-US"/>
    </w:rPr>
  </w:style>
  <w:style w:type="character" w:customStyle="1" w:styleId="HeaderChar">
    <w:name w:val="Header Char"/>
    <w:basedOn w:val="DefaultParagraphFont"/>
    <w:link w:val="Header"/>
    <w:rsid w:val="008F0698"/>
    <w:rPr>
      <w:sz w:val="24"/>
      <w:lang w:val="fr-FR" w:eastAsia="en-US"/>
    </w:rPr>
  </w:style>
  <w:style w:type="character" w:customStyle="1" w:styleId="FootnoteTextChar">
    <w:name w:val="Footnote Text Char"/>
    <w:basedOn w:val="DefaultParagraphFont"/>
    <w:link w:val="FootnoteText"/>
    <w:rsid w:val="008F0698"/>
    <w:rPr>
      <w:sz w:val="22"/>
      <w:lang w:val="fr-FR" w:eastAsia="en-US"/>
    </w:rPr>
  </w:style>
  <w:style w:type="character" w:customStyle="1" w:styleId="enumlev1Char">
    <w:name w:val="enumlev1 Char"/>
    <w:link w:val="enumlev1"/>
    <w:uiPriority w:val="99"/>
    <w:locked/>
    <w:rsid w:val="008F0698"/>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5.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http://www.itu.int/publ/R-REP-M.2014/es"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190</TotalTime>
  <Pages>9</Pages>
  <Words>2953</Words>
  <Characters>16392</Characters>
  <Application>Microsoft Office Word</Application>
  <DocSecurity>0</DocSecurity>
  <Lines>468</Lines>
  <Paragraphs>63</Paragraphs>
  <ScaleCrop>false</ScaleCrop>
  <HeadingPairs>
    <vt:vector size="2" baseType="variant">
      <vt:variant>
        <vt:lpstr>Title</vt:lpstr>
      </vt:variant>
      <vt:variant>
        <vt:i4>1</vt:i4>
      </vt:variant>
    </vt:vector>
  </HeadingPairs>
  <TitlesOfParts>
    <vt:vector size="1" baseType="lpstr">
      <vt:lpstr>RECOMENDACIÓN  UIT-R  M.2009-2 - Normas de interfaz radioeléctrica para las actividades de protección pública y socorro en caso de catástrofe de conformidad con la Resolución 646 (Rev.CMR-15)</vt:lpstr>
    </vt:vector>
  </TitlesOfParts>
  <Manager/>
  <Company>ITU</Company>
  <LinksUpToDate>false</LinksUpToDate>
  <CharactersWithSpaces>19282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M.2009-2 - Normas de interfaz radioeléctrica para las actividades de protección pública y socorro en caso de catástrofe de conformidad con la Resolución 646 (Rev.CMR-15)</dc:title>
  <dc:subject>Serie M = Servicios móviles, de radiodeterminación y de aficionados, incluidos los correspondientes servicios por satélite</dc:subject>
  <dc:creator>Oficina de Radiocomunicaciones del UIT (BR)</dc:creator>
  <cp:keywords>M,2009-2</cp:keywords>
  <dc:description>Martiner, 30/05/2019, ITU51013816</dc:description>
  <cp:lastModifiedBy>Martinez Romera, Angel</cp:lastModifiedBy>
  <cp:revision>24</cp:revision>
  <cp:lastPrinted>2019-05-30T08:58:00Z</cp:lastPrinted>
  <dcterms:created xsi:type="dcterms:W3CDTF">2019-05-29T13:07:00Z</dcterms:created>
  <dcterms:modified xsi:type="dcterms:W3CDTF">2019-05-30T09:04:00Z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30 May 2019</vt:lpwstr>
  </property>
</Properties>
</file>