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p w:rsidR="006E4BDA" w:rsidRPr="0051662C" w:rsidRDefault="006E4BDA">
      <w:pPr>
        <w:rPr>
          <w:lang w:val="fr-CH"/>
        </w:rPr>
      </w:pPr>
    </w:p>
    <w:tbl>
      <w:tblPr>
        <w:tblW w:w="10089" w:type="dxa"/>
        <w:tblLook w:val="01E0" w:firstRow="1" w:lastRow="1" w:firstColumn="1" w:lastColumn="1" w:noHBand="0" w:noVBand="0"/>
      </w:tblPr>
      <w:tblGrid>
        <w:gridCol w:w="10089"/>
      </w:tblGrid>
      <w:tr w:rsidR="006E4BDA" w:rsidRPr="0051662C">
        <w:tc>
          <w:tcPr>
            <w:tcW w:w="10089" w:type="dxa"/>
          </w:tcPr>
          <w:p w:rsidR="006E4BDA" w:rsidRPr="0051662C" w:rsidRDefault="006E4BDA" w:rsidP="00013002">
            <w:pPr>
              <w:spacing w:before="380" w:line="280" w:lineRule="exact"/>
              <w:jc w:val="right"/>
              <w:rPr>
                <w:rFonts w:ascii="Tahoma" w:hAnsi="Tahoma" w:cs="Tahoma"/>
                <w:b/>
                <w:bCs/>
                <w:iCs/>
                <w:color w:val="243285"/>
                <w:sz w:val="32"/>
                <w:szCs w:val="32"/>
                <w:lang w:val="fr-CH"/>
              </w:rPr>
            </w:pPr>
          </w:p>
          <w:p w:rsidR="006E4BDA" w:rsidRPr="0051662C" w:rsidRDefault="006E4BDA" w:rsidP="006E4BDA">
            <w:pPr>
              <w:spacing w:before="380" w:line="280" w:lineRule="exact"/>
              <w:jc w:val="right"/>
              <w:rPr>
                <w:rFonts w:ascii="Tahoma" w:hAnsi="Tahoma" w:cs="Tahoma"/>
                <w:b/>
                <w:bCs/>
                <w:iCs/>
                <w:color w:val="243285"/>
                <w:sz w:val="36"/>
                <w:szCs w:val="36"/>
                <w:lang w:val="fr-CH"/>
              </w:rPr>
            </w:pPr>
            <w:r w:rsidRPr="0051662C">
              <w:rPr>
                <w:rFonts w:ascii="Tahoma" w:hAnsi="Tahoma" w:cs="Tahoma"/>
                <w:b/>
                <w:bCs/>
                <w:iCs/>
                <w:color w:val="243285"/>
                <w:sz w:val="36"/>
                <w:szCs w:val="36"/>
                <w:lang w:val="fr-CH"/>
              </w:rPr>
              <w:t>Recommandation  UIT-R  M.2015</w:t>
            </w:r>
          </w:p>
          <w:p w:rsidR="006E4BDA" w:rsidRPr="0051662C" w:rsidRDefault="006E4BDA" w:rsidP="006E4BDA">
            <w:pPr>
              <w:spacing w:before="80" w:line="280" w:lineRule="exact"/>
              <w:jc w:val="right"/>
              <w:rPr>
                <w:rFonts w:ascii="Tahoma" w:hAnsi="Tahoma" w:cs="Tahoma"/>
                <w:b/>
                <w:bCs/>
                <w:iCs/>
                <w:color w:val="243285"/>
                <w:szCs w:val="24"/>
                <w:lang w:val="fr-CH"/>
              </w:rPr>
            </w:pPr>
            <w:r w:rsidRPr="0051662C">
              <w:rPr>
                <w:rFonts w:ascii="Tahoma" w:hAnsi="Tahoma" w:cs="Tahoma"/>
                <w:b/>
                <w:bCs/>
                <w:iCs/>
                <w:color w:val="243285"/>
                <w:szCs w:val="24"/>
                <w:lang w:val="fr-CH"/>
              </w:rPr>
              <w:t>(03/2012)</w:t>
            </w:r>
          </w:p>
        </w:tc>
      </w:tr>
      <w:tr w:rsidR="006E4BDA" w:rsidRPr="0051662C">
        <w:tc>
          <w:tcPr>
            <w:tcW w:w="10089" w:type="dxa"/>
          </w:tcPr>
          <w:p w:rsidR="006E4BDA" w:rsidRPr="0051662C" w:rsidRDefault="006E4BDA" w:rsidP="006E4BDA">
            <w:pPr>
              <w:spacing w:before="80" w:line="500" w:lineRule="exact"/>
              <w:jc w:val="right"/>
              <w:rPr>
                <w:rFonts w:ascii="Tahoma" w:hAnsi="Tahoma" w:cs="Tahoma"/>
                <w:b/>
                <w:bCs/>
                <w:iCs/>
                <w:color w:val="243285"/>
                <w:sz w:val="44"/>
                <w:szCs w:val="44"/>
                <w:lang w:val="fr-CH"/>
              </w:rPr>
            </w:pPr>
            <w:r w:rsidRPr="0051662C">
              <w:rPr>
                <w:rFonts w:ascii="Tahoma" w:hAnsi="Tahoma" w:cs="Tahoma"/>
                <w:b/>
                <w:bCs/>
                <w:color w:val="243285"/>
                <w:sz w:val="44"/>
                <w:szCs w:val="44"/>
                <w:lang w:val="fr-CH"/>
              </w:rPr>
              <w:br/>
              <w:t>Dispositions de fréquences pour les systèmes de radiocommunication destinés à la protection du public et aux opérations de secours en cas de catastrophe dans les bandes d'ondes décimétriques conformément à la Résolution 646 (Rév.CMR-12)</w:t>
            </w:r>
          </w:p>
        </w:tc>
      </w:tr>
      <w:tr w:rsidR="006E4BDA" w:rsidRPr="0051662C">
        <w:tc>
          <w:tcPr>
            <w:tcW w:w="10089" w:type="dxa"/>
          </w:tcPr>
          <w:p w:rsidR="006E4BDA" w:rsidRPr="0051662C" w:rsidRDefault="006E4BDA" w:rsidP="00AD267B">
            <w:pPr>
              <w:spacing w:before="80" w:line="280" w:lineRule="exact"/>
              <w:ind w:right="640"/>
              <w:rPr>
                <w:rFonts w:ascii="Tahoma" w:hAnsi="Tahoma" w:cs="Tahoma"/>
                <w:b/>
                <w:bCs/>
                <w:iCs/>
                <w:color w:val="243285"/>
                <w:sz w:val="32"/>
                <w:szCs w:val="32"/>
                <w:lang w:val="fr-CH"/>
              </w:rPr>
            </w:pPr>
          </w:p>
          <w:p w:rsidR="006E4BDA" w:rsidRPr="0051662C" w:rsidRDefault="006E4BDA" w:rsidP="00AD267B">
            <w:pPr>
              <w:spacing w:before="80" w:line="280" w:lineRule="exact"/>
              <w:ind w:right="640"/>
              <w:rPr>
                <w:rFonts w:ascii="Tahoma" w:hAnsi="Tahoma" w:cs="Tahoma"/>
                <w:b/>
                <w:bCs/>
                <w:iCs/>
                <w:color w:val="243285"/>
                <w:sz w:val="32"/>
                <w:szCs w:val="32"/>
                <w:lang w:val="fr-CH"/>
              </w:rPr>
            </w:pPr>
          </w:p>
          <w:p w:rsidR="006E4BDA" w:rsidRPr="0051662C" w:rsidRDefault="006E4BDA" w:rsidP="004A4D65">
            <w:pPr>
              <w:spacing w:before="80" w:after="180" w:line="360" w:lineRule="exact"/>
              <w:ind w:right="720"/>
              <w:rPr>
                <w:rFonts w:ascii="Tahoma" w:hAnsi="Tahoma" w:cs="Tahoma"/>
                <w:b/>
                <w:bCs/>
                <w:iCs/>
                <w:color w:val="243285"/>
                <w:sz w:val="36"/>
                <w:szCs w:val="36"/>
                <w:lang w:val="fr-CH"/>
              </w:rPr>
            </w:pPr>
          </w:p>
          <w:p w:rsidR="006E4BDA" w:rsidRPr="0051662C" w:rsidRDefault="006E4BDA" w:rsidP="00592F9F">
            <w:pPr>
              <w:spacing w:before="80" w:after="180" w:line="360" w:lineRule="exact"/>
              <w:jc w:val="right"/>
              <w:rPr>
                <w:rFonts w:ascii="Tahoma" w:hAnsi="Tahoma" w:cs="Tahoma"/>
                <w:b/>
                <w:bCs/>
                <w:iCs/>
                <w:color w:val="243285"/>
                <w:sz w:val="36"/>
                <w:szCs w:val="36"/>
                <w:lang w:val="fr-CH"/>
              </w:rPr>
            </w:pPr>
            <w:r w:rsidRPr="0051662C">
              <w:rPr>
                <w:rFonts w:ascii="Tahoma" w:hAnsi="Tahoma" w:cs="Tahoma"/>
                <w:b/>
                <w:bCs/>
                <w:iCs/>
                <w:color w:val="243285"/>
                <w:sz w:val="36"/>
                <w:szCs w:val="36"/>
                <w:lang w:val="fr-CH"/>
              </w:rPr>
              <w:t>Série M</w:t>
            </w:r>
          </w:p>
          <w:p w:rsidR="006E4BDA" w:rsidRPr="0051662C" w:rsidRDefault="006E4BDA" w:rsidP="00AD267B">
            <w:pPr>
              <w:spacing w:before="80" w:line="420" w:lineRule="exact"/>
              <w:jc w:val="right"/>
              <w:rPr>
                <w:rFonts w:ascii="Tahoma" w:hAnsi="Tahoma" w:cs="Tahoma"/>
                <w:b/>
                <w:bCs/>
                <w:iCs/>
                <w:color w:val="243285"/>
                <w:sz w:val="36"/>
                <w:szCs w:val="36"/>
                <w:lang w:val="fr-CH"/>
              </w:rPr>
            </w:pPr>
            <w:r w:rsidRPr="0051662C">
              <w:rPr>
                <w:rFonts w:ascii="Tahoma" w:hAnsi="Tahoma" w:cs="Tahoma"/>
                <w:b/>
                <w:bCs/>
                <w:iCs/>
                <w:color w:val="243285"/>
                <w:sz w:val="36"/>
                <w:szCs w:val="36"/>
                <w:lang w:val="fr-CH"/>
              </w:rPr>
              <w:t>Services mobile, de radiorepérage et d’amateur</w:t>
            </w:r>
            <w:r w:rsidRPr="0051662C">
              <w:rPr>
                <w:rFonts w:ascii="Tahoma" w:hAnsi="Tahoma" w:cs="Tahoma"/>
                <w:b/>
                <w:bCs/>
                <w:iCs/>
                <w:color w:val="243285"/>
                <w:sz w:val="36"/>
                <w:szCs w:val="36"/>
                <w:lang w:val="fr-CH"/>
              </w:rPr>
              <w:br/>
              <w:t>y compris les services par satellite associés</w:t>
            </w:r>
          </w:p>
        </w:tc>
      </w:tr>
    </w:tbl>
    <w:p w:rsidR="006E4BDA" w:rsidRPr="0051662C" w:rsidRDefault="006E4BDA" w:rsidP="00CD659B">
      <w:pPr>
        <w:spacing w:before="80"/>
        <w:rPr>
          <w:i/>
          <w:sz w:val="22"/>
          <w:lang w:val="fr-CH"/>
        </w:rPr>
      </w:pPr>
    </w:p>
    <w:p w:rsidR="006E4BDA" w:rsidRPr="0051662C" w:rsidRDefault="006E4BDA" w:rsidP="00CD659B">
      <w:pPr>
        <w:spacing w:before="80"/>
        <w:rPr>
          <w:i/>
          <w:sz w:val="22"/>
          <w:lang w:val="fr-CH"/>
        </w:rPr>
      </w:pPr>
    </w:p>
    <w:p w:rsidR="006E4BDA" w:rsidRPr="0051662C" w:rsidRDefault="006E4BDA" w:rsidP="00CD659B">
      <w:pPr>
        <w:spacing w:before="80"/>
        <w:rPr>
          <w:i/>
          <w:sz w:val="22"/>
          <w:lang w:val="fr-CH"/>
        </w:rPr>
      </w:pPr>
    </w:p>
    <w:p w:rsidR="006E4BDA" w:rsidRPr="0051662C" w:rsidRDefault="006E4BDA" w:rsidP="00CD659B">
      <w:pPr>
        <w:spacing w:before="80"/>
        <w:rPr>
          <w:i/>
          <w:sz w:val="22"/>
          <w:lang w:val="fr-CH"/>
        </w:rPr>
      </w:pPr>
    </w:p>
    <w:p w:rsidR="006E4BDA" w:rsidRPr="0051662C" w:rsidRDefault="006E4BDA" w:rsidP="00CD659B">
      <w:pPr>
        <w:spacing w:before="80"/>
        <w:rPr>
          <w:i/>
          <w:sz w:val="22"/>
          <w:lang w:val="fr-CH"/>
        </w:rPr>
      </w:pPr>
    </w:p>
    <w:p w:rsidR="006E4BDA" w:rsidRPr="0051662C" w:rsidRDefault="006E4BDA" w:rsidP="00CD659B">
      <w:pPr>
        <w:spacing w:before="80"/>
        <w:rPr>
          <w:i/>
          <w:sz w:val="22"/>
          <w:lang w:val="fr-CH"/>
        </w:rPr>
      </w:pPr>
    </w:p>
    <w:p w:rsidR="006E4BDA" w:rsidRPr="0051662C" w:rsidRDefault="006E4BDA" w:rsidP="00CD659B">
      <w:pPr>
        <w:pStyle w:val="Equation"/>
        <w:tabs>
          <w:tab w:val="clear" w:pos="4820"/>
          <w:tab w:val="clear" w:pos="9639"/>
          <w:tab w:val="left" w:pos="1191"/>
          <w:tab w:val="left" w:pos="1588"/>
          <w:tab w:val="left" w:pos="1985"/>
        </w:tabs>
        <w:rPr>
          <w:rFonts w:ascii="Palatino Linotype" w:hAnsi="Palatino Linotype"/>
          <w:lang w:val="fr-CH"/>
        </w:rPr>
        <w:sectPr w:rsidR="006E4BDA" w:rsidRPr="0051662C" w:rsidSect="00197881">
          <w:headerReference w:type="even" r:id="rId7"/>
          <w:headerReference w:type="default" r:id="rId8"/>
          <w:pgSz w:w="11907" w:h="16834" w:code="9"/>
          <w:pgMar w:top="1418" w:right="1134" w:bottom="1134" w:left="1134" w:header="720" w:footer="482" w:gutter="0"/>
          <w:paperSrc w:first="15" w:other="15"/>
          <w:cols w:space="720"/>
        </w:sectPr>
      </w:pPr>
    </w:p>
    <w:p w:rsidR="006E4BDA" w:rsidRPr="0051662C" w:rsidRDefault="006E4BDA"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51662C">
        <w:rPr>
          <w:bCs/>
          <w:sz w:val="24"/>
          <w:szCs w:val="24"/>
          <w:lang w:val="fr-CH"/>
        </w:rPr>
        <w:lastRenderedPageBreak/>
        <w:t>Avant-propos</w:t>
      </w:r>
    </w:p>
    <w:p w:rsidR="006E4BDA" w:rsidRPr="0051662C" w:rsidRDefault="006E4BDA" w:rsidP="00F54FBD">
      <w:pPr>
        <w:spacing w:before="240"/>
        <w:rPr>
          <w:sz w:val="20"/>
          <w:lang w:val="fr-CH"/>
        </w:rPr>
      </w:pPr>
      <w:r w:rsidRPr="0051662C">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E4BDA" w:rsidRPr="0051662C" w:rsidRDefault="006E4BDA" w:rsidP="00F54FBD">
      <w:pPr>
        <w:rPr>
          <w:sz w:val="20"/>
          <w:lang w:val="fr-CH"/>
        </w:rPr>
      </w:pPr>
      <w:r w:rsidRPr="0051662C">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E4BDA" w:rsidRPr="0051662C" w:rsidRDefault="006E4BDA" w:rsidP="00614CC6">
      <w:pPr>
        <w:pStyle w:val="Heading1"/>
        <w:spacing w:before="360"/>
        <w:jc w:val="center"/>
        <w:rPr>
          <w:szCs w:val="24"/>
          <w:lang w:val="fr-CH"/>
        </w:rPr>
      </w:pPr>
      <w:r w:rsidRPr="0051662C">
        <w:rPr>
          <w:szCs w:val="24"/>
          <w:lang w:val="fr-CH"/>
        </w:rPr>
        <w:t>Politique en matière de droits de propriété intellectuelle (IPR)</w:t>
      </w:r>
    </w:p>
    <w:p w:rsidR="006E4BDA" w:rsidRPr="0051662C" w:rsidRDefault="006E4BDA" w:rsidP="00E44CBB">
      <w:pPr>
        <w:spacing w:before="240"/>
        <w:rPr>
          <w:sz w:val="20"/>
          <w:lang w:val="fr-CH"/>
        </w:rPr>
      </w:pPr>
      <w:r w:rsidRPr="0051662C">
        <w:rPr>
          <w:sz w:val="20"/>
          <w:lang w:val="fr-CH"/>
        </w:rPr>
        <w:t>La politique de l'UIT</w:t>
      </w:r>
      <w:r w:rsidRPr="0051662C">
        <w:rPr>
          <w:sz w:val="20"/>
          <w:lang w:val="fr-CH"/>
        </w:rPr>
        <w:noBreakHyphen/>
        <w:t>R en matière de droits de propriété intellectuelle est décrite dans la «Politique commune de l'UIT</w:t>
      </w:r>
      <w:r w:rsidRPr="0051662C">
        <w:rPr>
          <w:sz w:val="20"/>
          <w:lang w:val="fr-CH"/>
        </w:rPr>
        <w:noBreakHyphen/>
        <w:t>T, l'UIT</w:t>
      </w:r>
      <w:r w:rsidRPr="0051662C">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1662C">
          <w:rPr>
            <w:rStyle w:val="Hyperlink"/>
            <w:sz w:val="20"/>
            <w:lang w:val="fr-CH"/>
          </w:rPr>
          <w:t>http://www.itu.int/ITU-R/go/patents/fr</w:t>
        </w:r>
      </w:hyperlink>
      <w:r w:rsidRPr="0051662C">
        <w:rPr>
          <w:sz w:val="20"/>
          <w:lang w:val="fr-CH"/>
        </w:rPr>
        <w:t>, où l'on trouvera également les Lignes directrices pour la mise en oeuvre de la politique commune en matière de brevets de l'UIT</w:t>
      </w:r>
      <w:r w:rsidRPr="0051662C">
        <w:rPr>
          <w:sz w:val="20"/>
          <w:lang w:val="fr-CH"/>
        </w:rPr>
        <w:noBreakHyphen/>
        <w:t>T, l'UIT</w:t>
      </w:r>
      <w:r w:rsidRPr="0051662C">
        <w:rPr>
          <w:sz w:val="20"/>
          <w:lang w:val="fr-CH"/>
        </w:rPr>
        <w:noBreakHyphen/>
        <w:t>R, l'ISO et la CEI</w:t>
      </w:r>
      <w:r w:rsidRPr="0051662C" w:rsidDel="0061025C">
        <w:rPr>
          <w:sz w:val="20"/>
          <w:lang w:val="fr-CH"/>
        </w:rPr>
        <w:t xml:space="preserve"> </w:t>
      </w:r>
      <w:r w:rsidRPr="0051662C">
        <w:rPr>
          <w:sz w:val="20"/>
          <w:lang w:val="fr-CH"/>
        </w:rPr>
        <w:t>et la base de données en matière de brevets de l'UIT-R.</w:t>
      </w:r>
    </w:p>
    <w:p w:rsidR="006E4BDA" w:rsidRPr="0051662C" w:rsidRDefault="006E4BDA"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E4BDA" w:rsidRPr="0051662C">
        <w:tc>
          <w:tcPr>
            <w:tcW w:w="9360" w:type="dxa"/>
            <w:gridSpan w:val="2"/>
          </w:tcPr>
          <w:p w:rsidR="006E4BDA" w:rsidRPr="0051662C" w:rsidRDefault="006E4BDA"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51662C">
              <w:rPr>
                <w:sz w:val="22"/>
                <w:szCs w:val="22"/>
                <w:lang w:val="fr-CH"/>
              </w:rPr>
              <w:t xml:space="preserve">Séries des Recommandations UIT-R </w:t>
            </w:r>
          </w:p>
          <w:p w:rsidR="006E4BDA" w:rsidRPr="0051662C" w:rsidRDefault="006E4BD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1662C">
              <w:rPr>
                <w:b w:val="0"/>
                <w:sz w:val="18"/>
                <w:szCs w:val="18"/>
                <w:lang w:val="fr-CH"/>
              </w:rPr>
              <w:t xml:space="preserve">(Egalement disponible en ligne: </w:t>
            </w:r>
            <w:hyperlink r:id="rId10" w:history="1">
              <w:r w:rsidRPr="0051662C">
                <w:rPr>
                  <w:rStyle w:val="Hyperlink"/>
                  <w:b w:val="0"/>
                  <w:bCs/>
                  <w:sz w:val="18"/>
                  <w:szCs w:val="18"/>
                  <w:lang w:val="fr-CH"/>
                </w:rPr>
                <w:t>http://www.itu.int/publ/R-REC/fr</w:t>
              </w:r>
            </w:hyperlink>
            <w:r w:rsidRPr="0051662C">
              <w:rPr>
                <w:b w:val="0"/>
                <w:bCs/>
                <w:sz w:val="18"/>
                <w:szCs w:val="18"/>
                <w:lang w:val="fr-CH"/>
              </w:rPr>
              <w:t>)</w:t>
            </w:r>
          </w:p>
        </w:tc>
      </w:tr>
      <w:tr w:rsidR="006E4BDA" w:rsidRPr="0051662C">
        <w:tc>
          <w:tcPr>
            <w:tcW w:w="1140" w:type="dxa"/>
          </w:tcPr>
          <w:p w:rsidR="006E4BDA" w:rsidRPr="0051662C" w:rsidRDefault="006E4BDA" w:rsidP="00614CC6">
            <w:pPr>
              <w:spacing w:before="90" w:after="100"/>
              <w:ind w:left="57"/>
              <w:rPr>
                <w:b/>
                <w:bCs/>
                <w:sz w:val="20"/>
                <w:lang w:val="fr-CH"/>
              </w:rPr>
            </w:pPr>
            <w:r w:rsidRPr="0051662C">
              <w:rPr>
                <w:b/>
                <w:bCs/>
                <w:sz w:val="20"/>
                <w:lang w:val="fr-CH"/>
              </w:rPr>
              <w:t>Séries</w:t>
            </w:r>
          </w:p>
        </w:tc>
        <w:tc>
          <w:tcPr>
            <w:tcW w:w="8220" w:type="dxa"/>
          </w:tcPr>
          <w:p w:rsidR="006E4BDA" w:rsidRPr="0051662C" w:rsidRDefault="006E4BDA"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1662C">
              <w:rPr>
                <w:bCs/>
                <w:sz w:val="20"/>
                <w:lang w:val="fr-CH"/>
              </w:rPr>
              <w:t>Titre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BO</w:t>
            </w:r>
          </w:p>
        </w:tc>
        <w:tc>
          <w:tcPr>
            <w:tcW w:w="8220" w:type="dxa"/>
          </w:tcPr>
          <w:p w:rsidR="006E4BDA" w:rsidRPr="0051662C" w:rsidRDefault="006E4BD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1662C">
              <w:rPr>
                <w:b w:val="0"/>
                <w:bCs/>
                <w:sz w:val="20"/>
                <w:lang w:val="fr-CH"/>
              </w:rPr>
              <w:t>Diffusion par satellite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BR</w:t>
            </w:r>
          </w:p>
        </w:tc>
        <w:tc>
          <w:tcPr>
            <w:tcW w:w="8220" w:type="dxa"/>
          </w:tcPr>
          <w:p w:rsidR="006E4BDA" w:rsidRPr="0051662C" w:rsidRDefault="006E4BD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1662C">
              <w:rPr>
                <w:b w:val="0"/>
                <w:bCs/>
                <w:sz w:val="20"/>
                <w:lang w:val="fr-CH"/>
              </w:rPr>
              <w:t>Enregistrement pour la production, l'archivage et la diffusion; films pour la télévision</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BS</w:t>
            </w:r>
          </w:p>
        </w:tc>
        <w:tc>
          <w:tcPr>
            <w:tcW w:w="8220" w:type="dxa"/>
          </w:tcPr>
          <w:p w:rsidR="006E4BDA" w:rsidRPr="0051662C" w:rsidRDefault="006E4BD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1662C">
              <w:rPr>
                <w:b w:val="0"/>
                <w:bCs/>
                <w:sz w:val="20"/>
                <w:lang w:val="fr-CH"/>
              </w:rPr>
              <w:t>Service de radiodiffusion sonore</w:t>
            </w:r>
          </w:p>
        </w:tc>
      </w:tr>
      <w:tr w:rsidR="006E4BDA" w:rsidRPr="0051662C">
        <w:tc>
          <w:tcPr>
            <w:tcW w:w="1140" w:type="dxa"/>
            <w:shd w:val="clear" w:color="auto" w:fill="auto"/>
          </w:tcPr>
          <w:p w:rsidR="006E4BDA" w:rsidRPr="0051662C" w:rsidRDefault="006E4BDA" w:rsidP="00F336CC">
            <w:pPr>
              <w:spacing w:before="30" w:after="30"/>
              <w:ind w:left="57"/>
              <w:jc w:val="left"/>
              <w:rPr>
                <w:b/>
                <w:bCs/>
                <w:sz w:val="20"/>
                <w:lang w:val="fr-CH"/>
              </w:rPr>
            </w:pPr>
            <w:r w:rsidRPr="0051662C">
              <w:rPr>
                <w:b/>
                <w:bCs/>
                <w:sz w:val="20"/>
                <w:lang w:val="fr-CH"/>
              </w:rPr>
              <w:t>BT</w:t>
            </w:r>
          </w:p>
        </w:tc>
        <w:tc>
          <w:tcPr>
            <w:tcW w:w="8220" w:type="dxa"/>
            <w:shd w:val="clear" w:color="auto" w:fill="auto"/>
          </w:tcPr>
          <w:p w:rsidR="006E4BDA" w:rsidRPr="0051662C" w:rsidRDefault="006E4BD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1662C">
              <w:rPr>
                <w:b w:val="0"/>
                <w:bCs/>
                <w:sz w:val="20"/>
                <w:lang w:val="fr-CH"/>
              </w:rPr>
              <w:t>Service de radiodiffusion télévisuelle</w:t>
            </w:r>
          </w:p>
        </w:tc>
      </w:tr>
      <w:tr w:rsidR="006E4BDA" w:rsidRPr="0051662C">
        <w:tc>
          <w:tcPr>
            <w:tcW w:w="1140" w:type="dxa"/>
            <w:shd w:val="clear" w:color="auto" w:fill="auto"/>
          </w:tcPr>
          <w:p w:rsidR="006E4BDA" w:rsidRPr="0051662C" w:rsidRDefault="006E4BDA" w:rsidP="00F336CC">
            <w:pPr>
              <w:spacing w:before="30" w:after="30"/>
              <w:ind w:left="57"/>
              <w:jc w:val="left"/>
              <w:rPr>
                <w:b/>
                <w:bCs/>
                <w:sz w:val="20"/>
                <w:lang w:val="fr-CH"/>
              </w:rPr>
            </w:pPr>
            <w:r w:rsidRPr="0051662C">
              <w:rPr>
                <w:b/>
                <w:bCs/>
                <w:sz w:val="20"/>
                <w:lang w:val="fr-CH"/>
              </w:rPr>
              <w:t>F</w:t>
            </w:r>
          </w:p>
        </w:tc>
        <w:tc>
          <w:tcPr>
            <w:tcW w:w="8220" w:type="dxa"/>
            <w:shd w:val="clear" w:color="auto" w:fill="auto"/>
          </w:tcPr>
          <w:p w:rsidR="006E4BDA" w:rsidRPr="0051662C" w:rsidRDefault="006E4BD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1662C">
              <w:rPr>
                <w:sz w:val="20"/>
                <w:lang w:val="fr-CH"/>
              </w:rPr>
              <w:t>Service fixe</w:t>
            </w:r>
          </w:p>
        </w:tc>
      </w:tr>
      <w:tr w:rsidR="006E4BDA" w:rsidRPr="0051662C">
        <w:tc>
          <w:tcPr>
            <w:tcW w:w="1140" w:type="dxa"/>
            <w:shd w:val="clear" w:color="auto" w:fill="F3F3F3"/>
          </w:tcPr>
          <w:p w:rsidR="006E4BDA" w:rsidRPr="0051662C" w:rsidRDefault="006E4BDA" w:rsidP="00F336CC">
            <w:pPr>
              <w:spacing w:before="30" w:after="30"/>
              <w:ind w:left="57"/>
              <w:jc w:val="left"/>
              <w:rPr>
                <w:b/>
                <w:bCs/>
                <w:color w:val="000080"/>
                <w:sz w:val="20"/>
                <w:lang w:val="fr-CH"/>
              </w:rPr>
            </w:pPr>
            <w:r w:rsidRPr="0051662C">
              <w:rPr>
                <w:b/>
                <w:bCs/>
                <w:color w:val="000080"/>
                <w:sz w:val="20"/>
                <w:lang w:val="fr-CH"/>
              </w:rPr>
              <w:t>M</w:t>
            </w:r>
          </w:p>
        </w:tc>
        <w:tc>
          <w:tcPr>
            <w:tcW w:w="8220" w:type="dxa"/>
            <w:shd w:val="clear" w:color="auto" w:fill="F3F3F3"/>
          </w:tcPr>
          <w:p w:rsidR="006E4BDA" w:rsidRPr="0051662C" w:rsidRDefault="006E4BD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51662C">
              <w:rPr>
                <w:bCs/>
                <w:color w:val="000080"/>
                <w:sz w:val="20"/>
                <w:lang w:val="fr-CH"/>
              </w:rPr>
              <w:t>Services mobile, de radiorepérage et d'amateur y compris les services par satellite associés</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P</w:t>
            </w:r>
          </w:p>
        </w:tc>
        <w:tc>
          <w:tcPr>
            <w:tcW w:w="8220" w:type="dxa"/>
          </w:tcPr>
          <w:p w:rsidR="006E4BDA" w:rsidRPr="0051662C" w:rsidRDefault="006E4BDA" w:rsidP="00F336CC">
            <w:pPr>
              <w:spacing w:before="30" w:after="30"/>
              <w:jc w:val="left"/>
              <w:rPr>
                <w:sz w:val="20"/>
                <w:lang w:val="fr-CH"/>
              </w:rPr>
            </w:pPr>
            <w:r w:rsidRPr="0051662C">
              <w:rPr>
                <w:sz w:val="20"/>
                <w:lang w:val="fr-CH"/>
              </w:rPr>
              <w:t>Propagation des ondes radioélectriques</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RA</w:t>
            </w:r>
          </w:p>
        </w:tc>
        <w:tc>
          <w:tcPr>
            <w:tcW w:w="8220" w:type="dxa"/>
          </w:tcPr>
          <w:p w:rsidR="006E4BDA" w:rsidRPr="0051662C" w:rsidRDefault="006E4BD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1662C">
              <w:rPr>
                <w:sz w:val="20"/>
                <w:lang w:val="fr-CH"/>
              </w:rPr>
              <w:t>Radio astronomie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RS</w:t>
            </w:r>
          </w:p>
        </w:tc>
        <w:tc>
          <w:tcPr>
            <w:tcW w:w="8220" w:type="dxa"/>
          </w:tcPr>
          <w:p w:rsidR="006E4BDA" w:rsidRPr="0051662C" w:rsidRDefault="006E4BD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1662C">
              <w:rPr>
                <w:sz w:val="20"/>
                <w:lang w:val="fr-CH"/>
              </w:rPr>
              <w:t>Systèmes de télédétection</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S</w:t>
            </w:r>
          </w:p>
        </w:tc>
        <w:tc>
          <w:tcPr>
            <w:tcW w:w="8220" w:type="dxa"/>
          </w:tcPr>
          <w:p w:rsidR="006E4BDA" w:rsidRPr="0051662C" w:rsidRDefault="006E4BDA" w:rsidP="00F336CC">
            <w:pPr>
              <w:spacing w:before="30" w:after="30"/>
              <w:jc w:val="left"/>
              <w:rPr>
                <w:sz w:val="20"/>
                <w:lang w:val="fr-CH"/>
              </w:rPr>
            </w:pPr>
            <w:r w:rsidRPr="0051662C">
              <w:rPr>
                <w:sz w:val="20"/>
                <w:lang w:val="fr-CH"/>
              </w:rPr>
              <w:t>Service fixe par satellite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SA</w:t>
            </w:r>
          </w:p>
        </w:tc>
        <w:tc>
          <w:tcPr>
            <w:tcW w:w="8220" w:type="dxa"/>
          </w:tcPr>
          <w:p w:rsidR="006E4BDA" w:rsidRPr="0051662C" w:rsidRDefault="006E4BDA" w:rsidP="00F336CC">
            <w:pPr>
              <w:spacing w:before="30" w:after="30"/>
              <w:jc w:val="left"/>
              <w:rPr>
                <w:sz w:val="20"/>
                <w:lang w:val="fr-CH"/>
              </w:rPr>
            </w:pPr>
            <w:r w:rsidRPr="0051662C">
              <w:rPr>
                <w:sz w:val="20"/>
                <w:lang w:val="fr-CH"/>
              </w:rPr>
              <w:t>Applications spatiales et météorologie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SF</w:t>
            </w:r>
          </w:p>
        </w:tc>
        <w:tc>
          <w:tcPr>
            <w:tcW w:w="8220" w:type="dxa"/>
          </w:tcPr>
          <w:p w:rsidR="006E4BDA" w:rsidRPr="0051662C" w:rsidRDefault="006E4BDA" w:rsidP="00F336CC">
            <w:pPr>
              <w:spacing w:before="30" w:after="30"/>
              <w:jc w:val="left"/>
              <w:rPr>
                <w:sz w:val="20"/>
                <w:lang w:val="fr-CH"/>
              </w:rPr>
            </w:pPr>
            <w:r w:rsidRPr="0051662C">
              <w:rPr>
                <w:sz w:val="20"/>
                <w:lang w:val="fr-CH"/>
              </w:rPr>
              <w:t>Partage des fréquences et coordination entre les systèmes du service fixe par satellite et du service fixe</w:t>
            </w:r>
          </w:p>
        </w:tc>
      </w:tr>
      <w:tr w:rsidR="006E4BDA" w:rsidRPr="0051662C">
        <w:tc>
          <w:tcPr>
            <w:tcW w:w="1140" w:type="dxa"/>
            <w:shd w:val="clear" w:color="auto" w:fill="auto"/>
          </w:tcPr>
          <w:p w:rsidR="006E4BDA" w:rsidRPr="0051662C" w:rsidRDefault="006E4BDA" w:rsidP="00F336CC">
            <w:pPr>
              <w:spacing w:before="30" w:after="30"/>
              <w:ind w:left="57"/>
              <w:jc w:val="left"/>
              <w:rPr>
                <w:b/>
                <w:bCs/>
                <w:sz w:val="20"/>
                <w:lang w:val="fr-CH"/>
              </w:rPr>
            </w:pPr>
            <w:r w:rsidRPr="0051662C">
              <w:rPr>
                <w:b/>
                <w:bCs/>
                <w:sz w:val="20"/>
                <w:lang w:val="fr-CH"/>
              </w:rPr>
              <w:t>SM</w:t>
            </w:r>
          </w:p>
        </w:tc>
        <w:tc>
          <w:tcPr>
            <w:tcW w:w="8220" w:type="dxa"/>
            <w:shd w:val="clear" w:color="auto" w:fill="auto"/>
          </w:tcPr>
          <w:p w:rsidR="006E4BDA" w:rsidRPr="0051662C" w:rsidRDefault="006E4BDA" w:rsidP="00F336CC">
            <w:pPr>
              <w:spacing w:before="30" w:after="30"/>
              <w:jc w:val="left"/>
              <w:rPr>
                <w:sz w:val="20"/>
                <w:lang w:val="fr-CH"/>
              </w:rPr>
            </w:pPr>
            <w:r w:rsidRPr="0051662C">
              <w:rPr>
                <w:sz w:val="20"/>
                <w:lang w:val="fr-CH"/>
              </w:rPr>
              <w:t>Gestion du spectre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SNG</w:t>
            </w:r>
          </w:p>
        </w:tc>
        <w:tc>
          <w:tcPr>
            <w:tcW w:w="8220" w:type="dxa"/>
          </w:tcPr>
          <w:p w:rsidR="006E4BDA" w:rsidRPr="0051662C" w:rsidRDefault="006E4BDA" w:rsidP="00F336CC">
            <w:pPr>
              <w:spacing w:before="30" w:after="30"/>
              <w:jc w:val="left"/>
              <w:rPr>
                <w:sz w:val="20"/>
                <w:lang w:val="fr-CH"/>
              </w:rPr>
            </w:pPr>
            <w:r w:rsidRPr="0051662C">
              <w:rPr>
                <w:sz w:val="20"/>
                <w:lang w:val="fr-CH"/>
              </w:rPr>
              <w:t>Reportage d'actualités par satellite</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TF</w:t>
            </w:r>
          </w:p>
        </w:tc>
        <w:tc>
          <w:tcPr>
            <w:tcW w:w="8220" w:type="dxa"/>
          </w:tcPr>
          <w:p w:rsidR="006E4BDA" w:rsidRPr="0051662C" w:rsidRDefault="006E4BDA" w:rsidP="00F336CC">
            <w:pPr>
              <w:spacing w:before="30" w:after="30"/>
              <w:jc w:val="left"/>
              <w:rPr>
                <w:sz w:val="20"/>
                <w:lang w:val="fr-CH"/>
              </w:rPr>
            </w:pPr>
            <w:r w:rsidRPr="0051662C">
              <w:rPr>
                <w:sz w:val="20"/>
                <w:lang w:val="fr-CH"/>
              </w:rPr>
              <w:t>Emissions de fréquences étalon et de signaux horaires</w:t>
            </w:r>
          </w:p>
        </w:tc>
      </w:tr>
      <w:tr w:rsidR="006E4BDA" w:rsidRPr="0051662C">
        <w:tc>
          <w:tcPr>
            <w:tcW w:w="1140" w:type="dxa"/>
          </w:tcPr>
          <w:p w:rsidR="006E4BDA" w:rsidRPr="0051662C" w:rsidRDefault="006E4BDA" w:rsidP="00F336CC">
            <w:pPr>
              <w:spacing w:before="30" w:after="30"/>
              <w:ind w:left="57"/>
              <w:jc w:val="left"/>
              <w:rPr>
                <w:b/>
                <w:bCs/>
                <w:sz w:val="20"/>
                <w:lang w:val="fr-CH"/>
              </w:rPr>
            </w:pPr>
            <w:r w:rsidRPr="0051662C">
              <w:rPr>
                <w:b/>
                <w:bCs/>
                <w:sz w:val="20"/>
                <w:lang w:val="fr-CH"/>
              </w:rPr>
              <w:t>V</w:t>
            </w:r>
          </w:p>
        </w:tc>
        <w:tc>
          <w:tcPr>
            <w:tcW w:w="8220" w:type="dxa"/>
          </w:tcPr>
          <w:p w:rsidR="006E4BDA" w:rsidRPr="0051662C" w:rsidRDefault="006E4BDA" w:rsidP="00614CC6">
            <w:pPr>
              <w:spacing w:before="30" w:after="140"/>
              <w:jc w:val="left"/>
              <w:rPr>
                <w:sz w:val="20"/>
                <w:lang w:val="fr-CH"/>
              </w:rPr>
            </w:pPr>
            <w:r w:rsidRPr="0051662C">
              <w:rPr>
                <w:sz w:val="20"/>
                <w:lang w:val="fr-CH"/>
              </w:rPr>
              <w:t>Vocabulaire et sujets associés</w:t>
            </w:r>
          </w:p>
        </w:tc>
      </w:tr>
    </w:tbl>
    <w:p w:rsidR="006E4BDA" w:rsidRPr="0051662C" w:rsidRDefault="006E4BDA" w:rsidP="00614CC6">
      <w:pPr>
        <w:spacing w:before="0"/>
        <w:jc w:val="center"/>
        <w:rPr>
          <w:sz w:val="20"/>
          <w:lang w:val="fr-CH"/>
        </w:rPr>
      </w:pPr>
    </w:p>
    <w:p w:rsidR="006E4BDA" w:rsidRPr="0051662C" w:rsidRDefault="006E4BDA"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E4BDA" w:rsidRPr="0051662C">
        <w:tc>
          <w:tcPr>
            <w:tcW w:w="9360" w:type="dxa"/>
          </w:tcPr>
          <w:p w:rsidR="006E4BDA" w:rsidRPr="0051662C" w:rsidRDefault="006E4BDA" w:rsidP="00422AE4">
            <w:pPr>
              <w:spacing w:before="80" w:after="80"/>
              <w:jc w:val="left"/>
              <w:rPr>
                <w:i/>
                <w:iCs/>
                <w:sz w:val="20"/>
                <w:lang w:val="fr-CH"/>
              </w:rPr>
            </w:pPr>
            <w:r w:rsidRPr="0051662C">
              <w:rPr>
                <w:b/>
                <w:bCs/>
                <w:i/>
                <w:iCs/>
                <w:sz w:val="20"/>
                <w:lang w:val="fr-CH"/>
              </w:rPr>
              <w:t>Note</w:t>
            </w:r>
            <w:r w:rsidRPr="0051662C">
              <w:rPr>
                <w:i/>
                <w:iCs/>
                <w:sz w:val="20"/>
                <w:lang w:val="fr-CH"/>
              </w:rPr>
              <w:t>: Cette Recommandation UIT-R a été approuvée en anglais aux termes de la procédure détaillée dans la</w:t>
            </w:r>
            <w:r w:rsidRPr="0051662C">
              <w:rPr>
                <w:i/>
                <w:iCs/>
                <w:sz w:val="20"/>
                <w:lang w:val="fr-CH"/>
              </w:rPr>
              <w:br/>
              <w:t xml:space="preserve">Résolution UIT-R 1. </w:t>
            </w:r>
          </w:p>
        </w:tc>
      </w:tr>
    </w:tbl>
    <w:p w:rsidR="006E4BDA" w:rsidRPr="0051662C" w:rsidRDefault="006E4BDA" w:rsidP="00F54FBD">
      <w:pPr>
        <w:spacing w:before="0"/>
        <w:jc w:val="center"/>
        <w:rPr>
          <w:sz w:val="22"/>
          <w:lang w:val="fr-CH"/>
        </w:rPr>
      </w:pPr>
    </w:p>
    <w:p w:rsidR="006E4BDA" w:rsidRPr="0051662C" w:rsidRDefault="006E4BDA" w:rsidP="00756B4D">
      <w:pPr>
        <w:spacing w:before="100"/>
        <w:jc w:val="right"/>
        <w:rPr>
          <w:i/>
          <w:iCs/>
          <w:sz w:val="20"/>
          <w:lang w:val="fr-CH"/>
        </w:rPr>
      </w:pPr>
      <w:r w:rsidRPr="0051662C">
        <w:rPr>
          <w:i/>
          <w:iCs/>
          <w:sz w:val="20"/>
          <w:lang w:val="fr-CH"/>
        </w:rPr>
        <w:t>Publication électronique</w:t>
      </w:r>
    </w:p>
    <w:p w:rsidR="006E4BDA" w:rsidRPr="0051662C" w:rsidRDefault="006E4BDA" w:rsidP="00C95B6F">
      <w:pPr>
        <w:spacing w:before="0"/>
        <w:jc w:val="right"/>
        <w:rPr>
          <w:sz w:val="20"/>
          <w:lang w:val="fr-CH"/>
        </w:rPr>
      </w:pPr>
      <w:r w:rsidRPr="0051662C">
        <w:rPr>
          <w:sz w:val="20"/>
          <w:lang w:val="fr-CH"/>
        </w:rPr>
        <w:t>Genève, 2013</w:t>
      </w:r>
    </w:p>
    <w:p w:rsidR="006E4BDA" w:rsidRPr="0051662C" w:rsidRDefault="006E4BDA" w:rsidP="008F5522">
      <w:pPr>
        <w:spacing w:before="200"/>
        <w:jc w:val="center"/>
        <w:rPr>
          <w:sz w:val="20"/>
          <w:lang w:val="fr-CH"/>
        </w:rPr>
      </w:pPr>
      <w:r w:rsidRPr="0051662C">
        <w:rPr>
          <w:sz w:val="20"/>
          <w:lang w:val="fr-CH"/>
        </w:rPr>
        <w:sym w:font="Symbol" w:char="F0E3"/>
      </w:r>
      <w:r w:rsidRPr="0051662C">
        <w:rPr>
          <w:sz w:val="20"/>
          <w:lang w:val="fr-CH"/>
        </w:rPr>
        <w:t xml:space="preserve"> UIT </w:t>
      </w:r>
      <w:bookmarkStart w:id="1" w:name="iiannee"/>
      <w:bookmarkEnd w:id="1"/>
      <w:r w:rsidRPr="0051662C">
        <w:rPr>
          <w:sz w:val="20"/>
          <w:lang w:val="fr-CH"/>
        </w:rPr>
        <w:t>2013</w:t>
      </w:r>
    </w:p>
    <w:p w:rsidR="006E4BDA" w:rsidRPr="0051662C" w:rsidRDefault="006E4BDA" w:rsidP="00614CC6">
      <w:pPr>
        <w:rPr>
          <w:sz w:val="18"/>
          <w:szCs w:val="18"/>
          <w:lang w:val="fr-CH"/>
        </w:rPr>
      </w:pPr>
      <w:r w:rsidRPr="0051662C">
        <w:rPr>
          <w:sz w:val="18"/>
          <w:szCs w:val="18"/>
          <w:lang w:val="fr-CH"/>
        </w:rPr>
        <w:t>Tous droits réservés. Aucune partie de cette publication ne peut être reproduite, par quelque procédé que ce soit, sans l’accord écrit préalable de l’UIT.</w:t>
      </w:r>
    </w:p>
    <w:p w:rsidR="006E4BDA" w:rsidRPr="0051662C" w:rsidRDefault="006E4BDA" w:rsidP="00CD659B">
      <w:pPr>
        <w:spacing w:before="160"/>
        <w:rPr>
          <w:i/>
          <w:sz w:val="20"/>
          <w:highlight w:val="yellow"/>
          <w:lang w:val="fr-CH"/>
        </w:rPr>
        <w:sectPr w:rsidR="006E4BDA" w:rsidRPr="0051662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E4BDA" w:rsidRPr="0051662C" w:rsidRDefault="006E4BDA" w:rsidP="006E4BDA">
      <w:pPr>
        <w:pStyle w:val="RecNo"/>
        <w:spacing w:before="0"/>
        <w:rPr>
          <w:lang w:val="fr-CH"/>
        </w:rPr>
      </w:pPr>
      <w:bookmarkStart w:id="2" w:name="irecnoe"/>
      <w:bookmarkEnd w:id="2"/>
      <w:r w:rsidRPr="0051662C">
        <w:rPr>
          <w:lang w:val="fr-CH"/>
        </w:rPr>
        <w:lastRenderedPageBreak/>
        <w:t xml:space="preserve">RECOMMANDATION  </w:t>
      </w:r>
      <w:r w:rsidRPr="0051662C">
        <w:rPr>
          <w:rStyle w:val="href"/>
          <w:lang w:val="fr-CH"/>
        </w:rPr>
        <w:t>UIT-R  M.2015</w:t>
      </w:r>
    </w:p>
    <w:p w:rsidR="00A6617B" w:rsidRPr="0051662C" w:rsidRDefault="006E4BDA" w:rsidP="006E4BDA">
      <w:pPr>
        <w:pStyle w:val="Rectitle"/>
        <w:rPr>
          <w:lang w:val="fr-CH"/>
        </w:rPr>
      </w:pPr>
      <w:r w:rsidRPr="0051662C">
        <w:rPr>
          <w:lang w:val="fr-CH"/>
        </w:rPr>
        <w:t>Dispositions de fréquences pour les systèmes de radiocommunication destinés à la protection du public et aux opérations de secours en cas de catastrophe</w:t>
      </w:r>
      <w:r w:rsidRPr="0051662C">
        <w:rPr>
          <w:lang w:val="fr-CH"/>
        </w:rPr>
        <w:br/>
        <w:t>dans les bandes d'ondes décimétriques conformément</w:t>
      </w:r>
      <w:r w:rsidRPr="0051662C">
        <w:rPr>
          <w:lang w:val="fr-CH"/>
        </w:rPr>
        <w:br/>
        <w:t>à la Résolution 646 (Rév.CMR-12)</w:t>
      </w:r>
    </w:p>
    <w:p w:rsidR="006E4BDA" w:rsidRPr="0051662C" w:rsidRDefault="006E4BDA" w:rsidP="006E4BDA">
      <w:pPr>
        <w:pStyle w:val="HeadingSum"/>
        <w:rPr>
          <w:lang w:val="fr-CH"/>
        </w:rPr>
      </w:pPr>
      <w:r w:rsidRPr="0051662C">
        <w:rPr>
          <w:lang w:val="fr-CH"/>
        </w:rPr>
        <w:t>Domaine d'application</w:t>
      </w:r>
    </w:p>
    <w:p w:rsidR="006E4BDA" w:rsidRPr="0051662C" w:rsidRDefault="006E4BDA" w:rsidP="0051662C">
      <w:pPr>
        <w:pStyle w:val="Summary"/>
        <w:rPr>
          <w:lang w:val="fr-CH"/>
        </w:rPr>
      </w:pPr>
      <w:r w:rsidRPr="0051662C">
        <w:rPr>
          <w:lang w:val="fr-CH"/>
        </w:rPr>
        <w:t>La présente Recommandation donne des indications sur les dispositions de fréquences pour les systèmes de radiocommunication destinés à la protection du public et aux opérations de secours en cas de catastrophe dans certaines régions et dans certaines bandes de fréquences au-dessous de</w:t>
      </w:r>
      <w:r w:rsidR="0051662C" w:rsidRPr="0051662C">
        <w:rPr>
          <w:lang w:val="fr-CH"/>
        </w:rPr>
        <w:t xml:space="preserve"> </w:t>
      </w:r>
      <w:r w:rsidRPr="0051662C">
        <w:rPr>
          <w:lang w:val="fr-CH"/>
        </w:rPr>
        <w:t>1 GHz</w:t>
      </w:r>
      <w:r w:rsidR="0051662C" w:rsidRPr="0051662C">
        <w:rPr>
          <w:lang w:val="fr-CH"/>
        </w:rPr>
        <w:t xml:space="preserve"> </w:t>
      </w:r>
      <w:r w:rsidRPr="0051662C">
        <w:rPr>
          <w:lang w:val="fr-CH"/>
        </w:rPr>
        <w:t>identifiées dans la Résolution 646 (CMR</w:t>
      </w:r>
      <w:r w:rsidRPr="0051662C">
        <w:rPr>
          <w:lang w:val="fr-CH"/>
        </w:rPr>
        <w:noBreakHyphen/>
        <w:t>12). Actuellement, la Recommandation couvre les dispositions de fréquences dans les gammes 380</w:t>
      </w:r>
      <w:r w:rsidRPr="0051662C">
        <w:rPr>
          <w:lang w:val="fr-CH"/>
        </w:rPr>
        <w:noBreakHyphen/>
        <w:t>470 MHz dans certains pays de la Région 1, 746</w:t>
      </w:r>
      <w:r w:rsidRPr="0051662C">
        <w:rPr>
          <w:lang w:val="fr-CH"/>
        </w:rPr>
        <w:noBreakHyphen/>
        <w:t>806 MHz et 806</w:t>
      </w:r>
      <w:r w:rsidRPr="0051662C">
        <w:rPr>
          <w:lang w:val="fr-CH"/>
        </w:rPr>
        <w:noBreakHyphen/>
        <w:t>869 MHz dans la Région 2, et 806</w:t>
      </w:r>
      <w:r w:rsidRPr="0051662C">
        <w:rPr>
          <w:lang w:val="fr-CH"/>
        </w:rPr>
        <w:noBreakHyphen/>
        <w:t>824/851</w:t>
      </w:r>
      <w:r w:rsidRPr="0051662C">
        <w:rPr>
          <w:lang w:val="fr-CH"/>
        </w:rPr>
        <w:noBreakHyphen/>
        <w:t>869 MHz dans certains pays de la Région 3, conformément aux Résolutions UIT</w:t>
      </w:r>
      <w:r w:rsidRPr="0051662C">
        <w:rPr>
          <w:lang w:val="fr-CH"/>
        </w:rPr>
        <w:noBreakHyphen/>
        <w:t>R 53, UIT</w:t>
      </w:r>
      <w:r w:rsidRPr="0051662C">
        <w:rPr>
          <w:lang w:val="fr-CH"/>
        </w:rPr>
        <w:noBreakHyphen/>
        <w:t>R 55, 644 (Rév.CMR</w:t>
      </w:r>
      <w:r w:rsidRPr="0051662C">
        <w:rPr>
          <w:lang w:val="fr-CH"/>
        </w:rPr>
        <w:noBreakHyphen/>
        <w:t>07), 646 (Rév.CMR</w:t>
      </w:r>
      <w:r w:rsidRPr="0051662C">
        <w:rPr>
          <w:lang w:val="fr-CH"/>
        </w:rPr>
        <w:noBreakHyphen/>
        <w:t>12) et 647 (CMR</w:t>
      </w:r>
      <w:r w:rsidRPr="0051662C">
        <w:rPr>
          <w:lang w:val="fr-CH"/>
        </w:rPr>
        <w:noBreakHyphen/>
        <w:t>07).</w:t>
      </w:r>
    </w:p>
    <w:p w:rsidR="006E4BDA" w:rsidRPr="0051662C" w:rsidRDefault="006E4BDA" w:rsidP="006E4BDA">
      <w:pPr>
        <w:pStyle w:val="Normalaftertitle"/>
        <w:rPr>
          <w:lang w:val="fr-CH"/>
        </w:rPr>
      </w:pPr>
      <w:r w:rsidRPr="0051662C">
        <w:rPr>
          <w:lang w:val="fr-CH"/>
        </w:rPr>
        <w:t>L'Assemblée des radiocommunications de l'UIT,</w:t>
      </w:r>
    </w:p>
    <w:p w:rsidR="006E4BDA" w:rsidRPr="0051662C" w:rsidRDefault="006E4BDA" w:rsidP="006E4BDA">
      <w:pPr>
        <w:pStyle w:val="Call"/>
        <w:rPr>
          <w:b/>
          <w:lang w:val="fr-CH"/>
        </w:rPr>
      </w:pPr>
      <w:r w:rsidRPr="0051662C">
        <w:rPr>
          <w:lang w:val="fr-CH"/>
        </w:rPr>
        <w:t>considérant</w:t>
      </w:r>
    </w:p>
    <w:p w:rsidR="006E4BDA" w:rsidRPr="0051662C" w:rsidRDefault="006E4BDA" w:rsidP="006E4BDA">
      <w:pPr>
        <w:rPr>
          <w:lang w:val="fr-CH"/>
        </w:rPr>
      </w:pPr>
      <w:r w:rsidRPr="0051662C">
        <w:rPr>
          <w:lang w:val="fr-CH"/>
        </w:rPr>
        <w:t>a)</w:t>
      </w:r>
      <w:r w:rsidRPr="0051662C">
        <w:rPr>
          <w:lang w:val="fr-CH"/>
        </w:rPr>
        <w:tab/>
        <w:t>que les besoins croissants de télécommunication et de radiocommunication des organisations et organismes s'occupant de protection du public et des secours en cas de catastrophe (PPDR) sont vitaux pour le respect de la loi et le maintien de l'ordre, la protection des biens et des personnes, les secours en cas de catastrophe et les interventions en cas d'urgence;</w:t>
      </w:r>
    </w:p>
    <w:p w:rsidR="006E4BDA" w:rsidRPr="0051662C" w:rsidRDefault="006E4BDA" w:rsidP="006E4BDA">
      <w:pPr>
        <w:rPr>
          <w:lang w:val="fr-CH"/>
        </w:rPr>
      </w:pPr>
      <w:r w:rsidRPr="0051662C">
        <w:rPr>
          <w:lang w:val="fr-CH"/>
        </w:rPr>
        <w:t>b)</w:t>
      </w:r>
      <w:r w:rsidRPr="0051662C">
        <w:rPr>
          <w:lang w:val="fr-CH"/>
        </w:rPr>
        <w:tab/>
        <w:t>que de nombreuses administrations souhaitent faciliter l'interopérabilité et l'interfonctionnement entre les systèmes de radiocommunications utilisés pour les applications PPDR, aussi bien au niveau national que pour les opérations transfrontières, dans les situations d'urgence et pour les secours en cas de catastrophe;</w:t>
      </w:r>
    </w:p>
    <w:p w:rsidR="006E4BDA" w:rsidRPr="0051662C" w:rsidRDefault="006E4BDA" w:rsidP="006E4BDA">
      <w:pPr>
        <w:rPr>
          <w:lang w:val="fr-CH"/>
        </w:rPr>
      </w:pPr>
      <w:r w:rsidRPr="0051662C">
        <w:rPr>
          <w:lang w:val="fr-CH"/>
        </w:rPr>
        <w:t>c)</w:t>
      </w:r>
      <w:r w:rsidRPr="0051662C">
        <w:rPr>
          <w:lang w:val="fr-CH"/>
        </w:rPr>
        <w:tab/>
        <w:t>que l'on continuera d'avoir besoin de systèmes à bande étroite, à bande élargie et large bande pour les applications futures;</w:t>
      </w:r>
    </w:p>
    <w:p w:rsidR="006E4BDA" w:rsidRPr="0051662C" w:rsidRDefault="006E4BDA" w:rsidP="006E4BDA">
      <w:pPr>
        <w:rPr>
          <w:lang w:val="fr-CH"/>
        </w:rPr>
      </w:pPr>
      <w:r w:rsidRPr="0051662C">
        <w:rPr>
          <w:lang w:val="fr-CH"/>
        </w:rPr>
        <w:t>d)</w:t>
      </w:r>
      <w:r w:rsidRPr="0051662C">
        <w:rPr>
          <w:lang w:val="fr-CH"/>
        </w:rPr>
        <w:tab/>
        <w:t>que le développement continu de nouvelles technologies comme les Télécommunications mobiles internationales (IMT) et les systèmes de transport intelligents (ITS) permettra peut-être de prendre en charge ou de compléter des applications évoluées liées à la protection du public et aux secours en cas de catastrophe;</w:t>
      </w:r>
    </w:p>
    <w:p w:rsidR="006E4BDA" w:rsidRPr="0051662C" w:rsidRDefault="006E4BDA" w:rsidP="006E4BDA">
      <w:pPr>
        <w:rPr>
          <w:lang w:val="fr-CH"/>
        </w:rPr>
      </w:pPr>
      <w:r w:rsidRPr="0051662C">
        <w:rPr>
          <w:lang w:val="fr-CH"/>
        </w:rPr>
        <w:t>e)</w:t>
      </w:r>
      <w:r w:rsidRPr="0051662C">
        <w:rPr>
          <w:lang w:val="fr-CH"/>
        </w:rPr>
        <w:tab/>
        <w:t>que les organisations d'utilisateur de certaines administrations peuvent avoir des besoins en matière d'exploitation et de spectre différents pour les applications PPDR, selon les circonstances;</w:t>
      </w:r>
    </w:p>
    <w:p w:rsidR="006E4BDA" w:rsidRPr="0051662C" w:rsidRDefault="006E4BDA" w:rsidP="006E4BDA">
      <w:pPr>
        <w:rPr>
          <w:lang w:val="fr-CH"/>
        </w:rPr>
      </w:pPr>
      <w:r w:rsidRPr="0051662C">
        <w:rPr>
          <w:lang w:val="fr-CH"/>
        </w:rPr>
        <w:t>f)</w:t>
      </w:r>
      <w:r w:rsidRPr="0051662C">
        <w:rPr>
          <w:lang w:val="fr-CH"/>
        </w:rPr>
        <w:tab/>
        <w:t>que la planification nationale des fréquences pour les systèmes de radiocommunication PPDR doit tenir compte de la coopération et des consultations bilatérales avec d'autres administrations concernées, afin de faciliter une plus grande harmonisation de l'utilisation du spectre;</w:t>
      </w:r>
    </w:p>
    <w:p w:rsidR="006E4BDA" w:rsidRPr="0051662C" w:rsidRDefault="006E4BDA" w:rsidP="006E4BDA">
      <w:pPr>
        <w:rPr>
          <w:lang w:val="fr-CH"/>
        </w:rPr>
      </w:pPr>
      <w:r w:rsidRPr="0051662C">
        <w:rPr>
          <w:lang w:val="fr-CH"/>
        </w:rPr>
        <w:t>g)</w:t>
      </w:r>
      <w:r w:rsidRPr="0051662C">
        <w:rPr>
          <w:lang w:val="fr-CH"/>
        </w:rPr>
        <w:tab/>
        <w:t>que l'utilisation des mêmes fréquences attribuées permettra aux administrations de tirer parti de l'harmonisation tout en continuant de respecter les exigences en matière de planification nationale,</w:t>
      </w:r>
    </w:p>
    <w:p w:rsidR="006E4BDA" w:rsidRPr="0051662C" w:rsidRDefault="006E4BDA" w:rsidP="006E4BDA">
      <w:pPr>
        <w:pStyle w:val="Call"/>
        <w:rPr>
          <w:lang w:val="fr-CH"/>
        </w:rPr>
      </w:pPr>
      <w:r w:rsidRPr="0051662C">
        <w:rPr>
          <w:lang w:val="fr-CH"/>
        </w:rPr>
        <w:t>notant</w:t>
      </w:r>
    </w:p>
    <w:p w:rsidR="006E4BDA" w:rsidRPr="0051662C" w:rsidRDefault="006E4BDA" w:rsidP="0051662C">
      <w:pPr>
        <w:rPr>
          <w:lang w:val="fr-CH"/>
        </w:rPr>
      </w:pPr>
      <w:r w:rsidRPr="0051662C">
        <w:rPr>
          <w:lang w:val="fr-CH"/>
        </w:rPr>
        <w:t>a)</w:t>
      </w:r>
      <w:r w:rsidRPr="0051662C">
        <w:rPr>
          <w:lang w:val="fr-CH"/>
        </w:rPr>
        <w:tab/>
        <w:t>que les avantages d'une harmonisation de l'utilisation du spectre sont les suivants:</w:t>
      </w:r>
    </w:p>
    <w:p w:rsidR="006E4BDA" w:rsidRPr="0051662C" w:rsidRDefault="006E4BDA" w:rsidP="0051662C">
      <w:pPr>
        <w:pStyle w:val="enumlev1"/>
        <w:rPr>
          <w:lang w:val="fr-CH"/>
        </w:rPr>
      </w:pPr>
      <w:r w:rsidRPr="0051662C">
        <w:rPr>
          <w:lang w:val="fr-CH"/>
        </w:rPr>
        <w:t>–</w:t>
      </w:r>
      <w:r w:rsidRPr="0051662C">
        <w:rPr>
          <w:lang w:val="fr-CH"/>
        </w:rPr>
        <w:tab/>
        <w:t>des possibilités accrues d'interopérabilité;</w:t>
      </w:r>
    </w:p>
    <w:p w:rsidR="006E4BDA" w:rsidRPr="0051662C" w:rsidRDefault="006E4BDA" w:rsidP="006E4BDA">
      <w:pPr>
        <w:pStyle w:val="enumlev1"/>
        <w:rPr>
          <w:lang w:val="fr-CH"/>
        </w:rPr>
      </w:pPr>
      <w:r w:rsidRPr="0051662C">
        <w:rPr>
          <w:lang w:val="fr-CH"/>
        </w:rPr>
        <w:t>–</w:t>
      </w:r>
      <w:r w:rsidRPr="0051662C">
        <w:rPr>
          <w:lang w:val="fr-CH"/>
        </w:rPr>
        <w:tab/>
        <w:t>une base industrielle plus large et un plus grand nombre d'équipements se traduisant par des économies d'échelle et par une offre accrue d'équipements;</w:t>
      </w:r>
    </w:p>
    <w:p w:rsidR="006E4BDA" w:rsidRPr="0051662C" w:rsidRDefault="006E4BDA" w:rsidP="006E4BDA">
      <w:pPr>
        <w:pStyle w:val="enumlev1"/>
        <w:rPr>
          <w:lang w:val="fr-CH"/>
        </w:rPr>
      </w:pPr>
      <w:r w:rsidRPr="0051662C">
        <w:rPr>
          <w:lang w:val="fr-CH"/>
        </w:rPr>
        <w:t>–</w:t>
      </w:r>
      <w:r w:rsidRPr="0051662C">
        <w:rPr>
          <w:lang w:val="fr-CH"/>
        </w:rPr>
        <w:tab/>
        <w:t xml:space="preserve">l'amélioration de la gestion du spectre et de la planification des fréquences; </w:t>
      </w:r>
    </w:p>
    <w:p w:rsidR="006E4BDA" w:rsidRPr="0051662C" w:rsidRDefault="006E4BDA" w:rsidP="006E4BDA">
      <w:pPr>
        <w:pStyle w:val="enumlev1"/>
        <w:rPr>
          <w:lang w:val="fr-CH"/>
        </w:rPr>
      </w:pPr>
      <w:r w:rsidRPr="0051662C">
        <w:rPr>
          <w:lang w:val="fr-CH"/>
        </w:rPr>
        <w:t>–</w:t>
      </w:r>
      <w:r w:rsidRPr="0051662C">
        <w:rPr>
          <w:lang w:val="fr-CH"/>
        </w:rPr>
        <w:tab/>
        <w:t>l'amélioration de la coordination et de la circulation transfrontières des équipements.</w:t>
      </w:r>
    </w:p>
    <w:p w:rsidR="006E4BDA" w:rsidRPr="0051662C" w:rsidRDefault="006E4BDA" w:rsidP="006E4BDA">
      <w:pPr>
        <w:rPr>
          <w:lang w:val="fr-CH"/>
        </w:rPr>
      </w:pPr>
      <w:r w:rsidRPr="0051662C">
        <w:rPr>
          <w:lang w:val="fr-CH"/>
        </w:rPr>
        <w:t>b)</w:t>
      </w:r>
      <w:r w:rsidRPr="0051662C">
        <w:rPr>
          <w:lang w:val="fr-CH"/>
        </w:rPr>
        <w:tab/>
        <w:t>que la planification des fréquences pour les radiocommunications PPDR s'effectue au niveau national, compte tenu de la nécessité d'assurer l'interopérabilité et des avantages que peuvent retirer des administrations voisines d'une utilisation harmonisée ou en commun des bandes de fréquences;</w:t>
      </w:r>
    </w:p>
    <w:p w:rsidR="006E4BDA" w:rsidRPr="0051662C" w:rsidRDefault="006E4BDA" w:rsidP="006E4BDA">
      <w:pPr>
        <w:rPr>
          <w:lang w:val="fr-CH"/>
        </w:rPr>
      </w:pPr>
      <w:r w:rsidRPr="0051662C">
        <w:rPr>
          <w:lang w:val="fr-CH"/>
        </w:rPr>
        <w:t>c)</w:t>
      </w:r>
      <w:r w:rsidRPr="0051662C">
        <w:rPr>
          <w:lang w:val="fr-CH"/>
        </w:rPr>
        <w:tab/>
        <w:t>les avantages découlant de la coopération entre pays pour la fourniture d'une aide humanitaire efficace et appropriée en cas de catastrophe;</w:t>
      </w:r>
    </w:p>
    <w:p w:rsidR="006E4BDA" w:rsidRPr="0051662C" w:rsidRDefault="006E4BDA" w:rsidP="006E4BDA">
      <w:pPr>
        <w:rPr>
          <w:lang w:val="fr-CH"/>
        </w:rPr>
      </w:pPr>
      <w:r w:rsidRPr="0051662C">
        <w:rPr>
          <w:lang w:val="fr-CH"/>
        </w:rPr>
        <w:t>d)</w:t>
      </w:r>
      <w:r w:rsidRPr="0051662C">
        <w:rPr>
          <w:lang w:val="fr-CH"/>
        </w:rPr>
        <w:tab/>
        <w:t>que les pays, et en particulier les pays en développement, ont besoin d'équipements de communication bon marché;</w:t>
      </w:r>
    </w:p>
    <w:p w:rsidR="006E4BDA" w:rsidRPr="0051662C" w:rsidRDefault="006E4BDA" w:rsidP="006E4BDA">
      <w:pPr>
        <w:rPr>
          <w:lang w:val="fr-CH"/>
        </w:rPr>
      </w:pPr>
      <w:r w:rsidRPr="0051662C">
        <w:rPr>
          <w:lang w:val="fr-CH"/>
        </w:rPr>
        <w:t>e)</w:t>
      </w:r>
      <w:r w:rsidRPr="0051662C">
        <w:rPr>
          <w:lang w:val="fr-CH"/>
        </w:rPr>
        <w:tab/>
        <w:t>que les fréquences se trouvant à l'intérieur d'une gamme de fréquences commune identifiée ne seront pas toutes disponibles dans chaque pays de la Région de l'UIT correspondante;</w:t>
      </w:r>
    </w:p>
    <w:p w:rsidR="006E4BDA" w:rsidRPr="0051662C" w:rsidRDefault="006E4BDA" w:rsidP="006E4BDA">
      <w:pPr>
        <w:rPr>
          <w:lang w:val="fr-CH"/>
        </w:rPr>
      </w:pPr>
      <w:r w:rsidRPr="0051662C">
        <w:rPr>
          <w:lang w:val="fr-CH"/>
        </w:rPr>
        <w:t>f)</w:t>
      </w:r>
      <w:r w:rsidRPr="0051662C">
        <w:rPr>
          <w:lang w:val="fr-CH"/>
        </w:rPr>
        <w:tab/>
        <w:t>qu'il faut accorder une certaine souplesse aux administrations:</w:t>
      </w:r>
    </w:p>
    <w:p w:rsidR="006E4BDA" w:rsidRPr="0051662C" w:rsidRDefault="006E4BDA" w:rsidP="006E4BDA">
      <w:pPr>
        <w:pStyle w:val="enumlev1"/>
        <w:rPr>
          <w:lang w:val="fr-CH"/>
        </w:rPr>
      </w:pPr>
      <w:r w:rsidRPr="0051662C">
        <w:rPr>
          <w:lang w:val="fr-CH"/>
        </w:rPr>
        <w:t>–</w:t>
      </w:r>
      <w:r w:rsidRPr="0051662C">
        <w:rPr>
          <w:lang w:val="fr-CH"/>
        </w:rPr>
        <w:tab/>
        <w:t>pour déterminer, au niveau national, la quantité de spectre à mettre à disposition pour les systèmes PPDR dans la bande identifiée dans la Résolution 646 (Rév.CMR-12) afin de répondre à leurs besoins nationaux particuliers;</w:t>
      </w:r>
    </w:p>
    <w:p w:rsidR="006E4BDA" w:rsidRPr="0051662C" w:rsidRDefault="006E4BDA" w:rsidP="006E4BDA">
      <w:pPr>
        <w:pStyle w:val="enumlev1"/>
        <w:rPr>
          <w:lang w:val="fr-CH"/>
        </w:rPr>
      </w:pPr>
      <w:r w:rsidRPr="0051662C">
        <w:rPr>
          <w:lang w:val="fr-CH"/>
        </w:rPr>
        <w:t>–</w:t>
      </w:r>
      <w:r w:rsidRPr="0051662C">
        <w:rPr>
          <w:lang w:val="fr-CH"/>
        </w:rPr>
        <w:tab/>
        <w:t>pour que les bandes identifiées dans la</w:t>
      </w:r>
      <w:r w:rsidRPr="0051662C">
        <w:rPr>
          <w:rFonts w:ascii="TimesNewRoman" w:hAnsi="TimesNewRoman" w:cs="TimesNewRoman"/>
          <w:sz w:val="17"/>
          <w:szCs w:val="17"/>
          <w:lang w:val="fr-CH" w:eastAsia="zh-CN"/>
        </w:rPr>
        <w:t xml:space="preserve"> </w:t>
      </w:r>
      <w:r w:rsidRPr="0051662C">
        <w:rPr>
          <w:lang w:val="fr-CH"/>
        </w:rPr>
        <w:t>Résolution 646 (Rév.CMR-12) puissent être utilisées par tous les services qui y ont des attributions, conformément aux dispositions du Règlement des radiocommunications, compte tenu des applications actuelles et de leur évolution</w:t>
      </w:r>
      <w:r w:rsidRPr="0051662C">
        <w:rPr>
          <w:rFonts w:ascii="TimesNewRoman" w:hAnsi="TimesNewRoman" w:cs="TimesNewRoman"/>
          <w:sz w:val="17"/>
          <w:szCs w:val="17"/>
          <w:lang w:val="fr-CH" w:eastAsia="zh-CN"/>
        </w:rPr>
        <w:t>;</w:t>
      </w:r>
      <w:r w:rsidRPr="0051662C">
        <w:rPr>
          <w:lang w:val="fr-CH"/>
        </w:rPr>
        <w:t xml:space="preserve"> et</w:t>
      </w:r>
    </w:p>
    <w:p w:rsidR="006E4BDA" w:rsidRPr="0051662C" w:rsidRDefault="006E4BDA" w:rsidP="006E4BDA">
      <w:pPr>
        <w:pStyle w:val="enumlev1"/>
        <w:rPr>
          <w:lang w:val="fr-CH"/>
        </w:rPr>
      </w:pPr>
      <w:r w:rsidRPr="0051662C">
        <w:rPr>
          <w:lang w:val="fr-CH"/>
        </w:rPr>
        <w:t>–</w:t>
      </w:r>
      <w:r w:rsidRPr="0051662C">
        <w:rPr>
          <w:lang w:val="fr-CH"/>
        </w:rPr>
        <w:tab/>
        <w:t>pour déterminer la nécessité et les délais de mise à disposition ainsi que les conditions d'utilisation des bandes identifiées dans la Résolution 646 (Rév.CMR-12) pour la protection du public et les secours en cas de catastrophe, afin de faire face à des situations nationales spécifiques.</w:t>
      </w:r>
    </w:p>
    <w:p w:rsidR="006E4BDA" w:rsidRPr="0051662C" w:rsidRDefault="006E4BDA" w:rsidP="006E4BDA">
      <w:pPr>
        <w:rPr>
          <w:lang w:val="fr-CH"/>
        </w:rPr>
      </w:pPr>
      <w:r w:rsidRPr="0051662C">
        <w:rPr>
          <w:lang w:val="fr-CH"/>
        </w:rPr>
        <w:t>g)</w:t>
      </w:r>
      <w:r w:rsidRPr="0051662C">
        <w:rPr>
          <w:lang w:val="fr-CH"/>
        </w:rPr>
        <w:tab/>
        <w:t>que la Recommandation UIT</w:t>
      </w:r>
      <w:r w:rsidRPr="0051662C">
        <w:rPr>
          <w:lang w:val="fr-CH"/>
        </w:rPr>
        <w:noBreakHyphen/>
        <w:t>R M.2009 envoyée sous couvert de la Circulaire administrative CAR/329 pour adoption/approbation par correspondance (procédure PAAS) contient des informations sur les technologies pouvant être utilement utilisées dans ces dispositions de fréquences;</w:t>
      </w:r>
    </w:p>
    <w:p w:rsidR="006E4BDA" w:rsidRPr="0051662C" w:rsidRDefault="006E4BDA" w:rsidP="006E4BDA">
      <w:pPr>
        <w:rPr>
          <w:lang w:val="fr-CH"/>
        </w:rPr>
      </w:pPr>
      <w:r w:rsidRPr="0051662C">
        <w:rPr>
          <w:lang w:val="fr-CH"/>
        </w:rPr>
        <w:t>h)</w:t>
      </w:r>
      <w:r w:rsidRPr="0051662C">
        <w:rPr>
          <w:sz w:val="14"/>
          <w:szCs w:val="14"/>
          <w:lang w:val="fr-CH"/>
        </w:rPr>
        <w:tab/>
      </w:r>
      <w:r w:rsidRPr="0051662C">
        <w:rPr>
          <w:lang w:val="fr-CH"/>
        </w:rPr>
        <w:t>la relation qui existe entre la Résolution 646 (Rév.CMR-12) relative à la protection du public et aux secours en cas de catastrophe, dans laquelle l'élaboration de la présente Recommandation est encouragée, la Résolution 647 (CMR-07) concernant les lignes directrices relatives à la gestion du spectre pour les radiocommunications d'urgence et les radiocommunications</w:t>
      </w:r>
      <w:r w:rsidRPr="0051662C">
        <w:rPr>
          <w:rFonts w:ascii="TimesNewRoman,Bold" w:hAnsi="TimesNewRoman,Bold" w:cs="TimesNewRoman,Bold"/>
          <w:b/>
          <w:bCs/>
          <w:sz w:val="20"/>
          <w:lang w:val="fr-CH" w:eastAsia="zh-CN"/>
        </w:rPr>
        <w:t xml:space="preserve"> </w:t>
      </w:r>
      <w:r w:rsidRPr="0051662C">
        <w:rPr>
          <w:lang w:val="fr-CH"/>
        </w:rPr>
        <w:t>pour les secours en cas de catastrophe et la Résolution 644 (Rév.CMR-07) relative aux moyens de radiocommunication pour l'alerte avancée, l'atténuation des effets des catastrophes et les opérations de secours, qui traite également de la nécessité de coordonner les activités menées au titre de ces Résolutions afin d'éviter tout chevauchement éventuel,</w:t>
      </w:r>
    </w:p>
    <w:p w:rsidR="006E4BDA" w:rsidRPr="0051662C" w:rsidRDefault="006E4BDA" w:rsidP="006E4BDA">
      <w:pPr>
        <w:pStyle w:val="Call"/>
        <w:rPr>
          <w:lang w:val="fr-CH"/>
        </w:rPr>
      </w:pPr>
      <w:r w:rsidRPr="0051662C">
        <w:rPr>
          <w:lang w:val="fr-CH"/>
        </w:rPr>
        <w:t>reconnaissant</w:t>
      </w:r>
    </w:p>
    <w:p w:rsidR="006E4BDA" w:rsidRPr="0051662C" w:rsidRDefault="006E4BDA" w:rsidP="006E4BDA">
      <w:pPr>
        <w:rPr>
          <w:lang w:val="fr-CH"/>
        </w:rPr>
      </w:pPr>
      <w:r w:rsidRPr="0051662C">
        <w:rPr>
          <w:lang w:val="fr-CH"/>
        </w:rPr>
        <w:t>a)</w:t>
      </w:r>
      <w:r w:rsidRPr="0051662C">
        <w:rPr>
          <w:lang w:val="fr-CH"/>
        </w:rPr>
        <w:tab/>
        <w:t>la Résolution 646 (Rév.CMR-12) dans laquelle les administrations sont encouragées à examiner les bandes ou gammes de fréquences ou parties de ces bandes ou gammes de fréquences identifiées ci-dessous, lorsqu'elles effectuent leur planification nationale en vue d'harmoniser au niveau régional les bandes ou gammes de fréquences pour les solutions évoluées liées à la protection du public et aux secours en cas de catastrophe:</w:t>
      </w:r>
    </w:p>
    <w:p w:rsidR="006E4BDA" w:rsidRPr="0051662C" w:rsidRDefault="006E4BDA" w:rsidP="006E4BDA">
      <w:pPr>
        <w:pStyle w:val="enumlev1"/>
        <w:rPr>
          <w:lang w:val="fr-CH"/>
        </w:rPr>
      </w:pPr>
      <w:r w:rsidRPr="0051662C">
        <w:rPr>
          <w:rFonts w:ascii="TimesNewRoman" w:hAnsi="TimesNewRoman"/>
          <w:lang w:val="fr-CH"/>
        </w:rPr>
        <w:t>–</w:t>
      </w:r>
      <w:r w:rsidRPr="0051662C">
        <w:rPr>
          <w:lang w:val="fr-CH"/>
        </w:rPr>
        <w:tab/>
        <w:t>Région 1: la gamme de fréquences 380-470 MHz dans laquelle la bande 380</w:t>
      </w:r>
      <w:r w:rsidRPr="0051662C">
        <w:rPr>
          <w:lang w:val="fr-CH"/>
        </w:rPr>
        <w:noBreakHyphen/>
        <w:t>385/390-395 MHz est la principale bande harmonisée préférée pour les activités permanentes de protection du public dans certains pays de la Région 1 ayant donné leur accord;</w:t>
      </w:r>
    </w:p>
    <w:p w:rsidR="006E4BDA" w:rsidRPr="0051662C" w:rsidRDefault="006E4BDA" w:rsidP="006E4BDA">
      <w:pPr>
        <w:pStyle w:val="enumlev1"/>
        <w:rPr>
          <w:lang w:val="fr-CH"/>
        </w:rPr>
      </w:pPr>
      <w:r w:rsidRPr="0051662C">
        <w:rPr>
          <w:rFonts w:ascii="TimesNewRoman" w:hAnsi="TimesNewRoman"/>
          <w:lang w:val="fr-CH"/>
        </w:rPr>
        <w:t>–</w:t>
      </w:r>
      <w:r w:rsidRPr="0051662C">
        <w:rPr>
          <w:rFonts w:ascii="TimesNewRoman" w:hAnsi="TimesNewRoman"/>
          <w:lang w:val="fr-CH"/>
        </w:rPr>
        <w:tab/>
      </w:r>
      <w:r w:rsidRPr="0051662C">
        <w:rPr>
          <w:lang w:val="fr-CH"/>
        </w:rPr>
        <w:t>Région 2</w:t>
      </w:r>
      <w:r w:rsidRPr="0051662C">
        <w:rPr>
          <w:rStyle w:val="FootnoteReference"/>
          <w:lang w:val="fr-CH"/>
        </w:rPr>
        <w:footnoteReference w:id="1"/>
      </w:r>
      <w:r w:rsidRPr="0051662C">
        <w:rPr>
          <w:lang w:val="fr-CH"/>
        </w:rPr>
        <w:t>: 746-806 MHz, 806-869 MHz, 4 940-4 990 MHz;</w:t>
      </w:r>
    </w:p>
    <w:p w:rsidR="006E4BDA" w:rsidRPr="0051662C" w:rsidRDefault="006E4BDA" w:rsidP="006E4BDA">
      <w:pPr>
        <w:pStyle w:val="enumlev1"/>
        <w:rPr>
          <w:lang w:val="fr-CH"/>
        </w:rPr>
      </w:pPr>
      <w:r w:rsidRPr="0051662C">
        <w:rPr>
          <w:rFonts w:ascii="TimesNewRoman" w:hAnsi="TimesNewRoman"/>
          <w:lang w:val="fr-CH"/>
        </w:rPr>
        <w:t>–</w:t>
      </w:r>
      <w:r w:rsidRPr="0051662C">
        <w:rPr>
          <w:rFonts w:ascii="TimesNewRoman" w:hAnsi="TimesNewRoman"/>
          <w:lang w:val="fr-CH"/>
        </w:rPr>
        <w:tab/>
      </w:r>
      <w:r w:rsidRPr="0051662C">
        <w:rPr>
          <w:lang w:val="fr-CH"/>
        </w:rPr>
        <w:t>Région 3</w:t>
      </w:r>
      <w:r w:rsidRPr="0051662C">
        <w:rPr>
          <w:rStyle w:val="FootnoteReference"/>
          <w:lang w:val="fr-CH"/>
        </w:rPr>
        <w:footnoteReference w:id="2"/>
      </w:r>
      <w:r w:rsidRPr="0051662C">
        <w:rPr>
          <w:lang w:val="fr-CH"/>
        </w:rPr>
        <w:t>: 406,1-430 MHz, 440-470 MHz, 806-824/851-869 MHz, 4 940</w:t>
      </w:r>
      <w:r w:rsidRPr="0051662C">
        <w:rPr>
          <w:lang w:val="fr-CH"/>
        </w:rPr>
        <w:noBreakHyphen/>
        <w:t>4 990 MHz et 5 850-5 925 MHz;</w:t>
      </w:r>
    </w:p>
    <w:p w:rsidR="006E4BDA" w:rsidRPr="0051662C" w:rsidRDefault="006E4BDA" w:rsidP="006E4BDA">
      <w:pPr>
        <w:rPr>
          <w:lang w:val="fr-CH"/>
        </w:rPr>
      </w:pPr>
      <w:r w:rsidRPr="0051662C">
        <w:rPr>
          <w:lang w:val="fr-CH"/>
        </w:rPr>
        <w:t>b)</w:t>
      </w:r>
      <w:r w:rsidRPr="0051662C">
        <w:rPr>
          <w:lang w:val="fr-CH"/>
        </w:rPr>
        <w:tab/>
        <w:t>la nécessité de définir d'urgence des dispositions de fréquences harmonisées au niveau régional pour la gamme de fréquences 380</w:t>
      </w:r>
      <w:r w:rsidRPr="0051662C">
        <w:rPr>
          <w:lang w:val="fr-CH"/>
        </w:rPr>
        <w:noBreakHyphen/>
        <w:t xml:space="preserve">470 MHz dans la Région 1, la gamme 746-806 MHz dans la Région 2, la gamme 806-869 MHz dans la Région 2, et la gamme 806-824/851-869 MHz dans certains pays de la Région 3 en vue de mettre en </w:t>
      </w:r>
      <w:r w:rsidR="0051662C" w:rsidRPr="0051662C">
        <w:rPr>
          <w:lang w:val="fr-CH"/>
        </w:rPr>
        <w:t>œuvre</w:t>
      </w:r>
      <w:r w:rsidRPr="0051662C">
        <w:rPr>
          <w:lang w:val="fr-CH"/>
        </w:rPr>
        <w:t xml:space="preserve"> des solutions PPDR évoluées</w:t>
      </w:r>
      <w:r w:rsidRPr="0051662C">
        <w:rPr>
          <w:szCs w:val="24"/>
          <w:lang w:val="fr-CH"/>
        </w:rPr>
        <w:t>;</w:t>
      </w:r>
    </w:p>
    <w:p w:rsidR="006E4BDA" w:rsidRPr="0051662C" w:rsidRDefault="006E4BDA" w:rsidP="006E4BDA">
      <w:pPr>
        <w:rPr>
          <w:lang w:val="fr-CH"/>
        </w:rPr>
      </w:pPr>
      <w:r w:rsidRPr="0051662C">
        <w:rPr>
          <w:lang w:val="fr-CH"/>
        </w:rPr>
        <w:t>c)</w:t>
      </w:r>
      <w:r w:rsidRPr="0051662C">
        <w:rPr>
          <w:lang w:val="fr-CH"/>
        </w:rPr>
        <w:tab/>
        <w:t xml:space="preserve">que dans le cadre de la Résolution </w:t>
      </w:r>
      <w:r w:rsidRPr="0051662C">
        <w:rPr>
          <w:bCs/>
          <w:lang w:val="fr-CH"/>
        </w:rPr>
        <w:t>646 (</w:t>
      </w:r>
      <w:r w:rsidRPr="0051662C">
        <w:rPr>
          <w:lang w:val="fr-CH"/>
        </w:rPr>
        <w:t>Rév.CMR-12</w:t>
      </w:r>
      <w:r w:rsidRPr="0051662C">
        <w:rPr>
          <w:bCs/>
          <w:lang w:val="fr-CH"/>
        </w:rPr>
        <w:t>)</w:t>
      </w:r>
      <w:r w:rsidRPr="0051662C">
        <w:rPr>
          <w:lang w:val="fr-CH"/>
        </w:rPr>
        <w:t xml:space="preserve">, </w:t>
      </w:r>
      <w:r w:rsidRPr="0051662C">
        <w:rPr>
          <w:color w:val="000000"/>
          <w:lang w:val="fr-CH"/>
        </w:rPr>
        <w:t>on entend par «gamme de fréquences» une gamme de fréquences dans laquelle un équipement de radiocommunication peut fonctionner, limitée à une ou des bandes de fréquences spécifiques en fonction des conditions et des prescriptions nationales</w:t>
      </w:r>
      <w:r w:rsidRPr="0051662C">
        <w:rPr>
          <w:lang w:val="fr-CH"/>
        </w:rPr>
        <w:t>;</w:t>
      </w:r>
    </w:p>
    <w:p w:rsidR="006E4BDA" w:rsidRPr="0051662C" w:rsidRDefault="006E4BDA" w:rsidP="006E4BDA">
      <w:pPr>
        <w:rPr>
          <w:lang w:val="fr-CH"/>
        </w:rPr>
      </w:pPr>
      <w:r w:rsidRPr="0051662C">
        <w:rPr>
          <w:lang w:val="fr-CH"/>
        </w:rPr>
        <w:t>d)</w:t>
      </w:r>
      <w:r w:rsidRPr="0051662C">
        <w:rPr>
          <w:lang w:val="fr-CH"/>
        </w:rPr>
        <w:tab/>
        <w:t>que l'identification de ces bandes ou gammes de fréquences ou de parties de ces bandes ou gammes de fréquences pour les systèmes de radiocommunications PPDR n'exclut pas l'utilisation d'autres fréquences, ni n'établit de priorité par rapport à ces fréquences, pour la protection du public et les secours en cas de catastrophe conformément au Règlement des radiocommunications, et aux dispositions de la Résolution 646 (Rév.CMR-12)</w:t>
      </w:r>
      <w:r w:rsidRPr="0051662C">
        <w:rPr>
          <w:bCs/>
          <w:lang w:val="fr-CH"/>
        </w:rPr>
        <w:t xml:space="preserve">, et </w:t>
      </w:r>
      <w:r w:rsidRPr="0051662C">
        <w:rPr>
          <w:color w:val="000000"/>
          <w:lang w:val="fr-CH"/>
        </w:rPr>
        <w:t>n'exclut pas</w:t>
      </w:r>
      <w:r w:rsidRPr="0051662C">
        <w:rPr>
          <w:bCs/>
          <w:lang w:val="fr-CH"/>
        </w:rPr>
        <w:t xml:space="preserve"> non plus </w:t>
      </w:r>
      <w:r w:rsidRPr="0051662C">
        <w:rPr>
          <w:color w:val="000000"/>
          <w:lang w:val="fr-CH"/>
        </w:rPr>
        <w:t>l'utilisation de ces bandes/fréquences par des applications dans les services auxquels elles sont attribuées</w:t>
      </w:r>
      <w:r w:rsidRPr="0051662C">
        <w:rPr>
          <w:lang w:val="fr-CH"/>
        </w:rPr>
        <w:t>;</w:t>
      </w:r>
    </w:p>
    <w:p w:rsidR="006E4BDA" w:rsidRPr="0051662C" w:rsidRDefault="006E4BDA" w:rsidP="006E4BDA">
      <w:pPr>
        <w:rPr>
          <w:color w:val="000000"/>
          <w:lang w:val="fr-CH"/>
        </w:rPr>
      </w:pPr>
      <w:r w:rsidRPr="0051662C">
        <w:rPr>
          <w:lang w:val="fr-CH"/>
        </w:rPr>
        <w:t>e)</w:t>
      </w:r>
      <w:r w:rsidRPr="0051662C">
        <w:rPr>
          <w:lang w:val="fr-CH"/>
        </w:rPr>
        <w:tab/>
        <w:t>que les bandes de</w:t>
      </w:r>
      <w:r w:rsidRPr="0051662C">
        <w:rPr>
          <w:color w:val="000000"/>
          <w:lang w:val="fr-CH"/>
        </w:rPr>
        <w:t xml:space="preserve"> fréquences identifiées dans la Résolution 646 (</w:t>
      </w:r>
      <w:r w:rsidRPr="0051662C">
        <w:rPr>
          <w:lang w:val="fr-CH"/>
        </w:rPr>
        <w:t>Rév.CMR-12</w:t>
      </w:r>
      <w:r w:rsidRPr="0051662C">
        <w:rPr>
          <w:color w:val="000000"/>
          <w:lang w:val="fr-CH"/>
        </w:rPr>
        <w:t>) et concernées par la présente Recommandation sont attribuées à divers services conformément aux dispositions pertinentes du Règlement des radiocommunications;</w:t>
      </w:r>
    </w:p>
    <w:p w:rsidR="006E4BDA" w:rsidRPr="0051662C" w:rsidRDefault="006E4BDA" w:rsidP="006E4BDA">
      <w:pPr>
        <w:rPr>
          <w:lang w:val="fr-CH"/>
        </w:rPr>
      </w:pPr>
      <w:r w:rsidRPr="0051662C">
        <w:rPr>
          <w:lang w:val="fr-CH"/>
        </w:rPr>
        <w:t>f)</w:t>
      </w:r>
      <w:r w:rsidRPr="0051662C">
        <w:rPr>
          <w:lang w:val="fr-CH"/>
        </w:rPr>
        <w:tab/>
        <w:t xml:space="preserve">que les dispositions de fréquences décrites dans les </w:t>
      </w:r>
      <w:r w:rsidRPr="0051662C">
        <w:rPr>
          <w:bCs/>
          <w:lang w:val="fr-CH"/>
        </w:rPr>
        <w:t>Annexes sont fournies pour les applications PPDR</w:t>
      </w:r>
      <w:r w:rsidRPr="0051662C">
        <w:rPr>
          <w:lang w:val="fr-CH"/>
        </w:rPr>
        <w:t xml:space="preserve"> dans le service mobile au niveau national; </w:t>
      </w:r>
    </w:p>
    <w:p w:rsidR="006E4BDA" w:rsidRPr="0051662C" w:rsidRDefault="006E4BDA" w:rsidP="006E4BDA">
      <w:pPr>
        <w:rPr>
          <w:lang w:val="fr-CH"/>
        </w:rPr>
      </w:pPr>
      <w:r w:rsidRPr="0051662C">
        <w:rPr>
          <w:lang w:val="fr-CH"/>
        </w:rPr>
        <w:t>g)</w:t>
      </w:r>
      <w:r w:rsidRPr="0051662C">
        <w:rPr>
          <w:lang w:val="fr-CH"/>
        </w:rPr>
        <w:tab/>
        <w:t>que la compatibilité des stations utilisant ces dispositions de fréquences avec d'autres services fonctionnant dans d'autres pays est étudiée à l'UIT au niveau des services et non au niveau des applications;</w:t>
      </w:r>
    </w:p>
    <w:p w:rsidR="006E4BDA" w:rsidRPr="0051662C" w:rsidRDefault="006E4BDA" w:rsidP="006E4BDA">
      <w:pPr>
        <w:rPr>
          <w:lang w:val="fr-CH"/>
        </w:rPr>
      </w:pPr>
      <w:r w:rsidRPr="0051662C">
        <w:rPr>
          <w:lang w:val="fr-CH"/>
        </w:rPr>
        <w:t>h)</w:t>
      </w:r>
      <w:r w:rsidRPr="0051662C">
        <w:rPr>
          <w:lang w:val="fr-CH"/>
        </w:rPr>
        <w:tab/>
        <w:t>que dans la Résolution UIT</w:t>
      </w:r>
      <w:r w:rsidRPr="0051662C">
        <w:rPr>
          <w:lang w:val="fr-CH"/>
        </w:rPr>
        <w:noBreakHyphen/>
        <w:t>R 53, le Directeur du Bureau des radiocommunications est chargé d'aider les Etats Membres dans leurs activités de préparation aux situations d'urgence dans le domaine des radiocommunications, telles que l'établissement de la liste des fréquences actuellement utilisables dans ces situations en vue de les incorporer dans une base de données tenue à jour par le Bureau;</w:t>
      </w:r>
    </w:p>
    <w:p w:rsidR="006E4BDA" w:rsidRPr="0051662C" w:rsidRDefault="006E4BDA" w:rsidP="0051662C">
      <w:pPr>
        <w:rPr>
          <w:lang w:val="fr-CH"/>
        </w:rPr>
      </w:pPr>
      <w:r w:rsidRPr="0051662C">
        <w:rPr>
          <w:lang w:val="fr-CH"/>
        </w:rPr>
        <w:t>j)</w:t>
      </w:r>
      <w:r w:rsidRPr="0051662C">
        <w:rPr>
          <w:lang w:val="fr-CH"/>
        </w:rPr>
        <w:tab/>
      </w:r>
      <w:r w:rsidRPr="0051662C">
        <w:rPr>
          <w:szCs w:val="24"/>
          <w:lang w:val="fr-CH"/>
        </w:rPr>
        <w:t>que des bandes, y compris la bande 450-470 MHz, et une partie ou l'ensemble des bandes 698</w:t>
      </w:r>
      <w:r w:rsidRPr="0051662C">
        <w:rPr>
          <w:szCs w:val="24"/>
          <w:lang w:val="fr-CH"/>
        </w:rPr>
        <w:noBreakHyphen/>
        <w:t>960 MHz dans certaines Régions et pays, ont été identifiées par la CMR</w:t>
      </w:r>
      <w:r w:rsidRPr="0051662C">
        <w:rPr>
          <w:szCs w:val="24"/>
          <w:lang w:val="fr-CH"/>
        </w:rPr>
        <w:noBreakHyphen/>
        <w:t xml:space="preserve">07 pour être utilisées par les administrations qui souhaitent mettre en </w:t>
      </w:r>
      <w:r w:rsidR="0051662C" w:rsidRPr="0051662C">
        <w:rPr>
          <w:szCs w:val="24"/>
          <w:lang w:val="fr-CH"/>
        </w:rPr>
        <w:t>œuvre</w:t>
      </w:r>
      <w:r w:rsidRPr="0051662C">
        <w:rPr>
          <w:szCs w:val="24"/>
          <w:lang w:val="fr-CH"/>
        </w:rPr>
        <w:t xml:space="preserve"> les Télécommunications mobiles internationales (IMT), comme indiqué dans les numéros 5.286AA, 5.317A, 5.313A, 5.316, 5.316A et 5.316B, ainsi que dans les Résolutions </w:t>
      </w:r>
      <w:r w:rsidRPr="0051662C">
        <w:rPr>
          <w:bCs/>
          <w:szCs w:val="24"/>
          <w:lang w:val="fr-CH"/>
        </w:rPr>
        <w:t>224 (Rév.CMR</w:t>
      </w:r>
      <w:r w:rsidRPr="0051662C">
        <w:rPr>
          <w:bCs/>
          <w:szCs w:val="24"/>
          <w:lang w:val="fr-CH"/>
        </w:rPr>
        <w:noBreakHyphen/>
        <w:t>07)</w:t>
      </w:r>
      <w:r w:rsidRPr="0051662C">
        <w:rPr>
          <w:szCs w:val="24"/>
          <w:lang w:val="fr-CH"/>
        </w:rPr>
        <w:t xml:space="preserve"> et </w:t>
      </w:r>
      <w:r w:rsidRPr="0051662C">
        <w:rPr>
          <w:bCs/>
          <w:szCs w:val="24"/>
          <w:lang w:val="fr-CH"/>
        </w:rPr>
        <w:t>749 (</w:t>
      </w:r>
      <w:r w:rsidRPr="0051662C">
        <w:rPr>
          <w:szCs w:val="24"/>
          <w:lang w:val="fr-CH"/>
        </w:rPr>
        <w:t>CMR</w:t>
      </w:r>
      <w:r w:rsidRPr="0051662C">
        <w:rPr>
          <w:bCs/>
          <w:szCs w:val="24"/>
          <w:lang w:val="fr-CH"/>
        </w:rPr>
        <w:noBreakHyphen/>
        <w:t>07)</w:t>
      </w:r>
      <w:r w:rsidRPr="0051662C">
        <w:rPr>
          <w:szCs w:val="24"/>
          <w:lang w:val="fr-CH"/>
        </w:rPr>
        <w:t>;</w:t>
      </w:r>
      <w:r w:rsidRPr="0051662C">
        <w:rPr>
          <w:lang w:val="fr-CH"/>
        </w:rPr>
        <w:t xml:space="preserve"> </w:t>
      </w:r>
    </w:p>
    <w:p w:rsidR="006E4BDA" w:rsidRPr="0051662C" w:rsidRDefault="006E4BDA" w:rsidP="0051662C">
      <w:pPr>
        <w:keepNext/>
        <w:keepLines/>
        <w:rPr>
          <w:lang w:val="fr-CH"/>
        </w:rPr>
      </w:pPr>
      <w:r w:rsidRPr="0051662C">
        <w:rPr>
          <w:szCs w:val="24"/>
          <w:lang w:val="fr-CH"/>
        </w:rPr>
        <w:t>k)</w:t>
      </w:r>
      <w:r w:rsidRPr="0051662C">
        <w:rPr>
          <w:szCs w:val="24"/>
          <w:lang w:val="fr-CH"/>
        </w:rPr>
        <w:tab/>
        <w:t>que la Conférence régionale des radiocommunications</w:t>
      </w:r>
      <w:r w:rsidRPr="0051662C">
        <w:rPr>
          <w:rFonts w:ascii="Segoe UI" w:hAnsi="Segoe UI" w:cs="Segoe UI"/>
          <w:color w:val="000000"/>
          <w:sz w:val="20"/>
          <w:lang w:val="fr-CH"/>
        </w:rPr>
        <w:t xml:space="preserve"> </w:t>
      </w:r>
      <w:r w:rsidRPr="0051662C">
        <w:rPr>
          <w:szCs w:val="24"/>
          <w:lang w:val="fr-CH"/>
        </w:rPr>
        <w:t xml:space="preserve">(Genève, 2006) a adopté </w:t>
      </w:r>
      <w:r w:rsidRPr="0051662C">
        <w:rPr>
          <w:lang w:val="fr-CH"/>
        </w:rPr>
        <w:t>l'Accord régional relatif à la planification du service de radiodiffusion numérique de Terre dans la Région 1 (parties de la Région 1</w:t>
      </w:r>
      <w:r w:rsidRPr="0051662C">
        <w:rPr>
          <w:i/>
          <w:iCs/>
          <w:lang w:val="fr-CH"/>
        </w:rPr>
        <w:t xml:space="preserve"> situées à l'ouest du méridien 170° E et au nord du parallèle 40° S, </w:t>
      </w:r>
      <w:r w:rsidRPr="0051662C">
        <w:rPr>
          <w:lang w:val="fr-CH"/>
        </w:rPr>
        <w:t>à l'exception du territoire de la Mongolie) et en République islamique d'Iran, dans les bandes de fréquences 174-230 MHz et 470</w:t>
      </w:r>
      <w:r w:rsidRPr="0051662C">
        <w:rPr>
          <w:lang w:val="fr-CH"/>
        </w:rPr>
        <w:noBreakHyphen/>
        <w:t>862 MHz (GE-06);</w:t>
      </w:r>
    </w:p>
    <w:p w:rsidR="006E4BDA" w:rsidRPr="0051662C" w:rsidRDefault="006E4BDA" w:rsidP="006E4BDA">
      <w:pPr>
        <w:rPr>
          <w:lang w:val="fr-CH"/>
        </w:rPr>
      </w:pPr>
      <w:r w:rsidRPr="0051662C">
        <w:rPr>
          <w:iCs/>
          <w:lang w:val="fr-CH"/>
        </w:rPr>
        <w:t>l)</w:t>
      </w:r>
      <w:r w:rsidRPr="0051662C">
        <w:rPr>
          <w:iCs/>
          <w:lang w:val="fr-CH"/>
        </w:rPr>
        <w:tab/>
      </w:r>
      <w:r w:rsidRPr="0051662C">
        <w:rPr>
          <w:lang w:val="fr-CH"/>
        </w:rPr>
        <w:t>que les systèmes hertziens de Terre commerciaux peuvent servir de complément de manière efficace aux systèmes spécialisés pour la prise en charge d'applications PPDR, en particulier lorsqu'il est possible de tirer parti de la disponibilité, du débit binaire élevé, et des éléments de fiabilité de ces systèmes commerciaux. Il peut être nécessaire de moderniser ces systèmes commerciaux de manière appropriée afin de répondre aux besoins spécifiques des organismes s'occupant de la protection du public et des secours en cas de catastrophe</w:t>
      </w:r>
      <w:r w:rsidRPr="0051662C">
        <w:rPr>
          <w:iCs/>
          <w:lang w:val="fr-CH"/>
        </w:rPr>
        <w:t>,</w:t>
      </w:r>
    </w:p>
    <w:p w:rsidR="006E4BDA" w:rsidRPr="0051662C" w:rsidRDefault="006E4BDA" w:rsidP="006E4BDA">
      <w:pPr>
        <w:pStyle w:val="Call"/>
        <w:rPr>
          <w:lang w:val="fr-CH"/>
        </w:rPr>
      </w:pPr>
      <w:r w:rsidRPr="0051662C">
        <w:rPr>
          <w:lang w:val="fr-CH"/>
        </w:rPr>
        <w:t>recommande</w:t>
      </w:r>
    </w:p>
    <w:p w:rsidR="006E4BDA" w:rsidRPr="0051662C" w:rsidRDefault="006E4BDA" w:rsidP="006E4BDA">
      <w:pPr>
        <w:rPr>
          <w:lang w:val="fr-CH"/>
        </w:rPr>
      </w:pPr>
      <w:r w:rsidRPr="0051662C">
        <w:rPr>
          <w:b/>
          <w:bCs/>
          <w:lang w:val="fr-CH"/>
        </w:rPr>
        <w:t>1</w:t>
      </w:r>
      <w:r w:rsidRPr="0051662C">
        <w:rPr>
          <w:lang w:val="fr-CH"/>
        </w:rPr>
        <w:tab/>
        <w:t xml:space="preserve">aux administrations qui mettent en </w:t>
      </w:r>
      <w:r w:rsidR="0051662C" w:rsidRPr="0051662C">
        <w:rPr>
          <w:lang w:val="fr-CH"/>
        </w:rPr>
        <w:t>œuvre</w:t>
      </w:r>
      <w:r w:rsidRPr="0051662C">
        <w:rPr>
          <w:lang w:val="fr-CH"/>
        </w:rPr>
        <w:t xml:space="preserve"> les dispositions de fréquences figurant dans les Annexes au présent document de déployer tous les efforts nécessaires pour assurer la compatibilité entre les stations/systèmes PPDR et les stations des autres services dans les pays voisins;</w:t>
      </w:r>
    </w:p>
    <w:p w:rsidR="006E4BDA" w:rsidRPr="0051662C" w:rsidRDefault="006E4BDA" w:rsidP="006E4BDA">
      <w:pPr>
        <w:rPr>
          <w:i/>
          <w:lang w:val="fr-CH"/>
        </w:rPr>
      </w:pPr>
      <w:r w:rsidRPr="0051662C">
        <w:rPr>
          <w:b/>
          <w:bCs/>
          <w:lang w:val="fr-CH"/>
        </w:rPr>
        <w:t>2</w:t>
      </w:r>
      <w:r w:rsidRPr="0051662C">
        <w:rPr>
          <w:lang w:val="fr-CH"/>
        </w:rPr>
        <w:tab/>
        <w:t xml:space="preserve">aux administrations d'utiliser les dispositions de fréquences figurant dans les Annexes au présent document à titre d'orientation lorsqu'elles libèrent du spectre pour les applications PPDR dans les bandes de fréquences figurant dans le point b) du </w:t>
      </w:r>
      <w:r w:rsidRPr="0051662C">
        <w:rPr>
          <w:i/>
          <w:lang w:val="fr-CH"/>
        </w:rPr>
        <w:t>reconnaissant</w:t>
      </w:r>
      <w:r w:rsidRPr="0051662C">
        <w:rPr>
          <w:lang w:val="fr-CH"/>
        </w:rPr>
        <w:t>.</w:t>
      </w:r>
    </w:p>
    <w:p w:rsidR="006E4BDA" w:rsidRPr="0051662C" w:rsidRDefault="006E4BDA" w:rsidP="0051662C">
      <w:pPr>
        <w:rPr>
          <w:lang w:val="fr-CH"/>
        </w:rPr>
      </w:pPr>
    </w:p>
    <w:p w:rsidR="0051662C" w:rsidRPr="0051662C" w:rsidRDefault="0051662C" w:rsidP="0051662C">
      <w:pPr>
        <w:rPr>
          <w:lang w:val="fr-CH"/>
        </w:rPr>
      </w:pPr>
    </w:p>
    <w:p w:rsidR="0051662C" w:rsidRPr="0051662C" w:rsidRDefault="0051662C" w:rsidP="0051662C">
      <w:pPr>
        <w:rPr>
          <w:lang w:val="fr-CH"/>
        </w:rPr>
      </w:pPr>
    </w:p>
    <w:p w:rsidR="006E4BDA" w:rsidRPr="0051662C" w:rsidRDefault="006E4BDA" w:rsidP="006E4BDA">
      <w:pPr>
        <w:pStyle w:val="AnnexNoTitle"/>
        <w:rPr>
          <w:lang w:val="fr-CH"/>
        </w:rPr>
      </w:pPr>
      <w:r w:rsidRPr="0051662C">
        <w:rPr>
          <w:lang w:val="fr-CH"/>
        </w:rPr>
        <w:t>Annexe 1</w:t>
      </w:r>
      <w:r w:rsidRPr="0051662C">
        <w:rPr>
          <w:lang w:val="fr-CH"/>
        </w:rPr>
        <w:br/>
      </w:r>
      <w:r w:rsidRPr="0051662C">
        <w:rPr>
          <w:lang w:val="fr-CH"/>
        </w:rPr>
        <w:br/>
        <w:t xml:space="preserve">Exemples de dispositions de fréquences dans la bande 380-470 MHz dans certains pays de la Région 1 pour les applications à bande étroite et à </w:t>
      </w:r>
      <w:r w:rsidRPr="0051662C">
        <w:rPr>
          <w:lang w:val="fr-CH"/>
        </w:rPr>
        <w:br/>
        <w:t xml:space="preserve">bande élargie liées à la protection du public et aux </w:t>
      </w:r>
      <w:r w:rsidRPr="0051662C">
        <w:rPr>
          <w:lang w:val="fr-CH"/>
        </w:rPr>
        <w:br/>
        <w:t>opérations de secours en cas de catastrophe</w:t>
      </w:r>
    </w:p>
    <w:p w:rsidR="006E4BDA" w:rsidRPr="0051662C" w:rsidRDefault="006E4BDA" w:rsidP="00FC113F">
      <w:pPr>
        <w:pStyle w:val="Normalaftertitle"/>
        <w:rPr>
          <w:lang w:val="fr-CH"/>
        </w:rPr>
      </w:pPr>
      <w:r w:rsidRPr="0051662C">
        <w:rPr>
          <w:lang w:val="fr-CH"/>
        </w:rPr>
        <w:t>La gamme de fréquences 380-470 MHz a été identifiée en tant que gamme d'accord pour les a</w:t>
      </w:r>
      <w:r w:rsidR="00FC113F">
        <w:rPr>
          <w:lang w:val="fr-CH"/>
        </w:rPr>
        <w:t>pplications PPDR dans la Région </w:t>
      </w:r>
      <w:r w:rsidRPr="0051662C">
        <w:rPr>
          <w:lang w:val="fr-CH"/>
        </w:rPr>
        <w:t>1.</w:t>
      </w:r>
      <w:r w:rsidR="00FC113F">
        <w:rPr>
          <w:lang w:val="fr-CH"/>
        </w:rPr>
        <w:t xml:space="preserve"> La bande de fréquences 380-385 </w:t>
      </w:r>
      <w:r w:rsidRPr="0051662C">
        <w:rPr>
          <w:lang w:val="fr-CH"/>
        </w:rPr>
        <w:t>MHz (liaison montante)/390</w:t>
      </w:r>
      <w:r w:rsidR="00FC113F">
        <w:rPr>
          <w:lang w:val="fr-CH"/>
        </w:rPr>
        <w:noBreakHyphen/>
        <w:t>395 </w:t>
      </w:r>
      <w:r w:rsidRPr="0051662C">
        <w:rPr>
          <w:lang w:val="fr-CH"/>
        </w:rPr>
        <w:t>MHz (liaison descendante) est la principale bande harmonisée pour une utilisation permanente pour les applications PPDR. Pour de plus amples informations concernant les pays européens, voir le document ECC/DEC/(08)05 et le Rapport 102 du CEE.</w:t>
      </w:r>
    </w:p>
    <w:p w:rsidR="006E4BDA" w:rsidRPr="0051662C" w:rsidRDefault="006E4BDA" w:rsidP="006E4BDA">
      <w:pPr>
        <w:rPr>
          <w:lang w:val="fr-CH"/>
        </w:rPr>
      </w:pPr>
      <w:r w:rsidRPr="0051662C">
        <w:rPr>
          <w:lang w:val="fr-CH"/>
        </w:rPr>
        <w:t>Les applications PPDR à bande élargie utilisent des canaux dans les parties disponibles de la gamme de fréquences 380</w:t>
      </w:r>
      <w:r w:rsidRPr="0051662C">
        <w:rPr>
          <w:lang w:val="fr-CH"/>
        </w:rPr>
        <w:noBreakHyphen/>
        <w:t>470 MHz.</w:t>
      </w:r>
    </w:p>
    <w:p w:rsidR="006E4BDA" w:rsidRPr="0051662C" w:rsidRDefault="006E4BDA" w:rsidP="006E4BDA">
      <w:pPr>
        <w:rPr>
          <w:lang w:val="fr-CH"/>
        </w:rPr>
      </w:pPr>
      <w:r w:rsidRPr="0051662C">
        <w:rPr>
          <w:lang w:val="fr-CH"/>
        </w:rPr>
        <w:t xml:space="preserve">En outre, certains canaux ont été identifiés à des fins d'exploitation en mode direct (DMO) et d'opérations air-sol-air (AGA). </w:t>
      </w:r>
    </w:p>
    <w:p w:rsidR="006E4BDA" w:rsidRPr="0051662C" w:rsidRDefault="006E4BDA" w:rsidP="006E4BDA">
      <w:pPr>
        <w:pStyle w:val="Headingb"/>
        <w:rPr>
          <w:lang w:val="fr-CH"/>
        </w:rPr>
      </w:pPr>
      <w:r w:rsidRPr="0051662C">
        <w:rPr>
          <w:lang w:val="fr-CH"/>
        </w:rPr>
        <w:t>DMO (Exploitation en mode direct)</w:t>
      </w:r>
    </w:p>
    <w:p w:rsidR="006E4BDA" w:rsidRPr="0051662C" w:rsidRDefault="006E4BDA" w:rsidP="006E4BDA">
      <w:pPr>
        <w:rPr>
          <w:lang w:val="fr-CH"/>
        </w:rPr>
      </w:pPr>
      <w:r w:rsidRPr="0051662C">
        <w:rPr>
          <w:lang w:val="fr-CH"/>
        </w:rPr>
        <w:t>Des canaux simplex dans les bandes de fréquences 380-380,150 MHz et 390-390,150 MHz devraient servir de canaux harmonisés pour la DMO. Pour de plus amples informations concernant les pays européens, voir le document ERC/DEC/(01)19.</w:t>
      </w:r>
    </w:p>
    <w:p w:rsidR="006E4BDA" w:rsidRPr="0051662C" w:rsidRDefault="006E4BDA" w:rsidP="006E4BDA">
      <w:pPr>
        <w:pStyle w:val="Headingb"/>
        <w:rPr>
          <w:lang w:val="fr-CH"/>
        </w:rPr>
      </w:pPr>
      <w:r w:rsidRPr="0051662C">
        <w:rPr>
          <w:lang w:val="fr-CH"/>
        </w:rPr>
        <w:t>AGA (Opération air-sol-air)</w:t>
      </w:r>
    </w:p>
    <w:p w:rsidR="006E4BDA" w:rsidRPr="0051662C" w:rsidRDefault="006E4BDA" w:rsidP="006E4BDA">
      <w:pPr>
        <w:rPr>
          <w:lang w:val="fr-CH"/>
        </w:rPr>
      </w:pPr>
      <w:r w:rsidRPr="0051662C">
        <w:rPr>
          <w:lang w:val="fr-CH"/>
        </w:rPr>
        <w:t>Des canaux duplex dans les bandes de fréquences 384,800 MHz-385 MHz/394,800-395 MHz devraient servir de bande principale pour les canaux harmonisés pour les opérations AGA. Des canaux duplex dans les bandes de fréquences 384,750 MHz-384,800 MHz/394,750-394,800 MHz peuvent être utilisées en tant que bande d'extension préférée pour les opérations AGA lorsque des canaux additionnels sont nécessaires. Pour de plus amples informations concernant les pays européens, voir le document ECC/DEC/(06)05.</w:t>
      </w:r>
    </w:p>
    <w:p w:rsidR="006E4BDA" w:rsidRPr="0051662C" w:rsidRDefault="006E4BDA" w:rsidP="006E4BDA">
      <w:pPr>
        <w:pStyle w:val="Headingb"/>
        <w:rPr>
          <w:lang w:val="fr-CH"/>
        </w:rPr>
      </w:pPr>
      <w:r w:rsidRPr="0051662C">
        <w:rPr>
          <w:lang w:val="fr-CH"/>
        </w:rPr>
        <w:t xml:space="preserve">Fréquences centrales: </w:t>
      </w:r>
    </w:p>
    <w:p w:rsidR="006E4BDA" w:rsidRPr="0051662C" w:rsidRDefault="006E4BDA" w:rsidP="006E4BDA">
      <w:pPr>
        <w:pStyle w:val="Headingi"/>
        <w:rPr>
          <w:lang w:val="fr-CH"/>
        </w:rPr>
      </w:pPr>
      <w:r w:rsidRPr="0051662C">
        <w:rPr>
          <w:lang w:val="fr-CH"/>
        </w:rPr>
        <w:t>a)</w:t>
      </w:r>
      <w:r w:rsidRPr="0051662C">
        <w:rPr>
          <w:lang w:val="fr-CH"/>
        </w:rPr>
        <w:tab/>
        <w:t>Pour les systèmes dont la largeur de bande de canal est inférieure ou égale à 150 kHz</w:t>
      </w:r>
    </w:p>
    <w:p w:rsidR="006E4BDA" w:rsidRPr="0051662C" w:rsidRDefault="006E4BDA" w:rsidP="006E4BDA">
      <w:pPr>
        <w:pStyle w:val="Equation"/>
        <w:rPr>
          <w:lang w:val="fr-CH"/>
        </w:rPr>
      </w:pPr>
      <w:r w:rsidRPr="0051662C">
        <w:rPr>
          <w:lang w:val="fr-CH"/>
        </w:rPr>
        <w:tab/>
      </w:r>
      <w:r w:rsidRPr="0051662C">
        <w:rPr>
          <w:lang w:val="fr-CH"/>
        </w:rPr>
        <w:tab/>
      </w:r>
      <w:r w:rsidRPr="0051662C">
        <w:rPr>
          <w:i/>
          <w:lang w:val="fr-CH"/>
        </w:rPr>
        <w:t>F</w:t>
      </w:r>
      <w:r w:rsidRPr="0051662C">
        <w:rPr>
          <w:i/>
          <w:szCs w:val="24"/>
          <w:vertAlign w:val="subscript"/>
          <w:lang w:val="fr-CH"/>
        </w:rPr>
        <w:t>CH</w:t>
      </w:r>
      <w:r w:rsidRPr="0051662C">
        <w:rPr>
          <w:lang w:val="fr-CH"/>
        </w:rPr>
        <w:t xml:space="preserve"> = limite de la bande – (largeur de bande de canal/2) + </w:t>
      </w:r>
      <w:r w:rsidRPr="0051662C">
        <w:rPr>
          <w:i/>
          <w:lang w:val="fr-CH"/>
        </w:rPr>
        <w:t>n</w:t>
      </w:r>
      <w:r w:rsidRPr="0051662C">
        <w:rPr>
          <w:lang w:val="fr-CH"/>
        </w:rPr>
        <w:t xml:space="preserve"> * largeur de bande de canal </w:t>
      </w:r>
    </w:p>
    <w:p w:rsidR="006E4BDA" w:rsidRPr="0051662C" w:rsidRDefault="006E4BDA" w:rsidP="006E4BDA">
      <w:pPr>
        <w:pStyle w:val="Equation"/>
        <w:rPr>
          <w:lang w:val="fr-CH"/>
        </w:rPr>
      </w:pPr>
      <w:r w:rsidRPr="0051662C">
        <w:rPr>
          <w:lang w:val="fr-CH"/>
        </w:rPr>
        <w:t>où:</w:t>
      </w:r>
    </w:p>
    <w:p w:rsidR="006E4BDA" w:rsidRPr="0051662C" w:rsidRDefault="006E4BDA" w:rsidP="006E4BDA">
      <w:pPr>
        <w:pStyle w:val="Equationlegend"/>
        <w:rPr>
          <w:lang w:val="fr-CH"/>
        </w:rPr>
      </w:pPr>
      <w:r w:rsidRPr="0051662C">
        <w:rPr>
          <w:lang w:val="fr-CH"/>
        </w:rPr>
        <w:tab/>
      </w:r>
      <w:r w:rsidRPr="0051662C">
        <w:rPr>
          <w:i/>
          <w:lang w:val="fr-CH"/>
        </w:rPr>
        <w:t>F</w:t>
      </w:r>
      <w:r w:rsidRPr="0051662C">
        <w:rPr>
          <w:i/>
          <w:szCs w:val="24"/>
          <w:vertAlign w:val="subscript"/>
          <w:lang w:val="fr-CH"/>
        </w:rPr>
        <w:t>CH</w:t>
      </w:r>
      <w:r w:rsidRPr="0051662C">
        <w:rPr>
          <w:lang w:val="fr-CH"/>
        </w:rPr>
        <w:t xml:space="preserve"> = </w:t>
      </w:r>
      <w:r w:rsidRPr="0051662C">
        <w:rPr>
          <w:lang w:val="fr-CH"/>
        </w:rPr>
        <w:tab/>
        <w:t>fréquence centrale</w:t>
      </w:r>
    </w:p>
    <w:p w:rsidR="006E4BDA" w:rsidRPr="0051662C" w:rsidRDefault="006E4BDA" w:rsidP="006E4BDA">
      <w:pPr>
        <w:pStyle w:val="Equationlegend"/>
        <w:rPr>
          <w:lang w:val="fr-CH"/>
        </w:rPr>
      </w:pPr>
      <w:r w:rsidRPr="0051662C">
        <w:rPr>
          <w:lang w:val="fr-CH"/>
        </w:rPr>
        <w:tab/>
      </w:r>
      <w:r w:rsidRPr="0051662C">
        <w:rPr>
          <w:i/>
          <w:lang w:val="fr-CH"/>
        </w:rPr>
        <w:t xml:space="preserve">n </w:t>
      </w:r>
      <w:r w:rsidRPr="0051662C">
        <w:rPr>
          <w:lang w:val="fr-CH"/>
        </w:rPr>
        <w:t xml:space="preserve">= </w:t>
      </w:r>
      <w:r w:rsidRPr="0051662C">
        <w:rPr>
          <w:lang w:val="fr-CH"/>
        </w:rPr>
        <w:tab/>
        <w:t>numéro du canal (1, 2, 3, ...)</w:t>
      </w:r>
    </w:p>
    <w:p w:rsidR="006E4BDA" w:rsidRPr="0051662C" w:rsidRDefault="00FC113F" w:rsidP="00FC113F">
      <w:pPr>
        <w:rPr>
          <w:lang w:val="fr-CH"/>
        </w:rPr>
      </w:pPr>
      <w:r>
        <w:rPr>
          <w:lang w:val="fr-CH"/>
        </w:rPr>
        <w:tab/>
      </w:r>
      <w:r w:rsidR="006E4BDA" w:rsidRPr="0051662C">
        <w:rPr>
          <w:lang w:val="fr-CH"/>
        </w:rPr>
        <w:t>la limite de la bande est la limite inférieure de la bande de fréquence.</w:t>
      </w:r>
    </w:p>
    <w:p w:rsidR="006E4BDA" w:rsidRPr="0051662C" w:rsidRDefault="006E4BDA" w:rsidP="006E4BDA">
      <w:pPr>
        <w:pStyle w:val="Headingi"/>
        <w:rPr>
          <w:lang w:val="fr-CH"/>
        </w:rPr>
      </w:pPr>
      <w:r w:rsidRPr="0051662C">
        <w:rPr>
          <w:lang w:val="fr-CH"/>
        </w:rPr>
        <w:t>b)</w:t>
      </w:r>
      <w:r w:rsidRPr="0051662C">
        <w:rPr>
          <w:lang w:val="fr-CH"/>
        </w:rPr>
        <w:tab/>
        <w:t>Pour les systèmes dont la largeur de bande de canal est de 200 kHz</w:t>
      </w:r>
    </w:p>
    <w:p w:rsidR="006E4BDA" w:rsidRPr="0051662C" w:rsidRDefault="006E4BDA" w:rsidP="006E4BDA">
      <w:pPr>
        <w:rPr>
          <w:lang w:val="fr-CH"/>
        </w:rPr>
      </w:pPr>
      <w:r w:rsidRPr="0051662C">
        <w:rPr>
          <w:lang w:val="fr-CH"/>
        </w:rPr>
        <w:t xml:space="preserve">Les fréquences centrales devraient être choisies grâce à la formule figurant au point </w:t>
      </w:r>
      <w:r w:rsidRPr="0051662C">
        <w:rPr>
          <w:i/>
          <w:lang w:val="fr-CH"/>
        </w:rPr>
        <w:t xml:space="preserve">a) </w:t>
      </w:r>
      <w:r w:rsidRPr="0051662C">
        <w:rPr>
          <w:lang w:val="fr-CH"/>
        </w:rPr>
        <w:t>avec une option pour décaler ces fréquences centrales de 100 kHz.</w:t>
      </w:r>
    </w:p>
    <w:p w:rsidR="006E4BDA" w:rsidRPr="0051662C" w:rsidRDefault="006E4BDA" w:rsidP="006E4BDA">
      <w:pPr>
        <w:pStyle w:val="Headingi"/>
        <w:rPr>
          <w:lang w:val="fr-CH"/>
        </w:rPr>
      </w:pPr>
      <w:r w:rsidRPr="0051662C">
        <w:rPr>
          <w:lang w:val="fr-CH"/>
        </w:rPr>
        <w:t>c)</w:t>
      </w:r>
      <w:r w:rsidRPr="0051662C">
        <w:rPr>
          <w:lang w:val="fr-CH"/>
        </w:rPr>
        <w:tab/>
        <w:t>Pour les systèmes dont la largeur de bande de canal est de 1,25 MHz</w:t>
      </w:r>
    </w:p>
    <w:p w:rsidR="006E4BDA" w:rsidRPr="0051662C" w:rsidRDefault="006E4BDA" w:rsidP="006E4BDA">
      <w:pPr>
        <w:rPr>
          <w:lang w:val="fr-CH"/>
        </w:rPr>
      </w:pPr>
      <w:r w:rsidRPr="0051662C">
        <w:rPr>
          <w:lang w:val="fr-CH"/>
        </w:rPr>
        <w:t xml:space="preserve">Les fréquences centrales devraient être choisies grâce à la formule figurant au point </w:t>
      </w:r>
      <w:r w:rsidRPr="0051662C">
        <w:rPr>
          <w:i/>
          <w:lang w:val="fr-CH"/>
        </w:rPr>
        <w:t xml:space="preserve">a) </w:t>
      </w:r>
      <w:r w:rsidRPr="0051662C">
        <w:rPr>
          <w:lang w:val="fr-CH"/>
        </w:rPr>
        <w:t>avec une option pour décaler ces fréquences centrales par des multiples de 12,5 kHz, afin de garantir une certaine souplesse pour localiser les fréquences centrales dans la position optimale à l'intérieur de la bande.</w:t>
      </w:r>
    </w:p>
    <w:p w:rsidR="0051662C" w:rsidRPr="0051662C" w:rsidRDefault="0051662C" w:rsidP="006E4BDA">
      <w:pPr>
        <w:rPr>
          <w:lang w:val="fr-CH"/>
        </w:rPr>
      </w:pPr>
    </w:p>
    <w:p w:rsidR="0051662C" w:rsidRDefault="0051662C" w:rsidP="006E4BDA">
      <w:pPr>
        <w:rPr>
          <w:lang w:val="fr-CH"/>
        </w:rPr>
      </w:pPr>
    </w:p>
    <w:p w:rsidR="00FC113F" w:rsidRPr="0051662C" w:rsidRDefault="00FC113F" w:rsidP="006E4BDA">
      <w:pPr>
        <w:rPr>
          <w:lang w:val="fr-CH"/>
        </w:rPr>
      </w:pPr>
    </w:p>
    <w:p w:rsidR="006E4BDA" w:rsidRPr="0051662C" w:rsidRDefault="006E4BDA" w:rsidP="006E4BDA">
      <w:pPr>
        <w:pStyle w:val="AnnexNoTitle"/>
        <w:rPr>
          <w:lang w:val="fr-CH"/>
        </w:rPr>
      </w:pPr>
      <w:r w:rsidRPr="0051662C">
        <w:rPr>
          <w:lang w:val="fr-CH"/>
        </w:rPr>
        <w:t>Annexe 2</w:t>
      </w:r>
      <w:r w:rsidRPr="0051662C">
        <w:rPr>
          <w:lang w:val="fr-CH"/>
        </w:rPr>
        <w:br/>
      </w:r>
      <w:r w:rsidRPr="0051662C">
        <w:rPr>
          <w:lang w:val="fr-CH"/>
        </w:rPr>
        <w:br/>
        <w:t xml:space="preserve">Exemples de dispositions de fréquences dans la bande 763-776 MHz et </w:t>
      </w:r>
      <w:r w:rsidRPr="0051662C">
        <w:rPr>
          <w:lang w:val="fr-CH"/>
        </w:rPr>
        <w:br/>
        <w:t xml:space="preserve">la bande 793-806 MHz dans certains pays de la Région 2 pour les </w:t>
      </w:r>
      <w:r w:rsidRPr="0051662C">
        <w:rPr>
          <w:lang w:val="fr-CH"/>
        </w:rPr>
        <w:br/>
        <w:t xml:space="preserve">applications à bande étroite, à bande élargie et à large bande liées </w:t>
      </w:r>
      <w:r w:rsidRPr="0051662C">
        <w:rPr>
          <w:lang w:val="fr-CH"/>
        </w:rPr>
        <w:br/>
        <w:t xml:space="preserve">à la protection du public et aux opérations </w:t>
      </w:r>
      <w:r w:rsidRPr="0051662C">
        <w:rPr>
          <w:lang w:val="fr-CH"/>
        </w:rPr>
        <w:br/>
        <w:t>de secours en cas de catastrophe</w:t>
      </w:r>
    </w:p>
    <w:p w:rsidR="006E4BDA" w:rsidRPr="0051662C" w:rsidRDefault="006E4BDA" w:rsidP="006E4BDA">
      <w:pPr>
        <w:pStyle w:val="Heading1"/>
        <w:rPr>
          <w:lang w:val="fr-CH"/>
        </w:rPr>
      </w:pPr>
      <w:r w:rsidRPr="0051662C">
        <w:rPr>
          <w:lang w:val="fr-CH"/>
        </w:rPr>
        <w:t>1</w:t>
      </w:r>
      <w:r w:rsidRPr="0051662C">
        <w:rPr>
          <w:lang w:val="fr-CH"/>
        </w:rPr>
        <w:tab/>
        <w:t>Région 2</w:t>
      </w:r>
    </w:p>
    <w:p w:rsidR="006E4BDA" w:rsidRPr="0051662C" w:rsidRDefault="006E4BDA" w:rsidP="006E4BDA">
      <w:pPr>
        <w:rPr>
          <w:lang w:val="fr-CH"/>
        </w:rPr>
      </w:pPr>
      <w:r w:rsidRPr="0051662C">
        <w:rPr>
          <w:lang w:val="fr-CH"/>
        </w:rPr>
        <w:t>Les gammes de fréquences 764-776 MHz et 794-806 MHz ont été identifiées pour les applications PPDR dans la Recommandation PCC.II/REC. 18 (VII-06) de la CITEL. Dans cette gamme de fréquences, les administrations pourraient envisager un certain nombre de dispositions de fréquences possibles telles qu'indiquées ci-dessous.</w:t>
      </w:r>
    </w:p>
    <w:p w:rsidR="006E4BDA" w:rsidRPr="0051662C" w:rsidRDefault="006E4BDA" w:rsidP="006E4BDA">
      <w:pPr>
        <w:pStyle w:val="Heading2"/>
        <w:spacing w:after="240"/>
        <w:rPr>
          <w:lang w:val="fr-CH"/>
        </w:rPr>
      </w:pPr>
      <w:r w:rsidRPr="0051662C">
        <w:rPr>
          <w:lang w:val="fr-CH"/>
        </w:rPr>
        <w:t>1.1</w:t>
      </w:r>
      <w:r w:rsidRPr="0051662C">
        <w:rPr>
          <w:lang w:val="fr-CH"/>
        </w:rPr>
        <w:tab/>
        <w:t>Exemple de dispositions de fréquences «A»</w:t>
      </w:r>
      <w:r w:rsidRPr="0051662C">
        <w:rPr>
          <w:rStyle w:val="FootnoteReference"/>
          <w:lang w:val="fr-CH"/>
        </w:rPr>
        <w:footnoteReference w:id="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3229"/>
      </w:tblGrid>
      <w:tr w:rsidR="006E4BDA" w:rsidRPr="0051662C" w:rsidTr="0051662C">
        <w:trPr>
          <w:jc w:val="center"/>
        </w:trPr>
        <w:tc>
          <w:tcPr>
            <w:tcW w:w="2464" w:type="dxa"/>
            <w:vAlign w:val="center"/>
          </w:tcPr>
          <w:p w:rsidR="006E4BDA" w:rsidRPr="0051662C" w:rsidRDefault="006E4BDA" w:rsidP="0051662C">
            <w:pPr>
              <w:pStyle w:val="Tablehead"/>
              <w:rPr>
                <w:lang w:val="fr-CH"/>
              </w:rPr>
            </w:pPr>
            <w:r w:rsidRPr="0051662C">
              <w:rPr>
                <w:lang w:val="fr-CH"/>
              </w:rPr>
              <w:t>Fréquences d'émission des stations de base (MHz)</w:t>
            </w:r>
          </w:p>
        </w:tc>
        <w:tc>
          <w:tcPr>
            <w:tcW w:w="2464" w:type="dxa"/>
            <w:vAlign w:val="center"/>
          </w:tcPr>
          <w:p w:rsidR="006E4BDA" w:rsidRPr="0051662C" w:rsidRDefault="006E4BDA" w:rsidP="0051662C">
            <w:pPr>
              <w:pStyle w:val="Tablehead"/>
              <w:rPr>
                <w:lang w:val="fr-CH"/>
              </w:rPr>
            </w:pPr>
            <w:r w:rsidRPr="0051662C">
              <w:rPr>
                <w:lang w:val="fr-CH"/>
              </w:rPr>
              <w:t>Fréquences d'émission des stations mobiles (MHz)</w:t>
            </w:r>
          </w:p>
        </w:tc>
        <w:tc>
          <w:tcPr>
            <w:tcW w:w="3229" w:type="dxa"/>
            <w:vAlign w:val="center"/>
          </w:tcPr>
          <w:p w:rsidR="006E4BDA" w:rsidRPr="0051662C" w:rsidRDefault="006E4BDA" w:rsidP="0051662C">
            <w:pPr>
              <w:pStyle w:val="Tablehead"/>
              <w:rPr>
                <w:lang w:val="fr-CH"/>
              </w:rPr>
            </w:pPr>
            <w:r w:rsidRPr="0051662C">
              <w:rPr>
                <w:lang w:val="fr-CH"/>
              </w:rPr>
              <w:t>Bloc de fréquences</w:t>
            </w:r>
          </w:p>
        </w:tc>
      </w:tr>
      <w:tr w:rsidR="006E4BDA" w:rsidRPr="0051662C" w:rsidTr="0051662C">
        <w:trPr>
          <w:jc w:val="center"/>
        </w:trPr>
        <w:tc>
          <w:tcPr>
            <w:tcW w:w="2464" w:type="dxa"/>
          </w:tcPr>
          <w:p w:rsidR="006E4BDA" w:rsidRPr="0051662C" w:rsidRDefault="006E4BDA" w:rsidP="006E75B8">
            <w:pPr>
              <w:pStyle w:val="Tabletext"/>
              <w:jc w:val="center"/>
              <w:rPr>
                <w:lang w:val="fr-CH"/>
              </w:rPr>
            </w:pPr>
            <w:r w:rsidRPr="0051662C">
              <w:rPr>
                <w:lang w:val="fr-CH"/>
              </w:rPr>
              <w:t>764-768</w:t>
            </w:r>
          </w:p>
        </w:tc>
        <w:tc>
          <w:tcPr>
            <w:tcW w:w="2464" w:type="dxa"/>
          </w:tcPr>
          <w:p w:rsidR="006E4BDA" w:rsidRPr="0051662C" w:rsidRDefault="006E4BDA" w:rsidP="006E75B8">
            <w:pPr>
              <w:pStyle w:val="Tabletext"/>
              <w:jc w:val="center"/>
              <w:rPr>
                <w:lang w:val="fr-CH"/>
              </w:rPr>
            </w:pPr>
            <w:r w:rsidRPr="0051662C">
              <w:rPr>
                <w:lang w:val="fr-CH"/>
              </w:rPr>
              <w:t>794-798</w:t>
            </w:r>
          </w:p>
        </w:tc>
        <w:tc>
          <w:tcPr>
            <w:tcW w:w="3229" w:type="dxa"/>
          </w:tcPr>
          <w:p w:rsidR="006E4BDA" w:rsidRPr="0051662C" w:rsidRDefault="006E4BDA" w:rsidP="006E75B8">
            <w:pPr>
              <w:pStyle w:val="Tabletext"/>
              <w:jc w:val="center"/>
              <w:rPr>
                <w:lang w:val="fr-CH"/>
              </w:rPr>
            </w:pPr>
            <w:r w:rsidRPr="0051662C">
              <w:rPr>
                <w:lang w:val="fr-CH"/>
              </w:rPr>
              <w:t>PPDR 1</w:t>
            </w:r>
          </w:p>
        </w:tc>
      </w:tr>
      <w:tr w:rsidR="006E4BDA" w:rsidRPr="0051662C" w:rsidTr="0051662C">
        <w:trPr>
          <w:jc w:val="center"/>
        </w:trPr>
        <w:tc>
          <w:tcPr>
            <w:tcW w:w="2464" w:type="dxa"/>
            <w:tcBorders>
              <w:top w:val="single" w:sz="4" w:space="0" w:color="auto"/>
              <w:left w:val="single" w:sz="4" w:space="0" w:color="auto"/>
              <w:bottom w:val="single" w:sz="4" w:space="0" w:color="auto"/>
              <w:right w:val="single" w:sz="4" w:space="0" w:color="auto"/>
            </w:tcBorders>
          </w:tcPr>
          <w:p w:rsidR="006E4BDA" w:rsidRPr="0051662C" w:rsidRDefault="006E4BDA" w:rsidP="006E75B8">
            <w:pPr>
              <w:pStyle w:val="Tabletext"/>
              <w:jc w:val="center"/>
              <w:rPr>
                <w:lang w:val="fr-CH"/>
              </w:rPr>
            </w:pPr>
            <w:r w:rsidRPr="0051662C">
              <w:rPr>
                <w:lang w:val="fr-CH"/>
              </w:rPr>
              <w:t>768-776</w:t>
            </w:r>
          </w:p>
        </w:tc>
        <w:tc>
          <w:tcPr>
            <w:tcW w:w="2464" w:type="dxa"/>
            <w:tcBorders>
              <w:top w:val="single" w:sz="4" w:space="0" w:color="auto"/>
              <w:left w:val="single" w:sz="4" w:space="0" w:color="auto"/>
              <w:bottom w:val="single" w:sz="4" w:space="0" w:color="auto"/>
              <w:right w:val="single" w:sz="4" w:space="0" w:color="auto"/>
            </w:tcBorders>
          </w:tcPr>
          <w:p w:rsidR="006E4BDA" w:rsidRPr="0051662C" w:rsidRDefault="006E4BDA" w:rsidP="006E75B8">
            <w:pPr>
              <w:pStyle w:val="Tabletext"/>
              <w:jc w:val="center"/>
              <w:rPr>
                <w:lang w:val="fr-CH"/>
              </w:rPr>
            </w:pPr>
            <w:r w:rsidRPr="0051662C">
              <w:rPr>
                <w:lang w:val="fr-CH"/>
              </w:rPr>
              <w:t>798-806</w:t>
            </w:r>
          </w:p>
        </w:tc>
        <w:tc>
          <w:tcPr>
            <w:tcW w:w="3229" w:type="dxa"/>
            <w:tcBorders>
              <w:top w:val="single" w:sz="4" w:space="0" w:color="auto"/>
              <w:left w:val="single" w:sz="4" w:space="0" w:color="auto"/>
              <w:bottom w:val="single" w:sz="4" w:space="0" w:color="auto"/>
              <w:right w:val="single" w:sz="4" w:space="0" w:color="auto"/>
            </w:tcBorders>
          </w:tcPr>
          <w:p w:rsidR="006E4BDA" w:rsidRPr="0051662C" w:rsidRDefault="006E4BDA" w:rsidP="006E75B8">
            <w:pPr>
              <w:pStyle w:val="Tabletext"/>
              <w:jc w:val="center"/>
              <w:rPr>
                <w:lang w:val="fr-CH"/>
              </w:rPr>
            </w:pPr>
            <w:r w:rsidRPr="0051662C">
              <w:rPr>
                <w:lang w:val="fr-CH"/>
              </w:rPr>
              <w:t>PPDR 2</w:t>
            </w:r>
          </w:p>
        </w:tc>
      </w:tr>
    </w:tbl>
    <w:p w:rsidR="0051662C" w:rsidRPr="0051662C" w:rsidRDefault="0051662C" w:rsidP="0051662C">
      <w:pPr>
        <w:pStyle w:val="Tablefin"/>
        <w:rPr>
          <w:lang w:val="fr-CH"/>
        </w:rPr>
      </w:pPr>
    </w:p>
    <w:p w:rsidR="006E4BDA" w:rsidRPr="0051662C" w:rsidRDefault="006E4BDA" w:rsidP="006E4BDA">
      <w:pPr>
        <w:pStyle w:val="FigureNo"/>
        <w:keepNext w:val="0"/>
        <w:keepLines w:val="0"/>
        <w:rPr>
          <w:lang w:val="fr-CH"/>
        </w:rPr>
      </w:pPr>
      <w:r w:rsidRPr="0051662C">
        <w:rPr>
          <w:noProof/>
          <w:lang w:val="en-US" w:eastAsia="zh-CN"/>
        </w:rPr>
        <mc:AlternateContent>
          <mc:Choice Requires="wpc">
            <w:drawing>
              <wp:inline distT="0" distB="0" distL="0" distR="0" wp14:anchorId="70B2BEDA" wp14:editId="1450AF87">
                <wp:extent cx="6560185" cy="1931670"/>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439421" y="1297363"/>
                            <a:ext cx="2386329"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Pr="0096529E" w:rsidRDefault="006E4BDA" w:rsidP="006E4BDA">
                              <w:pPr>
                                <w:tabs>
                                  <w:tab w:val="clear" w:pos="794"/>
                                  <w:tab w:val="left" w:pos="142"/>
                                </w:tabs>
                              </w:pPr>
                              <w:r>
                                <w:rPr>
                                  <w:rFonts w:ascii="Arial" w:hAnsi="Arial" w:cs="Arial"/>
                                  <w:color w:val="000000"/>
                                  <w:sz w:val="16"/>
                                  <w:szCs w:val="16"/>
                                </w:rPr>
                                <w:t>*</w:t>
                              </w:r>
                              <w:r>
                                <w:rPr>
                                  <w:rFonts w:ascii="Arial" w:hAnsi="Arial" w:cs="Arial"/>
                                  <w:color w:val="000000"/>
                                  <w:sz w:val="16"/>
                                  <w:szCs w:val="16"/>
                                </w:rPr>
                                <w:tab/>
                              </w:r>
                              <w:r w:rsidRPr="0096529E">
                                <w:rPr>
                                  <w:rFonts w:ascii="Arial" w:hAnsi="Arial" w:cs="Arial"/>
                                  <w:color w:val="000000"/>
                                  <w:sz w:val="16"/>
                                  <w:szCs w:val="16"/>
                                </w:rPr>
                                <w:t>Le bloc A fera l</w:t>
                              </w:r>
                              <w:r>
                                <w:rPr>
                                  <w:rFonts w:ascii="Arial" w:hAnsi="Arial" w:cs="Arial"/>
                                  <w:color w:val="000000"/>
                                  <w:sz w:val="16"/>
                                  <w:szCs w:val="16"/>
                                </w:rPr>
                                <w:t>'</w:t>
                              </w:r>
                              <w:r w:rsidRPr="0096529E">
                                <w:rPr>
                                  <w:rFonts w:ascii="Arial" w:hAnsi="Arial" w:cs="Arial"/>
                                  <w:color w:val="000000"/>
                                  <w:sz w:val="16"/>
                                  <w:szCs w:val="16"/>
                                </w:rPr>
                                <w:t>objet d</w:t>
                              </w:r>
                              <w:r>
                                <w:rPr>
                                  <w:rFonts w:ascii="Arial" w:hAnsi="Arial" w:cs="Arial"/>
                                  <w:color w:val="000000"/>
                                  <w:sz w:val="16"/>
                                  <w:szCs w:val="16"/>
                                </w:rPr>
                                <w:t>'</w:t>
                              </w:r>
                              <w:r w:rsidRPr="0096529E">
                                <w:rPr>
                                  <w:rFonts w:ascii="Arial" w:hAnsi="Arial" w:cs="Arial"/>
                                  <w:color w:val="000000"/>
                                  <w:sz w:val="16"/>
                                  <w:szCs w:val="16"/>
                                </w:rPr>
                                <w:t>une consultation future</w:t>
                              </w:r>
                              <w:r>
                                <w:rPr>
                                  <w:rFonts w:ascii="Arial" w:hAnsi="Arial" w:cs="Arial"/>
                                  <w:color w:val="000000"/>
                                  <w:sz w:val="16"/>
                                  <w:szCs w:val="16"/>
                                </w:rPr>
                                <w:t>.</w:t>
                              </w:r>
                              <w:r w:rsidRPr="0096529E">
                                <w:rPr>
                                  <w:rFonts w:ascii="Arial" w:hAnsi="Arial" w:cs="Arial"/>
                                  <w:color w:val="000000"/>
                                  <w:sz w:val="16"/>
                                  <w:szCs w:val="16"/>
                                </w:rPr>
                                <w:t xml:space="preserve"> </w:t>
                              </w:r>
                            </w:p>
                          </w:txbxContent>
                        </wps:txbx>
                        <wps:bodyPr rot="0" vert="horz" wrap="square" lIns="0" tIns="0" rIns="0" bIns="0" anchor="t" anchorCtr="0">
                          <a:spAutoFit/>
                        </wps:bodyPr>
                      </wps:wsp>
                      <wps:wsp>
                        <wps:cNvPr id="2" name="Rectangle 2"/>
                        <wps:cNvSpPr>
                          <a:spLocks noChangeArrowheads="1"/>
                        </wps:cNvSpPr>
                        <wps:spPr bwMode="auto">
                          <a:xfrm>
                            <a:off x="179705" y="515620"/>
                            <a:ext cx="23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FFFFFF"/>
                                  <w:sz w:val="16"/>
                                  <w:szCs w:val="16"/>
                                  <w:lang w:val="en-US"/>
                                </w:rPr>
                                <w:t xml:space="preserve">Band </w:t>
                              </w:r>
                            </w:p>
                          </w:txbxContent>
                        </wps:txbx>
                        <wps:bodyPr rot="0" vert="horz" wrap="none" lIns="0" tIns="0" rIns="0" bIns="0" anchor="t" anchorCtr="0">
                          <a:spAutoFit/>
                        </wps:bodyPr>
                      </wps:wsp>
                      <wps:wsp>
                        <wps:cNvPr id="3" name="Rectangle 3"/>
                        <wps:cNvSpPr>
                          <a:spLocks noChangeArrowheads="1"/>
                        </wps:cNvSpPr>
                        <wps:spPr bwMode="auto">
                          <a:xfrm>
                            <a:off x="196850" y="636270"/>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FFFFFF"/>
                                  <w:sz w:val="16"/>
                                  <w:szCs w:val="16"/>
                                  <w:lang w:val="en-US"/>
                                </w:rPr>
                                <w:t>Plan</w:t>
                              </w:r>
                            </w:p>
                          </w:txbxContent>
                        </wps:txbx>
                        <wps:bodyPr rot="0" vert="horz" wrap="none" lIns="0" tIns="0" rIns="0" bIns="0" anchor="t" anchorCtr="0">
                          <a:spAutoFit/>
                        </wps:bodyPr>
                      </wps:wsp>
                      <wpg:wgp>
                        <wpg:cNvPr id="4" name="Group 12"/>
                        <wpg:cNvGrpSpPr>
                          <a:grpSpLocks/>
                        </wpg:cNvGrpSpPr>
                        <wpg:grpSpPr bwMode="auto">
                          <a:xfrm>
                            <a:off x="1163320" y="229235"/>
                            <a:ext cx="1009015" cy="572135"/>
                            <a:chOff x="1832" y="361"/>
                            <a:chExt cx="1589" cy="901"/>
                          </a:xfrm>
                        </wpg:grpSpPr>
                        <wps:wsp>
                          <wps:cNvPr id="5" name="Rectangle 10"/>
                          <wps:cNvSpPr>
                            <a:spLocks noChangeArrowheads="1"/>
                          </wps:cNvSpPr>
                          <wps:spPr bwMode="auto">
                            <a:xfrm>
                              <a:off x="1832" y="361"/>
                              <a:ext cx="1589" cy="901"/>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1"/>
                          <wps:cNvSpPr>
                            <a:spLocks noChangeArrowheads="1"/>
                          </wps:cNvSpPr>
                          <wps:spPr bwMode="auto">
                            <a:xfrm>
                              <a:off x="1832" y="361"/>
                              <a:ext cx="1589" cy="9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7"/>
                        <wps:cNvSpPr>
                          <a:spLocks noChangeArrowheads="1"/>
                        </wps:cNvSpPr>
                        <wps:spPr bwMode="auto">
                          <a:xfrm>
                            <a:off x="1461135" y="521335"/>
                            <a:ext cx="412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NB/WB**</w:t>
                              </w:r>
                            </w:p>
                          </w:txbxContent>
                        </wps:txbx>
                        <wps:bodyPr rot="0" vert="horz" wrap="none" lIns="0" tIns="0" rIns="0" bIns="0" anchor="t" anchorCtr="0">
                          <a:spAutoFit/>
                        </wps:bodyPr>
                      </wps:wsp>
                      <wpg:wgp>
                        <wpg:cNvPr id="8" name="Group 16"/>
                        <wpg:cNvGrpSpPr>
                          <a:grpSpLocks/>
                        </wpg:cNvGrpSpPr>
                        <wpg:grpSpPr bwMode="auto">
                          <a:xfrm>
                            <a:off x="646430" y="229235"/>
                            <a:ext cx="524510" cy="572135"/>
                            <a:chOff x="1018" y="361"/>
                            <a:chExt cx="826" cy="901"/>
                          </a:xfrm>
                        </wpg:grpSpPr>
                        <wps:wsp>
                          <wps:cNvPr id="9" name="Rectangle 14"/>
                          <wps:cNvSpPr>
                            <a:spLocks noChangeArrowheads="1"/>
                          </wps:cNvSpPr>
                          <wps:spPr bwMode="auto">
                            <a:xfrm>
                              <a:off x="1018" y="361"/>
                              <a:ext cx="826" cy="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5"/>
                          <wps:cNvSpPr>
                            <a:spLocks noChangeArrowheads="1"/>
                          </wps:cNvSpPr>
                          <wps:spPr bwMode="auto">
                            <a:xfrm>
                              <a:off x="1018" y="361"/>
                              <a:ext cx="826" cy="9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 name="Rectangle 12"/>
                        <wps:cNvSpPr>
                          <a:spLocks noChangeArrowheads="1"/>
                        </wps:cNvSpPr>
                        <wps:spPr bwMode="auto">
                          <a:xfrm>
                            <a:off x="855980" y="521335"/>
                            <a:ext cx="1073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A*</w:t>
                              </w:r>
                            </w:p>
                          </w:txbxContent>
                        </wps:txbx>
                        <wps:bodyPr rot="0" vert="horz" wrap="none" lIns="0" tIns="0" rIns="0" bIns="0" anchor="t" anchorCtr="0">
                          <a:spAutoFit/>
                        </wps:bodyPr>
                      </wps:wsp>
                      <wps:wsp>
                        <wps:cNvPr id="13" name="Rectangle 13"/>
                        <wps:cNvSpPr>
                          <a:spLocks noChangeArrowheads="1"/>
                        </wps:cNvSpPr>
                        <wps:spPr bwMode="auto">
                          <a:xfrm rot="5400000">
                            <a:off x="542925"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764</w:t>
                              </w:r>
                            </w:p>
                          </w:txbxContent>
                        </wps:txbx>
                        <wps:bodyPr rot="0" vert="horz" wrap="none" lIns="0" tIns="0" rIns="0" bIns="0" anchor="t" anchorCtr="0">
                          <a:spAutoFit/>
                        </wps:bodyPr>
                      </wps:wsp>
                      <wps:wsp>
                        <wps:cNvPr id="14" name="Rectangle 14"/>
                        <wps:cNvSpPr>
                          <a:spLocks noChangeArrowheads="1"/>
                        </wps:cNvSpPr>
                        <wps:spPr bwMode="auto">
                          <a:xfrm rot="5400000">
                            <a:off x="1040765"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768</w:t>
                              </w:r>
                            </w:p>
                          </w:txbxContent>
                        </wps:txbx>
                        <wps:bodyPr rot="0" vert="horz" wrap="none" lIns="0" tIns="0" rIns="0" bIns="0" anchor="t" anchorCtr="0">
                          <a:spAutoFit/>
                        </wps:bodyPr>
                      </wps:wsp>
                      <wps:wsp>
                        <wps:cNvPr id="15" name="Rectangle 15"/>
                        <wps:cNvSpPr>
                          <a:spLocks noChangeArrowheads="1"/>
                        </wps:cNvSpPr>
                        <wps:spPr bwMode="auto">
                          <a:xfrm rot="5400000">
                            <a:off x="2058035" y="89281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776</w:t>
                              </w:r>
                            </w:p>
                          </w:txbxContent>
                        </wps:txbx>
                        <wps:bodyPr rot="0" vert="horz" wrap="none" lIns="0" tIns="0" rIns="0" bIns="0" anchor="t" anchorCtr="0">
                          <a:spAutoFit/>
                        </wps:bodyPr>
                      </wps:wsp>
                      <wpg:wgp>
                        <wpg:cNvPr id="16" name="Group 23"/>
                        <wpg:cNvGrpSpPr>
                          <a:grpSpLocks/>
                        </wpg:cNvGrpSpPr>
                        <wpg:grpSpPr bwMode="auto">
                          <a:xfrm>
                            <a:off x="646430" y="229235"/>
                            <a:ext cx="1527175" cy="176530"/>
                            <a:chOff x="1018" y="361"/>
                            <a:chExt cx="2405" cy="278"/>
                          </a:xfrm>
                        </wpg:grpSpPr>
                        <wps:wsp>
                          <wps:cNvPr id="17" name="Rectangle 21"/>
                          <wps:cNvSpPr>
                            <a:spLocks noChangeArrowheads="1"/>
                          </wps:cNvSpPr>
                          <wps:spPr bwMode="auto">
                            <a:xfrm>
                              <a:off x="1018" y="361"/>
                              <a:ext cx="2405"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
                          <wps:cNvSpPr>
                            <a:spLocks noChangeArrowheads="1"/>
                          </wps:cNvSpPr>
                          <wps:spPr bwMode="auto">
                            <a:xfrm>
                              <a:off x="1018" y="361"/>
                              <a:ext cx="2405" cy="278"/>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 name="Rectangle 19"/>
                        <wps:cNvSpPr>
                          <a:spLocks noChangeArrowheads="1"/>
                        </wps:cNvSpPr>
                        <wps:spPr bwMode="auto">
                          <a:xfrm>
                            <a:off x="1111885" y="264160"/>
                            <a:ext cx="5930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Public Safety</w:t>
                              </w:r>
                            </w:p>
                          </w:txbxContent>
                        </wps:txbx>
                        <wps:bodyPr rot="0" vert="horz" wrap="none" lIns="0" tIns="0" rIns="0" bIns="0" anchor="t" anchorCtr="0">
                          <a:spAutoFit/>
                        </wps:bodyPr>
                      </wps:wsp>
                      <wps:wsp>
                        <wps:cNvPr id="20" name="Rectangle 20"/>
                        <wps:cNvSpPr>
                          <a:spLocks noChangeArrowheads="1"/>
                        </wps:cNvSpPr>
                        <wps:spPr bwMode="auto">
                          <a:xfrm>
                            <a:off x="5080635" y="872490"/>
                            <a:ext cx="208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MHz</w:t>
                              </w:r>
                            </w:p>
                          </w:txbxContent>
                        </wps:txbx>
                        <wps:bodyPr rot="0" vert="horz" wrap="none" lIns="0" tIns="0" rIns="0" bIns="0" anchor="t" anchorCtr="0">
                          <a:spAutoFit/>
                        </wps:bodyPr>
                      </wps:wsp>
                      <wpg:wgp>
                        <wpg:cNvPr id="21" name="Group 28"/>
                        <wpg:cNvGrpSpPr>
                          <a:grpSpLocks/>
                        </wpg:cNvGrpSpPr>
                        <wpg:grpSpPr bwMode="auto">
                          <a:xfrm>
                            <a:off x="3875405" y="229870"/>
                            <a:ext cx="1009015" cy="571500"/>
                            <a:chOff x="6103" y="362"/>
                            <a:chExt cx="1589" cy="900"/>
                          </a:xfrm>
                        </wpg:grpSpPr>
                        <wps:wsp>
                          <wps:cNvPr id="22" name="Rectangle 26"/>
                          <wps:cNvSpPr>
                            <a:spLocks noChangeArrowheads="1"/>
                          </wps:cNvSpPr>
                          <wps:spPr bwMode="auto">
                            <a:xfrm>
                              <a:off x="6103" y="362"/>
                              <a:ext cx="1589" cy="90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7"/>
                          <wps:cNvSpPr>
                            <a:spLocks noChangeArrowheads="1"/>
                          </wps:cNvSpPr>
                          <wps:spPr bwMode="auto">
                            <a:xfrm>
                              <a:off x="6103" y="362"/>
                              <a:ext cx="1589" cy="900"/>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 name="Rectangle 24"/>
                        <wps:cNvSpPr>
                          <a:spLocks noChangeArrowheads="1"/>
                        </wps:cNvSpPr>
                        <wps:spPr bwMode="auto">
                          <a:xfrm>
                            <a:off x="4173220" y="521335"/>
                            <a:ext cx="412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NB/WB**</w:t>
                              </w:r>
                            </w:p>
                          </w:txbxContent>
                        </wps:txbx>
                        <wps:bodyPr rot="0" vert="horz" wrap="none" lIns="0" tIns="0" rIns="0" bIns="0" anchor="t" anchorCtr="0">
                          <a:spAutoFit/>
                        </wps:bodyPr>
                      </wps:wsp>
                      <wpg:wgp>
                        <wpg:cNvPr id="25" name="Group 32"/>
                        <wpg:cNvGrpSpPr>
                          <a:grpSpLocks/>
                        </wpg:cNvGrpSpPr>
                        <wpg:grpSpPr bwMode="auto">
                          <a:xfrm>
                            <a:off x="3360420" y="229235"/>
                            <a:ext cx="524510" cy="572135"/>
                            <a:chOff x="5292" y="361"/>
                            <a:chExt cx="826" cy="901"/>
                          </a:xfrm>
                        </wpg:grpSpPr>
                        <wps:wsp>
                          <wps:cNvPr id="26" name="Rectangle 30"/>
                          <wps:cNvSpPr>
                            <a:spLocks noChangeArrowheads="1"/>
                          </wps:cNvSpPr>
                          <wps:spPr bwMode="auto">
                            <a:xfrm>
                              <a:off x="5292" y="361"/>
                              <a:ext cx="826" cy="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1"/>
                          <wps:cNvSpPr>
                            <a:spLocks noChangeArrowheads="1"/>
                          </wps:cNvSpPr>
                          <wps:spPr bwMode="auto">
                            <a:xfrm>
                              <a:off x="5292" y="361"/>
                              <a:ext cx="826" cy="9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 name="Rectangle 28"/>
                        <wps:cNvSpPr>
                          <a:spLocks noChangeArrowheads="1"/>
                        </wps:cNvSpPr>
                        <wps:spPr bwMode="auto">
                          <a:xfrm>
                            <a:off x="3569335" y="521335"/>
                            <a:ext cx="1073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A*</w:t>
                              </w:r>
                            </w:p>
                          </w:txbxContent>
                        </wps:txbx>
                        <wps:bodyPr rot="0" vert="horz" wrap="none" lIns="0" tIns="0" rIns="0" bIns="0" anchor="t" anchorCtr="0">
                          <a:spAutoFit/>
                        </wps:bodyPr>
                      </wps:wsp>
                      <wps:wsp>
                        <wps:cNvPr id="29" name="Rectangle 29"/>
                        <wps:cNvSpPr>
                          <a:spLocks noChangeArrowheads="1"/>
                        </wps:cNvSpPr>
                        <wps:spPr bwMode="auto">
                          <a:xfrm rot="5400000">
                            <a:off x="3255010"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794</w:t>
                              </w:r>
                            </w:p>
                          </w:txbxContent>
                        </wps:txbx>
                        <wps:bodyPr rot="0" vert="horz" wrap="none" lIns="0" tIns="0" rIns="0" bIns="0" anchor="t" anchorCtr="0">
                          <a:spAutoFit/>
                        </wps:bodyPr>
                      </wps:wsp>
                      <wps:wsp>
                        <wps:cNvPr id="30" name="Rectangle 30"/>
                        <wps:cNvSpPr>
                          <a:spLocks noChangeArrowheads="1"/>
                        </wps:cNvSpPr>
                        <wps:spPr bwMode="auto">
                          <a:xfrm rot="5400000">
                            <a:off x="3758565"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798</w:t>
                              </w:r>
                            </w:p>
                          </w:txbxContent>
                        </wps:txbx>
                        <wps:bodyPr rot="0" vert="horz" wrap="none" lIns="0" tIns="0" rIns="0" bIns="0" anchor="t" anchorCtr="0">
                          <a:spAutoFit/>
                        </wps:bodyPr>
                      </wps:wsp>
                      <wps:wsp>
                        <wps:cNvPr id="31" name="Rectangle 31"/>
                        <wps:cNvSpPr>
                          <a:spLocks noChangeArrowheads="1"/>
                        </wps:cNvSpPr>
                        <wps:spPr bwMode="auto">
                          <a:xfrm rot="5400000">
                            <a:off x="4763770" y="89281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806</w:t>
                              </w:r>
                            </w:p>
                          </w:txbxContent>
                        </wps:txbx>
                        <wps:bodyPr rot="0" vert="horz" wrap="none" lIns="0" tIns="0" rIns="0" bIns="0" anchor="t" anchorCtr="0">
                          <a:spAutoFit/>
                        </wps:bodyPr>
                      </wps:wsp>
                      <wpg:wgp>
                        <wpg:cNvPr id="32" name="Group 39"/>
                        <wpg:cNvGrpSpPr>
                          <a:grpSpLocks/>
                        </wpg:cNvGrpSpPr>
                        <wpg:grpSpPr bwMode="auto">
                          <a:xfrm>
                            <a:off x="3360420" y="229870"/>
                            <a:ext cx="1527175" cy="175895"/>
                            <a:chOff x="5292" y="362"/>
                            <a:chExt cx="2405" cy="277"/>
                          </a:xfrm>
                        </wpg:grpSpPr>
                        <wps:wsp>
                          <wps:cNvPr id="33" name="Rectangle 37"/>
                          <wps:cNvSpPr>
                            <a:spLocks noChangeArrowheads="1"/>
                          </wps:cNvSpPr>
                          <wps:spPr bwMode="auto">
                            <a:xfrm>
                              <a:off x="5292" y="362"/>
                              <a:ext cx="2405"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8"/>
                          <wps:cNvSpPr>
                            <a:spLocks noChangeArrowheads="1"/>
                          </wps:cNvSpPr>
                          <wps:spPr bwMode="auto">
                            <a:xfrm>
                              <a:off x="5292" y="362"/>
                              <a:ext cx="2405" cy="277"/>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 name="Rectangle 35"/>
                        <wps:cNvSpPr>
                          <a:spLocks noChangeArrowheads="1"/>
                        </wps:cNvSpPr>
                        <wps:spPr bwMode="auto">
                          <a:xfrm>
                            <a:off x="3825240" y="264160"/>
                            <a:ext cx="5930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Public Safety</w:t>
                              </w:r>
                            </w:p>
                          </w:txbxContent>
                        </wps:txbx>
                        <wps:bodyPr rot="0" vert="horz" wrap="none" lIns="0" tIns="0" rIns="0" bIns="0" anchor="t" anchorCtr="0">
                          <a:spAutoFit/>
                        </wps:bodyPr>
                      </wps:wsp>
                      <wps:wsp>
                        <wps:cNvPr id="36" name="Rectangle 36"/>
                        <wps:cNvSpPr>
                          <a:spLocks noChangeArrowheads="1"/>
                        </wps:cNvSpPr>
                        <wps:spPr bwMode="auto">
                          <a:xfrm>
                            <a:off x="2643505" y="285750"/>
                            <a:ext cx="30543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48"/>
                                  <w:szCs w:val="48"/>
                                  <w:lang w:val="en-US"/>
                                </w:rPr>
                                <w:t>…</w:t>
                              </w:r>
                            </w:p>
                          </w:txbxContent>
                        </wps:txbx>
                        <wps:bodyPr rot="0" vert="horz" wrap="none" lIns="0" tIns="0" rIns="0" bIns="0" anchor="t" anchorCtr="0">
                          <a:spAutoFit/>
                        </wps:bodyPr>
                      </wps:wsp>
                      <wps:wsp>
                        <wps:cNvPr id="38" name="Rectangle 38"/>
                        <wps:cNvSpPr>
                          <a:spLocks noChangeArrowheads="1"/>
                        </wps:cNvSpPr>
                        <wps:spPr bwMode="auto">
                          <a:xfrm>
                            <a:off x="439420" y="1490403"/>
                            <a:ext cx="5421629" cy="38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Pr="0096529E" w:rsidRDefault="006E4BDA" w:rsidP="006E4BDA">
                              <w:pPr>
                                <w:tabs>
                                  <w:tab w:val="clear" w:pos="794"/>
                                  <w:tab w:val="clear" w:pos="1191"/>
                                  <w:tab w:val="left" w:pos="142"/>
                                </w:tabs>
                                <w:ind w:left="142" w:hanging="142"/>
                              </w:pPr>
                              <w:r w:rsidRPr="0096529E">
                                <w:rPr>
                                  <w:rFonts w:ascii="Arial" w:hAnsi="Arial" w:cs="Arial"/>
                                  <w:color w:val="000000"/>
                                  <w:sz w:val="16"/>
                                  <w:szCs w:val="16"/>
                                </w:rPr>
                                <w:t>*</w:t>
                              </w:r>
                              <w:r>
                                <w:rPr>
                                  <w:rFonts w:ascii="Arial" w:hAnsi="Arial" w:cs="Arial"/>
                                  <w:color w:val="000000"/>
                                  <w:sz w:val="16"/>
                                  <w:szCs w:val="16"/>
                                </w:rPr>
                                <w:t>*</w:t>
                              </w:r>
                              <w:r>
                                <w:rPr>
                                  <w:rFonts w:ascii="Arial" w:hAnsi="Arial" w:cs="Arial"/>
                                  <w:color w:val="000000"/>
                                  <w:sz w:val="16"/>
                                  <w:szCs w:val="16"/>
                                </w:rPr>
                                <w:tab/>
                              </w:r>
                              <w:r w:rsidRPr="0096529E">
                                <w:rPr>
                                  <w:rFonts w:ascii="Arial" w:hAnsi="Arial" w:cs="Arial"/>
                                  <w:color w:val="000000"/>
                                  <w:sz w:val="16"/>
                                  <w:szCs w:val="16"/>
                                </w:rPr>
                                <w:t xml:space="preserve">Les parties du spectre utilisées pour les systèmes à bande étroite (NB) et </w:t>
                              </w:r>
                              <w:r>
                                <w:rPr>
                                  <w:rFonts w:ascii="Arial" w:hAnsi="Arial" w:cs="Arial"/>
                                  <w:color w:val="000000"/>
                                  <w:sz w:val="16"/>
                                  <w:szCs w:val="16"/>
                                </w:rPr>
                                <w:t xml:space="preserve">les </w:t>
                              </w:r>
                              <w:r w:rsidRPr="0096529E">
                                <w:rPr>
                                  <w:rFonts w:ascii="Arial" w:hAnsi="Arial" w:cs="Arial"/>
                                  <w:color w:val="000000"/>
                                  <w:sz w:val="16"/>
                                  <w:szCs w:val="16"/>
                                </w:rPr>
                                <w:t>systèmes à bande élargie (WB)</w:t>
                              </w:r>
                              <w:r w:rsidRPr="0096529E">
                                <w:rPr>
                                  <w:rFonts w:ascii="Arial" w:hAnsi="Arial" w:cs="Arial"/>
                                  <w:color w:val="000000"/>
                                  <w:sz w:val="16"/>
                                  <w:szCs w:val="16"/>
                                </w:rPr>
                                <w:br/>
                              </w:r>
                              <w:r>
                                <w:rPr>
                                  <w:rFonts w:ascii="Arial" w:hAnsi="Arial" w:cs="Arial"/>
                                  <w:color w:val="000000"/>
                                  <w:sz w:val="16"/>
                                  <w:szCs w:val="16"/>
                                </w:rPr>
                                <w:t>seront déterminées dans la norme pertinente.</w:t>
                              </w:r>
                            </w:p>
                          </w:txbxContent>
                        </wps:txbx>
                        <wps:bodyPr rot="0" vert="horz" wrap="square" lIns="0" tIns="0" rIns="0" bIns="0" anchor="t" anchorCtr="0">
                          <a:noAutofit/>
                        </wps:bodyPr>
                      </wps:wsp>
                      <wps:wsp>
                        <wps:cNvPr id="39" name="Rectangle 39"/>
                        <wps:cNvSpPr>
                          <a:spLocks noChangeArrowheads="1"/>
                        </wps:cNvSpPr>
                        <wps:spPr bwMode="auto">
                          <a:xfrm>
                            <a:off x="179705" y="515620"/>
                            <a:ext cx="23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FFFFFF"/>
                                  <w:sz w:val="16"/>
                                  <w:szCs w:val="16"/>
                                  <w:lang w:val="en-US"/>
                                </w:rPr>
                                <w:t xml:space="preserve">Band </w:t>
                              </w:r>
                            </w:p>
                          </w:txbxContent>
                        </wps:txbx>
                        <wps:bodyPr rot="0" vert="horz" wrap="none" lIns="0" tIns="0" rIns="0" bIns="0" anchor="t" anchorCtr="0">
                          <a:spAutoFit/>
                        </wps:bodyPr>
                      </wps:wsp>
                      <wps:wsp>
                        <wps:cNvPr id="40" name="Rectangle 40"/>
                        <wps:cNvSpPr>
                          <a:spLocks noChangeArrowheads="1"/>
                        </wps:cNvSpPr>
                        <wps:spPr bwMode="auto">
                          <a:xfrm>
                            <a:off x="196850" y="636270"/>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FFFFFF"/>
                                  <w:sz w:val="16"/>
                                  <w:szCs w:val="16"/>
                                  <w:lang w:val="en-US"/>
                                </w:rPr>
                                <w:t>Plan</w:t>
                              </w:r>
                            </w:p>
                          </w:txbxContent>
                        </wps:txbx>
                        <wps:bodyPr rot="0" vert="horz" wrap="none" lIns="0" tIns="0" rIns="0" bIns="0" anchor="t" anchorCtr="0">
                          <a:spAutoFit/>
                        </wps:bodyPr>
                      </wps:wsp>
                      <wpg:wgp>
                        <wpg:cNvPr id="41" name="Group 49"/>
                        <wpg:cNvGrpSpPr>
                          <a:grpSpLocks/>
                        </wpg:cNvGrpSpPr>
                        <wpg:grpSpPr bwMode="auto">
                          <a:xfrm>
                            <a:off x="1163320" y="229235"/>
                            <a:ext cx="1009015" cy="572135"/>
                            <a:chOff x="1832" y="361"/>
                            <a:chExt cx="1589" cy="901"/>
                          </a:xfrm>
                        </wpg:grpSpPr>
                        <wps:wsp>
                          <wps:cNvPr id="42" name="Rectangle 47"/>
                          <wps:cNvSpPr>
                            <a:spLocks noChangeArrowheads="1"/>
                          </wps:cNvSpPr>
                          <wps:spPr bwMode="auto">
                            <a:xfrm>
                              <a:off x="1832" y="361"/>
                              <a:ext cx="1589" cy="901"/>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8"/>
                          <wps:cNvSpPr>
                            <a:spLocks noChangeArrowheads="1"/>
                          </wps:cNvSpPr>
                          <wps:spPr bwMode="auto">
                            <a:xfrm>
                              <a:off x="1832" y="361"/>
                              <a:ext cx="1589" cy="9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4" name="Rectangle 44"/>
                        <wps:cNvSpPr>
                          <a:spLocks noChangeArrowheads="1"/>
                        </wps:cNvSpPr>
                        <wps:spPr bwMode="auto">
                          <a:xfrm>
                            <a:off x="1461135" y="521335"/>
                            <a:ext cx="412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NB/WB**</w:t>
                              </w:r>
                            </w:p>
                          </w:txbxContent>
                        </wps:txbx>
                        <wps:bodyPr rot="0" vert="horz" wrap="none" lIns="0" tIns="0" rIns="0" bIns="0" anchor="t" anchorCtr="0">
                          <a:spAutoFit/>
                        </wps:bodyPr>
                      </wps:wsp>
                      <wpg:wgp>
                        <wpg:cNvPr id="45" name="Group 53"/>
                        <wpg:cNvGrpSpPr>
                          <a:grpSpLocks/>
                        </wpg:cNvGrpSpPr>
                        <wpg:grpSpPr bwMode="auto">
                          <a:xfrm>
                            <a:off x="646430" y="229235"/>
                            <a:ext cx="524510" cy="572135"/>
                            <a:chOff x="1018" y="361"/>
                            <a:chExt cx="826" cy="901"/>
                          </a:xfrm>
                        </wpg:grpSpPr>
                        <wps:wsp>
                          <wps:cNvPr id="46" name="Rectangle 51"/>
                          <wps:cNvSpPr>
                            <a:spLocks noChangeArrowheads="1"/>
                          </wps:cNvSpPr>
                          <wps:spPr bwMode="auto">
                            <a:xfrm>
                              <a:off x="1018" y="361"/>
                              <a:ext cx="826" cy="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52"/>
                          <wps:cNvSpPr>
                            <a:spLocks noChangeArrowheads="1"/>
                          </wps:cNvSpPr>
                          <wps:spPr bwMode="auto">
                            <a:xfrm>
                              <a:off x="1018" y="361"/>
                              <a:ext cx="826" cy="9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8" name="Rectangle 48"/>
                        <wps:cNvSpPr>
                          <a:spLocks noChangeArrowheads="1"/>
                        </wps:cNvSpPr>
                        <wps:spPr bwMode="auto">
                          <a:xfrm>
                            <a:off x="855980" y="521335"/>
                            <a:ext cx="1073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A*</w:t>
                              </w:r>
                            </w:p>
                          </w:txbxContent>
                        </wps:txbx>
                        <wps:bodyPr rot="0" vert="horz" wrap="none" lIns="0" tIns="0" rIns="0" bIns="0" anchor="t" anchorCtr="0">
                          <a:spAutoFit/>
                        </wps:bodyPr>
                      </wps:wsp>
                      <wps:wsp>
                        <wps:cNvPr id="49" name="Rectangle 49"/>
                        <wps:cNvSpPr>
                          <a:spLocks noChangeArrowheads="1"/>
                        </wps:cNvSpPr>
                        <wps:spPr bwMode="auto">
                          <a:xfrm rot="5400000">
                            <a:off x="542925"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764</w:t>
                              </w:r>
                            </w:p>
                          </w:txbxContent>
                        </wps:txbx>
                        <wps:bodyPr rot="0" vert="horz" wrap="none" lIns="0" tIns="0" rIns="0" bIns="0" anchor="t" anchorCtr="0">
                          <a:spAutoFit/>
                        </wps:bodyPr>
                      </wps:wsp>
                      <wps:wsp>
                        <wps:cNvPr id="50" name="Rectangle 50"/>
                        <wps:cNvSpPr>
                          <a:spLocks noChangeArrowheads="1"/>
                        </wps:cNvSpPr>
                        <wps:spPr bwMode="auto">
                          <a:xfrm rot="5400000">
                            <a:off x="1040765"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768</w:t>
                              </w:r>
                            </w:p>
                          </w:txbxContent>
                        </wps:txbx>
                        <wps:bodyPr rot="0" vert="horz" wrap="none" lIns="0" tIns="0" rIns="0" bIns="0" anchor="t" anchorCtr="0">
                          <a:spAutoFit/>
                        </wps:bodyPr>
                      </wps:wsp>
                      <wps:wsp>
                        <wps:cNvPr id="51" name="Rectangle 51"/>
                        <wps:cNvSpPr>
                          <a:spLocks noChangeArrowheads="1"/>
                        </wps:cNvSpPr>
                        <wps:spPr bwMode="auto">
                          <a:xfrm rot="5400000">
                            <a:off x="2058035" y="89281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776</w:t>
                              </w:r>
                            </w:p>
                          </w:txbxContent>
                        </wps:txbx>
                        <wps:bodyPr rot="0" vert="horz" wrap="none" lIns="0" tIns="0" rIns="0" bIns="0" anchor="t" anchorCtr="0">
                          <a:spAutoFit/>
                        </wps:bodyPr>
                      </wps:wsp>
                      <wpg:wgp>
                        <wpg:cNvPr id="52" name="Group 60"/>
                        <wpg:cNvGrpSpPr>
                          <a:grpSpLocks/>
                        </wpg:cNvGrpSpPr>
                        <wpg:grpSpPr bwMode="auto">
                          <a:xfrm>
                            <a:off x="646430" y="229235"/>
                            <a:ext cx="1527175" cy="176530"/>
                            <a:chOff x="1018" y="361"/>
                            <a:chExt cx="2405" cy="278"/>
                          </a:xfrm>
                        </wpg:grpSpPr>
                        <wps:wsp>
                          <wps:cNvPr id="53" name="Rectangle 58"/>
                          <wps:cNvSpPr>
                            <a:spLocks noChangeArrowheads="1"/>
                          </wps:cNvSpPr>
                          <wps:spPr bwMode="auto">
                            <a:xfrm>
                              <a:off x="1018" y="361"/>
                              <a:ext cx="2405"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9"/>
                          <wps:cNvSpPr>
                            <a:spLocks noChangeArrowheads="1"/>
                          </wps:cNvSpPr>
                          <wps:spPr bwMode="auto">
                            <a:xfrm>
                              <a:off x="1018" y="361"/>
                              <a:ext cx="2405" cy="278"/>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55"/>
                        <wps:cNvSpPr>
                          <a:spLocks noChangeArrowheads="1"/>
                        </wps:cNvSpPr>
                        <wps:spPr bwMode="auto">
                          <a:xfrm>
                            <a:off x="1111885" y="182272"/>
                            <a:ext cx="8629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Sécurité publique</w:t>
                              </w:r>
                            </w:p>
                          </w:txbxContent>
                        </wps:txbx>
                        <wps:bodyPr rot="0" vert="horz" wrap="square" lIns="0" tIns="0" rIns="0" bIns="0" anchor="t" anchorCtr="0">
                          <a:spAutoFit/>
                        </wps:bodyPr>
                      </wps:wsp>
                      <wps:wsp>
                        <wps:cNvPr id="56" name="Rectangle 56"/>
                        <wps:cNvSpPr>
                          <a:spLocks noChangeArrowheads="1"/>
                        </wps:cNvSpPr>
                        <wps:spPr bwMode="auto">
                          <a:xfrm>
                            <a:off x="5080635" y="872490"/>
                            <a:ext cx="208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MHz</w:t>
                              </w:r>
                            </w:p>
                          </w:txbxContent>
                        </wps:txbx>
                        <wps:bodyPr rot="0" vert="horz" wrap="none" lIns="0" tIns="0" rIns="0" bIns="0" anchor="t" anchorCtr="0">
                          <a:spAutoFit/>
                        </wps:bodyPr>
                      </wps:wsp>
                      <wpg:wgp>
                        <wpg:cNvPr id="57" name="Group 65"/>
                        <wpg:cNvGrpSpPr>
                          <a:grpSpLocks/>
                        </wpg:cNvGrpSpPr>
                        <wpg:grpSpPr bwMode="auto">
                          <a:xfrm>
                            <a:off x="3875405" y="229870"/>
                            <a:ext cx="1009015" cy="571500"/>
                            <a:chOff x="6103" y="362"/>
                            <a:chExt cx="1589" cy="900"/>
                          </a:xfrm>
                        </wpg:grpSpPr>
                        <wps:wsp>
                          <wps:cNvPr id="58" name="Rectangle 63"/>
                          <wps:cNvSpPr>
                            <a:spLocks noChangeArrowheads="1"/>
                          </wps:cNvSpPr>
                          <wps:spPr bwMode="auto">
                            <a:xfrm>
                              <a:off x="6103" y="362"/>
                              <a:ext cx="1589" cy="90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64"/>
                          <wps:cNvSpPr>
                            <a:spLocks noChangeArrowheads="1"/>
                          </wps:cNvSpPr>
                          <wps:spPr bwMode="auto">
                            <a:xfrm>
                              <a:off x="6103" y="362"/>
                              <a:ext cx="1589" cy="900"/>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0" name="Rectangle 60"/>
                        <wps:cNvSpPr>
                          <a:spLocks noChangeArrowheads="1"/>
                        </wps:cNvSpPr>
                        <wps:spPr bwMode="auto">
                          <a:xfrm>
                            <a:off x="4173220" y="521335"/>
                            <a:ext cx="412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NB/WB**</w:t>
                              </w:r>
                            </w:p>
                          </w:txbxContent>
                        </wps:txbx>
                        <wps:bodyPr rot="0" vert="horz" wrap="none" lIns="0" tIns="0" rIns="0" bIns="0" anchor="t" anchorCtr="0">
                          <a:spAutoFit/>
                        </wps:bodyPr>
                      </wps:wsp>
                      <wpg:wgp>
                        <wpg:cNvPr id="61" name="Group 69"/>
                        <wpg:cNvGrpSpPr>
                          <a:grpSpLocks/>
                        </wpg:cNvGrpSpPr>
                        <wpg:grpSpPr bwMode="auto">
                          <a:xfrm>
                            <a:off x="3360420" y="229235"/>
                            <a:ext cx="524510" cy="572135"/>
                            <a:chOff x="5292" y="361"/>
                            <a:chExt cx="826" cy="901"/>
                          </a:xfrm>
                        </wpg:grpSpPr>
                        <wps:wsp>
                          <wps:cNvPr id="62" name="Rectangle 67"/>
                          <wps:cNvSpPr>
                            <a:spLocks noChangeArrowheads="1"/>
                          </wps:cNvSpPr>
                          <wps:spPr bwMode="auto">
                            <a:xfrm>
                              <a:off x="5292" y="361"/>
                              <a:ext cx="826" cy="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8"/>
                          <wps:cNvSpPr>
                            <a:spLocks noChangeArrowheads="1"/>
                          </wps:cNvSpPr>
                          <wps:spPr bwMode="auto">
                            <a:xfrm>
                              <a:off x="5292" y="361"/>
                              <a:ext cx="826" cy="9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4" name="Rectangle 64"/>
                        <wps:cNvSpPr>
                          <a:spLocks noChangeArrowheads="1"/>
                        </wps:cNvSpPr>
                        <wps:spPr bwMode="auto">
                          <a:xfrm>
                            <a:off x="3569335" y="521335"/>
                            <a:ext cx="1073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A*</w:t>
                              </w:r>
                            </w:p>
                          </w:txbxContent>
                        </wps:txbx>
                        <wps:bodyPr rot="0" vert="horz" wrap="none" lIns="0" tIns="0" rIns="0" bIns="0" anchor="t" anchorCtr="0">
                          <a:spAutoFit/>
                        </wps:bodyPr>
                      </wps:wsp>
                      <wps:wsp>
                        <wps:cNvPr id="65" name="Rectangle 65"/>
                        <wps:cNvSpPr>
                          <a:spLocks noChangeArrowheads="1"/>
                        </wps:cNvSpPr>
                        <wps:spPr bwMode="auto">
                          <a:xfrm rot="5400000">
                            <a:off x="3255010"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794</w:t>
                              </w:r>
                            </w:p>
                          </w:txbxContent>
                        </wps:txbx>
                        <wps:bodyPr rot="0" vert="horz" wrap="none" lIns="0" tIns="0" rIns="0" bIns="0" anchor="t" anchorCtr="0">
                          <a:spAutoFit/>
                        </wps:bodyPr>
                      </wps:wsp>
                      <wps:wsp>
                        <wps:cNvPr id="66" name="Rectangle 66"/>
                        <wps:cNvSpPr>
                          <a:spLocks noChangeArrowheads="1"/>
                        </wps:cNvSpPr>
                        <wps:spPr bwMode="auto">
                          <a:xfrm rot="5400000">
                            <a:off x="3758565" y="89154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798</w:t>
                              </w:r>
                            </w:p>
                          </w:txbxContent>
                        </wps:txbx>
                        <wps:bodyPr rot="0" vert="horz" wrap="none" lIns="0" tIns="0" rIns="0" bIns="0" anchor="t" anchorCtr="0">
                          <a:spAutoFit/>
                        </wps:bodyPr>
                      </wps:wsp>
                      <wps:wsp>
                        <wps:cNvPr id="67" name="Rectangle 67"/>
                        <wps:cNvSpPr>
                          <a:spLocks noChangeArrowheads="1"/>
                        </wps:cNvSpPr>
                        <wps:spPr bwMode="auto">
                          <a:xfrm rot="5400000">
                            <a:off x="4763770" y="89281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806</w:t>
                              </w:r>
                            </w:p>
                          </w:txbxContent>
                        </wps:txbx>
                        <wps:bodyPr rot="0" vert="horz" wrap="none" lIns="0" tIns="0" rIns="0" bIns="0" anchor="t" anchorCtr="0">
                          <a:spAutoFit/>
                        </wps:bodyPr>
                      </wps:wsp>
                      <wpg:wgp>
                        <wpg:cNvPr id="68" name="Group 76"/>
                        <wpg:cNvGrpSpPr>
                          <a:grpSpLocks/>
                        </wpg:cNvGrpSpPr>
                        <wpg:grpSpPr bwMode="auto">
                          <a:xfrm>
                            <a:off x="3360420" y="229870"/>
                            <a:ext cx="1527175" cy="175895"/>
                            <a:chOff x="5292" y="362"/>
                            <a:chExt cx="2405" cy="277"/>
                          </a:xfrm>
                        </wpg:grpSpPr>
                        <wps:wsp>
                          <wps:cNvPr id="69" name="Rectangle 74"/>
                          <wps:cNvSpPr>
                            <a:spLocks noChangeArrowheads="1"/>
                          </wps:cNvSpPr>
                          <wps:spPr bwMode="auto">
                            <a:xfrm>
                              <a:off x="5292" y="362"/>
                              <a:ext cx="2405"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5"/>
                          <wps:cNvSpPr>
                            <a:spLocks noChangeArrowheads="1"/>
                          </wps:cNvSpPr>
                          <wps:spPr bwMode="auto">
                            <a:xfrm>
                              <a:off x="5292" y="362"/>
                              <a:ext cx="2405" cy="277"/>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1" name="Rectangle 71"/>
                        <wps:cNvSpPr>
                          <a:spLocks noChangeArrowheads="1"/>
                        </wps:cNvSpPr>
                        <wps:spPr bwMode="auto">
                          <a:xfrm>
                            <a:off x="2643505" y="285750"/>
                            <a:ext cx="30543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48"/>
                                  <w:szCs w:val="48"/>
                                  <w:lang w:val="en-US"/>
                                </w:rPr>
                                <w:t>…</w:t>
                              </w:r>
                            </w:p>
                          </w:txbxContent>
                        </wps:txbx>
                        <wps:bodyPr rot="0" vert="horz" wrap="none" lIns="0" tIns="0" rIns="0" bIns="0" anchor="t" anchorCtr="0">
                          <a:spAutoFit/>
                        </wps:bodyPr>
                      </wps:wsp>
                      <wps:wsp>
                        <wps:cNvPr id="72" name="Rectangle 72"/>
                        <wps:cNvSpPr>
                          <a:spLocks noChangeArrowheads="1"/>
                        </wps:cNvSpPr>
                        <wps:spPr bwMode="auto">
                          <a:xfrm>
                            <a:off x="3825240" y="178605"/>
                            <a:ext cx="785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BDA" w:rsidRDefault="006E4BDA" w:rsidP="006E4BDA">
                              <w:r>
                                <w:rPr>
                                  <w:rFonts w:ascii="Arial" w:hAnsi="Arial" w:cs="Arial"/>
                                  <w:color w:val="000000"/>
                                  <w:sz w:val="16"/>
                                  <w:szCs w:val="16"/>
                                  <w:lang w:val="en-US"/>
                                </w:rPr>
                                <w:t>Sécurité publique</w:t>
                              </w:r>
                            </w:p>
                          </w:txbxContent>
                        </wps:txbx>
                        <wps:bodyPr rot="0" vert="horz" wrap="none" lIns="0" tIns="0" rIns="0" bIns="0" anchor="t" anchorCtr="0">
                          <a:spAutoFit/>
                        </wps:bodyPr>
                      </wps:wsp>
                    </wpc:wpc>
                  </a:graphicData>
                </a:graphic>
              </wp:inline>
            </w:drawing>
          </mc:Choice>
          <mc:Fallback>
            <w:pict>
              <v:group id="Canvas 73" o:spid="_x0000_s1026" editas="canvas" style="width:516.55pt;height:152.1pt;mso-position-horizontal-relative:char;mso-position-vertical-relative:line" coordsize="65601,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01;height:19316;visibility:visible;mso-wrap-style:square">
                  <v:fill o:detectmouseclick="t"/>
                  <v:path o:connecttype="none"/>
                </v:shape>
                <v:rect id="Rectangle 5" o:spid="_x0000_s1028" style="position:absolute;left:4394;top:12973;width:23863;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pQsIA&#10;AADaAAAADwAAAGRycy9kb3ducmV2LnhtbERPTWvCQBC9C/6HZYReRDfmUNLoKkUQeiiUpD20tyE7&#10;ZmOzsyG7Nam/3g0Uehoe73N2h9G24kq9bxwr2KwTEMSV0w3XCj7eT6sMhA/IGlvHpOCXPBz289kO&#10;c+0GLuhahlrEEPY5KjAhdLmUvjJk0a9dRxy5s+sthgj7WuoehxhuW5kmyaO02HBsMNjR0VD1Xf5Y&#10;Bae3z4b4JovlUza4S5V+lea1U+phMT5vQQQaw7/4z/2i43yYXpmu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ylCwgAAANoAAAAPAAAAAAAAAAAAAAAAAJgCAABkcnMvZG93&#10;bnJldi54bWxQSwUGAAAAAAQABAD1AAAAhwMAAAAA&#10;" filled="f" stroked="f">
                  <v:textbox style="mso-fit-shape-to-text:t" inset="0,0,0,0">
                    <w:txbxContent>
                      <w:p w:rsidR="006E4BDA" w:rsidRPr="0096529E" w:rsidRDefault="006E4BDA" w:rsidP="006E4BDA">
                        <w:pPr>
                          <w:tabs>
                            <w:tab w:val="clear" w:pos="794"/>
                            <w:tab w:val="left" w:pos="142"/>
                          </w:tabs>
                        </w:pPr>
                        <w:r>
                          <w:rPr>
                            <w:rFonts w:ascii="Arial" w:hAnsi="Arial" w:cs="Arial"/>
                            <w:color w:val="000000"/>
                            <w:sz w:val="16"/>
                            <w:szCs w:val="16"/>
                          </w:rPr>
                          <w:t>*</w:t>
                        </w:r>
                        <w:r>
                          <w:rPr>
                            <w:rFonts w:ascii="Arial" w:hAnsi="Arial" w:cs="Arial"/>
                            <w:color w:val="000000"/>
                            <w:sz w:val="16"/>
                            <w:szCs w:val="16"/>
                          </w:rPr>
                          <w:tab/>
                        </w:r>
                        <w:r w:rsidRPr="0096529E">
                          <w:rPr>
                            <w:rFonts w:ascii="Arial" w:hAnsi="Arial" w:cs="Arial"/>
                            <w:color w:val="000000"/>
                            <w:sz w:val="16"/>
                            <w:szCs w:val="16"/>
                          </w:rPr>
                          <w:t>Le bloc A fera l</w:t>
                        </w:r>
                        <w:r>
                          <w:rPr>
                            <w:rFonts w:ascii="Arial" w:hAnsi="Arial" w:cs="Arial"/>
                            <w:color w:val="000000"/>
                            <w:sz w:val="16"/>
                            <w:szCs w:val="16"/>
                          </w:rPr>
                          <w:t>'</w:t>
                        </w:r>
                        <w:r w:rsidRPr="0096529E">
                          <w:rPr>
                            <w:rFonts w:ascii="Arial" w:hAnsi="Arial" w:cs="Arial"/>
                            <w:color w:val="000000"/>
                            <w:sz w:val="16"/>
                            <w:szCs w:val="16"/>
                          </w:rPr>
                          <w:t>objet d</w:t>
                        </w:r>
                        <w:r>
                          <w:rPr>
                            <w:rFonts w:ascii="Arial" w:hAnsi="Arial" w:cs="Arial"/>
                            <w:color w:val="000000"/>
                            <w:sz w:val="16"/>
                            <w:szCs w:val="16"/>
                          </w:rPr>
                          <w:t>'</w:t>
                        </w:r>
                        <w:r w:rsidRPr="0096529E">
                          <w:rPr>
                            <w:rFonts w:ascii="Arial" w:hAnsi="Arial" w:cs="Arial"/>
                            <w:color w:val="000000"/>
                            <w:sz w:val="16"/>
                            <w:szCs w:val="16"/>
                          </w:rPr>
                          <w:t>une consultation future</w:t>
                        </w:r>
                        <w:r>
                          <w:rPr>
                            <w:rFonts w:ascii="Arial" w:hAnsi="Arial" w:cs="Arial"/>
                            <w:color w:val="000000"/>
                            <w:sz w:val="16"/>
                            <w:szCs w:val="16"/>
                          </w:rPr>
                          <w:t>.</w:t>
                        </w:r>
                        <w:r w:rsidRPr="0096529E">
                          <w:rPr>
                            <w:rFonts w:ascii="Arial" w:hAnsi="Arial" w:cs="Arial"/>
                            <w:color w:val="000000"/>
                            <w:sz w:val="16"/>
                            <w:szCs w:val="16"/>
                          </w:rPr>
                          <w:t xml:space="preserve"> </w:t>
                        </w:r>
                      </w:p>
                    </w:txbxContent>
                  </v:textbox>
                </v:rect>
                <v:rect id="Rectangle 2" o:spid="_x0000_s1029" style="position:absolute;left:1797;top:5156;width:237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6E4BDA" w:rsidRDefault="006E4BDA" w:rsidP="006E4BDA">
                        <w:r>
                          <w:rPr>
                            <w:rFonts w:ascii="Arial" w:hAnsi="Arial" w:cs="Arial"/>
                            <w:color w:val="FFFFFF"/>
                            <w:sz w:val="16"/>
                            <w:szCs w:val="16"/>
                            <w:lang w:val="en-US"/>
                          </w:rPr>
                          <w:t xml:space="preserve">Band </w:t>
                        </w:r>
                      </w:p>
                    </w:txbxContent>
                  </v:textbox>
                </v:rect>
                <v:rect id="Rectangle 3" o:spid="_x0000_s1030" style="position:absolute;left:1968;top:636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6E4BDA" w:rsidRDefault="006E4BDA" w:rsidP="006E4BDA">
                        <w:r>
                          <w:rPr>
                            <w:rFonts w:ascii="Arial" w:hAnsi="Arial" w:cs="Arial"/>
                            <w:color w:val="FFFFFF"/>
                            <w:sz w:val="16"/>
                            <w:szCs w:val="16"/>
                            <w:lang w:val="en-US"/>
                          </w:rPr>
                          <w:t>Plan</w:t>
                        </w:r>
                      </w:p>
                    </w:txbxContent>
                  </v:textbox>
                </v:rect>
                <v:group id="Group 12" o:spid="_x0000_s1031" style="position:absolute;left:11633;top:2292;width:10090;height:5721" coordorigin="1832,361" coordsize="1589,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0" o:spid="_x0000_s1032" style="position:absolute;left:1832;top:361;width:158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HO8IA&#10;AADaAAAADwAAAGRycy9kb3ducmV2LnhtbESPQYvCMBSE7wv+h/AEb2vqgrJUo6iLUJBFVr14ezTP&#10;ptq8lCZq3V9vBMHjMDPfMJNZaytxpcaXjhUM+gkI4tzpkgsF+93q8xuED8gaK8ek4E4eZtPOxwRT&#10;7W78R9dtKESEsE9RgQmhTqX0uSGLvu9q4ugdXWMxRNkUUjd4i3Bbya8kGUmLJccFgzUtDeXn7cUq&#10;+L/o7HDMNr8a6wWa3Vr+3E8bpXrddj4GEagN7/CrnWkFQ3heiT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Ec7wgAAANoAAAAPAAAAAAAAAAAAAAAAAJgCAABkcnMvZG93&#10;bnJldi54bWxQSwUGAAAAAAQABAD1AAAAhwMAAAAA&#10;" fillcolor="#c9f" stroked="f"/>
                  <v:rect id="Rectangle 11" o:spid="_x0000_s1033" style="position:absolute;left:1832;top:361;width:158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90cUA&#10;AADaAAAADwAAAGRycy9kb3ducmV2LnhtbESPzWrDMBCE74W8g9hAL6WR7UMobmSTH1paaCBxEnpd&#10;rK1tYq2MJSfu21eBQo7DzHzDLPLRtOJCvWssK4hnEQji0uqGKwXHw9vzCwjnkTW2lknBLznIs8nD&#10;AlNtr7ynS+ErESDsUlRQe9+lUrqyJoNuZjvi4P3Y3qAPsq+k7vEa4KaVSRTNpcGGw0KNHa1rKs/F&#10;YBQM33GzOu3i9ddu8zm4p61JEv2u1ON0XL6C8DT6e/i//aEVzOF2Jd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T3RxQAAANoAAAAPAAAAAAAAAAAAAAAAAJgCAABkcnMv&#10;ZG93bnJldi54bWxQSwUGAAAAAAQABAD1AAAAigMAAAAA&#10;" filled="f" strokeweight="42e-5mm">
                    <v:stroke endcap="round"/>
                  </v:rect>
                </v:group>
                <v:rect id="Rectangle 7" o:spid="_x0000_s1034" style="position:absolute;left:14611;top:5213;width:412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NB/WB**</w:t>
                        </w:r>
                      </w:p>
                    </w:txbxContent>
                  </v:textbox>
                </v:rect>
                <v:group id="Group 16" o:spid="_x0000_s1035" style="position:absolute;left:6464;top:2292;width:5245;height:5721" coordorigin="1018,361" coordsize="82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4" o:spid="_x0000_s1036" style="position:absolute;left:1018;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SxsQA&#10;AADaAAAADwAAAGRycy9kb3ducmV2LnhtbESPQWvCQBSE74L/YXlCb7pRatE0q6gg9CJU20O9vWSf&#10;STD7Nu5uNfrru4VCj8PMfMNky8404krO15YVjEcJCOLC6ppLBZ8f2+EMhA/IGhvLpOBOHpaLfi/D&#10;VNsb7+l6CKWIEPYpKqhCaFMpfVGRQT+yLXH0TtYZDFG6UmqHtwg3jZwkyYs0WHNcqLClTUXF+fBt&#10;FKzns/Xl/Zl3j31+pONXfp5OXKLU06BbvYII1IX/8F/7TSuYw++Ve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0sbEAAAA2gAAAA8AAAAAAAAAAAAAAAAAmAIAAGRycy9k&#10;b3ducmV2LnhtbFBLBQYAAAAABAAEAPUAAACJAwAAAAA=&#10;" fillcolor="black" stroked="f"/>
                  <v:rect id="Rectangle 15" o:spid="_x0000_s1037" style="position:absolute;left:1018;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lVsUA&#10;AADbAAAADwAAAGRycy9kb3ducmV2LnhtbESPQWvCQBCF74L/YZlCL6Kb5FAkuopVWlqoYG1Lr0N2&#10;mgSzsyG70fjvnUPB2wzvzXvfLNeDa9SZulB7NpDOElDEhbc1lwa+v16mc1AhIltsPJOBKwVYr8aj&#10;JebWX/iTzsdYKgnhkKOBKsY21zoUFTkMM98Si/bnO4dR1q7UtsOLhLtGZ0nypB3WLA0VtrStqDgd&#10;e2eg/03r559Duv047N77MNm7LLOvxjw+DJsFqEhDvJv/r9+s4Au9/CID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VWxQAAANsAAAAPAAAAAAAAAAAAAAAAAJgCAABkcnMv&#10;ZG93bnJldi54bWxQSwUGAAAAAAQABAD1AAAAigMAAAAA&#10;" filled="f" strokeweight="42e-5mm">
                    <v:stroke endcap="round"/>
                  </v:rect>
                </v:group>
                <v:rect id="Rectangle 12" o:spid="_x0000_s1038" style="position:absolute;left:8559;top:5213;width:107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E4BDA" w:rsidRDefault="006E4BDA" w:rsidP="006E4BDA">
                        <w:r>
                          <w:rPr>
                            <w:rFonts w:ascii="Arial" w:hAnsi="Arial" w:cs="Arial"/>
                            <w:color w:val="000000"/>
                            <w:sz w:val="16"/>
                            <w:szCs w:val="16"/>
                            <w:lang w:val="en-US"/>
                          </w:rPr>
                          <w:t>A*</w:t>
                        </w:r>
                      </w:p>
                    </w:txbxContent>
                  </v:textbox>
                </v:rect>
                <v:rect id="Rectangle 13" o:spid="_x0000_s1039" style="position:absolute;left:5429;top:8914;width:1696;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E8EA&#10;AADbAAAADwAAAGRycy9kb3ducmV2LnhtbERPPWvDMBDdC/kP4gLZGtkJlOJGCa0hEMjU1Bm6HdbF&#10;MrZORlJs599XhUK3e7zP2x1m24uRfGgdK8jXGQji2umWGwXV1/H5FUSIyBp7x6TgQQEO+8XTDgvt&#10;Jv6k8RIbkUI4FKjAxDgUUobakMWwdgNx4m7OW4wJ+kZqj1MKt73cZNmLtNhyajA4UGmo7i53q8CX&#10;x29pq3swdXa+5uaj625VpdRqOb+/gYg0x3/xn/uk0/wt/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7hP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764</w:t>
                        </w:r>
                      </w:p>
                    </w:txbxContent>
                  </v:textbox>
                </v:rect>
                <v:rect id="Rectangle 14" o:spid="_x0000_s1040" style="position:absolute;left:10407;top:8915;width:1696;height:19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2Z8EA&#10;AADbAAAADwAAAGRycy9kb3ducmV2LnhtbERPPWvDMBDdC/kP4gLZGtkhlOJGCa0hEMjU1Bm6HdbF&#10;MrZORlJs599XhUK3e7zP2x1m24uRfGgdK8jXGQji2umWGwXV1/H5FUSIyBp7x6TgQQEO+8XTDgvt&#10;Jv6k8RIbkUI4FKjAxDgUUobakMWwdgNx4m7OW4wJ+kZqj1MKt73cZNmLtNhyajA4UGmo7i53q8CX&#10;x29pq3swdXa+5uaj625VpdRqOb+/gYg0x3/xn/uk0/wt/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idmf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768</w:t>
                        </w:r>
                      </w:p>
                    </w:txbxContent>
                  </v:textbox>
                </v:rect>
                <v:rect id="Rectangle 15" o:spid="_x0000_s1041" style="position:absolute;left:20580;top:8927;width:1696;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T/MEA&#10;AADbAAAADwAAAGRycy9kb3ducmV2LnhtbERPPWvDMBDdC/kP4gLZGtmBlOJGCa0hEMjU1Bm6HdbF&#10;MrZORlJs599XhUK3e7zP2x1m24uRfGgdK8jXGQji2umWGwXV1/H5FUSIyBp7x6TgQQEO+8XTDgvt&#10;Jv6k8RIbkUI4FKjAxDgUUobakMWwdgNx4m7OW4wJ+kZqj1MKt73cZNmLtNhyajA4UGmo7i53q8CX&#10;x29pq3swdXa+5uaj625VpdRqOb+/gYg0x3/xn/uk0/wt/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u0/z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776</w:t>
                        </w:r>
                      </w:p>
                    </w:txbxContent>
                  </v:textbox>
                </v:rect>
                <v:group id="Group 23" o:spid="_x0000_s1042" style="position:absolute;left:6464;top:2292;width:15272;height:1765" coordorigin="1018,361" coordsize="240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1" o:spid="_x0000_s1043" style="position:absolute;left:1018;top:361;width:240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22" o:spid="_x0000_s1044" style="position:absolute;left:1018;top:361;width:240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pUMUA&#10;AADbAAAADwAAAGRycy9kb3ducmV2LnhtbESPQWvCQBCF74L/YZlCL6Kb5FAkuopVWlqoYG1Lr0N2&#10;mgSzsyG70fjvnUPB2wzvzXvfLNeDa9SZulB7NpDOElDEhbc1lwa+v16mc1AhIltsPJOBKwVYr8aj&#10;JebWX/iTzsdYKgnhkKOBKsY21zoUFTkMM98Si/bnO4dR1q7UtsOLhLtGZ0nypB3WLA0VtrStqDgd&#10;e2eg/03r559Duv047N77MNm7LLOvxjw+DJsFqEhDvJv/r9+s4Aus/CID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ylQxQAAANsAAAAPAAAAAAAAAAAAAAAAAJgCAABkcnMv&#10;ZG93bnJldi54bWxQSwUGAAAAAAQABAD1AAAAigMAAAAA&#10;" filled="f" strokeweight="42e-5mm">
                    <v:stroke endcap="round"/>
                  </v:rect>
                </v:group>
                <v:rect id="Rectangle 19" o:spid="_x0000_s1045" style="position:absolute;left:11118;top:2641;width:593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6E4BDA" w:rsidRDefault="006E4BDA" w:rsidP="006E4BDA">
                        <w:r>
                          <w:rPr>
                            <w:rFonts w:ascii="Arial" w:hAnsi="Arial" w:cs="Arial"/>
                            <w:color w:val="000000"/>
                            <w:sz w:val="16"/>
                            <w:szCs w:val="16"/>
                            <w:lang w:val="en-US"/>
                          </w:rPr>
                          <w:t>Public Safety</w:t>
                        </w:r>
                      </w:p>
                    </w:txbxContent>
                  </v:textbox>
                </v:rect>
                <v:rect id="Rectangle 20" o:spid="_x0000_s1046" style="position:absolute;left:50806;top:8724;width:208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6E4BDA" w:rsidRDefault="006E4BDA" w:rsidP="006E4BDA">
                        <w:r>
                          <w:rPr>
                            <w:rFonts w:ascii="Arial" w:hAnsi="Arial" w:cs="Arial"/>
                            <w:color w:val="000000"/>
                            <w:sz w:val="16"/>
                            <w:szCs w:val="16"/>
                            <w:lang w:val="en-US"/>
                          </w:rPr>
                          <w:t>MHz</w:t>
                        </w:r>
                      </w:p>
                    </w:txbxContent>
                  </v:textbox>
                </v:rect>
                <v:group id="Group 28" o:spid="_x0000_s1047" style="position:absolute;left:38754;top:2298;width:10090;height:5715" coordorigin="6103,362" coordsize="158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6" o:spid="_x0000_s1048" style="position:absolute;left:6103;top:362;width:158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q68MA&#10;AADbAAAADwAAAGRycy9kb3ducmV2LnhtbESPT4vCMBTE7wt+h/AEb2tqD7JUo/iHhcIisurF26N5&#10;NtXmpTRRq59+syB4HGbmN8x03tla3Kj1lWMFo2ECgrhwuuJSwWH//fkFwgdkjbVjUvAgD/NZ72OK&#10;mXZ3/qXbLpQiQthnqMCE0GRS+sKQRT90DXH0Tq61GKJsS6lbvEe4rWWaJGNpseK4YLChlaHisrta&#10;Bc+rzo+nfLvR2CzR7H/k+nHeKjXod4sJiEBdeIdf7VwrSFP4/x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q68MAAADbAAAADwAAAAAAAAAAAAAAAACYAgAAZHJzL2Rv&#10;d25yZXYueG1sUEsFBgAAAAAEAAQA9QAAAIgDAAAAAA==&#10;" fillcolor="#c9f" stroked="f"/>
                  <v:rect id="Rectangle 27" o:spid="_x0000_s1049" style="position:absolute;left:6103;top:362;width:158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xnMUA&#10;AADbAAAADwAAAGRycy9kb3ducmV2LnhtbESP3WrCQBSE74W+w3IK3ohukoKU6CpVURQq+EtvD9nT&#10;JDR7NmQ3mr69WxB6OczMN8x03plK3KhxpWUF8SgCQZxZXXKu4HJeD99BOI+ssbJMCn7JwXz20pti&#10;qu2dj3Q7+VwECLsUFRTe16mULivIoBvZmjh437Yx6INscqkbvAe4qWQSRWNpsOSwUGBNy4Kyn1Nr&#10;FLRfcbm4HuLl52G1a91gb5JEb5Tqv3YfExCeOv8ffra3WkHyBn9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3GcxQAAANsAAAAPAAAAAAAAAAAAAAAAAJgCAABkcnMv&#10;ZG93bnJldi54bWxQSwUGAAAAAAQABAD1AAAAigMAAAAA&#10;" filled="f" strokeweight="42e-5mm">
                    <v:stroke endcap="round"/>
                  </v:rect>
                </v:group>
                <v:rect id="Rectangle 24" o:spid="_x0000_s1050" style="position:absolute;left:41732;top:5213;width:412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NB/WB**</w:t>
                        </w:r>
                      </w:p>
                    </w:txbxContent>
                  </v:textbox>
                </v:rect>
                <v:group id="Group 32" o:spid="_x0000_s1051" style="position:absolute;left:33604;top:2292;width:5245;height:5721" coordorigin="5292,361" coordsize="82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30" o:spid="_x0000_s1052" style="position:absolute;left:5292;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31" o:spid="_x0000_s1053" style="position:absolute;left:5292;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3n8UA&#10;AADbAAAADwAAAGRycy9kb3ducmV2LnhtbESPT2vCQBTE70K/w/IKXkQ3yaGW6CpVURQq+JdeH9nX&#10;JDT7NmQ3mn57tyD0OMzMb5jpvDOVuFHjSssK4lEEgjizuuRcweW8Hr6DcB5ZY2WZFPySg/nspTfF&#10;VNs7H+l28rkIEHYpKii8r1MpXVaQQTeyNXHwvm1j0AfZ5FI3eA9wU8kkit6kwZLDQoE1LQvKfk6t&#10;UdB+xeXieoiXn4fVrnWDvUkSvVGq/9p9TEB46vx/+NneagXJGP6+h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HefxQAAANsAAAAPAAAAAAAAAAAAAAAAAJgCAABkcnMv&#10;ZG93bnJldi54bWxQSwUGAAAAAAQABAD1AAAAigMAAAAA&#10;" filled="f" strokeweight="42e-5mm">
                    <v:stroke endcap="round"/>
                  </v:rect>
                </v:group>
                <v:rect id="Rectangle 28" o:spid="_x0000_s1054" style="position:absolute;left:35693;top:5213;width:107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E4BDA" w:rsidRDefault="006E4BDA" w:rsidP="006E4BDA">
                        <w:r>
                          <w:rPr>
                            <w:rFonts w:ascii="Arial" w:hAnsi="Arial" w:cs="Arial"/>
                            <w:color w:val="000000"/>
                            <w:sz w:val="16"/>
                            <w:szCs w:val="16"/>
                            <w:lang w:val="en-US"/>
                          </w:rPr>
                          <w:t>A*</w:t>
                        </w:r>
                      </w:p>
                    </w:txbxContent>
                  </v:textbox>
                </v:rect>
                <v:rect id="Rectangle 29" o:spid="_x0000_s1055" style="position:absolute;left:32550;top:8914;width:1696;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8TRMMA&#10;AADbAAAADwAAAGRycy9kb3ducmV2LnhtbESPwWrDMBBE74X8g9hCbo2cHELjWgltIBDoKY576G2x&#10;NpaxtTKSHLt/HxUKPQ4z84YpDrPtxZ18aB0rWK8yEMS10y03Cqrr6eUVRIjIGnvHpOCHAhz2i6cC&#10;c+0mvtC9jI1IEA45KjAxDrmUoTZkMazcQJy8m/MWY5K+kdrjlOC2l5ss20qLLacFgwMdDdVdOVoF&#10;/nj6lrYag6mzz6+1+ei6W1UptXye399ARJrjf/ivfdYKNj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8TRMMAAADbAAAADwAAAAAAAAAAAAAAAACYAgAAZHJzL2Rv&#10;d25yZXYueG1sUEsFBgAAAAAEAAQA9QAAAIgDAAAAAA==&#10;" filled="f" stroked="f">
                  <v:textbox style="mso-fit-shape-to-text:t" inset="0,0,0,0">
                    <w:txbxContent>
                      <w:p w:rsidR="006E4BDA" w:rsidRDefault="006E4BDA" w:rsidP="006E4BDA">
                        <w:r>
                          <w:rPr>
                            <w:rFonts w:ascii="Arial" w:hAnsi="Arial" w:cs="Arial"/>
                            <w:color w:val="000000"/>
                            <w:sz w:val="16"/>
                            <w:szCs w:val="16"/>
                            <w:lang w:val="en-US"/>
                          </w:rPr>
                          <w:t>794</w:t>
                        </w:r>
                      </w:p>
                    </w:txbxContent>
                  </v:textbox>
                </v:rect>
                <v:rect id="Rectangle 30" o:spid="_x0000_s1056" style="position:absolute;left:37585;top:8915;width:1696;height:19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sBMAA&#10;AADbAAAADwAAAGRycy9kb3ducmV2LnhtbERPPWvDMBDdC/0P4gLdGtkthOJGNk0gEOhU1x26HdbZ&#10;MrZORlJi599XQyHj433vq9VO4ko+DI4V5NsMBHHr9MC9gub79PwGIkRkjZNjUnCjAFX5+LDHQruF&#10;v+hax16kEA4FKjAxzoWUoTVkMWzdTJy4znmLMUHfS+1xSeF2ki9ZtpMWB04NBmc6GmrH+mIV+OPp&#10;V9rmEkybff7k5jCOXdMo9bRZP95BRFrjXfzvPmsFr2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wsBM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16"/>
                            <w:szCs w:val="16"/>
                            <w:lang w:val="en-US"/>
                          </w:rPr>
                          <w:t>798</w:t>
                        </w:r>
                      </w:p>
                    </w:txbxContent>
                  </v:textbox>
                </v:rect>
                <v:rect id="Rectangle 31" o:spid="_x0000_s1057" style="position:absolute;left:47637;top:8928;width:1696;height:19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Jn8EA&#10;AADbAAAADwAAAGRycy9kb3ducmV2LnhtbESPQYvCMBSE7wv+h/AEb2tahWWpRlFBEDzp1oO3R/Ns&#10;SpuXkkSt/94sLOxxmJlvmOV6sJ14kA+NYwX5NANBXDndcK2g/Nl/foMIEVlj55gUvCjAejX6WGKh&#10;3ZNP9DjHWiQIhwIVmBj7QspQGbIYpq4nTt7NeYsxSV9L7fGZ4LaTsyz7khYbTgsGe9oZqtrz3Srw&#10;u/1V2vIeTJUdL7nZtu2tLJWajIfNAkSkIf6H/9oHrWCew++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giZ/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806</w:t>
                        </w:r>
                      </w:p>
                    </w:txbxContent>
                  </v:textbox>
                </v:rect>
                <v:group id="Group 39" o:spid="_x0000_s1058" style="position:absolute;left:33604;top:2298;width:15271;height:1759" coordorigin="5292,362" coordsize="2405,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7" o:spid="_x0000_s1059" style="position:absolute;left:5292;top:362;width:240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38" o:spid="_x0000_s1060" style="position:absolute;left:5292;top:362;width:240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NcYA&#10;AADbAAAADwAAAGRycy9kb3ducmV2LnhtbESP3WrCQBSE7wXfYTlCb6RukhYpqatYS0sLCvGneHvI&#10;HpNg9mzIbjR9+25B8HKYmW+Y2aI3tbhQ6yrLCuJJBII4t7riQsFh//H4AsJ5ZI21ZVLwSw4W8+Fg&#10;hqm2V97SZecLESDsUlRQet+kUrq8JINuYhvi4J1sa9AH2RZSt3gNcFPLJIqm0mDFYaHEhlYl5edd&#10;ZxR0x7h6+8ni1Tp7/+7ceGOSRH8q9TDql68gPPX+Hr61v7SCp2f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N/NcYAAADbAAAADwAAAAAAAAAAAAAAAACYAgAAZHJz&#10;L2Rvd25yZXYueG1sUEsFBgAAAAAEAAQA9QAAAIsDAAAAAA==&#10;" filled="f" strokeweight="42e-5mm">
                    <v:stroke endcap="round"/>
                  </v:rect>
                </v:group>
                <v:rect id="Rectangle 35" o:spid="_x0000_s1061" style="position:absolute;left:38252;top:2641;width:593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Public Safety</w:t>
                        </w:r>
                      </w:p>
                    </w:txbxContent>
                  </v:textbox>
                </v:rect>
                <v:rect id="Rectangle 36" o:spid="_x0000_s1062" style="position:absolute;left:26435;top:2857;width:3054;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48"/>
                            <w:szCs w:val="48"/>
                            <w:lang w:val="en-US"/>
                          </w:rPr>
                          <w:t>…</w:t>
                        </w:r>
                      </w:p>
                    </w:txbxContent>
                  </v:textbox>
                </v:rect>
                <v:rect id="Rectangle 38" o:spid="_x0000_s1063" style="position:absolute;left:4394;top:14904;width:54216;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6E4BDA" w:rsidRPr="0096529E" w:rsidRDefault="006E4BDA" w:rsidP="006E4BDA">
                        <w:pPr>
                          <w:tabs>
                            <w:tab w:val="clear" w:pos="794"/>
                            <w:tab w:val="clear" w:pos="1191"/>
                            <w:tab w:val="left" w:pos="142"/>
                          </w:tabs>
                          <w:ind w:left="142" w:hanging="142"/>
                        </w:pPr>
                        <w:r w:rsidRPr="0096529E">
                          <w:rPr>
                            <w:rFonts w:ascii="Arial" w:hAnsi="Arial" w:cs="Arial"/>
                            <w:color w:val="000000"/>
                            <w:sz w:val="16"/>
                            <w:szCs w:val="16"/>
                          </w:rPr>
                          <w:t>*</w:t>
                        </w:r>
                        <w:r>
                          <w:rPr>
                            <w:rFonts w:ascii="Arial" w:hAnsi="Arial" w:cs="Arial"/>
                            <w:color w:val="000000"/>
                            <w:sz w:val="16"/>
                            <w:szCs w:val="16"/>
                          </w:rPr>
                          <w:t>*</w:t>
                        </w:r>
                        <w:r>
                          <w:rPr>
                            <w:rFonts w:ascii="Arial" w:hAnsi="Arial" w:cs="Arial"/>
                            <w:color w:val="000000"/>
                            <w:sz w:val="16"/>
                            <w:szCs w:val="16"/>
                          </w:rPr>
                          <w:tab/>
                        </w:r>
                        <w:r w:rsidRPr="0096529E">
                          <w:rPr>
                            <w:rFonts w:ascii="Arial" w:hAnsi="Arial" w:cs="Arial"/>
                            <w:color w:val="000000"/>
                            <w:sz w:val="16"/>
                            <w:szCs w:val="16"/>
                          </w:rPr>
                          <w:t xml:space="preserve">Les parties du spectre utilisées pour les systèmes à bande étroite (NB) et </w:t>
                        </w:r>
                        <w:r>
                          <w:rPr>
                            <w:rFonts w:ascii="Arial" w:hAnsi="Arial" w:cs="Arial"/>
                            <w:color w:val="000000"/>
                            <w:sz w:val="16"/>
                            <w:szCs w:val="16"/>
                          </w:rPr>
                          <w:t xml:space="preserve">les </w:t>
                        </w:r>
                        <w:r w:rsidRPr="0096529E">
                          <w:rPr>
                            <w:rFonts w:ascii="Arial" w:hAnsi="Arial" w:cs="Arial"/>
                            <w:color w:val="000000"/>
                            <w:sz w:val="16"/>
                            <w:szCs w:val="16"/>
                          </w:rPr>
                          <w:t>systèmes à bande élargie (WB)</w:t>
                        </w:r>
                        <w:r w:rsidRPr="0096529E">
                          <w:rPr>
                            <w:rFonts w:ascii="Arial" w:hAnsi="Arial" w:cs="Arial"/>
                            <w:color w:val="000000"/>
                            <w:sz w:val="16"/>
                            <w:szCs w:val="16"/>
                          </w:rPr>
                          <w:br/>
                        </w:r>
                        <w:r>
                          <w:rPr>
                            <w:rFonts w:ascii="Arial" w:hAnsi="Arial" w:cs="Arial"/>
                            <w:color w:val="000000"/>
                            <w:sz w:val="16"/>
                            <w:szCs w:val="16"/>
                          </w:rPr>
                          <w:t>seront déterminées dans la norme pertinente.</w:t>
                        </w:r>
                      </w:p>
                    </w:txbxContent>
                  </v:textbox>
                </v:rect>
                <v:rect id="Rectangle 39" o:spid="_x0000_s1064" style="position:absolute;left:1797;top:5156;width:237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E4BDA" w:rsidRDefault="006E4BDA" w:rsidP="006E4BDA">
                        <w:r>
                          <w:rPr>
                            <w:rFonts w:ascii="Arial" w:hAnsi="Arial" w:cs="Arial"/>
                            <w:color w:val="FFFFFF"/>
                            <w:sz w:val="16"/>
                            <w:szCs w:val="16"/>
                            <w:lang w:val="en-US"/>
                          </w:rPr>
                          <w:t xml:space="preserve">Band </w:t>
                        </w:r>
                      </w:p>
                    </w:txbxContent>
                  </v:textbox>
                </v:rect>
                <v:rect id="Rectangle 40" o:spid="_x0000_s1065" style="position:absolute;left:1968;top:636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E4BDA" w:rsidRDefault="006E4BDA" w:rsidP="006E4BDA">
                        <w:r>
                          <w:rPr>
                            <w:rFonts w:ascii="Arial" w:hAnsi="Arial" w:cs="Arial"/>
                            <w:color w:val="FFFFFF"/>
                            <w:sz w:val="16"/>
                            <w:szCs w:val="16"/>
                            <w:lang w:val="en-US"/>
                          </w:rPr>
                          <w:t>Plan</w:t>
                        </w:r>
                      </w:p>
                    </w:txbxContent>
                  </v:textbox>
                </v:rect>
                <v:group id="Group 49" o:spid="_x0000_s1066" style="position:absolute;left:11633;top:2292;width:10090;height:5721" coordorigin="1832,361" coordsize="1589,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7" o:spid="_x0000_s1067" style="position:absolute;left:1832;top:361;width:158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PS8UA&#10;AADbAAAADwAAAGRycy9kb3ducmV2LnhtbESPzWrDMBCE74W8g9hAbrWcUEpxrYT8UDCEEpr00tti&#10;bSw31spYSmz36atCIcdhZr5h8tVgG3GjzteOFcyTFARx6XTNlYLP09vjCwgfkDU2jknBSB5Wy8lD&#10;jpl2PX/Q7RgqESHsM1RgQmgzKX1pyKJPXEscvbPrLIYou0rqDvsIt41cpOmztFhzXDDY0tZQeTle&#10;rYKfqy6+zsXhXWO7QXPay934fVBqNh3WryACDeEe/m8XWsHTAv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s9LxQAAANsAAAAPAAAAAAAAAAAAAAAAAJgCAABkcnMv&#10;ZG93bnJldi54bWxQSwUGAAAAAAQABAD1AAAAigMAAAAA&#10;" fillcolor="#c9f" stroked="f"/>
                  <v:rect id="Rectangle 48" o:spid="_x0000_s1068" style="position:absolute;left:1832;top:361;width:158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UPMYA&#10;AADbAAAADwAAAGRycy9kb3ducmV2LnhtbESP3WrCQBSE7wXfYTlCb6RukhYpqatYS0sLCvGneHvI&#10;HpNg9mzIbjR9+25B8HKYmW+Y2aI3tbhQ6yrLCuJJBII4t7riQsFh//H4AsJ5ZI21ZVLwSw4W8+Fg&#10;hqm2V97SZecLESDsUlRQet+kUrq8JINuYhvi4J1sa9AH2RZSt3gNcFPLJIqm0mDFYaHEhlYl5edd&#10;ZxR0x7h6+8ni1Tp7/+7ceGOSRH8q9TDql68gPPX+Hr61v7SC5yf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yUPMYAAADbAAAADwAAAAAAAAAAAAAAAACYAgAAZHJz&#10;L2Rvd25yZXYueG1sUEsFBgAAAAAEAAQA9QAAAIsDAAAAAA==&#10;" filled="f" strokeweight="42e-5mm">
                    <v:stroke endcap="round"/>
                  </v:rect>
                </v:group>
                <v:rect id="Rectangle 44" o:spid="_x0000_s1069" style="position:absolute;left:14611;top:5213;width:412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16"/>
                            <w:szCs w:val="16"/>
                            <w:lang w:val="en-US"/>
                          </w:rPr>
                          <w:t>NB/WB**</w:t>
                        </w:r>
                      </w:p>
                    </w:txbxContent>
                  </v:textbox>
                </v:rect>
                <v:group id="Group 53" o:spid="_x0000_s1070" style="position:absolute;left:6464;top:2292;width:5245;height:5721" coordorigin="1018,361" coordsize="82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51" o:spid="_x0000_s1071" style="position:absolute;left:1018;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52" o:spid="_x0000_s1072" style="position:absolute;left:1018;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SP8YA&#10;AADbAAAADwAAAGRycy9kb3ducmV2LnhtbESP3WrCQBSE7wXfYTlCb6RuEkotqatYS0sLCvGneHvI&#10;HpNg9mzIbjR9+25B8HKYmW+Y2aI3tbhQ6yrLCuJJBII4t7riQsFh//H4AsJ5ZI21ZVLwSw4W8+Fg&#10;hqm2V97SZecLESDsUlRQet+kUrq8JINuYhvi4J1sa9AH2RZSt3gNcFPLJIqepcGKw0KJDa1Kys+7&#10;zijojnH19pPFq3X2/t258cYkif5U6mHUL19BeOr9PXxrf2kFT1P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SP8YAAADbAAAADwAAAAAAAAAAAAAAAACYAgAAZHJz&#10;L2Rvd25yZXYueG1sUEsFBgAAAAAEAAQA9QAAAIsDAAAAAA==&#10;" filled="f" strokeweight="42e-5mm">
                    <v:stroke endcap="round"/>
                  </v:rect>
                </v:group>
                <v:rect id="Rectangle 48" o:spid="_x0000_s1073" style="position:absolute;left:8559;top:5213;width:107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E4BDA" w:rsidRDefault="006E4BDA" w:rsidP="006E4BDA">
                        <w:r>
                          <w:rPr>
                            <w:rFonts w:ascii="Arial" w:hAnsi="Arial" w:cs="Arial"/>
                            <w:color w:val="000000"/>
                            <w:sz w:val="16"/>
                            <w:szCs w:val="16"/>
                            <w:lang w:val="en-US"/>
                          </w:rPr>
                          <w:t>A*</w:t>
                        </w:r>
                      </w:p>
                    </w:txbxContent>
                  </v:textbox>
                </v:rect>
                <v:rect id="Rectangle 49" o:spid="_x0000_s1074" style="position:absolute;left:5429;top:8914;width:1696;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25MIA&#10;AADbAAAADwAAAGRycy9kb3ducmV2LnhtbESPQYvCMBSE78L+h/CEvWmqLMtajeIKguBp3Xrw9mie&#10;TWnzUpKo9d8bQfA4zMw3zGLV21ZcyYfasYLJOANBXDpdc6Wg+N+OfkCEiKyxdUwK7hRgtfwYLDDX&#10;7sZ/dD3ESiQIhxwVmBi7XMpQGrIYxq4jTt7ZeYsxSV9J7fGW4LaV0yz7lhZrTgsGO9oYKpvDxSrw&#10;m+1J2uISTJntjxPz2zTnolDqc9iv5yAi9fEdfrV3WsHXD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PbkwgAAANsAAAAPAAAAAAAAAAAAAAAAAJgCAABkcnMvZG93&#10;bnJldi54bWxQSwUGAAAAAAQABAD1AAAAhwMAAAAA&#10;" filled="f" stroked="f">
                  <v:textbox style="mso-fit-shape-to-text:t" inset="0,0,0,0">
                    <w:txbxContent>
                      <w:p w:rsidR="006E4BDA" w:rsidRDefault="006E4BDA" w:rsidP="006E4BDA">
                        <w:r>
                          <w:rPr>
                            <w:rFonts w:ascii="Arial" w:hAnsi="Arial" w:cs="Arial"/>
                            <w:color w:val="000000"/>
                            <w:sz w:val="16"/>
                            <w:szCs w:val="16"/>
                            <w:lang w:val="en-US"/>
                          </w:rPr>
                          <w:t>764</w:t>
                        </w:r>
                      </w:p>
                    </w:txbxContent>
                  </v:textbox>
                </v:rect>
                <v:rect id="Rectangle 50" o:spid="_x0000_s1075" style="position:absolute;left:10407;top:8915;width:1696;height:19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JpMAA&#10;AADbAAAADwAAAGRycy9kb3ducmV2LnhtbERPPWvDMBDdC/0P4gLdGtmFhuJGNk0gEOhU1x26HdbZ&#10;MrZORlJi599XQyHj433vq9VO4ko+DI4V5NsMBHHr9MC9gub79PwGIkRkjZNjUnCjAFX5+LDHQruF&#10;v+hax16kEA4FKjAxzoWUoTVkMWzdTJy4znmLMUHfS+1xSeF2ki9ZtpMWB04NBmc6GmrH+mIV+OPp&#10;V9rmEkybff7k5jCOXdMo9bRZP95BRFrjXfzvPmsFr2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PJpM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16"/>
                            <w:szCs w:val="16"/>
                            <w:lang w:val="en-US"/>
                          </w:rPr>
                          <w:t>768</w:t>
                        </w:r>
                      </w:p>
                    </w:txbxContent>
                  </v:textbox>
                </v:rect>
                <v:rect id="Rectangle 51" o:spid="_x0000_s1076" style="position:absolute;left:20580;top:8927;width:1696;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sP8EA&#10;AADbAAAADwAAAGRycy9kb3ducmV2LnhtbESPQYvCMBSE7wv+h/AEb2tawWWpRlFBEDzp1oO3R/Ns&#10;SpuXkkSt/94sLOxxmJlvmOV6sJ14kA+NYwX5NANBXDndcK2g/Nl/foMIEVlj55gUvCjAejX6WGKh&#10;3ZNP9DjHWiQIhwIVmBj7QspQGbIYpq4nTt7NeYsxSV9L7fGZ4LaTsyz7khYbTgsGe9oZqtrz3Srw&#10;u/1V2vIeTJUdL7nZtu2tLJWajIfNAkSkIf6H/9oHrWCew++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bD/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776</w:t>
                        </w:r>
                      </w:p>
                    </w:txbxContent>
                  </v:textbox>
                </v:rect>
                <v:group id="Group 60" o:spid="_x0000_s1077" style="position:absolute;left:6464;top:2292;width:15272;height:1765" coordorigin="1018,361" coordsize="240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8" o:spid="_x0000_s1078" style="position:absolute;left:1018;top:361;width:240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rect id="Rectangle 59" o:spid="_x0000_s1079" style="position:absolute;left:1018;top:361;width:240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alcYA&#10;AADbAAAADwAAAGRycy9kb3ducmV2LnhtbESP3WrCQBSE7wXfYTlCb6RuElopqatYS0sLCvGneHvI&#10;HpNg9mzIbjR9+25B8HKYmW+Y2aI3tbhQ6yrLCuJJBII4t7riQsFh//H4AsJ5ZI21ZVLwSw4W8+Fg&#10;hqm2V97SZecLESDsUlRQet+kUrq8JINuYhvi4J1sa9AH2RZSt3gNcFPLJIqm0mDFYaHEhlYl5edd&#10;ZxR0x7h6+8ni1Tp7/+7ceGOSRH8q9TDql68gPPX+Hr61v7SC5yf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alcYAAADbAAAADwAAAAAAAAAAAAAAAACYAgAAZHJz&#10;L2Rvd25yZXYueG1sUEsFBgAAAAAEAAQA9QAAAIsDAAAAAA==&#10;" filled="f" strokeweight="42e-5mm">
                    <v:stroke endcap="round"/>
                  </v:rect>
                </v:group>
                <v:rect id="Rectangle 55" o:spid="_x0000_s1080" style="position:absolute;left:11118;top:1822;width:8630;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8kMQA&#10;AADbAAAADwAAAGRycy9kb3ducmV2LnhtbESPQWvCQBSE74X+h+UVvIhuFBS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vJDEAAAA2wAAAA8AAAAAAAAAAAAAAAAAmAIAAGRycy9k&#10;b3ducmV2LnhtbFBLBQYAAAAABAAEAPUAAACJAwAAAAA=&#10;" filled="f" stroked="f">
                  <v:textbox style="mso-fit-shape-to-text:t" inset="0,0,0,0">
                    <w:txbxContent>
                      <w:p w:rsidR="006E4BDA" w:rsidRDefault="006E4BDA" w:rsidP="006E4BDA">
                        <w:r>
                          <w:rPr>
                            <w:rFonts w:ascii="Arial" w:hAnsi="Arial" w:cs="Arial"/>
                            <w:color w:val="000000"/>
                            <w:sz w:val="16"/>
                            <w:szCs w:val="16"/>
                            <w:lang w:val="en-US"/>
                          </w:rPr>
                          <w:t>Sécurité publique</w:t>
                        </w:r>
                      </w:p>
                    </w:txbxContent>
                  </v:textbox>
                </v:rect>
                <v:rect id="Rectangle 56" o:spid="_x0000_s1081" style="position:absolute;left:50806;top:8724;width:208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16"/>
                            <w:szCs w:val="16"/>
                            <w:lang w:val="en-US"/>
                          </w:rPr>
                          <w:t>MHz</w:t>
                        </w:r>
                      </w:p>
                    </w:txbxContent>
                  </v:textbox>
                </v:rect>
                <v:group id="Group 65" o:spid="_x0000_s1082" style="position:absolute;left:38754;top:2298;width:10090;height:5715" coordorigin="6103,362" coordsize="158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63" o:spid="_x0000_s1083" style="position:absolute;left:6103;top:362;width:158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ufMAA&#10;AADbAAAADwAAAGRycy9kb3ducmV2LnhtbERPy4rCMBTdD/gP4QruxlRhRKpRfDBQkEF8bNxdmmtT&#10;bW5KE7XO15uF4PJw3tN5aytxp8aXjhUM+gkI4tzpkgsFx8Pv9xiED8gaK8ek4Eke5rPO1xRT7R68&#10;o/s+FCKGsE9RgQmhTqX0uSGLvu9q4sidXWMxRNgUUjf4iOG2ksMkGUmLJccGgzWtDOXX/c0q+L/p&#10;7HTOtn8a6yWaw0aun5etUr1uu5iACNSGj/jtzrSCn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dufMAAAADbAAAADwAAAAAAAAAAAAAAAACYAgAAZHJzL2Rvd25y&#10;ZXYueG1sUEsFBgAAAAAEAAQA9QAAAIUDAAAAAA==&#10;" fillcolor="#c9f" stroked="f"/>
                  <v:rect id="Rectangle 64" o:spid="_x0000_s1084" style="position:absolute;left:6103;top:362;width:158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1C8YA&#10;AADbAAAADwAAAGRycy9kb3ducmV2LnhtbESP3WrCQBSE7wXfYTlCb6RuEmixqatYS0sLCvGneHvI&#10;HpNg9mzIbjR9+25B8HKYmW+Y2aI3tbhQ6yrLCuJJBII4t7riQsFh//E4BeE8ssbaMin4JQeL+XAw&#10;w1TbK2/psvOFCBB2KSoovW9SKV1ekkE3sQ1x8E62NeiDbAupW7wGuKllEkXP0mDFYaHEhlYl5edd&#10;ZxR0x7h6+8ni1Tp7/+7ceGOSRH8q9TDql68gPPX+Hr61v7SCpxf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1C8YAAADbAAAADwAAAAAAAAAAAAAAAACYAgAAZHJz&#10;L2Rvd25yZXYueG1sUEsFBgAAAAAEAAQA9QAAAIsDAAAAAA==&#10;" filled="f" strokeweight="42e-5mm">
                    <v:stroke endcap="round"/>
                  </v:rect>
                </v:group>
                <v:rect id="Rectangle 60" o:spid="_x0000_s1085" style="position:absolute;left:41732;top:5213;width:412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E4BDA" w:rsidRDefault="006E4BDA" w:rsidP="006E4BDA">
                        <w:r>
                          <w:rPr>
                            <w:rFonts w:ascii="Arial" w:hAnsi="Arial" w:cs="Arial"/>
                            <w:color w:val="000000"/>
                            <w:sz w:val="16"/>
                            <w:szCs w:val="16"/>
                            <w:lang w:val="en-US"/>
                          </w:rPr>
                          <w:t>NB/WB**</w:t>
                        </w:r>
                      </w:p>
                    </w:txbxContent>
                  </v:textbox>
                </v:rect>
                <v:group id="Group 69" o:spid="_x0000_s1086" style="position:absolute;left:33604;top:2292;width:5245;height:5721" coordorigin="5292,361" coordsize="82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7" o:spid="_x0000_s1087" style="position:absolute;left:5292;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68" o:spid="_x0000_s1088" style="position:absolute;left:5292;top:361;width:826;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IXMUA&#10;AADbAAAADwAAAGRycy9kb3ducmV2LnhtbESPQWvCQBSE74L/YXmCF6mbpCASXaW1VFpQUKt4fWRf&#10;k9Ds25DdaPrvXUHwOMzMN8x82ZlKXKhxpWUF8TgCQZxZXXKu4Pjz+TIF4TyyxsoyKfgnB8tFvzfH&#10;VNsr7+ly8LkIEHYpKii8r1MpXVaQQTe2NXHwfm1j0AfZ5FI3eA1wU8kkiibSYMlhocCaVgVlf4fW&#10;KGjPcfl+2sWrze7ju3WjrUkSvVZqOOjeZiA8df4ZfrS/tILJK9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chcxQAAANsAAAAPAAAAAAAAAAAAAAAAAJgCAABkcnMv&#10;ZG93bnJldi54bWxQSwUGAAAAAAQABAD1AAAAigMAAAAA&#10;" filled="f" strokeweight="42e-5mm">
                    <v:stroke endcap="round"/>
                  </v:rect>
                </v:group>
                <v:rect id="Rectangle 64" o:spid="_x0000_s1089" style="position:absolute;left:35693;top:5213;width:107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16"/>
                            <w:szCs w:val="16"/>
                            <w:lang w:val="en-US"/>
                          </w:rPr>
                          <w:t>A*</w:t>
                        </w:r>
                      </w:p>
                    </w:txbxContent>
                  </v:textbox>
                </v:rect>
                <v:rect id="Rectangle 65" o:spid="_x0000_s1090" style="position:absolute;left:32550;top:8914;width:1696;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ggcMA&#10;AADbAAAADwAAAGRycy9kb3ducmV2LnhtbESPwWrDMBBE74X8g9hCbo3sQE1xooTUECj0FNc99LZY&#10;G8vYWhlJSdy/jwKFHoeZecNs97MdxZV86B0ryFcZCOLW6Z47Bc3X8eUNRIjIGkfHpOCXAux3i6ct&#10;ltrd+ETXOnYiQTiUqMDEOJVShtaQxbByE3Hyzs5bjEn6TmqPtwS3o1xnWSEt9pwWDE5UGWqH+mIV&#10;+Or4I21zCabNPr9z8z4M56ZRavk8HzYgIs3xP/zX/tAKild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ggcMAAADbAAAADwAAAAAAAAAAAAAAAACYAgAAZHJzL2Rv&#10;d25yZXYueG1sUEsFBgAAAAAEAAQA9QAAAIgDAAAAAA==&#10;" filled="f" stroked="f">
                  <v:textbox style="mso-fit-shape-to-text:t" inset="0,0,0,0">
                    <w:txbxContent>
                      <w:p w:rsidR="006E4BDA" w:rsidRDefault="006E4BDA" w:rsidP="006E4BDA">
                        <w:r>
                          <w:rPr>
                            <w:rFonts w:ascii="Arial" w:hAnsi="Arial" w:cs="Arial"/>
                            <w:color w:val="000000"/>
                            <w:sz w:val="16"/>
                            <w:szCs w:val="16"/>
                            <w:lang w:val="en-US"/>
                          </w:rPr>
                          <w:t>794</w:t>
                        </w:r>
                      </w:p>
                    </w:txbxContent>
                  </v:textbox>
                </v:rect>
                <v:rect id="Rectangle 66" o:spid="_x0000_s1091" style="position:absolute;left:37585;top:8915;width:1696;height:19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9sEA&#10;AADbAAAADwAAAGRycy9kb3ducmV2LnhtbESPQYvCMBSE7wv7H8ITvNlUD2WpRlFBWPCkWw/eHs2z&#10;KW1eShK1++83grDHYWa+YVab0fbiQT60jhXMsxwEce10y42C6ucw+wIRIrLG3jEp+KUAm/XnxwpL&#10;7Z58osc5NiJBOJSowMQ4lFKG2pDFkLmBOHk35y3GJH0jtcdngtteLvK8kBZbTgsGB9obqrvz3Srw&#10;+8NV2uoeTJ0fL3Oz67pbVSk1nYzbJYhIY/wPv9vfWkFRwOt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6Pvb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798</w:t>
                        </w:r>
                      </w:p>
                    </w:txbxContent>
                  </v:textbox>
                </v:rect>
                <v:rect id="Rectangle 67" o:spid="_x0000_s1092" style="position:absolute;left:47637;top:8928;width:1696;height:19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bbcIA&#10;AADbAAAADwAAAGRycy9kb3ducmV2LnhtbESPQYvCMBSE78L+h/AEbzZ1Dypdo6yCIHha7R729mie&#10;TWnzUpKo9d9vBMHjMDPfMKvNYDtxIx8axwpmWQ6CuHK64VpBed5PlyBCRNbYOSYFDwqwWX+MVlho&#10;d+cfup1iLRKEQ4EKTIx9IWWoDFkMmeuJk3dx3mJM0tdSe7wnuO3kZ57PpcWG04LBnnaGqvZ0tQr8&#10;bv8nbXkNpsqPvzOzbdtLWSo1GQ/fXyAiDfEdfrUPWsF8Ac8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pttwgAAANsAAAAPAAAAAAAAAAAAAAAAAJgCAABkcnMvZG93&#10;bnJldi54bWxQSwUGAAAAAAQABAD1AAAAhwMAAAAA&#10;" filled="f" stroked="f">
                  <v:textbox style="mso-fit-shape-to-text:t" inset="0,0,0,0">
                    <w:txbxContent>
                      <w:p w:rsidR="006E4BDA" w:rsidRDefault="006E4BDA" w:rsidP="006E4BDA">
                        <w:r>
                          <w:rPr>
                            <w:rFonts w:ascii="Arial" w:hAnsi="Arial" w:cs="Arial"/>
                            <w:color w:val="000000"/>
                            <w:sz w:val="16"/>
                            <w:szCs w:val="16"/>
                            <w:lang w:val="en-US"/>
                          </w:rPr>
                          <w:t>806</w:t>
                        </w:r>
                      </w:p>
                    </w:txbxContent>
                  </v:textbox>
                </v:rect>
                <v:group id="Group 76" o:spid="_x0000_s1093" style="position:absolute;left:33604;top:2298;width:15271;height:1759" coordorigin="5292,362" coordsize="2405,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4" o:spid="_x0000_s1094" style="position:absolute;left:5292;top:362;width:240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75" o:spid="_x0000_s1095" style="position:absolute;left:5292;top:362;width:240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A9sMA&#10;AADbAAAADwAAAGRycy9kb3ducmV2LnhtbERPy2rCQBTdF/yH4QpuRCfJoi1pJuIDxUILalvcXjLX&#10;JJi5EzITTf++sxC6PJx3thhMI27UudqygngegSAurK65VPD9tZ29gnAeWWNjmRT8koNFPnrKMNX2&#10;zke6nXwpQgi7FBVU3replK6oyKCb25Y4cBfbGfQBdqXUHd5DuGlkEkXP0mDNoaHCltYVFddTbxT0&#10;57he/Rzi9cdh89676adJEr1TajIelm8gPA3+X/xw77WCl7A+fA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LA9sMAAADbAAAADwAAAAAAAAAAAAAAAACYAgAAZHJzL2Rv&#10;d25yZXYueG1sUEsFBgAAAAAEAAQA9QAAAIgDAAAAAA==&#10;" filled="f" strokeweight="42e-5mm">
                    <v:stroke endcap="round"/>
                  </v:rect>
                </v:group>
                <v:rect id="Rectangle 71" o:spid="_x0000_s1096" style="position:absolute;left:26435;top:2857;width:3054;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E4BDA" w:rsidRDefault="006E4BDA" w:rsidP="006E4BDA">
                        <w:r>
                          <w:rPr>
                            <w:rFonts w:ascii="Arial" w:hAnsi="Arial" w:cs="Arial"/>
                            <w:color w:val="000000"/>
                            <w:sz w:val="48"/>
                            <w:szCs w:val="48"/>
                            <w:lang w:val="en-US"/>
                          </w:rPr>
                          <w:t>…</w:t>
                        </w:r>
                      </w:p>
                    </w:txbxContent>
                  </v:textbox>
                </v:rect>
                <v:rect id="Rectangle 72" o:spid="_x0000_s1097" style="position:absolute;left:38252;top:1786;width:785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E4BDA" w:rsidRDefault="006E4BDA" w:rsidP="006E4BDA">
                        <w:r>
                          <w:rPr>
                            <w:rFonts w:ascii="Arial" w:hAnsi="Arial" w:cs="Arial"/>
                            <w:color w:val="000000"/>
                            <w:sz w:val="16"/>
                            <w:szCs w:val="16"/>
                            <w:lang w:val="en-US"/>
                          </w:rPr>
                          <w:t>Sécurité publique</w:t>
                        </w:r>
                      </w:p>
                    </w:txbxContent>
                  </v:textbox>
                </v:rect>
                <w10:anchorlock/>
              </v:group>
            </w:pict>
          </mc:Fallback>
        </mc:AlternateContent>
      </w:r>
    </w:p>
    <w:p w:rsidR="006E4BDA" w:rsidRPr="0051662C" w:rsidRDefault="006E4BDA" w:rsidP="0051662C">
      <w:pPr>
        <w:pStyle w:val="Heading2"/>
        <w:spacing w:after="240"/>
        <w:rPr>
          <w:lang w:val="fr-CH"/>
        </w:rPr>
      </w:pPr>
      <w:r w:rsidRPr="0051662C">
        <w:rPr>
          <w:lang w:val="fr-CH"/>
        </w:rPr>
        <w:t>1.2</w:t>
      </w:r>
      <w:r w:rsidRPr="0051662C">
        <w:rPr>
          <w:lang w:val="fr-CH"/>
        </w:rPr>
        <w:tab/>
        <w:t>Exemple de dispositions de fréquences «B»</w:t>
      </w:r>
      <w:r w:rsidRPr="0051662C">
        <w:rPr>
          <w:vertAlign w:val="superscript"/>
          <w:lang w:val="fr-CH"/>
        </w:rPr>
        <w:footnoteReference w:id="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3229"/>
      </w:tblGrid>
      <w:tr w:rsidR="006E4BDA" w:rsidRPr="0051662C" w:rsidTr="0051662C">
        <w:trPr>
          <w:jc w:val="center"/>
        </w:trPr>
        <w:tc>
          <w:tcPr>
            <w:tcW w:w="2464" w:type="dxa"/>
            <w:vAlign w:val="center"/>
          </w:tcPr>
          <w:p w:rsidR="006E4BDA" w:rsidRPr="0051662C" w:rsidRDefault="006E4BDA" w:rsidP="0051662C">
            <w:pPr>
              <w:pStyle w:val="Tablehead"/>
              <w:keepLines/>
              <w:rPr>
                <w:lang w:val="fr-CH"/>
              </w:rPr>
            </w:pPr>
            <w:r w:rsidRPr="0051662C">
              <w:rPr>
                <w:lang w:val="fr-CH"/>
              </w:rPr>
              <w:t>Fréquences d'émission des stations de base (MHz)</w:t>
            </w:r>
          </w:p>
        </w:tc>
        <w:tc>
          <w:tcPr>
            <w:tcW w:w="2464" w:type="dxa"/>
            <w:vAlign w:val="center"/>
          </w:tcPr>
          <w:p w:rsidR="006E4BDA" w:rsidRPr="0051662C" w:rsidRDefault="006E4BDA" w:rsidP="0051662C">
            <w:pPr>
              <w:pStyle w:val="Tablehead"/>
              <w:keepLines/>
              <w:rPr>
                <w:lang w:val="fr-CH"/>
              </w:rPr>
            </w:pPr>
            <w:r w:rsidRPr="0051662C">
              <w:rPr>
                <w:lang w:val="fr-CH"/>
              </w:rPr>
              <w:t>Fréquences d'émission des stations mobiles (MHz)</w:t>
            </w:r>
          </w:p>
        </w:tc>
        <w:tc>
          <w:tcPr>
            <w:tcW w:w="3229" w:type="dxa"/>
            <w:vAlign w:val="center"/>
          </w:tcPr>
          <w:p w:rsidR="006E4BDA" w:rsidRPr="0051662C" w:rsidRDefault="006E4BDA" w:rsidP="0051662C">
            <w:pPr>
              <w:pStyle w:val="Tablehead"/>
              <w:keepLines/>
              <w:rPr>
                <w:lang w:val="fr-CH"/>
              </w:rPr>
            </w:pPr>
            <w:r w:rsidRPr="0051662C">
              <w:rPr>
                <w:lang w:val="fr-CH"/>
              </w:rPr>
              <w:t>Bloc de fréquences</w:t>
            </w:r>
          </w:p>
        </w:tc>
      </w:tr>
      <w:tr w:rsidR="006E4BDA" w:rsidRPr="0051662C" w:rsidTr="006E75B8">
        <w:trPr>
          <w:jc w:val="center"/>
        </w:trPr>
        <w:tc>
          <w:tcPr>
            <w:tcW w:w="2464" w:type="dxa"/>
          </w:tcPr>
          <w:p w:rsidR="006E4BDA" w:rsidRPr="0051662C" w:rsidRDefault="006E4BDA" w:rsidP="0051662C">
            <w:pPr>
              <w:pStyle w:val="Tabletext"/>
              <w:keepNext/>
              <w:keepLines/>
              <w:jc w:val="center"/>
              <w:rPr>
                <w:lang w:val="fr-CH"/>
              </w:rPr>
            </w:pPr>
            <w:r w:rsidRPr="0051662C">
              <w:rPr>
                <w:lang w:val="fr-CH"/>
              </w:rPr>
              <w:t>763-768</w:t>
            </w:r>
          </w:p>
        </w:tc>
        <w:tc>
          <w:tcPr>
            <w:tcW w:w="2464" w:type="dxa"/>
          </w:tcPr>
          <w:p w:rsidR="006E4BDA" w:rsidRPr="0051662C" w:rsidRDefault="006E4BDA" w:rsidP="0051662C">
            <w:pPr>
              <w:pStyle w:val="Tabletext"/>
              <w:keepNext/>
              <w:keepLines/>
              <w:jc w:val="center"/>
              <w:rPr>
                <w:lang w:val="fr-CH"/>
              </w:rPr>
            </w:pPr>
            <w:r w:rsidRPr="0051662C">
              <w:rPr>
                <w:lang w:val="fr-CH"/>
              </w:rPr>
              <w:t>793-798</w:t>
            </w:r>
          </w:p>
        </w:tc>
        <w:tc>
          <w:tcPr>
            <w:tcW w:w="3229" w:type="dxa"/>
          </w:tcPr>
          <w:p w:rsidR="006E4BDA" w:rsidRPr="0051662C" w:rsidRDefault="006E4BDA" w:rsidP="0051662C">
            <w:pPr>
              <w:pStyle w:val="Tabletext"/>
              <w:keepNext/>
              <w:keepLines/>
              <w:jc w:val="center"/>
              <w:rPr>
                <w:lang w:val="fr-CH"/>
              </w:rPr>
            </w:pPr>
            <w:r w:rsidRPr="0051662C">
              <w:rPr>
                <w:lang w:val="fr-CH"/>
              </w:rPr>
              <w:t>PPDR 1</w:t>
            </w:r>
            <w:r w:rsidRPr="0051662C">
              <w:rPr>
                <w:vertAlign w:val="superscript"/>
                <w:lang w:val="fr-CH"/>
              </w:rPr>
              <w:t>1</w:t>
            </w:r>
          </w:p>
        </w:tc>
      </w:tr>
      <w:tr w:rsidR="006E4BDA" w:rsidRPr="0051662C" w:rsidTr="006E75B8">
        <w:trPr>
          <w:jc w:val="center"/>
        </w:trPr>
        <w:tc>
          <w:tcPr>
            <w:tcW w:w="2464" w:type="dxa"/>
          </w:tcPr>
          <w:p w:rsidR="006E4BDA" w:rsidRPr="0051662C" w:rsidRDefault="006E4BDA" w:rsidP="0051662C">
            <w:pPr>
              <w:pStyle w:val="Tabletext"/>
              <w:keepNext/>
              <w:keepLines/>
              <w:jc w:val="center"/>
              <w:rPr>
                <w:lang w:val="fr-CH"/>
              </w:rPr>
            </w:pPr>
            <w:r w:rsidRPr="0051662C">
              <w:rPr>
                <w:lang w:val="fr-CH"/>
              </w:rPr>
              <w:t>769-775</w:t>
            </w:r>
          </w:p>
        </w:tc>
        <w:tc>
          <w:tcPr>
            <w:tcW w:w="2464" w:type="dxa"/>
          </w:tcPr>
          <w:p w:rsidR="006E4BDA" w:rsidRPr="0051662C" w:rsidRDefault="006E4BDA" w:rsidP="0051662C">
            <w:pPr>
              <w:pStyle w:val="Tabletext"/>
              <w:keepNext/>
              <w:keepLines/>
              <w:jc w:val="center"/>
              <w:rPr>
                <w:lang w:val="fr-CH"/>
              </w:rPr>
            </w:pPr>
            <w:r w:rsidRPr="0051662C">
              <w:rPr>
                <w:lang w:val="fr-CH"/>
              </w:rPr>
              <w:t>799-805</w:t>
            </w:r>
          </w:p>
        </w:tc>
        <w:tc>
          <w:tcPr>
            <w:tcW w:w="3229" w:type="dxa"/>
          </w:tcPr>
          <w:p w:rsidR="006E4BDA" w:rsidRPr="0051662C" w:rsidRDefault="006E4BDA" w:rsidP="0051662C">
            <w:pPr>
              <w:pStyle w:val="Tabletext"/>
              <w:keepNext/>
              <w:keepLines/>
              <w:jc w:val="center"/>
              <w:rPr>
                <w:lang w:val="fr-CH"/>
              </w:rPr>
            </w:pPr>
            <w:r w:rsidRPr="0051662C">
              <w:rPr>
                <w:lang w:val="fr-CH"/>
              </w:rPr>
              <w:t>PPDR 2</w:t>
            </w:r>
            <w:r w:rsidRPr="0051662C">
              <w:rPr>
                <w:vertAlign w:val="superscript"/>
                <w:lang w:val="fr-CH"/>
              </w:rPr>
              <w:t>2</w:t>
            </w:r>
          </w:p>
        </w:tc>
      </w:tr>
      <w:tr w:rsidR="006E4BDA" w:rsidRPr="0051662C" w:rsidTr="006E75B8">
        <w:trPr>
          <w:jc w:val="center"/>
        </w:trPr>
        <w:tc>
          <w:tcPr>
            <w:tcW w:w="2464" w:type="dxa"/>
          </w:tcPr>
          <w:p w:rsidR="006E4BDA" w:rsidRPr="0051662C" w:rsidRDefault="006E4BDA" w:rsidP="0051662C">
            <w:pPr>
              <w:pStyle w:val="Tabletext"/>
              <w:keepNext/>
              <w:keepLines/>
              <w:jc w:val="center"/>
              <w:rPr>
                <w:lang w:val="fr-CH"/>
              </w:rPr>
            </w:pPr>
            <w:r w:rsidRPr="0051662C">
              <w:rPr>
                <w:lang w:val="fr-CH"/>
              </w:rPr>
              <w:t>768-769</w:t>
            </w:r>
          </w:p>
        </w:tc>
        <w:tc>
          <w:tcPr>
            <w:tcW w:w="2464" w:type="dxa"/>
          </w:tcPr>
          <w:p w:rsidR="006E4BDA" w:rsidRPr="0051662C" w:rsidRDefault="006E4BDA" w:rsidP="0051662C">
            <w:pPr>
              <w:pStyle w:val="Tabletext"/>
              <w:keepNext/>
              <w:keepLines/>
              <w:jc w:val="center"/>
              <w:rPr>
                <w:lang w:val="fr-CH"/>
              </w:rPr>
            </w:pPr>
            <w:r w:rsidRPr="0051662C">
              <w:rPr>
                <w:lang w:val="fr-CH"/>
              </w:rPr>
              <w:t>798-799</w:t>
            </w:r>
          </w:p>
        </w:tc>
        <w:tc>
          <w:tcPr>
            <w:tcW w:w="3229" w:type="dxa"/>
          </w:tcPr>
          <w:p w:rsidR="006E4BDA" w:rsidRPr="0051662C" w:rsidRDefault="006E4BDA" w:rsidP="0051662C">
            <w:pPr>
              <w:pStyle w:val="Tabletext"/>
              <w:keepNext/>
              <w:keepLines/>
              <w:jc w:val="center"/>
              <w:rPr>
                <w:lang w:val="fr-CH"/>
              </w:rPr>
            </w:pPr>
            <w:r w:rsidRPr="0051662C">
              <w:rPr>
                <w:lang w:val="fr-CH"/>
              </w:rPr>
              <w:t xml:space="preserve">Bande de garde interne PPDR </w:t>
            </w:r>
          </w:p>
        </w:tc>
      </w:tr>
      <w:tr w:rsidR="006E4BDA" w:rsidRPr="0051662C" w:rsidTr="006E75B8">
        <w:trPr>
          <w:jc w:val="center"/>
        </w:trPr>
        <w:tc>
          <w:tcPr>
            <w:tcW w:w="2464" w:type="dxa"/>
            <w:tcBorders>
              <w:bottom w:val="single" w:sz="4" w:space="0" w:color="auto"/>
            </w:tcBorders>
          </w:tcPr>
          <w:p w:rsidR="006E4BDA" w:rsidRPr="0051662C" w:rsidRDefault="006E4BDA" w:rsidP="0051662C">
            <w:pPr>
              <w:pStyle w:val="Tabletext"/>
              <w:keepNext/>
              <w:keepLines/>
              <w:jc w:val="center"/>
              <w:rPr>
                <w:lang w:val="fr-CH"/>
              </w:rPr>
            </w:pPr>
            <w:r w:rsidRPr="0051662C">
              <w:rPr>
                <w:lang w:val="fr-CH"/>
              </w:rPr>
              <w:t>758-763</w:t>
            </w:r>
          </w:p>
        </w:tc>
        <w:tc>
          <w:tcPr>
            <w:tcW w:w="2464" w:type="dxa"/>
            <w:tcBorders>
              <w:bottom w:val="single" w:sz="4" w:space="0" w:color="auto"/>
            </w:tcBorders>
          </w:tcPr>
          <w:p w:rsidR="006E4BDA" w:rsidRPr="0051662C" w:rsidRDefault="006E4BDA" w:rsidP="0051662C">
            <w:pPr>
              <w:pStyle w:val="Tabletext"/>
              <w:keepNext/>
              <w:keepLines/>
              <w:jc w:val="center"/>
              <w:rPr>
                <w:lang w:val="fr-CH"/>
              </w:rPr>
            </w:pPr>
            <w:r w:rsidRPr="0051662C">
              <w:rPr>
                <w:lang w:val="fr-CH"/>
              </w:rPr>
              <w:t>788-793</w:t>
            </w:r>
          </w:p>
        </w:tc>
        <w:tc>
          <w:tcPr>
            <w:tcW w:w="3229" w:type="dxa"/>
            <w:tcBorders>
              <w:bottom w:val="single" w:sz="4" w:space="0" w:color="auto"/>
            </w:tcBorders>
          </w:tcPr>
          <w:p w:rsidR="006E4BDA" w:rsidRPr="0051662C" w:rsidRDefault="006E4BDA" w:rsidP="0051662C">
            <w:pPr>
              <w:pStyle w:val="Tabletext"/>
              <w:keepNext/>
              <w:keepLines/>
              <w:jc w:val="center"/>
              <w:rPr>
                <w:lang w:val="fr-CH"/>
              </w:rPr>
            </w:pPr>
            <w:r w:rsidRPr="0051662C">
              <w:rPr>
                <w:lang w:val="fr-CH"/>
              </w:rPr>
              <w:t>D (partenariat public/privé) avec accès prioritaire pour les PPDR en cas d'urgence</w:t>
            </w:r>
          </w:p>
        </w:tc>
      </w:tr>
      <w:tr w:rsidR="006E4BDA" w:rsidRPr="0051662C" w:rsidTr="006E75B8">
        <w:trPr>
          <w:jc w:val="center"/>
        </w:trPr>
        <w:tc>
          <w:tcPr>
            <w:tcW w:w="8157" w:type="dxa"/>
            <w:gridSpan w:val="3"/>
            <w:tcBorders>
              <w:top w:val="single" w:sz="4" w:space="0" w:color="auto"/>
              <w:left w:val="nil"/>
              <w:bottom w:val="nil"/>
              <w:right w:val="nil"/>
            </w:tcBorders>
          </w:tcPr>
          <w:p w:rsidR="006E4BDA" w:rsidRPr="0051662C" w:rsidRDefault="006E4BDA" w:rsidP="0051662C">
            <w:pPr>
              <w:pStyle w:val="Tablelegend"/>
              <w:keepNext/>
              <w:keepLines/>
              <w:ind w:left="-85" w:firstLine="0"/>
              <w:rPr>
                <w:lang w:val="fr-CH"/>
              </w:rPr>
            </w:pPr>
            <w:r w:rsidRPr="0051662C">
              <w:rPr>
                <w:lang w:val="fr-CH"/>
              </w:rPr>
              <w:t>NOTE 1 – Ce bloc de fréquences est utilisé pour les applications PPDR large bande</w:t>
            </w:r>
            <w:r w:rsidRPr="0051662C">
              <w:rPr>
                <w:vertAlign w:val="superscript"/>
                <w:lang w:val="fr-CH"/>
              </w:rPr>
              <w:footnoteReference w:id="5"/>
            </w:r>
            <w:r w:rsidRPr="0051662C">
              <w:rPr>
                <w:lang w:val="fr-CH"/>
              </w:rPr>
              <w:t xml:space="preserve">. Les applications PPDR large bande comprennent la navigation sur le web, la vidéo tactique, la vidéosurveillance, l'imagerie à haute résolution, l'accès aux bases de données et les réseaux privés virtuels. </w:t>
            </w:r>
          </w:p>
          <w:p w:rsidR="006E4BDA" w:rsidRPr="0051662C" w:rsidRDefault="006E4BDA" w:rsidP="0051662C">
            <w:pPr>
              <w:pStyle w:val="Tablelegend"/>
              <w:keepNext/>
              <w:keepLines/>
              <w:ind w:left="-85" w:firstLine="0"/>
              <w:rPr>
                <w:lang w:val="fr-CH"/>
              </w:rPr>
            </w:pPr>
            <w:r w:rsidRPr="0051662C">
              <w:rPr>
                <w:lang w:val="fr-CH"/>
              </w:rPr>
              <w:t>NOTE 2 – Ce bloc de fréquences est utilisé pour les applications PPDR qui fournissent des services vocaux à bande étroite et des services de transmission à faible débit. Dans le contexte de la protection du public et des opérations de secours en cas de</w:t>
            </w:r>
            <w:r w:rsidR="0051662C" w:rsidRPr="0051662C">
              <w:rPr>
                <w:lang w:val="fr-CH"/>
              </w:rPr>
              <w:t xml:space="preserve"> </w:t>
            </w:r>
            <w:r w:rsidRPr="0051662C">
              <w:rPr>
                <w:lang w:val="fr-CH"/>
              </w:rPr>
              <w:t>catastrophe, les applications à bande étroite sont définies dans la Résolution 646 (Rév.CMR</w:t>
            </w:r>
            <w:r w:rsidRPr="0051662C">
              <w:rPr>
                <w:lang w:val="fr-CH"/>
              </w:rPr>
              <w:noBreakHyphen/>
              <w:t>12) comme des applications «vocales et à faible débit de données [utilisant] généralement des largeurs de bande de 25 kHz ou moins». Des canaux à bande étroite peuvent aussi être regroupés en canaux à bande élargie (50 à 150 kHz) après approbation de l'administration délivrant la licence au moyen d'un processus de dérogation limité.</w:t>
            </w:r>
          </w:p>
        </w:tc>
      </w:tr>
    </w:tbl>
    <w:p w:rsidR="006E4BDA" w:rsidRPr="0051662C" w:rsidRDefault="006E4BDA" w:rsidP="006E4BDA">
      <w:pPr>
        <w:pStyle w:val="Tablefin"/>
        <w:rPr>
          <w:lang w:val="fr-CH"/>
        </w:rPr>
      </w:pPr>
    </w:p>
    <w:p w:rsidR="006E4BDA" w:rsidRPr="0051662C" w:rsidRDefault="006E4BDA" w:rsidP="006E4BDA">
      <w:pPr>
        <w:pStyle w:val="FigureNo"/>
        <w:rPr>
          <w:lang w:val="fr-CH"/>
        </w:rPr>
      </w:pPr>
      <w:r w:rsidRPr="0051662C">
        <w:rPr>
          <w:noProof/>
          <w:lang w:val="en-US" w:eastAsia="zh-CN"/>
        </w:rPr>
        <mc:AlternateContent>
          <mc:Choice Requires="wps">
            <w:drawing>
              <wp:anchor distT="0" distB="0" distL="114300" distR="114300" simplePos="0" relativeHeight="251664384" behindDoc="0" locked="0" layoutInCell="1" allowOverlap="1" wp14:anchorId="766A8AF5" wp14:editId="7061CCB1">
                <wp:simplePos x="0" y="0"/>
                <wp:positionH relativeFrom="column">
                  <wp:posOffset>4754245</wp:posOffset>
                </wp:positionH>
                <wp:positionV relativeFrom="paragraph">
                  <wp:posOffset>831215</wp:posOffset>
                </wp:positionV>
                <wp:extent cx="511175" cy="163195"/>
                <wp:effectExtent l="0" t="0" r="3175" b="825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163195"/>
                        </a:xfrm>
                        <a:prstGeom prst="rect">
                          <a:avLst/>
                        </a:prstGeom>
                        <a:solidFill>
                          <a:srgbClr val="CCFFFF"/>
                        </a:solidFill>
                        <a:ln>
                          <a:noFill/>
                        </a:ln>
                        <a:extLst/>
                      </wps:spPr>
                      <wps:txbx>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Bande étroite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6" o:spid="_x0000_s1098" style="position:absolute;left:0;text-align:left;margin-left:374.35pt;margin-top:65.45pt;width:40.25pt;height:1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" fillcolor="#cff" stroked="f">
                <v:textbox inset="0,0,0,0">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Bande étroite</w:t>
                      </w:r>
                    </w:p>
                  </w:txbxContent>
                </v:textbox>
              </v:rect>
            </w:pict>
          </mc:Fallback>
        </mc:AlternateContent>
      </w:r>
      <w:r w:rsidRPr="0051662C">
        <w:rPr>
          <w:noProof/>
          <w:lang w:val="en-US" w:eastAsia="zh-CN"/>
        </w:rPr>
        <mc:AlternateContent>
          <mc:Choice Requires="wps">
            <w:drawing>
              <wp:anchor distT="0" distB="0" distL="114300" distR="114300" simplePos="0" relativeHeight="251663360" behindDoc="0" locked="0" layoutInCell="1" allowOverlap="1" wp14:anchorId="72F68D85" wp14:editId="77A024D1">
                <wp:simplePos x="0" y="0"/>
                <wp:positionH relativeFrom="column">
                  <wp:posOffset>4124960</wp:posOffset>
                </wp:positionH>
                <wp:positionV relativeFrom="paragraph">
                  <wp:posOffset>824230</wp:posOffset>
                </wp:positionV>
                <wp:extent cx="449580" cy="163195"/>
                <wp:effectExtent l="0" t="0" r="7620" b="825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63195"/>
                        </a:xfrm>
                        <a:prstGeom prst="rect">
                          <a:avLst/>
                        </a:prstGeom>
                        <a:solidFill>
                          <a:srgbClr val="CCFFFF"/>
                        </a:solidFill>
                        <a:ln>
                          <a:noFill/>
                        </a:ln>
                        <a:extLst/>
                      </wps:spPr>
                      <wps:txbx>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Large bande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5" o:spid="_x0000_s1099" style="position:absolute;left:0;text-align:left;margin-left:324.8pt;margin-top:64.9pt;width:35.4pt;height: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" fillcolor="#cff" stroked="f">
                <v:textbox inset="0,0,0,0">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Large bande</w:t>
                      </w:r>
                    </w:p>
                  </w:txbxContent>
                </v:textbox>
              </v:rect>
            </w:pict>
          </mc:Fallback>
        </mc:AlternateContent>
      </w:r>
      <w:r w:rsidRPr="0051662C">
        <w:rPr>
          <w:noProof/>
          <w:lang w:val="en-US" w:eastAsia="zh-CN"/>
        </w:rPr>
        <mc:AlternateContent>
          <mc:Choice Requires="wps">
            <w:drawing>
              <wp:anchor distT="0" distB="0" distL="114300" distR="114300" simplePos="0" relativeHeight="251662336" behindDoc="0" locked="0" layoutInCell="1" allowOverlap="1" wp14:anchorId="55B16FB8" wp14:editId="1317C12F">
                <wp:simplePos x="0" y="0"/>
                <wp:positionH relativeFrom="column">
                  <wp:posOffset>1777449</wp:posOffset>
                </wp:positionH>
                <wp:positionV relativeFrom="paragraph">
                  <wp:posOffset>816582</wp:posOffset>
                </wp:positionV>
                <wp:extent cx="511791" cy="163195"/>
                <wp:effectExtent l="0" t="0" r="3175" b="825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91" cy="163195"/>
                        </a:xfrm>
                        <a:prstGeom prst="rect">
                          <a:avLst/>
                        </a:prstGeom>
                        <a:solidFill>
                          <a:srgbClr val="CCFFFF"/>
                        </a:solidFill>
                        <a:ln>
                          <a:noFill/>
                        </a:ln>
                        <a:extLst/>
                      </wps:spPr>
                      <wps:txbx>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Bande étroite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4" o:spid="_x0000_s1100" style="position:absolute;left:0;text-align:left;margin-left:139.95pt;margin-top:64.3pt;width:40.3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" fillcolor="#cff" stroked="f">
                <v:textbox inset="0,0,0,0">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Bande étroite</w:t>
                      </w:r>
                    </w:p>
                  </w:txbxContent>
                </v:textbox>
              </v:rect>
            </w:pict>
          </mc:Fallback>
        </mc:AlternateContent>
      </w:r>
      <w:r w:rsidRPr="0051662C">
        <w:rPr>
          <w:noProof/>
          <w:lang w:val="en-US" w:eastAsia="zh-CN"/>
        </w:rPr>
        <mc:AlternateContent>
          <mc:Choice Requires="wps">
            <w:drawing>
              <wp:anchor distT="0" distB="0" distL="114300" distR="114300" simplePos="0" relativeHeight="251661312" behindDoc="0" locked="0" layoutInCell="1" allowOverlap="1" wp14:anchorId="115AEBAA" wp14:editId="680F8616">
                <wp:simplePos x="0" y="0"/>
                <wp:positionH relativeFrom="column">
                  <wp:posOffset>1175546</wp:posOffset>
                </wp:positionH>
                <wp:positionV relativeFrom="paragraph">
                  <wp:posOffset>815975</wp:posOffset>
                </wp:positionV>
                <wp:extent cx="449874" cy="163498"/>
                <wp:effectExtent l="0" t="0" r="7620" b="825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874" cy="163498"/>
                        </a:xfrm>
                        <a:prstGeom prst="rect">
                          <a:avLst/>
                        </a:prstGeom>
                        <a:solidFill>
                          <a:srgbClr val="CCFFFF"/>
                        </a:solidFill>
                        <a:ln>
                          <a:noFill/>
                        </a:ln>
                        <a:extLst/>
                      </wps:spPr>
                      <wps:txbx>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Large bande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3" o:spid="_x0000_s1101" style="position:absolute;left:0;text-align:left;margin-left:92.55pt;margin-top:64.25pt;width:35.4pt;height: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" fillcolor="#cff" stroked="f">
                <v:textbox inset="0,0,0,0">
                  <w:txbxContent>
                    <w:p w:rsidR="006E4BDA" w:rsidRPr="009D794C" w:rsidRDefault="006E4BDA" w:rsidP="006E4BDA">
                      <w:pPr>
                        <w:spacing w:before="40"/>
                        <w:jc w:val="center"/>
                        <w:rPr>
                          <w:b/>
                          <w:bCs/>
                          <w:sz w:val="10"/>
                          <w:szCs w:val="10"/>
                        </w:rPr>
                      </w:pPr>
                      <w:r w:rsidRPr="009D794C">
                        <w:rPr>
                          <w:rFonts w:ascii="Arial" w:hAnsi="Arial" w:cs="Arial"/>
                          <w:b/>
                          <w:bCs/>
                          <w:sz w:val="10"/>
                          <w:szCs w:val="10"/>
                          <w:lang w:val="en-US"/>
                        </w:rPr>
                        <w:t>Large bande</w:t>
                      </w:r>
                    </w:p>
                  </w:txbxContent>
                </v:textbox>
              </v:rect>
            </w:pict>
          </mc:Fallback>
        </mc:AlternateContent>
      </w:r>
      <w:r w:rsidRPr="0051662C">
        <w:rPr>
          <w:noProof/>
          <w:lang w:val="en-US" w:eastAsia="zh-CN"/>
        </w:rPr>
        <mc:AlternateContent>
          <mc:Choice Requires="wps">
            <w:drawing>
              <wp:anchor distT="0" distB="0" distL="114300" distR="114300" simplePos="0" relativeHeight="251659264" behindDoc="0" locked="0" layoutInCell="1" allowOverlap="1" wp14:anchorId="3697F613" wp14:editId="7EC808F2">
                <wp:simplePos x="0" y="0"/>
                <wp:positionH relativeFrom="column">
                  <wp:posOffset>4356735</wp:posOffset>
                </wp:positionH>
                <wp:positionV relativeFrom="paragraph">
                  <wp:posOffset>516255</wp:posOffset>
                </wp:positionV>
                <wp:extent cx="661670" cy="122555"/>
                <wp:effectExtent l="0" t="0" r="508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22555"/>
                        </a:xfrm>
                        <a:prstGeom prst="rect">
                          <a:avLst/>
                        </a:prstGeom>
                        <a:solidFill>
                          <a:schemeClr val="bg1"/>
                        </a:solidFill>
                        <a:ln>
                          <a:noFill/>
                        </a:ln>
                        <a:extLst/>
                      </wps:spPr>
                      <wps:txbx>
                        <w:txbxContent>
                          <w:p w:rsidR="006E4BDA" w:rsidRPr="009B63B1" w:rsidRDefault="006E4BDA" w:rsidP="006E4BDA">
                            <w:pPr>
                              <w:spacing w:before="40"/>
                              <w:jc w:val="center"/>
                              <w:rPr>
                                <w:sz w:val="12"/>
                                <w:szCs w:val="12"/>
                              </w:rPr>
                            </w:pPr>
                            <w:r w:rsidRPr="009B63B1">
                              <w:rPr>
                                <w:rFonts w:ascii="Arial" w:hAnsi="Arial" w:cs="Arial"/>
                                <w:i/>
                                <w:iCs/>
                                <w:sz w:val="12"/>
                                <w:szCs w:val="12"/>
                                <w:lang w:val="en-US"/>
                              </w:rPr>
                              <w:t>Sécurité publiq</w:t>
                            </w:r>
                            <w:r w:rsidRPr="009B63B1">
                              <w:rPr>
                                <w:rFonts w:ascii="Arial" w:hAnsi="Arial" w:cs="Arial"/>
                                <w:sz w:val="12"/>
                                <w:szCs w:val="12"/>
                                <w:lang w:val="en-US"/>
                              </w:rPr>
                              <w:t>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1" o:spid="_x0000_s1102" style="position:absolute;left:0;text-align:left;margin-left:343.05pt;margin-top:40.65pt;width:52.1pt;height: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" fillcolor="white [3212]" stroked="f">
                <v:textbox inset="0,0,0,0">
                  <w:txbxContent>
                    <w:p w:rsidR="006E4BDA" w:rsidRPr="009B63B1" w:rsidRDefault="006E4BDA" w:rsidP="006E4BDA">
                      <w:pPr>
                        <w:spacing w:before="40"/>
                        <w:jc w:val="center"/>
                        <w:rPr>
                          <w:sz w:val="12"/>
                          <w:szCs w:val="12"/>
                        </w:rPr>
                      </w:pPr>
                      <w:r w:rsidRPr="009B63B1">
                        <w:rPr>
                          <w:rFonts w:ascii="Arial" w:hAnsi="Arial" w:cs="Arial"/>
                          <w:i/>
                          <w:iCs/>
                          <w:sz w:val="12"/>
                          <w:szCs w:val="12"/>
                          <w:lang w:val="en-US"/>
                        </w:rPr>
                        <w:t>Sécurité publiq</w:t>
                      </w:r>
                      <w:r w:rsidRPr="009B63B1">
                        <w:rPr>
                          <w:rFonts w:ascii="Arial" w:hAnsi="Arial" w:cs="Arial"/>
                          <w:sz w:val="12"/>
                          <w:szCs w:val="12"/>
                          <w:lang w:val="en-US"/>
                        </w:rPr>
                        <w:t>ue</w:t>
                      </w:r>
                    </w:p>
                  </w:txbxContent>
                </v:textbox>
              </v:rect>
            </w:pict>
          </mc:Fallback>
        </mc:AlternateContent>
      </w:r>
      <w:r w:rsidRPr="0051662C">
        <w:rPr>
          <w:noProof/>
          <w:lang w:val="en-US" w:eastAsia="zh-CN"/>
        </w:rPr>
        <mc:AlternateContent>
          <mc:Choice Requires="wps">
            <w:drawing>
              <wp:anchor distT="0" distB="0" distL="114300" distR="114300" simplePos="0" relativeHeight="251660288" behindDoc="0" locked="0" layoutInCell="1" allowOverlap="1" wp14:anchorId="5B0C2825" wp14:editId="7C6CF36C">
                <wp:simplePos x="0" y="0"/>
                <wp:positionH relativeFrom="column">
                  <wp:posOffset>1415785</wp:posOffset>
                </wp:positionH>
                <wp:positionV relativeFrom="paragraph">
                  <wp:posOffset>516330</wp:posOffset>
                </wp:positionV>
                <wp:extent cx="661670" cy="122887"/>
                <wp:effectExtent l="0" t="0" r="508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22887"/>
                        </a:xfrm>
                        <a:prstGeom prst="rect">
                          <a:avLst/>
                        </a:prstGeom>
                        <a:solidFill>
                          <a:schemeClr val="bg1"/>
                        </a:solidFill>
                        <a:ln>
                          <a:noFill/>
                        </a:ln>
                        <a:extLst/>
                      </wps:spPr>
                      <wps:txbx>
                        <w:txbxContent>
                          <w:p w:rsidR="006E4BDA" w:rsidRPr="009B63B1" w:rsidRDefault="006E4BDA" w:rsidP="006E4BDA">
                            <w:pPr>
                              <w:spacing w:before="40"/>
                              <w:jc w:val="center"/>
                              <w:rPr>
                                <w:sz w:val="12"/>
                                <w:szCs w:val="12"/>
                              </w:rPr>
                            </w:pPr>
                            <w:r w:rsidRPr="009B63B1">
                              <w:rPr>
                                <w:rFonts w:ascii="Arial" w:hAnsi="Arial" w:cs="Arial"/>
                                <w:i/>
                                <w:iCs/>
                                <w:sz w:val="12"/>
                                <w:szCs w:val="12"/>
                                <w:lang w:val="en-US"/>
                              </w:rPr>
                              <w:t>Sécurité publiq</w:t>
                            </w:r>
                            <w:r w:rsidRPr="009B63B1">
                              <w:rPr>
                                <w:rFonts w:ascii="Arial" w:hAnsi="Arial" w:cs="Arial"/>
                                <w:sz w:val="12"/>
                                <w:szCs w:val="12"/>
                                <w:lang w:val="en-US"/>
                              </w:rPr>
                              <w:t>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2" o:spid="_x0000_s1103" style="position:absolute;left:0;text-align:left;margin-left:111.5pt;margin-top:40.65pt;width:52.1pt;height: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" fillcolor="white [3212]" stroked="f">
                <v:textbox inset="0,0,0,0">
                  <w:txbxContent>
                    <w:p w:rsidR="006E4BDA" w:rsidRPr="009B63B1" w:rsidRDefault="006E4BDA" w:rsidP="006E4BDA">
                      <w:pPr>
                        <w:spacing w:before="40"/>
                        <w:jc w:val="center"/>
                        <w:rPr>
                          <w:sz w:val="12"/>
                          <w:szCs w:val="12"/>
                        </w:rPr>
                      </w:pPr>
                      <w:r w:rsidRPr="009B63B1">
                        <w:rPr>
                          <w:rFonts w:ascii="Arial" w:hAnsi="Arial" w:cs="Arial"/>
                          <w:i/>
                          <w:iCs/>
                          <w:sz w:val="12"/>
                          <w:szCs w:val="12"/>
                          <w:lang w:val="en-US"/>
                        </w:rPr>
                        <w:t>Sécurité publiq</w:t>
                      </w:r>
                      <w:r w:rsidRPr="009B63B1">
                        <w:rPr>
                          <w:rFonts w:ascii="Arial" w:hAnsi="Arial" w:cs="Arial"/>
                          <w:sz w:val="12"/>
                          <w:szCs w:val="12"/>
                          <w:lang w:val="en-US"/>
                        </w:rPr>
                        <w:t>ue</w:t>
                      </w:r>
                    </w:p>
                  </w:txbxContent>
                </v:textbox>
              </v:rect>
            </w:pict>
          </mc:Fallback>
        </mc:AlternateContent>
      </w:r>
      <w:r w:rsidRPr="0051662C">
        <w:rPr>
          <w:noProof/>
          <w:lang w:val="en-US" w:eastAsia="zh-CN"/>
        </w:rPr>
        <w:drawing>
          <wp:inline distT="0" distB="0" distL="0" distR="0" wp14:anchorId="7AC36A38" wp14:editId="35CEED71">
            <wp:extent cx="5303520" cy="1150620"/>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1150620"/>
                    </a:xfrm>
                    <a:prstGeom prst="rect">
                      <a:avLst/>
                    </a:prstGeom>
                    <a:noFill/>
                    <a:ln>
                      <a:noFill/>
                    </a:ln>
                  </pic:spPr>
                </pic:pic>
              </a:graphicData>
            </a:graphic>
          </wp:inline>
        </w:drawing>
      </w:r>
    </w:p>
    <w:p w:rsidR="006E4BDA" w:rsidRPr="0051662C" w:rsidRDefault="006E4BDA" w:rsidP="0051662C">
      <w:pPr>
        <w:rPr>
          <w:lang w:val="fr-CH"/>
        </w:rPr>
      </w:pPr>
    </w:p>
    <w:p w:rsidR="0051662C" w:rsidRPr="0051662C" w:rsidRDefault="0051662C" w:rsidP="0051662C">
      <w:pPr>
        <w:rPr>
          <w:lang w:val="fr-CH"/>
        </w:rPr>
      </w:pPr>
    </w:p>
    <w:p w:rsidR="0051662C" w:rsidRPr="0051662C" w:rsidRDefault="0051662C" w:rsidP="006E4BDA">
      <w:pPr>
        <w:pStyle w:val="AnnexNoTitle"/>
        <w:rPr>
          <w:lang w:val="fr-CH"/>
        </w:rPr>
      </w:pPr>
      <w:r w:rsidRPr="0051662C">
        <w:rPr>
          <w:lang w:val="fr-CH"/>
        </w:rPr>
        <w:br w:type="page"/>
      </w:r>
    </w:p>
    <w:p w:rsidR="006E4BDA" w:rsidRPr="0051662C" w:rsidRDefault="006E4BDA" w:rsidP="0051662C">
      <w:pPr>
        <w:pStyle w:val="AnnexNoTitle"/>
        <w:rPr>
          <w:lang w:val="fr-CH"/>
        </w:rPr>
      </w:pPr>
      <w:r w:rsidRPr="0051662C">
        <w:rPr>
          <w:lang w:val="fr-CH"/>
        </w:rPr>
        <w:t>Annexe 3</w:t>
      </w:r>
      <w:r w:rsidRPr="0051662C">
        <w:rPr>
          <w:lang w:val="fr-CH"/>
        </w:rPr>
        <w:br/>
      </w:r>
      <w:r w:rsidRPr="0051662C">
        <w:rPr>
          <w:lang w:val="fr-CH"/>
        </w:rPr>
        <w:br/>
        <w:t>Exemples de dispositions de fréquences pour la bande 806</w:t>
      </w:r>
      <w:r w:rsidRPr="0051662C">
        <w:rPr>
          <w:lang w:val="fr-CH"/>
        </w:rPr>
        <w:noBreakHyphen/>
        <w:t>869 MHz dans</w:t>
      </w:r>
      <w:r w:rsidR="0051662C" w:rsidRPr="0051662C">
        <w:rPr>
          <w:lang w:val="fr-CH"/>
        </w:rPr>
        <w:br/>
      </w:r>
      <w:r w:rsidRPr="0051662C">
        <w:rPr>
          <w:lang w:val="fr-CH"/>
        </w:rPr>
        <w:t>certains pays de la Région 2 pour les applications à bande étroite liées</w:t>
      </w:r>
      <w:r w:rsidR="0051662C" w:rsidRPr="0051662C">
        <w:rPr>
          <w:lang w:val="fr-CH"/>
        </w:rPr>
        <w:br/>
      </w:r>
      <w:r w:rsidRPr="0051662C">
        <w:rPr>
          <w:lang w:val="fr-CH"/>
        </w:rPr>
        <w:t>à</w:t>
      </w:r>
      <w:r w:rsidR="0051662C" w:rsidRPr="0051662C">
        <w:rPr>
          <w:lang w:val="fr-CH"/>
        </w:rPr>
        <w:t xml:space="preserve"> </w:t>
      </w:r>
      <w:r w:rsidRPr="0051662C">
        <w:rPr>
          <w:lang w:val="fr-CH"/>
        </w:rPr>
        <w:t>la</w:t>
      </w:r>
      <w:r w:rsidR="0051662C" w:rsidRPr="0051662C">
        <w:rPr>
          <w:lang w:val="fr-CH"/>
        </w:rPr>
        <w:t xml:space="preserve"> </w:t>
      </w:r>
      <w:r w:rsidRPr="0051662C">
        <w:rPr>
          <w:lang w:val="fr-CH"/>
        </w:rPr>
        <w:t>protection du public et aux opérations</w:t>
      </w:r>
      <w:r w:rsidRPr="0051662C">
        <w:rPr>
          <w:lang w:val="fr-CH"/>
        </w:rPr>
        <w:br/>
        <w:t>de secours en cas de catastrophe</w:t>
      </w:r>
    </w:p>
    <w:p w:rsidR="006E4BDA" w:rsidRPr="0051662C" w:rsidRDefault="006E4BDA" w:rsidP="006E4BDA">
      <w:pPr>
        <w:pStyle w:val="Heading1"/>
        <w:rPr>
          <w:lang w:val="fr-CH"/>
        </w:rPr>
      </w:pPr>
      <w:r w:rsidRPr="0051662C">
        <w:rPr>
          <w:lang w:val="fr-CH"/>
        </w:rPr>
        <w:t>1</w:t>
      </w:r>
      <w:r w:rsidRPr="0051662C">
        <w:rPr>
          <w:lang w:val="fr-CH"/>
        </w:rPr>
        <w:tab/>
        <w:t>Planification générale de la bande 806-824/851-869 MHz</w:t>
      </w:r>
    </w:p>
    <w:p w:rsidR="006E4BDA" w:rsidRPr="0051662C" w:rsidRDefault="006E4BDA" w:rsidP="006E4BDA">
      <w:pPr>
        <w:rPr>
          <w:rFonts w:eastAsia="MS Mincho"/>
          <w:lang w:val="fr-CH"/>
        </w:rPr>
      </w:pPr>
      <w:r w:rsidRPr="0051662C">
        <w:rPr>
          <w:lang w:val="fr-CH"/>
        </w:rPr>
        <w:t xml:space="preserve">Dans un certain nombre de pays de la Région 2, la bande 806-824/851-869 MHz est attribuée au service mobile et désignée pour les applications de radiocommunication mobiles terrestres. L'espacement duplex est de 45 MHz, les stations de base et les stations mobiles émettant respectivement dans la bande 851-869 MHz et dans la bande de 806-824 MHz. Les canaux PPDR peuvent être attribués dans la totalité de cette bande ou des blocs de fréquences spécifiques peuvent être désignés exclusivement pour les applications PPDR (voir § 1.1). Les équipements radioélectriques peuvent se syntoniser sur tous les canaux dans la bande, ce qui garantit l'interopérabilité. Pour simplifier la coordination transfrontière et pour que tous les organisations de protection civile puissent avoir accès à un pool stable et prévisible de canaux radioélectriques, les administrations des pays voisins peuvent mettre en </w:t>
      </w:r>
      <w:r w:rsidR="0051662C" w:rsidRPr="0051662C">
        <w:rPr>
          <w:lang w:val="fr-CH"/>
        </w:rPr>
        <w:t>œuvre</w:t>
      </w:r>
      <w:r w:rsidRPr="0051662C">
        <w:rPr>
          <w:lang w:val="fr-CH"/>
        </w:rPr>
        <w:t xml:space="preserve"> des dispositions de fréquences complémentaires dont un exemple est donné dans la figure ci-après.</w:t>
      </w:r>
    </w:p>
    <w:p w:rsidR="006E4BDA" w:rsidRPr="0051662C" w:rsidRDefault="006E4BDA" w:rsidP="006E4BDA">
      <w:pPr>
        <w:pStyle w:val="FigureNo"/>
        <w:rPr>
          <w:rFonts w:eastAsia="MS Mincho"/>
          <w:lang w:val="fr-CH"/>
        </w:rPr>
      </w:pPr>
      <w:r w:rsidRPr="0051662C">
        <w:rPr>
          <w:noProof/>
          <w:lang w:val="en-US" w:eastAsia="zh-CN"/>
        </w:rPr>
        <mc:AlternateContent>
          <mc:Choice Requires="wps">
            <w:drawing>
              <wp:anchor distT="0" distB="0" distL="114300" distR="114300" simplePos="0" relativeHeight="251665408" behindDoc="0" locked="0" layoutInCell="1" allowOverlap="1" wp14:anchorId="5E77CEB5" wp14:editId="3541DA9C">
                <wp:simplePos x="0" y="0"/>
                <wp:positionH relativeFrom="column">
                  <wp:posOffset>641985</wp:posOffset>
                </wp:positionH>
                <wp:positionV relativeFrom="paragraph">
                  <wp:posOffset>513080</wp:posOffset>
                </wp:positionV>
                <wp:extent cx="1514475" cy="175895"/>
                <wp:effectExtent l="0" t="0" r="9525"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75895"/>
                        </a:xfrm>
                        <a:prstGeom prst="rect">
                          <a:avLst/>
                        </a:prstGeom>
                        <a:solidFill>
                          <a:schemeClr val="bg1"/>
                        </a:solidFill>
                        <a:ln>
                          <a:noFill/>
                        </a:ln>
                        <a:extLst/>
                      </wps:spPr>
                      <wps:txbx>
                        <w:txbxContent>
                          <w:p w:rsidR="006E4BDA" w:rsidRPr="00DA0CD6" w:rsidRDefault="006E4BDA" w:rsidP="006E4BDA">
                            <w:pPr>
                              <w:spacing w:before="40"/>
                              <w:jc w:val="center"/>
                              <w:rPr>
                                <w:sz w:val="12"/>
                                <w:szCs w:val="12"/>
                              </w:rPr>
                            </w:pPr>
                            <w:r w:rsidRPr="00DA0CD6">
                              <w:rPr>
                                <w:rFonts w:ascii="Arial" w:hAnsi="Arial" w:cs="Arial"/>
                                <w:sz w:val="12"/>
                                <w:szCs w:val="12"/>
                                <w:lang w:val="en-US"/>
                              </w:rPr>
                              <w:t>Radiocommunications mobiles terrestres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8" o:spid="_x0000_s1104" style="position:absolute;left:0;text-align:left;margin-left:50.55pt;margin-top:40.4pt;width:119.25pt;height:1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" fillcolor="white [3212]" stroked="f">
                <v:textbox inset="0,0,0,0">
                  <w:txbxContent>
                    <w:p w:rsidR="006E4BDA" w:rsidRPr="00DA0CD6" w:rsidRDefault="006E4BDA" w:rsidP="006E4BDA">
                      <w:pPr>
                        <w:spacing w:before="40"/>
                        <w:jc w:val="center"/>
                        <w:rPr>
                          <w:sz w:val="12"/>
                          <w:szCs w:val="12"/>
                        </w:rPr>
                      </w:pPr>
                      <w:r w:rsidRPr="00DA0CD6">
                        <w:rPr>
                          <w:rFonts w:ascii="Arial" w:hAnsi="Arial" w:cs="Arial"/>
                          <w:sz w:val="12"/>
                          <w:szCs w:val="12"/>
                          <w:lang w:val="en-US"/>
                        </w:rPr>
                        <w:t>Radiocommunications mobiles terrestres</w:t>
                      </w:r>
                    </w:p>
                  </w:txbxContent>
                </v:textbox>
              </v:rect>
            </w:pict>
          </mc:Fallback>
        </mc:AlternateContent>
      </w:r>
      <w:r w:rsidRPr="0051662C">
        <w:rPr>
          <w:noProof/>
          <w:lang w:val="en-US" w:eastAsia="zh-CN"/>
        </w:rPr>
        <mc:AlternateContent>
          <mc:Choice Requires="wps">
            <w:drawing>
              <wp:anchor distT="0" distB="0" distL="114300" distR="114300" simplePos="0" relativeHeight="251670528" behindDoc="0" locked="0" layoutInCell="1" allowOverlap="1" wp14:anchorId="3A6C58E1" wp14:editId="699A9125">
                <wp:simplePos x="0" y="0"/>
                <wp:positionH relativeFrom="column">
                  <wp:posOffset>4852509</wp:posOffset>
                </wp:positionH>
                <wp:positionV relativeFrom="paragraph">
                  <wp:posOffset>770255</wp:posOffset>
                </wp:positionV>
                <wp:extent cx="449580" cy="163195"/>
                <wp:effectExtent l="0" t="0" r="7620" b="825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63195"/>
                        </a:xfrm>
                        <a:prstGeom prst="rect">
                          <a:avLst/>
                        </a:prstGeom>
                        <a:solidFill>
                          <a:srgbClr val="66FFFF"/>
                        </a:solidFill>
                        <a:ln>
                          <a:noFill/>
                        </a:ln>
                        <a:extLst/>
                      </wps:spPr>
                      <wps:txbx>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 xml:space="preserve">PPDR </w:t>
                            </w:r>
                            <w:r>
                              <w:rPr>
                                <w:rFonts w:ascii="Arial" w:hAnsi="Arial" w:cs="Arial"/>
                                <w:bCs/>
                                <w:sz w:val="16"/>
                                <w:szCs w:val="16"/>
                                <w:lang w:val="en-US"/>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93" o:spid="_x0000_s1105" style="position:absolute;left:0;text-align:left;margin-left:382.1pt;margin-top:60.65pt;width:35.4pt;height:1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" fillcolor="#6ff" stroked="f">
                <v:textbox inset="0,0,0,0">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 xml:space="preserve">PPDR </w:t>
                      </w:r>
                      <w:r>
                        <w:rPr>
                          <w:rFonts w:ascii="Arial" w:hAnsi="Arial" w:cs="Arial"/>
                          <w:bCs/>
                          <w:sz w:val="16"/>
                          <w:szCs w:val="16"/>
                          <w:lang w:val="en-US"/>
                        </w:rPr>
                        <w:t>2</w:t>
                      </w:r>
                    </w:p>
                  </w:txbxContent>
                </v:textbox>
              </v:rect>
            </w:pict>
          </mc:Fallback>
        </mc:AlternateContent>
      </w:r>
      <w:r w:rsidRPr="0051662C">
        <w:rPr>
          <w:noProof/>
          <w:lang w:val="en-US" w:eastAsia="zh-CN"/>
        </w:rPr>
        <mc:AlternateContent>
          <mc:Choice Requires="wps">
            <w:drawing>
              <wp:anchor distT="0" distB="0" distL="114300" distR="114300" simplePos="0" relativeHeight="251669504" behindDoc="0" locked="0" layoutInCell="1" allowOverlap="1" wp14:anchorId="69BF1760" wp14:editId="62F09D08">
                <wp:simplePos x="0" y="0"/>
                <wp:positionH relativeFrom="column">
                  <wp:posOffset>3328509</wp:posOffset>
                </wp:positionH>
                <wp:positionV relativeFrom="paragraph">
                  <wp:posOffset>774700</wp:posOffset>
                </wp:positionV>
                <wp:extent cx="449580" cy="163195"/>
                <wp:effectExtent l="0" t="0" r="7620" b="825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63195"/>
                        </a:xfrm>
                        <a:prstGeom prst="rect">
                          <a:avLst/>
                        </a:prstGeom>
                        <a:solidFill>
                          <a:srgbClr val="66FFFF"/>
                        </a:solidFill>
                        <a:ln>
                          <a:noFill/>
                        </a:ln>
                        <a:extLst/>
                      </wps:spPr>
                      <wps:txbx>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PPDR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92" o:spid="_x0000_s1106" style="position:absolute;left:0;text-align:left;margin-left:262.1pt;margin-top:61pt;width:35.4pt;height: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" fillcolor="#6ff" stroked="f">
                <v:textbox inset="0,0,0,0">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PPDR 1</w:t>
                      </w:r>
                    </w:p>
                  </w:txbxContent>
                </v:textbox>
              </v:rect>
            </w:pict>
          </mc:Fallback>
        </mc:AlternateContent>
      </w:r>
      <w:r w:rsidRPr="0051662C">
        <w:rPr>
          <w:noProof/>
          <w:lang w:val="en-US" w:eastAsia="zh-CN"/>
        </w:rPr>
        <mc:AlternateContent>
          <mc:Choice Requires="wps">
            <w:drawing>
              <wp:anchor distT="0" distB="0" distL="114300" distR="114300" simplePos="0" relativeHeight="251668480" behindDoc="0" locked="0" layoutInCell="1" allowOverlap="1" wp14:anchorId="43C52FF8" wp14:editId="7ECE24CA">
                <wp:simplePos x="0" y="0"/>
                <wp:positionH relativeFrom="column">
                  <wp:posOffset>1971040</wp:posOffset>
                </wp:positionH>
                <wp:positionV relativeFrom="paragraph">
                  <wp:posOffset>768350</wp:posOffset>
                </wp:positionV>
                <wp:extent cx="449580" cy="163195"/>
                <wp:effectExtent l="0" t="0" r="7620" b="825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63195"/>
                        </a:xfrm>
                        <a:prstGeom prst="rect">
                          <a:avLst/>
                        </a:prstGeom>
                        <a:solidFill>
                          <a:srgbClr val="66FFFF"/>
                        </a:solidFill>
                        <a:ln>
                          <a:noFill/>
                        </a:ln>
                        <a:extLst/>
                      </wps:spPr>
                      <wps:txbx>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 xml:space="preserve">PPDR </w:t>
                            </w:r>
                            <w:r>
                              <w:rPr>
                                <w:rFonts w:ascii="Arial" w:hAnsi="Arial" w:cs="Arial"/>
                                <w:bCs/>
                                <w:sz w:val="16"/>
                                <w:szCs w:val="16"/>
                                <w:lang w:val="en-US"/>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91" o:spid="_x0000_s1107" style="position:absolute;left:0;text-align:left;margin-left:155.2pt;margin-top:60.5pt;width:35.4pt;height:1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" fillcolor="#6ff" stroked="f">
                <v:textbox inset="0,0,0,0">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 xml:space="preserve">PPDR </w:t>
                      </w:r>
                      <w:r>
                        <w:rPr>
                          <w:rFonts w:ascii="Arial" w:hAnsi="Arial" w:cs="Arial"/>
                          <w:bCs/>
                          <w:sz w:val="16"/>
                          <w:szCs w:val="16"/>
                          <w:lang w:val="en-US"/>
                        </w:rPr>
                        <w:t>2</w:t>
                      </w:r>
                    </w:p>
                  </w:txbxContent>
                </v:textbox>
              </v:rect>
            </w:pict>
          </mc:Fallback>
        </mc:AlternateContent>
      </w:r>
      <w:r w:rsidRPr="0051662C">
        <w:rPr>
          <w:noProof/>
          <w:lang w:val="en-US" w:eastAsia="zh-CN"/>
        </w:rPr>
        <mc:AlternateContent>
          <mc:Choice Requires="wps">
            <w:drawing>
              <wp:anchor distT="0" distB="0" distL="114300" distR="114300" simplePos="0" relativeHeight="251667456" behindDoc="0" locked="0" layoutInCell="1" allowOverlap="1" wp14:anchorId="45666892" wp14:editId="04C68761">
                <wp:simplePos x="0" y="0"/>
                <wp:positionH relativeFrom="column">
                  <wp:posOffset>447040</wp:posOffset>
                </wp:positionH>
                <wp:positionV relativeFrom="paragraph">
                  <wp:posOffset>766445</wp:posOffset>
                </wp:positionV>
                <wp:extent cx="449580" cy="163195"/>
                <wp:effectExtent l="0" t="0" r="7620" b="825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63195"/>
                        </a:xfrm>
                        <a:prstGeom prst="rect">
                          <a:avLst/>
                        </a:prstGeom>
                        <a:solidFill>
                          <a:srgbClr val="66FFFF"/>
                        </a:solidFill>
                        <a:ln>
                          <a:noFill/>
                        </a:ln>
                        <a:extLst/>
                      </wps:spPr>
                      <wps:txbx>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PPDR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90" o:spid="_x0000_s1108" style="position:absolute;left:0;text-align:left;margin-left:35.2pt;margin-top:60.35pt;width:35.4pt;height:1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" fillcolor="#6ff" stroked="f">
                <v:textbox inset="0,0,0,0">
                  <w:txbxContent>
                    <w:p w:rsidR="006E4BDA" w:rsidRPr="00C61503" w:rsidRDefault="006E4BDA" w:rsidP="006E4BDA">
                      <w:pPr>
                        <w:spacing w:before="40"/>
                        <w:jc w:val="center"/>
                        <w:rPr>
                          <w:bCs/>
                          <w:sz w:val="16"/>
                          <w:szCs w:val="16"/>
                        </w:rPr>
                      </w:pPr>
                      <w:r w:rsidRPr="00C61503">
                        <w:rPr>
                          <w:rFonts w:ascii="Arial" w:hAnsi="Arial" w:cs="Arial"/>
                          <w:bCs/>
                          <w:sz w:val="16"/>
                          <w:szCs w:val="16"/>
                          <w:lang w:val="en-US"/>
                        </w:rPr>
                        <w:t>PPDR 1</w:t>
                      </w:r>
                    </w:p>
                  </w:txbxContent>
                </v:textbox>
              </v:rect>
            </w:pict>
          </mc:Fallback>
        </mc:AlternateContent>
      </w:r>
      <w:r w:rsidRPr="0051662C">
        <w:rPr>
          <w:noProof/>
          <w:lang w:val="en-US" w:eastAsia="zh-CN"/>
        </w:rPr>
        <mc:AlternateContent>
          <mc:Choice Requires="wps">
            <w:drawing>
              <wp:anchor distT="0" distB="0" distL="114300" distR="114300" simplePos="0" relativeHeight="251666432" behindDoc="0" locked="0" layoutInCell="1" allowOverlap="1" wp14:anchorId="4F443BA6" wp14:editId="07B13DFA">
                <wp:simplePos x="0" y="0"/>
                <wp:positionH relativeFrom="column">
                  <wp:posOffset>3559810</wp:posOffset>
                </wp:positionH>
                <wp:positionV relativeFrom="paragraph">
                  <wp:posOffset>528794</wp:posOffset>
                </wp:positionV>
                <wp:extent cx="1514475" cy="156845"/>
                <wp:effectExtent l="0" t="0" r="9525"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6845"/>
                        </a:xfrm>
                        <a:prstGeom prst="rect">
                          <a:avLst/>
                        </a:prstGeom>
                        <a:solidFill>
                          <a:schemeClr val="bg1"/>
                        </a:solidFill>
                        <a:ln>
                          <a:noFill/>
                        </a:ln>
                        <a:extLst/>
                      </wps:spPr>
                      <wps:txbx>
                        <w:txbxContent>
                          <w:p w:rsidR="006E4BDA" w:rsidRPr="00DA0CD6" w:rsidRDefault="006E4BDA" w:rsidP="006E4BDA">
                            <w:pPr>
                              <w:spacing w:before="40"/>
                              <w:jc w:val="center"/>
                              <w:rPr>
                                <w:sz w:val="12"/>
                                <w:szCs w:val="12"/>
                              </w:rPr>
                            </w:pPr>
                            <w:r w:rsidRPr="00DA0CD6">
                              <w:rPr>
                                <w:rFonts w:ascii="Arial" w:hAnsi="Arial" w:cs="Arial"/>
                                <w:sz w:val="12"/>
                                <w:szCs w:val="12"/>
                                <w:lang w:val="en-US"/>
                              </w:rPr>
                              <w:t>Radiocommunications mobiles terrestres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89" o:spid="_x0000_s1109" style="position:absolute;left:0;text-align:left;margin-left:280.3pt;margin-top:41.65pt;width:119.25pt;height:1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" fillcolor="white [3212]" stroked="f">
                <v:textbox inset="0,0,0,0">
                  <w:txbxContent>
                    <w:p w:rsidR="006E4BDA" w:rsidRPr="00DA0CD6" w:rsidRDefault="006E4BDA" w:rsidP="006E4BDA">
                      <w:pPr>
                        <w:spacing w:before="40"/>
                        <w:jc w:val="center"/>
                        <w:rPr>
                          <w:sz w:val="12"/>
                          <w:szCs w:val="12"/>
                        </w:rPr>
                      </w:pPr>
                      <w:r w:rsidRPr="00DA0CD6">
                        <w:rPr>
                          <w:rFonts w:ascii="Arial" w:hAnsi="Arial" w:cs="Arial"/>
                          <w:sz w:val="12"/>
                          <w:szCs w:val="12"/>
                          <w:lang w:val="en-US"/>
                        </w:rPr>
                        <w:t>Radiocommunications mobiles terrestres</w:t>
                      </w:r>
                    </w:p>
                  </w:txbxContent>
                </v:textbox>
              </v:rect>
            </w:pict>
          </mc:Fallback>
        </mc:AlternateContent>
      </w:r>
      <w:r w:rsidRPr="0051662C">
        <w:rPr>
          <w:rFonts w:eastAsia="MS Mincho"/>
          <w:noProof/>
          <w:lang w:val="en-US" w:eastAsia="zh-CN"/>
        </w:rPr>
        <w:drawing>
          <wp:inline distT="0" distB="0" distL="0" distR="0" wp14:anchorId="35A35E29" wp14:editId="57602987">
            <wp:extent cx="6042660" cy="105156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2660" cy="1051560"/>
                    </a:xfrm>
                    <a:prstGeom prst="rect">
                      <a:avLst/>
                    </a:prstGeom>
                    <a:noFill/>
                    <a:ln>
                      <a:noFill/>
                    </a:ln>
                  </pic:spPr>
                </pic:pic>
              </a:graphicData>
            </a:graphic>
          </wp:inline>
        </w:drawing>
      </w:r>
    </w:p>
    <w:p w:rsidR="006E4BDA" w:rsidRPr="0051662C" w:rsidRDefault="006E4BDA" w:rsidP="006E4BDA">
      <w:pPr>
        <w:pStyle w:val="Heading2"/>
        <w:spacing w:before="480"/>
        <w:rPr>
          <w:lang w:val="fr-CH"/>
        </w:rPr>
      </w:pPr>
      <w:r w:rsidRPr="0051662C">
        <w:rPr>
          <w:lang w:val="fr-CH"/>
        </w:rPr>
        <w:t>1.1</w:t>
      </w:r>
      <w:r w:rsidRPr="0051662C">
        <w:rPr>
          <w:lang w:val="fr-CH"/>
        </w:rPr>
        <w:tab/>
        <w:t>Exemp</w:t>
      </w:r>
      <w:r w:rsidR="00DA0CD6">
        <w:rPr>
          <w:lang w:val="fr-CH"/>
        </w:rPr>
        <w:t>le de disposition de fréquences</w:t>
      </w:r>
    </w:p>
    <w:p w:rsidR="006E4BDA" w:rsidRPr="0051662C" w:rsidRDefault="006E4BDA" w:rsidP="006E4BDA">
      <w:pPr>
        <w:pStyle w:val="Heading3"/>
        <w:spacing w:after="360"/>
        <w:rPr>
          <w:lang w:val="fr-CH"/>
        </w:rPr>
      </w:pPr>
      <w:r w:rsidRPr="0051662C">
        <w:rPr>
          <w:lang w:val="fr-CH"/>
        </w:rPr>
        <w:t>1.1.1</w:t>
      </w:r>
      <w:r w:rsidRPr="0051662C">
        <w:rPr>
          <w:lang w:val="fr-CH"/>
        </w:rPr>
        <w:tab/>
        <w:t>Désignation des blocs de fréquences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2464"/>
      </w:tblGrid>
      <w:tr w:rsidR="006E4BDA" w:rsidRPr="0051662C" w:rsidTr="0051662C">
        <w:trPr>
          <w:jc w:val="center"/>
        </w:trPr>
        <w:tc>
          <w:tcPr>
            <w:tcW w:w="2464" w:type="dxa"/>
            <w:vAlign w:val="center"/>
          </w:tcPr>
          <w:p w:rsidR="006E4BDA" w:rsidRPr="0051662C" w:rsidRDefault="006E4BDA" w:rsidP="0051662C">
            <w:pPr>
              <w:pStyle w:val="Tablehead"/>
              <w:rPr>
                <w:lang w:val="fr-CH"/>
              </w:rPr>
            </w:pPr>
            <w:r w:rsidRPr="0051662C">
              <w:rPr>
                <w:lang w:val="fr-CH"/>
              </w:rPr>
              <w:t>Fréquences d'émission des stations mobiles/</w:t>
            </w:r>
            <w:r w:rsidR="0051662C" w:rsidRPr="0051662C">
              <w:rPr>
                <w:lang w:val="fr-CH"/>
              </w:rPr>
              <w:br/>
            </w:r>
            <w:r w:rsidRPr="0051662C">
              <w:rPr>
                <w:lang w:val="fr-CH"/>
              </w:rPr>
              <w:t>stations de contrôle</w:t>
            </w:r>
            <w:r w:rsidR="0051662C" w:rsidRPr="0051662C">
              <w:rPr>
                <w:lang w:val="fr-CH"/>
              </w:rPr>
              <w:br/>
            </w:r>
            <w:r w:rsidRPr="0051662C">
              <w:rPr>
                <w:lang w:val="fr-CH"/>
              </w:rPr>
              <w:t>(MHz)</w:t>
            </w:r>
          </w:p>
        </w:tc>
        <w:tc>
          <w:tcPr>
            <w:tcW w:w="2464" w:type="dxa"/>
            <w:vAlign w:val="center"/>
          </w:tcPr>
          <w:p w:rsidR="006E4BDA" w:rsidRPr="0051662C" w:rsidRDefault="006E4BDA" w:rsidP="0051662C">
            <w:pPr>
              <w:pStyle w:val="Tablehead"/>
              <w:rPr>
                <w:lang w:val="fr-CH"/>
              </w:rPr>
            </w:pPr>
            <w:r w:rsidRPr="0051662C">
              <w:rPr>
                <w:lang w:val="fr-CH"/>
              </w:rPr>
              <w:t>Fréquences d'émission des stations de base (MHz)</w:t>
            </w:r>
          </w:p>
        </w:tc>
        <w:tc>
          <w:tcPr>
            <w:tcW w:w="2464" w:type="dxa"/>
            <w:vAlign w:val="center"/>
          </w:tcPr>
          <w:p w:rsidR="006E4BDA" w:rsidRPr="0051662C" w:rsidRDefault="006E4BDA" w:rsidP="0051662C">
            <w:pPr>
              <w:pStyle w:val="Tablehead"/>
              <w:rPr>
                <w:lang w:val="fr-CH"/>
              </w:rPr>
            </w:pPr>
            <w:r w:rsidRPr="0051662C">
              <w:rPr>
                <w:lang w:val="fr-CH"/>
              </w:rPr>
              <w:t>Bloc de fréquences</w:t>
            </w:r>
          </w:p>
        </w:tc>
      </w:tr>
      <w:tr w:rsidR="006E4BDA" w:rsidRPr="0051662C" w:rsidTr="0051662C">
        <w:trPr>
          <w:jc w:val="center"/>
        </w:trPr>
        <w:tc>
          <w:tcPr>
            <w:tcW w:w="2464" w:type="dxa"/>
          </w:tcPr>
          <w:p w:rsidR="006E4BDA" w:rsidRPr="0051662C" w:rsidRDefault="006E4BDA" w:rsidP="006E75B8">
            <w:pPr>
              <w:pStyle w:val="Tabletext"/>
              <w:jc w:val="center"/>
              <w:rPr>
                <w:lang w:val="fr-CH"/>
              </w:rPr>
            </w:pPr>
            <w:r w:rsidRPr="0051662C">
              <w:rPr>
                <w:lang w:val="fr-CH"/>
              </w:rPr>
              <w:t>806-809</w:t>
            </w:r>
          </w:p>
        </w:tc>
        <w:tc>
          <w:tcPr>
            <w:tcW w:w="2464" w:type="dxa"/>
          </w:tcPr>
          <w:p w:rsidR="006E4BDA" w:rsidRPr="0051662C" w:rsidRDefault="006E4BDA" w:rsidP="006E75B8">
            <w:pPr>
              <w:pStyle w:val="Tabletext"/>
              <w:jc w:val="center"/>
              <w:rPr>
                <w:lang w:val="fr-CH"/>
              </w:rPr>
            </w:pPr>
            <w:r w:rsidRPr="0051662C">
              <w:rPr>
                <w:lang w:val="fr-CH"/>
              </w:rPr>
              <w:t>851-854</w:t>
            </w:r>
          </w:p>
        </w:tc>
        <w:tc>
          <w:tcPr>
            <w:tcW w:w="2464" w:type="dxa"/>
          </w:tcPr>
          <w:p w:rsidR="006E4BDA" w:rsidRPr="0051662C" w:rsidRDefault="006E4BDA" w:rsidP="006E75B8">
            <w:pPr>
              <w:pStyle w:val="Tabletext"/>
              <w:jc w:val="center"/>
              <w:rPr>
                <w:lang w:val="fr-CH"/>
              </w:rPr>
            </w:pPr>
            <w:r w:rsidRPr="0051662C">
              <w:rPr>
                <w:lang w:val="fr-CH"/>
              </w:rPr>
              <w:t>PPDR1</w:t>
            </w:r>
            <w:r w:rsidRPr="0051662C">
              <w:rPr>
                <w:rStyle w:val="FootnoteReference"/>
                <w:lang w:val="fr-CH"/>
              </w:rPr>
              <w:footnoteReference w:id="6"/>
            </w:r>
          </w:p>
        </w:tc>
      </w:tr>
      <w:tr w:rsidR="006E4BDA" w:rsidRPr="0051662C" w:rsidTr="0051662C">
        <w:trPr>
          <w:jc w:val="center"/>
        </w:trPr>
        <w:tc>
          <w:tcPr>
            <w:tcW w:w="2464" w:type="dxa"/>
          </w:tcPr>
          <w:p w:rsidR="006E4BDA" w:rsidRPr="0051662C" w:rsidRDefault="006E4BDA" w:rsidP="006E75B8">
            <w:pPr>
              <w:pStyle w:val="Tabletext"/>
              <w:jc w:val="center"/>
              <w:rPr>
                <w:lang w:val="fr-CH"/>
              </w:rPr>
            </w:pPr>
            <w:r w:rsidRPr="0051662C">
              <w:rPr>
                <w:lang w:val="fr-CH"/>
              </w:rPr>
              <w:t>821-824</w:t>
            </w:r>
          </w:p>
        </w:tc>
        <w:tc>
          <w:tcPr>
            <w:tcW w:w="2464" w:type="dxa"/>
          </w:tcPr>
          <w:p w:rsidR="006E4BDA" w:rsidRPr="0051662C" w:rsidRDefault="006E4BDA" w:rsidP="006E75B8">
            <w:pPr>
              <w:pStyle w:val="Tabletext"/>
              <w:jc w:val="center"/>
              <w:rPr>
                <w:lang w:val="fr-CH"/>
              </w:rPr>
            </w:pPr>
            <w:r w:rsidRPr="0051662C">
              <w:rPr>
                <w:lang w:val="fr-CH"/>
              </w:rPr>
              <w:t>866-869</w:t>
            </w:r>
          </w:p>
        </w:tc>
        <w:tc>
          <w:tcPr>
            <w:tcW w:w="2464" w:type="dxa"/>
          </w:tcPr>
          <w:p w:rsidR="006E4BDA" w:rsidRPr="0051662C" w:rsidRDefault="006E4BDA" w:rsidP="006E75B8">
            <w:pPr>
              <w:pStyle w:val="Tabletext"/>
              <w:jc w:val="center"/>
              <w:rPr>
                <w:lang w:val="fr-CH"/>
              </w:rPr>
            </w:pPr>
            <w:r w:rsidRPr="0051662C">
              <w:rPr>
                <w:lang w:val="fr-CH"/>
              </w:rPr>
              <w:t>PPDR2</w:t>
            </w:r>
            <w:r w:rsidRPr="0051662C">
              <w:rPr>
                <w:rStyle w:val="FootnoteReference"/>
                <w:lang w:val="fr-CH"/>
              </w:rPr>
              <w:footnoteReference w:id="7"/>
            </w:r>
            <w:r w:rsidRPr="0051662C">
              <w:rPr>
                <w:lang w:val="fr-CH"/>
              </w:rPr>
              <w:t xml:space="preserve"> </w:t>
            </w:r>
          </w:p>
        </w:tc>
      </w:tr>
    </w:tbl>
    <w:p w:rsidR="006E4BDA" w:rsidRPr="0051662C" w:rsidRDefault="006E4BDA" w:rsidP="006E4BDA">
      <w:pPr>
        <w:pStyle w:val="Tablefin"/>
        <w:rPr>
          <w:lang w:val="fr-CH"/>
        </w:rPr>
      </w:pPr>
    </w:p>
    <w:p w:rsidR="006E4BDA" w:rsidRPr="0051662C" w:rsidRDefault="006E4BDA" w:rsidP="006E4BDA">
      <w:pPr>
        <w:pStyle w:val="Heading3"/>
        <w:rPr>
          <w:lang w:val="fr-CH"/>
        </w:rPr>
      </w:pPr>
      <w:r w:rsidRPr="0051662C">
        <w:rPr>
          <w:lang w:val="fr-CH"/>
        </w:rPr>
        <w:t>1.1.2</w:t>
      </w:r>
      <w:r w:rsidRPr="0051662C">
        <w:rPr>
          <w:lang w:val="fr-CH"/>
        </w:rPr>
        <w:tab/>
        <w:t>Disposition des canaux</w:t>
      </w:r>
    </w:p>
    <w:p w:rsidR="006E4BDA" w:rsidRPr="0051662C" w:rsidRDefault="006E4BDA" w:rsidP="006E4BDA">
      <w:pPr>
        <w:spacing w:after="240"/>
        <w:rPr>
          <w:lang w:val="fr-CH"/>
        </w:rPr>
      </w:pPr>
      <w:r w:rsidRPr="0051662C">
        <w:rPr>
          <w:lang w:val="fr-CH"/>
        </w:rPr>
        <w:t xml:space="preserve">Les fréquences correspondant à la fréquence centrale du numéro du canal sont définies par les formules suivantes, où </w:t>
      </w:r>
      <w:r w:rsidRPr="0051662C">
        <w:rPr>
          <w:i/>
          <w:lang w:val="fr-CH"/>
        </w:rPr>
        <w:t>n</w:t>
      </w:r>
      <w:r w:rsidRPr="0051662C">
        <w:rPr>
          <w:lang w:val="fr-CH"/>
        </w:rPr>
        <w:t xml:space="preserve"> est le numéro du canal: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2993"/>
        <w:gridCol w:w="1701"/>
      </w:tblGrid>
      <w:tr w:rsidR="006E4BDA" w:rsidRPr="0051662C" w:rsidTr="0051662C">
        <w:trPr>
          <w:jc w:val="center"/>
        </w:trPr>
        <w:tc>
          <w:tcPr>
            <w:tcW w:w="1908" w:type="dxa"/>
            <w:vAlign w:val="center"/>
          </w:tcPr>
          <w:p w:rsidR="006E4BDA" w:rsidRPr="0051662C" w:rsidRDefault="006E4BDA" w:rsidP="0051662C">
            <w:pPr>
              <w:pStyle w:val="Tablehead"/>
              <w:keepLines/>
              <w:rPr>
                <w:lang w:val="fr-CH"/>
              </w:rPr>
            </w:pPr>
            <w:r w:rsidRPr="0051662C">
              <w:rPr>
                <w:lang w:val="fr-CH"/>
              </w:rPr>
              <w:t>Numéro du canal</w:t>
            </w:r>
          </w:p>
        </w:tc>
        <w:tc>
          <w:tcPr>
            <w:tcW w:w="3037" w:type="dxa"/>
            <w:vAlign w:val="center"/>
          </w:tcPr>
          <w:p w:rsidR="006E4BDA" w:rsidRPr="0051662C" w:rsidRDefault="006E4BDA" w:rsidP="0051662C">
            <w:pPr>
              <w:pStyle w:val="Tablehead"/>
              <w:keepLines/>
              <w:rPr>
                <w:lang w:val="fr-CH"/>
              </w:rPr>
            </w:pPr>
            <w:r w:rsidRPr="0051662C">
              <w:rPr>
                <w:lang w:val="fr-CH"/>
              </w:rPr>
              <w:t>Station mobile à l'émission, fréquence centrale du canal (MHz)</w:t>
            </w:r>
          </w:p>
        </w:tc>
        <w:tc>
          <w:tcPr>
            <w:tcW w:w="2993" w:type="dxa"/>
            <w:vAlign w:val="center"/>
          </w:tcPr>
          <w:p w:rsidR="006E4BDA" w:rsidRPr="0051662C" w:rsidRDefault="006E4BDA" w:rsidP="0051662C">
            <w:pPr>
              <w:pStyle w:val="Tablehead"/>
              <w:keepLines/>
              <w:rPr>
                <w:lang w:val="fr-CH"/>
              </w:rPr>
            </w:pPr>
            <w:r w:rsidRPr="0051662C">
              <w:rPr>
                <w:lang w:val="fr-CH"/>
              </w:rPr>
              <w:t>Station de base à l'émission, fréquence centrale du canal (MHz)</w:t>
            </w:r>
          </w:p>
        </w:tc>
        <w:tc>
          <w:tcPr>
            <w:tcW w:w="1701" w:type="dxa"/>
            <w:vAlign w:val="center"/>
          </w:tcPr>
          <w:p w:rsidR="006E4BDA" w:rsidRPr="0051662C" w:rsidRDefault="006E4BDA" w:rsidP="0051662C">
            <w:pPr>
              <w:pStyle w:val="Tablehead"/>
              <w:keepLines/>
              <w:rPr>
                <w:lang w:val="fr-CH"/>
              </w:rPr>
            </w:pPr>
            <w:r w:rsidRPr="0051662C">
              <w:rPr>
                <w:lang w:val="fr-CH"/>
              </w:rPr>
              <w:t>Largeur de bande du canal (kHz)</w:t>
            </w:r>
          </w:p>
        </w:tc>
      </w:tr>
      <w:tr w:rsidR="006E4BDA" w:rsidRPr="0051662C" w:rsidTr="006E75B8">
        <w:trPr>
          <w:trHeight w:val="296"/>
          <w:jc w:val="center"/>
        </w:trPr>
        <w:tc>
          <w:tcPr>
            <w:tcW w:w="1908" w:type="dxa"/>
          </w:tcPr>
          <w:p w:rsidR="006E4BDA" w:rsidRPr="0051662C" w:rsidRDefault="006E4BDA" w:rsidP="006E75B8">
            <w:pPr>
              <w:pStyle w:val="Tabletext"/>
              <w:jc w:val="center"/>
              <w:rPr>
                <w:lang w:val="fr-CH"/>
              </w:rPr>
            </w:pPr>
            <w:r w:rsidRPr="0051662C">
              <w:rPr>
                <w:i/>
                <w:iCs/>
                <w:lang w:val="fr-CH"/>
              </w:rPr>
              <w:t>n</w:t>
            </w:r>
            <w:r w:rsidRPr="0051662C">
              <w:rPr>
                <w:lang w:val="fr-CH"/>
              </w:rPr>
              <w:t xml:space="preserve"> = 1 à 600</w:t>
            </w:r>
          </w:p>
        </w:tc>
        <w:tc>
          <w:tcPr>
            <w:tcW w:w="3037" w:type="dxa"/>
          </w:tcPr>
          <w:p w:rsidR="006E4BDA" w:rsidRPr="0051662C" w:rsidRDefault="006E4BDA" w:rsidP="006E75B8">
            <w:pPr>
              <w:pStyle w:val="Tabletext"/>
              <w:jc w:val="center"/>
              <w:rPr>
                <w:lang w:val="fr-CH"/>
              </w:rPr>
            </w:pPr>
            <w:r w:rsidRPr="0051662C">
              <w:rPr>
                <w:i/>
                <w:iCs/>
                <w:lang w:val="fr-CH"/>
              </w:rPr>
              <w:t>f</w:t>
            </w:r>
            <w:r w:rsidRPr="0051662C">
              <w:rPr>
                <w:i/>
                <w:iCs/>
                <w:vertAlign w:val="subscript"/>
                <w:lang w:val="fr-CH"/>
              </w:rPr>
              <w:t>n</w:t>
            </w:r>
            <w:r w:rsidRPr="0051662C">
              <w:rPr>
                <w:lang w:val="fr-CH"/>
              </w:rPr>
              <w:t xml:space="preserve"> = 806,0125 + (0,025) </w:t>
            </w:r>
            <w:r w:rsidRPr="0051662C">
              <w:rPr>
                <w:lang w:val="fr-CH"/>
              </w:rPr>
              <w:sym w:font="Symbol" w:char="F0B4"/>
            </w:r>
            <w:r w:rsidRPr="0051662C">
              <w:rPr>
                <w:lang w:val="fr-CH"/>
              </w:rPr>
              <w:t xml:space="preserve"> (</w:t>
            </w:r>
            <w:r w:rsidRPr="0051662C">
              <w:rPr>
                <w:i/>
                <w:iCs/>
                <w:lang w:val="fr-CH"/>
              </w:rPr>
              <w:t>n</w:t>
            </w:r>
            <w:r w:rsidRPr="0051662C">
              <w:rPr>
                <w:lang w:val="fr-CH"/>
              </w:rPr>
              <w:t> − 1)</w:t>
            </w:r>
          </w:p>
        </w:tc>
        <w:tc>
          <w:tcPr>
            <w:tcW w:w="2993" w:type="dxa"/>
          </w:tcPr>
          <w:p w:rsidR="006E4BDA" w:rsidRPr="0051662C" w:rsidRDefault="006E4BDA" w:rsidP="006E75B8">
            <w:pPr>
              <w:pStyle w:val="Tabletext"/>
              <w:jc w:val="center"/>
              <w:rPr>
                <w:lang w:val="fr-CH"/>
              </w:rPr>
            </w:pPr>
            <w:r w:rsidRPr="0051662C">
              <w:rPr>
                <w:i/>
                <w:iCs/>
                <w:lang w:val="fr-CH"/>
              </w:rPr>
              <w:t>f</w:t>
            </w:r>
            <w:r w:rsidRPr="0051662C">
              <w:rPr>
                <w:i/>
                <w:iCs/>
                <w:vertAlign w:val="subscript"/>
                <w:lang w:val="fr-CH"/>
              </w:rPr>
              <w:t>n</w:t>
            </w:r>
            <w:r w:rsidRPr="0051662C">
              <w:rPr>
                <w:lang w:val="fr-CH"/>
              </w:rPr>
              <w:t xml:space="preserve"> = 851,0125 + (0,025) </w:t>
            </w:r>
            <w:r w:rsidRPr="0051662C">
              <w:rPr>
                <w:lang w:val="fr-CH"/>
              </w:rPr>
              <w:sym w:font="Symbol" w:char="F0B4"/>
            </w:r>
            <w:r w:rsidRPr="0051662C">
              <w:rPr>
                <w:lang w:val="fr-CH"/>
              </w:rPr>
              <w:t xml:space="preserve"> (</w:t>
            </w:r>
            <w:r w:rsidRPr="0051662C">
              <w:rPr>
                <w:i/>
                <w:iCs/>
                <w:lang w:val="fr-CH"/>
              </w:rPr>
              <w:t>n-1</w:t>
            </w:r>
            <w:r w:rsidRPr="0051662C">
              <w:rPr>
                <w:lang w:val="fr-CH"/>
              </w:rPr>
              <w:t>)</w:t>
            </w:r>
          </w:p>
        </w:tc>
        <w:tc>
          <w:tcPr>
            <w:tcW w:w="1701" w:type="dxa"/>
            <w:vAlign w:val="center"/>
          </w:tcPr>
          <w:p w:rsidR="006E4BDA" w:rsidRPr="0051662C" w:rsidRDefault="006E4BDA" w:rsidP="006E75B8">
            <w:pPr>
              <w:pStyle w:val="Tabletext"/>
              <w:jc w:val="center"/>
              <w:rPr>
                <w:iCs/>
                <w:lang w:val="fr-CH"/>
              </w:rPr>
            </w:pPr>
            <w:r w:rsidRPr="0051662C">
              <w:rPr>
                <w:iCs/>
                <w:lang w:val="fr-CH"/>
              </w:rPr>
              <w:t>25</w:t>
            </w:r>
          </w:p>
        </w:tc>
      </w:tr>
      <w:tr w:rsidR="006E4BDA" w:rsidRPr="0051662C" w:rsidTr="006E75B8">
        <w:trPr>
          <w:trHeight w:val="296"/>
          <w:jc w:val="center"/>
        </w:trPr>
        <w:tc>
          <w:tcPr>
            <w:tcW w:w="1908" w:type="dxa"/>
          </w:tcPr>
          <w:p w:rsidR="006E4BDA" w:rsidRPr="0051662C" w:rsidRDefault="006E4BDA" w:rsidP="006E75B8">
            <w:pPr>
              <w:pStyle w:val="Tabletext"/>
              <w:jc w:val="center"/>
              <w:rPr>
                <w:i/>
                <w:iCs/>
                <w:lang w:val="fr-CH"/>
              </w:rPr>
            </w:pPr>
            <w:r w:rsidRPr="0051662C">
              <w:rPr>
                <w:i/>
                <w:iCs/>
                <w:lang w:val="fr-CH"/>
              </w:rPr>
              <w:t>n</w:t>
            </w:r>
            <w:r w:rsidRPr="0051662C">
              <w:rPr>
                <w:lang w:val="fr-CH"/>
              </w:rPr>
              <w:t xml:space="preserve"> = 602 à 790 sauf 639, 677, 715, 753</w:t>
            </w:r>
          </w:p>
        </w:tc>
        <w:tc>
          <w:tcPr>
            <w:tcW w:w="3037" w:type="dxa"/>
          </w:tcPr>
          <w:p w:rsidR="006E4BDA" w:rsidRPr="0051662C" w:rsidRDefault="006E4BDA" w:rsidP="006E75B8">
            <w:pPr>
              <w:pStyle w:val="Tabletext"/>
              <w:jc w:val="center"/>
              <w:rPr>
                <w:i/>
                <w:iCs/>
                <w:lang w:val="fr-CH"/>
              </w:rPr>
            </w:pPr>
            <w:r w:rsidRPr="0051662C">
              <w:rPr>
                <w:i/>
                <w:iCs/>
                <w:lang w:val="fr-CH"/>
              </w:rPr>
              <w:t>f</w:t>
            </w:r>
            <w:r w:rsidRPr="0051662C">
              <w:rPr>
                <w:i/>
                <w:iCs/>
                <w:vertAlign w:val="subscript"/>
                <w:lang w:val="fr-CH"/>
              </w:rPr>
              <w:t>n</w:t>
            </w:r>
            <w:r w:rsidRPr="0051662C">
              <w:rPr>
                <w:lang w:val="fr-CH"/>
              </w:rPr>
              <w:t xml:space="preserve"> = 821,0375 + 0,0125 </w:t>
            </w:r>
            <w:r w:rsidRPr="0051662C">
              <w:rPr>
                <w:lang w:val="fr-CH"/>
              </w:rPr>
              <w:sym w:font="Symbol" w:char="F0B4"/>
            </w:r>
            <w:r w:rsidRPr="0051662C">
              <w:rPr>
                <w:lang w:val="fr-CH"/>
              </w:rPr>
              <w:t xml:space="preserve"> (</w:t>
            </w:r>
            <w:r w:rsidRPr="0051662C">
              <w:rPr>
                <w:i/>
                <w:iCs/>
                <w:lang w:val="fr-CH"/>
              </w:rPr>
              <w:t>n</w:t>
            </w:r>
            <w:r w:rsidRPr="0051662C">
              <w:rPr>
                <w:lang w:val="fr-CH"/>
              </w:rPr>
              <w:t xml:space="preserve"> − 602) + 0,025 </w:t>
            </w:r>
            <w:r w:rsidRPr="0051662C">
              <w:rPr>
                <w:lang w:val="fr-CH"/>
              </w:rPr>
              <w:sym w:font="Symbol" w:char="F0B4"/>
            </w:r>
            <w:r w:rsidRPr="0051662C">
              <w:rPr>
                <w:lang w:val="fr-CH"/>
              </w:rPr>
              <w:t xml:space="preserve"> plancher[(</w:t>
            </w:r>
            <w:r w:rsidRPr="0051662C">
              <w:rPr>
                <w:i/>
                <w:iCs/>
                <w:lang w:val="fr-CH"/>
              </w:rPr>
              <w:t>n</w:t>
            </w:r>
            <w:r w:rsidRPr="0051662C">
              <w:rPr>
                <w:lang w:val="fr-CH"/>
              </w:rPr>
              <w:t> − 601) / 38]</w:t>
            </w:r>
          </w:p>
        </w:tc>
        <w:tc>
          <w:tcPr>
            <w:tcW w:w="2993" w:type="dxa"/>
          </w:tcPr>
          <w:p w:rsidR="006E4BDA" w:rsidRPr="0051662C" w:rsidRDefault="006E4BDA" w:rsidP="006E75B8">
            <w:pPr>
              <w:pStyle w:val="Tabletext"/>
              <w:jc w:val="center"/>
              <w:rPr>
                <w:i/>
                <w:iCs/>
                <w:lang w:val="fr-CH"/>
              </w:rPr>
            </w:pPr>
            <w:r w:rsidRPr="0051662C">
              <w:rPr>
                <w:i/>
                <w:iCs/>
                <w:lang w:val="fr-CH"/>
              </w:rPr>
              <w:t>f</w:t>
            </w:r>
            <w:r w:rsidRPr="0051662C">
              <w:rPr>
                <w:i/>
                <w:iCs/>
                <w:vertAlign w:val="subscript"/>
                <w:lang w:val="fr-CH"/>
              </w:rPr>
              <w:t>n</w:t>
            </w:r>
            <w:r w:rsidRPr="0051662C">
              <w:rPr>
                <w:lang w:val="fr-CH"/>
              </w:rPr>
              <w:t xml:space="preserve"> = 866,0375 + 0,0125 </w:t>
            </w:r>
            <w:r w:rsidRPr="0051662C">
              <w:rPr>
                <w:lang w:val="fr-CH"/>
              </w:rPr>
              <w:sym w:font="Symbol" w:char="F0B4"/>
            </w:r>
            <w:r w:rsidRPr="0051662C">
              <w:rPr>
                <w:lang w:val="fr-CH"/>
              </w:rPr>
              <w:t xml:space="preserve"> (</w:t>
            </w:r>
            <w:r w:rsidRPr="0051662C">
              <w:rPr>
                <w:i/>
                <w:iCs/>
                <w:lang w:val="fr-CH"/>
              </w:rPr>
              <w:t>n</w:t>
            </w:r>
            <w:r w:rsidRPr="0051662C">
              <w:rPr>
                <w:lang w:val="fr-CH"/>
              </w:rPr>
              <w:t xml:space="preserve"> − 602) + 0,025 </w:t>
            </w:r>
            <w:r w:rsidRPr="0051662C">
              <w:rPr>
                <w:lang w:val="fr-CH"/>
              </w:rPr>
              <w:sym w:font="Symbol" w:char="F0B4"/>
            </w:r>
            <w:r w:rsidRPr="0051662C">
              <w:rPr>
                <w:lang w:val="fr-CH"/>
              </w:rPr>
              <w:t xml:space="preserve"> plancher[(</w:t>
            </w:r>
            <w:r w:rsidRPr="0051662C">
              <w:rPr>
                <w:i/>
                <w:iCs/>
                <w:lang w:val="fr-CH"/>
              </w:rPr>
              <w:t>n</w:t>
            </w:r>
            <w:r w:rsidRPr="0051662C">
              <w:rPr>
                <w:lang w:val="fr-CH"/>
              </w:rPr>
              <w:t> − 601) / 38]</w:t>
            </w:r>
          </w:p>
        </w:tc>
        <w:tc>
          <w:tcPr>
            <w:tcW w:w="1701" w:type="dxa"/>
            <w:vAlign w:val="center"/>
          </w:tcPr>
          <w:p w:rsidR="006E4BDA" w:rsidRPr="0051662C" w:rsidRDefault="006E4BDA" w:rsidP="006E75B8">
            <w:pPr>
              <w:pStyle w:val="Tabletext"/>
              <w:jc w:val="center"/>
              <w:rPr>
                <w:iCs/>
                <w:lang w:val="fr-CH"/>
              </w:rPr>
            </w:pPr>
            <w:r w:rsidRPr="0051662C">
              <w:rPr>
                <w:iCs/>
                <w:lang w:val="fr-CH"/>
              </w:rPr>
              <w:t>12,5</w:t>
            </w:r>
          </w:p>
        </w:tc>
      </w:tr>
      <w:tr w:rsidR="006E4BDA" w:rsidRPr="0051662C" w:rsidTr="006E75B8">
        <w:trPr>
          <w:trHeight w:val="296"/>
          <w:jc w:val="center"/>
        </w:trPr>
        <w:tc>
          <w:tcPr>
            <w:tcW w:w="1908" w:type="dxa"/>
          </w:tcPr>
          <w:p w:rsidR="006E4BDA" w:rsidRPr="0051662C" w:rsidRDefault="006E4BDA" w:rsidP="006E75B8">
            <w:pPr>
              <w:pStyle w:val="Tabletext"/>
              <w:jc w:val="center"/>
              <w:rPr>
                <w:i/>
                <w:iCs/>
                <w:lang w:val="fr-CH"/>
              </w:rPr>
            </w:pPr>
            <w:r w:rsidRPr="0051662C">
              <w:rPr>
                <w:i/>
                <w:iCs/>
                <w:lang w:val="fr-CH"/>
              </w:rPr>
              <w:t>n</w:t>
            </w:r>
            <w:r w:rsidRPr="0051662C">
              <w:rPr>
                <w:lang w:val="fr-CH"/>
              </w:rPr>
              <w:t xml:space="preserve"> = 601, 639, 677, 715, 753</w:t>
            </w:r>
          </w:p>
        </w:tc>
        <w:tc>
          <w:tcPr>
            <w:tcW w:w="3037" w:type="dxa"/>
          </w:tcPr>
          <w:p w:rsidR="006E4BDA" w:rsidRPr="0051662C" w:rsidRDefault="006E4BDA" w:rsidP="006E75B8">
            <w:pPr>
              <w:pStyle w:val="Tabletext"/>
              <w:jc w:val="center"/>
              <w:rPr>
                <w:i/>
                <w:iCs/>
                <w:lang w:val="fr-CH"/>
              </w:rPr>
            </w:pPr>
            <w:r w:rsidRPr="0051662C">
              <w:rPr>
                <w:i/>
                <w:iCs/>
                <w:lang w:val="fr-CH"/>
              </w:rPr>
              <w:t>f</w:t>
            </w:r>
            <w:r w:rsidRPr="0051662C">
              <w:rPr>
                <w:i/>
                <w:iCs/>
                <w:vertAlign w:val="subscript"/>
                <w:lang w:val="fr-CH"/>
              </w:rPr>
              <w:t>n</w:t>
            </w:r>
            <w:r w:rsidRPr="0051662C">
              <w:rPr>
                <w:lang w:val="fr-CH"/>
              </w:rPr>
              <w:t xml:space="preserve"> = 821,0125 + 0,5 </w:t>
            </w:r>
            <w:r w:rsidRPr="0051662C">
              <w:rPr>
                <w:lang w:val="fr-CH"/>
              </w:rPr>
              <w:sym w:font="Symbol" w:char="F0B4"/>
            </w:r>
            <w:r w:rsidRPr="0051662C">
              <w:rPr>
                <w:lang w:val="fr-CH"/>
              </w:rPr>
              <w:t xml:space="preserve"> plancher[(</w:t>
            </w:r>
            <w:r w:rsidRPr="0051662C">
              <w:rPr>
                <w:i/>
                <w:iCs/>
                <w:lang w:val="fr-CH"/>
              </w:rPr>
              <w:t>n</w:t>
            </w:r>
            <w:r w:rsidRPr="0051662C">
              <w:rPr>
                <w:lang w:val="fr-CH"/>
              </w:rPr>
              <w:t> − 601) / 38]</w:t>
            </w:r>
          </w:p>
        </w:tc>
        <w:tc>
          <w:tcPr>
            <w:tcW w:w="2993" w:type="dxa"/>
          </w:tcPr>
          <w:p w:rsidR="006E4BDA" w:rsidRPr="0051662C" w:rsidRDefault="006E4BDA" w:rsidP="006E75B8">
            <w:pPr>
              <w:pStyle w:val="Tabletext"/>
              <w:jc w:val="center"/>
              <w:rPr>
                <w:i/>
                <w:iCs/>
                <w:lang w:val="fr-CH"/>
              </w:rPr>
            </w:pPr>
            <w:r w:rsidRPr="0051662C">
              <w:rPr>
                <w:i/>
                <w:iCs/>
                <w:lang w:val="fr-CH"/>
              </w:rPr>
              <w:t>f</w:t>
            </w:r>
            <w:r w:rsidRPr="0051662C">
              <w:rPr>
                <w:i/>
                <w:iCs/>
                <w:vertAlign w:val="subscript"/>
                <w:lang w:val="fr-CH"/>
              </w:rPr>
              <w:t>n</w:t>
            </w:r>
            <w:r w:rsidRPr="0051662C">
              <w:rPr>
                <w:lang w:val="fr-CH"/>
              </w:rPr>
              <w:t xml:space="preserve"> = 866,0125 + 0,5 </w:t>
            </w:r>
            <w:r w:rsidRPr="0051662C">
              <w:rPr>
                <w:lang w:val="fr-CH"/>
              </w:rPr>
              <w:sym w:font="Symbol" w:char="F0B4"/>
            </w:r>
            <w:r w:rsidRPr="0051662C">
              <w:rPr>
                <w:lang w:val="fr-CH"/>
              </w:rPr>
              <w:t xml:space="preserve"> plancher[(</w:t>
            </w:r>
            <w:r w:rsidRPr="0051662C">
              <w:rPr>
                <w:i/>
                <w:iCs/>
                <w:lang w:val="fr-CH"/>
              </w:rPr>
              <w:t>n</w:t>
            </w:r>
            <w:r w:rsidRPr="0051662C">
              <w:rPr>
                <w:lang w:val="fr-CH"/>
              </w:rPr>
              <w:t> − 601) / 38]</w:t>
            </w:r>
          </w:p>
        </w:tc>
        <w:tc>
          <w:tcPr>
            <w:tcW w:w="1701" w:type="dxa"/>
            <w:vAlign w:val="center"/>
          </w:tcPr>
          <w:p w:rsidR="006E4BDA" w:rsidRPr="0051662C" w:rsidRDefault="006E4BDA" w:rsidP="006E75B8">
            <w:pPr>
              <w:pStyle w:val="Tabletext"/>
              <w:keepNext/>
              <w:keepLines/>
              <w:jc w:val="center"/>
              <w:rPr>
                <w:iCs/>
                <w:lang w:val="fr-CH"/>
              </w:rPr>
            </w:pPr>
            <w:r w:rsidRPr="0051662C">
              <w:rPr>
                <w:iCs/>
                <w:lang w:val="fr-CH"/>
              </w:rPr>
              <w:t>25</w:t>
            </w:r>
          </w:p>
        </w:tc>
      </w:tr>
      <w:tr w:rsidR="006E4BDA" w:rsidRPr="0051662C" w:rsidTr="006E75B8">
        <w:trPr>
          <w:trHeight w:val="296"/>
          <w:jc w:val="center"/>
        </w:trPr>
        <w:tc>
          <w:tcPr>
            <w:tcW w:w="1908" w:type="dxa"/>
          </w:tcPr>
          <w:p w:rsidR="006E4BDA" w:rsidRPr="0051662C" w:rsidRDefault="006E4BDA" w:rsidP="006E75B8">
            <w:pPr>
              <w:pStyle w:val="Tabletext"/>
              <w:jc w:val="center"/>
              <w:rPr>
                <w:i/>
                <w:iCs/>
                <w:lang w:val="fr-CH"/>
              </w:rPr>
            </w:pPr>
            <w:r w:rsidRPr="0051662C">
              <w:rPr>
                <w:i/>
                <w:iCs/>
                <w:lang w:val="fr-CH"/>
              </w:rPr>
              <w:t>n</w:t>
            </w:r>
            <w:r w:rsidRPr="0051662C">
              <w:rPr>
                <w:lang w:val="fr-CH"/>
              </w:rPr>
              <w:t xml:space="preserve"> = 791 to 830</w:t>
            </w:r>
          </w:p>
        </w:tc>
        <w:tc>
          <w:tcPr>
            <w:tcW w:w="3037" w:type="dxa"/>
          </w:tcPr>
          <w:p w:rsidR="006E4BDA" w:rsidRPr="0051662C" w:rsidRDefault="006E4BDA" w:rsidP="006E75B8">
            <w:pPr>
              <w:pStyle w:val="Tabletext"/>
              <w:jc w:val="center"/>
              <w:rPr>
                <w:i/>
                <w:iCs/>
                <w:lang w:val="fr-CH"/>
              </w:rPr>
            </w:pPr>
            <w:r w:rsidRPr="0051662C">
              <w:rPr>
                <w:i/>
                <w:iCs/>
                <w:lang w:val="fr-CH"/>
              </w:rPr>
              <w:t>f</w:t>
            </w:r>
            <w:r w:rsidRPr="0051662C">
              <w:rPr>
                <w:i/>
                <w:iCs/>
                <w:vertAlign w:val="subscript"/>
                <w:lang w:val="fr-CH"/>
              </w:rPr>
              <w:t>n</w:t>
            </w:r>
            <w:r w:rsidRPr="0051662C">
              <w:rPr>
                <w:lang w:val="fr-CH"/>
              </w:rPr>
              <w:t xml:space="preserve"> = 823,5 + (0,0125) </w:t>
            </w:r>
            <w:r w:rsidRPr="0051662C">
              <w:rPr>
                <w:lang w:val="fr-CH"/>
              </w:rPr>
              <w:sym w:font="Symbol" w:char="F0B4"/>
            </w:r>
            <w:r w:rsidRPr="0051662C">
              <w:rPr>
                <w:lang w:val="fr-CH"/>
              </w:rPr>
              <w:t xml:space="preserve"> (</w:t>
            </w:r>
            <w:r w:rsidRPr="0051662C">
              <w:rPr>
                <w:i/>
                <w:iCs/>
                <w:lang w:val="fr-CH"/>
              </w:rPr>
              <w:t>n</w:t>
            </w:r>
            <w:r w:rsidRPr="0051662C">
              <w:rPr>
                <w:lang w:val="fr-CH"/>
              </w:rPr>
              <w:t> − 791)</w:t>
            </w:r>
          </w:p>
        </w:tc>
        <w:tc>
          <w:tcPr>
            <w:tcW w:w="2993" w:type="dxa"/>
          </w:tcPr>
          <w:p w:rsidR="006E4BDA" w:rsidRPr="0051662C" w:rsidRDefault="006E4BDA" w:rsidP="006E75B8">
            <w:pPr>
              <w:pStyle w:val="Tabletext"/>
              <w:jc w:val="center"/>
              <w:rPr>
                <w:i/>
                <w:iCs/>
                <w:lang w:val="fr-CH"/>
              </w:rPr>
            </w:pPr>
            <w:r w:rsidRPr="0051662C">
              <w:rPr>
                <w:i/>
                <w:iCs/>
                <w:lang w:val="fr-CH"/>
              </w:rPr>
              <w:t>f</w:t>
            </w:r>
            <w:r w:rsidRPr="0051662C">
              <w:rPr>
                <w:i/>
                <w:iCs/>
                <w:vertAlign w:val="subscript"/>
                <w:lang w:val="fr-CH"/>
              </w:rPr>
              <w:t>n</w:t>
            </w:r>
            <w:r w:rsidRPr="0051662C">
              <w:rPr>
                <w:lang w:val="fr-CH"/>
              </w:rPr>
              <w:t xml:space="preserve"> = 868,5 + (0,0125) </w:t>
            </w:r>
            <w:r w:rsidRPr="0051662C">
              <w:rPr>
                <w:lang w:val="fr-CH"/>
              </w:rPr>
              <w:sym w:font="Symbol" w:char="F0B4"/>
            </w:r>
            <w:r w:rsidRPr="0051662C">
              <w:rPr>
                <w:lang w:val="fr-CH"/>
              </w:rPr>
              <w:t xml:space="preserve"> (</w:t>
            </w:r>
            <w:r w:rsidRPr="0051662C">
              <w:rPr>
                <w:i/>
                <w:iCs/>
                <w:lang w:val="fr-CH"/>
              </w:rPr>
              <w:t>n</w:t>
            </w:r>
            <w:r w:rsidRPr="0051662C">
              <w:rPr>
                <w:lang w:val="fr-CH"/>
              </w:rPr>
              <w:t> − 791)</w:t>
            </w:r>
          </w:p>
        </w:tc>
        <w:tc>
          <w:tcPr>
            <w:tcW w:w="1701" w:type="dxa"/>
            <w:vAlign w:val="center"/>
          </w:tcPr>
          <w:p w:rsidR="006E4BDA" w:rsidRPr="0051662C" w:rsidRDefault="006E4BDA" w:rsidP="006E75B8">
            <w:pPr>
              <w:pStyle w:val="Tabletext"/>
              <w:keepNext/>
              <w:keepLines/>
              <w:ind w:left="794" w:hanging="794"/>
              <w:jc w:val="center"/>
              <w:outlineLvl w:val="2"/>
              <w:rPr>
                <w:iCs/>
                <w:lang w:val="fr-CH"/>
              </w:rPr>
            </w:pPr>
            <w:r w:rsidRPr="0051662C">
              <w:rPr>
                <w:iCs/>
                <w:lang w:val="fr-CH"/>
              </w:rPr>
              <w:t>12,5</w:t>
            </w:r>
          </w:p>
        </w:tc>
      </w:tr>
    </w:tbl>
    <w:p w:rsidR="006E4BDA" w:rsidRPr="0051662C" w:rsidRDefault="006E4BDA" w:rsidP="006E4BDA">
      <w:pPr>
        <w:pStyle w:val="Tablefin"/>
        <w:rPr>
          <w:lang w:val="fr-CH"/>
        </w:rPr>
      </w:pPr>
    </w:p>
    <w:p w:rsidR="006E4BDA" w:rsidRPr="0051662C" w:rsidRDefault="006E4BDA" w:rsidP="006E4BDA">
      <w:pPr>
        <w:rPr>
          <w:lang w:val="fr-CH"/>
        </w:rPr>
      </w:pPr>
    </w:p>
    <w:p w:rsidR="006E4BDA" w:rsidRPr="0051662C" w:rsidRDefault="006E4BDA" w:rsidP="006E4BDA">
      <w:pPr>
        <w:rPr>
          <w:lang w:val="fr-CH"/>
        </w:rPr>
      </w:pPr>
    </w:p>
    <w:p w:rsidR="006E4BDA" w:rsidRPr="0051662C" w:rsidRDefault="006E4BDA" w:rsidP="0051662C">
      <w:pPr>
        <w:pStyle w:val="AnnexNoTitle"/>
        <w:rPr>
          <w:lang w:val="fr-CH"/>
        </w:rPr>
      </w:pPr>
      <w:r w:rsidRPr="0051662C">
        <w:rPr>
          <w:lang w:val="fr-CH"/>
        </w:rPr>
        <w:t>Annexe 4</w:t>
      </w:r>
      <w:r w:rsidRPr="0051662C">
        <w:rPr>
          <w:lang w:val="fr-CH"/>
        </w:rPr>
        <w:br/>
      </w:r>
      <w:r w:rsidRPr="0051662C">
        <w:rPr>
          <w:lang w:val="fr-CH"/>
        </w:rPr>
        <w:br/>
        <w:t>Exemples de dispositions de fréquences pour les bandes 806-824 MHz</w:t>
      </w:r>
      <w:r w:rsidRPr="0051662C">
        <w:rPr>
          <w:lang w:val="fr-CH"/>
        </w:rPr>
        <w:br/>
        <w:t>et 851-869 MHz dans certains pays de la Région 3 pour les</w:t>
      </w:r>
      <w:r w:rsidRPr="0051662C">
        <w:rPr>
          <w:lang w:val="fr-CH"/>
        </w:rPr>
        <w:br/>
        <w:t>applications à bande étroite liées à la protection du public</w:t>
      </w:r>
      <w:r w:rsidRPr="0051662C">
        <w:rPr>
          <w:lang w:val="fr-CH"/>
        </w:rPr>
        <w:br/>
        <w:t>et aux opérations de secours en cas de catastrophe</w:t>
      </w:r>
    </w:p>
    <w:p w:rsidR="006E4BDA" w:rsidRPr="0051662C" w:rsidRDefault="006E4BDA" w:rsidP="006E4BDA">
      <w:pPr>
        <w:pStyle w:val="Normalaftertitle"/>
        <w:rPr>
          <w:lang w:val="fr-CH"/>
        </w:rPr>
      </w:pPr>
      <w:r w:rsidRPr="0051662C">
        <w:rPr>
          <w:lang w:val="fr-CH"/>
        </w:rPr>
        <w:t>Cet exemple de disposition de fréquences est donné pour information.</w:t>
      </w:r>
    </w:p>
    <w:p w:rsidR="006E4BDA" w:rsidRPr="0051662C" w:rsidRDefault="006E4BDA" w:rsidP="0051662C">
      <w:pPr>
        <w:rPr>
          <w:lang w:val="fr-CH"/>
        </w:rPr>
      </w:pPr>
      <w:r w:rsidRPr="0051662C">
        <w:rPr>
          <w:lang w:val="fr-CH"/>
        </w:rPr>
        <w:t>La totalité de la bande peut normalement être utilisée avec des largeurs de bande de canal de 25 kHz pour les systèmes numériques de radiocommunication à ressources partagées. Toutefois, il se peut que certaines administrations veuillent utiliser des largeurs de bande de canal différentes en fonction de leur politique. La présente annexe donne un exemple de disposition des canaux. Trois dispositions des canaux peuvent être envisagées dans cette bande. Dans la sous</w:t>
      </w:r>
      <w:r w:rsidRPr="0051662C">
        <w:rPr>
          <w:lang w:val="fr-CH"/>
        </w:rPr>
        <w:noBreakHyphen/>
        <w:t>bande 806</w:t>
      </w:r>
      <w:r w:rsidRPr="0051662C">
        <w:rPr>
          <w:lang w:val="fr-CH"/>
        </w:rPr>
        <w:noBreakHyphen/>
        <w:t>811/851</w:t>
      </w:r>
      <w:r w:rsidRPr="0051662C">
        <w:rPr>
          <w:lang w:val="fr-CH"/>
        </w:rPr>
        <w:noBreakHyphen/>
        <w:t>856 MHz, la largeur de bande du canal est de 25 kHz, dans la sous-bande 811</w:t>
      </w:r>
      <w:r w:rsidRPr="0051662C">
        <w:rPr>
          <w:lang w:val="fr-CH"/>
        </w:rPr>
        <w:noBreakHyphen/>
        <w:t>813,5/856</w:t>
      </w:r>
      <w:r w:rsidRPr="0051662C">
        <w:rPr>
          <w:lang w:val="fr-CH"/>
        </w:rPr>
        <w:noBreakHyphen/>
        <w:t>858,5 MHz elle est de 12,5 kHz et dans la sous</w:t>
      </w:r>
      <w:r w:rsidRPr="0051662C">
        <w:rPr>
          <w:lang w:val="fr-CH"/>
        </w:rPr>
        <w:noBreakHyphen/>
        <w:t>bande 813,5</w:t>
      </w:r>
      <w:r w:rsidRPr="0051662C">
        <w:rPr>
          <w:lang w:val="fr-CH"/>
        </w:rPr>
        <w:noBreakHyphen/>
        <w:t>816/858-861 MHz elle</w:t>
      </w:r>
      <w:r w:rsidR="0051662C" w:rsidRPr="0051662C">
        <w:rPr>
          <w:lang w:val="fr-CH"/>
        </w:rPr>
        <w:t xml:space="preserve"> </w:t>
      </w:r>
      <w:r w:rsidRPr="0051662C">
        <w:rPr>
          <w:lang w:val="fr-CH"/>
        </w:rPr>
        <w:t>est de 6,25 kHz.</w:t>
      </w:r>
    </w:p>
    <w:p w:rsidR="006E4BDA" w:rsidRPr="0051662C" w:rsidRDefault="006E4BDA" w:rsidP="006E4BDA">
      <w:pPr>
        <w:rPr>
          <w:lang w:val="fr-CH"/>
        </w:rPr>
      </w:pPr>
      <w:r w:rsidRPr="0051662C">
        <w:rPr>
          <w:lang w:val="fr-CH"/>
        </w:rPr>
        <w:t>Les formules à utiliser pour calculer la fréquence centrale de chaque canal sont les suivantes :</w:t>
      </w:r>
    </w:p>
    <w:p w:rsidR="006E4BDA" w:rsidRPr="0051662C" w:rsidRDefault="006E4BDA" w:rsidP="006E4BDA">
      <w:pPr>
        <w:pStyle w:val="enumlev1"/>
        <w:rPr>
          <w:rFonts w:eastAsia="BatangChe"/>
          <w:lang w:val="fr-CH" w:eastAsia="ko-KR"/>
        </w:rPr>
      </w:pPr>
      <w:r w:rsidRPr="0051662C">
        <w:rPr>
          <w:lang w:val="fr-CH"/>
        </w:rPr>
        <w:t>–</w:t>
      </w:r>
      <w:r w:rsidRPr="0051662C">
        <w:rPr>
          <w:lang w:val="fr-CH"/>
        </w:rPr>
        <w:tab/>
        <w:t>Dans la sous</w:t>
      </w:r>
      <w:r w:rsidRPr="0051662C">
        <w:rPr>
          <w:lang w:val="fr-CH"/>
        </w:rPr>
        <w:noBreakHyphen/>
        <w:t>bande 806-811/851-856 MHz:</w:t>
      </w:r>
    </w:p>
    <w:p w:rsidR="006E4BDA" w:rsidRPr="0051662C" w:rsidRDefault="006E4BDA" w:rsidP="006E4BDA">
      <w:pPr>
        <w:pStyle w:val="enumlev2"/>
        <w:rPr>
          <w:rFonts w:eastAsia="BatangChe"/>
          <w:lang w:val="fr-CH"/>
        </w:rPr>
      </w:pPr>
      <w:r w:rsidRPr="0051662C">
        <w:rPr>
          <w:lang w:val="fr-CH"/>
        </w:rPr>
        <w:t>La bande est divisée en canaux de 25 kHz</w:t>
      </w:r>
      <w:r w:rsidRPr="0051662C">
        <w:rPr>
          <w:rFonts w:eastAsia="BatangChe"/>
          <w:lang w:val="fr-CH"/>
        </w:rPr>
        <w:t>.</w:t>
      </w:r>
    </w:p>
    <w:p w:rsidR="006E4BDA" w:rsidRPr="0051662C" w:rsidRDefault="006E4BDA" w:rsidP="006E4BDA">
      <w:pPr>
        <w:pStyle w:val="enumlev2"/>
        <w:rPr>
          <w:lang w:val="fr-CH"/>
        </w:rPr>
      </w:pPr>
      <w:r w:rsidRPr="0051662C">
        <w:rPr>
          <w:lang w:val="fr-CH"/>
        </w:rPr>
        <w:t xml:space="preserve">Fréquence centrale du </w:t>
      </w:r>
      <w:r w:rsidRPr="0051662C">
        <w:rPr>
          <w:i/>
          <w:iCs/>
          <w:lang w:val="fr-CH"/>
        </w:rPr>
        <w:t>n</w:t>
      </w:r>
      <w:r w:rsidRPr="0051662C">
        <w:rPr>
          <w:lang w:val="fr-CH"/>
        </w:rPr>
        <w:t>ième canal d'émission de la station de base (MHz):</w:t>
      </w:r>
    </w:p>
    <w:p w:rsidR="006E4BDA" w:rsidRPr="0051662C" w:rsidRDefault="006E4BDA" w:rsidP="006E4BDA">
      <w:pPr>
        <w:pStyle w:val="enumlev3"/>
        <w:rPr>
          <w:rFonts w:eastAsia="BatangChe"/>
          <w:lang w:val="fr-CH"/>
        </w:rPr>
      </w:pPr>
      <w:r w:rsidRPr="0051662C">
        <w:rPr>
          <w:rFonts w:eastAsia="BatangChe"/>
          <w:lang w:val="fr-CH"/>
        </w:rPr>
        <w:t>F</w:t>
      </w:r>
      <w:r w:rsidRPr="0051662C">
        <w:rPr>
          <w:rFonts w:eastAsia="BatangChe"/>
          <w:vertAlign w:val="subscript"/>
          <w:lang w:val="fr-CH"/>
        </w:rPr>
        <w:t>N</w:t>
      </w:r>
      <w:r w:rsidRPr="0051662C">
        <w:rPr>
          <w:rFonts w:eastAsia="BatangChe"/>
          <w:lang w:val="fr-CH"/>
        </w:rPr>
        <w:t xml:space="preserve"> = 851,0125 + (N − 1) × 0,025 </w:t>
      </w:r>
      <w:r w:rsidRPr="0051662C">
        <w:rPr>
          <w:rFonts w:eastAsia="BatangChe"/>
          <w:lang w:val="fr-CH"/>
        </w:rPr>
        <w:tab/>
        <w:t>N = 1, 2, 3, …, 200</w:t>
      </w:r>
    </w:p>
    <w:p w:rsidR="006E4BDA" w:rsidRPr="0051662C" w:rsidRDefault="006E4BDA" w:rsidP="006E4BDA">
      <w:pPr>
        <w:pStyle w:val="enumlev2"/>
        <w:rPr>
          <w:rFonts w:eastAsia="BatangChe"/>
          <w:lang w:val="fr-CH"/>
        </w:rPr>
      </w:pPr>
      <w:r w:rsidRPr="0051662C">
        <w:rPr>
          <w:lang w:val="fr-CH"/>
        </w:rPr>
        <w:t xml:space="preserve">Fréquence centrale du </w:t>
      </w:r>
      <w:r w:rsidRPr="0051662C">
        <w:rPr>
          <w:i/>
          <w:iCs/>
          <w:lang w:val="fr-CH"/>
        </w:rPr>
        <w:t>n</w:t>
      </w:r>
      <w:r w:rsidRPr="0051662C">
        <w:rPr>
          <w:lang w:val="fr-CH"/>
        </w:rPr>
        <w:t>ième canal de réception de la station de base</w:t>
      </w:r>
      <w:r w:rsidRPr="0051662C">
        <w:rPr>
          <w:rFonts w:eastAsia="BatangChe"/>
          <w:lang w:val="fr-CH"/>
        </w:rPr>
        <w:t xml:space="preserve"> (MHz):</w:t>
      </w:r>
    </w:p>
    <w:p w:rsidR="006E4BDA" w:rsidRPr="0051662C" w:rsidRDefault="006E4BDA" w:rsidP="006E4BDA">
      <w:pPr>
        <w:pStyle w:val="enumlev3"/>
        <w:rPr>
          <w:rFonts w:eastAsia="BatangChe"/>
          <w:lang w:val="fr-CH" w:eastAsia="ko-KR"/>
        </w:rPr>
      </w:pPr>
      <w:r w:rsidRPr="0051662C">
        <w:rPr>
          <w:rFonts w:eastAsia="BatangChe"/>
          <w:lang w:val="fr-CH"/>
        </w:rPr>
        <w:t>F</w:t>
      </w:r>
      <w:r w:rsidRPr="0051662C">
        <w:rPr>
          <w:rFonts w:eastAsia="BatangChe"/>
          <w:vertAlign w:val="subscript"/>
          <w:lang w:val="fr-CH"/>
        </w:rPr>
        <w:t>N</w:t>
      </w:r>
      <w:r w:rsidRPr="0051662C">
        <w:rPr>
          <w:rFonts w:eastAsia="BatangChe"/>
          <w:vertAlign w:val="superscript"/>
          <w:lang w:val="fr-CH"/>
        </w:rPr>
        <w:t>′</w:t>
      </w:r>
      <w:r w:rsidRPr="0051662C">
        <w:rPr>
          <w:rFonts w:eastAsia="BatangChe"/>
          <w:lang w:val="fr-CH"/>
        </w:rPr>
        <w:t xml:space="preserve"> = 806,0125 + (N − 1) × 0,025 </w:t>
      </w:r>
      <w:r w:rsidRPr="0051662C">
        <w:rPr>
          <w:rFonts w:eastAsia="BatangChe"/>
          <w:lang w:val="fr-CH"/>
        </w:rPr>
        <w:tab/>
        <w:t>N = 1, 2, 3, …, 200</w:t>
      </w:r>
    </w:p>
    <w:p w:rsidR="006E4BDA" w:rsidRPr="0051662C" w:rsidRDefault="006E4BDA" w:rsidP="006E4BDA">
      <w:pPr>
        <w:pStyle w:val="enumlev1"/>
        <w:keepNext/>
        <w:keepLines/>
        <w:rPr>
          <w:lang w:val="fr-CH"/>
        </w:rPr>
      </w:pPr>
      <w:r w:rsidRPr="0051662C">
        <w:rPr>
          <w:lang w:val="fr-CH"/>
        </w:rPr>
        <w:t>–</w:t>
      </w:r>
      <w:r w:rsidRPr="0051662C">
        <w:rPr>
          <w:lang w:val="fr-CH"/>
        </w:rPr>
        <w:tab/>
        <w:t>Dans la sous-bande 811-813,5/856-858,5 MHz:</w:t>
      </w:r>
    </w:p>
    <w:p w:rsidR="006E4BDA" w:rsidRPr="0051662C" w:rsidRDefault="006E4BDA" w:rsidP="006E4BDA">
      <w:pPr>
        <w:pStyle w:val="enumlev2"/>
        <w:rPr>
          <w:rFonts w:eastAsia="BatangChe"/>
          <w:lang w:val="fr-CH"/>
        </w:rPr>
      </w:pPr>
      <w:r w:rsidRPr="0051662C">
        <w:rPr>
          <w:rFonts w:eastAsia="BatangChe"/>
          <w:lang w:val="fr-CH"/>
        </w:rPr>
        <w:t>La sous</w:t>
      </w:r>
      <w:r w:rsidRPr="0051662C">
        <w:rPr>
          <w:rFonts w:eastAsia="BatangChe"/>
          <w:lang w:val="fr-CH"/>
        </w:rPr>
        <w:noBreakHyphen/>
        <w:t>bande est divisée en canaux de 12,5 kHz.</w:t>
      </w:r>
    </w:p>
    <w:p w:rsidR="006E4BDA" w:rsidRPr="0051662C" w:rsidRDefault="006E4BDA" w:rsidP="006E4BDA">
      <w:pPr>
        <w:pStyle w:val="enumlev2"/>
        <w:rPr>
          <w:rFonts w:eastAsia="BatangChe"/>
          <w:lang w:val="fr-CH"/>
        </w:rPr>
      </w:pPr>
      <w:r w:rsidRPr="0051662C">
        <w:rPr>
          <w:lang w:val="fr-CH"/>
        </w:rPr>
        <w:t xml:space="preserve">Fréquence centrale du </w:t>
      </w:r>
      <w:r w:rsidRPr="0051662C">
        <w:rPr>
          <w:i/>
          <w:iCs/>
          <w:lang w:val="fr-CH"/>
        </w:rPr>
        <w:t>n</w:t>
      </w:r>
      <w:r w:rsidRPr="0051662C">
        <w:rPr>
          <w:lang w:val="fr-CH"/>
        </w:rPr>
        <w:t>ième canal d'émission de la station de base (MHz):</w:t>
      </w:r>
    </w:p>
    <w:p w:rsidR="006E4BDA" w:rsidRPr="0051662C" w:rsidRDefault="006E4BDA" w:rsidP="006E4BDA">
      <w:pPr>
        <w:pStyle w:val="enumlev3"/>
        <w:rPr>
          <w:rFonts w:eastAsia="BatangChe"/>
          <w:lang w:val="fr-CH"/>
        </w:rPr>
      </w:pPr>
      <w:r w:rsidRPr="0051662C">
        <w:rPr>
          <w:rFonts w:eastAsia="BatangChe"/>
          <w:lang w:val="fr-CH"/>
        </w:rPr>
        <w:t>F</w:t>
      </w:r>
      <w:r w:rsidRPr="0051662C">
        <w:rPr>
          <w:rFonts w:eastAsia="BatangChe"/>
          <w:vertAlign w:val="subscript"/>
          <w:lang w:val="fr-CH"/>
        </w:rPr>
        <w:t>N</w:t>
      </w:r>
      <w:r w:rsidRPr="0051662C">
        <w:rPr>
          <w:rFonts w:eastAsia="BatangChe"/>
          <w:lang w:val="fr-CH"/>
        </w:rPr>
        <w:t xml:space="preserve"> = 856,00625 + (N − 1) × 0,0125 </w:t>
      </w:r>
      <w:r w:rsidRPr="0051662C">
        <w:rPr>
          <w:rFonts w:eastAsia="BatangChe"/>
          <w:lang w:val="fr-CH"/>
        </w:rPr>
        <w:tab/>
        <w:t>N = 1, 2, 3, …, 200</w:t>
      </w:r>
    </w:p>
    <w:p w:rsidR="006E4BDA" w:rsidRPr="0051662C" w:rsidRDefault="006E4BDA" w:rsidP="006E4BDA">
      <w:pPr>
        <w:pStyle w:val="enumlev2"/>
        <w:rPr>
          <w:rFonts w:eastAsia="BatangChe"/>
          <w:lang w:val="fr-CH"/>
        </w:rPr>
      </w:pPr>
      <w:r w:rsidRPr="0051662C">
        <w:rPr>
          <w:lang w:val="fr-CH"/>
        </w:rPr>
        <w:t xml:space="preserve">Fréquence centrale du </w:t>
      </w:r>
      <w:r w:rsidRPr="0051662C">
        <w:rPr>
          <w:i/>
          <w:iCs/>
          <w:lang w:val="fr-CH"/>
        </w:rPr>
        <w:t>n</w:t>
      </w:r>
      <w:r w:rsidRPr="0051662C">
        <w:rPr>
          <w:lang w:val="fr-CH"/>
        </w:rPr>
        <w:t>ième canal de réception de la station de base (MHz)</w:t>
      </w:r>
      <w:r w:rsidRPr="0051662C">
        <w:rPr>
          <w:rFonts w:eastAsia="BatangChe"/>
          <w:lang w:val="fr-CH"/>
        </w:rPr>
        <w:t>:</w:t>
      </w:r>
    </w:p>
    <w:p w:rsidR="006E4BDA" w:rsidRPr="0051662C" w:rsidRDefault="006E4BDA" w:rsidP="006E4BDA">
      <w:pPr>
        <w:pStyle w:val="enumlev3"/>
        <w:rPr>
          <w:rFonts w:eastAsia="BatangChe"/>
          <w:lang w:val="fr-CH"/>
        </w:rPr>
      </w:pPr>
      <w:r w:rsidRPr="0051662C">
        <w:rPr>
          <w:rFonts w:eastAsia="BatangChe"/>
          <w:lang w:val="fr-CH"/>
        </w:rPr>
        <w:t xml:space="preserve">FN′ = 811,00625 + (N − 1) × 0,0125 </w:t>
      </w:r>
      <w:r w:rsidRPr="0051662C">
        <w:rPr>
          <w:rFonts w:eastAsia="BatangChe"/>
          <w:lang w:val="fr-CH"/>
        </w:rPr>
        <w:tab/>
        <w:t>N = 1, 2, 3, …, 200</w:t>
      </w:r>
    </w:p>
    <w:p w:rsidR="006E4BDA" w:rsidRPr="0051662C" w:rsidRDefault="006E4BDA" w:rsidP="006E4BDA">
      <w:pPr>
        <w:pStyle w:val="enumlev1"/>
        <w:rPr>
          <w:lang w:val="fr-CH"/>
        </w:rPr>
      </w:pPr>
      <w:r w:rsidRPr="0051662C">
        <w:rPr>
          <w:lang w:val="fr-CH"/>
        </w:rPr>
        <w:t>–</w:t>
      </w:r>
      <w:r w:rsidRPr="0051662C">
        <w:rPr>
          <w:lang w:val="fr-CH"/>
        </w:rPr>
        <w:tab/>
        <w:t>Dans la sous</w:t>
      </w:r>
      <w:r w:rsidRPr="0051662C">
        <w:rPr>
          <w:lang w:val="fr-CH"/>
        </w:rPr>
        <w:noBreakHyphen/>
        <w:t>bande 813,5-816/858,5-861 MHz:</w:t>
      </w:r>
    </w:p>
    <w:p w:rsidR="006E4BDA" w:rsidRPr="0051662C" w:rsidRDefault="006E4BDA" w:rsidP="006E4BDA">
      <w:pPr>
        <w:pStyle w:val="enumlev2"/>
        <w:rPr>
          <w:rFonts w:eastAsia="BatangChe"/>
          <w:lang w:val="fr-CH"/>
        </w:rPr>
      </w:pPr>
      <w:r w:rsidRPr="0051662C">
        <w:rPr>
          <w:rFonts w:eastAsia="BatangChe"/>
          <w:lang w:val="fr-CH"/>
        </w:rPr>
        <w:t>La sous</w:t>
      </w:r>
      <w:r w:rsidRPr="0051662C">
        <w:rPr>
          <w:rFonts w:eastAsia="BatangChe"/>
          <w:lang w:val="fr-CH"/>
        </w:rPr>
        <w:noBreakHyphen/>
        <w:t>bande est divisée en canaux de 6,25 kHz.</w:t>
      </w:r>
    </w:p>
    <w:p w:rsidR="006E4BDA" w:rsidRPr="0051662C" w:rsidRDefault="006E4BDA" w:rsidP="006E4BDA">
      <w:pPr>
        <w:pStyle w:val="enumlev2"/>
        <w:rPr>
          <w:rFonts w:eastAsia="BatangChe"/>
          <w:lang w:val="fr-CH"/>
        </w:rPr>
      </w:pPr>
      <w:r w:rsidRPr="0051662C">
        <w:rPr>
          <w:lang w:val="fr-CH"/>
        </w:rPr>
        <w:t xml:space="preserve">Fréquence centrale du </w:t>
      </w:r>
      <w:r w:rsidRPr="0051662C">
        <w:rPr>
          <w:i/>
          <w:iCs/>
          <w:lang w:val="fr-CH"/>
        </w:rPr>
        <w:t>n</w:t>
      </w:r>
      <w:r w:rsidRPr="0051662C">
        <w:rPr>
          <w:lang w:val="fr-CH"/>
        </w:rPr>
        <w:t>ième canal d'émission de la station de base (MHz):</w:t>
      </w:r>
    </w:p>
    <w:p w:rsidR="006E4BDA" w:rsidRPr="0051662C" w:rsidRDefault="006E4BDA" w:rsidP="006E4BDA">
      <w:pPr>
        <w:pStyle w:val="enumlev3"/>
        <w:rPr>
          <w:rFonts w:eastAsia="BatangChe"/>
          <w:lang w:val="fr-CH"/>
        </w:rPr>
      </w:pPr>
      <w:r w:rsidRPr="0051662C">
        <w:rPr>
          <w:rFonts w:eastAsia="BatangChe"/>
          <w:lang w:val="fr-CH"/>
        </w:rPr>
        <w:t>FN = 858,503125 + (N − 1) × 0,00625  N = 1, 2, 3, …, 400</w:t>
      </w:r>
    </w:p>
    <w:p w:rsidR="006E4BDA" w:rsidRPr="0051662C" w:rsidRDefault="006E4BDA" w:rsidP="006E4BDA">
      <w:pPr>
        <w:pStyle w:val="enumlev2"/>
        <w:rPr>
          <w:rFonts w:eastAsia="BatangChe"/>
          <w:lang w:val="fr-CH"/>
        </w:rPr>
      </w:pPr>
      <w:r w:rsidRPr="0051662C">
        <w:rPr>
          <w:lang w:val="fr-CH"/>
        </w:rPr>
        <w:t xml:space="preserve">Fréquence centrale du </w:t>
      </w:r>
      <w:r w:rsidRPr="0051662C">
        <w:rPr>
          <w:i/>
          <w:iCs/>
          <w:lang w:val="fr-CH"/>
        </w:rPr>
        <w:t>n</w:t>
      </w:r>
      <w:r w:rsidRPr="0051662C">
        <w:rPr>
          <w:lang w:val="fr-CH"/>
        </w:rPr>
        <w:t>ième canal de réception de la station de base (MHz)</w:t>
      </w:r>
      <w:r w:rsidRPr="0051662C">
        <w:rPr>
          <w:rFonts w:eastAsia="BatangChe"/>
          <w:lang w:val="fr-CH"/>
        </w:rPr>
        <w:t>:</w:t>
      </w:r>
    </w:p>
    <w:p w:rsidR="006E4BDA" w:rsidRPr="0051662C" w:rsidRDefault="006E4BDA" w:rsidP="006E4BDA">
      <w:pPr>
        <w:pStyle w:val="enumlev3"/>
        <w:rPr>
          <w:rFonts w:eastAsia="BatangChe"/>
          <w:lang w:val="fr-CH"/>
        </w:rPr>
      </w:pPr>
      <w:r w:rsidRPr="0051662C">
        <w:rPr>
          <w:rFonts w:eastAsia="BatangChe"/>
          <w:lang w:val="fr-CH"/>
        </w:rPr>
        <w:t>F</w:t>
      </w:r>
      <w:r w:rsidRPr="0051662C">
        <w:rPr>
          <w:rFonts w:eastAsia="BatangChe"/>
          <w:vertAlign w:val="subscript"/>
          <w:lang w:val="fr-CH"/>
        </w:rPr>
        <w:t>N</w:t>
      </w:r>
      <w:r w:rsidRPr="0051662C">
        <w:rPr>
          <w:rFonts w:eastAsia="BatangChe"/>
          <w:vertAlign w:val="superscript"/>
          <w:lang w:val="fr-CH"/>
        </w:rPr>
        <w:t>′</w:t>
      </w:r>
      <w:r w:rsidRPr="0051662C">
        <w:rPr>
          <w:rFonts w:eastAsia="BatangChe"/>
          <w:lang w:val="fr-CH"/>
        </w:rPr>
        <w:t xml:space="preserve"> = 813,503125 + (N − 1) × 0,00625  N = 1,</w:t>
      </w:r>
      <w:r w:rsidR="00EA7269">
        <w:rPr>
          <w:rFonts w:eastAsia="BatangChe"/>
          <w:lang w:val="fr-CH"/>
        </w:rPr>
        <w:t xml:space="preserve"> </w:t>
      </w:r>
      <w:bookmarkStart w:id="3" w:name="_GoBack"/>
      <w:bookmarkEnd w:id="3"/>
      <w:r w:rsidRPr="0051662C">
        <w:rPr>
          <w:rFonts w:eastAsia="BatangChe"/>
          <w:lang w:val="fr-CH"/>
        </w:rPr>
        <w:t>2, 3, …, 400</w:t>
      </w:r>
    </w:p>
    <w:p w:rsidR="006E4BDA" w:rsidRPr="0051662C" w:rsidRDefault="006E4BDA" w:rsidP="006E4BDA">
      <w:pPr>
        <w:rPr>
          <w:lang w:val="fr-CH"/>
        </w:rPr>
      </w:pPr>
    </w:p>
    <w:p w:rsidR="006E4BDA" w:rsidRPr="0051662C" w:rsidRDefault="006E4BDA" w:rsidP="006E4BDA">
      <w:pPr>
        <w:rPr>
          <w:lang w:val="fr-CH"/>
        </w:rPr>
      </w:pPr>
    </w:p>
    <w:p w:rsidR="006E4BDA" w:rsidRPr="0051662C" w:rsidRDefault="006E4BDA" w:rsidP="006E4BDA">
      <w:pPr>
        <w:pStyle w:val="Line"/>
        <w:rPr>
          <w:lang w:val="fr-CH"/>
        </w:rPr>
      </w:pPr>
    </w:p>
    <w:p w:rsidR="006E4BDA" w:rsidRPr="0051662C" w:rsidRDefault="006E4BDA" w:rsidP="006E4BDA">
      <w:pPr>
        <w:rPr>
          <w:lang w:val="fr-CH"/>
        </w:rPr>
      </w:pPr>
    </w:p>
    <w:sectPr w:rsidR="006E4BDA" w:rsidRPr="0051662C" w:rsidSect="006E4BD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BDA" w:rsidRDefault="006E4BDA">
      <w:r>
        <w:separator/>
      </w:r>
    </w:p>
  </w:endnote>
  <w:endnote w:type="continuationSeparator" w:id="0">
    <w:p w:rsidR="006E4BDA" w:rsidRDefault="006E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BDA" w:rsidRDefault="006E4BDA">
      <w:r>
        <w:separator/>
      </w:r>
    </w:p>
  </w:footnote>
  <w:footnote w:type="continuationSeparator" w:id="0">
    <w:p w:rsidR="006E4BDA" w:rsidRDefault="006E4BDA">
      <w:r>
        <w:continuationSeparator/>
      </w:r>
    </w:p>
  </w:footnote>
  <w:footnote w:id="1">
    <w:p w:rsidR="006E4BDA" w:rsidRPr="00703EFE" w:rsidRDefault="006E4BDA" w:rsidP="006E4BDA">
      <w:pPr>
        <w:pStyle w:val="FootnoteText"/>
      </w:pPr>
      <w:r w:rsidRPr="00703EFE">
        <w:rPr>
          <w:rStyle w:val="FootnoteReference"/>
        </w:rPr>
        <w:footnoteRef/>
      </w:r>
      <w:r w:rsidRPr="00703EFE">
        <w:tab/>
      </w:r>
      <w:r w:rsidRPr="00703EFE">
        <w:rPr>
          <w:color w:val="000000"/>
          <w:lang w:val="fr-CH"/>
        </w:rPr>
        <w:t>Le Venezuela a identifié la bande 380-400 MHz pour les applications de protection du public et de secours en cas de catastrophe</w:t>
      </w:r>
      <w:r w:rsidRPr="00703EFE">
        <w:t>.</w:t>
      </w:r>
    </w:p>
  </w:footnote>
  <w:footnote w:id="2">
    <w:p w:rsidR="006E4BDA" w:rsidRPr="00703EFE" w:rsidRDefault="006E4BDA" w:rsidP="006E4BDA">
      <w:pPr>
        <w:pStyle w:val="FootnoteText"/>
      </w:pPr>
      <w:r w:rsidRPr="00703EFE">
        <w:rPr>
          <w:rStyle w:val="FootnoteReference"/>
        </w:rPr>
        <w:footnoteRef/>
      </w:r>
      <w:r w:rsidRPr="00703EFE">
        <w:tab/>
      </w:r>
      <w:r w:rsidRPr="00703EFE">
        <w:rPr>
          <w:color w:val="000000"/>
          <w:lang w:val="fr-CH"/>
        </w:rPr>
        <w:t>Certains pays de la Région 3 ont également identifié les bandes 380-400 MHz et 746-806 MHz pour les applications de protection du public et de secours en cas de catastrophe</w:t>
      </w:r>
      <w:r w:rsidRPr="00703EFE">
        <w:t>.</w:t>
      </w:r>
    </w:p>
  </w:footnote>
  <w:footnote w:id="3">
    <w:p w:rsidR="006E4BDA" w:rsidRPr="00174B58" w:rsidRDefault="006E4BDA" w:rsidP="006E4BDA">
      <w:pPr>
        <w:pStyle w:val="FootnoteText"/>
      </w:pPr>
      <w:r>
        <w:rPr>
          <w:rStyle w:val="FootnoteReference"/>
        </w:rPr>
        <w:footnoteRef/>
      </w:r>
      <w:r>
        <w:tab/>
      </w:r>
      <w:r w:rsidRPr="00703EFE">
        <w:t>Cette disposition de fréquences provient de la réglementation canadienne. Pour plus de détails, voir l</w:t>
      </w:r>
      <w:r>
        <w:t>'</w:t>
      </w:r>
      <w:r w:rsidRPr="00703EFE">
        <w:t>Avis de la Gazette d</w:t>
      </w:r>
      <w:r>
        <w:t>'</w:t>
      </w:r>
      <w:r w:rsidRPr="00703EFE">
        <w:t>Industrie Canada DGTP-007-09</w:t>
      </w:r>
      <w:r>
        <w:t xml:space="preserve"> </w:t>
      </w:r>
      <w:r w:rsidRPr="00703EFE">
        <w:t>– Systèmes de radiocommunication à bande étroite et à large bande pour les services de sécurité publique dans les bandes 768-776 MHz et 798-806 MHz (</w:t>
      </w:r>
      <w:hyperlink r:id="rId1" w:history="1">
        <w:r w:rsidRPr="00BF021E">
          <w:rPr>
            <w:rStyle w:val="Hyperlink"/>
          </w:rPr>
          <w:t>http://www.ic.gc.ca/eic/site/smt-gst.nsf/eng/sf09553.html</w:t>
        </w:r>
      </w:hyperlink>
      <w:r w:rsidRPr="00703EFE">
        <w:t>).</w:t>
      </w:r>
    </w:p>
  </w:footnote>
  <w:footnote w:id="4">
    <w:p w:rsidR="006E4BDA" w:rsidRPr="00703EFE" w:rsidRDefault="006E4BDA" w:rsidP="0051662C">
      <w:pPr>
        <w:pStyle w:val="FootnoteText"/>
      </w:pPr>
      <w:r w:rsidRPr="00703EFE">
        <w:rPr>
          <w:rStyle w:val="FootnoteReference"/>
        </w:rPr>
        <w:footnoteRef/>
      </w:r>
      <w:r w:rsidRPr="00703EFE">
        <w:t xml:space="preserve"> </w:t>
      </w:r>
      <w:r w:rsidRPr="00703EFE">
        <w:tab/>
        <w:t>Ce plan de fréquences est tiré des règles de la FCC des Etats</w:t>
      </w:r>
      <w:r w:rsidR="0051662C">
        <w:noBreakHyphen/>
      </w:r>
      <w:r w:rsidRPr="00703EFE">
        <w:t>Unis.</w:t>
      </w:r>
      <w:r w:rsidRPr="00703EFE">
        <w:rPr>
          <w:szCs w:val="24"/>
        </w:rPr>
        <w:t xml:space="preserve"> Pour plus de détails, voir la Partie 90 des Règles de la FCC sur: </w:t>
      </w:r>
      <w:hyperlink r:id="rId2" w:history="1">
        <w:r w:rsidRPr="00BF021E">
          <w:rPr>
            <w:rStyle w:val="Hyperlink"/>
            <w:szCs w:val="24"/>
          </w:rPr>
          <w:t>http://wireless.fcc.gov/index.htm?job=rules_and_regulations</w:t>
        </w:r>
      </w:hyperlink>
      <w:r w:rsidRPr="00703EFE">
        <w:t>.</w:t>
      </w:r>
    </w:p>
  </w:footnote>
  <w:footnote w:id="5">
    <w:p w:rsidR="006E4BDA" w:rsidRPr="00703EFE" w:rsidRDefault="006E4BDA" w:rsidP="0051662C">
      <w:pPr>
        <w:pStyle w:val="FootnoteText"/>
      </w:pPr>
      <w:r w:rsidRPr="00703EFE">
        <w:rPr>
          <w:rStyle w:val="FootnoteReference"/>
        </w:rPr>
        <w:footnoteRef/>
      </w:r>
      <w:r w:rsidRPr="00703EFE">
        <w:tab/>
        <w:t xml:space="preserve">Dans </w:t>
      </w:r>
      <w:r>
        <w:t>la présente</w:t>
      </w:r>
      <w:r w:rsidRPr="00703EFE">
        <w:t xml:space="preserve"> Annexe, on entend par applications </w:t>
      </w:r>
      <w:r w:rsidR="0051662C">
        <w:t>«</w:t>
      </w:r>
      <w:r w:rsidRPr="00703EFE">
        <w:t>large bande</w:t>
      </w:r>
      <w:r w:rsidR="0051662C">
        <w:t>»</w:t>
      </w:r>
      <w:r w:rsidRPr="00703EFE">
        <w:t xml:space="preserve"> des applications ayant un</w:t>
      </w:r>
      <w:r w:rsidR="0051662C">
        <w:t xml:space="preserve"> </w:t>
      </w:r>
      <w:r w:rsidRPr="00703EFE">
        <w:t>débit de l</w:t>
      </w:r>
      <w:r>
        <w:t>'ordre de </w:t>
      </w:r>
      <w:r w:rsidRPr="00703EFE">
        <w:t>1 à 100 Mbit/s, la largeur de bande étant fonction de l</w:t>
      </w:r>
      <w:r>
        <w:t>'</w:t>
      </w:r>
      <w:r w:rsidRPr="00703EFE">
        <w:t>emploi de techniques permettant une utilisation efficace du spectre (tiré de la Ré</w:t>
      </w:r>
      <w:r>
        <w:t>solution </w:t>
      </w:r>
      <w:r w:rsidRPr="00703EFE">
        <w:t>646 (Rév.</w:t>
      </w:r>
      <w:r>
        <w:t>CMR</w:t>
      </w:r>
      <w:r w:rsidRPr="00703EFE">
        <w:noBreakHyphen/>
        <w:t xml:space="preserve">12) et du Rapport </w:t>
      </w:r>
      <w:r>
        <w:t>UIT</w:t>
      </w:r>
      <w:r w:rsidRPr="00703EFE">
        <w:noBreakHyphen/>
        <w:t>R M.2033). Il convient de noter que ce terme est défini de façon différente dans d</w:t>
      </w:r>
      <w:r>
        <w:t>'</w:t>
      </w:r>
      <w:r w:rsidRPr="00703EFE">
        <w:t>autres textes de l</w:t>
      </w:r>
      <w:r>
        <w:t>'</w:t>
      </w:r>
      <w:r w:rsidRPr="00703EFE">
        <w:t>UIT (par exemple dans la Recommandation UIT</w:t>
      </w:r>
      <w:r w:rsidRPr="00703EFE">
        <w:noBreakHyphen/>
        <w:t>R F.1399) ou dans les règles de certaines administrations.</w:t>
      </w:r>
    </w:p>
  </w:footnote>
  <w:footnote w:id="6">
    <w:p w:rsidR="006E4BDA" w:rsidRPr="00675649" w:rsidRDefault="006E4BDA" w:rsidP="0051662C">
      <w:pPr>
        <w:pStyle w:val="FootnoteText"/>
      </w:pPr>
      <w:r w:rsidRPr="00703EFE">
        <w:rPr>
          <w:rStyle w:val="FootnoteReference"/>
        </w:rPr>
        <w:footnoteRef/>
      </w:r>
      <w:r w:rsidRPr="00675649">
        <w:t xml:space="preserve"> </w:t>
      </w:r>
      <w:r w:rsidRPr="00675649">
        <w:tab/>
      </w:r>
      <w:r w:rsidRPr="00703EFE">
        <w:t>Ce plan de fréquences est tiré des règles de la FCC des Etats</w:t>
      </w:r>
      <w:r w:rsidR="0051662C">
        <w:noBreakHyphen/>
      </w:r>
      <w:r w:rsidRPr="00703EFE">
        <w:t>Unis.</w:t>
      </w:r>
      <w:r w:rsidRPr="00703EFE">
        <w:rPr>
          <w:szCs w:val="24"/>
        </w:rPr>
        <w:t xml:space="preserve"> Pour plus de détails, voir la Partie 90 des Règles de la FCC sur: </w:t>
      </w:r>
      <w:hyperlink r:id="rId3" w:history="1">
        <w:r w:rsidRPr="00DD0AC1">
          <w:rPr>
            <w:rStyle w:val="Hyperlink"/>
            <w:szCs w:val="24"/>
          </w:rPr>
          <w:t>http://wireless.fcc.gov/index.htm?job=rules_and_regulations</w:t>
        </w:r>
      </w:hyperlink>
      <w:r w:rsidRPr="00703EFE">
        <w:t>.</w:t>
      </w:r>
    </w:p>
  </w:footnote>
  <w:footnote w:id="7">
    <w:p w:rsidR="006E4BDA" w:rsidRPr="00FA4F42" w:rsidRDefault="006E4BDA" w:rsidP="006E4BDA">
      <w:pPr>
        <w:pStyle w:val="FootnoteText"/>
      </w:pPr>
      <w:r w:rsidRPr="00703EFE">
        <w:rPr>
          <w:rStyle w:val="FootnoteReference"/>
        </w:rPr>
        <w:footnoteRef/>
      </w:r>
      <w:r w:rsidRPr="00FA4F42">
        <w:t xml:space="preserve"> </w:t>
      </w:r>
      <w:r w:rsidRPr="00FA4F42">
        <w:tab/>
        <w:t>Le plan de fréquences est tiré des règles canadiennes.</w:t>
      </w:r>
      <w:r>
        <w:t xml:space="preserve"> Pour plus de détails, voir le Plan 502 pour les systèmes de radiocommunication standard sur:</w:t>
      </w:r>
      <w:r w:rsidRPr="00FA4F42">
        <w:t xml:space="preserve"> </w:t>
      </w:r>
      <w:hyperlink r:id="rId4" w:history="1">
        <w:r w:rsidRPr="00DD0AC1">
          <w:rPr>
            <w:rStyle w:val="Hyperlink"/>
          </w:rPr>
          <w:t>http://www.ic.gc.ca/eic/site/smt-gst.nsf/eng/sf00050.html</w:t>
        </w:r>
      </w:hyperlink>
      <w:r w:rsidRPr="00FA4F4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DA" w:rsidRDefault="006E4BD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DA" w:rsidRDefault="006E4BDA" w:rsidP="00C668C8">
    <w:pPr>
      <w:pStyle w:val="Header"/>
      <w:ind w:right="360" w:firstLine="360"/>
    </w:pPr>
    <w:r>
      <w:rPr>
        <w:noProof/>
        <w:lang w:val="en-US" w:eastAsia="zh-CN"/>
      </w:rPr>
      <w:drawing>
        <wp:anchor distT="0" distB="0" distL="114300" distR="114300" simplePos="0" relativeHeight="251659264" behindDoc="1" locked="0" layoutInCell="1" allowOverlap="1" wp14:anchorId="69A84398" wp14:editId="7736055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DA" w:rsidRPr="00837CB5" w:rsidRDefault="006E4BD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A0CD6">
      <w:rPr>
        <w:rStyle w:val="PageNumber"/>
        <w:b/>
        <w:bCs/>
        <w:noProof/>
      </w:rPr>
      <w:t>ii</w:t>
    </w:r>
    <w:r>
      <w:rPr>
        <w:rStyle w:val="PageNumber"/>
        <w:b/>
        <w:bCs/>
      </w:rPr>
      <w:fldChar w:fldCharType="end"/>
    </w:r>
    <w:r w:rsidRPr="00837CB5">
      <w:tab/>
    </w:r>
    <w:r w:rsidR="00EA7269">
      <w:fldChar w:fldCharType="begin"/>
    </w:r>
    <w:r w:rsidR="00EA7269">
      <w:instrText xml:space="preserve"> DOCPROPERTY "Header" \* MERGEFORMAT </w:instrText>
    </w:r>
    <w:r w:rsidR="00EA7269">
      <w:fldChar w:fldCharType="separate"/>
    </w:r>
    <w:r w:rsidR="00FC113F" w:rsidRPr="00FC113F">
      <w:rPr>
        <w:b/>
        <w:bCs/>
      </w:rPr>
      <w:t xml:space="preserve">Rec. </w:t>
    </w:r>
    <w:r w:rsidR="00EA726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A0CD6">
      <w:rPr>
        <w:b/>
        <w:bCs/>
        <w:noProof/>
      </w:rPr>
      <w:t>UIT-R  M.2015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BDA" w:rsidRDefault="006E4BDA">
    <w:pPr>
      <w:pStyle w:val="Header"/>
    </w:pPr>
    <w:r>
      <w:tab/>
    </w:r>
    <w:r w:rsidR="00EA7269">
      <w:fldChar w:fldCharType="begin"/>
    </w:r>
    <w:r w:rsidR="00EA7269">
      <w:instrText xml:space="preserve"> DOCPROPERTY "Header" \* MERGEFORMAT </w:instrText>
    </w:r>
    <w:r w:rsidR="00EA7269">
      <w:fldChar w:fldCharType="separate"/>
    </w:r>
    <w:r w:rsidR="00FC113F" w:rsidRPr="00FC113F">
      <w:rPr>
        <w:b/>
        <w:bCs/>
      </w:rPr>
      <w:t xml:space="preserve">Rec. </w:t>
    </w:r>
    <w:r w:rsidR="00EA7269">
      <w:rPr>
        <w:b/>
        <w:bCs/>
      </w:rPr>
      <w:fldChar w:fldCharType="end"/>
    </w:r>
    <w:r>
      <w:rPr>
        <w:b/>
        <w:bCs/>
      </w:rPr>
      <w:t xml:space="preserve"> </w:t>
    </w:r>
    <w:r>
      <w:rPr>
        <w:b/>
        <w:bCs/>
      </w:rPr>
      <w:fldChar w:fldCharType="begin"/>
    </w:r>
    <w:r>
      <w:rPr>
        <w:b/>
        <w:bCs/>
      </w:rPr>
      <w:instrText>styleref href</w:instrText>
    </w:r>
    <w:r>
      <w:rPr>
        <w:b/>
        <w:bCs/>
      </w:rPr>
      <w:fldChar w:fldCharType="separate"/>
    </w:r>
    <w:r w:rsidR="00FC113F">
      <w:rPr>
        <w:b/>
        <w:bCs/>
        <w:noProof/>
      </w:rPr>
      <w:t>UIT-R  M.2015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A7269">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C113F" w:rsidRPr="00FC113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A7269">
      <w:rPr>
        <w:b/>
        <w:bCs/>
        <w:noProof/>
      </w:rPr>
      <w:t>UIT-R  M.2015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FC113F" w:rsidRPr="00FC11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A7269">
      <w:rPr>
        <w:b/>
        <w:bCs/>
        <w:noProof/>
      </w:rPr>
      <w:t>UIT-R  M.2015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A7269">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BDA"/>
    <w:rsid w:val="00217EBF"/>
    <w:rsid w:val="00242AEE"/>
    <w:rsid w:val="002D76C4"/>
    <w:rsid w:val="0051662C"/>
    <w:rsid w:val="0052529D"/>
    <w:rsid w:val="00607D68"/>
    <w:rsid w:val="006E4BDA"/>
    <w:rsid w:val="007468DA"/>
    <w:rsid w:val="009E00A8"/>
    <w:rsid w:val="00A6617B"/>
    <w:rsid w:val="00AB0DC8"/>
    <w:rsid w:val="00B44E24"/>
    <w:rsid w:val="00DA0CD6"/>
    <w:rsid w:val="00DF4176"/>
    <w:rsid w:val="00EA7269"/>
    <w:rsid w:val="00FC11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B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E4BDA"/>
    <w:pPr>
      <w:keepNext/>
      <w:keepLines/>
      <w:spacing w:before="480"/>
      <w:ind w:left="794" w:hanging="794"/>
      <w:outlineLvl w:val="0"/>
    </w:pPr>
    <w:rPr>
      <w:b/>
    </w:rPr>
  </w:style>
  <w:style w:type="paragraph" w:styleId="Heading2">
    <w:name w:val="heading 2"/>
    <w:basedOn w:val="Heading1"/>
    <w:next w:val="Normal"/>
    <w:qFormat/>
    <w:rsid w:val="006E4BDA"/>
    <w:pPr>
      <w:spacing w:before="320"/>
      <w:outlineLvl w:val="1"/>
    </w:pPr>
  </w:style>
  <w:style w:type="paragraph" w:styleId="Heading3">
    <w:name w:val="heading 3"/>
    <w:basedOn w:val="Heading1"/>
    <w:next w:val="Normal"/>
    <w:qFormat/>
    <w:rsid w:val="006E4BDA"/>
    <w:pPr>
      <w:spacing w:before="200"/>
      <w:outlineLvl w:val="2"/>
    </w:pPr>
  </w:style>
  <w:style w:type="paragraph" w:styleId="Heading4">
    <w:name w:val="heading 4"/>
    <w:basedOn w:val="Heading3"/>
    <w:next w:val="Normal"/>
    <w:qFormat/>
    <w:rsid w:val="006E4BDA"/>
    <w:pPr>
      <w:tabs>
        <w:tab w:val="clear" w:pos="794"/>
        <w:tab w:val="left" w:pos="992"/>
      </w:tabs>
      <w:ind w:left="992" w:hanging="992"/>
      <w:outlineLvl w:val="3"/>
    </w:pPr>
  </w:style>
  <w:style w:type="paragraph" w:styleId="Heading5">
    <w:name w:val="heading 5"/>
    <w:basedOn w:val="Heading4"/>
    <w:next w:val="Normal"/>
    <w:qFormat/>
    <w:rsid w:val="006E4BDA"/>
    <w:pPr>
      <w:outlineLvl w:val="4"/>
    </w:pPr>
  </w:style>
  <w:style w:type="paragraph" w:styleId="Heading6">
    <w:name w:val="heading 6"/>
    <w:basedOn w:val="Heading4"/>
    <w:next w:val="Normal"/>
    <w:qFormat/>
    <w:rsid w:val="006E4BDA"/>
    <w:pPr>
      <w:tabs>
        <w:tab w:val="clear" w:pos="992"/>
        <w:tab w:val="clear" w:pos="1191"/>
      </w:tabs>
      <w:ind w:left="1588" w:hanging="1588"/>
      <w:outlineLvl w:val="5"/>
    </w:pPr>
  </w:style>
  <w:style w:type="paragraph" w:styleId="Heading7">
    <w:name w:val="heading 7"/>
    <w:basedOn w:val="Heading6"/>
    <w:next w:val="Normal"/>
    <w:qFormat/>
    <w:rsid w:val="006E4BDA"/>
    <w:pPr>
      <w:outlineLvl w:val="6"/>
    </w:pPr>
  </w:style>
  <w:style w:type="paragraph" w:styleId="Heading8">
    <w:name w:val="heading 8"/>
    <w:basedOn w:val="Heading6"/>
    <w:next w:val="Normal"/>
    <w:qFormat/>
    <w:rsid w:val="006E4BDA"/>
    <w:pPr>
      <w:outlineLvl w:val="7"/>
    </w:pPr>
  </w:style>
  <w:style w:type="paragraph" w:styleId="Heading9">
    <w:name w:val="heading 9"/>
    <w:basedOn w:val="Heading6"/>
    <w:next w:val="Normal"/>
    <w:qFormat/>
    <w:rsid w:val="006E4B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4B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4B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4BDA"/>
  </w:style>
  <w:style w:type="paragraph" w:customStyle="1" w:styleId="Headingb">
    <w:name w:val="Heading_b"/>
    <w:basedOn w:val="Heading3"/>
    <w:next w:val="Normal"/>
    <w:rsid w:val="006E4BDA"/>
    <w:pPr>
      <w:spacing w:before="160"/>
      <w:ind w:left="0" w:firstLine="0"/>
      <w:outlineLvl w:val="9"/>
    </w:pPr>
  </w:style>
  <w:style w:type="paragraph" w:customStyle="1" w:styleId="Headingi">
    <w:name w:val="Heading_i"/>
    <w:basedOn w:val="Heading3"/>
    <w:next w:val="Normal"/>
    <w:rsid w:val="006E4BDA"/>
    <w:pPr>
      <w:spacing w:before="160"/>
      <w:ind w:left="0" w:firstLine="0"/>
    </w:pPr>
    <w:rPr>
      <w:b w:val="0"/>
      <w:i/>
    </w:rPr>
  </w:style>
  <w:style w:type="character" w:customStyle="1" w:styleId="href">
    <w:name w:val="href"/>
    <w:basedOn w:val="DefaultParagraphFont"/>
    <w:rsid w:val="006E4BDA"/>
  </w:style>
  <w:style w:type="paragraph" w:customStyle="1" w:styleId="enumlev1">
    <w:name w:val="enumlev1"/>
    <w:basedOn w:val="Normal"/>
    <w:link w:val="enumlev1Char"/>
    <w:rsid w:val="006E4BDA"/>
    <w:pPr>
      <w:spacing w:before="80"/>
      <w:ind w:left="794" w:hanging="794"/>
    </w:pPr>
  </w:style>
  <w:style w:type="paragraph" w:customStyle="1" w:styleId="enumlev2">
    <w:name w:val="enumlev2"/>
    <w:basedOn w:val="enumlev1"/>
    <w:rsid w:val="006E4BDA"/>
    <w:pPr>
      <w:ind w:left="1191" w:hanging="397"/>
    </w:pPr>
  </w:style>
  <w:style w:type="paragraph" w:customStyle="1" w:styleId="enumlev3">
    <w:name w:val="enumlev3"/>
    <w:basedOn w:val="enumlev2"/>
    <w:rsid w:val="006E4BDA"/>
    <w:pPr>
      <w:ind w:left="1588"/>
    </w:pPr>
  </w:style>
  <w:style w:type="paragraph" w:customStyle="1" w:styleId="Normalaftertitle">
    <w:name w:val="Normal_after_title"/>
    <w:basedOn w:val="Normal"/>
    <w:next w:val="Normal"/>
    <w:rsid w:val="006E4BDA"/>
    <w:pPr>
      <w:spacing w:before="320"/>
    </w:pPr>
  </w:style>
  <w:style w:type="paragraph" w:customStyle="1" w:styleId="Note">
    <w:name w:val="Note"/>
    <w:basedOn w:val="Normal"/>
    <w:rsid w:val="006E4B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4B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4BDA"/>
    <w:pPr>
      <w:spacing w:before="240"/>
    </w:pPr>
    <w:rPr>
      <w:sz w:val="22"/>
      <w:lang w:val="es-ES_tradnl"/>
    </w:rPr>
  </w:style>
  <w:style w:type="paragraph" w:customStyle="1" w:styleId="Recref">
    <w:name w:val="Rec_ref"/>
    <w:basedOn w:val="Normal"/>
    <w:next w:val="Recdate"/>
    <w:rsid w:val="006E4BDA"/>
    <w:pPr>
      <w:jc w:val="center"/>
    </w:pPr>
  </w:style>
  <w:style w:type="paragraph" w:customStyle="1" w:styleId="Recdate">
    <w:name w:val="Rec_date"/>
    <w:basedOn w:val="Recref"/>
    <w:next w:val="Normalaftertitle"/>
    <w:rsid w:val="006E4BDA"/>
    <w:pPr>
      <w:jc w:val="right"/>
    </w:pPr>
  </w:style>
  <w:style w:type="paragraph" w:customStyle="1" w:styleId="AnnexNoTitle">
    <w:name w:val="Annex_NoTitle"/>
    <w:basedOn w:val="Normal"/>
    <w:next w:val="Normalaftertitle"/>
    <w:link w:val="AnnexNoTitleChar"/>
    <w:rsid w:val="006E4BDA"/>
    <w:pPr>
      <w:keepNext/>
      <w:keepLines/>
      <w:spacing w:before="480" w:after="80"/>
      <w:jc w:val="center"/>
    </w:pPr>
    <w:rPr>
      <w:b/>
      <w:sz w:val="28"/>
    </w:rPr>
  </w:style>
  <w:style w:type="paragraph" w:customStyle="1" w:styleId="AppendixNoTitle">
    <w:name w:val="Appendix_NoTitle"/>
    <w:basedOn w:val="AnnexNoTitle"/>
    <w:next w:val="Normal"/>
    <w:rsid w:val="006E4BDA"/>
  </w:style>
  <w:style w:type="paragraph" w:customStyle="1" w:styleId="Tablefin">
    <w:name w:val="Table_fin"/>
    <w:basedOn w:val="Normal"/>
    <w:next w:val="Normal"/>
    <w:rsid w:val="006E4BDA"/>
    <w:pPr>
      <w:spacing w:before="0"/>
    </w:pPr>
    <w:rPr>
      <w:sz w:val="20"/>
      <w:lang w:val="en-GB"/>
    </w:rPr>
  </w:style>
  <w:style w:type="paragraph" w:customStyle="1" w:styleId="Tablehead">
    <w:name w:val="Table_head"/>
    <w:basedOn w:val="Normal"/>
    <w:next w:val="Normal"/>
    <w:link w:val="TableheadChar"/>
    <w:rsid w:val="006E4B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E4BDA"/>
    <w:pPr>
      <w:keepNext/>
      <w:spacing w:before="360" w:after="120"/>
      <w:jc w:val="center"/>
    </w:pPr>
  </w:style>
  <w:style w:type="paragraph" w:customStyle="1" w:styleId="Tabletext">
    <w:name w:val="Table_text"/>
    <w:basedOn w:val="Normal"/>
    <w:link w:val="TabletextChar"/>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E4BDA"/>
    <w:pPr>
      <w:tabs>
        <w:tab w:val="clear" w:pos="1191"/>
        <w:tab w:val="clear" w:pos="1588"/>
        <w:tab w:val="clear" w:pos="1985"/>
        <w:tab w:val="center" w:pos="4820"/>
        <w:tab w:val="right" w:pos="9639"/>
      </w:tabs>
    </w:pPr>
  </w:style>
  <w:style w:type="paragraph" w:customStyle="1" w:styleId="Equationlegend">
    <w:name w:val="Equation_legend"/>
    <w:basedOn w:val="NormalIndent"/>
    <w:rsid w:val="006E4B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4BDA"/>
    <w:pPr>
      <w:ind w:left="794"/>
    </w:pPr>
  </w:style>
  <w:style w:type="paragraph" w:customStyle="1" w:styleId="Figurelegend">
    <w:name w:val="Figure_legend"/>
    <w:basedOn w:val="Normal"/>
    <w:rsid w:val="006E4B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4BDA"/>
    <w:pPr>
      <w:keepNext/>
      <w:keepLines/>
      <w:spacing w:before="480" w:after="80"/>
      <w:jc w:val="center"/>
    </w:pPr>
    <w:rPr>
      <w:caps/>
      <w:sz w:val="18"/>
    </w:rPr>
  </w:style>
  <w:style w:type="paragraph" w:customStyle="1" w:styleId="tocpart">
    <w:name w:val="tocpart"/>
    <w:basedOn w:val="Normal"/>
    <w:rsid w:val="006E4B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4BDA"/>
    <w:pPr>
      <w:keepNext/>
      <w:keepLines/>
      <w:spacing w:before="480"/>
      <w:jc w:val="center"/>
    </w:pPr>
    <w:rPr>
      <w:sz w:val="28"/>
    </w:rPr>
  </w:style>
  <w:style w:type="paragraph" w:customStyle="1" w:styleId="Arttitle">
    <w:name w:val="Art_title"/>
    <w:basedOn w:val="Normal"/>
    <w:next w:val="Normalaftertitle"/>
    <w:rsid w:val="006E4BDA"/>
    <w:pPr>
      <w:keepNext/>
      <w:keepLines/>
      <w:spacing w:before="240"/>
      <w:jc w:val="center"/>
    </w:pPr>
    <w:rPr>
      <w:b/>
      <w:sz w:val="28"/>
    </w:rPr>
  </w:style>
  <w:style w:type="paragraph" w:customStyle="1" w:styleId="Blanc">
    <w:name w:val="Blanc"/>
    <w:basedOn w:val="Normal"/>
    <w:next w:val="Tabletext"/>
    <w:rsid w:val="006E4B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4B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4BDA"/>
    <w:pPr>
      <w:keepNext/>
      <w:keepLines/>
      <w:spacing w:before="160"/>
      <w:ind w:left="794"/>
    </w:pPr>
    <w:rPr>
      <w:i/>
    </w:rPr>
  </w:style>
  <w:style w:type="paragraph" w:customStyle="1" w:styleId="ChapNo">
    <w:name w:val="Chap_No"/>
    <w:basedOn w:val="ArtNo"/>
    <w:next w:val="Chaptitle"/>
    <w:rsid w:val="006E4BDA"/>
    <w:rPr>
      <w:b/>
    </w:rPr>
  </w:style>
  <w:style w:type="paragraph" w:customStyle="1" w:styleId="Chaptitle">
    <w:name w:val="Chap_title"/>
    <w:basedOn w:val="Arttitle"/>
    <w:next w:val="Normalaftertitle"/>
    <w:rsid w:val="006E4BDA"/>
  </w:style>
  <w:style w:type="character" w:styleId="FootnoteReference">
    <w:name w:val="footnote reference"/>
    <w:aliases w:val="Footnote Reference/,Appel note de bas de p,Style 12,(NECG) Footnote Reference,Style 124"/>
    <w:basedOn w:val="DefaultParagraphFont"/>
    <w:rsid w:val="006E4BDA"/>
    <w:rPr>
      <w:position w:val="6"/>
      <w:sz w:val="18"/>
    </w:rPr>
  </w:style>
  <w:style w:type="paragraph" w:styleId="FootnoteText">
    <w:name w:val="footnote text"/>
    <w:basedOn w:val="Normal"/>
    <w:link w:val="FootnoteTextChar"/>
    <w:rsid w:val="006E4BDA"/>
    <w:pPr>
      <w:keepLines/>
      <w:tabs>
        <w:tab w:val="left" w:pos="255"/>
      </w:tabs>
      <w:ind w:left="255" w:hanging="255"/>
    </w:pPr>
    <w:rPr>
      <w:sz w:val="22"/>
    </w:rPr>
  </w:style>
  <w:style w:type="paragraph" w:styleId="Index1">
    <w:name w:val="index 1"/>
    <w:basedOn w:val="Normal"/>
    <w:next w:val="Normal"/>
    <w:semiHidden/>
    <w:rsid w:val="006E4BDA"/>
  </w:style>
  <w:style w:type="paragraph" w:styleId="Index2">
    <w:name w:val="index 2"/>
    <w:basedOn w:val="Normal"/>
    <w:next w:val="Normal"/>
    <w:semiHidden/>
    <w:rsid w:val="006E4BDA"/>
    <w:pPr>
      <w:ind w:left="283"/>
    </w:pPr>
  </w:style>
  <w:style w:type="paragraph" w:styleId="Index3">
    <w:name w:val="index 3"/>
    <w:basedOn w:val="Normal"/>
    <w:next w:val="Normal"/>
    <w:semiHidden/>
    <w:rsid w:val="006E4BDA"/>
    <w:pPr>
      <w:ind w:left="566"/>
    </w:pPr>
  </w:style>
  <w:style w:type="paragraph" w:styleId="IndexHeading">
    <w:name w:val="index heading"/>
    <w:basedOn w:val="Normal"/>
    <w:next w:val="Index1"/>
    <w:semiHidden/>
    <w:rsid w:val="006E4BDA"/>
  </w:style>
  <w:style w:type="paragraph" w:customStyle="1" w:styleId="Line">
    <w:name w:val="Line"/>
    <w:basedOn w:val="Normal"/>
    <w:next w:val="Normal"/>
    <w:rsid w:val="006E4B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4B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4BDA"/>
  </w:style>
  <w:style w:type="paragraph" w:customStyle="1" w:styleId="Partref">
    <w:name w:val="Part_ref"/>
    <w:basedOn w:val="Normal"/>
    <w:next w:val="Normal"/>
    <w:rsid w:val="006E4BDA"/>
    <w:pPr>
      <w:keepNext/>
      <w:keepLines/>
      <w:spacing w:after="280"/>
      <w:jc w:val="center"/>
    </w:pPr>
  </w:style>
  <w:style w:type="paragraph" w:customStyle="1" w:styleId="Parttitle">
    <w:name w:val="Part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4BDA"/>
  </w:style>
  <w:style w:type="paragraph" w:customStyle="1" w:styleId="QuestionNo">
    <w:name w:val="Question_No"/>
    <w:basedOn w:val="RecNo"/>
    <w:next w:val="Normal"/>
    <w:rsid w:val="006E4BDA"/>
  </w:style>
  <w:style w:type="paragraph" w:customStyle="1" w:styleId="Questionref">
    <w:name w:val="Question_ref"/>
    <w:basedOn w:val="Recref"/>
    <w:next w:val="Questiondate"/>
    <w:rsid w:val="006E4BDA"/>
  </w:style>
  <w:style w:type="paragraph" w:customStyle="1" w:styleId="Questiontitle">
    <w:name w:val="Question_title"/>
    <w:basedOn w:val="Normal"/>
    <w:next w:val="Questionref"/>
    <w:rsid w:val="006E4BDA"/>
  </w:style>
  <w:style w:type="paragraph" w:customStyle="1" w:styleId="Reftext">
    <w:name w:val="Ref_text"/>
    <w:basedOn w:val="Normal"/>
    <w:rsid w:val="006E4BDA"/>
    <w:pPr>
      <w:ind w:left="794" w:hanging="794"/>
    </w:pPr>
    <w:rPr>
      <w:sz w:val="22"/>
    </w:rPr>
  </w:style>
  <w:style w:type="paragraph" w:customStyle="1" w:styleId="Reftitle">
    <w:name w:val="Ref_title"/>
    <w:basedOn w:val="Normal"/>
    <w:next w:val="Reftext"/>
    <w:rsid w:val="006E4B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4BDA"/>
  </w:style>
  <w:style w:type="paragraph" w:customStyle="1" w:styleId="RepNo">
    <w:name w:val="Rep_No"/>
    <w:basedOn w:val="RecNo"/>
    <w:next w:val="Reptitle"/>
    <w:rsid w:val="006E4BDA"/>
  </w:style>
  <w:style w:type="paragraph" w:customStyle="1" w:styleId="Repref">
    <w:name w:val="Rep_ref"/>
    <w:basedOn w:val="Recref"/>
    <w:next w:val="Repdate"/>
    <w:rsid w:val="006E4BDA"/>
  </w:style>
  <w:style w:type="paragraph" w:customStyle="1" w:styleId="Reptitle">
    <w:name w:val="Rep_title"/>
    <w:basedOn w:val="Rectitle"/>
    <w:next w:val="Repref"/>
    <w:rsid w:val="006E4BDA"/>
  </w:style>
  <w:style w:type="paragraph" w:customStyle="1" w:styleId="Resdate">
    <w:name w:val="Res_date"/>
    <w:basedOn w:val="Recdate"/>
    <w:next w:val="Normalaftertitle"/>
    <w:rsid w:val="006E4BDA"/>
  </w:style>
  <w:style w:type="paragraph" w:customStyle="1" w:styleId="ResNo">
    <w:name w:val="Res_No"/>
    <w:basedOn w:val="RecNo"/>
    <w:next w:val="Restitle"/>
    <w:rsid w:val="006E4BDA"/>
  </w:style>
  <w:style w:type="paragraph" w:customStyle="1" w:styleId="Resref">
    <w:name w:val="Res_ref"/>
    <w:basedOn w:val="Recref"/>
    <w:next w:val="Resdate"/>
    <w:rsid w:val="006E4BDA"/>
  </w:style>
  <w:style w:type="paragraph" w:customStyle="1" w:styleId="Restitle">
    <w:name w:val="Res_title"/>
    <w:basedOn w:val="Normal"/>
    <w:next w:val="Resref"/>
    <w:rsid w:val="006E4BDA"/>
    <w:pPr>
      <w:spacing w:before="240"/>
      <w:jc w:val="center"/>
    </w:pPr>
    <w:rPr>
      <w:b/>
      <w:sz w:val="28"/>
    </w:rPr>
  </w:style>
  <w:style w:type="paragraph" w:customStyle="1" w:styleId="SectionNo">
    <w:name w:val="Section_No"/>
    <w:basedOn w:val="Normal"/>
    <w:next w:val="Normal"/>
    <w:rsid w:val="006E4BDA"/>
  </w:style>
  <w:style w:type="paragraph" w:customStyle="1" w:styleId="Sectiontitle">
    <w:name w:val="Section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4BDA"/>
    <w:pPr>
      <w:tabs>
        <w:tab w:val="clear" w:pos="794"/>
        <w:tab w:val="clear" w:pos="1191"/>
        <w:tab w:val="clear" w:pos="1588"/>
        <w:tab w:val="clear" w:pos="1985"/>
        <w:tab w:val="right" w:pos="9611"/>
      </w:tabs>
    </w:pPr>
    <w:rPr>
      <w:i/>
    </w:rPr>
  </w:style>
  <w:style w:type="paragraph" w:styleId="TOC1">
    <w:name w:val="toc 1"/>
    <w:basedOn w:val="Normal"/>
    <w:semiHidden/>
    <w:rsid w:val="006E4B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4BDA"/>
    <w:pPr>
      <w:tabs>
        <w:tab w:val="clear" w:pos="567"/>
        <w:tab w:val="left" w:pos="1276"/>
      </w:tabs>
      <w:spacing w:before="160"/>
      <w:ind w:left="1276" w:hanging="709"/>
    </w:pPr>
  </w:style>
  <w:style w:type="paragraph" w:styleId="TOC3">
    <w:name w:val="toc 3"/>
    <w:basedOn w:val="TOC2"/>
    <w:semiHidden/>
    <w:rsid w:val="006E4BDA"/>
    <w:pPr>
      <w:tabs>
        <w:tab w:val="clear" w:pos="1276"/>
        <w:tab w:val="left" w:pos="2155"/>
      </w:tabs>
      <w:ind w:left="2155" w:hanging="879"/>
    </w:pPr>
  </w:style>
  <w:style w:type="paragraph" w:styleId="TOC4">
    <w:name w:val="toc 4"/>
    <w:basedOn w:val="TOC3"/>
    <w:semiHidden/>
    <w:rsid w:val="006E4BDA"/>
    <w:pPr>
      <w:tabs>
        <w:tab w:val="left" w:pos="3261"/>
      </w:tabs>
      <w:spacing w:before="80"/>
      <w:ind w:left="3261" w:hanging="993"/>
    </w:pPr>
  </w:style>
  <w:style w:type="paragraph" w:styleId="TOC5">
    <w:name w:val="toc 5"/>
    <w:basedOn w:val="TOC4"/>
    <w:semiHidden/>
    <w:rsid w:val="006E4BDA"/>
  </w:style>
  <w:style w:type="paragraph" w:styleId="TOC6">
    <w:name w:val="toc 6"/>
    <w:basedOn w:val="TOC4"/>
    <w:semiHidden/>
    <w:rsid w:val="006E4BDA"/>
  </w:style>
  <w:style w:type="paragraph" w:styleId="TOC7">
    <w:name w:val="toc 7"/>
    <w:basedOn w:val="TOC4"/>
    <w:semiHidden/>
    <w:rsid w:val="006E4BDA"/>
  </w:style>
  <w:style w:type="paragraph" w:styleId="TOC8">
    <w:name w:val="toc 8"/>
    <w:basedOn w:val="TOC4"/>
    <w:semiHidden/>
    <w:rsid w:val="006E4BDA"/>
  </w:style>
  <w:style w:type="paragraph" w:customStyle="1" w:styleId="Rectitle">
    <w:name w:val="Rec_title"/>
    <w:basedOn w:val="Normal"/>
    <w:next w:val="Recref"/>
    <w:rsid w:val="006E4BDA"/>
    <w:pPr>
      <w:keepNext/>
      <w:keepLines/>
      <w:spacing w:before="240"/>
      <w:jc w:val="center"/>
    </w:pPr>
    <w:rPr>
      <w:b/>
      <w:sz w:val="28"/>
    </w:rPr>
  </w:style>
  <w:style w:type="paragraph" w:customStyle="1" w:styleId="Annexref">
    <w:name w:val="Annex_ref"/>
    <w:basedOn w:val="Normal"/>
    <w:next w:val="Normalaftertitle"/>
    <w:rsid w:val="006E4BDA"/>
    <w:pPr>
      <w:keepNext/>
      <w:keepLines/>
      <w:spacing w:after="280"/>
      <w:jc w:val="center"/>
    </w:pPr>
  </w:style>
  <w:style w:type="paragraph" w:customStyle="1" w:styleId="Appendixref">
    <w:name w:val="Appendix_ref"/>
    <w:basedOn w:val="Annexref"/>
    <w:next w:val="Normalaftertitle"/>
    <w:rsid w:val="006E4BDA"/>
  </w:style>
  <w:style w:type="paragraph" w:customStyle="1" w:styleId="Figuretitle">
    <w:name w:val="Figure_title"/>
    <w:basedOn w:val="Normal"/>
    <w:next w:val="Figure"/>
    <w:rsid w:val="006E4BD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E4BDA"/>
    <w:pPr>
      <w:keepNext/>
      <w:spacing w:before="0" w:after="120"/>
      <w:jc w:val="center"/>
    </w:pPr>
    <w:rPr>
      <w:b/>
    </w:rPr>
  </w:style>
  <w:style w:type="paragraph" w:customStyle="1" w:styleId="Summary">
    <w:name w:val="Summary"/>
    <w:basedOn w:val="Normal"/>
    <w:next w:val="Normalaftertitle"/>
    <w:autoRedefine/>
    <w:rsid w:val="006E4BDA"/>
    <w:pPr>
      <w:spacing w:after="480"/>
    </w:pPr>
    <w:rPr>
      <w:sz w:val="22"/>
      <w:lang w:val="es-ES_tradnl"/>
    </w:rPr>
  </w:style>
  <w:style w:type="paragraph" w:customStyle="1" w:styleId="TableLegendNote">
    <w:name w:val="Table_Legend_Note"/>
    <w:basedOn w:val="Tablelegend"/>
    <w:next w:val="Tablelegend"/>
    <w:rsid w:val="006E4BDA"/>
    <w:pPr>
      <w:ind w:left="-85" w:firstLine="0"/>
    </w:pPr>
    <w:rPr>
      <w:lang w:val="en-US"/>
    </w:rPr>
  </w:style>
  <w:style w:type="paragraph" w:customStyle="1" w:styleId="Figure">
    <w:name w:val="Figure"/>
    <w:basedOn w:val="FigureNo"/>
    <w:next w:val="Normal"/>
    <w:rsid w:val="006E4BDA"/>
    <w:pPr>
      <w:keepNext w:val="0"/>
      <w:spacing w:before="0" w:after="240"/>
    </w:pPr>
  </w:style>
  <w:style w:type="character" w:styleId="Hyperlink">
    <w:name w:val="Hyperlink"/>
    <w:basedOn w:val="DefaultParagraphFont"/>
    <w:rsid w:val="006E4BDA"/>
    <w:rPr>
      <w:color w:val="0000FF"/>
      <w:u w:val="single"/>
    </w:rPr>
  </w:style>
  <w:style w:type="character" w:customStyle="1" w:styleId="TableheadChar">
    <w:name w:val="Table_head Char"/>
    <w:basedOn w:val="DefaultParagraphFont"/>
    <w:link w:val="Tablehead"/>
    <w:locked/>
    <w:rsid w:val="006E4BDA"/>
    <w:rPr>
      <w:b/>
      <w:sz w:val="22"/>
      <w:lang w:val="fr-FR" w:eastAsia="en-US"/>
    </w:rPr>
  </w:style>
  <w:style w:type="character" w:customStyle="1" w:styleId="TabletextChar">
    <w:name w:val="Table_text Char"/>
    <w:basedOn w:val="DefaultParagraphFont"/>
    <w:link w:val="Tabletext"/>
    <w:locked/>
    <w:rsid w:val="006E4BDA"/>
    <w:rPr>
      <w:sz w:val="22"/>
      <w:lang w:val="fr-FR" w:eastAsia="en-US"/>
    </w:rPr>
  </w:style>
  <w:style w:type="character" w:customStyle="1" w:styleId="FootnoteTextChar">
    <w:name w:val="Footnote Text Char"/>
    <w:basedOn w:val="DefaultParagraphFont"/>
    <w:link w:val="FootnoteText"/>
    <w:rsid w:val="006E4BDA"/>
    <w:rPr>
      <w:sz w:val="22"/>
      <w:lang w:val="fr-FR" w:eastAsia="en-US"/>
    </w:rPr>
  </w:style>
  <w:style w:type="character" w:customStyle="1" w:styleId="enumlev1Char">
    <w:name w:val="enumlev1 Char"/>
    <w:basedOn w:val="DefaultParagraphFont"/>
    <w:link w:val="enumlev1"/>
    <w:rsid w:val="006E4BDA"/>
    <w:rPr>
      <w:sz w:val="24"/>
      <w:lang w:val="fr-FR" w:eastAsia="en-US"/>
    </w:rPr>
  </w:style>
  <w:style w:type="character" w:customStyle="1" w:styleId="AnnexNoTitleChar">
    <w:name w:val="Annex_NoTitle Char"/>
    <w:basedOn w:val="DefaultParagraphFont"/>
    <w:link w:val="AnnexNoTitle"/>
    <w:rsid w:val="006E4BDA"/>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B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E4BDA"/>
    <w:pPr>
      <w:keepNext/>
      <w:keepLines/>
      <w:spacing w:before="480"/>
      <w:ind w:left="794" w:hanging="794"/>
      <w:outlineLvl w:val="0"/>
    </w:pPr>
    <w:rPr>
      <w:b/>
    </w:rPr>
  </w:style>
  <w:style w:type="paragraph" w:styleId="Heading2">
    <w:name w:val="heading 2"/>
    <w:basedOn w:val="Heading1"/>
    <w:next w:val="Normal"/>
    <w:qFormat/>
    <w:rsid w:val="006E4BDA"/>
    <w:pPr>
      <w:spacing w:before="320"/>
      <w:outlineLvl w:val="1"/>
    </w:pPr>
  </w:style>
  <w:style w:type="paragraph" w:styleId="Heading3">
    <w:name w:val="heading 3"/>
    <w:basedOn w:val="Heading1"/>
    <w:next w:val="Normal"/>
    <w:qFormat/>
    <w:rsid w:val="006E4BDA"/>
    <w:pPr>
      <w:spacing w:before="200"/>
      <w:outlineLvl w:val="2"/>
    </w:pPr>
  </w:style>
  <w:style w:type="paragraph" w:styleId="Heading4">
    <w:name w:val="heading 4"/>
    <w:basedOn w:val="Heading3"/>
    <w:next w:val="Normal"/>
    <w:qFormat/>
    <w:rsid w:val="006E4BDA"/>
    <w:pPr>
      <w:tabs>
        <w:tab w:val="clear" w:pos="794"/>
        <w:tab w:val="left" w:pos="992"/>
      </w:tabs>
      <w:ind w:left="992" w:hanging="992"/>
      <w:outlineLvl w:val="3"/>
    </w:pPr>
  </w:style>
  <w:style w:type="paragraph" w:styleId="Heading5">
    <w:name w:val="heading 5"/>
    <w:basedOn w:val="Heading4"/>
    <w:next w:val="Normal"/>
    <w:qFormat/>
    <w:rsid w:val="006E4BDA"/>
    <w:pPr>
      <w:outlineLvl w:val="4"/>
    </w:pPr>
  </w:style>
  <w:style w:type="paragraph" w:styleId="Heading6">
    <w:name w:val="heading 6"/>
    <w:basedOn w:val="Heading4"/>
    <w:next w:val="Normal"/>
    <w:qFormat/>
    <w:rsid w:val="006E4BDA"/>
    <w:pPr>
      <w:tabs>
        <w:tab w:val="clear" w:pos="992"/>
        <w:tab w:val="clear" w:pos="1191"/>
      </w:tabs>
      <w:ind w:left="1588" w:hanging="1588"/>
      <w:outlineLvl w:val="5"/>
    </w:pPr>
  </w:style>
  <w:style w:type="paragraph" w:styleId="Heading7">
    <w:name w:val="heading 7"/>
    <w:basedOn w:val="Heading6"/>
    <w:next w:val="Normal"/>
    <w:qFormat/>
    <w:rsid w:val="006E4BDA"/>
    <w:pPr>
      <w:outlineLvl w:val="6"/>
    </w:pPr>
  </w:style>
  <w:style w:type="paragraph" w:styleId="Heading8">
    <w:name w:val="heading 8"/>
    <w:basedOn w:val="Heading6"/>
    <w:next w:val="Normal"/>
    <w:qFormat/>
    <w:rsid w:val="006E4BDA"/>
    <w:pPr>
      <w:outlineLvl w:val="7"/>
    </w:pPr>
  </w:style>
  <w:style w:type="paragraph" w:styleId="Heading9">
    <w:name w:val="heading 9"/>
    <w:basedOn w:val="Heading6"/>
    <w:next w:val="Normal"/>
    <w:qFormat/>
    <w:rsid w:val="006E4B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4B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4B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4BDA"/>
  </w:style>
  <w:style w:type="paragraph" w:customStyle="1" w:styleId="Headingb">
    <w:name w:val="Heading_b"/>
    <w:basedOn w:val="Heading3"/>
    <w:next w:val="Normal"/>
    <w:rsid w:val="006E4BDA"/>
    <w:pPr>
      <w:spacing w:before="160"/>
      <w:ind w:left="0" w:firstLine="0"/>
      <w:outlineLvl w:val="9"/>
    </w:pPr>
  </w:style>
  <w:style w:type="paragraph" w:customStyle="1" w:styleId="Headingi">
    <w:name w:val="Heading_i"/>
    <w:basedOn w:val="Heading3"/>
    <w:next w:val="Normal"/>
    <w:rsid w:val="006E4BDA"/>
    <w:pPr>
      <w:spacing w:before="160"/>
      <w:ind w:left="0" w:firstLine="0"/>
    </w:pPr>
    <w:rPr>
      <w:b w:val="0"/>
      <w:i/>
    </w:rPr>
  </w:style>
  <w:style w:type="character" w:customStyle="1" w:styleId="href">
    <w:name w:val="href"/>
    <w:basedOn w:val="DefaultParagraphFont"/>
    <w:rsid w:val="006E4BDA"/>
  </w:style>
  <w:style w:type="paragraph" w:customStyle="1" w:styleId="enumlev1">
    <w:name w:val="enumlev1"/>
    <w:basedOn w:val="Normal"/>
    <w:link w:val="enumlev1Char"/>
    <w:rsid w:val="006E4BDA"/>
    <w:pPr>
      <w:spacing w:before="80"/>
      <w:ind w:left="794" w:hanging="794"/>
    </w:pPr>
  </w:style>
  <w:style w:type="paragraph" w:customStyle="1" w:styleId="enumlev2">
    <w:name w:val="enumlev2"/>
    <w:basedOn w:val="enumlev1"/>
    <w:rsid w:val="006E4BDA"/>
    <w:pPr>
      <w:ind w:left="1191" w:hanging="397"/>
    </w:pPr>
  </w:style>
  <w:style w:type="paragraph" w:customStyle="1" w:styleId="enumlev3">
    <w:name w:val="enumlev3"/>
    <w:basedOn w:val="enumlev2"/>
    <w:rsid w:val="006E4BDA"/>
    <w:pPr>
      <w:ind w:left="1588"/>
    </w:pPr>
  </w:style>
  <w:style w:type="paragraph" w:customStyle="1" w:styleId="Normalaftertitle">
    <w:name w:val="Normal_after_title"/>
    <w:basedOn w:val="Normal"/>
    <w:next w:val="Normal"/>
    <w:rsid w:val="006E4BDA"/>
    <w:pPr>
      <w:spacing w:before="320"/>
    </w:pPr>
  </w:style>
  <w:style w:type="paragraph" w:customStyle="1" w:styleId="Note">
    <w:name w:val="Note"/>
    <w:basedOn w:val="Normal"/>
    <w:rsid w:val="006E4B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4B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4BDA"/>
    <w:pPr>
      <w:spacing w:before="240"/>
    </w:pPr>
    <w:rPr>
      <w:sz w:val="22"/>
      <w:lang w:val="es-ES_tradnl"/>
    </w:rPr>
  </w:style>
  <w:style w:type="paragraph" w:customStyle="1" w:styleId="Recref">
    <w:name w:val="Rec_ref"/>
    <w:basedOn w:val="Normal"/>
    <w:next w:val="Recdate"/>
    <w:rsid w:val="006E4BDA"/>
    <w:pPr>
      <w:jc w:val="center"/>
    </w:pPr>
  </w:style>
  <w:style w:type="paragraph" w:customStyle="1" w:styleId="Recdate">
    <w:name w:val="Rec_date"/>
    <w:basedOn w:val="Recref"/>
    <w:next w:val="Normalaftertitle"/>
    <w:rsid w:val="006E4BDA"/>
    <w:pPr>
      <w:jc w:val="right"/>
    </w:pPr>
  </w:style>
  <w:style w:type="paragraph" w:customStyle="1" w:styleId="AnnexNoTitle">
    <w:name w:val="Annex_NoTitle"/>
    <w:basedOn w:val="Normal"/>
    <w:next w:val="Normalaftertitle"/>
    <w:link w:val="AnnexNoTitleChar"/>
    <w:rsid w:val="006E4BDA"/>
    <w:pPr>
      <w:keepNext/>
      <w:keepLines/>
      <w:spacing w:before="480" w:after="80"/>
      <w:jc w:val="center"/>
    </w:pPr>
    <w:rPr>
      <w:b/>
      <w:sz w:val="28"/>
    </w:rPr>
  </w:style>
  <w:style w:type="paragraph" w:customStyle="1" w:styleId="AppendixNoTitle">
    <w:name w:val="Appendix_NoTitle"/>
    <w:basedOn w:val="AnnexNoTitle"/>
    <w:next w:val="Normal"/>
    <w:rsid w:val="006E4BDA"/>
  </w:style>
  <w:style w:type="paragraph" w:customStyle="1" w:styleId="Tablefin">
    <w:name w:val="Table_fin"/>
    <w:basedOn w:val="Normal"/>
    <w:next w:val="Normal"/>
    <w:rsid w:val="006E4BDA"/>
    <w:pPr>
      <w:spacing w:before="0"/>
    </w:pPr>
    <w:rPr>
      <w:sz w:val="20"/>
      <w:lang w:val="en-GB"/>
    </w:rPr>
  </w:style>
  <w:style w:type="paragraph" w:customStyle="1" w:styleId="Tablehead">
    <w:name w:val="Table_head"/>
    <w:basedOn w:val="Normal"/>
    <w:next w:val="Normal"/>
    <w:link w:val="TableheadChar"/>
    <w:rsid w:val="006E4B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E4BDA"/>
    <w:pPr>
      <w:keepNext/>
      <w:spacing w:before="360" w:after="120"/>
      <w:jc w:val="center"/>
    </w:pPr>
  </w:style>
  <w:style w:type="paragraph" w:customStyle="1" w:styleId="Tabletext">
    <w:name w:val="Table_text"/>
    <w:basedOn w:val="Normal"/>
    <w:link w:val="TabletextChar"/>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E4BDA"/>
    <w:pPr>
      <w:tabs>
        <w:tab w:val="clear" w:pos="1191"/>
        <w:tab w:val="clear" w:pos="1588"/>
        <w:tab w:val="clear" w:pos="1985"/>
        <w:tab w:val="center" w:pos="4820"/>
        <w:tab w:val="right" w:pos="9639"/>
      </w:tabs>
    </w:pPr>
  </w:style>
  <w:style w:type="paragraph" w:customStyle="1" w:styleId="Equationlegend">
    <w:name w:val="Equation_legend"/>
    <w:basedOn w:val="NormalIndent"/>
    <w:rsid w:val="006E4B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4BDA"/>
    <w:pPr>
      <w:ind w:left="794"/>
    </w:pPr>
  </w:style>
  <w:style w:type="paragraph" w:customStyle="1" w:styleId="Figurelegend">
    <w:name w:val="Figure_legend"/>
    <w:basedOn w:val="Normal"/>
    <w:rsid w:val="006E4B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4BDA"/>
    <w:pPr>
      <w:keepNext/>
      <w:keepLines/>
      <w:spacing w:before="480" w:after="80"/>
      <w:jc w:val="center"/>
    </w:pPr>
    <w:rPr>
      <w:caps/>
      <w:sz w:val="18"/>
    </w:rPr>
  </w:style>
  <w:style w:type="paragraph" w:customStyle="1" w:styleId="tocpart">
    <w:name w:val="tocpart"/>
    <w:basedOn w:val="Normal"/>
    <w:rsid w:val="006E4B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4BDA"/>
    <w:pPr>
      <w:keepNext/>
      <w:keepLines/>
      <w:spacing w:before="480"/>
      <w:jc w:val="center"/>
    </w:pPr>
    <w:rPr>
      <w:sz w:val="28"/>
    </w:rPr>
  </w:style>
  <w:style w:type="paragraph" w:customStyle="1" w:styleId="Arttitle">
    <w:name w:val="Art_title"/>
    <w:basedOn w:val="Normal"/>
    <w:next w:val="Normalaftertitle"/>
    <w:rsid w:val="006E4BDA"/>
    <w:pPr>
      <w:keepNext/>
      <w:keepLines/>
      <w:spacing w:before="240"/>
      <w:jc w:val="center"/>
    </w:pPr>
    <w:rPr>
      <w:b/>
      <w:sz w:val="28"/>
    </w:rPr>
  </w:style>
  <w:style w:type="paragraph" w:customStyle="1" w:styleId="Blanc">
    <w:name w:val="Blanc"/>
    <w:basedOn w:val="Normal"/>
    <w:next w:val="Tabletext"/>
    <w:rsid w:val="006E4B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4B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4BDA"/>
    <w:pPr>
      <w:keepNext/>
      <w:keepLines/>
      <w:spacing w:before="160"/>
      <w:ind w:left="794"/>
    </w:pPr>
    <w:rPr>
      <w:i/>
    </w:rPr>
  </w:style>
  <w:style w:type="paragraph" w:customStyle="1" w:styleId="ChapNo">
    <w:name w:val="Chap_No"/>
    <w:basedOn w:val="ArtNo"/>
    <w:next w:val="Chaptitle"/>
    <w:rsid w:val="006E4BDA"/>
    <w:rPr>
      <w:b/>
    </w:rPr>
  </w:style>
  <w:style w:type="paragraph" w:customStyle="1" w:styleId="Chaptitle">
    <w:name w:val="Chap_title"/>
    <w:basedOn w:val="Arttitle"/>
    <w:next w:val="Normalaftertitle"/>
    <w:rsid w:val="006E4BDA"/>
  </w:style>
  <w:style w:type="character" w:styleId="FootnoteReference">
    <w:name w:val="footnote reference"/>
    <w:aliases w:val="Footnote Reference/,Appel note de bas de p,Style 12,(NECG) Footnote Reference,Style 124"/>
    <w:basedOn w:val="DefaultParagraphFont"/>
    <w:rsid w:val="006E4BDA"/>
    <w:rPr>
      <w:position w:val="6"/>
      <w:sz w:val="18"/>
    </w:rPr>
  </w:style>
  <w:style w:type="paragraph" w:styleId="FootnoteText">
    <w:name w:val="footnote text"/>
    <w:basedOn w:val="Normal"/>
    <w:link w:val="FootnoteTextChar"/>
    <w:rsid w:val="006E4BDA"/>
    <w:pPr>
      <w:keepLines/>
      <w:tabs>
        <w:tab w:val="left" w:pos="255"/>
      </w:tabs>
      <w:ind w:left="255" w:hanging="255"/>
    </w:pPr>
    <w:rPr>
      <w:sz w:val="22"/>
    </w:rPr>
  </w:style>
  <w:style w:type="paragraph" w:styleId="Index1">
    <w:name w:val="index 1"/>
    <w:basedOn w:val="Normal"/>
    <w:next w:val="Normal"/>
    <w:semiHidden/>
    <w:rsid w:val="006E4BDA"/>
  </w:style>
  <w:style w:type="paragraph" w:styleId="Index2">
    <w:name w:val="index 2"/>
    <w:basedOn w:val="Normal"/>
    <w:next w:val="Normal"/>
    <w:semiHidden/>
    <w:rsid w:val="006E4BDA"/>
    <w:pPr>
      <w:ind w:left="283"/>
    </w:pPr>
  </w:style>
  <w:style w:type="paragraph" w:styleId="Index3">
    <w:name w:val="index 3"/>
    <w:basedOn w:val="Normal"/>
    <w:next w:val="Normal"/>
    <w:semiHidden/>
    <w:rsid w:val="006E4BDA"/>
    <w:pPr>
      <w:ind w:left="566"/>
    </w:pPr>
  </w:style>
  <w:style w:type="paragraph" w:styleId="IndexHeading">
    <w:name w:val="index heading"/>
    <w:basedOn w:val="Normal"/>
    <w:next w:val="Index1"/>
    <w:semiHidden/>
    <w:rsid w:val="006E4BDA"/>
  </w:style>
  <w:style w:type="paragraph" w:customStyle="1" w:styleId="Line">
    <w:name w:val="Line"/>
    <w:basedOn w:val="Normal"/>
    <w:next w:val="Normal"/>
    <w:rsid w:val="006E4B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4B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4BDA"/>
  </w:style>
  <w:style w:type="paragraph" w:customStyle="1" w:styleId="Partref">
    <w:name w:val="Part_ref"/>
    <w:basedOn w:val="Normal"/>
    <w:next w:val="Normal"/>
    <w:rsid w:val="006E4BDA"/>
    <w:pPr>
      <w:keepNext/>
      <w:keepLines/>
      <w:spacing w:after="280"/>
      <w:jc w:val="center"/>
    </w:pPr>
  </w:style>
  <w:style w:type="paragraph" w:customStyle="1" w:styleId="Parttitle">
    <w:name w:val="Part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4BDA"/>
  </w:style>
  <w:style w:type="paragraph" w:customStyle="1" w:styleId="QuestionNo">
    <w:name w:val="Question_No"/>
    <w:basedOn w:val="RecNo"/>
    <w:next w:val="Normal"/>
    <w:rsid w:val="006E4BDA"/>
  </w:style>
  <w:style w:type="paragraph" w:customStyle="1" w:styleId="Questionref">
    <w:name w:val="Question_ref"/>
    <w:basedOn w:val="Recref"/>
    <w:next w:val="Questiondate"/>
    <w:rsid w:val="006E4BDA"/>
  </w:style>
  <w:style w:type="paragraph" w:customStyle="1" w:styleId="Questiontitle">
    <w:name w:val="Question_title"/>
    <w:basedOn w:val="Normal"/>
    <w:next w:val="Questionref"/>
    <w:rsid w:val="006E4BDA"/>
  </w:style>
  <w:style w:type="paragraph" w:customStyle="1" w:styleId="Reftext">
    <w:name w:val="Ref_text"/>
    <w:basedOn w:val="Normal"/>
    <w:rsid w:val="006E4BDA"/>
    <w:pPr>
      <w:ind w:left="794" w:hanging="794"/>
    </w:pPr>
    <w:rPr>
      <w:sz w:val="22"/>
    </w:rPr>
  </w:style>
  <w:style w:type="paragraph" w:customStyle="1" w:styleId="Reftitle">
    <w:name w:val="Ref_title"/>
    <w:basedOn w:val="Normal"/>
    <w:next w:val="Reftext"/>
    <w:rsid w:val="006E4B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4BDA"/>
  </w:style>
  <w:style w:type="paragraph" w:customStyle="1" w:styleId="RepNo">
    <w:name w:val="Rep_No"/>
    <w:basedOn w:val="RecNo"/>
    <w:next w:val="Reptitle"/>
    <w:rsid w:val="006E4BDA"/>
  </w:style>
  <w:style w:type="paragraph" w:customStyle="1" w:styleId="Repref">
    <w:name w:val="Rep_ref"/>
    <w:basedOn w:val="Recref"/>
    <w:next w:val="Repdate"/>
    <w:rsid w:val="006E4BDA"/>
  </w:style>
  <w:style w:type="paragraph" w:customStyle="1" w:styleId="Reptitle">
    <w:name w:val="Rep_title"/>
    <w:basedOn w:val="Rectitle"/>
    <w:next w:val="Repref"/>
    <w:rsid w:val="006E4BDA"/>
  </w:style>
  <w:style w:type="paragraph" w:customStyle="1" w:styleId="Resdate">
    <w:name w:val="Res_date"/>
    <w:basedOn w:val="Recdate"/>
    <w:next w:val="Normalaftertitle"/>
    <w:rsid w:val="006E4BDA"/>
  </w:style>
  <w:style w:type="paragraph" w:customStyle="1" w:styleId="ResNo">
    <w:name w:val="Res_No"/>
    <w:basedOn w:val="RecNo"/>
    <w:next w:val="Restitle"/>
    <w:rsid w:val="006E4BDA"/>
  </w:style>
  <w:style w:type="paragraph" w:customStyle="1" w:styleId="Resref">
    <w:name w:val="Res_ref"/>
    <w:basedOn w:val="Recref"/>
    <w:next w:val="Resdate"/>
    <w:rsid w:val="006E4BDA"/>
  </w:style>
  <w:style w:type="paragraph" w:customStyle="1" w:styleId="Restitle">
    <w:name w:val="Res_title"/>
    <w:basedOn w:val="Normal"/>
    <w:next w:val="Resref"/>
    <w:rsid w:val="006E4BDA"/>
    <w:pPr>
      <w:spacing w:before="240"/>
      <w:jc w:val="center"/>
    </w:pPr>
    <w:rPr>
      <w:b/>
      <w:sz w:val="28"/>
    </w:rPr>
  </w:style>
  <w:style w:type="paragraph" w:customStyle="1" w:styleId="SectionNo">
    <w:name w:val="Section_No"/>
    <w:basedOn w:val="Normal"/>
    <w:next w:val="Normal"/>
    <w:rsid w:val="006E4BDA"/>
  </w:style>
  <w:style w:type="paragraph" w:customStyle="1" w:styleId="Sectiontitle">
    <w:name w:val="Section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4BDA"/>
    <w:pPr>
      <w:tabs>
        <w:tab w:val="clear" w:pos="794"/>
        <w:tab w:val="clear" w:pos="1191"/>
        <w:tab w:val="clear" w:pos="1588"/>
        <w:tab w:val="clear" w:pos="1985"/>
        <w:tab w:val="right" w:pos="9611"/>
      </w:tabs>
    </w:pPr>
    <w:rPr>
      <w:i/>
    </w:rPr>
  </w:style>
  <w:style w:type="paragraph" w:styleId="TOC1">
    <w:name w:val="toc 1"/>
    <w:basedOn w:val="Normal"/>
    <w:semiHidden/>
    <w:rsid w:val="006E4B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4BDA"/>
    <w:pPr>
      <w:tabs>
        <w:tab w:val="clear" w:pos="567"/>
        <w:tab w:val="left" w:pos="1276"/>
      </w:tabs>
      <w:spacing w:before="160"/>
      <w:ind w:left="1276" w:hanging="709"/>
    </w:pPr>
  </w:style>
  <w:style w:type="paragraph" w:styleId="TOC3">
    <w:name w:val="toc 3"/>
    <w:basedOn w:val="TOC2"/>
    <w:semiHidden/>
    <w:rsid w:val="006E4BDA"/>
    <w:pPr>
      <w:tabs>
        <w:tab w:val="clear" w:pos="1276"/>
        <w:tab w:val="left" w:pos="2155"/>
      </w:tabs>
      <w:ind w:left="2155" w:hanging="879"/>
    </w:pPr>
  </w:style>
  <w:style w:type="paragraph" w:styleId="TOC4">
    <w:name w:val="toc 4"/>
    <w:basedOn w:val="TOC3"/>
    <w:semiHidden/>
    <w:rsid w:val="006E4BDA"/>
    <w:pPr>
      <w:tabs>
        <w:tab w:val="left" w:pos="3261"/>
      </w:tabs>
      <w:spacing w:before="80"/>
      <w:ind w:left="3261" w:hanging="993"/>
    </w:pPr>
  </w:style>
  <w:style w:type="paragraph" w:styleId="TOC5">
    <w:name w:val="toc 5"/>
    <w:basedOn w:val="TOC4"/>
    <w:semiHidden/>
    <w:rsid w:val="006E4BDA"/>
  </w:style>
  <w:style w:type="paragraph" w:styleId="TOC6">
    <w:name w:val="toc 6"/>
    <w:basedOn w:val="TOC4"/>
    <w:semiHidden/>
    <w:rsid w:val="006E4BDA"/>
  </w:style>
  <w:style w:type="paragraph" w:styleId="TOC7">
    <w:name w:val="toc 7"/>
    <w:basedOn w:val="TOC4"/>
    <w:semiHidden/>
    <w:rsid w:val="006E4BDA"/>
  </w:style>
  <w:style w:type="paragraph" w:styleId="TOC8">
    <w:name w:val="toc 8"/>
    <w:basedOn w:val="TOC4"/>
    <w:semiHidden/>
    <w:rsid w:val="006E4BDA"/>
  </w:style>
  <w:style w:type="paragraph" w:customStyle="1" w:styleId="Rectitle">
    <w:name w:val="Rec_title"/>
    <w:basedOn w:val="Normal"/>
    <w:next w:val="Recref"/>
    <w:rsid w:val="006E4BDA"/>
    <w:pPr>
      <w:keepNext/>
      <w:keepLines/>
      <w:spacing w:before="240"/>
      <w:jc w:val="center"/>
    </w:pPr>
    <w:rPr>
      <w:b/>
      <w:sz w:val="28"/>
    </w:rPr>
  </w:style>
  <w:style w:type="paragraph" w:customStyle="1" w:styleId="Annexref">
    <w:name w:val="Annex_ref"/>
    <w:basedOn w:val="Normal"/>
    <w:next w:val="Normalaftertitle"/>
    <w:rsid w:val="006E4BDA"/>
    <w:pPr>
      <w:keepNext/>
      <w:keepLines/>
      <w:spacing w:after="280"/>
      <w:jc w:val="center"/>
    </w:pPr>
  </w:style>
  <w:style w:type="paragraph" w:customStyle="1" w:styleId="Appendixref">
    <w:name w:val="Appendix_ref"/>
    <w:basedOn w:val="Annexref"/>
    <w:next w:val="Normalaftertitle"/>
    <w:rsid w:val="006E4BDA"/>
  </w:style>
  <w:style w:type="paragraph" w:customStyle="1" w:styleId="Figuretitle">
    <w:name w:val="Figure_title"/>
    <w:basedOn w:val="Normal"/>
    <w:next w:val="Figure"/>
    <w:rsid w:val="006E4BD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E4BDA"/>
    <w:pPr>
      <w:keepNext/>
      <w:spacing w:before="0" w:after="120"/>
      <w:jc w:val="center"/>
    </w:pPr>
    <w:rPr>
      <w:b/>
    </w:rPr>
  </w:style>
  <w:style w:type="paragraph" w:customStyle="1" w:styleId="Summary">
    <w:name w:val="Summary"/>
    <w:basedOn w:val="Normal"/>
    <w:next w:val="Normalaftertitle"/>
    <w:autoRedefine/>
    <w:rsid w:val="006E4BDA"/>
    <w:pPr>
      <w:spacing w:after="480"/>
    </w:pPr>
    <w:rPr>
      <w:sz w:val="22"/>
      <w:lang w:val="es-ES_tradnl"/>
    </w:rPr>
  </w:style>
  <w:style w:type="paragraph" w:customStyle="1" w:styleId="TableLegendNote">
    <w:name w:val="Table_Legend_Note"/>
    <w:basedOn w:val="Tablelegend"/>
    <w:next w:val="Tablelegend"/>
    <w:rsid w:val="006E4BDA"/>
    <w:pPr>
      <w:ind w:left="-85" w:firstLine="0"/>
    </w:pPr>
    <w:rPr>
      <w:lang w:val="en-US"/>
    </w:rPr>
  </w:style>
  <w:style w:type="paragraph" w:customStyle="1" w:styleId="Figure">
    <w:name w:val="Figure"/>
    <w:basedOn w:val="FigureNo"/>
    <w:next w:val="Normal"/>
    <w:rsid w:val="006E4BDA"/>
    <w:pPr>
      <w:keepNext w:val="0"/>
      <w:spacing w:before="0" w:after="240"/>
    </w:pPr>
  </w:style>
  <w:style w:type="character" w:styleId="Hyperlink">
    <w:name w:val="Hyperlink"/>
    <w:basedOn w:val="DefaultParagraphFont"/>
    <w:rsid w:val="006E4BDA"/>
    <w:rPr>
      <w:color w:val="0000FF"/>
      <w:u w:val="single"/>
    </w:rPr>
  </w:style>
  <w:style w:type="character" w:customStyle="1" w:styleId="TableheadChar">
    <w:name w:val="Table_head Char"/>
    <w:basedOn w:val="DefaultParagraphFont"/>
    <w:link w:val="Tablehead"/>
    <w:locked/>
    <w:rsid w:val="006E4BDA"/>
    <w:rPr>
      <w:b/>
      <w:sz w:val="22"/>
      <w:lang w:val="fr-FR" w:eastAsia="en-US"/>
    </w:rPr>
  </w:style>
  <w:style w:type="character" w:customStyle="1" w:styleId="TabletextChar">
    <w:name w:val="Table_text Char"/>
    <w:basedOn w:val="DefaultParagraphFont"/>
    <w:link w:val="Tabletext"/>
    <w:locked/>
    <w:rsid w:val="006E4BDA"/>
    <w:rPr>
      <w:sz w:val="22"/>
      <w:lang w:val="fr-FR" w:eastAsia="en-US"/>
    </w:rPr>
  </w:style>
  <w:style w:type="character" w:customStyle="1" w:styleId="FootnoteTextChar">
    <w:name w:val="Footnote Text Char"/>
    <w:basedOn w:val="DefaultParagraphFont"/>
    <w:link w:val="FootnoteText"/>
    <w:rsid w:val="006E4BDA"/>
    <w:rPr>
      <w:sz w:val="22"/>
      <w:lang w:val="fr-FR" w:eastAsia="en-US"/>
    </w:rPr>
  </w:style>
  <w:style w:type="character" w:customStyle="1" w:styleId="enumlev1Char">
    <w:name w:val="enumlev1 Char"/>
    <w:basedOn w:val="DefaultParagraphFont"/>
    <w:link w:val="enumlev1"/>
    <w:rsid w:val="006E4BDA"/>
    <w:rPr>
      <w:sz w:val="24"/>
      <w:lang w:val="fr-FR" w:eastAsia="en-US"/>
    </w:rPr>
  </w:style>
  <w:style w:type="character" w:customStyle="1" w:styleId="AnnexNoTitleChar">
    <w:name w:val="Annex_NoTitle Char"/>
    <w:basedOn w:val="DefaultParagraphFont"/>
    <w:link w:val="AnnexNoTitle"/>
    <w:rsid w:val="006E4BDA"/>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12</Pages>
  <Words>3599</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5</cp:revision>
  <cp:lastPrinted>2005-02-10T15:54:00Z</cp:lastPrinted>
  <dcterms:created xsi:type="dcterms:W3CDTF">2013-01-21T09:22:00Z</dcterms:created>
  <dcterms:modified xsi:type="dcterms:W3CDTF">2013-01-24T12:10:00Z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