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30C1" w:rsidRPr="00FB75EB" w:rsidRDefault="00F330C1" w:rsidP="00F330C1">
      <w:pPr>
        <w:rPr>
          <w:lang w:val="es-ES_tradnl"/>
        </w:rPr>
      </w:pPr>
    </w:p>
    <w:p w:rsidR="00F330C1" w:rsidRPr="00FB75EB" w:rsidRDefault="00F330C1" w:rsidP="00F330C1">
      <w:pPr>
        <w:rPr>
          <w:lang w:val="es-ES_tradnl"/>
        </w:rPr>
      </w:pPr>
    </w:p>
    <w:p w:rsidR="00F330C1" w:rsidRPr="00FB75EB" w:rsidRDefault="00F330C1" w:rsidP="00F330C1">
      <w:pPr>
        <w:rPr>
          <w:lang w:val="es-ES_tradnl"/>
        </w:rPr>
      </w:pPr>
    </w:p>
    <w:p w:rsidR="00F330C1" w:rsidRPr="00FB75EB" w:rsidRDefault="00F330C1" w:rsidP="00F330C1">
      <w:pPr>
        <w:rPr>
          <w:lang w:val="es-ES_tradnl"/>
        </w:rPr>
      </w:pPr>
    </w:p>
    <w:p w:rsidR="00F330C1" w:rsidRPr="00FB75EB" w:rsidRDefault="00F330C1" w:rsidP="00F330C1">
      <w:pPr>
        <w:rPr>
          <w:lang w:val="es-ES_tradnl"/>
        </w:rPr>
      </w:pPr>
    </w:p>
    <w:p w:rsidR="00F330C1" w:rsidRPr="00FB75EB" w:rsidRDefault="00F330C1" w:rsidP="00F330C1">
      <w:pPr>
        <w:rPr>
          <w:lang w:val="es-ES_tradnl"/>
        </w:rPr>
      </w:pPr>
    </w:p>
    <w:p w:rsidR="00F330C1" w:rsidRPr="00FB75EB" w:rsidRDefault="00F330C1" w:rsidP="00F330C1">
      <w:pPr>
        <w:rPr>
          <w:lang w:val="es-ES_tradnl"/>
        </w:rPr>
      </w:pPr>
    </w:p>
    <w:p w:rsidR="00F330C1" w:rsidRPr="00FB75EB" w:rsidRDefault="00F330C1" w:rsidP="00F330C1">
      <w:pPr>
        <w:rPr>
          <w:lang w:val="es-ES_tradnl"/>
        </w:rPr>
      </w:pPr>
    </w:p>
    <w:p w:rsidR="00F330C1" w:rsidRPr="00FB75EB" w:rsidRDefault="00F330C1" w:rsidP="00F330C1">
      <w:pPr>
        <w:rPr>
          <w:lang w:val="es-ES_tradnl"/>
        </w:rPr>
      </w:pPr>
    </w:p>
    <w:p w:rsidR="00F330C1" w:rsidRPr="00FB75EB" w:rsidRDefault="00F330C1" w:rsidP="00F330C1">
      <w:pPr>
        <w:rPr>
          <w:lang w:val="es-ES_tradnl"/>
        </w:rPr>
      </w:pPr>
    </w:p>
    <w:p w:rsidR="00F330C1" w:rsidRPr="00FB75EB" w:rsidRDefault="00F330C1" w:rsidP="00F330C1">
      <w:pPr>
        <w:rPr>
          <w:lang w:val="es-ES_tradnl"/>
        </w:rPr>
      </w:pPr>
    </w:p>
    <w:tbl>
      <w:tblPr>
        <w:tblW w:w="10089" w:type="dxa"/>
        <w:tblLook w:val="01E0" w:firstRow="1" w:lastRow="1" w:firstColumn="1" w:lastColumn="1" w:noHBand="0" w:noVBand="0"/>
      </w:tblPr>
      <w:tblGrid>
        <w:gridCol w:w="10089"/>
      </w:tblGrid>
      <w:tr w:rsidR="00F330C1" w:rsidRPr="00FB75EB" w:rsidTr="00110AEC">
        <w:tc>
          <w:tcPr>
            <w:tcW w:w="10089" w:type="dxa"/>
          </w:tcPr>
          <w:p w:rsidR="00F330C1" w:rsidRPr="00FB75EB" w:rsidRDefault="00F330C1" w:rsidP="00110AEC">
            <w:pPr>
              <w:spacing w:before="380" w:line="280" w:lineRule="exact"/>
              <w:jc w:val="right"/>
              <w:rPr>
                <w:rFonts w:ascii="Tahoma" w:hAnsi="Tahoma" w:cs="Tahoma"/>
                <w:b/>
                <w:bCs/>
                <w:iCs/>
                <w:color w:val="243285"/>
                <w:sz w:val="32"/>
                <w:szCs w:val="32"/>
                <w:lang w:val="es-ES_tradnl"/>
              </w:rPr>
            </w:pPr>
          </w:p>
          <w:p w:rsidR="00F330C1" w:rsidRPr="00FB75EB" w:rsidRDefault="007D717E" w:rsidP="00110AEC">
            <w:pPr>
              <w:spacing w:before="380" w:line="280" w:lineRule="exact"/>
              <w:jc w:val="right"/>
              <w:rPr>
                <w:rFonts w:ascii="Tahoma" w:hAnsi="Tahoma" w:cs="Tahoma"/>
                <w:b/>
                <w:bCs/>
                <w:iCs/>
                <w:color w:val="243285"/>
                <w:sz w:val="36"/>
                <w:szCs w:val="36"/>
                <w:lang w:val="es-ES_tradnl"/>
              </w:rPr>
            </w:pPr>
            <w:r w:rsidRPr="00FB75EB">
              <w:rPr>
                <w:rFonts w:ascii="Tahoma" w:hAnsi="Tahoma" w:cs="Tahoma"/>
                <w:b/>
                <w:bCs/>
                <w:iCs/>
                <w:color w:val="243285"/>
                <w:sz w:val="36"/>
                <w:szCs w:val="36"/>
                <w:lang w:val="es-ES_tradnl"/>
              </w:rPr>
              <w:t>Recomendación  UIT-R  M.20</w:t>
            </w:r>
            <w:r w:rsidR="00F330C1" w:rsidRPr="00FB75EB">
              <w:rPr>
                <w:rFonts w:ascii="Tahoma" w:hAnsi="Tahoma" w:cs="Tahoma"/>
                <w:b/>
                <w:bCs/>
                <w:iCs/>
                <w:color w:val="243285"/>
                <w:sz w:val="36"/>
                <w:szCs w:val="36"/>
                <w:lang w:val="es-ES_tradnl"/>
              </w:rPr>
              <w:t>4</w:t>
            </w:r>
            <w:r w:rsidRPr="00FB75EB">
              <w:rPr>
                <w:rFonts w:ascii="Tahoma" w:hAnsi="Tahoma" w:cs="Tahoma"/>
                <w:b/>
                <w:bCs/>
                <w:iCs/>
                <w:color w:val="243285"/>
                <w:sz w:val="36"/>
                <w:szCs w:val="36"/>
                <w:lang w:val="es-ES_tradnl"/>
              </w:rPr>
              <w:t>6</w:t>
            </w:r>
          </w:p>
          <w:p w:rsidR="00F330C1" w:rsidRPr="00FB75EB" w:rsidRDefault="007D717E" w:rsidP="00F330C1">
            <w:pPr>
              <w:spacing w:before="80" w:line="280" w:lineRule="exact"/>
              <w:jc w:val="right"/>
              <w:rPr>
                <w:rFonts w:ascii="Tahoma" w:hAnsi="Tahoma" w:cs="Tahoma"/>
                <w:b/>
                <w:bCs/>
                <w:iCs/>
                <w:color w:val="243285"/>
                <w:szCs w:val="24"/>
                <w:lang w:val="es-ES_tradnl"/>
              </w:rPr>
            </w:pPr>
            <w:r w:rsidRPr="00FB75EB">
              <w:rPr>
                <w:rFonts w:ascii="Tahoma" w:hAnsi="Tahoma" w:cs="Tahoma"/>
                <w:b/>
                <w:bCs/>
                <w:iCs/>
                <w:color w:val="243285"/>
                <w:szCs w:val="24"/>
                <w:lang w:val="es-ES_tradnl"/>
              </w:rPr>
              <w:t>(1</w:t>
            </w:r>
            <w:r w:rsidR="00F330C1" w:rsidRPr="00FB75EB">
              <w:rPr>
                <w:rFonts w:ascii="Tahoma" w:hAnsi="Tahoma" w:cs="Tahoma"/>
                <w:b/>
                <w:bCs/>
                <w:iCs/>
                <w:color w:val="243285"/>
                <w:szCs w:val="24"/>
                <w:lang w:val="es-ES_tradnl"/>
              </w:rPr>
              <w:t>2/2013)</w:t>
            </w:r>
          </w:p>
        </w:tc>
      </w:tr>
      <w:tr w:rsidR="00F330C1" w:rsidRPr="004E5043" w:rsidTr="00110AEC">
        <w:tc>
          <w:tcPr>
            <w:tcW w:w="10089" w:type="dxa"/>
          </w:tcPr>
          <w:p w:rsidR="00F330C1" w:rsidRPr="00FB75EB" w:rsidRDefault="007D717E" w:rsidP="007D717E">
            <w:pPr>
              <w:spacing w:before="80" w:line="500" w:lineRule="exact"/>
              <w:jc w:val="right"/>
              <w:rPr>
                <w:rFonts w:ascii="Tahoma" w:hAnsi="Tahoma" w:cs="Tahoma"/>
                <w:b/>
                <w:bCs/>
                <w:iCs/>
                <w:color w:val="243285"/>
                <w:sz w:val="44"/>
                <w:szCs w:val="44"/>
                <w:lang w:val="es-ES_tradnl"/>
              </w:rPr>
            </w:pPr>
            <w:r w:rsidRPr="00FB75EB">
              <w:rPr>
                <w:rFonts w:ascii="Tahoma" w:hAnsi="Tahoma" w:cs="Tahoma"/>
                <w:b/>
                <w:bCs/>
                <w:iCs/>
                <w:color w:val="243285"/>
                <w:sz w:val="44"/>
                <w:szCs w:val="44"/>
                <w:lang w:val="es-ES_tradnl"/>
              </w:rPr>
              <w:t>Características y criterios de protección para los sistemas del servicio móvil por satélite con satélites no geoestacionarios que funciona en la banda 399,9-400,05 MHz</w:t>
            </w:r>
          </w:p>
          <w:p w:rsidR="00F330C1" w:rsidRPr="00FB75EB" w:rsidRDefault="00F330C1" w:rsidP="00110AEC">
            <w:pPr>
              <w:spacing w:before="80" w:line="500" w:lineRule="exact"/>
              <w:jc w:val="right"/>
              <w:rPr>
                <w:rFonts w:ascii="Tahoma" w:hAnsi="Tahoma" w:cs="Tahoma"/>
                <w:b/>
                <w:bCs/>
                <w:iCs/>
                <w:color w:val="243285"/>
                <w:sz w:val="44"/>
                <w:szCs w:val="44"/>
                <w:lang w:val="es-ES_tradnl"/>
              </w:rPr>
            </w:pPr>
          </w:p>
          <w:p w:rsidR="00F330C1" w:rsidRPr="00FB75EB" w:rsidRDefault="00F330C1" w:rsidP="00110AEC">
            <w:pPr>
              <w:spacing w:before="80" w:line="500" w:lineRule="exact"/>
              <w:jc w:val="right"/>
              <w:rPr>
                <w:rFonts w:ascii="Tahoma" w:hAnsi="Tahoma" w:cs="Tahoma"/>
                <w:b/>
                <w:bCs/>
                <w:iCs/>
                <w:color w:val="243285"/>
                <w:sz w:val="44"/>
                <w:szCs w:val="44"/>
                <w:lang w:val="es-ES_tradnl"/>
              </w:rPr>
            </w:pPr>
          </w:p>
        </w:tc>
      </w:tr>
      <w:tr w:rsidR="00F330C1" w:rsidRPr="004E5043" w:rsidTr="00110AEC">
        <w:tc>
          <w:tcPr>
            <w:tcW w:w="10089" w:type="dxa"/>
          </w:tcPr>
          <w:p w:rsidR="00F330C1" w:rsidRPr="00FB75EB" w:rsidRDefault="00F330C1" w:rsidP="00110AEC">
            <w:pPr>
              <w:spacing w:before="80" w:line="280" w:lineRule="exact"/>
              <w:ind w:right="640"/>
              <w:rPr>
                <w:rFonts w:ascii="Tahoma" w:hAnsi="Tahoma" w:cs="Tahoma"/>
                <w:b/>
                <w:bCs/>
                <w:iCs/>
                <w:color w:val="243285"/>
                <w:sz w:val="32"/>
                <w:szCs w:val="32"/>
                <w:lang w:val="es-ES_tradnl"/>
              </w:rPr>
            </w:pPr>
          </w:p>
          <w:p w:rsidR="00F330C1" w:rsidRPr="00FB75EB" w:rsidRDefault="00F330C1" w:rsidP="00110AEC">
            <w:pPr>
              <w:spacing w:before="80" w:line="280" w:lineRule="exact"/>
              <w:ind w:right="640"/>
              <w:rPr>
                <w:rFonts w:ascii="Tahoma" w:hAnsi="Tahoma" w:cs="Tahoma"/>
                <w:b/>
                <w:bCs/>
                <w:iCs/>
                <w:color w:val="243285"/>
                <w:sz w:val="32"/>
                <w:szCs w:val="32"/>
                <w:lang w:val="es-ES_tradnl"/>
              </w:rPr>
            </w:pPr>
          </w:p>
          <w:p w:rsidR="00F330C1" w:rsidRPr="00FB75EB" w:rsidRDefault="00F330C1" w:rsidP="00110AEC">
            <w:pPr>
              <w:spacing w:before="80" w:after="180" w:line="360" w:lineRule="exact"/>
              <w:ind w:right="720"/>
              <w:rPr>
                <w:rFonts w:ascii="Tahoma" w:hAnsi="Tahoma" w:cs="Tahoma"/>
                <w:b/>
                <w:bCs/>
                <w:iCs/>
                <w:color w:val="243285"/>
                <w:sz w:val="36"/>
                <w:szCs w:val="36"/>
                <w:lang w:val="es-ES_tradnl"/>
              </w:rPr>
            </w:pPr>
          </w:p>
          <w:p w:rsidR="00F330C1" w:rsidRPr="00FB75EB" w:rsidRDefault="00F330C1" w:rsidP="00110AEC">
            <w:pPr>
              <w:spacing w:before="80" w:after="180" w:line="360" w:lineRule="exact"/>
              <w:jc w:val="right"/>
              <w:rPr>
                <w:rFonts w:ascii="Tahoma" w:hAnsi="Tahoma" w:cs="Tahoma"/>
                <w:b/>
                <w:bCs/>
                <w:iCs/>
                <w:color w:val="243285"/>
                <w:sz w:val="36"/>
                <w:szCs w:val="36"/>
                <w:lang w:val="es-ES_tradnl"/>
              </w:rPr>
            </w:pPr>
            <w:r w:rsidRPr="00FB75EB">
              <w:rPr>
                <w:rFonts w:ascii="Tahoma" w:hAnsi="Tahoma" w:cs="Tahoma"/>
                <w:b/>
                <w:bCs/>
                <w:iCs/>
                <w:color w:val="243285"/>
                <w:sz w:val="36"/>
                <w:szCs w:val="36"/>
                <w:lang w:val="es-ES_tradnl"/>
              </w:rPr>
              <w:t>Serie M</w:t>
            </w:r>
          </w:p>
          <w:p w:rsidR="00F330C1" w:rsidRPr="00FB75EB" w:rsidRDefault="00F330C1" w:rsidP="00110AEC">
            <w:pPr>
              <w:spacing w:before="80" w:line="420" w:lineRule="exact"/>
              <w:jc w:val="right"/>
              <w:rPr>
                <w:rFonts w:ascii="Tahoma" w:hAnsi="Tahoma" w:cs="Tahoma"/>
                <w:b/>
                <w:bCs/>
                <w:iCs/>
                <w:color w:val="243285"/>
                <w:sz w:val="36"/>
                <w:szCs w:val="36"/>
                <w:lang w:val="es-ES_tradnl"/>
              </w:rPr>
            </w:pPr>
            <w:r w:rsidRPr="00FB75EB">
              <w:rPr>
                <w:rFonts w:ascii="Tahoma" w:hAnsi="Tahoma" w:cs="Tahoma"/>
                <w:b/>
                <w:bCs/>
                <w:iCs/>
                <w:color w:val="243285"/>
                <w:sz w:val="36"/>
                <w:szCs w:val="36"/>
                <w:lang w:val="es-ES_tradnl"/>
              </w:rPr>
              <w:t>Servicios móviles, de radiodeterminación,</w:t>
            </w:r>
            <w:r w:rsidRPr="00FB75EB">
              <w:rPr>
                <w:rFonts w:ascii="Tahoma" w:hAnsi="Tahoma" w:cs="Tahoma"/>
                <w:b/>
                <w:bCs/>
                <w:iCs/>
                <w:color w:val="243285"/>
                <w:sz w:val="36"/>
                <w:szCs w:val="36"/>
                <w:lang w:val="es-ES_tradnl"/>
              </w:rPr>
              <w:br/>
              <w:t>de aficionados y otros servicios</w:t>
            </w:r>
            <w:r w:rsidRPr="00FB75EB">
              <w:rPr>
                <w:rFonts w:ascii="Tahoma" w:hAnsi="Tahoma" w:cs="Tahoma"/>
                <w:b/>
                <w:bCs/>
                <w:iCs/>
                <w:color w:val="243285"/>
                <w:sz w:val="36"/>
                <w:szCs w:val="36"/>
                <w:lang w:val="es-ES_tradnl"/>
              </w:rPr>
              <w:br/>
              <w:t>por satélite conexos</w:t>
            </w:r>
          </w:p>
        </w:tc>
      </w:tr>
    </w:tbl>
    <w:p w:rsidR="00F330C1" w:rsidRPr="00FB75EB" w:rsidRDefault="00F330C1" w:rsidP="00F330C1">
      <w:pPr>
        <w:spacing w:before="80"/>
        <w:rPr>
          <w:i/>
          <w:sz w:val="22"/>
          <w:lang w:val="es-ES_tradnl"/>
        </w:rPr>
      </w:pPr>
    </w:p>
    <w:p w:rsidR="00F330C1" w:rsidRPr="00FB75EB" w:rsidRDefault="00F330C1" w:rsidP="00F330C1">
      <w:pPr>
        <w:spacing w:before="80"/>
        <w:rPr>
          <w:i/>
          <w:sz w:val="22"/>
          <w:lang w:val="es-ES_tradnl"/>
        </w:rPr>
      </w:pPr>
    </w:p>
    <w:p w:rsidR="00F330C1" w:rsidRPr="00FB75EB" w:rsidRDefault="00F330C1" w:rsidP="00F330C1">
      <w:pPr>
        <w:spacing w:before="80"/>
        <w:rPr>
          <w:i/>
          <w:sz w:val="22"/>
          <w:lang w:val="es-ES_tradnl"/>
        </w:rPr>
      </w:pPr>
    </w:p>
    <w:p w:rsidR="00F330C1" w:rsidRPr="00FB75EB" w:rsidRDefault="00F330C1" w:rsidP="00F330C1">
      <w:pPr>
        <w:spacing w:before="80"/>
        <w:rPr>
          <w:i/>
          <w:sz w:val="22"/>
          <w:lang w:val="es-ES_tradnl"/>
        </w:rPr>
      </w:pPr>
    </w:p>
    <w:p w:rsidR="00F330C1" w:rsidRPr="00FB75EB" w:rsidRDefault="00F330C1" w:rsidP="00F330C1">
      <w:pPr>
        <w:spacing w:before="80"/>
        <w:rPr>
          <w:i/>
          <w:sz w:val="22"/>
          <w:lang w:val="es-ES_tradnl"/>
        </w:rPr>
      </w:pPr>
    </w:p>
    <w:p w:rsidR="00F330C1" w:rsidRPr="00FB75EB" w:rsidRDefault="00F330C1" w:rsidP="00F330C1">
      <w:pPr>
        <w:spacing w:before="80"/>
        <w:rPr>
          <w:i/>
          <w:sz w:val="22"/>
          <w:lang w:val="es-ES_tradnl"/>
        </w:rPr>
      </w:pPr>
    </w:p>
    <w:p w:rsidR="00F330C1" w:rsidRPr="00FB75EB" w:rsidRDefault="00F330C1" w:rsidP="00F330C1">
      <w:pPr>
        <w:pStyle w:val="Equation"/>
        <w:tabs>
          <w:tab w:val="clear" w:pos="4820"/>
          <w:tab w:val="clear" w:pos="9639"/>
          <w:tab w:val="left" w:pos="1191"/>
          <w:tab w:val="left" w:pos="1588"/>
          <w:tab w:val="left" w:pos="1985"/>
        </w:tabs>
        <w:rPr>
          <w:rFonts w:ascii="Palatino Linotype" w:hAnsi="Palatino Linotype"/>
          <w:lang w:val="es-ES_tradnl"/>
        </w:rPr>
        <w:sectPr w:rsidR="00F330C1" w:rsidRPr="00FB75EB">
          <w:headerReference w:type="default" r:id="rId8"/>
          <w:pgSz w:w="11907" w:h="16840" w:code="9"/>
          <w:pgMar w:top="1089" w:right="1089" w:bottom="284" w:left="1089" w:header="567" w:footer="284" w:gutter="0"/>
          <w:pgNumType w:start="1"/>
          <w:cols w:space="720"/>
        </w:sectPr>
      </w:pPr>
    </w:p>
    <w:p w:rsidR="00F330C1" w:rsidRPr="00FB75EB" w:rsidRDefault="00F330C1" w:rsidP="00F330C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FB75EB">
        <w:rPr>
          <w:bCs/>
          <w:sz w:val="24"/>
          <w:szCs w:val="24"/>
          <w:lang w:val="es-ES_tradnl"/>
        </w:rPr>
        <w:lastRenderedPageBreak/>
        <w:t>Prólogo</w:t>
      </w:r>
    </w:p>
    <w:p w:rsidR="00F330C1" w:rsidRPr="00FB75EB" w:rsidRDefault="00F330C1" w:rsidP="00F330C1">
      <w:pPr>
        <w:spacing w:before="180"/>
        <w:rPr>
          <w:sz w:val="20"/>
          <w:lang w:val="es-ES_tradnl"/>
        </w:rPr>
      </w:pPr>
      <w:r w:rsidRPr="00FB75EB">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F330C1" w:rsidRPr="00FB75EB" w:rsidRDefault="00F330C1" w:rsidP="00F330C1">
      <w:pPr>
        <w:rPr>
          <w:sz w:val="20"/>
          <w:lang w:val="es-ES_tradnl"/>
        </w:rPr>
      </w:pPr>
      <w:r w:rsidRPr="00FB75EB">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rsidR="00F330C1" w:rsidRPr="00FB75EB" w:rsidRDefault="00F330C1" w:rsidP="00F330C1">
      <w:pPr>
        <w:pStyle w:val="Heading1"/>
        <w:spacing w:before="340"/>
        <w:jc w:val="center"/>
        <w:rPr>
          <w:szCs w:val="24"/>
          <w:lang w:val="es-ES_tradnl"/>
        </w:rPr>
      </w:pPr>
      <w:r w:rsidRPr="00FB75EB">
        <w:rPr>
          <w:lang w:val="es-ES_tradnl"/>
        </w:rPr>
        <w:t>Política sobre Derechos de Propiedad Intelectual</w:t>
      </w:r>
      <w:r w:rsidRPr="00FB75EB">
        <w:rPr>
          <w:szCs w:val="24"/>
          <w:lang w:val="es-ES_tradnl"/>
        </w:rPr>
        <w:t xml:space="preserve"> (IPR)</w:t>
      </w:r>
    </w:p>
    <w:p w:rsidR="00F330C1" w:rsidRPr="00FB75EB" w:rsidRDefault="00F330C1" w:rsidP="00F330C1">
      <w:pPr>
        <w:spacing w:before="180"/>
        <w:rPr>
          <w:sz w:val="20"/>
          <w:lang w:val="es-ES_tradnl"/>
        </w:rPr>
      </w:pPr>
      <w:r w:rsidRPr="00FB75EB">
        <w:rPr>
          <w:sz w:val="20"/>
          <w:lang w:val="es-ES_tradnl"/>
        </w:rPr>
        <w:t>La política del UIT</w:t>
      </w:r>
      <w:r w:rsidRPr="00FB75EB">
        <w:rPr>
          <w:sz w:val="20"/>
          <w:lang w:val="es-ES_tradnl"/>
        </w:rPr>
        <w:noBreakHyphen/>
        <w:t>R sobre Derechos de Propiedad Intelectual se describe en la Política Común de Patentes UIT</w:t>
      </w:r>
      <w:r w:rsidRPr="00FB75EB">
        <w:rPr>
          <w:sz w:val="20"/>
          <w:lang w:val="es-ES_tradnl"/>
        </w:rPr>
        <w:noBreakHyphen/>
        <w:t>T/UIT</w:t>
      </w:r>
      <w:r w:rsidRPr="00FB75EB">
        <w:rPr>
          <w:sz w:val="20"/>
          <w:lang w:val="es-ES_tradnl"/>
        </w:rPr>
        <w:noBreakHyphen/>
        <w:t>R/ISO/CEI a la que se hace referencia en el Anexo 1 a la Resolución UIT</w:t>
      </w:r>
      <w:r w:rsidRPr="00FB75EB">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FB75EB">
          <w:rPr>
            <w:rStyle w:val="Hyperlink"/>
            <w:sz w:val="20"/>
            <w:lang w:val="es-ES_tradnl"/>
          </w:rPr>
          <w:t>http://www.itu.int/ITU-R/go/patents/es</w:t>
        </w:r>
      </w:hyperlink>
      <w:r w:rsidRPr="00FB75EB">
        <w:rPr>
          <w:sz w:val="20"/>
          <w:lang w:val="es-ES_tradnl"/>
        </w:rPr>
        <w:t>, donde también aparecen las Directrices para la implementación de la Política Común de Patentes UIT</w:t>
      </w:r>
      <w:r w:rsidRPr="00FB75EB">
        <w:rPr>
          <w:sz w:val="20"/>
          <w:lang w:val="es-ES_tradnl"/>
        </w:rPr>
        <w:noBreakHyphen/>
        <w:t>T/UIT</w:t>
      </w:r>
      <w:r w:rsidRPr="00FB75EB">
        <w:rPr>
          <w:sz w:val="20"/>
          <w:lang w:val="es-ES_tradnl"/>
        </w:rPr>
        <w:noBreakHyphen/>
        <w:t>R/ISO/CEI y la base de datos sobre información de patentes del UIT</w:t>
      </w:r>
      <w:r w:rsidRPr="00FB75EB">
        <w:rPr>
          <w:sz w:val="20"/>
          <w:lang w:val="es-ES_tradnl"/>
        </w:rPr>
        <w:noBreakHyphen/>
        <w:t>R sobre este asunto.</w:t>
      </w:r>
    </w:p>
    <w:p w:rsidR="00F330C1" w:rsidRPr="00FB75EB" w:rsidRDefault="00F330C1" w:rsidP="00F330C1">
      <w:pPr>
        <w:spacing w:before="0"/>
        <w:jc w:val="center"/>
        <w:rPr>
          <w:sz w:val="22"/>
          <w:lang w:val="es-ES_tradnl"/>
        </w:rPr>
      </w:pPr>
    </w:p>
    <w:p w:rsidR="00F330C1" w:rsidRPr="00FB75EB" w:rsidRDefault="00F330C1" w:rsidP="00F330C1">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F330C1" w:rsidRPr="004E5043" w:rsidTr="00110AEC">
        <w:tc>
          <w:tcPr>
            <w:tcW w:w="9360" w:type="dxa"/>
            <w:gridSpan w:val="2"/>
          </w:tcPr>
          <w:p w:rsidR="00F330C1" w:rsidRPr="00FB75EB" w:rsidRDefault="00F330C1" w:rsidP="00110AEC">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FB75EB">
              <w:rPr>
                <w:sz w:val="22"/>
                <w:szCs w:val="22"/>
                <w:lang w:val="es-ES_tradnl"/>
              </w:rPr>
              <w:t xml:space="preserve">Series de las Recomendaciones UIT-R </w:t>
            </w:r>
          </w:p>
          <w:p w:rsidR="00F330C1" w:rsidRPr="00FB75EB" w:rsidRDefault="00F330C1" w:rsidP="00110AE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FB75EB">
              <w:rPr>
                <w:b w:val="0"/>
                <w:sz w:val="18"/>
                <w:szCs w:val="18"/>
                <w:lang w:val="es-ES_tradnl"/>
              </w:rPr>
              <w:t xml:space="preserve">(También disponible en línea en </w:t>
            </w:r>
            <w:hyperlink r:id="rId10" w:history="1">
              <w:r w:rsidRPr="00FB75EB">
                <w:rPr>
                  <w:rStyle w:val="Hyperlink"/>
                  <w:b w:val="0"/>
                  <w:bCs/>
                  <w:sz w:val="18"/>
                  <w:szCs w:val="18"/>
                  <w:lang w:val="es-ES_tradnl"/>
                </w:rPr>
                <w:t>http://www.itu.int/publ/R-REC/es</w:t>
              </w:r>
            </w:hyperlink>
            <w:r w:rsidRPr="00FB75EB">
              <w:rPr>
                <w:b w:val="0"/>
                <w:bCs/>
                <w:sz w:val="18"/>
                <w:szCs w:val="18"/>
                <w:lang w:val="es-ES_tradnl"/>
              </w:rPr>
              <w:t>)</w:t>
            </w:r>
          </w:p>
        </w:tc>
      </w:tr>
      <w:tr w:rsidR="00F330C1" w:rsidRPr="00FB75EB" w:rsidTr="00110AEC">
        <w:tc>
          <w:tcPr>
            <w:tcW w:w="1140" w:type="dxa"/>
          </w:tcPr>
          <w:p w:rsidR="00F330C1" w:rsidRPr="00FB75EB" w:rsidRDefault="00F330C1" w:rsidP="00110AEC">
            <w:pPr>
              <w:spacing w:before="180" w:after="100"/>
              <w:ind w:left="57"/>
              <w:rPr>
                <w:b/>
                <w:bCs/>
                <w:sz w:val="20"/>
                <w:lang w:val="es-ES_tradnl"/>
              </w:rPr>
            </w:pPr>
            <w:r w:rsidRPr="00FB75EB">
              <w:rPr>
                <w:b/>
                <w:bCs/>
                <w:sz w:val="20"/>
                <w:lang w:val="es-ES_tradnl"/>
              </w:rPr>
              <w:t>Series</w:t>
            </w:r>
          </w:p>
        </w:tc>
        <w:tc>
          <w:tcPr>
            <w:tcW w:w="8220" w:type="dxa"/>
          </w:tcPr>
          <w:p w:rsidR="00F330C1" w:rsidRPr="00FB75EB" w:rsidRDefault="00F330C1" w:rsidP="00110AE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FB75EB">
              <w:rPr>
                <w:bCs/>
                <w:sz w:val="20"/>
                <w:lang w:val="es-ES_tradnl"/>
              </w:rPr>
              <w:t>Título</w:t>
            </w:r>
          </w:p>
        </w:tc>
      </w:tr>
      <w:tr w:rsidR="00F330C1" w:rsidRPr="00FB75EB" w:rsidTr="00110AEC">
        <w:tc>
          <w:tcPr>
            <w:tcW w:w="1140" w:type="dxa"/>
          </w:tcPr>
          <w:p w:rsidR="00F330C1" w:rsidRPr="00FB75EB" w:rsidRDefault="00F330C1" w:rsidP="00110AEC">
            <w:pPr>
              <w:spacing w:before="30" w:after="30"/>
              <w:ind w:left="57"/>
              <w:jc w:val="left"/>
              <w:rPr>
                <w:b/>
                <w:bCs/>
                <w:sz w:val="20"/>
                <w:lang w:val="es-ES_tradnl"/>
              </w:rPr>
            </w:pPr>
            <w:r w:rsidRPr="00FB75EB">
              <w:rPr>
                <w:b/>
                <w:bCs/>
                <w:sz w:val="20"/>
                <w:lang w:val="es-ES_tradnl"/>
              </w:rPr>
              <w:t>BO</w:t>
            </w:r>
          </w:p>
        </w:tc>
        <w:tc>
          <w:tcPr>
            <w:tcW w:w="8220" w:type="dxa"/>
          </w:tcPr>
          <w:p w:rsidR="00F330C1" w:rsidRPr="00FB75EB" w:rsidRDefault="00F330C1" w:rsidP="00110AE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FB75EB">
              <w:rPr>
                <w:b w:val="0"/>
                <w:bCs/>
                <w:sz w:val="20"/>
                <w:lang w:val="es-ES_tradnl"/>
              </w:rPr>
              <w:t>Distribución por satélite</w:t>
            </w:r>
          </w:p>
        </w:tc>
      </w:tr>
      <w:tr w:rsidR="00F330C1" w:rsidRPr="004E5043" w:rsidTr="00110AEC">
        <w:tc>
          <w:tcPr>
            <w:tcW w:w="1140" w:type="dxa"/>
          </w:tcPr>
          <w:p w:rsidR="00F330C1" w:rsidRPr="00FB75EB" w:rsidRDefault="00F330C1" w:rsidP="00110AEC">
            <w:pPr>
              <w:spacing w:before="30" w:after="30"/>
              <w:ind w:left="57"/>
              <w:jc w:val="left"/>
              <w:rPr>
                <w:b/>
                <w:bCs/>
                <w:sz w:val="20"/>
                <w:lang w:val="es-ES_tradnl"/>
              </w:rPr>
            </w:pPr>
            <w:r w:rsidRPr="00FB75EB">
              <w:rPr>
                <w:b/>
                <w:bCs/>
                <w:sz w:val="20"/>
                <w:lang w:val="es-ES_tradnl"/>
              </w:rPr>
              <w:t>BR</w:t>
            </w:r>
          </w:p>
        </w:tc>
        <w:tc>
          <w:tcPr>
            <w:tcW w:w="8220" w:type="dxa"/>
          </w:tcPr>
          <w:p w:rsidR="00F330C1" w:rsidRPr="00FB75EB" w:rsidRDefault="00F330C1" w:rsidP="00110AE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FB75EB">
              <w:rPr>
                <w:b w:val="0"/>
                <w:bCs/>
                <w:sz w:val="20"/>
                <w:lang w:val="es-ES_tradnl"/>
              </w:rPr>
              <w:t>Registro para producción, archivo y reproducción; películas en televisión</w:t>
            </w:r>
          </w:p>
        </w:tc>
      </w:tr>
      <w:tr w:rsidR="00F330C1" w:rsidRPr="00FB75EB" w:rsidTr="00110AEC">
        <w:tc>
          <w:tcPr>
            <w:tcW w:w="1140" w:type="dxa"/>
          </w:tcPr>
          <w:p w:rsidR="00F330C1" w:rsidRPr="00FB75EB" w:rsidRDefault="00F330C1" w:rsidP="00110AEC">
            <w:pPr>
              <w:spacing w:before="30" w:after="30"/>
              <w:ind w:left="57"/>
              <w:jc w:val="left"/>
              <w:rPr>
                <w:b/>
                <w:bCs/>
                <w:sz w:val="20"/>
                <w:lang w:val="es-ES_tradnl"/>
              </w:rPr>
            </w:pPr>
            <w:r w:rsidRPr="00FB75EB">
              <w:rPr>
                <w:b/>
                <w:bCs/>
                <w:sz w:val="20"/>
                <w:lang w:val="es-ES_tradnl"/>
              </w:rPr>
              <w:t>BS</w:t>
            </w:r>
          </w:p>
        </w:tc>
        <w:tc>
          <w:tcPr>
            <w:tcW w:w="8220" w:type="dxa"/>
          </w:tcPr>
          <w:p w:rsidR="00F330C1" w:rsidRPr="00FB75EB" w:rsidRDefault="00F330C1" w:rsidP="00110AE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FB75EB">
              <w:rPr>
                <w:b w:val="0"/>
                <w:bCs/>
                <w:sz w:val="20"/>
                <w:lang w:val="es-ES_tradnl"/>
              </w:rPr>
              <w:t>Servicio de radiodifusión (sonora)</w:t>
            </w:r>
          </w:p>
        </w:tc>
      </w:tr>
      <w:tr w:rsidR="00F330C1" w:rsidRPr="00FB75EB" w:rsidTr="00110AEC">
        <w:tc>
          <w:tcPr>
            <w:tcW w:w="1140" w:type="dxa"/>
            <w:shd w:val="clear" w:color="auto" w:fill="auto"/>
          </w:tcPr>
          <w:p w:rsidR="00F330C1" w:rsidRPr="00FB75EB" w:rsidRDefault="00F330C1" w:rsidP="00110AEC">
            <w:pPr>
              <w:spacing w:before="30" w:after="30"/>
              <w:ind w:left="57"/>
              <w:jc w:val="left"/>
              <w:rPr>
                <w:b/>
                <w:bCs/>
                <w:sz w:val="20"/>
                <w:lang w:val="es-ES_tradnl"/>
              </w:rPr>
            </w:pPr>
            <w:r w:rsidRPr="00FB75EB">
              <w:rPr>
                <w:b/>
                <w:bCs/>
                <w:sz w:val="20"/>
                <w:lang w:val="es-ES_tradnl"/>
              </w:rPr>
              <w:t>BT</w:t>
            </w:r>
          </w:p>
        </w:tc>
        <w:tc>
          <w:tcPr>
            <w:tcW w:w="8220" w:type="dxa"/>
            <w:shd w:val="clear" w:color="auto" w:fill="auto"/>
          </w:tcPr>
          <w:p w:rsidR="00F330C1" w:rsidRPr="00FB75EB" w:rsidRDefault="00F330C1" w:rsidP="00110AE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FB75EB">
              <w:rPr>
                <w:b w:val="0"/>
                <w:bCs/>
                <w:sz w:val="20"/>
                <w:lang w:val="es-ES_tradnl"/>
              </w:rPr>
              <w:t>Servicio de radiodifusión (televisión)</w:t>
            </w:r>
          </w:p>
        </w:tc>
      </w:tr>
      <w:tr w:rsidR="00F330C1" w:rsidRPr="00FB75EB" w:rsidTr="00110AEC">
        <w:tc>
          <w:tcPr>
            <w:tcW w:w="1140" w:type="dxa"/>
            <w:shd w:val="clear" w:color="auto" w:fill="auto"/>
          </w:tcPr>
          <w:p w:rsidR="00F330C1" w:rsidRPr="00FB75EB" w:rsidRDefault="00F330C1" w:rsidP="00110AEC">
            <w:pPr>
              <w:spacing w:before="30" w:after="30"/>
              <w:ind w:left="57"/>
              <w:jc w:val="left"/>
              <w:rPr>
                <w:b/>
                <w:bCs/>
                <w:sz w:val="20"/>
                <w:lang w:val="es-ES_tradnl"/>
              </w:rPr>
            </w:pPr>
            <w:r w:rsidRPr="00FB75EB">
              <w:rPr>
                <w:b/>
                <w:bCs/>
                <w:sz w:val="20"/>
                <w:lang w:val="es-ES_tradnl"/>
              </w:rPr>
              <w:t>F</w:t>
            </w:r>
          </w:p>
        </w:tc>
        <w:tc>
          <w:tcPr>
            <w:tcW w:w="8220" w:type="dxa"/>
            <w:shd w:val="clear" w:color="auto" w:fill="auto"/>
          </w:tcPr>
          <w:p w:rsidR="00F330C1" w:rsidRPr="00FB75EB" w:rsidRDefault="00F330C1" w:rsidP="00110AE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FB75EB">
              <w:rPr>
                <w:bCs/>
                <w:sz w:val="20"/>
                <w:lang w:val="es-ES_tradnl"/>
              </w:rPr>
              <w:t>Servicio fijo</w:t>
            </w:r>
          </w:p>
        </w:tc>
      </w:tr>
      <w:tr w:rsidR="00F330C1" w:rsidRPr="004E5043" w:rsidTr="00110AEC">
        <w:tc>
          <w:tcPr>
            <w:tcW w:w="1140" w:type="dxa"/>
            <w:shd w:val="clear" w:color="auto" w:fill="F3F3F3"/>
          </w:tcPr>
          <w:p w:rsidR="00F330C1" w:rsidRPr="00FB75EB" w:rsidRDefault="00F330C1" w:rsidP="00110AEC">
            <w:pPr>
              <w:spacing w:before="30" w:after="30"/>
              <w:ind w:left="57"/>
              <w:jc w:val="left"/>
              <w:rPr>
                <w:b/>
                <w:bCs/>
                <w:color w:val="000080"/>
                <w:sz w:val="20"/>
                <w:lang w:val="es-ES_tradnl"/>
              </w:rPr>
            </w:pPr>
            <w:r w:rsidRPr="00FB75EB">
              <w:rPr>
                <w:b/>
                <w:bCs/>
                <w:color w:val="000080"/>
                <w:sz w:val="20"/>
                <w:lang w:val="es-ES_tradnl"/>
              </w:rPr>
              <w:t>M</w:t>
            </w:r>
          </w:p>
        </w:tc>
        <w:tc>
          <w:tcPr>
            <w:tcW w:w="8220" w:type="dxa"/>
            <w:shd w:val="clear" w:color="auto" w:fill="F3F3F3"/>
          </w:tcPr>
          <w:p w:rsidR="00F330C1" w:rsidRPr="00FB75EB" w:rsidRDefault="00F330C1" w:rsidP="00110AE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FB75EB">
              <w:rPr>
                <w:bCs/>
                <w:color w:val="000080"/>
                <w:sz w:val="20"/>
                <w:lang w:val="es-ES_tradnl"/>
              </w:rPr>
              <w:t>Servicios móviles, de radiodeterminación, de aficionados y otros servicios por satélite conexos</w:t>
            </w:r>
          </w:p>
        </w:tc>
      </w:tr>
      <w:tr w:rsidR="00F330C1" w:rsidRPr="004E5043" w:rsidTr="00110AEC">
        <w:tc>
          <w:tcPr>
            <w:tcW w:w="1140" w:type="dxa"/>
          </w:tcPr>
          <w:p w:rsidR="00F330C1" w:rsidRPr="00FB75EB" w:rsidRDefault="00F330C1" w:rsidP="00110AEC">
            <w:pPr>
              <w:spacing w:before="30" w:after="30"/>
              <w:ind w:left="57"/>
              <w:jc w:val="left"/>
              <w:rPr>
                <w:b/>
                <w:bCs/>
                <w:sz w:val="20"/>
                <w:lang w:val="es-ES_tradnl"/>
              </w:rPr>
            </w:pPr>
            <w:r w:rsidRPr="00FB75EB">
              <w:rPr>
                <w:b/>
                <w:bCs/>
                <w:sz w:val="20"/>
                <w:lang w:val="es-ES_tradnl"/>
              </w:rPr>
              <w:t>P</w:t>
            </w:r>
          </w:p>
        </w:tc>
        <w:tc>
          <w:tcPr>
            <w:tcW w:w="8220" w:type="dxa"/>
          </w:tcPr>
          <w:p w:rsidR="00F330C1" w:rsidRPr="00FB75EB" w:rsidRDefault="00F330C1" w:rsidP="00110AEC">
            <w:pPr>
              <w:spacing w:before="30" w:after="30"/>
              <w:jc w:val="left"/>
              <w:rPr>
                <w:bCs/>
                <w:sz w:val="20"/>
                <w:lang w:val="es-ES_tradnl"/>
              </w:rPr>
            </w:pPr>
            <w:r w:rsidRPr="00FB75EB">
              <w:rPr>
                <w:bCs/>
                <w:sz w:val="20"/>
                <w:lang w:val="es-ES_tradnl"/>
              </w:rPr>
              <w:t>Propagación de las ondas radioeléctricas</w:t>
            </w:r>
          </w:p>
        </w:tc>
      </w:tr>
      <w:tr w:rsidR="00F330C1" w:rsidRPr="00FB75EB" w:rsidTr="00110AEC">
        <w:tc>
          <w:tcPr>
            <w:tcW w:w="1140" w:type="dxa"/>
          </w:tcPr>
          <w:p w:rsidR="00F330C1" w:rsidRPr="00FB75EB" w:rsidRDefault="00F330C1" w:rsidP="00110AEC">
            <w:pPr>
              <w:spacing w:before="30" w:after="30"/>
              <w:ind w:left="57"/>
              <w:jc w:val="left"/>
              <w:rPr>
                <w:b/>
                <w:bCs/>
                <w:sz w:val="20"/>
                <w:lang w:val="es-ES_tradnl"/>
              </w:rPr>
            </w:pPr>
            <w:r w:rsidRPr="00FB75EB">
              <w:rPr>
                <w:b/>
                <w:bCs/>
                <w:sz w:val="20"/>
                <w:lang w:val="es-ES_tradnl"/>
              </w:rPr>
              <w:t>RA</w:t>
            </w:r>
          </w:p>
        </w:tc>
        <w:tc>
          <w:tcPr>
            <w:tcW w:w="8220" w:type="dxa"/>
          </w:tcPr>
          <w:p w:rsidR="00F330C1" w:rsidRPr="00FB75EB" w:rsidRDefault="00F330C1" w:rsidP="00110AE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FB75EB">
              <w:rPr>
                <w:bCs/>
                <w:sz w:val="20"/>
                <w:lang w:val="es-ES_tradnl"/>
              </w:rPr>
              <w:t>Radioastronomía</w:t>
            </w:r>
          </w:p>
        </w:tc>
      </w:tr>
      <w:tr w:rsidR="00F330C1" w:rsidRPr="004E5043" w:rsidTr="00110AEC">
        <w:tc>
          <w:tcPr>
            <w:tcW w:w="1140" w:type="dxa"/>
          </w:tcPr>
          <w:p w:rsidR="00F330C1" w:rsidRPr="00FB75EB" w:rsidRDefault="00F330C1" w:rsidP="00110AEC">
            <w:pPr>
              <w:spacing w:before="30" w:after="30"/>
              <w:ind w:left="57"/>
              <w:jc w:val="left"/>
              <w:rPr>
                <w:b/>
                <w:bCs/>
                <w:sz w:val="20"/>
                <w:lang w:val="es-ES_tradnl"/>
              </w:rPr>
            </w:pPr>
            <w:r w:rsidRPr="00FB75EB">
              <w:rPr>
                <w:b/>
                <w:bCs/>
                <w:sz w:val="20"/>
                <w:lang w:val="es-ES_tradnl"/>
              </w:rPr>
              <w:t>RS</w:t>
            </w:r>
          </w:p>
        </w:tc>
        <w:tc>
          <w:tcPr>
            <w:tcW w:w="8220" w:type="dxa"/>
          </w:tcPr>
          <w:p w:rsidR="00F330C1" w:rsidRPr="00FB75EB" w:rsidRDefault="00F330C1" w:rsidP="00110AE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FB75EB">
              <w:rPr>
                <w:bCs/>
                <w:sz w:val="20"/>
                <w:lang w:val="es-ES_tradnl"/>
              </w:rPr>
              <w:t>Sistemas de detección a distancia</w:t>
            </w:r>
          </w:p>
        </w:tc>
      </w:tr>
      <w:tr w:rsidR="00F330C1" w:rsidRPr="00FB75EB" w:rsidTr="00110AEC">
        <w:tc>
          <w:tcPr>
            <w:tcW w:w="1140" w:type="dxa"/>
          </w:tcPr>
          <w:p w:rsidR="00F330C1" w:rsidRPr="00FB75EB" w:rsidRDefault="00F330C1" w:rsidP="00110AEC">
            <w:pPr>
              <w:spacing w:before="30" w:after="30"/>
              <w:ind w:left="57"/>
              <w:jc w:val="left"/>
              <w:rPr>
                <w:b/>
                <w:bCs/>
                <w:sz w:val="20"/>
                <w:lang w:val="es-ES_tradnl"/>
              </w:rPr>
            </w:pPr>
            <w:r w:rsidRPr="00FB75EB">
              <w:rPr>
                <w:b/>
                <w:bCs/>
                <w:sz w:val="20"/>
                <w:lang w:val="es-ES_tradnl"/>
              </w:rPr>
              <w:t>S</w:t>
            </w:r>
          </w:p>
        </w:tc>
        <w:tc>
          <w:tcPr>
            <w:tcW w:w="8220" w:type="dxa"/>
          </w:tcPr>
          <w:p w:rsidR="00F330C1" w:rsidRPr="00FB75EB" w:rsidRDefault="00F330C1" w:rsidP="00110AEC">
            <w:pPr>
              <w:spacing w:before="30" w:after="30"/>
              <w:jc w:val="left"/>
              <w:rPr>
                <w:bCs/>
                <w:sz w:val="20"/>
                <w:lang w:val="es-ES_tradnl"/>
              </w:rPr>
            </w:pPr>
            <w:r w:rsidRPr="00FB75EB">
              <w:rPr>
                <w:bCs/>
                <w:sz w:val="20"/>
                <w:lang w:val="es-ES_tradnl"/>
              </w:rPr>
              <w:t>Servicio fijo por satélite</w:t>
            </w:r>
          </w:p>
        </w:tc>
      </w:tr>
      <w:tr w:rsidR="00F330C1" w:rsidRPr="00FB75EB" w:rsidTr="00110AEC">
        <w:tc>
          <w:tcPr>
            <w:tcW w:w="1140" w:type="dxa"/>
          </w:tcPr>
          <w:p w:rsidR="00F330C1" w:rsidRPr="00FB75EB" w:rsidRDefault="00F330C1" w:rsidP="00110AEC">
            <w:pPr>
              <w:spacing w:before="30" w:after="30"/>
              <w:ind w:left="57"/>
              <w:jc w:val="left"/>
              <w:rPr>
                <w:b/>
                <w:bCs/>
                <w:sz w:val="20"/>
                <w:lang w:val="es-ES_tradnl"/>
              </w:rPr>
            </w:pPr>
            <w:r w:rsidRPr="00FB75EB">
              <w:rPr>
                <w:b/>
                <w:bCs/>
                <w:sz w:val="20"/>
                <w:lang w:val="es-ES_tradnl"/>
              </w:rPr>
              <w:t>SA</w:t>
            </w:r>
          </w:p>
        </w:tc>
        <w:tc>
          <w:tcPr>
            <w:tcW w:w="8220" w:type="dxa"/>
          </w:tcPr>
          <w:p w:rsidR="00F330C1" w:rsidRPr="00FB75EB" w:rsidRDefault="00F330C1" w:rsidP="00110AEC">
            <w:pPr>
              <w:spacing w:before="30" w:after="30"/>
              <w:jc w:val="left"/>
              <w:rPr>
                <w:bCs/>
                <w:sz w:val="20"/>
                <w:lang w:val="es-ES_tradnl"/>
              </w:rPr>
            </w:pPr>
            <w:r w:rsidRPr="00FB75EB">
              <w:rPr>
                <w:bCs/>
                <w:sz w:val="20"/>
                <w:lang w:val="es-ES_tradnl"/>
              </w:rPr>
              <w:t>Aplicaciones espaciales y meteorología</w:t>
            </w:r>
          </w:p>
        </w:tc>
      </w:tr>
      <w:tr w:rsidR="00F330C1" w:rsidRPr="004E5043" w:rsidTr="00110AEC">
        <w:tc>
          <w:tcPr>
            <w:tcW w:w="1140" w:type="dxa"/>
          </w:tcPr>
          <w:p w:rsidR="00F330C1" w:rsidRPr="00FB75EB" w:rsidRDefault="00F330C1" w:rsidP="00110AEC">
            <w:pPr>
              <w:spacing w:before="30" w:after="30"/>
              <w:ind w:left="57"/>
              <w:jc w:val="left"/>
              <w:rPr>
                <w:b/>
                <w:bCs/>
                <w:sz w:val="20"/>
                <w:lang w:val="es-ES_tradnl"/>
              </w:rPr>
            </w:pPr>
            <w:r w:rsidRPr="00FB75EB">
              <w:rPr>
                <w:b/>
                <w:bCs/>
                <w:sz w:val="20"/>
                <w:lang w:val="es-ES_tradnl"/>
              </w:rPr>
              <w:t>SF</w:t>
            </w:r>
          </w:p>
        </w:tc>
        <w:tc>
          <w:tcPr>
            <w:tcW w:w="8220" w:type="dxa"/>
          </w:tcPr>
          <w:p w:rsidR="00F330C1" w:rsidRPr="00FB75EB" w:rsidRDefault="00F330C1" w:rsidP="00110AEC">
            <w:pPr>
              <w:spacing w:before="30" w:after="30"/>
              <w:jc w:val="left"/>
              <w:rPr>
                <w:bCs/>
                <w:sz w:val="20"/>
                <w:lang w:val="es-ES_tradnl"/>
              </w:rPr>
            </w:pPr>
            <w:r w:rsidRPr="00FB75EB">
              <w:rPr>
                <w:bCs/>
                <w:sz w:val="20"/>
                <w:lang w:val="es-ES_tradnl"/>
              </w:rPr>
              <w:t>Compartición de frecuencias y coordinación entre los sistemas del servicio fijo por satélite y del servicio fijo</w:t>
            </w:r>
          </w:p>
        </w:tc>
      </w:tr>
      <w:tr w:rsidR="00F330C1" w:rsidRPr="00FB75EB" w:rsidTr="00110AEC">
        <w:tc>
          <w:tcPr>
            <w:tcW w:w="1140" w:type="dxa"/>
            <w:shd w:val="clear" w:color="auto" w:fill="auto"/>
          </w:tcPr>
          <w:p w:rsidR="00F330C1" w:rsidRPr="00FB75EB" w:rsidRDefault="00F330C1" w:rsidP="00110AEC">
            <w:pPr>
              <w:spacing w:before="30" w:after="30"/>
              <w:ind w:left="57"/>
              <w:jc w:val="left"/>
              <w:rPr>
                <w:b/>
                <w:bCs/>
                <w:sz w:val="20"/>
                <w:lang w:val="es-ES_tradnl"/>
              </w:rPr>
            </w:pPr>
            <w:r w:rsidRPr="00FB75EB">
              <w:rPr>
                <w:b/>
                <w:bCs/>
                <w:sz w:val="20"/>
                <w:lang w:val="es-ES_tradnl"/>
              </w:rPr>
              <w:t>SM</w:t>
            </w:r>
          </w:p>
        </w:tc>
        <w:tc>
          <w:tcPr>
            <w:tcW w:w="8220" w:type="dxa"/>
            <w:shd w:val="clear" w:color="auto" w:fill="auto"/>
          </w:tcPr>
          <w:p w:rsidR="00F330C1" w:rsidRPr="00FB75EB" w:rsidRDefault="00F330C1" w:rsidP="00110AEC">
            <w:pPr>
              <w:spacing w:before="30" w:after="30"/>
              <w:jc w:val="left"/>
              <w:rPr>
                <w:sz w:val="20"/>
                <w:lang w:val="es-ES_tradnl"/>
              </w:rPr>
            </w:pPr>
            <w:r w:rsidRPr="00FB75EB">
              <w:rPr>
                <w:sz w:val="20"/>
                <w:lang w:val="es-ES_tradnl"/>
              </w:rPr>
              <w:t>Gestión del espectro</w:t>
            </w:r>
          </w:p>
        </w:tc>
      </w:tr>
      <w:tr w:rsidR="00F330C1" w:rsidRPr="00FB75EB" w:rsidTr="00110AEC">
        <w:tc>
          <w:tcPr>
            <w:tcW w:w="1140" w:type="dxa"/>
          </w:tcPr>
          <w:p w:rsidR="00F330C1" w:rsidRPr="00FB75EB" w:rsidRDefault="00F330C1" w:rsidP="00110AEC">
            <w:pPr>
              <w:spacing w:before="30" w:after="30"/>
              <w:ind w:left="57"/>
              <w:jc w:val="left"/>
              <w:rPr>
                <w:b/>
                <w:bCs/>
                <w:sz w:val="20"/>
                <w:lang w:val="es-ES_tradnl"/>
              </w:rPr>
            </w:pPr>
            <w:r w:rsidRPr="00FB75EB">
              <w:rPr>
                <w:b/>
                <w:bCs/>
                <w:sz w:val="20"/>
                <w:lang w:val="es-ES_tradnl"/>
              </w:rPr>
              <w:t>SNG</w:t>
            </w:r>
          </w:p>
        </w:tc>
        <w:tc>
          <w:tcPr>
            <w:tcW w:w="8220" w:type="dxa"/>
          </w:tcPr>
          <w:p w:rsidR="00F330C1" w:rsidRPr="00FB75EB" w:rsidRDefault="00F330C1" w:rsidP="00110AEC">
            <w:pPr>
              <w:spacing w:before="30" w:after="30"/>
              <w:jc w:val="left"/>
              <w:rPr>
                <w:bCs/>
                <w:sz w:val="20"/>
                <w:lang w:val="es-ES_tradnl"/>
              </w:rPr>
            </w:pPr>
            <w:r w:rsidRPr="00FB75EB">
              <w:rPr>
                <w:bCs/>
                <w:sz w:val="20"/>
                <w:lang w:val="es-ES_tradnl"/>
              </w:rPr>
              <w:t>Periodismo electrónico por satélite</w:t>
            </w:r>
          </w:p>
        </w:tc>
      </w:tr>
      <w:tr w:rsidR="00F330C1" w:rsidRPr="004E5043" w:rsidTr="00110AEC">
        <w:tc>
          <w:tcPr>
            <w:tcW w:w="1140" w:type="dxa"/>
          </w:tcPr>
          <w:p w:rsidR="00F330C1" w:rsidRPr="00FB75EB" w:rsidRDefault="00F330C1" w:rsidP="00110AEC">
            <w:pPr>
              <w:spacing w:before="30" w:after="30"/>
              <w:ind w:left="57"/>
              <w:jc w:val="left"/>
              <w:rPr>
                <w:b/>
                <w:bCs/>
                <w:sz w:val="20"/>
                <w:lang w:val="es-ES_tradnl"/>
              </w:rPr>
            </w:pPr>
            <w:r w:rsidRPr="00FB75EB">
              <w:rPr>
                <w:b/>
                <w:bCs/>
                <w:sz w:val="20"/>
                <w:lang w:val="es-ES_tradnl"/>
              </w:rPr>
              <w:t>TF</w:t>
            </w:r>
          </w:p>
        </w:tc>
        <w:tc>
          <w:tcPr>
            <w:tcW w:w="8220" w:type="dxa"/>
          </w:tcPr>
          <w:p w:rsidR="00F330C1" w:rsidRPr="00FB75EB" w:rsidRDefault="00F330C1" w:rsidP="00110AEC">
            <w:pPr>
              <w:spacing w:before="30" w:after="30"/>
              <w:jc w:val="left"/>
              <w:rPr>
                <w:bCs/>
                <w:sz w:val="20"/>
                <w:lang w:val="es-ES_tradnl"/>
              </w:rPr>
            </w:pPr>
            <w:r w:rsidRPr="00FB75EB">
              <w:rPr>
                <w:bCs/>
                <w:sz w:val="20"/>
                <w:lang w:val="es-ES_tradnl"/>
              </w:rPr>
              <w:t>Emisiones de frecuencias patrón y señales horarias</w:t>
            </w:r>
          </w:p>
        </w:tc>
      </w:tr>
      <w:tr w:rsidR="00F330C1" w:rsidRPr="00FB75EB" w:rsidTr="00110AEC">
        <w:tc>
          <w:tcPr>
            <w:tcW w:w="1140" w:type="dxa"/>
          </w:tcPr>
          <w:p w:rsidR="00F330C1" w:rsidRPr="00FB75EB" w:rsidRDefault="00F330C1" w:rsidP="00110AEC">
            <w:pPr>
              <w:spacing w:before="30" w:after="30"/>
              <w:ind w:left="57"/>
              <w:jc w:val="left"/>
              <w:rPr>
                <w:b/>
                <w:bCs/>
                <w:sz w:val="20"/>
                <w:lang w:val="es-ES_tradnl"/>
              </w:rPr>
            </w:pPr>
            <w:r w:rsidRPr="00FB75EB">
              <w:rPr>
                <w:b/>
                <w:bCs/>
                <w:sz w:val="20"/>
                <w:lang w:val="es-ES_tradnl"/>
              </w:rPr>
              <w:t>V</w:t>
            </w:r>
          </w:p>
        </w:tc>
        <w:tc>
          <w:tcPr>
            <w:tcW w:w="8220" w:type="dxa"/>
          </w:tcPr>
          <w:p w:rsidR="00F330C1" w:rsidRPr="00FB75EB" w:rsidRDefault="00F330C1" w:rsidP="00110AEC">
            <w:pPr>
              <w:spacing w:before="30" w:after="140"/>
              <w:jc w:val="left"/>
              <w:rPr>
                <w:bCs/>
                <w:sz w:val="20"/>
                <w:lang w:val="es-ES_tradnl"/>
              </w:rPr>
            </w:pPr>
            <w:r w:rsidRPr="00FB75EB">
              <w:rPr>
                <w:bCs/>
                <w:sz w:val="20"/>
                <w:lang w:val="es-ES_tradnl"/>
              </w:rPr>
              <w:t>Vocabulario y cuestiones afines</w:t>
            </w:r>
          </w:p>
        </w:tc>
      </w:tr>
    </w:tbl>
    <w:p w:rsidR="00F330C1" w:rsidRPr="00FB75EB" w:rsidRDefault="00F330C1" w:rsidP="00F330C1">
      <w:pPr>
        <w:spacing w:before="0" w:after="140"/>
        <w:jc w:val="center"/>
        <w:rPr>
          <w:sz w:val="20"/>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F330C1" w:rsidRPr="004E5043" w:rsidTr="00110AEC">
        <w:tc>
          <w:tcPr>
            <w:tcW w:w="9360" w:type="dxa"/>
          </w:tcPr>
          <w:p w:rsidR="00F330C1" w:rsidRPr="00FB75EB" w:rsidRDefault="00F330C1" w:rsidP="00110AEC">
            <w:pPr>
              <w:spacing w:before="92" w:after="92"/>
              <w:jc w:val="left"/>
              <w:rPr>
                <w:i/>
                <w:iCs/>
                <w:sz w:val="20"/>
                <w:lang w:val="es-ES_tradnl"/>
              </w:rPr>
            </w:pPr>
            <w:r w:rsidRPr="00FB75EB">
              <w:rPr>
                <w:b/>
                <w:bCs/>
                <w:i/>
                <w:iCs/>
                <w:sz w:val="20"/>
                <w:lang w:val="es-ES_tradnl"/>
              </w:rPr>
              <w:t>Nota</w:t>
            </w:r>
            <w:r w:rsidRPr="00FB75EB">
              <w:rPr>
                <w:i/>
                <w:iCs/>
                <w:sz w:val="20"/>
                <w:lang w:val="es-ES_tradnl"/>
              </w:rPr>
              <w:t xml:space="preserve">: Esta Recomendación UIT-R fue aprobada en inglés conforme al procedimiento detallado en la </w:t>
            </w:r>
            <w:r w:rsidRPr="00FB75EB">
              <w:rPr>
                <w:i/>
                <w:iCs/>
                <w:sz w:val="20"/>
                <w:lang w:val="es-ES_tradnl"/>
              </w:rPr>
              <w:br/>
              <w:t>Resolución UIT-R 1.</w:t>
            </w:r>
          </w:p>
        </w:tc>
      </w:tr>
    </w:tbl>
    <w:p w:rsidR="00F330C1" w:rsidRPr="00FB75EB" w:rsidRDefault="00F330C1" w:rsidP="00F330C1">
      <w:pPr>
        <w:spacing w:before="0"/>
        <w:jc w:val="center"/>
        <w:rPr>
          <w:sz w:val="22"/>
          <w:lang w:val="es-ES_tradnl"/>
        </w:rPr>
      </w:pPr>
    </w:p>
    <w:p w:rsidR="00F330C1" w:rsidRPr="00FB75EB" w:rsidRDefault="00F330C1" w:rsidP="00F330C1">
      <w:pPr>
        <w:spacing w:before="60"/>
        <w:jc w:val="right"/>
        <w:rPr>
          <w:i/>
          <w:iCs/>
          <w:sz w:val="20"/>
          <w:lang w:val="es-ES_tradnl"/>
        </w:rPr>
      </w:pPr>
      <w:r w:rsidRPr="00FB75EB">
        <w:rPr>
          <w:i/>
          <w:iCs/>
          <w:sz w:val="20"/>
          <w:lang w:val="es-ES_tradnl"/>
        </w:rPr>
        <w:t>Publicación electrónica</w:t>
      </w:r>
    </w:p>
    <w:p w:rsidR="00F330C1" w:rsidRPr="00FB75EB" w:rsidRDefault="00F330C1" w:rsidP="00F330C1">
      <w:pPr>
        <w:spacing w:before="0" w:after="40"/>
        <w:jc w:val="right"/>
        <w:rPr>
          <w:sz w:val="20"/>
          <w:lang w:val="es-ES_tradnl"/>
        </w:rPr>
      </w:pPr>
      <w:r w:rsidRPr="00FB75EB">
        <w:rPr>
          <w:sz w:val="20"/>
          <w:lang w:val="es-ES_tradnl"/>
        </w:rPr>
        <w:t>Ginebra, 2014</w:t>
      </w:r>
    </w:p>
    <w:p w:rsidR="00F330C1" w:rsidRPr="00FB75EB" w:rsidRDefault="00F330C1" w:rsidP="00F330C1">
      <w:pPr>
        <w:spacing w:before="0"/>
        <w:jc w:val="center"/>
        <w:rPr>
          <w:sz w:val="20"/>
          <w:lang w:val="es-ES_tradnl"/>
        </w:rPr>
      </w:pPr>
      <w:r w:rsidRPr="00FB75EB">
        <w:rPr>
          <w:sz w:val="20"/>
          <w:lang w:val="es-ES_tradnl"/>
        </w:rPr>
        <w:sym w:font="Symbol" w:char="F0E3"/>
      </w:r>
      <w:r w:rsidRPr="00FB75EB">
        <w:rPr>
          <w:sz w:val="20"/>
          <w:lang w:val="es-ES_tradnl"/>
        </w:rPr>
        <w:t xml:space="preserve"> UIT </w:t>
      </w:r>
      <w:bookmarkStart w:id="1" w:name="iiannee"/>
      <w:bookmarkEnd w:id="1"/>
      <w:r w:rsidRPr="00FB75EB">
        <w:rPr>
          <w:sz w:val="20"/>
          <w:lang w:val="es-ES_tradnl"/>
        </w:rPr>
        <w:t>2014</w:t>
      </w:r>
    </w:p>
    <w:p w:rsidR="00F330C1" w:rsidRPr="00FB75EB" w:rsidRDefault="00F330C1" w:rsidP="00F330C1">
      <w:pPr>
        <w:spacing w:before="80"/>
        <w:rPr>
          <w:sz w:val="18"/>
          <w:szCs w:val="18"/>
          <w:lang w:val="es-ES_tradnl"/>
        </w:rPr>
      </w:pPr>
      <w:r w:rsidRPr="00FB75EB">
        <w:rPr>
          <w:sz w:val="18"/>
          <w:szCs w:val="18"/>
          <w:lang w:val="es-ES_tradnl"/>
        </w:rPr>
        <w:t>Reservados todos los derechos. Ninguna parte de esta publicación puede reproducirse por ningún procedimiento sin previa autorización escrita por parte de la UIT.</w:t>
      </w:r>
    </w:p>
    <w:p w:rsidR="00F330C1" w:rsidRPr="00FB75EB" w:rsidRDefault="00F330C1" w:rsidP="00F330C1">
      <w:pPr>
        <w:spacing w:before="160"/>
        <w:rPr>
          <w:i/>
          <w:sz w:val="20"/>
          <w:highlight w:val="yellow"/>
          <w:lang w:val="es-ES_tradnl"/>
        </w:rPr>
        <w:sectPr w:rsidR="00F330C1" w:rsidRPr="00FB75EB" w:rsidSect="00110AEC">
          <w:headerReference w:type="even" r:id="rId11"/>
          <w:headerReference w:type="default" r:id="rId12"/>
          <w:footerReference w:type="even" r:id="rId13"/>
          <w:pgSz w:w="11907" w:h="16834" w:code="9"/>
          <w:pgMar w:top="1418" w:right="1134" w:bottom="1134" w:left="1134" w:header="720" w:footer="482" w:gutter="0"/>
          <w:pgNumType w:fmt="lowerRoman" w:start="2"/>
          <w:cols w:space="720"/>
        </w:sectPr>
      </w:pPr>
    </w:p>
    <w:p w:rsidR="00F330C1" w:rsidRPr="00FB75EB" w:rsidRDefault="00F330C1" w:rsidP="00F330C1">
      <w:pPr>
        <w:pStyle w:val="RecNo"/>
        <w:spacing w:before="0"/>
        <w:rPr>
          <w:lang w:val="es-ES_tradnl"/>
        </w:rPr>
      </w:pPr>
      <w:bookmarkStart w:id="2" w:name="irecnoe"/>
      <w:bookmarkEnd w:id="2"/>
      <w:r w:rsidRPr="00FB75EB">
        <w:rPr>
          <w:lang w:val="es-ES_tradnl"/>
        </w:rPr>
        <w:lastRenderedPageBreak/>
        <w:t xml:space="preserve">RECOMENDACIÓN  </w:t>
      </w:r>
      <w:r w:rsidRPr="00FB75EB">
        <w:rPr>
          <w:rStyle w:val="href"/>
          <w:lang w:val="es-ES_tradnl"/>
        </w:rPr>
        <w:t>UIT-R  M.20</w:t>
      </w:r>
      <w:r w:rsidR="007D717E" w:rsidRPr="00FB75EB">
        <w:rPr>
          <w:rStyle w:val="href"/>
          <w:lang w:val="es-ES_tradnl"/>
        </w:rPr>
        <w:t>46</w:t>
      </w:r>
    </w:p>
    <w:p w:rsidR="00A6617B" w:rsidRPr="00FB75EB" w:rsidRDefault="007D717E" w:rsidP="007D717E">
      <w:pPr>
        <w:pStyle w:val="Rectitle"/>
        <w:rPr>
          <w:lang w:val="es-ES_tradnl"/>
        </w:rPr>
      </w:pPr>
      <w:r w:rsidRPr="00FB75EB">
        <w:rPr>
          <w:lang w:val="es-ES_tradnl"/>
        </w:rPr>
        <w:t>Características y criterios de protección para los sistemas del servicio</w:t>
      </w:r>
      <w:r w:rsidRPr="00FB75EB">
        <w:rPr>
          <w:lang w:val="es-ES_tradnl"/>
        </w:rPr>
        <w:br/>
        <w:t>móvil por satélite con satélites no geoestacionarios</w:t>
      </w:r>
      <w:r w:rsidRPr="00FB75EB">
        <w:rPr>
          <w:lang w:val="es-ES_tradnl"/>
        </w:rPr>
        <w:br/>
        <w:t>que funciona en la banda 399,9-400,05 MHz</w:t>
      </w:r>
    </w:p>
    <w:p w:rsidR="00F330C1" w:rsidRPr="00FB75EB" w:rsidRDefault="007D717E" w:rsidP="007D717E">
      <w:pPr>
        <w:pStyle w:val="Recdate"/>
        <w:rPr>
          <w:lang w:val="es-ES_tradnl"/>
        </w:rPr>
      </w:pPr>
      <w:r w:rsidRPr="00FB75EB">
        <w:rPr>
          <w:lang w:val="es-ES_tradnl"/>
        </w:rPr>
        <w:t>(</w:t>
      </w:r>
      <w:r w:rsidR="00F330C1" w:rsidRPr="00FB75EB">
        <w:rPr>
          <w:lang w:val="es-ES_tradnl"/>
        </w:rPr>
        <w:t>2013)</w:t>
      </w:r>
    </w:p>
    <w:p w:rsidR="00F330C1" w:rsidRPr="00FB75EB" w:rsidRDefault="00F330C1" w:rsidP="00F330C1">
      <w:pPr>
        <w:pStyle w:val="HeadingSum"/>
      </w:pPr>
      <w:r w:rsidRPr="00FB75EB">
        <w:t>Cometido</w:t>
      </w:r>
    </w:p>
    <w:p w:rsidR="00F330C1" w:rsidRPr="00FB75EB" w:rsidRDefault="007D717E" w:rsidP="00D23300">
      <w:pPr>
        <w:pStyle w:val="Summary"/>
      </w:pPr>
      <w:r w:rsidRPr="00FB75EB">
        <w:t xml:space="preserve">Esta Recomendación </w:t>
      </w:r>
      <w:r w:rsidR="00295D4F">
        <w:t>presenta</w:t>
      </w:r>
      <w:r w:rsidRPr="00FB75EB">
        <w:t xml:space="preserve"> una descripción</w:t>
      </w:r>
      <w:r w:rsidR="00295D4F">
        <w:t xml:space="preserve"> e indica</w:t>
      </w:r>
      <w:r w:rsidRPr="00FB75EB">
        <w:t xml:space="preserve"> los correspondientes criterios de protección contra la interferencia de banda estrecha y de r</w:t>
      </w:r>
      <w:r w:rsidR="00295D4F">
        <w:t>ui</w:t>
      </w:r>
      <w:r w:rsidRPr="00FB75EB">
        <w:t>do de banda ancha de un sistema del servicio móvil por satélites que</w:t>
      </w:r>
      <w:r w:rsidR="00295D4F">
        <w:t xml:space="preserve"> hace uso de la banda 399,9-400,05 MHz (T</w:t>
      </w:r>
      <w:r w:rsidRPr="00FB75EB">
        <w:t>ierra-</w:t>
      </w:r>
      <w:r w:rsidR="00295D4F">
        <w:t>E</w:t>
      </w:r>
      <w:r w:rsidRPr="00FB75EB">
        <w:t>spacio).</w:t>
      </w:r>
    </w:p>
    <w:p w:rsidR="00F330C1" w:rsidRPr="00FB75EB" w:rsidRDefault="00F330C1" w:rsidP="00F330C1">
      <w:pPr>
        <w:pStyle w:val="Normalaftertitle"/>
        <w:rPr>
          <w:lang w:val="es-ES_tradnl"/>
        </w:rPr>
      </w:pPr>
      <w:r w:rsidRPr="00FB75EB">
        <w:rPr>
          <w:lang w:val="es-ES_tradnl"/>
        </w:rPr>
        <w:t>La Asamblea de Radiocomunicaciones de la UIT,</w:t>
      </w:r>
    </w:p>
    <w:p w:rsidR="00F330C1" w:rsidRPr="00FB75EB" w:rsidRDefault="00F330C1" w:rsidP="00F330C1">
      <w:pPr>
        <w:pStyle w:val="Call"/>
        <w:rPr>
          <w:lang w:val="es-ES_tradnl"/>
        </w:rPr>
      </w:pPr>
      <w:r w:rsidRPr="00FB75EB">
        <w:rPr>
          <w:lang w:val="es-ES_tradnl"/>
        </w:rPr>
        <w:t>considerand</w:t>
      </w:r>
      <w:r w:rsidR="00FF02C6" w:rsidRPr="00FB75EB">
        <w:rPr>
          <w:lang w:val="es-ES_tradnl"/>
        </w:rPr>
        <w:t>o</w:t>
      </w:r>
    </w:p>
    <w:p w:rsidR="00FF02C6" w:rsidRPr="00FB75EB" w:rsidRDefault="00F330C1" w:rsidP="007D717E">
      <w:pPr>
        <w:rPr>
          <w:lang w:val="es-ES_tradnl"/>
        </w:rPr>
      </w:pPr>
      <w:r w:rsidRPr="006974C9">
        <w:rPr>
          <w:i/>
          <w:lang w:val="es-ES_tradnl"/>
        </w:rPr>
        <w:t>a)</w:t>
      </w:r>
      <w:r w:rsidRPr="00FB75EB">
        <w:rPr>
          <w:lang w:val="es-ES_tradnl"/>
        </w:rPr>
        <w:tab/>
      </w:r>
      <w:r w:rsidR="007D717E" w:rsidRPr="00FB75EB">
        <w:rPr>
          <w:lang w:val="es-ES_tradnl"/>
        </w:rPr>
        <w:t>que la banda de f</w:t>
      </w:r>
      <w:r w:rsidR="00295D4F">
        <w:rPr>
          <w:lang w:val="es-ES_tradnl"/>
        </w:rPr>
        <w:t>recuencias 399,9-400,05 MHz está</w:t>
      </w:r>
      <w:r w:rsidR="007D717E" w:rsidRPr="00FB75EB">
        <w:rPr>
          <w:lang w:val="es-ES_tradnl"/>
        </w:rPr>
        <w:t xml:space="preserve"> atribuida al </w:t>
      </w:r>
      <w:r w:rsidR="00295D4F">
        <w:rPr>
          <w:lang w:val="es-ES_tradnl"/>
        </w:rPr>
        <w:t>servicio móvil por satélite (SMS</w:t>
      </w:r>
      <w:r w:rsidR="007D717E" w:rsidRPr="00FB75EB">
        <w:rPr>
          <w:lang w:val="es-ES_tradnl"/>
        </w:rPr>
        <w:t>)</w:t>
      </w:r>
      <w:r w:rsidR="00FF02C6" w:rsidRPr="00FB75EB">
        <w:rPr>
          <w:lang w:val="es-ES_tradnl"/>
        </w:rPr>
        <w:t>;</w:t>
      </w:r>
    </w:p>
    <w:p w:rsidR="00FF02C6" w:rsidRPr="00FB75EB" w:rsidRDefault="00FF02C6" w:rsidP="007D717E">
      <w:pPr>
        <w:rPr>
          <w:lang w:val="es-ES_tradnl"/>
        </w:rPr>
      </w:pPr>
      <w:r w:rsidRPr="006974C9">
        <w:rPr>
          <w:i/>
          <w:lang w:val="es-ES_tradnl"/>
        </w:rPr>
        <w:t>b)</w:t>
      </w:r>
      <w:r w:rsidRPr="00FB75EB">
        <w:rPr>
          <w:lang w:val="es-ES_tradnl"/>
        </w:rPr>
        <w:tab/>
      </w:r>
      <w:r w:rsidR="007D717E" w:rsidRPr="00FB75EB">
        <w:rPr>
          <w:lang w:val="es-ES_tradnl"/>
        </w:rPr>
        <w:t>que la utilización de la banda de frecuen</w:t>
      </w:r>
      <w:r w:rsidR="002A1AA9" w:rsidRPr="00FB75EB">
        <w:rPr>
          <w:lang w:val="es-ES_tradnl"/>
        </w:rPr>
        <w:t>cias 399,9-400,05 MHz por el SMS</w:t>
      </w:r>
      <w:r w:rsidR="007D717E" w:rsidRPr="00FB75EB">
        <w:rPr>
          <w:lang w:val="es-ES_tradnl"/>
        </w:rPr>
        <w:t xml:space="preserve"> está limitada a sistemas de satélites no geoestacionarios (no OSG)</w:t>
      </w:r>
      <w:r w:rsidRPr="00FB75EB">
        <w:rPr>
          <w:lang w:val="es-ES_tradnl"/>
        </w:rPr>
        <w:t>;</w:t>
      </w:r>
    </w:p>
    <w:p w:rsidR="00FF02C6" w:rsidRPr="00FB75EB" w:rsidRDefault="00FF02C6" w:rsidP="00295D4F">
      <w:pPr>
        <w:rPr>
          <w:lang w:val="es-ES_tradnl"/>
        </w:rPr>
      </w:pPr>
      <w:r w:rsidRPr="006974C9">
        <w:rPr>
          <w:i/>
          <w:lang w:val="es-ES_tradnl"/>
        </w:rPr>
        <w:t>c)</w:t>
      </w:r>
      <w:r w:rsidRPr="00FB75EB">
        <w:rPr>
          <w:lang w:val="es-ES_tradnl"/>
        </w:rPr>
        <w:tab/>
      </w:r>
      <w:r w:rsidR="002A1AA9" w:rsidRPr="00FB75EB">
        <w:rPr>
          <w:lang w:val="es-ES_tradnl"/>
        </w:rPr>
        <w:t>que la banda de frecuencias 399,9-400,05 MHz también est</w:t>
      </w:r>
      <w:r w:rsidR="00295D4F">
        <w:rPr>
          <w:lang w:val="es-ES_tradnl"/>
        </w:rPr>
        <w:t>á</w:t>
      </w:r>
      <w:r w:rsidR="002A1AA9" w:rsidRPr="00FB75EB">
        <w:rPr>
          <w:lang w:val="es-ES_tradnl"/>
        </w:rPr>
        <w:t xml:space="preserve"> atribuida al servicio de radionavegación por satélite</w:t>
      </w:r>
      <w:r w:rsidR="00295D4F">
        <w:rPr>
          <w:lang w:val="es-ES_tradnl"/>
        </w:rPr>
        <w:t>;</w:t>
      </w:r>
    </w:p>
    <w:p w:rsidR="002A1AA9" w:rsidRPr="00FB75EB" w:rsidRDefault="002A1AA9" w:rsidP="007C17CB">
      <w:pPr>
        <w:rPr>
          <w:lang w:val="es-ES_tradnl"/>
        </w:rPr>
      </w:pPr>
      <w:r w:rsidRPr="006974C9">
        <w:rPr>
          <w:i/>
          <w:iCs/>
          <w:lang w:val="es-ES_tradnl"/>
        </w:rPr>
        <w:t>d)</w:t>
      </w:r>
      <w:r w:rsidRPr="00FB75EB">
        <w:rPr>
          <w:lang w:val="es-ES_tradnl"/>
        </w:rPr>
        <w:tab/>
        <w:t>que la atribución de la banda de frecuencias 399,9-400,05 MHz al servicio radionavegación por satélite será efectiva hasta el 1</w:t>
      </w:r>
      <w:r w:rsidR="007C17CB">
        <w:rPr>
          <w:lang w:val="es-ES_tradnl"/>
        </w:rPr>
        <w:t> </w:t>
      </w:r>
      <w:r w:rsidRPr="00FB75EB">
        <w:rPr>
          <w:lang w:val="es-ES_tradnl"/>
        </w:rPr>
        <w:t>de enero de 2015;</w:t>
      </w:r>
    </w:p>
    <w:p w:rsidR="002A1AA9" w:rsidRPr="00FB75EB" w:rsidRDefault="002A1AA9" w:rsidP="002A1AA9">
      <w:pPr>
        <w:rPr>
          <w:lang w:val="es-ES_tradnl"/>
        </w:rPr>
      </w:pPr>
      <w:r w:rsidRPr="006974C9">
        <w:rPr>
          <w:i/>
          <w:iCs/>
          <w:lang w:val="es-ES_tradnl"/>
        </w:rPr>
        <w:t>e)</w:t>
      </w:r>
      <w:r w:rsidRPr="00FB75EB">
        <w:rPr>
          <w:lang w:val="es-ES_tradnl"/>
        </w:rPr>
        <w:tab/>
        <w:t>que los futuros sistemas del SMS pueden instalarse en esta banda;</w:t>
      </w:r>
    </w:p>
    <w:p w:rsidR="002A1AA9" w:rsidRPr="00FB75EB" w:rsidRDefault="002A1AA9" w:rsidP="002A1AA9">
      <w:pPr>
        <w:rPr>
          <w:lang w:val="es-ES_tradnl"/>
        </w:rPr>
      </w:pPr>
      <w:r w:rsidRPr="006974C9">
        <w:rPr>
          <w:i/>
          <w:iCs/>
          <w:lang w:val="es-ES_tradnl"/>
        </w:rPr>
        <w:t>f)</w:t>
      </w:r>
      <w:r w:rsidRPr="00FB75EB">
        <w:rPr>
          <w:lang w:val="es-ES_tradnl"/>
        </w:rPr>
        <w:tab/>
        <w:t>que es preciso elaborar la correspondiente definición de estos futuros sistemas;</w:t>
      </w:r>
    </w:p>
    <w:p w:rsidR="002A1AA9" w:rsidRPr="00FB75EB" w:rsidRDefault="002A1AA9" w:rsidP="002A1AA9">
      <w:pPr>
        <w:rPr>
          <w:lang w:val="es-ES_tradnl"/>
        </w:rPr>
      </w:pPr>
      <w:r w:rsidRPr="006974C9">
        <w:rPr>
          <w:i/>
          <w:iCs/>
          <w:lang w:val="es-ES_tradnl"/>
        </w:rPr>
        <w:t>g)</w:t>
      </w:r>
      <w:r w:rsidRPr="00FB75EB">
        <w:rPr>
          <w:lang w:val="es-ES_tradnl"/>
        </w:rPr>
        <w:tab/>
        <w:t>que se necesitan criterios de protección para satisfacer los objetivos de calidad de funcionamiento deseable</w:t>
      </w:r>
      <w:r w:rsidR="0043003A">
        <w:rPr>
          <w:lang w:val="es-ES_tradnl"/>
        </w:rPr>
        <w:t>s en presencia de interferencia,</w:t>
      </w:r>
    </w:p>
    <w:p w:rsidR="00FF02C6" w:rsidRPr="00FB75EB" w:rsidRDefault="00FF02C6" w:rsidP="00FF02C6">
      <w:pPr>
        <w:pStyle w:val="Call"/>
        <w:rPr>
          <w:lang w:val="es-ES_tradnl"/>
        </w:rPr>
      </w:pPr>
      <w:r w:rsidRPr="00FB75EB">
        <w:rPr>
          <w:lang w:val="es-ES_tradnl"/>
        </w:rPr>
        <w:t>recomienda</w:t>
      </w:r>
    </w:p>
    <w:p w:rsidR="002A1AA9" w:rsidRPr="00FB75EB" w:rsidRDefault="00FF02C6" w:rsidP="002A1AA9">
      <w:pPr>
        <w:rPr>
          <w:lang w:val="es-ES_tradnl"/>
        </w:rPr>
      </w:pPr>
      <w:r w:rsidRPr="00FB75EB">
        <w:rPr>
          <w:b/>
          <w:lang w:val="es-ES_tradnl"/>
        </w:rPr>
        <w:t>1</w:t>
      </w:r>
      <w:r w:rsidRPr="00FB75EB">
        <w:rPr>
          <w:b/>
          <w:lang w:val="es-ES_tradnl"/>
        </w:rPr>
        <w:tab/>
      </w:r>
      <w:r w:rsidR="002A1AA9" w:rsidRPr="00FB75EB">
        <w:rPr>
          <w:lang w:val="es-ES_tradnl"/>
        </w:rPr>
        <w:t>que el análisis para determinar el efecto de los sistemas del SMS no OSG en la banda de frecuencias 399,9-400,05 MHz se base en los siguientes criterios de protección:</w:t>
      </w:r>
    </w:p>
    <w:p w:rsidR="002A1AA9" w:rsidRPr="00FB75EB" w:rsidRDefault="007C17CB" w:rsidP="007C17CB">
      <w:pPr>
        <w:pStyle w:val="enumlev1"/>
        <w:rPr>
          <w:lang w:val="es-ES_tradnl"/>
        </w:rPr>
      </w:pPr>
      <w:r w:rsidRPr="007C17CB">
        <w:rPr>
          <w:lang w:val="es-ES_tradnl"/>
        </w:rPr>
        <w:t>–</w:t>
      </w:r>
      <w:r w:rsidR="002A1AA9" w:rsidRPr="00FB75EB">
        <w:rPr>
          <w:lang w:val="es-ES_tradnl"/>
        </w:rPr>
        <w:tab/>
        <w:t xml:space="preserve">una máxima densidad espectral de flujo de potencia (defp) aceptable combinada de </w:t>
      </w:r>
      <w:r>
        <w:rPr>
          <w:lang w:val="es-ES_tradnl"/>
        </w:rPr>
        <w:sym w:font="Symbol" w:char="F02D"/>
      </w:r>
      <w:r w:rsidR="002A1AA9" w:rsidRPr="00FB75EB">
        <w:rPr>
          <w:lang w:val="es-ES_tradnl"/>
        </w:rPr>
        <w:t>197,9</w:t>
      </w:r>
      <w:r>
        <w:rPr>
          <w:lang w:val="es-ES_tradnl"/>
        </w:rPr>
        <w:t> </w:t>
      </w:r>
      <w:r w:rsidR="002A1AA9" w:rsidRPr="00FB75EB">
        <w:rPr>
          <w:lang w:val="es-ES_tradnl"/>
        </w:rPr>
        <w:t>dB(W/(m</w:t>
      </w:r>
      <w:r w:rsidR="002A1AA9" w:rsidRPr="00FB75EB">
        <w:rPr>
          <w:vertAlign w:val="superscript"/>
          <w:lang w:val="es-ES_tradnl"/>
        </w:rPr>
        <w:t xml:space="preserve">2 </w:t>
      </w:r>
      <w:r w:rsidR="002A1AA9" w:rsidRPr="00FB75EB">
        <w:rPr>
          <w:lang w:val="es-ES_tradnl"/>
        </w:rPr>
        <w:t>·Hz)) en la antena de un sistema ARGOS4 del SMS no OSG para la interferencia de ruido de banda ancha (véase el Anexo 1);</w:t>
      </w:r>
    </w:p>
    <w:p w:rsidR="002A1AA9" w:rsidRPr="00FB75EB" w:rsidRDefault="007C17CB" w:rsidP="00D23300">
      <w:pPr>
        <w:pStyle w:val="enumlev1"/>
        <w:rPr>
          <w:lang w:val="es-ES_tradnl"/>
        </w:rPr>
      </w:pPr>
      <w:r w:rsidRPr="007C17CB">
        <w:rPr>
          <w:lang w:val="es-ES_tradnl"/>
        </w:rPr>
        <w:t>–</w:t>
      </w:r>
      <w:r w:rsidR="002A1AA9" w:rsidRPr="00FB75EB">
        <w:rPr>
          <w:lang w:val="es-ES_tradnl"/>
        </w:rPr>
        <w:tab/>
        <w:t xml:space="preserve">una máxima dfp de </w:t>
      </w:r>
      <w:r w:rsidR="00D23300">
        <w:rPr>
          <w:lang w:val="es-ES_tradnl"/>
        </w:rPr>
        <w:t>–</w:t>
      </w:r>
      <w:r w:rsidR="002A1AA9" w:rsidRPr="00FB75EB">
        <w:rPr>
          <w:lang w:val="es-ES_tradnl"/>
        </w:rPr>
        <w:t>165,4 dB(W/m</w:t>
      </w:r>
      <w:r w:rsidR="001F1E89" w:rsidRPr="00FB75EB">
        <w:rPr>
          <w:vertAlign w:val="superscript"/>
          <w:lang w:val="es-ES_tradnl"/>
        </w:rPr>
        <w:t>2</w:t>
      </w:r>
      <w:r w:rsidR="002A1AA9" w:rsidRPr="00FB75EB">
        <w:rPr>
          <w:lang w:val="es-ES_tradnl"/>
        </w:rPr>
        <w:t>) en una anchura de banda de resolución de 19 Hz en la antena de un sistema ARGOS4 del SMS no OSG para cada interferencia de banda estrecha (véase el Anexo 1);</w:t>
      </w:r>
    </w:p>
    <w:p w:rsidR="00FF02C6" w:rsidRPr="00FB75EB" w:rsidRDefault="002A1AA9" w:rsidP="002A1AA9">
      <w:pPr>
        <w:rPr>
          <w:lang w:val="es-ES_tradnl"/>
        </w:rPr>
      </w:pPr>
      <w:r w:rsidRPr="00FB75EB">
        <w:rPr>
          <w:b/>
          <w:bCs/>
          <w:lang w:val="es-ES_tradnl"/>
        </w:rPr>
        <w:t>2</w:t>
      </w:r>
      <w:r w:rsidRPr="00FB75EB">
        <w:rPr>
          <w:lang w:val="es-ES_tradnl"/>
        </w:rPr>
        <w:tab/>
        <w:t xml:space="preserve">que los criterios de protección definidos en el </w:t>
      </w:r>
      <w:r w:rsidRPr="00FB75EB">
        <w:rPr>
          <w:i/>
          <w:iCs/>
          <w:lang w:val="es-ES_tradnl"/>
        </w:rPr>
        <w:t>recomienda</w:t>
      </w:r>
      <w:r w:rsidRPr="00FB75EB">
        <w:rPr>
          <w:lang w:val="es-ES_tradnl"/>
        </w:rPr>
        <w:t xml:space="preserve"> 1 no se rebasen durante más del 1% del tiempo en el campo de visión del satélite del SMS.</w:t>
      </w:r>
    </w:p>
    <w:p w:rsidR="002A1AA9" w:rsidRPr="00FB75EB" w:rsidRDefault="00FF02C6" w:rsidP="007C17CB">
      <w:pPr>
        <w:pStyle w:val="AnnexNoTitle"/>
        <w:spacing w:before="0"/>
        <w:rPr>
          <w:lang w:val="es-ES_tradnl"/>
        </w:rPr>
      </w:pPr>
      <w:r w:rsidRPr="00FB75EB">
        <w:rPr>
          <w:lang w:val="es-ES_tradnl"/>
        </w:rPr>
        <w:lastRenderedPageBreak/>
        <w:t>Anexo 1</w:t>
      </w:r>
      <w:r w:rsidR="007C17CB">
        <w:rPr>
          <w:lang w:val="es-ES_tradnl"/>
        </w:rPr>
        <w:br/>
      </w:r>
      <w:r w:rsidR="007C17CB">
        <w:rPr>
          <w:lang w:val="es-ES_tradnl"/>
        </w:rPr>
        <w:br/>
      </w:r>
      <w:r w:rsidR="002A1AA9" w:rsidRPr="00FB75EB">
        <w:rPr>
          <w:lang w:val="es-ES_tradnl"/>
        </w:rPr>
        <w:t>Sistema ARGOS4</w:t>
      </w:r>
    </w:p>
    <w:p w:rsidR="00FF02C6" w:rsidRPr="00FB75EB" w:rsidRDefault="00FF02C6" w:rsidP="002A1AA9">
      <w:pPr>
        <w:pStyle w:val="Heading1"/>
        <w:rPr>
          <w:lang w:val="es-ES_tradnl"/>
        </w:rPr>
      </w:pPr>
      <w:r w:rsidRPr="00FB75EB">
        <w:rPr>
          <w:lang w:val="es-ES_tradnl"/>
        </w:rPr>
        <w:t>1</w:t>
      </w:r>
      <w:r w:rsidRPr="00FB75EB">
        <w:rPr>
          <w:lang w:val="es-ES_tradnl"/>
        </w:rPr>
        <w:tab/>
      </w:r>
      <w:r w:rsidR="002A1AA9" w:rsidRPr="00FB75EB">
        <w:rPr>
          <w:lang w:val="es-ES_tradnl"/>
        </w:rPr>
        <w:t>Descripción y características del sistema AROGS4 del SMS</w:t>
      </w:r>
    </w:p>
    <w:p w:rsidR="000318B3" w:rsidRPr="00FB75EB" w:rsidRDefault="000318B3" w:rsidP="001F1E89">
      <w:pPr>
        <w:rPr>
          <w:lang w:val="es-ES_tradnl"/>
        </w:rPr>
      </w:pPr>
      <w:r w:rsidRPr="00FB75EB">
        <w:rPr>
          <w:lang w:val="es-ES_tradnl"/>
        </w:rPr>
        <w:t>El sistema de recogida de datos (DCS) ARGOS utiliza la banda 399,9-400,05 MHz para el enlace ascendente y transmite señales con modulación por desplazamiento de fase (MDP)</w:t>
      </w:r>
      <w:r w:rsidR="00295D4F">
        <w:rPr>
          <w:lang w:val="es-ES_tradnl"/>
        </w:rPr>
        <w:t>,</w:t>
      </w:r>
      <w:r w:rsidRPr="00FB75EB">
        <w:rPr>
          <w:lang w:val="es-ES_tradnl"/>
        </w:rPr>
        <w:t xml:space="preserve"> codificación Manchester y división de fase mediante satélites en órbita terrestre baja, y funciona con una velocidad de transmisión de datos de 400 bit/s. </w:t>
      </w:r>
      <w:r w:rsidR="00231CB5">
        <w:rPr>
          <w:lang w:val="es-ES_tradnl"/>
        </w:rPr>
        <w:t>L</w:t>
      </w:r>
      <w:r w:rsidRPr="00FB75EB">
        <w:rPr>
          <w:lang w:val="es-ES_tradnl"/>
        </w:rPr>
        <w:t>a plataforma de recogida de datos (DCP) utiliza normalmente una antena de baja ganancia (una máximo de 3 dBi para un ángulo de elevación de 40º).</w:t>
      </w:r>
    </w:p>
    <w:p w:rsidR="000318B3" w:rsidRPr="00FB75EB" w:rsidRDefault="000318B3" w:rsidP="00231CB5">
      <w:pPr>
        <w:rPr>
          <w:lang w:val="es-ES_tradnl"/>
        </w:rPr>
      </w:pPr>
      <w:r w:rsidRPr="00FB75EB">
        <w:rPr>
          <w:lang w:val="es-ES_tradnl"/>
        </w:rPr>
        <w:t>El procesador DCS del satélite demodula los datos DCS del enlace ascendente, multiplexa los datos con otra misión de telemedida y transmite los correspondientes datos digitales a tierra en las bandas 1</w:t>
      </w:r>
      <w:r w:rsidRPr="00231CB5">
        <w:rPr>
          <w:sz w:val="16"/>
          <w:szCs w:val="16"/>
          <w:lang w:val="es-ES_tradnl"/>
        </w:rPr>
        <w:t> </w:t>
      </w:r>
      <w:r w:rsidRPr="00FB75EB">
        <w:rPr>
          <w:lang w:val="es-ES_tradnl"/>
        </w:rPr>
        <w:t>670</w:t>
      </w:r>
      <w:r w:rsidRPr="00FB75EB">
        <w:rPr>
          <w:lang w:val="es-ES_tradnl"/>
        </w:rPr>
        <w:noBreakHyphen/>
        <w:t>1</w:t>
      </w:r>
      <w:r w:rsidR="00231CB5" w:rsidRPr="00231CB5">
        <w:rPr>
          <w:sz w:val="16"/>
          <w:szCs w:val="16"/>
          <w:lang w:val="es-ES_tradnl"/>
        </w:rPr>
        <w:t> </w:t>
      </w:r>
      <w:r w:rsidRPr="00FB75EB">
        <w:rPr>
          <w:lang w:val="es-ES_tradnl"/>
        </w:rPr>
        <w:t>710 MHz, 7</w:t>
      </w:r>
      <w:r w:rsidR="00231CB5" w:rsidRPr="00231CB5">
        <w:rPr>
          <w:sz w:val="16"/>
          <w:szCs w:val="16"/>
          <w:lang w:val="es-ES_tradnl"/>
        </w:rPr>
        <w:t> </w:t>
      </w:r>
      <w:r w:rsidRPr="00FB75EB">
        <w:rPr>
          <w:lang w:val="es-ES_tradnl"/>
        </w:rPr>
        <w:t>750</w:t>
      </w:r>
      <w:r w:rsidRPr="00FB75EB">
        <w:rPr>
          <w:lang w:val="es-ES_tradnl"/>
        </w:rPr>
        <w:noBreakHyphen/>
        <w:t>7</w:t>
      </w:r>
      <w:r w:rsidR="00231CB5" w:rsidRPr="00231CB5">
        <w:rPr>
          <w:sz w:val="16"/>
          <w:szCs w:val="16"/>
          <w:lang w:val="es-ES_tradnl"/>
        </w:rPr>
        <w:t> </w:t>
      </w:r>
      <w:r w:rsidRPr="00FB75EB">
        <w:rPr>
          <w:lang w:val="es-ES_tradnl"/>
        </w:rPr>
        <w:t>850 MHz y 8</w:t>
      </w:r>
      <w:r w:rsidR="00231CB5" w:rsidRPr="00231CB5">
        <w:rPr>
          <w:sz w:val="16"/>
          <w:szCs w:val="16"/>
          <w:lang w:val="es-ES_tradnl"/>
        </w:rPr>
        <w:t> </w:t>
      </w:r>
      <w:r w:rsidRPr="00FB75EB">
        <w:rPr>
          <w:lang w:val="es-ES_tradnl"/>
        </w:rPr>
        <w:t>025-8</w:t>
      </w:r>
      <w:r w:rsidR="00231CB5" w:rsidRPr="00231CB5">
        <w:rPr>
          <w:sz w:val="16"/>
          <w:szCs w:val="16"/>
          <w:lang w:val="es-ES_tradnl"/>
        </w:rPr>
        <w:t> </w:t>
      </w:r>
      <w:r w:rsidRPr="00FB75EB">
        <w:rPr>
          <w:lang w:val="es-ES_tradnl"/>
        </w:rPr>
        <w:t>400 MHz.</w:t>
      </w:r>
      <w:r w:rsidR="00295D4F">
        <w:rPr>
          <w:lang w:val="es-ES_tradnl"/>
        </w:rPr>
        <w:t xml:space="preserve"> </w:t>
      </w:r>
      <w:r w:rsidRPr="00FB75EB">
        <w:rPr>
          <w:lang w:val="es-ES_tradnl"/>
        </w:rPr>
        <w:t>Además, se implementa un enlace descendente a 465,987</w:t>
      </w:r>
      <w:r w:rsidR="00231CB5">
        <w:rPr>
          <w:lang w:val="es-ES_tradnl"/>
        </w:rPr>
        <w:t>5</w:t>
      </w:r>
      <w:r w:rsidRPr="00FB75EB">
        <w:rPr>
          <w:lang w:val="es-ES_tradnl"/>
        </w:rPr>
        <w:t xml:space="preserve"> MHz para enviar mensajes especiales hacia las DCP.</w:t>
      </w:r>
    </w:p>
    <w:p w:rsidR="000318B3" w:rsidRPr="00FB75EB" w:rsidRDefault="000318B3" w:rsidP="000318B3">
      <w:pPr>
        <w:rPr>
          <w:lang w:val="es-ES_tradnl"/>
        </w:rPr>
      </w:pPr>
      <w:r w:rsidRPr="00FB75EB">
        <w:rPr>
          <w:lang w:val="es-ES_tradnl"/>
        </w:rPr>
        <w:t>Debido a la demodulación de los datos del DCS en el satélite, el comportamiento del enlace descendente puede separase del comportamiento del enlace ascendente cuando se realiza un análisis de la calidad de funcionamiento.</w:t>
      </w:r>
    </w:p>
    <w:p w:rsidR="002A1AA9" w:rsidRPr="00FB75EB" w:rsidRDefault="000318B3" w:rsidP="000318B3">
      <w:pPr>
        <w:rPr>
          <w:lang w:val="es-ES_tradnl"/>
        </w:rPr>
      </w:pPr>
      <w:r w:rsidRPr="00FB75EB">
        <w:rPr>
          <w:lang w:val="es-ES_tradnl"/>
        </w:rPr>
        <w:t>El sistema ARGOS soporta distintas clases de aplicaciones de usuario con diversas DCP que utilizan diferentes potencias de salida y tipos de antenas (la mayoría del tiempo se trata de antenas de látigo); en esas condiciones, la potencia recibida de una DCP diferirá de la recibida de otra</w:t>
      </w:r>
      <w:r w:rsidR="00F035DE" w:rsidRPr="00FB75EB">
        <w:rPr>
          <w:lang w:val="es-ES_tradnl"/>
        </w:rPr>
        <w:t>,</w:t>
      </w:r>
      <w:r w:rsidRPr="00FB75EB">
        <w:rPr>
          <w:lang w:val="es-ES_tradnl"/>
        </w:rPr>
        <w:t xml:space="preserve"> puesto que depende del medio ambiente y del tipo </w:t>
      </w:r>
      <w:r w:rsidR="00F035DE" w:rsidRPr="00FB75EB">
        <w:rPr>
          <w:lang w:val="es-ES_tradnl"/>
        </w:rPr>
        <w:t>d</w:t>
      </w:r>
      <w:r w:rsidRPr="00FB75EB">
        <w:rPr>
          <w:lang w:val="es-ES_tradnl"/>
        </w:rPr>
        <w:t>e tecnología de antena que se implementa realmente en la plataforma.</w:t>
      </w:r>
    </w:p>
    <w:p w:rsidR="00F035DE" w:rsidRPr="00FB75EB" w:rsidRDefault="00FF02C6" w:rsidP="00F035DE">
      <w:pPr>
        <w:pStyle w:val="Heading1"/>
        <w:rPr>
          <w:lang w:val="es-ES_tradnl"/>
        </w:rPr>
      </w:pPr>
      <w:r w:rsidRPr="00FB75EB">
        <w:rPr>
          <w:lang w:val="es-ES_tradnl"/>
        </w:rPr>
        <w:t>2</w:t>
      </w:r>
      <w:r w:rsidRPr="00FB75EB">
        <w:rPr>
          <w:lang w:val="es-ES_tradnl"/>
        </w:rPr>
        <w:tab/>
      </w:r>
      <w:r w:rsidR="00F035DE" w:rsidRPr="00FB75EB">
        <w:rPr>
          <w:lang w:val="es-ES_tradnl"/>
        </w:rPr>
        <w:t>Criterios de protección para el sistema ARGOS4 del SMS no OSG en la banda 399,9</w:t>
      </w:r>
      <w:r w:rsidR="00F035DE" w:rsidRPr="00FB75EB">
        <w:rPr>
          <w:lang w:val="es-ES_tradnl"/>
        </w:rPr>
        <w:noBreakHyphen/>
        <w:t>400,05 MHz contra las emisiones de interferencia de ruido de banda ancha</w:t>
      </w:r>
    </w:p>
    <w:p w:rsidR="00F035DE" w:rsidRPr="00FB75EB" w:rsidRDefault="00F035DE" w:rsidP="00E42804">
      <w:pPr>
        <w:pStyle w:val="Heading2"/>
        <w:rPr>
          <w:lang w:val="es-ES_tradnl"/>
        </w:rPr>
      </w:pPr>
      <w:r w:rsidRPr="00FB75EB">
        <w:rPr>
          <w:lang w:val="es-ES_tradnl"/>
        </w:rPr>
        <w:t>2.1</w:t>
      </w:r>
      <w:r w:rsidRPr="00FB75EB">
        <w:rPr>
          <w:lang w:val="es-ES_tradnl"/>
        </w:rPr>
        <w:tab/>
        <w:t>Cálculo del nivel umbral de defp de interferencia</w:t>
      </w:r>
    </w:p>
    <w:p w:rsidR="00F035DE" w:rsidRPr="00FB75EB" w:rsidRDefault="00F035DE" w:rsidP="00F035DE">
      <w:pPr>
        <w:rPr>
          <w:lang w:val="es-ES_tradnl"/>
        </w:rPr>
      </w:pPr>
      <w:r w:rsidRPr="00FB75EB">
        <w:rPr>
          <w:lang w:val="es-ES_tradnl"/>
        </w:rPr>
        <w:t xml:space="preserve">La adición de ruido de banda ancha al receptor del ARGOS4 a bordo del satélite tendrá como consecuencia el aumento de la proporción de bits erróneos (BER) del sistema y, por tanto, repercutirá negativamente en su calidad de funcionamiento. Este análisis identifica la máxima dfp aceptable asociada al ruido de banda ancha en el canal del enlace ascendente el ARGOS4 </w:t>
      </w:r>
      <w:r w:rsidR="00295D4F">
        <w:rPr>
          <w:lang w:val="es-ES_tradnl"/>
        </w:rPr>
        <w:t>d</w:t>
      </w:r>
      <w:r w:rsidRPr="00FB75EB">
        <w:rPr>
          <w:lang w:val="es-ES_tradnl"/>
        </w:rPr>
        <w:t>el SMS.</w:t>
      </w:r>
    </w:p>
    <w:p w:rsidR="00F035DE" w:rsidRPr="00FB75EB" w:rsidRDefault="00F035DE" w:rsidP="00F035DE">
      <w:pPr>
        <w:rPr>
          <w:lang w:val="es-ES_tradnl"/>
        </w:rPr>
      </w:pPr>
      <w:r w:rsidRPr="00FB75EB">
        <w:rPr>
          <w:lang w:val="es-ES_tradnl"/>
        </w:rPr>
        <w:t>La especificación del diagrama de ganancia de la antena del receptor se expresa en función del ángulo de nadir tal como se recoge en el Cuadro 1:</w:t>
      </w:r>
    </w:p>
    <w:p w:rsidR="007C17CB" w:rsidRDefault="007C17CB">
      <w:pPr>
        <w:tabs>
          <w:tab w:val="clear" w:pos="794"/>
          <w:tab w:val="clear" w:pos="1191"/>
          <w:tab w:val="clear" w:pos="1588"/>
          <w:tab w:val="clear" w:pos="1985"/>
        </w:tabs>
        <w:overflowPunct/>
        <w:autoSpaceDE/>
        <w:autoSpaceDN/>
        <w:adjustRightInd/>
        <w:spacing w:before="0"/>
        <w:jc w:val="left"/>
        <w:textAlignment w:val="auto"/>
        <w:rPr>
          <w:caps/>
          <w:szCs w:val="24"/>
          <w:lang w:val="es-ES_tradnl"/>
        </w:rPr>
      </w:pPr>
      <w:r>
        <w:rPr>
          <w:caps/>
          <w:szCs w:val="24"/>
          <w:lang w:val="es-ES_tradnl"/>
        </w:rPr>
        <w:br w:type="page"/>
      </w:r>
    </w:p>
    <w:p w:rsidR="00F035DE" w:rsidRPr="00F035DE" w:rsidRDefault="006523FC" w:rsidP="006523FC">
      <w:pPr>
        <w:pStyle w:val="TableNo"/>
        <w:rPr>
          <w:lang w:val="es-ES_tradnl"/>
        </w:rPr>
      </w:pPr>
      <w:r w:rsidRPr="006974C9">
        <w:rPr>
          <w:lang w:val="es-ES_tradnl"/>
        </w:rPr>
        <w:lastRenderedPageBreak/>
        <w:t>CUADRO</w:t>
      </w:r>
      <w:r w:rsidR="00F035DE" w:rsidRPr="00F035DE">
        <w:rPr>
          <w:lang w:val="es-ES_tradnl"/>
        </w:rPr>
        <w:t xml:space="preserve"> 1</w:t>
      </w:r>
    </w:p>
    <w:p w:rsidR="00F035DE" w:rsidRPr="00F035DE" w:rsidRDefault="00F035DE" w:rsidP="006523FC">
      <w:pPr>
        <w:pStyle w:val="Tabletitle"/>
        <w:rPr>
          <w:sz w:val="20"/>
          <w:lang w:val="es-ES_tradnl"/>
        </w:rPr>
      </w:pPr>
      <w:r w:rsidRPr="00FB75EB">
        <w:rPr>
          <w:lang w:val="es-ES_tradnl"/>
        </w:rPr>
        <w:t>Diagrama</w:t>
      </w:r>
      <w:r w:rsidRPr="00F035DE">
        <w:rPr>
          <w:lang w:val="es-ES_tradnl"/>
        </w:rPr>
        <w:t xml:space="preserve"> de gan</w:t>
      </w:r>
      <w:r w:rsidRPr="00FB75EB">
        <w:rPr>
          <w:lang w:val="es-ES_tradnl"/>
        </w:rPr>
        <w:t>ancia de la antena de recepc</w:t>
      </w:r>
      <w:r w:rsidRPr="00F035DE">
        <w:rPr>
          <w:lang w:val="es-ES_tradnl"/>
        </w:rPr>
        <w:t>i</w:t>
      </w:r>
      <w:r w:rsidRPr="00FB75EB">
        <w:rPr>
          <w:lang w:val="es-ES_tradnl"/>
        </w:rPr>
        <w:t>ó</w:t>
      </w:r>
      <w:r w:rsidRPr="00F035DE">
        <w:rPr>
          <w:lang w:val="es-ES_tradnl"/>
        </w:rPr>
        <w:t>n</w:t>
      </w:r>
      <w:r w:rsidRPr="00F035DE">
        <w:rPr>
          <w:sz w:val="20"/>
          <w:lang w:val="es-ES_tradnl"/>
        </w:rPr>
        <w:t xml:space="preserve"> </w:t>
      </w:r>
    </w:p>
    <w:tbl>
      <w:tblPr>
        <w:tblW w:w="964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816"/>
        <w:gridCol w:w="772"/>
        <w:gridCol w:w="729"/>
        <w:gridCol w:w="772"/>
        <w:gridCol w:w="815"/>
        <w:gridCol w:w="914"/>
        <w:gridCol w:w="887"/>
        <w:gridCol w:w="915"/>
        <w:gridCol w:w="872"/>
        <w:gridCol w:w="872"/>
      </w:tblGrid>
      <w:tr w:rsidR="006523FC" w:rsidRPr="006523FC" w:rsidTr="006523FC">
        <w:trPr>
          <w:jc w:val="center"/>
        </w:trPr>
        <w:tc>
          <w:tcPr>
            <w:tcW w:w="1276" w:type="dxa"/>
            <w:tcBorders>
              <w:top w:val="single" w:sz="6" w:space="0" w:color="000000"/>
              <w:left w:val="single" w:sz="6" w:space="0" w:color="000000"/>
              <w:bottom w:val="single" w:sz="6" w:space="0" w:color="000000"/>
              <w:right w:val="single" w:sz="6" w:space="0" w:color="000000"/>
            </w:tcBorders>
            <w:hideMark/>
          </w:tcPr>
          <w:p w:rsidR="006523FC" w:rsidRPr="006523FC" w:rsidRDefault="006523FC" w:rsidP="006523FC">
            <w:pPr>
              <w:pStyle w:val="Tabletext"/>
              <w:jc w:val="left"/>
              <w:rPr>
                <w:noProof/>
                <w:sz w:val="18"/>
                <w:szCs w:val="18"/>
                <w:lang w:val="es-ES_tradnl" w:eastAsia="zh-CN"/>
              </w:rPr>
            </w:pPr>
            <w:r w:rsidRPr="006523FC">
              <w:rPr>
                <w:noProof/>
                <w:sz w:val="18"/>
                <w:szCs w:val="18"/>
                <w:lang w:val="es-ES_tradnl" w:eastAsia="zh-CN"/>
              </w:rPr>
              <w:t>Ángulo nadir del satélite</w:t>
            </w:r>
          </w:p>
        </w:tc>
        <w:tc>
          <w:tcPr>
            <w:tcW w:w="816" w:type="dxa"/>
            <w:tcBorders>
              <w:top w:val="single" w:sz="6" w:space="0" w:color="000000"/>
              <w:left w:val="single" w:sz="6" w:space="0" w:color="000000"/>
              <w:bottom w:val="single" w:sz="6" w:space="0" w:color="000000"/>
              <w:right w:val="single" w:sz="6" w:space="0" w:color="000000"/>
            </w:tcBorders>
            <w:vAlign w:val="center"/>
            <w:hideMark/>
          </w:tcPr>
          <w:p w:rsidR="006523FC" w:rsidRPr="00AB676C" w:rsidRDefault="006523FC" w:rsidP="006523FC">
            <w:pPr>
              <w:pStyle w:val="Tabletext"/>
              <w:jc w:val="center"/>
              <w:rPr>
                <w:noProof/>
                <w:sz w:val="18"/>
                <w:szCs w:val="18"/>
                <w:lang w:val="en-GB"/>
              </w:rPr>
            </w:pPr>
            <w:r w:rsidRPr="00AB676C">
              <w:rPr>
                <w:noProof/>
                <w:sz w:val="18"/>
                <w:szCs w:val="18"/>
                <w:lang w:val="en-GB"/>
              </w:rPr>
              <w:t>62</w:t>
            </w:r>
          </w:p>
        </w:tc>
        <w:tc>
          <w:tcPr>
            <w:tcW w:w="772" w:type="dxa"/>
            <w:tcBorders>
              <w:top w:val="single" w:sz="6" w:space="0" w:color="000000"/>
              <w:left w:val="single" w:sz="6" w:space="0" w:color="000000"/>
              <w:bottom w:val="single" w:sz="6" w:space="0" w:color="000000"/>
              <w:right w:val="single" w:sz="6" w:space="0" w:color="000000"/>
            </w:tcBorders>
            <w:vAlign w:val="center"/>
            <w:hideMark/>
          </w:tcPr>
          <w:p w:rsidR="006523FC" w:rsidRPr="00AB676C" w:rsidRDefault="006523FC" w:rsidP="006523FC">
            <w:pPr>
              <w:pStyle w:val="Tabletext"/>
              <w:jc w:val="center"/>
              <w:rPr>
                <w:noProof/>
                <w:sz w:val="18"/>
                <w:szCs w:val="18"/>
                <w:lang w:val="en-GB"/>
              </w:rPr>
            </w:pPr>
            <w:r w:rsidRPr="00AB676C">
              <w:rPr>
                <w:noProof/>
                <w:sz w:val="18"/>
                <w:szCs w:val="18"/>
                <w:lang w:val="en-GB"/>
              </w:rPr>
              <w:t>59</w:t>
            </w:r>
          </w:p>
        </w:tc>
        <w:tc>
          <w:tcPr>
            <w:tcW w:w="729" w:type="dxa"/>
            <w:tcBorders>
              <w:top w:val="single" w:sz="6" w:space="0" w:color="000000"/>
              <w:left w:val="single" w:sz="6" w:space="0" w:color="000000"/>
              <w:bottom w:val="single" w:sz="6" w:space="0" w:color="000000"/>
              <w:right w:val="single" w:sz="6" w:space="0" w:color="000000"/>
            </w:tcBorders>
            <w:vAlign w:val="center"/>
            <w:hideMark/>
          </w:tcPr>
          <w:p w:rsidR="006523FC" w:rsidRPr="00AB676C" w:rsidRDefault="006523FC" w:rsidP="006523FC">
            <w:pPr>
              <w:pStyle w:val="Tabletext"/>
              <w:jc w:val="center"/>
              <w:rPr>
                <w:noProof/>
                <w:sz w:val="18"/>
                <w:szCs w:val="18"/>
                <w:lang w:val="en-GB"/>
              </w:rPr>
            </w:pPr>
            <w:r w:rsidRPr="00AB676C">
              <w:rPr>
                <w:noProof/>
                <w:sz w:val="18"/>
                <w:szCs w:val="18"/>
                <w:lang w:val="en-GB"/>
              </w:rPr>
              <w:t>54</w:t>
            </w:r>
          </w:p>
        </w:tc>
        <w:tc>
          <w:tcPr>
            <w:tcW w:w="772" w:type="dxa"/>
            <w:tcBorders>
              <w:top w:val="single" w:sz="6" w:space="0" w:color="000000"/>
              <w:left w:val="single" w:sz="6" w:space="0" w:color="000000"/>
              <w:bottom w:val="single" w:sz="6" w:space="0" w:color="000000"/>
              <w:right w:val="single" w:sz="6" w:space="0" w:color="000000"/>
            </w:tcBorders>
            <w:vAlign w:val="center"/>
            <w:hideMark/>
          </w:tcPr>
          <w:p w:rsidR="006523FC" w:rsidRPr="00AB676C" w:rsidRDefault="006523FC" w:rsidP="006523FC">
            <w:pPr>
              <w:pStyle w:val="Tabletext"/>
              <w:jc w:val="center"/>
              <w:rPr>
                <w:noProof/>
                <w:sz w:val="18"/>
                <w:szCs w:val="18"/>
                <w:lang w:val="en-GB"/>
              </w:rPr>
            </w:pPr>
            <w:r w:rsidRPr="00AB676C">
              <w:rPr>
                <w:noProof/>
                <w:sz w:val="18"/>
                <w:szCs w:val="18"/>
                <w:lang w:val="en-GB"/>
              </w:rPr>
              <w:t>47</w:t>
            </w:r>
          </w:p>
        </w:tc>
        <w:tc>
          <w:tcPr>
            <w:tcW w:w="815" w:type="dxa"/>
            <w:tcBorders>
              <w:top w:val="single" w:sz="6" w:space="0" w:color="000000"/>
              <w:left w:val="single" w:sz="6" w:space="0" w:color="000000"/>
              <w:bottom w:val="single" w:sz="6" w:space="0" w:color="000000"/>
              <w:right w:val="single" w:sz="6" w:space="0" w:color="000000"/>
            </w:tcBorders>
            <w:vAlign w:val="center"/>
            <w:hideMark/>
          </w:tcPr>
          <w:p w:rsidR="006523FC" w:rsidRPr="00AB676C" w:rsidRDefault="006523FC" w:rsidP="006523FC">
            <w:pPr>
              <w:pStyle w:val="Tabletext"/>
              <w:jc w:val="center"/>
              <w:rPr>
                <w:noProof/>
                <w:sz w:val="18"/>
                <w:szCs w:val="18"/>
                <w:lang w:val="en-GB"/>
              </w:rPr>
            </w:pPr>
            <w:r w:rsidRPr="00AB676C">
              <w:rPr>
                <w:noProof/>
                <w:sz w:val="18"/>
                <w:szCs w:val="18"/>
                <w:lang w:val="en-GB"/>
              </w:rPr>
              <w:t>39</w:t>
            </w:r>
          </w:p>
        </w:tc>
        <w:tc>
          <w:tcPr>
            <w:tcW w:w="914" w:type="dxa"/>
            <w:tcBorders>
              <w:top w:val="single" w:sz="6" w:space="0" w:color="000000"/>
              <w:left w:val="single" w:sz="6" w:space="0" w:color="000000"/>
              <w:bottom w:val="single" w:sz="6" w:space="0" w:color="000000"/>
              <w:right w:val="single" w:sz="6" w:space="0" w:color="000000"/>
            </w:tcBorders>
            <w:vAlign w:val="center"/>
            <w:hideMark/>
          </w:tcPr>
          <w:p w:rsidR="006523FC" w:rsidRPr="00AB676C" w:rsidRDefault="006523FC" w:rsidP="006523FC">
            <w:pPr>
              <w:pStyle w:val="Tabletext"/>
              <w:jc w:val="center"/>
              <w:rPr>
                <w:noProof/>
                <w:sz w:val="18"/>
                <w:szCs w:val="18"/>
                <w:lang w:val="en-GB"/>
              </w:rPr>
            </w:pPr>
            <w:r w:rsidRPr="00AB676C">
              <w:rPr>
                <w:noProof/>
                <w:sz w:val="18"/>
                <w:szCs w:val="18"/>
                <w:lang w:val="en-GB"/>
              </w:rPr>
              <w:t>31</w:t>
            </w:r>
          </w:p>
        </w:tc>
        <w:tc>
          <w:tcPr>
            <w:tcW w:w="887" w:type="dxa"/>
            <w:tcBorders>
              <w:top w:val="single" w:sz="6" w:space="0" w:color="000000"/>
              <w:left w:val="single" w:sz="6" w:space="0" w:color="000000"/>
              <w:bottom w:val="single" w:sz="6" w:space="0" w:color="000000"/>
              <w:right w:val="single" w:sz="6" w:space="0" w:color="000000"/>
            </w:tcBorders>
            <w:vAlign w:val="center"/>
            <w:hideMark/>
          </w:tcPr>
          <w:p w:rsidR="006523FC" w:rsidRPr="00AB676C" w:rsidRDefault="006523FC" w:rsidP="006523FC">
            <w:pPr>
              <w:pStyle w:val="Tabletext"/>
              <w:jc w:val="center"/>
              <w:rPr>
                <w:noProof/>
                <w:sz w:val="18"/>
                <w:szCs w:val="18"/>
                <w:lang w:val="en-GB"/>
              </w:rPr>
            </w:pPr>
            <w:r w:rsidRPr="00AB676C">
              <w:rPr>
                <w:noProof/>
                <w:sz w:val="18"/>
                <w:szCs w:val="18"/>
                <w:lang w:val="en-GB"/>
              </w:rPr>
              <w:t>22</w:t>
            </w:r>
          </w:p>
        </w:tc>
        <w:tc>
          <w:tcPr>
            <w:tcW w:w="915" w:type="dxa"/>
            <w:tcBorders>
              <w:top w:val="single" w:sz="6" w:space="0" w:color="000000"/>
              <w:left w:val="single" w:sz="6" w:space="0" w:color="000000"/>
              <w:bottom w:val="single" w:sz="6" w:space="0" w:color="000000"/>
              <w:right w:val="single" w:sz="6" w:space="0" w:color="000000"/>
            </w:tcBorders>
            <w:vAlign w:val="center"/>
            <w:hideMark/>
          </w:tcPr>
          <w:p w:rsidR="006523FC" w:rsidRPr="00AB676C" w:rsidRDefault="006523FC" w:rsidP="006523FC">
            <w:pPr>
              <w:pStyle w:val="Tabletext"/>
              <w:jc w:val="center"/>
              <w:rPr>
                <w:noProof/>
                <w:sz w:val="18"/>
                <w:szCs w:val="18"/>
                <w:lang w:val="en-GB"/>
              </w:rPr>
            </w:pPr>
            <w:r w:rsidRPr="00AB676C">
              <w:rPr>
                <w:noProof/>
                <w:sz w:val="18"/>
                <w:szCs w:val="18"/>
                <w:lang w:val="en-GB"/>
              </w:rPr>
              <w:t>13</w:t>
            </w:r>
          </w:p>
        </w:tc>
        <w:tc>
          <w:tcPr>
            <w:tcW w:w="872" w:type="dxa"/>
            <w:tcBorders>
              <w:top w:val="single" w:sz="6" w:space="0" w:color="000000"/>
              <w:left w:val="single" w:sz="6" w:space="0" w:color="000000"/>
              <w:bottom w:val="single" w:sz="6" w:space="0" w:color="000000"/>
              <w:right w:val="single" w:sz="6" w:space="0" w:color="000000"/>
            </w:tcBorders>
            <w:vAlign w:val="center"/>
            <w:hideMark/>
          </w:tcPr>
          <w:p w:rsidR="006523FC" w:rsidRPr="00AB676C" w:rsidRDefault="006523FC" w:rsidP="006523FC">
            <w:pPr>
              <w:pStyle w:val="Tabletext"/>
              <w:jc w:val="center"/>
              <w:rPr>
                <w:noProof/>
                <w:sz w:val="18"/>
                <w:szCs w:val="18"/>
                <w:lang w:val="en-GB"/>
              </w:rPr>
            </w:pPr>
            <w:r w:rsidRPr="00AB676C">
              <w:rPr>
                <w:noProof/>
                <w:sz w:val="18"/>
                <w:szCs w:val="18"/>
                <w:lang w:val="en-GB"/>
              </w:rPr>
              <w:t>5</w:t>
            </w:r>
          </w:p>
        </w:tc>
        <w:tc>
          <w:tcPr>
            <w:tcW w:w="872" w:type="dxa"/>
            <w:tcBorders>
              <w:top w:val="single" w:sz="6" w:space="0" w:color="000000"/>
              <w:left w:val="single" w:sz="6" w:space="0" w:color="000000"/>
              <w:bottom w:val="single" w:sz="6" w:space="0" w:color="000000"/>
              <w:right w:val="single" w:sz="6" w:space="0" w:color="000000"/>
            </w:tcBorders>
            <w:vAlign w:val="center"/>
            <w:hideMark/>
          </w:tcPr>
          <w:p w:rsidR="006523FC" w:rsidRPr="00AB676C" w:rsidRDefault="006523FC" w:rsidP="006523FC">
            <w:pPr>
              <w:pStyle w:val="Tabletext"/>
              <w:jc w:val="center"/>
              <w:rPr>
                <w:noProof/>
                <w:sz w:val="18"/>
                <w:szCs w:val="18"/>
                <w:lang w:val="en-GB"/>
              </w:rPr>
            </w:pPr>
            <w:r w:rsidRPr="00AB676C">
              <w:rPr>
                <w:noProof/>
                <w:sz w:val="18"/>
                <w:szCs w:val="18"/>
                <w:lang w:val="en-GB"/>
              </w:rPr>
              <w:t>0</w:t>
            </w:r>
          </w:p>
        </w:tc>
      </w:tr>
      <w:tr w:rsidR="006523FC" w:rsidRPr="006523FC" w:rsidTr="006523FC">
        <w:trPr>
          <w:jc w:val="center"/>
        </w:trPr>
        <w:tc>
          <w:tcPr>
            <w:tcW w:w="1276" w:type="dxa"/>
            <w:tcBorders>
              <w:top w:val="single" w:sz="6" w:space="0" w:color="000000"/>
              <w:left w:val="single" w:sz="6" w:space="0" w:color="000000"/>
              <w:bottom w:val="single" w:sz="6" w:space="0" w:color="000000"/>
              <w:right w:val="single" w:sz="6" w:space="0" w:color="000000"/>
            </w:tcBorders>
            <w:hideMark/>
          </w:tcPr>
          <w:p w:rsidR="006523FC" w:rsidRPr="006523FC" w:rsidRDefault="006523FC" w:rsidP="006523FC">
            <w:pPr>
              <w:pStyle w:val="Tabletext"/>
              <w:jc w:val="left"/>
              <w:rPr>
                <w:noProof/>
                <w:sz w:val="18"/>
                <w:szCs w:val="18"/>
                <w:lang w:val="es-ES_tradnl" w:eastAsia="zh-CN"/>
              </w:rPr>
            </w:pPr>
            <w:r w:rsidRPr="006523FC">
              <w:rPr>
                <w:noProof/>
                <w:sz w:val="18"/>
                <w:szCs w:val="18"/>
                <w:lang w:val="es-ES_tradnl" w:eastAsia="zh-CN"/>
              </w:rPr>
              <w:t>Ganancia con polarización dextrógira</w:t>
            </w:r>
          </w:p>
        </w:tc>
        <w:tc>
          <w:tcPr>
            <w:tcW w:w="816" w:type="dxa"/>
            <w:tcBorders>
              <w:top w:val="single" w:sz="6" w:space="0" w:color="000000"/>
              <w:left w:val="single" w:sz="6" w:space="0" w:color="000000"/>
              <w:bottom w:val="single" w:sz="6" w:space="0" w:color="000000"/>
              <w:right w:val="single" w:sz="6" w:space="0" w:color="000000"/>
            </w:tcBorders>
            <w:hideMark/>
          </w:tcPr>
          <w:p w:rsidR="006523FC" w:rsidRPr="00AB676C" w:rsidRDefault="006523FC" w:rsidP="006523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44"/>
              </w:tabs>
              <w:rPr>
                <w:noProof/>
                <w:sz w:val="18"/>
                <w:szCs w:val="18"/>
                <w:lang w:val="en-GB"/>
              </w:rPr>
            </w:pPr>
            <w:r w:rsidRPr="00AB676C">
              <w:rPr>
                <w:noProof/>
                <w:sz w:val="18"/>
                <w:szCs w:val="18"/>
                <w:lang w:val="en-GB"/>
              </w:rPr>
              <w:tab/>
              <w:t>3</w:t>
            </w:r>
            <w:r>
              <w:rPr>
                <w:noProof/>
                <w:sz w:val="18"/>
                <w:szCs w:val="18"/>
                <w:lang w:val="en-GB"/>
              </w:rPr>
              <w:t>,</w:t>
            </w:r>
            <w:r w:rsidRPr="00AB676C">
              <w:rPr>
                <w:noProof/>
                <w:sz w:val="18"/>
                <w:szCs w:val="18"/>
                <w:lang w:val="en-GB"/>
              </w:rPr>
              <w:t>85</w:t>
            </w:r>
          </w:p>
        </w:tc>
        <w:tc>
          <w:tcPr>
            <w:tcW w:w="772" w:type="dxa"/>
            <w:tcBorders>
              <w:top w:val="single" w:sz="6" w:space="0" w:color="000000"/>
              <w:left w:val="single" w:sz="6" w:space="0" w:color="000000"/>
              <w:bottom w:val="single" w:sz="6" w:space="0" w:color="000000"/>
              <w:right w:val="single" w:sz="6" w:space="0" w:color="000000"/>
            </w:tcBorders>
            <w:hideMark/>
          </w:tcPr>
          <w:p w:rsidR="006523FC" w:rsidRPr="00AB676C" w:rsidRDefault="006523FC" w:rsidP="006523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44"/>
              </w:tabs>
              <w:rPr>
                <w:noProof/>
                <w:sz w:val="18"/>
                <w:szCs w:val="18"/>
                <w:lang w:val="en-GB"/>
              </w:rPr>
            </w:pPr>
            <w:r w:rsidRPr="00AB676C">
              <w:rPr>
                <w:noProof/>
                <w:sz w:val="18"/>
                <w:szCs w:val="18"/>
                <w:lang w:val="en-GB"/>
              </w:rPr>
              <w:tab/>
              <w:t>3</w:t>
            </w:r>
            <w:r>
              <w:rPr>
                <w:noProof/>
                <w:sz w:val="18"/>
                <w:szCs w:val="18"/>
                <w:lang w:val="en-GB"/>
              </w:rPr>
              <w:t>,</w:t>
            </w:r>
            <w:r w:rsidRPr="00AB676C">
              <w:rPr>
                <w:noProof/>
                <w:sz w:val="18"/>
                <w:szCs w:val="18"/>
                <w:lang w:val="en-GB"/>
              </w:rPr>
              <w:t>54</w:t>
            </w:r>
          </w:p>
        </w:tc>
        <w:tc>
          <w:tcPr>
            <w:tcW w:w="729" w:type="dxa"/>
            <w:tcBorders>
              <w:top w:val="single" w:sz="6" w:space="0" w:color="000000"/>
              <w:left w:val="single" w:sz="6" w:space="0" w:color="000000"/>
              <w:bottom w:val="single" w:sz="6" w:space="0" w:color="000000"/>
              <w:right w:val="single" w:sz="6" w:space="0" w:color="000000"/>
            </w:tcBorders>
            <w:hideMark/>
          </w:tcPr>
          <w:p w:rsidR="006523FC" w:rsidRPr="00AB676C" w:rsidRDefault="006523FC" w:rsidP="006523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44"/>
              </w:tabs>
              <w:rPr>
                <w:noProof/>
                <w:sz w:val="18"/>
                <w:szCs w:val="18"/>
                <w:lang w:val="en-GB"/>
              </w:rPr>
            </w:pPr>
            <w:r w:rsidRPr="00AB676C">
              <w:rPr>
                <w:noProof/>
                <w:sz w:val="18"/>
                <w:szCs w:val="18"/>
                <w:lang w:val="en-GB"/>
              </w:rPr>
              <w:tab/>
              <w:t>2</w:t>
            </w:r>
            <w:r>
              <w:rPr>
                <w:noProof/>
                <w:sz w:val="18"/>
                <w:szCs w:val="18"/>
                <w:lang w:val="en-GB"/>
              </w:rPr>
              <w:t>,</w:t>
            </w:r>
            <w:r w:rsidRPr="00AB676C">
              <w:rPr>
                <w:noProof/>
                <w:sz w:val="18"/>
                <w:szCs w:val="18"/>
                <w:lang w:val="en-GB"/>
              </w:rPr>
              <w:t>62</w:t>
            </w:r>
          </w:p>
        </w:tc>
        <w:tc>
          <w:tcPr>
            <w:tcW w:w="772" w:type="dxa"/>
            <w:tcBorders>
              <w:top w:val="single" w:sz="6" w:space="0" w:color="000000"/>
              <w:left w:val="single" w:sz="6" w:space="0" w:color="000000"/>
              <w:bottom w:val="single" w:sz="6" w:space="0" w:color="000000"/>
              <w:right w:val="single" w:sz="6" w:space="0" w:color="000000"/>
            </w:tcBorders>
            <w:hideMark/>
          </w:tcPr>
          <w:p w:rsidR="006523FC" w:rsidRPr="00AB676C" w:rsidRDefault="006523FC" w:rsidP="006523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44"/>
              </w:tabs>
              <w:rPr>
                <w:noProof/>
                <w:sz w:val="18"/>
                <w:szCs w:val="18"/>
                <w:lang w:val="en-GB"/>
              </w:rPr>
            </w:pPr>
            <w:r w:rsidRPr="00AB676C">
              <w:rPr>
                <w:noProof/>
                <w:sz w:val="18"/>
                <w:szCs w:val="18"/>
                <w:lang w:val="en-GB"/>
              </w:rPr>
              <w:tab/>
              <w:t>1</w:t>
            </w:r>
            <w:r>
              <w:rPr>
                <w:noProof/>
                <w:sz w:val="18"/>
                <w:szCs w:val="18"/>
                <w:lang w:val="en-GB"/>
              </w:rPr>
              <w:t>,</w:t>
            </w:r>
            <w:r w:rsidRPr="00AB676C">
              <w:rPr>
                <w:noProof/>
                <w:sz w:val="18"/>
                <w:szCs w:val="18"/>
                <w:lang w:val="en-GB"/>
              </w:rPr>
              <w:t>24</w:t>
            </w:r>
          </w:p>
        </w:tc>
        <w:tc>
          <w:tcPr>
            <w:tcW w:w="815" w:type="dxa"/>
            <w:tcBorders>
              <w:top w:val="single" w:sz="6" w:space="0" w:color="000000"/>
              <w:left w:val="single" w:sz="6" w:space="0" w:color="000000"/>
              <w:bottom w:val="single" w:sz="6" w:space="0" w:color="000000"/>
              <w:right w:val="single" w:sz="6" w:space="0" w:color="000000"/>
            </w:tcBorders>
            <w:hideMark/>
          </w:tcPr>
          <w:p w:rsidR="006523FC" w:rsidRPr="00AB676C" w:rsidRDefault="006523FC" w:rsidP="006523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44"/>
              </w:tabs>
              <w:rPr>
                <w:noProof/>
                <w:sz w:val="18"/>
                <w:szCs w:val="18"/>
                <w:lang w:val="en-GB"/>
              </w:rPr>
            </w:pPr>
            <w:r w:rsidRPr="00AB676C">
              <w:rPr>
                <w:noProof/>
                <w:sz w:val="18"/>
                <w:szCs w:val="18"/>
                <w:lang w:val="en-GB"/>
              </w:rPr>
              <w:tab/>
              <w:t>–0</w:t>
            </w:r>
            <w:r>
              <w:rPr>
                <w:noProof/>
                <w:sz w:val="18"/>
                <w:szCs w:val="18"/>
                <w:lang w:val="en-GB"/>
              </w:rPr>
              <w:t>,</w:t>
            </w:r>
            <w:r w:rsidRPr="00AB676C">
              <w:rPr>
                <w:noProof/>
                <w:sz w:val="18"/>
                <w:szCs w:val="18"/>
                <w:lang w:val="en-GB"/>
              </w:rPr>
              <w:t>17</w:t>
            </w:r>
          </w:p>
        </w:tc>
        <w:tc>
          <w:tcPr>
            <w:tcW w:w="914" w:type="dxa"/>
            <w:tcBorders>
              <w:top w:val="single" w:sz="6" w:space="0" w:color="000000"/>
              <w:left w:val="single" w:sz="6" w:space="0" w:color="000000"/>
              <w:bottom w:val="single" w:sz="6" w:space="0" w:color="000000"/>
              <w:right w:val="single" w:sz="6" w:space="0" w:color="000000"/>
            </w:tcBorders>
            <w:hideMark/>
          </w:tcPr>
          <w:p w:rsidR="006523FC" w:rsidRPr="00AB676C" w:rsidRDefault="006523FC" w:rsidP="006523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44"/>
              </w:tabs>
              <w:rPr>
                <w:noProof/>
                <w:sz w:val="18"/>
                <w:szCs w:val="18"/>
                <w:lang w:val="en-GB"/>
              </w:rPr>
            </w:pPr>
            <w:r w:rsidRPr="00AB676C">
              <w:rPr>
                <w:noProof/>
                <w:sz w:val="18"/>
                <w:szCs w:val="18"/>
                <w:lang w:val="en-GB"/>
              </w:rPr>
              <w:tab/>
              <w:t>–1</w:t>
            </w:r>
            <w:r>
              <w:rPr>
                <w:noProof/>
                <w:sz w:val="18"/>
                <w:szCs w:val="18"/>
                <w:lang w:val="en-GB"/>
              </w:rPr>
              <w:t>,</w:t>
            </w:r>
            <w:r w:rsidRPr="00AB676C">
              <w:rPr>
                <w:noProof/>
                <w:sz w:val="18"/>
                <w:szCs w:val="18"/>
                <w:lang w:val="en-GB"/>
              </w:rPr>
              <w:t>33</w:t>
            </w:r>
          </w:p>
        </w:tc>
        <w:tc>
          <w:tcPr>
            <w:tcW w:w="887" w:type="dxa"/>
            <w:tcBorders>
              <w:top w:val="single" w:sz="6" w:space="0" w:color="000000"/>
              <w:left w:val="single" w:sz="6" w:space="0" w:color="000000"/>
              <w:bottom w:val="single" w:sz="6" w:space="0" w:color="000000"/>
              <w:right w:val="single" w:sz="6" w:space="0" w:color="000000"/>
            </w:tcBorders>
            <w:hideMark/>
          </w:tcPr>
          <w:p w:rsidR="006523FC" w:rsidRPr="00AB676C" w:rsidRDefault="006523FC" w:rsidP="006523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44"/>
              </w:tabs>
              <w:rPr>
                <w:noProof/>
                <w:sz w:val="18"/>
                <w:szCs w:val="18"/>
                <w:lang w:val="en-GB"/>
              </w:rPr>
            </w:pPr>
            <w:r w:rsidRPr="00AB676C">
              <w:rPr>
                <w:noProof/>
                <w:sz w:val="18"/>
                <w:szCs w:val="18"/>
                <w:lang w:val="en-GB"/>
              </w:rPr>
              <w:tab/>
              <w:t>–2</w:t>
            </w:r>
            <w:r>
              <w:rPr>
                <w:noProof/>
                <w:sz w:val="18"/>
                <w:szCs w:val="18"/>
                <w:lang w:val="en-GB"/>
              </w:rPr>
              <w:t>,</w:t>
            </w:r>
            <w:r w:rsidRPr="00AB676C">
              <w:rPr>
                <w:noProof/>
                <w:sz w:val="18"/>
                <w:szCs w:val="18"/>
                <w:lang w:val="en-GB"/>
              </w:rPr>
              <w:t>24</w:t>
            </w:r>
          </w:p>
        </w:tc>
        <w:tc>
          <w:tcPr>
            <w:tcW w:w="915" w:type="dxa"/>
            <w:tcBorders>
              <w:top w:val="single" w:sz="6" w:space="0" w:color="000000"/>
              <w:left w:val="single" w:sz="6" w:space="0" w:color="000000"/>
              <w:bottom w:val="single" w:sz="6" w:space="0" w:color="000000"/>
              <w:right w:val="single" w:sz="6" w:space="0" w:color="000000"/>
            </w:tcBorders>
            <w:hideMark/>
          </w:tcPr>
          <w:p w:rsidR="006523FC" w:rsidRPr="00AB676C" w:rsidRDefault="006523FC" w:rsidP="006523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44"/>
              </w:tabs>
              <w:rPr>
                <w:noProof/>
                <w:sz w:val="18"/>
                <w:szCs w:val="18"/>
                <w:lang w:val="en-GB"/>
              </w:rPr>
            </w:pPr>
            <w:r w:rsidRPr="00AB676C">
              <w:rPr>
                <w:noProof/>
                <w:sz w:val="18"/>
                <w:szCs w:val="18"/>
                <w:lang w:val="en-GB"/>
              </w:rPr>
              <w:tab/>
              <w:t>–3</w:t>
            </w:r>
            <w:r>
              <w:rPr>
                <w:noProof/>
                <w:sz w:val="18"/>
                <w:szCs w:val="18"/>
                <w:lang w:val="en-GB"/>
              </w:rPr>
              <w:t>,</w:t>
            </w:r>
            <w:r w:rsidRPr="00AB676C">
              <w:rPr>
                <w:noProof/>
                <w:sz w:val="18"/>
                <w:szCs w:val="18"/>
                <w:lang w:val="en-GB"/>
              </w:rPr>
              <w:t>08</w:t>
            </w:r>
          </w:p>
        </w:tc>
        <w:tc>
          <w:tcPr>
            <w:tcW w:w="872" w:type="dxa"/>
            <w:tcBorders>
              <w:top w:val="single" w:sz="6" w:space="0" w:color="000000"/>
              <w:left w:val="single" w:sz="6" w:space="0" w:color="000000"/>
              <w:bottom w:val="single" w:sz="6" w:space="0" w:color="000000"/>
              <w:right w:val="single" w:sz="6" w:space="0" w:color="000000"/>
            </w:tcBorders>
            <w:hideMark/>
          </w:tcPr>
          <w:p w:rsidR="006523FC" w:rsidRPr="00AB676C" w:rsidRDefault="006523FC" w:rsidP="006523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44"/>
              </w:tabs>
              <w:rPr>
                <w:noProof/>
                <w:sz w:val="18"/>
                <w:szCs w:val="18"/>
                <w:lang w:val="en-GB"/>
              </w:rPr>
            </w:pPr>
            <w:r w:rsidRPr="00AB676C">
              <w:rPr>
                <w:noProof/>
                <w:sz w:val="18"/>
                <w:szCs w:val="18"/>
                <w:lang w:val="en-GB"/>
              </w:rPr>
              <w:tab/>
              <w:t>–3</w:t>
            </w:r>
            <w:r>
              <w:rPr>
                <w:noProof/>
                <w:sz w:val="18"/>
                <w:szCs w:val="18"/>
                <w:lang w:val="en-GB"/>
              </w:rPr>
              <w:t>,</w:t>
            </w:r>
            <w:r w:rsidRPr="00AB676C">
              <w:rPr>
                <w:noProof/>
                <w:sz w:val="18"/>
                <w:szCs w:val="18"/>
                <w:lang w:val="en-GB"/>
              </w:rPr>
              <w:t>80</w:t>
            </w:r>
          </w:p>
        </w:tc>
        <w:tc>
          <w:tcPr>
            <w:tcW w:w="872" w:type="dxa"/>
            <w:tcBorders>
              <w:top w:val="single" w:sz="6" w:space="0" w:color="000000"/>
              <w:left w:val="single" w:sz="6" w:space="0" w:color="000000"/>
              <w:bottom w:val="single" w:sz="6" w:space="0" w:color="000000"/>
              <w:right w:val="single" w:sz="6" w:space="0" w:color="000000"/>
            </w:tcBorders>
            <w:hideMark/>
          </w:tcPr>
          <w:p w:rsidR="006523FC" w:rsidRPr="00AB676C" w:rsidRDefault="006523FC" w:rsidP="006523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44"/>
              </w:tabs>
              <w:rPr>
                <w:noProof/>
                <w:sz w:val="18"/>
                <w:szCs w:val="18"/>
                <w:lang w:val="en-GB"/>
              </w:rPr>
            </w:pPr>
            <w:r w:rsidRPr="00AB676C">
              <w:rPr>
                <w:noProof/>
                <w:sz w:val="18"/>
                <w:szCs w:val="18"/>
                <w:lang w:val="en-GB"/>
              </w:rPr>
              <w:tab/>
              <w:t>–3</w:t>
            </w:r>
            <w:r>
              <w:rPr>
                <w:noProof/>
                <w:sz w:val="18"/>
                <w:szCs w:val="18"/>
                <w:lang w:val="en-GB"/>
              </w:rPr>
              <w:t>,</w:t>
            </w:r>
            <w:r w:rsidRPr="00AB676C">
              <w:rPr>
                <w:noProof/>
                <w:sz w:val="18"/>
                <w:szCs w:val="18"/>
                <w:lang w:val="en-GB"/>
              </w:rPr>
              <w:t>96</w:t>
            </w:r>
          </w:p>
        </w:tc>
      </w:tr>
      <w:tr w:rsidR="006523FC" w:rsidRPr="006523FC" w:rsidTr="006523FC">
        <w:trPr>
          <w:jc w:val="center"/>
        </w:trPr>
        <w:tc>
          <w:tcPr>
            <w:tcW w:w="1276" w:type="dxa"/>
            <w:tcBorders>
              <w:top w:val="single" w:sz="6" w:space="0" w:color="000000"/>
              <w:left w:val="single" w:sz="6" w:space="0" w:color="000000"/>
              <w:bottom w:val="single" w:sz="6" w:space="0" w:color="000000"/>
              <w:right w:val="single" w:sz="6" w:space="0" w:color="000000"/>
            </w:tcBorders>
            <w:hideMark/>
          </w:tcPr>
          <w:p w:rsidR="006523FC" w:rsidRPr="006523FC" w:rsidRDefault="006523FC" w:rsidP="006523FC">
            <w:pPr>
              <w:pStyle w:val="Tabletext"/>
              <w:jc w:val="left"/>
              <w:rPr>
                <w:noProof/>
                <w:sz w:val="18"/>
                <w:szCs w:val="18"/>
                <w:lang w:val="es-ES_tradnl" w:eastAsia="zh-CN"/>
              </w:rPr>
            </w:pPr>
            <w:r w:rsidRPr="006523FC">
              <w:rPr>
                <w:noProof/>
                <w:sz w:val="18"/>
                <w:szCs w:val="18"/>
                <w:lang w:val="es-ES_tradnl" w:eastAsia="zh-CN"/>
              </w:rPr>
              <w:t>Ganancia con polarización levógira</w:t>
            </w:r>
          </w:p>
        </w:tc>
        <w:tc>
          <w:tcPr>
            <w:tcW w:w="816" w:type="dxa"/>
            <w:tcBorders>
              <w:top w:val="single" w:sz="6" w:space="0" w:color="000000"/>
              <w:left w:val="single" w:sz="6" w:space="0" w:color="000000"/>
              <w:bottom w:val="single" w:sz="6" w:space="0" w:color="000000"/>
              <w:right w:val="single" w:sz="6" w:space="0" w:color="000000"/>
            </w:tcBorders>
            <w:hideMark/>
          </w:tcPr>
          <w:p w:rsidR="006523FC" w:rsidRPr="00AB676C" w:rsidRDefault="006523FC" w:rsidP="006523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44"/>
              </w:tabs>
              <w:rPr>
                <w:noProof/>
                <w:sz w:val="18"/>
                <w:szCs w:val="18"/>
                <w:lang w:val="en-GB"/>
              </w:rPr>
            </w:pPr>
            <w:r w:rsidRPr="00AB676C">
              <w:rPr>
                <w:noProof/>
                <w:sz w:val="18"/>
                <w:szCs w:val="18"/>
                <w:lang w:val="en-GB"/>
              </w:rPr>
              <w:tab/>
              <w:t>–5</w:t>
            </w:r>
            <w:r>
              <w:rPr>
                <w:noProof/>
                <w:sz w:val="18"/>
                <w:szCs w:val="18"/>
                <w:lang w:val="en-GB"/>
              </w:rPr>
              <w:t>,</w:t>
            </w:r>
            <w:r w:rsidRPr="00AB676C">
              <w:rPr>
                <w:noProof/>
                <w:sz w:val="18"/>
                <w:szCs w:val="18"/>
                <w:lang w:val="en-GB"/>
              </w:rPr>
              <w:t>69</w:t>
            </w:r>
          </w:p>
        </w:tc>
        <w:tc>
          <w:tcPr>
            <w:tcW w:w="772" w:type="dxa"/>
            <w:tcBorders>
              <w:top w:val="single" w:sz="6" w:space="0" w:color="000000"/>
              <w:left w:val="single" w:sz="6" w:space="0" w:color="000000"/>
              <w:bottom w:val="single" w:sz="6" w:space="0" w:color="000000"/>
              <w:right w:val="single" w:sz="6" w:space="0" w:color="000000"/>
            </w:tcBorders>
            <w:hideMark/>
          </w:tcPr>
          <w:p w:rsidR="006523FC" w:rsidRPr="00AB676C" w:rsidRDefault="006523FC" w:rsidP="006523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44"/>
              </w:tabs>
              <w:rPr>
                <w:noProof/>
                <w:sz w:val="18"/>
                <w:szCs w:val="18"/>
                <w:lang w:val="en-GB"/>
              </w:rPr>
            </w:pPr>
            <w:r w:rsidRPr="00AB676C">
              <w:rPr>
                <w:noProof/>
                <w:sz w:val="18"/>
                <w:szCs w:val="18"/>
                <w:lang w:val="en-GB"/>
              </w:rPr>
              <w:tab/>
              <w:t>–6</w:t>
            </w:r>
            <w:r>
              <w:rPr>
                <w:noProof/>
                <w:sz w:val="18"/>
                <w:szCs w:val="18"/>
                <w:lang w:val="en-GB"/>
              </w:rPr>
              <w:t>,</w:t>
            </w:r>
            <w:r w:rsidRPr="00AB676C">
              <w:rPr>
                <w:noProof/>
                <w:sz w:val="18"/>
                <w:szCs w:val="18"/>
                <w:lang w:val="en-GB"/>
              </w:rPr>
              <w:t>23</w:t>
            </w:r>
          </w:p>
        </w:tc>
        <w:tc>
          <w:tcPr>
            <w:tcW w:w="729" w:type="dxa"/>
            <w:tcBorders>
              <w:top w:val="single" w:sz="6" w:space="0" w:color="000000"/>
              <w:left w:val="single" w:sz="6" w:space="0" w:color="000000"/>
              <w:bottom w:val="single" w:sz="6" w:space="0" w:color="000000"/>
              <w:right w:val="single" w:sz="6" w:space="0" w:color="000000"/>
            </w:tcBorders>
            <w:hideMark/>
          </w:tcPr>
          <w:p w:rsidR="006523FC" w:rsidRPr="00AB676C" w:rsidRDefault="006523FC" w:rsidP="006523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44"/>
              </w:tabs>
              <w:rPr>
                <w:noProof/>
                <w:sz w:val="18"/>
                <w:szCs w:val="18"/>
                <w:lang w:val="en-GB"/>
              </w:rPr>
            </w:pPr>
            <w:r w:rsidRPr="00AB676C">
              <w:rPr>
                <w:noProof/>
                <w:sz w:val="18"/>
                <w:szCs w:val="18"/>
                <w:lang w:val="en-GB"/>
              </w:rPr>
              <w:tab/>
              <w:t>–7</w:t>
            </w:r>
            <w:r>
              <w:rPr>
                <w:noProof/>
                <w:sz w:val="18"/>
                <w:szCs w:val="18"/>
                <w:lang w:val="en-GB"/>
              </w:rPr>
              <w:t>,</w:t>
            </w:r>
            <w:r w:rsidRPr="00AB676C">
              <w:rPr>
                <w:noProof/>
                <w:sz w:val="18"/>
                <w:szCs w:val="18"/>
                <w:lang w:val="en-GB"/>
              </w:rPr>
              <w:t>52</w:t>
            </w:r>
          </w:p>
        </w:tc>
        <w:tc>
          <w:tcPr>
            <w:tcW w:w="772" w:type="dxa"/>
            <w:tcBorders>
              <w:top w:val="single" w:sz="6" w:space="0" w:color="000000"/>
              <w:left w:val="single" w:sz="6" w:space="0" w:color="000000"/>
              <w:bottom w:val="single" w:sz="6" w:space="0" w:color="000000"/>
              <w:right w:val="single" w:sz="6" w:space="0" w:color="000000"/>
            </w:tcBorders>
            <w:hideMark/>
          </w:tcPr>
          <w:p w:rsidR="006523FC" w:rsidRPr="00AB676C" w:rsidRDefault="006523FC" w:rsidP="006523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44"/>
              </w:tabs>
              <w:rPr>
                <w:noProof/>
                <w:sz w:val="18"/>
                <w:szCs w:val="18"/>
                <w:lang w:val="en-GB"/>
              </w:rPr>
            </w:pPr>
            <w:r w:rsidRPr="00AB676C">
              <w:rPr>
                <w:noProof/>
                <w:sz w:val="18"/>
                <w:szCs w:val="18"/>
                <w:lang w:val="en-GB"/>
              </w:rPr>
              <w:tab/>
              <w:t>–9</w:t>
            </w:r>
            <w:r>
              <w:rPr>
                <w:noProof/>
                <w:sz w:val="18"/>
                <w:szCs w:val="18"/>
                <w:lang w:val="en-GB"/>
              </w:rPr>
              <w:t>,</w:t>
            </w:r>
            <w:r w:rsidRPr="00AB676C">
              <w:rPr>
                <w:noProof/>
                <w:sz w:val="18"/>
                <w:szCs w:val="18"/>
                <w:lang w:val="en-GB"/>
              </w:rPr>
              <w:t>39</w:t>
            </w:r>
          </w:p>
        </w:tc>
        <w:tc>
          <w:tcPr>
            <w:tcW w:w="815" w:type="dxa"/>
            <w:tcBorders>
              <w:top w:val="single" w:sz="6" w:space="0" w:color="000000"/>
              <w:left w:val="single" w:sz="6" w:space="0" w:color="000000"/>
              <w:bottom w:val="single" w:sz="6" w:space="0" w:color="000000"/>
              <w:right w:val="single" w:sz="6" w:space="0" w:color="000000"/>
            </w:tcBorders>
            <w:hideMark/>
          </w:tcPr>
          <w:p w:rsidR="006523FC" w:rsidRPr="00AB676C" w:rsidRDefault="006523FC" w:rsidP="006523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44"/>
              </w:tabs>
              <w:rPr>
                <w:noProof/>
                <w:sz w:val="18"/>
                <w:szCs w:val="18"/>
                <w:lang w:val="en-GB"/>
              </w:rPr>
            </w:pPr>
            <w:r w:rsidRPr="00AB676C">
              <w:rPr>
                <w:noProof/>
                <w:sz w:val="18"/>
                <w:szCs w:val="18"/>
                <w:lang w:val="en-GB"/>
              </w:rPr>
              <w:tab/>
              <w:t>–11</w:t>
            </w:r>
            <w:r>
              <w:rPr>
                <w:noProof/>
                <w:sz w:val="18"/>
                <w:szCs w:val="18"/>
                <w:lang w:val="en-GB"/>
              </w:rPr>
              <w:t>,</w:t>
            </w:r>
            <w:r w:rsidRPr="00AB676C">
              <w:rPr>
                <w:noProof/>
                <w:sz w:val="18"/>
                <w:szCs w:val="18"/>
                <w:lang w:val="en-GB"/>
              </w:rPr>
              <w:t>39</w:t>
            </w:r>
          </w:p>
        </w:tc>
        <w:tc>
          <w:tcPr>
            <w:tcW w:w="914" w:type="dxa"/>
            <w:tcBorders>
              <w:top w:val="single" w:sz="6" w:space="0" w:color="000000"/>
              <w:left w:val="single" w:sz="6" w:space="0" w:color="000000"/>
              <w:bottom w:val="single" w:sz="6" w:space="0" w:color="000000"/>
              <w:right w:val="single" w:sz="6" w:space="0" w:color="000000"/>
            </w:tcBorders>
            <w:hideMark/>
          </w:tcPr>
          <w:p w:rsidR="006523FC" w:rsidRPr="00AB676C" w:rsidRDefault="006523FC" w:rsidP="006523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44"/>
              </w:tabs>
              <w:rPr>
                <w:noProof/>
                <w:sz w:val="18"/>
                <w:szCs w:val="18"/>
                <w:lang w:val="en-GB"/>
              </w:rPr>
            </w:pPr>
            <w:r w:rsidRPr="00AB676C">
              <w:rPr>
                <w:noProof/>
                <w:sz w:val="18"/>
                <w:szCs w:val="18"/>
                <w:lang w:val="en-GB"/>
              </w:rPr>
              <w:tab/>
              <w:t>–13</w:t>
            </w:r>
            <w:r>
              <w:rPr>
                <w:noProof/>
                <w:sz w:val="18"/>
                <w:szCs w:val="18"/>
                <w:lang w:val="en-GB"/>
              </w:rPr>
              <w:t>,</w:t>
            </w:r>
            <w:r w:rsidRPr="00AB676C">
              <w:rPr>
                <w:noProof/>
                <w:sz w:val="18"/>
                <w:szCs w:val="18"/>
                <w:lang w:val="en-GB"/>
              </w:rPr>
              <w:t>12</w:t>
            </w:r>
          </w:p>
        </w:tc>
        <w:tc>
          <w:tcPr>
            <w:tcW w:w="887" w:type="dxa"/>
            <w:tcBorders>
              <w:top w:val="single" w:sz="6" w:space="0" w:color="000000"/>
              <w:left w:val="single" w:sz="6" w:space="0" w:color="000000"/>
              <w:bottom w:val="single" w:sz="6" w:space="0" w:color="000000"/>
              <w:right w:val="single" w:sz="6" w:space="0" w:color="000000"/>
            </w:tcBorders>
            <w:hideMark/>
          </w:tcPr>
          <w:p w:rsidR="006523FC" w:rsidRPr="00AB676C" w:rsidRDefault="006523FC" w:rsidP="006523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44"/>
              </w:tabs>
              <w:rPr>
                <w:noProof/>
                <w:sz w:val="18"/>
                <w:szCs w:val="18"/>
                <w:lang w:val="en-GB"/>
              </w:rPr>
            </w:pPr>
            <w:r w:rsidRPr="00AB676C">
              <w:rPr>
                <w:noProof/>
                <w:sz w:val="18"/>
                <w:szCs w:val="18"/>
                <w:lang w:val="en-GB"/>
              </w:rPr>
              <w:tab/>
              <w:t>–14</w:t>
            </w:r>
            <w:r>
              <w:rPr>
                <w:noProof/>
                <w:sz w:val="18"/>
                <w:szCs w:val="18"/>
                <w:lang w:val="en-GB"/>
              </w:rPr>
              <w:t>,</w:t>
            </w:r>
            <w:r w:rsidRPr="00AB676C">
              <w:rPr>
                <w:noProof/>
                <w:sz w:val="18"/>
                <w:szCs w:val="18"/>
                <w:lang w:val="en-GB"/>
              </w:rPr>
              <w:t>52</w:t>
            </w:r>
          </w:p>
        </w:tc>
        <w:tc>
          <w:tcPr>
            <w:tcW w:w="915" w:type="dxa"/>
            <w:tcBorders>
              <w:top w:val="single" w:sz="6" w:space="0" w:color="000000"/>
              <w:left w:val="single" w:sz="6" w:space="0" w:color="000000"/>
              <w:bottom w:val="single" w:sz="6" w:space="0" w:color="000000"/>
              <w:right w:val="single" w:sz="6" w:space="0" w:color="000000"/>
            </w:tcBorders>
            <w:hideMark/>
          </w:tcPr>
          <w:p w:rsidR="006523FC" w:rsidRPr="00AB676C" w:rsidRDefault="006523FC" w:rsidP="006523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44"/>
              </w:tabs>
              <w:rPr>
                <w:noProof/>
                <w:sz w:val="18"/>
                <w:szCs w:val="18"/>
                <w:lang w:val="en-GB"/>
              </w:rPr>
            </w:pPr>
            <w:r w:rsidRPr="00AB676C">
              <w:rPr>
                <w:noProof/>
                <w:sz w:val="18"/>
                <w:szCs w:val="18"/>
                <w:lang w:val="en-GB"/>
              </w:rPr>
              <w:tab/>
              <w:t>–15</w:t>
            </w:r>
            <w:r>
              <w:rPr>
                <w:noProof/>
                <w:sz w:val="18"/>
                <w:szCs w:val="18"/>
                <w:lang w:val="en-GB"/>
              </w:rPr>
              <w:t>,</w:t>
            </w:r>
            <w:r w:rsidRPr="00AB676C">
              <w:rPr>
                <w:noProof/>
                <w:sz w:val="18"/>
                <w:szCs w:val="18"/>
                <w:lang w:val="en-GB"/>
              </w:rPr>
              <w:t>77</w:t>
            </w:r>
          </w:p>
        </w:tc>
        <w:tc>
          <w:tcPr>
            <w:tcW w:w="872" w:type="dxa"/>
            <w:tcBorders>
              <w:top w:val="single" w:sz="6" w:space="0" w:color="000000"/>
              <w:left w:val="single" w:sz="6" w:space="0" w:color="000000"/>
              <w:bottom w:val="single" w:sz="6" w:space="0" w:color="000000"/>
              <w:right w:val="single" w:sz="6" w:space="0" w:color="000000"/>
            </w:tcBorders>
            <w:hideMark/>
          </w:tcPr>
          <w:p w:rsidR="006523FC" w:rsidRPr="00AB676C" w:rsidRDefault="006523FC" w:rsidP="006523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44"/>
              </w:tabs>
              <w:rPr>
                <w:noProof/>
                <w:sz w:val="18"/>
                <w:szCs w:val="18"/>
                <w:lang w:val="en-GB"/>
              </w:rPr>
            </w:pPr>
            <w:r w:rsidRPr="00AB676C">
              <w:rPr>
                <w:noProof/>
                <w:sz w:val="18"/>
                <w:szCs w:val="18"/>
                <w:lang w:val="en-GB"/>
              </w:rPr>
              <w:tab/>
              <w:t>–17</w:t>
            </w:r>
            <w:r>
              <w:rPr>
                <w:noProof/>
                <w:sz w:val="18"/>
                <w:szCs w:val="18"/>
                <w:lang w:val="en-GB"/>
              </w:rPr>
              <w:t>,</w:t>
            </w:r>
            <w:r w:rsidRPr="00AB676C">
              <w:rPr>
                <w:noProof/>
                <w:sz w:val="18"/>
                <w:szCs w:val="18"/>
                <w:lang w:val="en-GB"/>
              </w:rPr>
              <w:t>17</w:t>
            </w:r>
          </w:p>
        </w:tc>
        <w:tc>
          <w:tcPr>
            <w:tcW w:w="872" w:type="dxa"/>
            <w:tcBorders>
              <w:top w:val="single" w:sz="6" w:space="0" w:color="000000"/>
              <w:left w:val="single" w:sz="6" w:space="0" w:color="000000"/>
              <w:bottom w:val="single" w:sz="6" w:space="0" w:color="000000"/>
              <w:right w:val="single" w:sz="6" w:space="0" w:color="000000"/>
            </w:tcBorders>
            <w:hideMark/>
          </w:tcPr>
          <w:p w:rsidR="006523FC" w:rsidRPr="00AB676C" w:rsidRDefault="006523FC" w:rsidP="006523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44"/>
              </w:tabs>
              <w:rPr>
                <w:noProof/>
                <w:sz w:val="18"/>
                <w:szCs w:val="18"/>
                <w:lang w:val="en-GB"/>
              </w:rPr>
            </w:pPr>
            <w:r w:rsidRPr="00AB676C">
              <w:rPr>
                <w:noProof/>
                <w:sz w:val="18"/>
                <w:szCs w:val="18"/>
                <w:lang w:val="en-GB"/>
              </w:rPr>
              <w:tab/>
              <w:t>–18</w:t>
            </w:r>
            <w:r>
              <w:rPr>
                <w:noProof/>
                <w:sz w:val="18"/>
                <w:szCs w:val="18"/>
                <w:lang w:val="en-GB"/>
              </w:rPr>
              <w:t>,</w:t>
            </w:r>
            <w:r w:rsidRPr="00AB676C">
              <w:rPr>
                <w:noProof/>
                <w:sz w:val="18"/>
                <w:szCs w:val="18"/>
                <w:lang w:val="en-GB"/>
              </w:rPr>
              <w:t>00</w:t>
            </w:r>
          </w:p>
        </w:tc>
      </w:tr>
      <w:tr w:rsidR="006523FC" w:rsidRPr="006523FC" w:rsidTr="006523FC">
        <w:trPr>
          <w:jc w:val="center"/>
        </w:trPr>
        <w:tc>
          <w:tcPr>
            <w:tcW w:w="1276" w:type="dxa"/>
            <w:tcBorders>
              <w:top w:val="single" w:sz="6" w:space="0" w:color="000000"/>
              <w:left w:val="single" w:sz="6" w:space="0" w:color="000000"/>
              <w:bottom w:val="single" w:sz="6" w:space="0" w:color="000000"/>
              <w:right w:val="single" w:sz="6" w:space="0" w:color="000000"/>
            </w:tcBorders>
            <w:hideMark/>
          </w:tcPr>
          <w:p w:rsidR="006523FC" w:rsidRPr="006523FC" w:rsidRDefault="006523FC" w:rsidP="006523FC">
            <w:pPr>
              <w:pStyle w:val="Tabletext"/>
              <w:jc w:val="left"/>
              <w:rPr>
                <w:noProof/>
                <w:sz w:val="18"/>
                <w:szCs w:val="18"/>
                <w:lang w:val="es-ES_tradnl" w:eastAsia="zh-CN"/>
              </w:rPr>
            </w:pPr>
            <w:r w:rsidRPr="006523FC">
              <w:rPr>
                <w:noProof/>
                <w:sz w:val="18"/>
                <w:szCs w:val="18"/>
                <w:lang w:val="es-ES_tradnl" w:eastAsia="zh-CN"/>
              </w:rPr>
              <w:t>Relación axial (véase Nota 1)</w:t>
            </w:r>
          </w:p>
        </w:tc>
        <w:tc>
          <w:tcPr>
            <w:tcW w:w="816" w:type="dxa"/>
            <w:tcBorders>
              <w:top w:val="single" w:sz="6" w:space="0" w:color="000000"/>
              <w:left w:val="single" w:sz="6" w:space="0" w:color="000000"/>
              <w:bottom w:val="single" w:sz="6" w:space="0" w:color="000000"/>
              <w:right w:val="single" w:sz="6" w:space="0" w:color="000000"/>
            </w:tcBorders>
            <w:hideMark/>
          </w:tcPr>
          <w:p w:rsidR="006523FC" w:rsidRPr="00AB676C" w:rsidRDefault="006523FC" w:rsidP="006523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44"/>
              </w:tabs>
              <w:rPr>
                <w:noProof/>
                <w:sz w:val="18"/>
                <w:szCs w:val="18"/>
                <w:lang w:val="en-GB"/>
              </w:rPr>
            </w:pPr>
            <w:r w:rsidRPr="00AB676C">
              <w:rPr>
                <w:noProof/>
                <w:sz w:val="18"/>
                <w:szCs w:val="18"/>
                <w:lang w:val="en-GB"/>
              </w:rPr>
              <w:tab/>
              <w:t>6</w:t>
            </w:r>
            <w:r>
              <w:rPr>
                <w:noProof/>
                <w:sz w:val="18"/>
                <w:szCs w:val="18"/>
                <w:lang w:val="en-GB"/>
              </w:rPr>
              <w:t>,</w:t>
            </w:r>
            <w:r w:rsidRPr="00AB676C">
              <w:rPr>
                <w:noProof/>
                <w:sz w:val="18"/>
                <w:szCs w:val="18"/>
                <w:lang w:val="en-GB"/>
              </w:rPr>
              <w:t>02</w:t>
            </w:r>
          </w:p>
        </w:tc>
        <w:tc>
          <w:tcPr>
            <w:tcW w:w="772" w:type="dxa"/>
            <w:tcBorders>
              <w:top w:val="single" w:sz="6" w:space="0" w:color="000000"/>
              <w:left w:val="single" w:sz="6" w:space="0" w:color="000000"/>
              <w:bottom w:val="single" w:sz="6" w:space="0" w:color="000000"/>
              <w:right w:val="single" w:sz="6" w:space="0" w:color="000000"/>
            </w:tcBorders>
            <w:hideMark/>
          </w:tcPr>
          <w:p w:rsidR="006523FC" w:rsidRPr="00AB676C" w:rsidRDefault="006523FC" w:rsidP="006523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44"/>
              </w:tabs>
              <w:rPr>
                <w:noProof/>
                <w:sz w:val="18"/>
                <w:szCs w:val="18"/>
                <w:lang w:val="en-GB"/>
              </w:rPr>
            </w:pPr>
            <w:r w:rsidRPr="00AB676C">
              <w:rPr>
                <w:noProof/>
                <w:sz w:val="18"/>
                <w:szCs w:val="18"/>
                <w:lang w:val="en-GB"/>
              </w:rPr>
              <w:tab/>
              <w:t>5</w:t>
            </w:r>
            <w:r>
              <w:rPr>
                <w:noProof/>
                <w:sz w:val="18"/>
                <w:szCs w:val="18"/>
                <w:lang w:val="en-GB"/>
              </w:rPr>
              <w:t>,</w:t>
            </w:r>
            <w:r w:rsidRPr="00AB676C">
              <w:rPr>
                <w:noProof/>
                <w:sz w:val="18"/>
                <w:szCs w:val="18"/>
                <w:lang w:val="en-GB"/>
              </w:rPr>
              <w:t>85</w:t>
            </w:r>
          </w:p>
        </w:tc>
        <w:tc>
          <w:tcPr>
            <w:tcW w:w="729" w:type="dxa"/>
            <w:tcBorders>
              <w:top w:val="single" w:sz="6" w:space="0" w:color="000000"/>
              <w:left w:val="single" w:sz="6" w:space="0" w:color="000000"/>
              <w:bottom w:val="single" w:sz="6" w:space="0" w:color="000000"/>
              <w:right w:val="single" w:sz="6" w:space="0" w:color="000000"/>
            </w:tcBorders>
            <w:hideMark/>
          </w:tcPr>
          <w:p w:rsidR="006523FC" w:rsidRPr="00AB676C" w:rsidRDefault="006523FC" w:rsidP="006523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44"/>
              </w:tabs>
              <w:rPr>
                <w:noProof/>
                <w:sz w:val="18"/>
                <w:szCs w:val="18"/>
                <w:lang w:val="en-GB"/>
              </w:rPr>
            </w:pPr>
            <w:r w:rsidRPr="00AB676C">
              <w:rPr>
                <w:noProof/>
                <w:sz w:val="18"/>
                <w:szCs w:val="18"/>
                <w:lang w:val="en-GB"/>
              </w:rPr>
              <w:tab/>
              <w:t>5</w:t>
            </w:r>
            <w:r>
              <w:rPr>
                <w:noProof/>
                <w:sz w:val="18"/>
                <w:szCs w:val="18"/>
                <w:lang w:val="en-GB"/>
              </w:rPr>
              <w:t>,</w:t>
            </w:r>
            <w:r w:rsidRPr="00AB676C">
              <w:rPr>
                <w:noProof/>
                <w:sz w:val="18"/>
                <w:szCs w:val="18"/>
                <w:lang w:val="en-GB"/>
              </w:rPr>
              <w:t>59</w:t>
            </w:r>
          </w:p>
        </w:tc>
        <w:tc>
          <w:tcPr>
            <w:tcW w:w="772" w:type="dxa"/>
            <w:tcBorders>
              <w:top w:val="single" w:sz="6" w:space="0" w:color="000000"/>
              <w:left w:val="single" w:sz="6" w:space="0" w:color="000000"/>
              <w:bottom w:val="single" w:sz="6" w:space="0" w:color="000000"/>
              <w:right w:val="single" w:sz="6" w:space="0" w:color="000000"/>
            </w:tcBorders>
            <w:hideMark/>
          </w:tcPr>
          <w:p w:rsidR="006523FC" w:rsidRPr="00AB676C" w:rsidRDefault="006523FC" w:rsidP="006523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44"/>
              </w:tabs>
              <w:rPr>
                <w:noProof/>
                <w:sz w:val="18"/>
                <w:szCs w:val="18"/>
                <w:lang w:val="en-GB"/>
              </w:rPr>
            </w:pPr>
            <w:r w:rsidRPr="00AB676C">
              <w:rPr>
                <w:noProof/>
                <w:sz w:val="18"/>
                <w:szCs w:val="18"/>
                <w:lang w:val="en-GB"/>
              </w:rPr>
              <w:tab/>
              <w:t>5</w:t>
            </w:r>
            <w:r>
              <w:rPr>
                <w:noProof/>
                <w:sz w:val="18"/>
                <w:szCs w:val="18"/>
                <w:lang w:val="en-GB"/>
              </w:rPr>
              <w:t>,</w:t>
            </w:r>
            <w:r w:rsidRPr="00AB676C">
              <w:rPr>
                <w:noProof/>
                <w:sz w:val="18"/>
                <w:szCs w:val="18"/>
                <w:lang w:val="en-GB"/>
              </w:rPr>
              <w:t>26</w:t>
            </w:r>
          </w:p>
        </w:tc>
        <w:tc>
          <w:tcPr>
            <w:tcW w:w="815" w:type="dxa"/>
            <w:tcBorders>
              <w:top w:val="single" w:sz="6" w:space="0" w:color="000000"/>
              <w:left w:val="single" w:sz="6" w:space="0" w:color="000000"/>
              <w:bottom w:val="single" w:sz="6" w:space="0" w:color="000000"/>
              <w:right w:val="single" w:sz="6" w:space="0" w:color="000000"/>
            </w:tcBorders>
            <w:hideMark/>
          </w:tcPr>
          <w:p w:rsidR="006523FC" w:rsidRPr="00AB676C" w:rsidRDefault="006523FC" w:rsidP="006523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44"/>
              </w:tabs>
              <w:rPr>
                <w:noProof/>
                <w:sz w:val="18"/>
                <w:szCs w:val="18"/>
                <w:lang w:val="en-GB"/>
              </w:rPr>
            </w:pPr>
            <w:r w:rsidRPr="00AB676C">
              <w:rPr>
                <w:noProof/>
                <w:sz w:val="18"/>
                <w:szCs w:val="18"/>
                <w:lang w:val="en-GB"/>
              </w:rPr>
              <w:tab/>
              <w:t>4</w:t>
            </w:r>
            <w:r>
              <w:rPr>
                <w:noProof/>
                <w:sz w:val="18"/>
                <w:szCs w:val="18"/>
                <w:lang w:val="en-GB"/>
              </w:rPr>
              <w:t>,</w:t>
            </w:r>
            <w:r w:rsidRPr="00AB676C">
              <w:rPr>
                <w:noProof/>
                <w:sz w:val="18"/>
                <w:szCs w:val="18"/>
                <w:lang w:val="en-GB"/>
              </w:rPr>
              <w:t>90</w:t>
            </w:r>
          </w:p>
        </w:tc>
        <w:tc>
          <w:tcPr>
            <w:tcW w:w="914" w:type="dxa"/>
            <w:tcBorders>
              <w:top w:val="single" w:sz="6" w:space="0" w:color="000000"/>
              <w:left w:val="single" w:sz="6" w:space="0" w:color="000000"/>
              <w:bottom w:val="single" w:sz="6" w:space="0" w:color="000000"/>
              <w:right w:val="single" w:sz="6" w:space="0" w:color="000000"/>
            </w:tcBorders>
            <w:hideMark/>
          </w:tcPr>
          <w:p w:rsidR="006523FC" w:rsidRPr="00AB676C" w:rsidRDefault="006523FC" w:rsidP="006523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44"/>
              </w:tabs>
              <w:rPr>
                <w:noProof/>
                <w:sz w:val="18"/>
                <w:szCs w:val="18"/>
                <w:lang w:val="en-GB"/>
              </w:rPr>
            </w:pPr>
            <w:r w:rsidRPr="00AB676C">
              <w:rPr>
                <w:noProof/>
                <w:sz w:val="18"/>
                <w:szCs w:val="18"/>
                <w:lang w:val="en-GB"/>
              </w:rPr>
              <w:tab/>
              <w:t>4</w:t>
            </w:r>
            <w:r>
              <w:rPr>
                <w:noProof/>
                <w:sz w:val="18"/>
                <w:szCs w:val="18"/>
                <w:lang w:val="en-GB"/>
              </w:rPr>
              <w:t>,</w:t>
            </w:r>
            <w:r w:rsidRPr="00AB676C">
              <w:rPr>
                <w:noProof/>
                <w:sz w:val="18"/>
                <w:szCs w:val="18"/>
                <w:lang w:val="en-GB"/>
              </w:rPr>
              <w:t>57</w:t>
            </w:r>
          </w:p>
        </w:tc>
        <w:tc>
          <w:tcPr>
            <w:tcW w:w="887" w:type="dxa"/>
            <w:tcBorders>
              <w:top w:val="single" w:sz="6" w:space="0" w:color="000000"/>
              <w:left w:val="single" w:sz="6" w:space="0" w:color="000000"/>
              <w:bottom w:val="single" w:sz="6" w:space="0" w:color="000000"/>
              <w:right w:val="single" w:sz="6" w:space="0" w:color="000000"/>
            </w:tcBorders>
            <w:hideMark/>
          </w:tcPr>
          <w:p w:rsidR="006523FC" w:rsidRPr="00AB676C" w:rsidRDefault="006523FC" w:rsidP="006523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44"/>
              </w:tabs>
              <w:rPr>
                <w:noProof/>
                <w:sz w:val="18"/>
                <w:szCs w:val="18"/>
                <w:lang w:val="en-GB"/>
              </w:rPr>
            </w:pPr>
            <w:r w:rsidRPr="00AB676C">
              <w:rPr>
                <w:noProof/>
                <w:sz w:val="18"/>
                <w:szCs w:val="18"/>
                <w:lang w:val="en-GB"/>
              </w:rPr>
              <w:tab/>
              <w:t>4</w:t>
            </w:r>
            <w:r>
              <w:rPr>
                <w:noProof/>
                <w:sz w:val="18"/>
                <w:szCs w:val="18"/>
                <w:lang w:val="en-GB"/>
              </w:rPr>
              <w:t>,</w:t>
            </w:r>
            <w:r w:rsidRPr="00AB676C">
              <w:rPr>
                <w:noProof/>
                <w:sz w:val="18"/>
                <w:szCs w:val="18"/>
                <w:lang w:val="en-GB"/>
              </w:rPr>
              <w:t>31</w:t>
            </w:r>
          </w:p>
        </w:tc>
        <w:tc>
          <w:tcPr>
            <w:tcW w:w="915" w:type="dxa"/>
            <w:tcBorders>
              <w:top w:val="single" w:sz="6" w:space="0" w:color="000000"/>
              <w:left w:val="single" w:sz="6" w:space="0" w:color="000000"/>
              <w:bottom w:val="single" w:sz="6" w:space="0" w:color="000000"/>
              <w:right w:val="single" w:sz="6" w:space="0" w:color="000000"/>
            </w:tcBorders>
            <w:hideMark/>
          </w:tcPr>
          <w:p w:rsidR="006523FC" w:rsidRPr="00AB676C" w:rsidRDefault="006523FC" w:rsidP="006523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44"/>
              </w:tabs>
              <w:rPr>
                <w:noProof/>
                <w:sz w:val="18"/>
                <w:szCs w:val="18"/>
                <w:lang w:val="en-GB"/>
              </w:rPr>
            </w:pPr>
            <w:r w:rsidRPr="00AB676C">
              <w:rPr>
                <w:noProof/>
                <w:sz w:val="18"/>
                <w:szCs w:val="18"/>
                <w:lang w:val="en-GB"/>
              </w:rPr>
              <w:tab/>
              <w:t>4</w:t>
            </w:r>
            <w:r>
              <w:rPr>
                <w:noProof/>
                <w:sz w:val="18"/>
                <w:szCs w:val="18"/>
                <w:lang w:val="en-GB"/>
              </w:rPr>
              <w:t>,</w:t>
            </w:r>
            <w:r w:rsidRPr="00AB676C">
              <w:rPr>
                <w:noProof/>
                <w:sz w:val="18"/>
                <w:szCs w:val="18"/>
                <w:lang w:val="en-GB"/>
              </w:rPr>
              <w:t>11</w:t>
            </w:r>
          </w:p>
        </w:tc>
        <w:tc>
          <w:tcPr>
            <w:tcW w:w="872" w:type="dxa"/>
            <w:tcBorders>
              <w:top w:val="single" w:sz="6" w:space="0" w:color="000000"/>
              <w:left w:val="single" w:sz="6" w:space="0" w:color="000000"/>
              <w:bottom w:val="single" w:sz="6" w:space="0" w:color="000000"/>
              <w:right w:val="single" w:sz="6" w:space="0" w:color="000000"/>
            </w:tcBorders>
            <w:hideMark/>
          </w:tcPr>
          <w:p w:rsidR="006523FC" w:rsidRPr="00AB676C" w:rsidRDefault="006523FC" w:rsidP="006523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44"/>
              </w:tabs>
              <w:rPr>
                <w:noProof/>
                <w:sz w:val="18"/>
                <w:szCs w:val="18"/>
                <w:lang w:val="en-GB"/>
              </w:rPr>
            </w:pPr>
            <w:r w:rsidRPr="00AB676C">
              <w:rPr>
                <w:noProof/>
                <w:sz w:val="18"/>
                <w:szCs w:val="18"/>
                <w:lang w:val="en-GB"/>
              </w:rPr>
              <w:tab/>
              <w:t>3</w:t>
            </w:r>
            <w:r>
              <w:rPr>
                <w:noProof/>
                <w:sz w:val="18"/>
                <w:szCs w:val="18"/>
                <w:lang w:val="en-GB"/>
              </w:rPr>
              <w:t>,</w:t>
            </w:r>
            <w:r w:rsidRPr="00AB676C">
              <w:rPr>
                <w:noProof/>
                <w:sz w:val="18"/>
                <w:szCs w:val="18"/>
                <w:lang w:val="en-GB"/>
              </w:rPr>
              <w:t>78</w:t>
            </w:r>
          </w:p>
        </w:tc>
        <w:tc>
          <w:tcPr>
            <w:tcW w:w="872" w:type="dxa"/>
            <w:tcBorders>
              <w:top w:val="single" w:sz="6" w:space="0" w:color="000000"/>
              <w:left w:val="single" w:sz="6" w:space="0" w:color="000000"/>
              <w:bottom w:val="single" w:sz="6" w:space="0" w:color="000000"/>
              <w:right w:val="single" w:sz="6" w:space="0" w:color="000000"/>
            </w:tcBorders>
            <w:hideMark/>
          </w:tcPr>
          <w:p w:rsidR="006523FC" w:rsidRPr="00AB676C" w:rsidRDefault="006523FC" w:rsidP="006523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44"/>
              </w:tabs>
              <w:rPr>
                <w:noProof/>
                <w:sz w:val="18"/>
                <w:szCs w:val="18"/>
                <w:lang w:val="en-GB"/>
              </w:rPr>
            </w:pPr>
            <w:r w:rsidRPr="00AB676C">
              <w:rPr>
                <w:noProof/>
                <w:sz w:val="18"/>
                <w:szCs w:val="18"/>
                <w:lang w:val="en-GB"/>
              </w:rPr>
              <w:tab/>
              <w:t>3</w:t>
            </w:r>
            <w:r>
              <w:rPr>
                <w:noProof/>
                <w:sz w:val="18"/>
                <w:szCs w:val="18"/>
                <w:lang w:val="en-GB"/>
              </w:rPr>
              <w:t>,</w:t>
            </w:r>
            <w:r w:rsidRPr="00AB676C">
              <w:rPr>
                <w:noProof/>
                <w:sz w:val="18"/>
                <w:szCs w:val="18"/>
                <w:lang w:val="en-GB"/>
              </w:rPr>
              <w:t>49</w:t>
            </w:r>
          </w:p>
        </w:tc>
      </w:tr>
      <w:tr w:rsidR="00F035DE" w:rsidRPr="004E5043" w:rsidTr="006523FC">
        <w:trPr>
          <w:jc w:val="center"/>
        </w:trPr>
        <w:tc>
          <w:tcPr>
            <w:tcW w:w="9640" w:type="dxa"/>
            <w:gridSpan w:val="11"/>
            <w:tcBorders>
              <w:top w:val="single" w:sz="6" w:space="0" w:color="000000"/>
              <w:left w:val="nil"/>
              <w:bottom w:val="nil"/>
              <w:right w:val="nil"/>
            </w:tcBorders>
            <w:hideMark/>
          </w:tcPr>
          <w:p w:rsidR="00F035DE" w:rsidRPr="006523FC" w:rsidRDefault="00F035DE" w:rsidP="006523FC">
            <w:pPr>
              <w:pStyle w:val="Tabletext"/>
              <w:rPr>
                <w:noProof/>
                <w:sz w:val="18"/>
                <w:szCs w:val="18"/>
                <w:lang w:val="es-ES_tradnl" w:eastAsia="zh-CN"/>
              </w:rPr>
            </w:pPr>
            <w:r w:rsidRPr="006523FC">
              <w:rPr>
                <w:sz w:val="18"/>
                <w:szCs w:val="18"/>
                <w:lang w:val="es-ES_tradnl" w:eastAsia="zh-CN"/>
              </w:rPr>
              <w:t>NOTA 1 – La relación axial es la relación entre las longitudes de los ejes mayor y menor de la elipse de polarización.</w:t>
            </w:r>
          </w:p>
        </w:tc>
      </w:tr>
    </w:tbl>
    <w:p w:rsidR="00110AEC" w:rsidRPr="00FB75EB" w:rsidRDefault="00110AEC" w:rsidP="00110AEC">
      <w:pPr>
        <w:spacing w:before="0"/>
        <w:rPr>
          <w:sz w:val="16"/>
          <w:szCs w:val="16"/>
          <w:lang w:val="es-ES_tradnl"/>
        </w:rPr>
      </w:pPr>
    </w:p>
    <w:p w:rsidR="00110AEC" w:rsidRPr="00FB75EB" w:rsidRDefault="005275D3" w:rsidP="00FB623A">
      <w:pPr>
        <w:rPr>
          <w:lang w:val="es-ES_tradnl"/>
        </w:rPr>
      </w:pPr>
      <w:r w:rsidRPr="00FB75EB">
        <w:rPr>
          <w:lang w:val="es-ES_tradnl"/>
        </w:rPr>
        <w:t>Los parámetros típicos del ARGOS4 son: factor de ruido = 3</w:t>
      </w:r>
      <w:r w:rsidR="00932E58">
        <w:rPr>
          <w:lang w:val="es-ES_tradnl"/>
        </w:rPr>
        <w:t> </w:t>
      </w:r>
      <w:r w:rsidRPr="00FB75EB">
        <w:rPr>
          <w:lang w:val="es-ES_tradnl"/>
        </w:rPr>
        <w:t>dB, temperatura de ruido de fondo de caso más desfavorable = 1</w:t>
      </w:r>
      <w:r w:rsidRPr="00FB623A">
        <w:rPr>
          <w:sz w:val="16"/>
          <w:szCs w:val="16"/>
          <w:lang w:val="es-ES_tradnl"/>
        </w:rPr>
        <w:t> </w:t>
      </w:r>
      <w:r w:rsidRPr="00FB75EB">
        <w:rPr>
          <w:lang w:val="es-ES_tradnl"/>
        </w:rPr>
        <w:t xml:space="preserve">200 K (valor medido teniendo en cuenta el ruido industrial en Europa), atenuación entre la antena y el receptor del ARGOS4 = 1,6 dB. De esa forma, la temperatura de ruido a la entrada del receptor </w:t>
      </w:r>
      <w:r w:rsidR="00295D4F">
        <w:rPr>
          <w:lang w:val="es-ES_tradnl"/>
        </w:rPr>
        <w:t xml:space="preserve">del </w:t>
      </w:r>
      <w:r w:rsidRPr="00FB75EB">
        <w:rPr>
          <w:lang w:val="es-ES_tradnl"/>
        </w:rPr>
        <w:t>ARGOS4 es 1</w:t>
      </w:r>
      <w:r w:rsidR="00FB623A" w:rsidRPr="00231CB5">
        <w:rPr>
          <w:sz w:val="16"/>
          <w:szCs w:val="16"/>
          <w:lang w:val="es-ES_tradnl"/>
        </w:rPr>
        <w:t> </w:t>
      </w:r>
      <w:r w:rsidRPr="00FB75EB">
        <w:rPr>
          <w:lang w:val="es-ES_tradnl"/>
        </w:rPr>
        <w:t xml:space="preserve">214 K y, por tanto, la densidad espectral de ruido es </w:t>
      </w:r>
      <w:r w:rsidRPr="00FB75EB">
        <w:rPr>
          <w:i/>
          <w:iCs/>
          <w:lang w:val="es-ES_tradnl"/>
        </w:rPr>
        <w:t>N</w:t>
      </w:r>
      <w:r w:rsidRPr="00FB75EB">
        <w:rPr>
          <w:vertAlign w:val="subscript"/>
          <w:lang w:val="es-ES_tradnl"/>
        </w:rPr>
        <w:t>0</w:t>
      </w:r>
      <w:r w:rsidRPr="00FB75EB">
        <w:rPr>
          <w:lang w:val="es-ES_tradnl"/>
        </w:rPr>
        <w:t> = </w:t>
      </w:r>
      <w:r w:rsidR="00D23300">
        <w:rPr>
          <w:lang w:val="es-ES_tradnl"/>
        </w:rPr>
        <w:sym w:font="Symbol" w:char="F02D"/>
      </w:r>
      <w:r w:rsidRPr="00FB75EB">
        <w:rPr>
          <w:lang w:val="es-ES_tradnl"/>
        </w:rPr>
        <w:t>197,8 dB(W/Hz).</w:t>
      </w:r>
    </w:p>
    <w:p w:rsidR="005275D3" w:rsidRPr="00FB75EB" w:rsidRDefault="005275D3" w:rsidP="00D23300">
      <w:pPr>
        <w:rPr>
          <w:lang w:val="es-ES_tradnl"/>
        </w:rPr>
      </w:pPr>
      <w:r w:rsidRPr="00FB75EB">
        <w:rPr>
          <w:lang w:val="es-ES_tradnl"/>
        </w:rPr>
        <w:t xml:space="preserve">La especificación de caso más desfavorable establece que el ARGOS4 se ha diseñado para que funcione correctamente cuando la señal recibida tiene una potencia de </w:t>
      </w:r>
      <w:r w:rsidRPr="00FB75EB">
        <w:rPr>
          <w:i/>
          <w:iCs/>
          <w:lang w:val="es-ES_tradnl"/>
        </w:rPr>
        <w:t>C</w:t>
      </w:r>
      <w:r w:rsidRPr="00FB75EB">
        <w:rPr>
          <w:lang w:val="es-ES_tradnl"/>
        </w:rPr>
        <w:t xml:space="preserve"> = </w:t>
      </w:r>
      <w:r w:rsidR="00D23300">
        <w:rPr>
          <w:lang w:val="es-ES_tradnl"/>
        </w:rPr>
        <w:t>–</w:t>
      </w:r>
      <w:r w:rsidRPr="00FB75EB">
        <w:rPr>
          <w:lang w:val="es-ES_tradnl"/>
        </w:rPr>
        <w:t xml:space="preserve">160 dBW (mínimo nivel de la señal recibida) a la entrada del receptor, lo </w:t>
      </w:r>
      <w:r w:rsidR="00C12341" w:rsidRPr="00FB75EB">
        <w:rPr>
          <w:lang w:val="es-ES_tradnl"/>
        </w:rPr>
        <w:t>cual</w:t>
      </w:r>
      <w:r w:rsidRPr="00FB75EB">
        <w:rPr>
          <w:lang w:val="es-ES_tradnl"/>
        </w:rPr>
        <w:t xml:space="preserve"> proporciona un</w:t>
      </w:r>
      <w:r w:rsidR="00C12341" w:rsidRPr="00FB75EB">
        <w:rPr>
          <w:lang w:val="es-ES_tradnl"/>
        </w:rPr>
        <w:t xml:space="preserve"> valor efectivo de</w:t>
      </w:r>
      <w:r w:rsidRPr="00FB75EB">
        <w:rPr>
          <w:lang w:val="es-ES_tradnl"/>
        </w:rPr>
        <w:t xml:space="preserve"> </w:t>
      </w:r>
      <w:r w:rsidR="00C12341" w:rsidRPr="00FB75EB">
        <w:rPr>
          <w:i/>
          <w:iCs/>
          <w:lang w:val="es-ES_tradnl"/>
        </w:rPr>
        <w:t>E</w:t>
      </w:r>
      <w:r w:rsidR="00C12341" w:rsidRPr="00FB75EB">
        <w:rPr>
          <w:i/>
          <w:iCs/>
          <w:vertAlign w:val="subscript"/>
          <w:lang w:val="es-ES_tradnl"/>
        </w:rPr>
        <w:t>b</w:t>
      </w:r>
      <w:r w:rsidR="00C12341" w:rsidRPr="00FB75EB">
        <w:rPr>
          <w:lang w:val="es-ES_tradnl"/>
        </w:rPr>
        <w:t>/</w:t>
      </w:r>
      <w:r w:rsidR="00C12341" w:rsidRPr="00FB75EB">
        <w:rPr>
          <w:i/>
          <w:iCs/>
          <w:lang w:val="es-ES_tradnl"/>
        </w:rPr>
        <w:t>N</w:t>
      </w:r>
      <w:r w:rsidR="00C12341" w:rsidRPr="00FB75EB">
        <w:rPr>
          <w:vertAlign w:val="subscript"/>
          <w:lang w:val="es-ES_tradnl"/>
        </w:rPr>
        <w:t>0</w:t>
      </w:r>
      <w:r w:rsidR="00C12341" w:rsidRPr="00FB75EB">
        <w:rPr>
          <w:lang w:val="es-ES_tradnl"/>
        </w:rPr>
        <w:t> = </w:t>
      </w:r>
      <w:r w:rsidRPr="00FB75EB">
        <w:rPr>
          <w:lang w:val="es-ES_tradnl"/>
        </w:rPr>
        <w:t xml:space="preserve">8,3 dB en el detector </w:t>
      </w:r>
      <w:r w:rsidR="00C12341" w:rsidRPr="00FB75EB">
        <w:rPr>
          <w:lang w:val="es-ES_tradnl"/>
        </w:rPr>
        <w:t>binario</w:t>
      </w:r>
      <w:r w:rsidR="00876F5E">
        <w:rPr>
          <w:lang w:val="es-ES_tradnl"/>
        </w:rPr>
        <w:t xml:space="preserve"> del ARGOS</w:t>
      </w:r>
      <w:r w:rsidRPr="00FB75EB">
        <w:rPr>
          <w:lang w:val="es-ES_tradnl"/>
        </w:rPr>
        <w:t xml:space="preserve"> si </w:t>
      </w:r>
      <w:r w:rsidR="00C12341" w:rsidRPr="00FB75EB">
        <w:rPr>
          <w:lang w:val="es-ES_tradnl"/>
        </w:rPr>
        <w:t>se tiene</w:t>
      </w:r>
      <w:r w:rsidRPr="00FB75EB">
        <w:rPr>
          <w:lang w:val="es-ES_tradnl"/>
        </w:rPr>
        <w:t xml:space="preserve"> en cu</w:t>
      </w:r>
      <w:r w:rsidR="00C12341" w:rsidRPr="00FB75EB">
        <w:rPr>
          <w:lang w:val="es-ES_tradnl"/>
        </w:rPr>
        <w:t>e</w:t>
      </w:r>
      <w:r w:rsidRPr="00FB75EB">
        <w:rPr>
          <w:lang w:val="es-ES_tradnl"/>
        </w:rPr>
        <w:t xml:space="preserve">nta la forma de onda de la baliza </w:t>
      </w:r>
      <w:r w:rsidR="00C12341" w:rsidRPr="00FB75EB">
        <w:rPr>
          <w:lang w:val="es-ES_tradnl"/>
        </w:rPr>
        <w:t>y</w:t>
      </w:r>
      <w:r w:rsidRPr="00FB75EB">
        <w:rPr>
          <w:lang w:val="es-ES_tradnl"/>
        </w:rPr>
        <w:t xml:space="preserve"> las diversas p</w:t>
      </w:r>
      <w:r w:rsidR="00C12341" w:rsidRPr="00FB75EB">
        <w:rPr>
          <w:lang w:val="es-ES_tradnl"/>
        </w:rPr>
        <w:t>é</w:t>
      </w:r>
      <w:r w:rsidRPr="00FB75EB">
        <w:rPr>
          <w:lang w:val="es-ES_tradnl"/>
        </w:rPr>
        <w:t>rdidas.</w:t>
      </w:r>
    </w:p>
    <w:p w:rsidR="005275D3" w:rsidRPr="00FB75EB" w:rsidRDefault="005275D3" w:rsidP="006523FC">
      <w:pPr>
        <w:rPr>
          <w:lang w:val="es-ES_tradnl"/>
        </w:rPr>
      </w:pPr>
      <w:r w:rsidRPr="00FB75EB">
        <w:rPr>
          <w:lang w:val="es-ES_tradnl"/>
        </w:rPr>
        <w:t>Por</w:t>
      </w:r>
      <w:r w:rsidR="00C12341" w:rsidRPr="00FB75EB">
        <w:rPr>
          <w:lang w:val="es-ES_tradnl"/>
        </w:rPr>
        <w:t xml:space="preserve"> consiguiente, para lograr una B</w:t>
      </w:r>
      <w:r w:rsidRPr="00FB75EB">
        <w:rPr>
          <w:lang w:val="es-ES_tradnl"/>
        </w:rPr>
        <w:t xml:space="preserve">ER de 2 </w:t>
      </w:r>
      <w:r w:rsidR="006523FC">
        <w:rPr>
          <w:lang w:val="es-ES_tradnl"/>
        </w:rPr>
        <w:t>×</w:t>
      </w:r>
      <w:r w:rsidRPr="00FB75EB">
        <w:rPr>
          <w:lang w:val="es-ES_tradnl"/>
        </w:rPr>
        <w:t xml:space="preserve"> 10</w:t>
      </w:r>
      <w:r w:rsidR="007C17CB">
        <w:rPr>
          <w:vertAlign w:val="superscript"/>
          <w:lang w:val="es-ES_tradnl"/>
        </w:rPr>
        <w:t>–</w:t>
      </w:r>
      <w:r w:rsidR="00C12341" w:rsidRPr="00FB75EB">
        <w:rPr>
          <w:vertAlign w:val="superscript"/>
          <w:lang w:val="es-ES_tradnl"/>
        </w:rPr>
        <w:t>4</w:t>
      </w:r>
      <w:r w:rsidR="00FB623A" w:rsidRPr="006974C9">
        <w:rPr>
          <w:lang w:val="es-ES_tradnl"/>
        </w:rPr>
        <w:t xml:space="preserve"> </w:t>
      </w:r>
      <w:r w:rsidRPr="00FB75EB">
        <w:rPr>
          <w:lang w:val="es-ES_tradnl"/>
        </w:rPr>
        <w:t xml:space="preserve">que corresponde a una mínima </w:t>
      </w:r>
      <w:r w:rsidR="00C12341" w:rsidRPr="00FB75EB">
        <w:rPr>
          <w:i/>
          <w:iCs/>
          <w:lang w:val="es-ES_tradnl"/>
        </w:rPr>
        <w:t>E</w:t>
      </w:r>
      <w:r w:rsidR="00C12341" w:rsidRPr="00FB75EB">
        <w:rPr>
          <w:i/>
          <w:iCs/>
          <w:vertAlign w:val="subscript"/>
          <w:lang w:val="es-ES_tradnl"/>
        </w:rPr>
        <w:t>b</w:t>
      </w:r>
      <w:r w:rsidR="00C12341" w:rsidRPr="00FB75EB">
        <w:rPr>
          <w:lang w:val="es-ES_tradnl"/>
        </w:rPr>
        <w:t>/</w:t>
      </w:r>
      <w:r w:rsidR="00C12341" w:rsidRPr="00FB75EB">
        <w:rPr>
          <w:i/>
          <w:iCs/>
          <w:lang w:val="es-ES_tradnl"/>
        </w:rPr>
        <w:t>N</w:t>
      </w:r>
      <w:r w:rsidR="00C12341" w:rsidRPr="00FB75EB">
        <w:rPr>
          <w:vertAlign w:val="subscript"/>
          <w:lang w:val="es-ES_tradnl"/>
        </w:rPr>
        <w:t xml:space="preserve">0 </w:t>
      </w:r>
      <w:r w:rsidRPr="00FB75EB">
        <w:rPr>
          <w:lang w:val="es-ES_tradnl"/>
        </w:rPr>
        <w:t>de 8 dB, la máxima degradación aceptable es de 0,3 dB.</w:t>
      </w:r>
    </w:p>
    <w:p w:rsidR="005275D3" w:rsidRPr="00FB75EB" w:rsidRDefault="005275D3" w:rsidP="00FB623A">
      <w:pPr>
        <w:rPr>
          <w:lang w:val="es-ES_tradnl"/>
        </w:rPr>
      </w:pPr>
      <w:r w:rsidRPr="00FB75EB">
        <w:rPr>
          <w:lang w:val="es-ES_tradnl"/>
        </w:rPr>
        <w:t>A continuación se calcula el r</w:t>
      </w:r>
      <w:r w:rsidR="00C12341" w:rsidRPr="00FB75EB">
        <w:rPr>
          <w:lang w:val="es-ES_tradnl"/>
        </w:rPr>
        <w:t>uido aditivo correspondiente a un</w:t>
      </w:r>
      <w:r w:rsidRPr="00FB75EB">
        <w:rPr>
          <w:lang w:val="es-ES_tradnl"/>
        </w:rPr>
        <w:t>a degradación de 0,3 dB para la</w:t>
      </w:r>
      <w:r w:rsidR="007C17CB">
        <w:rPr>
          <w:lang w:val="es-ES_tradnl"/>
        </w:rPr>
        <w:t> </w:t>
      </w:r>
      <w:r w:rsidR="00C12341" w:rsidRPr="00FB75EB">
        <w:rPr>
          <w:i/>
          <w:iCs/>
          <w:lang w:val="es-ES_tradnl"/>
        </w:rPr>
        <w:t>C</w:t>
      </w:r>
      <w:r w:rsidR="00C12341" w:rsidRPr="00FB75EB">
        <w:rPr>
          <w:lang w:val="es-ES_tradnl"/>
        </w:rPr>
        <w:t>/</w:t>
      </w:r>
      <w:r w:rsidR="00C12341" w:rsidRPr="00FB75EB">
        <w:rPr>
          <w:i/>
          <w:iCs/>
          <w:lang w:val="es-ES_tradnl"/>
        </w:rPr>
        <w:t>N</w:t>
      </w:r>
      <w:r w:rsidR="00C12341" w:rsidRPr="00FB75EB">
        <w:rPr>
          <w:vertAlign w:val="subscript"/>
          <w:lang w:val="es-ES_tradnl"/>
        </w:rPr>
        <w:t>0</w:t>
      </w:r>
      <w:r w:rsidRPr="00FB75EB">
        <w:rPr>
          <w:lang w:val="es-ES_tradnl"/>
        </w:rPr>
        <w:t>. Se</w:t>
      </w:r>
      <w:r w:rsidR="00C12341" w:rsidRPr="00FB75EB">
        <w:rPr>
          <w:lang w:val="es-ES_tradnl"/>
        </w:rPr>
        <w:t>a</w:t>
      </w:r>
      <w:r w:rsidRPr="00FB75EB">
        <w:rPr>
          <w:lang w:val="es-ES_tradnl"/>
        </w:rPr>
        <w:t xml:space="preserve"> </w:t>
      </w:r>
      <w:r w:rsidR="00C12341" w:rsidRPr="00FB75EB">
        <w:rPr>
          <w:i/>
          <w:iCs/>
          <w:lang w:val="es-ES_tradnl"/>
        </w:rPr>
        <w:t>I</w:t>
      </w:r>
      <w:r w:rsidR="00C12341" w:rsidRPr="00FB75EB">
        <w:rPr>
          <w:vertAlign w:val="subscript"/>
          <w:lang w:val="es-ES_tradnl"/>
        </w:rPr>
        <w:t>0</w:t>
      </w:r>
      <w:r w:rsidRPr="00FB75EB">
        <w:rPr>
          <w:lang w:val="es-ES_tradnl"/>
        </w:rPr>
        <w:t xml:space="preserve"> la densidad de potencia del ruido aditivo</w:t>
      </w:r>
      <w:r w:rsidR="00C12341" w:rsidRPr="00FB75EB">
        <w:rPr>
          <w:lang w:val="es-ES_tradnl"/>
        </w:rPr>
        <w:t>.</w:t>
      </w:r>
      <w:r w:rsidRPr="00FB75EB">
        <w:rPr>
          <w:lang w:val="es-ES_tradnl"/>
        </w:rPr>
        <w:t xml:space="preserve"> </w:t>
      </w:r>
      <w:r w:rsidR="00C12341" w:rsidRPr="00FB75EB">
        <w:rPr>
          <w:lang w:val="es-ES_tradnl"/>
        </w:rPr>
        <w:t>E</w:t>
      </w:r>
      <w:r w:rsidRPr="00FB75EB">
        <w:rPr>
          <w:lang w:val="es-ES_tradnl"/>
        </w:rPr>
        <w:t xml:space="preserve">l ruido inicial </w:t>
      </w:r>
      <w:r w:rsidR="00C12341" w:rsidRPr="00FB75EB">
        <w:rPr>
          <w:i/>
          <w:iCs/>
          <w:lang w:val="es-ES_tradnl"/>
        </w:rPr>
        <w:t>N</w:t>
      </w:r>
      <w:r w:rsidR="00C12341" w:rsidRPr="00FB75EB">
        <w:rPr>
          <w:vertAlign w:val="subscript"/>
          <w:lang w:val="es-ES_tradnl"/>
        </w:rPr>
        <w:t>0</w:t>
      </w:r>
      <w:r w:rsidR="00C12341" w:rsidRPr="00FB75EB">
        <w:rPr>
          <w:lang w:val="es-ES_tradnl"/>
        </w:rPr>
        <w:t> </w:t>
      </w:r>
      <w:r w:rsidR="00243EB9" w:rsidRPr="00FB75EB">
        <w:rPr>
          <w:lang w:val="es-ES_tradnl"/>
        </w:rPr>
        <w:t xml:space="preserve"> pasa a ser</w:t>
      </w:r>
      <w:r w:rsidR="00243EB9" w:rsidRPr="00FB75EB">
        <w:rPr>
          <w:i/>
          <w:iCs/>
          <w:lang w:val="es-ES_tradnl"/>
        </w:rPr>
        <w:t xml:space="preserve"> N</w:t>
      </w:r>
      <w:r w:rsidR="00243EB9" w:rsidRPr="00FB75EB">
        <w:rPr>
          <w:vertAlign w:val="subscript"/>
          <w:lang w:val="es-ES_tradnl"/>
        </w:rPr>
        <w:t>0</w:t>
      </w:r>
      <w:r w:rsidR="00243EB9" w:rsidRPr="00FB75EB">
        <w:rPr>
          <w:lang w:val="es-ES_tradnl"/>
        </w:rPr>
        <w:t> + </w:t>
      </w:r>
      <w:r w:rsidR="00243EB9" w:rsidRPr="00FB75EB">
        <w:rPr>
          <w:i/>
          <w:iCs/>
          <w:lang w:val="es-ES_tradnl"/>
        </w:rPr>
        <w:t>I</w:t>
      </w:r>
      <w:r w:rsidR="00243EB9" w:rsidRPr="00FB75EB">
        <w:rPr>
          <w:vertAlign w:val="subscript"/>
          <w:lang w:val="es-ES_tradnl"/>
        </w:rPr>
        <w:t xml:space="preserve">0. </w:t>
      </w:r>
      <w:r w:rsidR="00243EB9" w:rsidRPr="00FB75EB">
        <w:rPr>
          <w:lang w:val="es-ES_tradnl"/>
        </w:rPr>
        <w:t>L</w:t>
      </w:r>
      <w:r w:rsidRPr="00FB75EB">
        <w:rPr>
          <w:lang w:val="es-ES_tradnl"/>
        </w:rPr>
        <w:t xml:space="preserve">a relación señal/ruido </w:t>
      </w:r>
      <w:r w:rsidR="00243EB9" w:rsidRPr="00FB75EB">
        <w:rPr>
          <w:i/>
          <w:iCs/>
          <w:lang w:val="es-ES_tradnl"/>
        </w:rPr>
        <w:t>C</w:t>
      </w:r>
      <w:r w:rsidR="00243EB9" w:rsidRPr="00FB75EB">
        <w:rPr>
          <w:lang w:val="es-ES_tradnl"/>
        </w:rPr>
        <w:t>/</w:t>
      </w:r>
      <w:r w:rsidR="00243EB9" w:rsidRPr="00FB75EB">
        <w:rPr>
          <w:i/>
          <w:iCs/>
          <w:lang w:val="es-ES_tradnl"/>
        </w:rPr>
        <w:t>N</w:t>
      </w:r>
      <w:r w:rsidR="00243EB9" w:rsidRPr="00FB75EB">
        <w:rPr>
          <w:vertAlign w:val="subscript"/>
          <w:lang w:val="es-ES_tradnl"/>
        </w:rPr>
        <w:t>0</w:t>
      </w:r>
      <w:r w:rsidR="00243EB9" w:rsidRPr="00FB75EB">
        <w:rPr>
          <w:lang w:val="es-ES_tradnl"/>
        </w:rPr>
        <w:t xml:space="preserve"> </w:t>
      </w:r>
      <w:r w:rsidRPr="00FB75EB">
        <w:rPr>
          <w:lang w:val="es-ES_tradnl"/>
        </w:rPr>
        <w:t>es</w:t>
      </w:r>
      <w:r w:rsidR="00243EB9" w:rsidRPr="00FB75EB">
        <w:rPr>
          <w:lang w:val="es-ES_tradnl"/>
        </w:rPr>
        <w:t xml:space="preserve"> </w:t>
      </w:r>
      <w:r w:rsidR="00243EB9" w:rsidRPr="00FB75EB">
        <w:rPr>
          <w:i/>
          <w:iCs/>
          <w:lang w:val="es-ES_tradnl"/>
        </w:rPr>
        <w:t>C</w:t>
      </w:r>
      <w:r w:rsidR="00243EB9" w:rsidRPr="00FB75EB">
        <w:rPr>
          <w:lang w:val="es-ES_tradnl"/>
        </w:rPr>
        <w:t>/(</w:t>
      </w:r>
      <w:r w:rsidR="00243EB9" w:rsidRPr="00FB75EB">
        <w:rPr>
          <w:i/>
          <w:iCs/>
          <w:lang w:val="es-ES_tradnl"/>
        </w:rPr>
        <w:t>N</w:t>
      </w:r>
      <w:r w:rsidR="00243EB9" w:rsidRPr="00FB75EB">
        <w:rPr>
          <w:vertAlign w:val="subscript"/>
          <w:lang w:val="es-ES_tradnl"/>
        </w:rPr>
        <w:t>0</w:t>
      </w:r>
      <w:r w:rsidR="00243EB9" w:rsidRPr="00FB75EB">
        <w:rPr>
          <w:lang w:val="es-ES_tradnl"/>
        </w:rPr>
        <w:t> + </w:t>
      </w:r>
      <w:r w:rsidR="00243EB9" w:rsidRPr="00FB75EB">
        <w:rPr>
          <w:i/>
          <w:iCs/>
          <w:lang w:val="es-ES_tradnl"/>
        </w:rPr>
        <w:t>I</w:t>
      </w:r>
      <w:r w:rsidR="00243EB9" w:rsidRPr="00FB75EB">
        <w:rPr>
          <w:vertAlign w:val="subscript"/>
          <w:lang w:val="es-ES_tradnl"/>
        </w:rPr>
        <w:t>0</w:t>
      </w:r>
      <w:r w:rsidR="00243EB9" w:rsidRPr="00FB75EB">
        <w:rPr>
          <w:lang w:val="es-ES_tradnl"/>
        </w:rPr>
        <w:t>)</w:t>
      </w:r>
      <w:r w:rsidRPr="00FB75EB">
        <w:rPr>
          <w:lang w:val="es-ES_tradnl"/>
        </w:rPr>
        <w:t xml:space="preserve">. La degradación es </w:t>
      </w:r>
      <w:r w:rsidR="00243EB9" w:rsidRPr="00FB75EB">
        <w:rPr>
          <w:lang w:val="es-ES_tradnl"/>
        </w:rPr>
        <w:t>0,3 dB = 10 log ((</w:t>
      </w:r>
      <w:r w:rsidR="00243EB9" w:rsidRPr="00FB75EB">
        <w:rPr>
          <w:i/>
          <w:iCs/>
          <w:lang w:val="es-ES_tradnl"/>
        </w:rPr>
        <w:t>C</w:t>
      </w:r>
      <w:r w:rsidR="00243EB9" w:rsidRPr="00FB75EB">
        <w:rPr>
          <w:lang w:val="es-ES_tradnl"/>
        </w:rPr>
        <w:t>/</w:t>
      </w:r>
      <w:r w:rsidR="00243EB9" w:rsidRPr="00FB75EB">
        <w:rPr>
          <w:i/>
          <w:iCs/>
          <w:lang w:val="es-ES_tradnl"/>
        </w:rPr>
        <w:t>N</w:t>
      </w:r>
      <w:r w:rsidR="00243EB9" w:rsidRPr="00FB75EB">
        <w:rPr>
          <w:vertAlign w:val="subscript"/>
          <w:lang w:val="es-ES_tradnl"/>
        </w:rPr>
        <w:t>0</w:t>
      </w:r>
      <w:r w:rsidR="00243EB9" w:rsidRPr="00FB75EB">
        <w:rPr>
          <w:lang w:val="es-ES_tradnl"/>
        </w:rPr>
        <w:t>)/(</w:t>
      </w:r>
      <w:r w:rsidR="00243EB9" w:rsidRPr="00FB75EB">
        <w:rPr>
          <w:i/>
          <w:iCs/>
          <w:lang w:val="es-ES_tradnl"/>
        </w:rPr>
        <w:t>C</w:t>
      </w:r>
      <w:r w:rsidR="00243EB9" w:rsidRPr="00FB75EB">
        <w:rPr>
          <w:lang w:val="es-ES_tradnl"/>
        </w:rPr>
        <w:t>/(</w:t>
      </w:r>
      <w:r w:rsidR="00243EB9" w:rsidRPr="00FB75EB">
        <w:rPr>
          <w:i/>
          <w:iCs/>
          <w:lang w:val="es-ES_tradnl"/>
        </w:rPr>
        <w:t>N</w:t>
      </w:r>
      <w:r w:rsidR="00243EB9" w:rsidRPr="00FB75EB">
        <w:rPr>
          <w:vertAlign w:val="subscript"/>
          <w:lang w:val="es-ES_tradnl"/>
        </w:rPr>
        <w:t>0</w:t>
      </w:r>
      <w:r w:rsidR="00243EB9" w:rsidRPr="00FB75EB">
        <w:rPr>
          <w:lang w:val="es-ES_tradnl"/>
        </w:rPr>
        <w:t> + </w:t>
      </w:r>
      <w:r w:rsidR="00243EB9" w:rsidRPr="00FB75EB">
        <w:rPr>
          <w:i/>
          <w:iCs/>
          <w:lang w:val="es-ES_tradnl"/>
        </w:rPr>
        <w:t>I</w:t>
      </w:r>
      <w:r w:rsidR="00243EB9" w:rsidRPr="00FB75EB">
        <w:rPr>
          <w:vertAlign w:val="subscript"/>
          <w:lang w:val="es-ES_tradnl"/>
        </w:rPr>
        <w:t>0</w:t>
      </w:r>
      <w:r w:rsidR="00243EB9" w:rsidRPr="00FB75EB">
        <w:rPr>
          <w:lang w:val="es-ES_tradnl"/>
        </w:rPr>
        <w:t xml:space="preserve">))), por tanto </w:t>
      </w:r>
      <w:r w:rsidR="00243EB9" w:rsidRPr="00FB75EB">
        <w:rPr>
          <w:i/>
          <w:iCs/>
          <w:lang w:val="es-ES_tradnl"/>
        </w:rPr>
        <w:t>I</w:t>
      </w:r>
      <w:r w:rsidR="00243EB9" w:rsidRPr="00FB75EB">
        <w:rPr>
          <w:vertAlign w:val="subscript"/>
          <w:lang w:val="es-ES_tradnl"/>
        </w:rPr>
        <w:t>0</w:t>
      </w:r>
      <w:r w:rsidR="00243EB9" w:rsidRPr="00FB75EB">
        <w:rPr>
          <w:rFonts w:ascii="Tms Rmn" w:hAnsi="Tms Rmn"/>
          <w:position w:val="-4"/>
          <w:sz w:val="4"/>
          <w:lang w:val="es-ES_tradnl"/>
        </w:rPr>
        <w:t> </w:t>
      </w:r>
      <w:r w:rsidR="00243EB9" w:rsidRPr="00FB75EB">
        <w:rPr>
          <w:lang w:val="es-ES_tradnl"/>
        </w:rPr>
        <w:t>/</w:t>
      </w:r>
      <w:r w:rsidR="00243EB9" w:rsidRPr="00FB75EB">
        <w:rPr>
          <w:i/>
          <w:iCs/>
          <w:lang w:val="es-ES_tradnl"/>
        </w:rPr>
        <w:t>N</w:t>
      </w:r>
      <w:r w:rsidR="00243EB9" w:rsidRPr="00FB75EB">
        <w:rPr>
          <w:vertAlign w:val="subscript"/>
          <w:lang w:val="es-ES_tradnl"/>
        </w:rPr>
        <w:t>0</w:t>
      </w:r>
      <w:r w:rsidR="00243EB9" w:rsidRPr="00FB75EB">
        <w:rPr>
          <w:lang w:val="es-ES_tradnl"/>
        </w:rPr>
        <w:t xml:space="preserve"> = –11,5 dB y </w:t>
      </w:r>
      <w:r w:rsidR="00243EB9" w:rsidRPr="00FB75EB">
        <w:rPr>
          <w:i/>
          <w:iCs/>
          <w:lang w:val="es-ES_tradnl"/>
        </w:rPr>
        <w:t>I</w:t>
      </w:r>
      <w:r w:rsidR="00243EB9" w:rsidRPr="00FB75EB">
        <w:rPr>
          <w:vertAlign w:val="subscript"/>
          <w:lang w:val="es-ES_tradnl"/>
        </w:rPr>
        <w:t>0</w:t>
      </w:r>
      <w:r w:rsidR="00243EB9" w:rsidRPr="00FB75EB">
        <w:rPr>
          <w:lang w:val="es-ES_tradnl"/>
        </w:rPr>
        <w:t xml:space="preserve"> = –209,3 dB(W/Hz), q</w:t>
      </w:r>
      <w:r w:rsidRPr="00FB75EB">
        <w:rPr>
          <w:lang w:val="es-ES_tradnl"/>
        </w:rPr>
        <w:t>ue corresponde a una temperatura de 86 K y</w:t>
      </w:r>
      <w:r w:rsidR="00243EB9" w:rsidRPr="00FB75EB">
        <w:rPr>
          <w:lang w:val="es-ES_tradnl"/>
        </w:rPr>
        <w:t>,</w:t>
      </w:r>
      <w:r w:rsidRPr="00FB75EB">
        <w:rPr>
          <w:lang w:val="es-ES_tradnl"/>
        </w:rPr>
        <w:t xml:space="preserve"> por tanto</w:t>
      </w:r>
      <w:r w:rsidR="00243EB9" w:rsidRPr="00FB75EB">
        <w:rPr>
          <w:lang w:val="es-ES_tradnl"/>
        </w:rPr>
        <w:t>,</w:t>
      </w:r>
      <w:r w:rsidRPr="00FB75EB">
        <w:rPr>
          <w:lang w:val="es-ES_tradnl"/>
        </w:rPr>
        <w:t xml:space="preserve"> a un incremento de la temperatura de ruido del sistema </w:t>
      </w:r>
      <w:r w:rsidR="00243EB9" w:rsidRPr="00FB75EB">
        <w:rPr>
          <w:lang w:val="es-ES_tradnl"/>
        </w:rPr>
        <w:t>del 7</w:t>
      </w:r>
      <w:r w:rsidR="00FB623A">
        <w:rPr>
          <w:lang w:val="es-ES_tradnl"/>
        </w:rPr>
        <w:t>%</w:t>
      </w:r>
      <w:r w:rsidR="00243EB9" w:rsidRPr="00FB75EB">
        <w:rPr>
          <w:lang w:val="es-ES_tradnl"/>
        </w:rPr>
        <w:t xml:space="preserve"> </w:t>
      </w:r>
      <w:r w:rsidRPr="00FB75EB">
        <w:rPr>
          <w:lang w:val="es-ES_tradnl"/>
        </w:rPr>
        <w:t xml:space="preserve">a la entrada del receptor. En consecuencia, el máximo nivel admisible de densidad de ruido es </w:t>
      </w:r>
      <w:r w:rsidR="00243EB9" w:rsidRPr="00FB75EB">
        <w:rPr>
          <w:i/>
          <w:iCs/>
          <w:lang w:val="es-ES_tradnl"/>
        </w:rPr>
        <w:t>I</w:t>
      </w:r>
      <w:r w:rsidR="00243EB9" w:rsidRPr="00FB75EB">
        <w:rPr>
          <w:vertAlign w:val="subscript"/>
          <w:lang w:val="es-ES_tradnl"/>
        </w:rPr>
        <w:t>0</w:t>
      </w:r>
      <w:r w:rsidR="00243EB9" w:rsidRPr="00FB75EB">
        <w:rPr>
          <w:lang w:val="es-ES_tradnl"/>
        </w:rPr>
        <w:t> = –209,3 dB(W/Hz).</w:t>
      </w:r>
    </w:p>
    <w:p w:rsidR="005275D3" w:rsidRDefault="005275D3" w:rsidP="0094443B">
      <w:pPr>
        <w:rPr>
          <w:lang w:val="es-ES_tradnl"/>
        </w:rPr>
      </w:pPr>
      <w:r w:rsidRPr="00FB75EB">
        <w:rPr>
          <w:lang w:val="es-ES_tradnl"/>
        </w:rPr>
        <w:t>Como se ha indicad</w:t>
      </w:r>
      <w:r w:rsidR="00243EB9" w:rsidRPr="00FB75EB">
        <w:rPr>
          <w:lang w:val="es-ES_tradnl"/>
        </w:rPr>
        <w:t xml:space="preserve">o antes, la densidad de ruido, </w:t>
      </w:r>
      <w:r w:rsidR="00243EB9" w:rsidRPr="00FB75EB">
        <w:rPr>
          <w:i/>
          <w:iCs/>
          <w:lang w:val="es-ES_tradnl"/>
        </w:rPr>
        <w:t>I</w:t>
      </w:r>
      <w:r w:rsidR="00243EB9" w:rsidRPr="00FB75EB">
        <w:rPr>
          <w:vertAlign w:val="subscript"/>
          <w:lang w:val="es-ES_tradnl"/>
        </w:rPr>
        <w:t>0</w:t>
      </w:r>
      <w:r w:rsidR="00243EB9" w:rsidRPr="00FB75EB">
        <w:rPr>
          <w:lang w:val="es-ES_tradnl"/>
        </w:rPr>
        <w:t xml:space="preserve"> </w:t>
      </w:r>
      <w:r w:rsidRPr="00FB75EB">
        <w:rPr>
          <w:lang w:val="es-ES_tradnl"/>
        </w:rPr>
        <w:t>, tiene en cu</w:t>
      </w:r>
      <w:r w:rsidR="00243EB9" w:rsidRPr="00FB75EB">
        <w:rPr>
          <w:lang w:val="es-ES_tradnl"/>
        </w:rPr>
        <w:t>e</w:t>
      </w:r>
      <w:r w:rsidRPr="00FB75EB">
        <w:rPr>
          <w:lang w:val="es-ES_tradnl"/>
        </w:rPr>
        <w:t>nta la atenuación y la ganancia de antena. Como se necesita la d</w:t>
      </w:r>
      <w:r w:rsidR="0094443B">
        <w:rPr>
          <w:lang w:val="es-ES_tradnl"/>
        </w:rPr>
        <w:t>ef</w:t>
      </w:r>
      <w:r w:rsidRPr="00FB75EB">
        <w:rPr>
          <w:lang w:val="es-ES_tradnl"/>
        </w:rPr>
        <w:t>p es preciso transformar esta cifra en dB(W/(m</w:t>
      </w:r>
      <w:r w:rsidR="00243EB9" w:rsidRPr="00FB75EB">
        <w:rPr>
          <w:vertAlign w:val="superscript"/>
          <w:lang w:val="es-ES_tradnl"/>
        </w:rPr>
        <w:t>2</w:t>
      </w:r>
      <w:r w:rsidR="00FB623A" w:rsidRPr="00FB623A">
        <w:rPr>
          <w:sz w:val="16"/>
          <w:szCs w:val="16"/>
          <w:lang w:val="es-ES_tradnl"/>
        </w:rPr>
        <w:t> </w:t>
      </w:r>
      <w:r w:rsidR="00243EB9" w:rsidRPr="00FB75EB">
        <w:rPr>
          <w:lang w:val="es-ES_tradnl"/>
        </w:rPr>
        <w:t>·</w:t>
      </w:r>
      <w:r w:rsidR="00FB623A" w:rsidRPr="00FB623A">
        <w:rPr>
          <w:sz w:val="16"/>
          <w:szCs w:val="16"/>
          <w:lang w:val="es-ES_tradnl"/>
        </w:rPr>
        <w:t> </w:t>
      </w:r>
      <w:r w:rsidRPr="00FB75EB">
        <w:rPr>
          <w:lang w:val="es-ES_tradnl"/>
        </w:rPr>
        <w:t xml:space="preserve">Hz)). El área de la superficie equivalente de una antena de ganancia </w:t>
      </w:r>
      <w:r w:rsidRPr="00FB623A">
        <w:rPr>
          <w:i/>
          <w:iCs/>
          <w:lang w:val="es-ES_tradnl"/>
        </w:rPr>
        <w:t>G</w:t>
      </w:r>
      <w:r w:rsidRPr="00FB75EB">
        <w:rPr>
          <w:lang w:val="es-ES_tradnl"/>
        </w:rPr>
        <w:t xml:space="preserve"> es</w:t>
      </w:r>
      <w:r w:rsidR="00243EB9" w:rsidRPr="00FB75EB">
        <w:rPr>
          <w:lang w:val="es-ES_tradnl"/>
        </w:rPr>
        <w:t>:</w:t>
      </w:r>
    </w:p>
    <w:p w:rsidR="007C17CB" w:rsidRPr="006974C9" w:rsidRDefault="007C17CB" w:rsidP="007C17CB">
      <w:pPr>
        <w:pStyle w:val="Blanc"/>
        <w:rPr>
          <w:lang w:val="es-ES_tradnl"/>
        </w:rPr>
      </w:pPr>
    </w:p>
    <w:p w:rsidR="00243EB9" w:rsidRPr="00FB75EB" w:rsidRDefault="00243EB9" w:rsidP="00243EB9">
      <w:pPr>
        <w:pStyle w:val="Equation"/>
        <w:rPr>
          <w:lang w:val="es-ES_tradnl"/>
        </w:rPr>
      </w:pPr>
      <w:r w:rsidRPr="00FB75EB">
        <w:rPr>
          <w:lang w:val="es-ES_tradnl"/>
        </w:rPr>
        <w:tab/>
      </w:r>
      <w:r w:rsidRPr="00FB75EB">
        <w:rPr>
          <w:lang w:val="es-ES_tradnl"/>
        </w:rPr>
        <w:tab/>
      </w:r>
      <w:r w:rsidRPr="00FB75EB">
        <w:rPr>
          <w:position w:val="-24"/>
          <w:lang w:val="es-ES_tradnl"/>
        </w:rPr>
        <w:object w:dxaOrig="910" w:dyaOrig="8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5pt;height:42.5pt" o:ole="">
            <v:imagedata r:id="rId14" o:title=""/>
          </v:shape>
          <o:OLEObject Type="Embed" ProgID="Equation.3" ShapeID="_x0000_i1025" DrawAspect="Content" ObjectID="_1475925538" r:id="rId15"/>
        </w:object>
      </w:r>
    </w:p>
    <w:p w:rsidR="00243EB9" w:rsidRPr="00FB75EB" w:rsidRDefault="00243EB9" w:rsidP="00FB623A">
      <w:pPr>
        <w:rPr>
          <w:lang w:val="es-ES_tradnl"/>
        </w:rPr>
      </w:pPr>
      <w:r w:rsidRPr="00FB75EB">
        <w:rPr>
          <w:lang w:val="es-ES_tradnl"/>
        </w:rPr>
        <w:t>Teniendo en cuenta el ángulo de nadir del satélite más elevado (62º), l</w:t>
      </w:r>
      <w:r w:rsidR="008327F0" w:rsidRPr="00FB75EB">
        <w:rPr>
          <w:lang w:val="es-ES_tradnl"/>
        </w:rPr>
        <w:t>a superficie de la antena es 0,105 m</w:t>
      </w:r>
      <w:r w:rsidR="008327F0" w:rsidRPr="00FB75EB">
        <w:rPr>
          <w:vertAlign w:val="superscript"/>
          <w:lang w:val="es-ES_tradnl"/>
        </w:rPr>
        <w:t>2</w:t>
      </w:r>
      <w:r w:rsidR="008327F0" w:rsidRPr="00FB75EB">
        <w:rPr>
          <w:lang w:val="es-ES_tradnl"/>
        </w:rPr>
        <w:t xml:space="preserve"> </w:t>
      </w:r>
      <w:r w:rsidRPr="00FB75EB">
        <w:rPr>
          <w:lang w:val="es-ES_tradnl"/>
        </w:rPr>
        <w:t xml:space="preserve">o </w:t>
      </w:r>
      <w:r w:rsidR="006523FC">
        <w:rPr>
          <w:lang w:val="es-ES_tradnl"/>
        </w:rPr>
        <w:t>–</w:t>
      </w:r>
      <w:r w:rsidRPr="00FB75EB">
        <w:rPr>
          <w:lang w:val="es-ES_tradnl"/>
        </w:rPr>
        <w:t xml:space="preserve">9,8 </w:t>
      </w:r>
      <w:r w:rsidR="008327F0" w:rsidRPr="00FB75EB">
        <w:rPr>
          <w:lang w:val="es-ES_tradnl"/>
        </w:rPr>
        <w:t xml:space="preserve">dB </w:t>
      </w:r>
      <w:r w:rsidRPr="00FB75EB">
        <w:rPr>
          <w:lang w:val="es-ES_tradnl"/>
        </w:rPr>
        <w:t>m</w:t>
      </w:r>
      <w:r w:rsidR="008327F0" w:rsidRPr="00FB75EB">
        <w:rPr>
          <w:vertAlign w:val="superscript"/>
          <w:lang w:val="es-ES_tradnl"/>
        </w:rPr>
        <w:t>2</w:t>
      </w:r>
      <w:r w:rsidRPr="00FB75EB">
        <w:rPr>
          <w:lang w:val="es-ES_tradnl"/>
        </w:rPr>
        <w:t>. Entonces, la correspondiente defp</w:t>
      </w:r>
      <w:r w:rsidR="008327F0" w:rsidRPr="00FB75EB">
        <w:rPr>
          <w:lang w:val="es-ES_tradnl"/>
        </w:rPr>
        <w:t xml:space="preserve"> es –209,3 + 1,6 (pérdidas) – 10 log</w:t>
      </w:r>
      <w:r w:rsidR="008327F0" w:rsidRPr="00FB75EB">
        <w:rPr>
          <w:vertAlign w:val="subscript"/>
          <w:lang w:val="es-ES_tradnl"/>
        </w:rPr>
        <w:t>10</w:t>
      </w:r>
      <w:r w:rsidR="008327F0" w:rsidRPr="00FB75EB">
        <w:rPr>
          <w:lang w:val="es-ES_tradnl"/>
        </w:rPr>
        <w:t xml:space="preserve"> </w:t>
      </w:r>
      <w:r w:rsidR="008327F0" w:rsidRPr="00FB75EB">
        <w:rPr>
          <w:i/>
          <w:iCs/>
          <w:lang w:val="es-ES_tradnl"/>
        </w:rPr>
        <w:t>S</w:t>
      </w:r>
      <w:r w:rsidR="007C17CB">
        <w:rPr>
          <w:lang w:val="es-ES_tradnl"/>
        </w:rPr>
        <w:t> </w:t>
      </w:r>
      <w:r w:rsidR="008327F0" w:rsidRPr="00FB75EB">
        <w:rPr>
          <w:lang w:val="es-ES_tradnl"/>
        </w:rPr>
        <w:t>=</w:t>
      </w:r>
      <w:r w:rsidR="007C17CB">
        <w:rPr>
          <w:lang w:val="es-ES_tradnl"/>
        </w:rPr>
        <w:t> </w:t>
      </w:r>
      <w:r w:rsidR="007C17CB">
        <w:rPr>
          <w:lang w:val="es-ES_tradnl"/>
        </w:rPr>
        <w:sym w:font="Symbol" w:char="F02D"/>
      </w:r>
      <w:r w:rsidR="008327F0" w:rsidRPr="00FB75EB">
        <w:rPr>
          <w:lang w:val="es-ES_tradnl"/>
        </w:rPr>
        <w:t>197,9 dB(W/(m</w:t>
      </w:r>
      <w:r w:rsidR="008327F0" w:rsidRPr="00FB75EB">
        <w:rPr>
          <w:vertAlign w:val="superscript"/>
          <w:lang w:val="es-ES_tradnl"/>
        </w:rPr>
        <w:t>2</w:t>
      </w:r>
      <w:r w:rsidR="00FB623A" w:rsidRPr="00FB623A">
        <w:rPr>
          <w:sz w:val="16"/>
          <w:szCs w:val="16"/>
          <w:lang w:val="es-ES_tradnl"/>
        </w:rPr>
        <w:t> </w:t>
      </w:r>
      <w:r w:rsidR="008327F0" w:rsidRPr="00FB75EB">
        <w:rPr>
          <w:lang w:val="es-ES_tradnl"/>
        </w:rPr>
        <w:t>·</w:t>
      </w:r>
      <w:r w:rsidR="00FB623A" w:rsidRPr="00FB623A">
        <w:rPr>
          <w:sz w:val="16"/>
          <w:szCs w:val="16"/>
          <w:lang w:val="es-ES_tradnl"/>
        </w:rPr>
        <w:t> </w:t>
      </w:r>
      <w:r w:rsidR="008327F0" w:rsidRPr="00FB75EB">
        <w:rPr>
          <w:lang w:val="es-ES_tradnl"/>
        </w:rPr>
        <w:t>Hz)).</w:t>
      </w:r>
    </w:p>
    <w:p w:rsidR="00243EB9" w:rsidRPr="00FB75EB" w:rsidRDefault="00243EB9" w:rsidP="004E5043">
      <w:pPr>
        <w:rPr>
          <w:lang w:val="es-ES_tradnl"/>
        </w:rPr>
      </w:pPr>
      <w:r w:rsidRPr="00FB75EB">
        <w:rPr>
          <w:lang w:val="es-ES_tradnl"/>
        </w:rPr>
        <w:t xml:space="preserve">El máximo nivel de interferencia de ruido de banda ancha en la banda 399,9-400,05 MHz no debe rebasar el valor de </w:t>
      </w:r>
      <w:r w:rsidR="007C17CB">
        <w:rPr>
          <w:lang w:val="es-ES_tradnl"/>
        </w:rPr>
        <w:t>–</w:t>
      </w:r>
      <w:r w:rsidRPr="00FB75EB">
        <w:rPr>
          <w:lang w:val="es-ES_tradnl"/>
        </w:rPr>
        <w:t>197,9 dB(W/(m</w:t>
      </w:r>
      <w:r w:rsidRPr="00FB75EB">
        <w:rPr>
          <w:vertAlign w:val="superscript"/>
          <w:lang w:val="es-ES_tradnl"/>
        </w:rPr>
        <w:t>2</w:t>
      </w:r>
      <w:r w:rsidR="0017347C" w:rsidRPr="00FB623A">
        <w:rPr>
          <w:sz w:val="16"/>
          <w:szCs w:val="16"/>
          <w:lang w:val="es-ES_tradnl"/>
        </w:rPr>
        <w:t> </w:t>
      </w:r>
      <w:r w:rsidR="0017347C" w:rsidRPr="00FB75EB">
        <w:rPr>
          <w:lang w:val="es-ES_tradnl"/>
        </w:rPr>
        <w:t>·</w:t>
      </w:r>
      <w:r w:rsidR="0017347C" w:rsidRPr="00FB623A">
        <w:rPr>
          <w:sz w:val="16"/>
          <w:szCs w:val="16"/>
          <w:lang w:val="es-ES_tradnl"/>
        </w:rPr>
        <w:t> </w:t>
      </w:r>
      <w:r w:rsidRPr="00FB75EB">
        <w:rPr>
          <w:lang w:val="es-ES_tradnl"/>
        </w:rPr>
        <w:t>Hz)) para proteger el sistema ARGOS4.</w:t>
      </w:r>
    </w:p>
    <w:p w:rsidR="00243EB9" w:rsidRPr="00FB75EB" w:rsidRDefault="00243EB9" w:rsidP="008327F0">
      <w:pPr>
        <w:rPr>
          <w:lang w:val="es-ES_tradnl"/>
        </w:rPr>
      </w:pPr>
      <w:r w:rsidRPr="00FB75EB">
        <w:rPr>
          <w:lang w:val="es-ES_tradnl"/>
        </w:rPr>
        <w:t>Normalmente, la anchura de banda de transmisión del ARGOS4 es de 1</w:t>
      </w:r>
      <w:r w:rsidRPr="0017347C">
        <w:rPr>
          <w:sz w:val="16"/>
          <w:szCs w:val="16"/>
          <w:lang w:val="es-ES_tradnl"/>
        </w:rPr>
        <w:t> </w:t>
      </w:r>
      <w:r w:rsidRPr="00FB75EB">
        <w:rPr>
          <w:lang w:val="es-ES_tradnl"/>
        </w:rPr>
        <w:t>600 Hz. Por tanto, el correspondiente límite de dfp es</w:t>
      </w:r>
      <w:r w:rsidR="008327F0" w:rsidRPr="00FB75EB">
        <w:rPr>
          <w:lang w:val="es-ES_tradnl"/>
        </w:rPr>
        <w:t xml:space="preserve"> –165,8 dB(W/m</w:t>
      </w:r>
      <w:r w:rsidR="008327F0" w:rsidRPr="00FB75EB">
        <w:rPr>
          <w:vertAlign w:val="superscript"/>
          <w:lang w:val="es-ES_tradnl"/>
        </w:rPr>
        <w:t>2</w:t>
      </w:r>
      <w:r w:rsidR="008327F0" w:rsidRPr="00FB75EB">
        <w:rPr>
          <w:lang w:val="es-ES_tradnl"/>
        </w:rPr>
        <w:t>).</w:t>
      </w:r>
    </w:p>
    <w:p w:rsidR="00243EB9" w:rsidRPr="00FB75EB" w:rsidRDefault="00243EB9" w:rsidP="00932E58">
      <w:pPr>
        <w:pStyle w:val="Heading2"/>
        <w:rPr>
          <w:lang w:val="es-ES_tradnl"/>
        </w:rPr>
      </w:pPr>
      <w:r w:rsidRPr="00FB75EB">
        <w:rPr>
          <w:lang w:val="es-ES_tradnl"/>
        </w:rPr>
        <w:lastRenderedPageBreak/>
        <w:t>2.2</w:t>
      </w:r>
      <w:r w:rsidRPr="00FB75EB">
        <w:rPr>
          <w:lang w:val="es-ES_tradnl"/>
        </w:rPr>
        <w:tab/>
        <w:t>Obtención de los objetivos de calidad de funcionamiento</w:t>
      </w:r>
    </w:p>
    <w:p w:rsidR="008327F0" w:rsidRPr="00FB75EB" w:rsidRDefault="003E09ED" w:rsidP="003E09ED">
      <w:pPr>
        <w:rPr>
          <w:lang w:val="es-ES_tradnl"/>
        </w:rPr>
      </w:pPr>
      <w:r>
        <w:rPr>
          <w:lang w:val="es-ES_tradnl"/>
        </w:rPr>
        <w:t xml:space="preserve">La Recomendación UIT-R M.1475 – </w:t>
      </w:r>
      <w:r w:rsidR="008327F0" w:rsidRPr="00FB75EB">
        <w:rPr>
          <w:lang w:val="es-ES_tradnl"/>
        </w:rPr>
        <w:t xml:space="preserve">Metodología para derivar los objetivos de calidad para los sistemas del servicio móvil </w:t>
      </w:r>
      <w:r w:rsidR="00815E97" w:rsidRPr="00FB75EB">
        <w:rPr>
          <w:lang w:val="es-ES_tradnl"/>
        </w:rPr>
        <w:t>p</w:t>
      </w:r>
      <w:r w:rsidR="008327F0" w:rsidRPr="00FB75EB">
        <w:rPr>
          <w:lang w:val="es-ES_tradnl"/>
        </w:rPr>
        <w:t>o</w:t>
      </w:r>
      <w:r w:rsidR="00815E97" w:rsidRPr="00FB75EB">
        <w:rPr>
          <w:lang w:val="es-ES_tradnl"/>
        </w:rPr>
        <w:t>r</w:t>
      </w:r>
      <w:r w:rsidR="008327F0" w:rsidRPr="00FB75EB">
        <w:rPr>
          <w:lang w:val="es-ES_tradnl"/>
        </w:rPr>
        <w:t xml:space="preserve"> satélite no geoestacionario que funciona en la banda 1-3 GHz sin utilización de diversidad de satélites, proporciona un método para calcular los márgenes de tiempo de indisponibilidad para los enlaces de servicio y los enlaces de conexión.</w:t>
      </w:r>
    </w:p>
    <w:p w:rsidR="008327F0" w:rsidRPr="00FB75EB" w:rsidRDefault="008327F0" w:rsidP="008F429D">
      <w:pPr>
        <w:rPr>
          <w:lang w:val="es-ES_tradnl"/>
        </w:rPr>
      </w:pPr>
      <w:r w:rsidRPr="00FB75EB">
        <w:rPr>
          <w:lang w:val="es-ES_tradnl"/>
        </w:rPr>
        <w:t>Para el enlace de</w:t>
      </w:r>
      <w:r w:rsidR="00815E97" w:rsidRPr="00FB75EB">
        <w:rPr>
          <w:lang w:val="es-ES_tradnl"/>
        </w:rPr>
        <w:t xml:space="preserve"> servicio, se propone que los má</w:t>
      </w:r>
      <w:r w:rsidRPr="00FB75EB">
        <w:rPr>
          <w:lang w:val="es-ES_tradnl"/>
        </w:rPr>
        <w:t>rgen</w:t>
      </w:r>
      <w:r w:rsidR="00815E97" w:rsidRPr="00FB75EB">
        <w:rPr>
          <w:lang w:val="es-ES_tradnl"/>
        </w:rPr>
        <w:t>es</w:t>
      </w:r>
      <w:r w:rsidRPr="00FB75EB">
        <w:rPr>
          <w:lang w:val="es-ES_tradnl"/>
        </w:rPr>
        <w:t xml:space="preserve"> de tiempo de indisponibilidad no sean superiores a 0,9 </w:t>
      </w:r>
      <w:r w:rsidRPr="00295D4F">
        <w:rPr>
          <w:i/>
          <w:iCs/>
          <w:lang w:val="es-ES_tradnl"/>
        </w:rPr>
        <w:t>X</w:t>
      </w:r>
      <w:r w:rsidRPr="00FB75EB">
        <w:rPr>
          <w:lang w:val="es-ES_tradnl"/>
        </w:rPr>
        <w:t xml:space="preserve"> (%)</w:t>
      </w:r>
      <w:r w:rsidR="00815E97" w:rsidRPr="00FB75EB">
        <w:rPr>
          <w:lang w:val="es-ES_tradnl"/>
        </w:rPr>
        <w:t xml:space="preserve">, siendo </w:t>
      </w:r>
      <w:r w:rsidR="00815E97" w:rsidRPr="00295D4F">
        <w:rPr>
          <w:i/>
          <w:iCs/>
          <w:lang w:val="es-ES_tradnl"/>
        </w:rPr>
        <w:t>X</w:t>
      </w:r>
      <w:r w:rsidR="00815E97" w:rsidRPr="00FB75EB">
        <w:rPr>
          <w:lang w:val="es-ES_tradnl"/>
        </w:rPr>
        <w:t xml:space="preserve"> la B</w:t>
      </w:r>
      <w:r w:rsidRPr="00FB75EB">
        <w:rPr>
          <w:lang w:val="es-ES_tradnl"/>
        </w:rPr>
        <w:t>ER en % (por ejemplo</w:t>
      </w:r>
      <w:r w:rsidR="008F429D">
        <w:rPr>
          <w:lang w:val="es-ES_tradnl"/>
        </w:rPr>
        <w:t>,</w:t>
      </w:r>
      <w:r w:rsidRPr="00FB75EB">
        <w:rPr>
          <w:lang w:val="es-ES_tradnl"/>
        </w:rPr>
        <w:t xml:space="preserve"> 0,1%; 1%, 10%, etc.) de un enlace determinado el SMS no OSG. Como el l</w:t>
      </w:r>
      <w:r w:rsidR="005317D3">
        <w:rPr>
          <w:lang w:val="es-ES_tradnl"/>
        </w:rPr>
        <w:t>í</w:t>
      </w:r>
      <w:r w:rsidRPr="00FB75EB">
        <w:rPr>
          <w:lang w:val="es-ES_tradnl"/>
        </w:rPr>
        <w:t xml:space="preserve">mite propuesto de la dfp se basa en una </w:t>
      </w:r>
      <w:r w:rsidR="00815E97" w:rsidRPr="00FB75EB">
        <w:rPr>
          <w:lang w:val="es-ES_tradnl"/>
        </w:rPr>
        <w:t>B</w:t>
      </w:r>
      <w:r w:rsidRPr="00FB75EB">
        <w:rPr>
          <w:lang w:val="es-ES_tradnl"/>
        </w:rPr>
        <w:t xml:space="preserve">ER </w:t>
      </w:r>
      <w:r w:rsidR="005317D3">
        <w:rPr>
          <w:lang w:val="es-ES_tradnl"/>
        </w:rPr>
        <w:t>d</w:t>
      </w:r>
      <w:r w:rsidRPr="00FB75EB">
        <w:rPr>
          <w:lang w:val="es-ES_tradnl"/>
        </w:rPr>
        <w:t xml:space="preserve">e 2 </w:t>
      </w:r>
      <w:r w:rsidR="005317D3">
        <w:rPr>
          <w:lang w:val="es-ES_tradnl"/>
        </w:rPr>
        <w:t>×</w:t>
      </w:r>
      <w:r w:rsidRPr="00FB75EB">
        <w:rPr>
          <w:lang w:val="es-ES_tradnl"/>
        </w:rPr>
        <w:t xml:space="preserve"> 10</w:t>
      </w:r>
      <w:r w:rsidR="005317D3">
        <w:rPr>
          <w:vertAlign w:val="superscript"/>
          <w:lang w:val="es-ES_tradnl"/>
        </w:rPr>
        <w:t>–</w:t>
      </w:r>
      <w:r w:rsidR="00815E97" w:rsidRPr="00FB75EB">
        <w:rPr>
          <w:vertAlign w:val="superscript"/>
          <w:lang w:val="es-ES_tradnl"/>
        </w:rPr>
        <w:t>4</w:t>
      </w:r>
      <w:r w:rsidR="008F429D" w:rsidRPr="008F429D">
        <w:rPr>
          <w:lang w:val="es-ES_tradnl"/>
        </w:rPr>
        <w:t xml:space="preserve">, </w:t>
      </w:r>
      <w:r w:rsidRPr="00FB75EB">
        <w:rPr>
          <w:lang w:val="es-ES_tradnl"/>
        </w:rPr>
        <w:t xml:space="preserve">ello implica que los márgenes de tiempo de indisponibilidad no deben rebasar el valor de 1,8 </w:t>
      </w:r>
      <w:r w:rsidR="005317D3">
        <w:rPr>
          <w:lang w:val="es-ES_tradnl"/>
        </w:rPr>
        <w:t>×</w:t>
      </w:r>
      <w:r w:rsidRPr="00FB75EB">
        <w:rPr>
          <w:lang w:val="es-ES_tradnl"/>
        </w:rPr>
        <w:t xml:space="preserve"> 10</w:t>
      </w:r>
      <w:r w:rsidR="005317D3">
        <w:rPr>
          <w:vertAlign w:val="superscript"/>
          <w:lang w:val="es-ES_tradnl"/>
        </w:rPr>
        <w:sym w:font="Symbol" w:char="F02D"/>
      </w:r>
      <w:r w:rsidR="00815E97" w:rsidRPr="00FB75EB">
        <w:rPr>
          <w:vertAlign w:val="superscript"/>
          <w:lang w:val="es-ES_tradnl"/>
        </w:rPr>
        <w:t>2</w:t>
      </w:r>
      <w:r w:rsidRPr="00FB75EB">
        <w:rPr>
          <w:lang w:val="es-ES_tradnl"/>
        </w:rPr>
        <w:t xml:space="preserve">%. Por tanto, en el </w:t>
      </w:r>
      <w:r w:rsidRPr="00FB75EB">
        <w:rPr>
          <w:i/>
          <w:iCs/>
          <w:lang w:val="es-ES_tradnl"/>
        </w:rPr>
        <w:t>recom</w:t>
      </w:r>
      <w:r w:rsidR="005317D3">
        <w:rPr>
          <w:i/>
          <w:iCs/>
          <w:lang w:val="es-ES_tradnl"/>
        </w:rPr>
        <w:t>i</w:t>
      </w:r>
      <w:r w:rsidRPr="00FB75EB">
        <w:rPr>
          <w:i/>
          <w:iCs/>
          <w:lang w:val="es-ES_tradnl"/>
        </w:rPr>
        <w:t>enda</w:t>
      </w:r>
      <w:r w:rsidRPr="00FB75EB">
        <w:rPr>
          <w:lang w:val="es-ES_tradnl"/>
        </w:rPr>
        <w:t xml:space="preserve"> 2 se indica un margen de tiempo de indisponibilidad menos estricto</w:t>
      </w:r>
      <w:r w:rsidR="00815E97" w:rsidRPr="00FB75EB">
        <w:rPr>
          <w:lang w:val="es-ES_tradnl"/>
        </w:rPr>
        <w:t xml:space="preserve"> d</w:t>
      </w:r>
      <w:r w:rsidRPr="00FB75EB">
        <w:rPr>
          <w:lang w:val="es-ES_tradnl"/>
        </w:rPr>
        <w:t>el</w:t>
      </w:r>
      <w:r w:rsidR="005317D3">
        <w:rPr>
          <w:lang w:val="es-ES_tradnl"/>
        </w:rPr>
        <w:t> </w:t>
      </w:r>
      <w:r w:rsidRPr="00FB75EB">
        <w:rPr>
          <w:lang w:val="es-ES_tradnl"/>
        </w:rPr>
        <w:t>1%.</w:t>
      </w:r>
    </w:p>
    <w:p w:rsidR="005718FA" w:rsidRPr="00FB75EB" w:rsidRDefault="005718FA" w:rsidP="005718FA">
      <w:pPr>
        <w:pStyle w:val="Heading1"/>
        <w:rPr>
          <w:lang w:val="es-ES_tradnl"/>
        </w:rPr>
      </w:pPr>
      <w:r w:rsidRPr="00FB75EB">
        <w:rPr>
          <w:lang w:val="es-ES_tradnl"/>
        </w:rPr>
        <w:t>3</w:t>
      </w:r>
      <w:r w:rsidRPr="00FB75EB">
        <w:rPr>
          <w:lang w:val="es-ES_tradnl"/>
        </w:rPr>
        <w:tab/>
        <w:t>Criterio de protección para el sistema ARGOS4 no OSG en la banda 399,9-400,05 MHz contra las emisiones interferentes de banda estrecha</w:t>
      </w:r>
    </w:p>
    <w:p w:rsidR="005718FA" w:rsidRPr="00FB75EB" w:rsidRDefault="005718FA" w:rsidP="00E42804">
      <w:pPr>
        <w:pStyle w:val="Heading2"/>
        <w:rPr>
          <w:lang w:val="es-ES_tradnl"/>
        </w:rPr>
      </w:pPr>
      <w:r w:rsidRPr="00FB75EB">
        <w:rPr>
          <w:lang w:val="es-ES_tradnl"/>
        </w:rPr>
        <w:t>3.1</w:t>
      </w:r>
      <w:r w:rsidRPr="00FB75EB">
        <w:rPr>
          <w:lang w:val="es-ES_tradnl"/>
        </w:rPr>
        <w:tab/>
        <w:t>Requisitos de protección contra las emisiones de banda estrecha</w:t>
      </w:r>
    </w:p>
    <w:p w:rsidR="005718FA" w:rsidRPr="00FB75EB" w:rsidRDefault="005718FA" w:rsidP="005718FA">
      <w:pPr>
        <w:rPr>
          <w:lang w:val="es-ES_tradnl"/>
        </w:rPr>
      </w:pPr>
      <w:r w:rsidRPr="00FB75EB">
        <w:rPr>
          <w:lang w:val="es-ES_tradnl"/>
        </w:rPr>
        <w:t xml:space="preserve">Para entender mejor los motivos de esta especificación es necesario recordar brevemente el comportamiento del receptor. </w:t>
      </w:r>
    </w:p>
    <w:p w:rsidR="005718FA" w:rsidRPr="00FB75EB" w:rsidRDefault="005718FA" w:rsidP="006523FC">
      <w:pPr>
        <w:rPr>
          <w:lang w:val="es-ES_tradnl"/>
        </w:rPr>
      </w:pPr>
      <w:r w:rsidRPr="00FB75EB">
        <w:rPr>
          <w:lang w:val="es-ES_tradnl"/>
        </w:rPr>
        <w:t>Las tra</w:t>
      </w:r>
      <w:r w:rsidR="004E5043">
        <w:rPr>
          <w:lang w:val="es-ES_tradnl"/>
        </w:rPr>
        <w:t>n</w:t>
      </w:r>
      <w:r w:rsidRPr="00FB75EB">
        <w:rPr>
          <w:lang w:val="es-ES_tradnl"/>
        </w:rPr>
        <w:t>smisiones del ARGOS4 del SMS comienzan con 160 ms de portadora sin modular para permitir que un bucle de enganche de fase se sincronice más fácilmente a la portadora. La Fig</w:t>
      </w:r>
      <w:r w:rsidR="006523FC">
        <w:rPr>
          <w:lang w:val="es-ES_tradnl"/>
        </w:rPr>
        <w:t>.</w:t>
      </w:r>
      <w:r w:rsidRPr="00FB75EB">
        <w:rPr>
          <w:lang w:val="es-ES_tradnl"/>
        </w:rPr>
        <w:t xml:space="preserve"> 1 representa el formato del mensaje </w:t>
      </w:r>
      <w:r w:rsidR="00295D4F">
        <w:rPr>
          <w:lang w:val="es-ES_tradnl"/>
        </w:rPr>
        <w:t>de</w:t>
      </w:r>
      <w:r w:rsidRPr="00FB75EB">
        <w:rPr>
          <w:lang w:val="es-ES_tradnl"/>
        </w:rPr>
        <w:t>l ARGOS4.</w:t>
      </w:r>
    </w:p>
    <w:p w:rsidR="00EF0BD4" w:rsidRPr="00EF0BD4" w:rsidRDefault="00EF0BD4" w:rsidP="005317D3">
      <w:pPr>
        <w:pStyle w:val="FigureNo"/>
        <w:rPr>
          <w:lang w:val="es-ES_tradnl"/>
        </w:rPr>
      </w:pPr>
      <w:r w:rsidRPr="00FB75EB">
        <w:rPr>
          <w:lang w:val="es-ES_tradnl"/>
        </w:rPr>
        <w:t>Figura</w:t>
      </w:r>
      <w:r w:rsidRPr="00EF0BD4">
        <w:rPr>
          <w:lang w:val="es-ES_tradnl"/>
        </w:rPr>
        <w:t xml:space="preserve"> </w:t>
      </w:r>
      <w:r w:rsidRPr="00FB75EB">
        <w:rPr>
          <w:lang w:val="es-ES_tradnl"/>
        </w:rPr>
        <w:t>1</w:t>
      </w:r>
    </w:p>
    <w:p w:rsidR="00EF0BD4" w:rsidRPr="00EF0BD4" w:rsidRDefault="00EF0BD4" w:rsidP="005317D3">
      <w:pPr>
        <w:pStyle w:val="Figuretitle"/>
        <w:rPr>
          <w:lang w:val="es-ES_tradnl"/>
        </w:rPr>
      </w:pPr>
      <w:r w:rsidRPr="00EF0BD4">
        <w:rPr>
          <w:lang w:val="es-ES_tradnl"/>
        </w:rPr>
        <w:t>Format</w:t>
      </w:r>
      <w:r w:rsidRPr="00FB75EB">
        <w:rPr>
          <w:lang w:val="es-ES_tradnl"/>
        </w:rPr>
        <w:t>o</w:t>
      </w:r>
      <w:r w:rsidRPr="00EF0BD4">
        <w:rPr>
          <w:lang w:val="es-ES_tradnl"/>
        </w:rPr>
        <w:t xml:space="preserve"> de</w:t>
      </w:r>
      <w:r w:rsidRPr="00FB75EB">
        <w:rPr>
          <w:lang w:val="es-ES_tradnl"/>
        </w:rPr>
        <w:t>l mensaje</w:t>
      </w:r>
      <w:r w:rsidRPr="00EF0BD4">
        <w:rPr>
          <w:lang w:val="es-ES_tradnl"/>
        </w:rPr>
        <w:t xml:space="preserve"> d</w:t>
      </w:r>
      <w:r w:rsidRPr="00FB75EB">
        <w:rPr>
          <w:lang w:val="es-ES_tradnl"/>
        </w:rPr>
        <w:t>el</w:t>
      </w:r>
      <w:r w:rsidRPr="00EF0BD4">
        <w:rPr>
          <w:lang w:val="es-ES_tradnl"/>
        </w:rPr>
        <w:t xml:space="preserve"> SMS</w:t>
      </w:r>
    </w:p>
    <w:p w:rsidR="00573EB1" w:rsidRPr="00FB75EB" w:rsidRDefault="005317D3" w:rsidP="00573EB1">
      <w:pPr>
        <w:pStyle w:val="Figure"/>
        <w:rPr>
          <w:lang w:val="es-ES_tradnl"/>
        </w:rPr>
      </w:pPr>
      <w:r w:rsidRPr="00FB75EB">
        <w:rPr>
          <w:lang w:val="es-ES_tradnl"/>
        </w:rPr>
        <w:object w:dxaOrig="5164" w:dyaOrig="583">
          <v:shape id="_x0000_i1026" type="#_x0000_t75" style="width:395.5pt;height:44.5pt" o:ole="">
            <v:imagedata r:id="rId16" o:title=""/>
          </v:shape>
          <o:OLEObject Type="Embed" ProgID="CorelDRAW.Graphic.14" ShapeID="_x0000_i1026" DrawAspect="Content" ObjectID="_1475925539" r:id="rId17"/>
        </w:object>
      </w:r>
    </w:p>
    <w:p w:rsidR="005718FA" w:rsidRDefault="005718FA" w:rsidP="007308B9">
      <w:pPr>
        <w:rPr>
          <w:lang w:val="es-ES_tradnl"/>
        </w:rPr>
      </w:pPr>
      <w:r w:rsidRPr="00FB75EB">
        <w:rPr>
          <w:lang w:val="es-ES_tradnl"/>
        </w:rPr>
        <w:t xml:space="preserve">Un analizador de espectro en el receptor supervisa constantemente toda la anchura de banda de cobertura en busca de la parte de portadora pura de los mensajes del SMS. Cuando el analizador de espectro detecta </w:t>
      </w:r>
      <w:r w:rsidR="00573EB1" w:rsidRPr="00FB75EB">
        <w:rPr>
          <w:lang w:val="es-ES_tradnl"/>
        </w:rPr>
        <w:t>dicha línea</w:t>
      </w:r>
      <w:r w:rsidRPr="00FB75EB">
        <w:rPr>
          <w:lang w:val="es-ES_tradnl"/>
        </w:rPr>
        <w:t xml:space="preserve">, considera que </w:t>
      </w:r>
      <w:r w:rsidR="00573EB1" w:rsidRPr="00FB75EB">
        <w:rPr>
          <w:lang w:val="es-ES_tradnl"/>
        </w:rPr>
        <w:t>se trata del inicio</w:t>
      </w:r>
      <w:r w:rsidRPr="00FB75EB">
        <w:rPr>
          <w:lang w:val="es-ES_tradnl"/>
        </w:rPr>
        <w:t xml:space="preserve"> de </w:t>
      </w:r>
      <w:r w:rsidR="00573EB1" w:rsidRPr="00FB75EB">
        <w:rPr>
          <w:lang w:val="es-ES_tradnl"/>
        </w:rPr>
        <w:t>un</w:t>
      </w:r>
      <w:r w:rsidRPr="00FB75EB">
        <w:rPr>
          <w:lang w:val="es-ES_tradnl"/>
        </w:rPr>
        <w:t xml:space="preserve"> mensaje del SMS. La teoría se basa en la detección de una onda portadora pura (sinusoidal) en un entorno de ruido blanco, aditivo y gaussiano. La densidad espectral de potencia de la señal recibida (portadora</w:t>
      </w:r>
      <w:r w:rsidR="00573EB1" w:rsidRPr="00FB75EB">
        <w:rPr>
          <w:lang w:val="es-ES_tradnl"/>
        </w:rPr>
        <w:t xml:space="preserve"> pura + ruido) </w:t>
      </w:r>
      <w:r w:rsidRPr="00FB75EB">
        <w:rPr>
          <w:lang w:val="es-ES_tradnl"/>
        </w:rPr>
        <w:t>s</w:t>
      </w:r>
      <w:r w:rsidR="00573EB1" w:rsidRPr="00FB75EB">
        <w:rPr>
          <w:lang w:val="es-ES_tradnl"/>
        </w:rPr>
        <w:t>e</w:t>
      </w:r>
      <w:r w:rsidRPr="00FB75EB">
        <w:rPr>
          <w:lang w:val="es-ES_tradnl"/>
        </w:rPr>
        <w:t xml:space="preserve"> calcula utilizando </w:t>
      </w:r>
      <w:r w:rsidR="00573EB1" w:rsidRPr="00FB75EB">
        <w:rPr>
          <w:lang w:val="es-ES_tradnl"/>
        </w:rPr>
        <w:t xml:space="preserve">las </w:t>
      </w:r>
      <w:r w:rsidRPr="00FB75EB">
        <w:rPr>
          <w:lang w:val="es-ES_tradnl"/>
        </w:rPr>
        <w:t>técnicas de transformada rápida de Fourier</w:t>
      </w:r>
      <w:r w:rsidR="00573EB1" w:rsidRPr="00FB75EB">
        <w:rPr>
          <w:lang w:val="es-ES_tradnl"/>
        </w:rPr>
        <w:t>,</w:t>
      </w:r>
      <w:r w:rsidRPr="00FB75EB">
        <w:rPr>
          <w:lang w:val="es-ES_tradnl"/>
        </w:rPr>
        <w:t xml:space="preserve"> </w:t>
      </w:r>
      <w:r w:rsidR="00573EB1" w:rsidRPr="00FB75EB">
        <w:rPr>
          <w:lang w:val="es-ES_tradnl"/>
        </w:rPr>
        <w:t xml:space="preserve">procesándose las </w:t>
      </w:r>
      <w:r w:rsidRPr="00FB75EB">
        <w:rPr>
          <w:lang w:val="es-ES_tradnl"/>
        </w:rPr>
        <w:t>señal</w:t>
      </w:r>
      <w:r w:rsidR="00573EB1" w:rsidRPr="00FB75EB">
        <w:rPr>
          <w:lang w:val="es-ES_tradnl"/>
        </w:rPr>
        <w:t>es</w:t>
      </w:r>
      <w:r w:rsidRPr="00FB75EB">
        <w:rPr>
          <w:lang w:val="es-ES_tradnl"/>
        </w:rPr>
        <w:t xml:space="preserve"> que se encuentr</w:t>
      </w:r>
      <w:r w:rsidR="00573EB1" w:rsidRPr="00FB75EB">
        <w:rPr>
          <w:lang w:val="es-ES_tradnl"/>
        </w:rPr>
        <w:t>en</w:t>
      </w:r>
      <w:r w:rsidRPr="00FB75EB">
        <w:rPr>
          <w:lang w:val="es-ES_tradnl"/>
        </w:rPr>
        <w:t xml:space="preserve"> por encima del umbral del sistema como si fuese una </w:t>
      </w:r>
      <w:r w:rsidR="004E5043">
        <w:rPr>
          <w:lang w:val="es-ES_tradnl"/>
        </w:rPr>
        <w:t xml:space="preserve">radio </w:t>
      </w:r>
      <w:r w:rsidRPr="00FB75EB">
        <w:rPr>
          <w:lang w:val="es-ES_tradnl"/>
        </w:rPr>
        <w:t>baliza del SMS (véase la Fig</w:t>
      </w:r>
      <w:r w:rsidR="007308B9">
        <w:rPr>
          <w:lang w:val="es-ES_tradnl"/>
        </w:rPr>
        <w:t>.</w:t>
      </w:r>
      <w:r w:rsidRPr="00FB75EB">
        <w:rPr>
          <w:lang w:val="es-ES_tradnl"/>
        </w:rPr>
        <w:t xml:space="preserve"> 2).</w:t>
      </w:r>
    </w:p>
    <w:p w:rsidR="00DE0D80" w:rsidRDefault="00562DB5" w:rsidP="004E5043">
      <w:pPr>
        <w:pStyle w:val="Figure"/>
        <w:rPr>
          <w:lang w:val="es-ES_tradnl"/>
        </w:rPr>
      </w:pPr>
      <w:r>
        <w:rPr>
          <w:lang w:val="es-ES_tradnl"/>
        </w:rPr>
        <w:object w:dxaOrig="5141" w:dyaOrig="2970">
          <v:shape id="_x0000_i1027" type="#_x0000_t75" style="width:257pt;height:148.5pt" o:ole="">
            <v:imagedata r:id="rId18" o:title=""/>
          </v:shape>
          <o:OLEObject Type="Embed" ProgID="CorelDRAW.Graphic.14" ShapeID="_x0000_i1027" DrawAspect="Content" ObjectID="_1475925540" r:id="rId19"/>
        </w:object>
      </w:r>
    </w:p>
    <w:p w:rsidR="005718FA" w:rsidRPr="00FB75EB" w:rsidRDefault="005718FA" w:rsidP="00DE0D80">
      <w:pPr>
        <w:rPr>
          <w:lang w:val="es-ES_tradnl"/>
        </w:rPr>
      </w:pPr>
      <w:r w:rsidRPr="00FB75EB">
        <w:rPr>
          <w:lang w:val="es-ES_tradnl"/>
        </w:rPr>
        <w:lastRenderedPageBreak/>
        <w:t xml:space="preserve">Los procesadores del receptor del ARGOS4 se diseñan, por consiguiente, para detectar componentes espectrales discretas (portadora de </w:t>
      </w:r>
      <w:r w:rsidR="00DE0D80" w:rsidRPr="00FB75EB">
        <w:rPr>
          <w:lang w:val="es-ES_tradnl"/>
        </w:rPr>
        <w:t xml:space="preserve">radio </w:t>
      </w:r>
      <w:r w:rsidRPr="00FB75EB">
        <w:rPr>
          <w:lang w:val="es-ES_tradnl"/>
        </w:rPr>
        <w:t>baliza sin modular) y la correspondiente anchura de banda de resolución es 19 Hz. La</w:t>
      </w:r>
      <w:r w:rsidR="00295D4F">
        <w:rPr>
          <w:lang w:val="es-ES_tradnl"/>
        </w:rPr>
        <w:t>s</w:t>
      </w:r>
      <w:r w:rsidRPr="00FB75EB">
        <w:rPr>
          <w:lang w:val="es-ES_tradnl"/>
        </w:rPr>
        <w:t xml:space="preserve"> señales </w:t>
      </w:r>
      <w:r w:rsidR="00DE0D80" w:rsidRPr="00FB75EB">
        <w:rPr>
          <w:lang w:val="es-ES_tradnl"/>
        </w:rPr>
        <w:t xml:space="preserve">que se encuentran </w:t>
      </w:r>
      <w:r w:rsidRPr="00FB75EB">
        <w:rPr>
          <w:lang w:val="es-ES_tradnl"/>
        </w:rPr>
        <w:t>por encima de</w:t>
      </w:r>
      <w:r w:rsidR="00DE0D80" w:rsidRPr="00FB75EB">
        <w:rPr>
          <w:lang w:val="es-ES_tradnl"/>
        </w:rPr>
        <w:t>l</w:t>
      </w:r>
      <w:r w:rsidRPr="00FB75EB">
        <w:rPr>
          <w:lang w:val="es-ES_tradnl"/>
        </w:rPr>
        <w:t xml:space="preserve"> nivel umbral se asignan a una unidad de recogida de datos </w:t>
      </w:r>
      <w:r w:rsidR="00DE0D80" w:rsidRPr="00FB75EB">
        <w:rPr>
          <w:lang w:val="es-ES_tradnl"/>
        </w:rPr>
        <w:t xml:space="preserve">(DRU) </w:t>
      </w:r>
      <w:r w:rsidRPr="00FB75EB">
        <w:rPr>
          <w:lang w:val="es-ES_tradnl"/>
        </w:rPr>
        <w:t xml:space="preserve">a bordo para </w:t>
      </w:r>
      <w:r w:rsidR="00DE0D80" w:rsidRPr="00FB75EB">
        <w:rPr>
          <w:lang w:val="es-ES_tradnl"/>
        </w:rPr>
        <w:t>su posterior procesamiento</w:t>
      </w:r>
      <w:r w:rsidRPr="00FB75EB">
        <w:rPr>
          <w:lang w:val="es-ES_tradnl"/>
        </w:rPr>
        <w:t xml:space="preserve"> y </w:t>
      </w:r>
      <w:r w:rsidR="00DE0D80" w:rsidRPr="00FB75EB">
        <w:rPr>
          <w:lang w:val="es-ES_tradnl"/>
        </w:rPr>
        <w:t>transmisión</w:t>
      </w:r>
      <w:r w:rsidRPr="00FB75EB">
        <w:rPr>
          <w:lang w:val="es-ES_tradnl"/>
        </w:rPr>
        <w:t xml:space="preserve"> hacia la Tierra en el canal de telemedida</w:t>
      </w:r>
      <w:r w:rsidR="00DE0D80" w:rsidRPr="00FB75EB">
        <w:rPr>
          <w:lang w:val="es-ES_tradnl"/>
        </w:rPr>
        <w:t xml:space="preserve"> de la misión</w:t>
      </w:r>
      <w:r w:rsidRPr="00FB75EB">
        <w:rPr>
          <w:lang w:val="es-ES_tradnl"/>
        </w:rPr>
        <w:t>.</w:t>
      </w:r>
    </w:p>
    <w:p w:rsidR="005718FA" w:rsidRPr="00FB75EB" w:rsidRDefault="00DE0D80" w:rsidP="004E5043">
      <w:pPr>
        <w:rPr>
          <w:lang w:val="es-ES_tradnl"/>
        </w:rPr>
      </w:pPr>
      <w:r w:rsidRPr="00FB75EB">
        <w:rPr>
          <w:lang w:val="es-ES_tradnl"/>
        </w:rPr>
        <w:t>A fin de satisfacer lo</w:t>
      </w:r>
      <w:r w:rsidR="005718FA" w:rsidRPr="00FB75EB">
        <w:rPr>
          <w:lang w:val="es-ES_tradnl"/>
        </w:rPr>
        <w:t xml:space="preserve">s </w:t>
      </w:r>
      <w:r w:rsidRPr="00FB75EB">
        <w:rPr>
          <w:lang w:val="es-ES_tradnl"/>
        </w:rPr>
        <w:t>requisitos</w:t>
      </w:r>
      <w:r w:rsidR="005718FA" w:rsidRPr="00FB75EB">
        <w:rPr>
          <w:lang w:val="es-ES_tradnl"/>
        </w:rPr>
        <w:t xml:space="preserve"> de probabilidad de detección </w:t>
      </w:r>
      <w:r w:rsidRPr="00FB75EB">
        <w:rPr>
          <w:lang w:val="es-ES_tradnl"/>
        </w:rPr>
        <w:t>d</w:t>
      </w:r>
      <w:r w:rsidR="005718FA" w:rsidRPr="00FB75EB">
        <w:rPr>
          <w:lang w:val="es-ES_tradnl"/>
        </w:rPr>
        <w:t xml:space="preserve">el ARGOS4 para una amplia gama de aplicaciones de usuario, el receptor del ARGOS4 se ha diseñado para detectar y procesar señales extremadamente débiles. Su </w:t>
      </w:r>
      <w:r w:rsidRPr="00FB75EB">
        <w:rPr>
          <w:lang w:val="es-ES_tradnl"/>
        </w:rPr>
        <w:t>calidad de funcionamiento</w:t>
      </w:r>
      <w:r w:rsidR="005718FA" w:rsidRPr="00FB75EB">
        <w:rPr>
          <w:lang w:val="es-ES_tradnl"/>
        </w:rPr>
        <w:t xml:space="preserve"> es tal que cualquier señal, </w:t>
      </w:r>
      <w:r w:rsidR="00136B2B" w:rsidRPr="00FB75EB">
        <w:rPr>
          <w:i/>
          <w:iCs/>
          <w:lang w:val="es-ES_tradnl"/>
        </w:rPr>
        <w:t>C</w:t>
      </w:r>
      <w:r w:rsidR="00136B2B" w:rsidRPr="00FB75EB">
        <w:rPr>
          <w:i/>
          <w:iCs/>
          <w:vertAlign w:val="subscript"/>
          <w:lang w:val="es-ES_tradnl"/>
        </w:rPr>
        <w:t>m</w:t>
      </w:r>
      <w:r w:rsidR="00562DB5">
        <w:rPr>
          <w:i/>
          <w:iCs/>
          <w:vertAlign w:val="subscript"/>
          <w:lang w:val="es-ES_tradnl"/>
        </w:rPr>
        <w:t>í</w:t>
      </w:r>
      <w:r w:rsidR="00136B2B" w:rsidRPr="00FB75EB">
        <w:rPr>
          <w:i/>
          <w:iCs/>
          <w:vertAlign w:val="subscript"/>
          <w:lang w:val="es-ES_tradnl"/>
        </w:rPr>
        <w:t>n</w:t>
      </w:r>
      <w:r w:rsidR="00136B2B" w:rsidRPr="00FB75EB">
        <w:rPr>
          <w:lang w:val="es-ES_tradnl"/>
        </w:rPr>
        <w:t>,</w:t>
      </w:r>
      <w:r w:rsidR="005718FA" w:rsidRPr="00FB75EB">
        <w:rPr>
          <w:lang w:val="es-ES_tradnl"/>
        </w:rPr>
        <w:t xml:space="preserve"> </w:t>
      </w:r>
      <w:r w:rsidRPr="00FB75EB">
        <w:rPr>
          <w:lang w:val="es-ES_tradnl"/>
        </w:rPr>
        <w:t>cuyo</w:t>
      </w:r>
      <w:r w:rsidR="005718FA" w:rsidRPr="00FB75EB">
        <w:rPr>
          <w:lang w:val="es-ES_tradnl"/>
        </w:rPr>
        <w:t xml:space="preserve"> nivel de densidad de ruido local </w:t>
      </w:r>
      <w:r w:rsidRPr="00FB75EB">
        <w:rPr>
          <w:lang w:val="es-ES_tradnl"/>
        </w:rPr>
        <w:t xml:space="preserve">rebase </w:t>
      </w:r>
      <w:r w:rsidR="004E5043">
        <w:rPr>
          <w:lang w:val="es-ES_tradnl"/>
        </w:rPr>
        <w:t>las</w:t>
      </w:r>
      <w:r w:rsidR="005718FA" w:rsidRPr="00FB75EB">
        <w:rPr>
          <w:lang w:val="es-ES_tradnl"/>
        </w:rPr>
        <w:t xml:space="preserve"> 21 dB(Hz) </w:t>
      </w:r>
      <w:r w:rsidR="00136B2B" w:rsidRPr="00FB75EB">
        <w:rPr>
          <w:lang w:val="es-ES_tradnl"/>
        </w:rPr>
        <w:t>(</w:t>
      </w:r>
      <w:r w:rsidR="00136B2B" w:rsidRPr="00FB75EB">
        <w:rPr>
          <w:i/>
          <w:iCs/>
          <w:lang w:val="es-ES_tradnl"/>
        </w:rPr>
        <w:t>C</w:t>
      </w:r>
      <w:r w:rsidR="00136B2B" w:rsidRPr="00FB75EB">
        <w:rPr>
          <w:i/>
          <w:iCs/>
          <w:vertAlign w:val="subscript"/>
          <w:lang w:val="es-ES_tradnl"/>
        </w:rPr>
        <w:t>m</w:t>
      </w:r>
      <w:r w:rsidR="00562DB5">
        <w:rPr>
          <w:i/>
          <w:iCs/>
          <w:vertAlign w:val="subscript"/>
          <w:lang w:val="es-ES_tradnl"/>
        </w:rPr>
        <w:t>í</w:t>
      </w:r>
      <w:r w:rsidR="00136B2B" w:rsidRPr="00FB75EB">
        <w:rPr>
          <w:i/>
          <w:iCs/>
          <w:vertAlign w:val="subscript"/>
          <w:lang w:val="es-ES_tradnl"/>
        </w:rPr>
        <w:t>n</w:t>
      </w:r>
      <w:r w:rsidR="00136B2B" w:rsidRPr="00FB75EB">
        <w:rPr>
          <w:rFonts w:ascii="Tms Rmn" w:hAnsi="Tms Rmn"/>
          <w:sz w:val="4"/>
          <w:lang w:val="es-ES_tradnl"/>
        </w:rPr>
        <w:t> </w:t>
      </w:r>
      <w:r w:rsidR="00136B2B" w:rsidRPr="00FB75EB">
        <w:rPr>
          <w:lang w:val="es-ES_tradnl"/>
        </w:rPr>
        <w:t>/</w:t>
      </w:r>
      <w:r w:rsidR="00136B2B" w:rsidRPr="00FB75EB">
        <w:rPr>
          <w:rFonts w:ascii="Tms Rmn" w:hAnsi="Tms Rmn"/>
          <w:sz w:val="4"/>
          <w:lang w:val="es-ES_tradnl"/>
        </w:rPr>
        <w:t> </w:t>
      </w:r>
      <w:r w:rsidR="00136B2B" w:rsidRPr="00FB75EB">
        <w:rPr>
          <w:i/>
          <w:iCs/>
          <w:lang w:val="es-ES_tradnl"/>
        </w:rPr>
        <w:t>N</w:t>
      </w:r>
      <w:r w:rsidR="00136B2B" w:rsidRPr="00FB75EB">
        <w:rPr>
          <w:vertAlign w:val="subscript"/>
          <w:lang w:val="es-ES_tradnl"/>
        </w:rPr>
        <w:t>0</w:t>
      </w:r>
      <w:r w:rsidR="00136B2B" w:rsidRPr="00FB75EB">
        <w:rPr>
          <w:lang w:val="es-ES_tradnl"/>
        </w:rPr>
        <w:t> &gt; 21 dB(Hz)</w:t>
      </w:r>
      <w:r w:rsidR="004E5043">
        <w:rPr>
          <w:lang w:val="es-ES_tradnl"/>
        </w:rPr>
        <w:t>)</w:t>
      </w:r>
      <w:bookmarkStart w:id="3" w:name="_GoBack"/>
      <w:bookmarkEnd w:id="3"/>
      <w:r w:rsidR="005718FA" w:rsidRPr="00FB75EB">
        <w:rPr>
          <w:lang w:val="es-ES_tradnl"/>
        </w:rPr>
        <w:t xml:space="preserve"> se asigna a una DRU para un procesamiento adicional. </w:t>
      </w:r>
      <w:r w:rsidR="00136B2B" w:rsidRPr="00FB75EB">
        <w:rPr>
          <w:lang w:val="es-ES_tradnl"/>
        </w:rPr>
        <w:t>Por tanto</w:t>
      </w:r>
      <w:r w:rsidR="005718FA" w:rsidRPr="00FB75EB">
        <w:rPr>
          <w:lang w:val="es-ES_tradnl"/>
        </w:rPr>
        <w:t>, las señales interferente</w:t>
      </w:r>
      <w:r w:rsidR="00136B2B" w:rsidRPr="00FB75EB">
        <w:rPr>
          <w:lang w:val="es-ES_tradnl"/>
        </w:rPr>
        <w:t>s</w:t>
      </w:r>
      <w:r w:rsidR="005718FA" w:rsidRPr="00FB75EB">
        <w:rPr>
          <w:lang w:val="es-ES_tradnl"/>
        </w:rPr>
        <w:t xml:space="preserve"> de banda estrecha que satisfagan este criterio </w:t>
      </w:r>
      <w:r w:rsidR="00136B2B" w:rsidRPr="00FB75EB">
        <w:rPr>
          <w:lang w:val="es-ES_tradnl"/>
        </w:rPr>
        <w:t xml:space="preserve">hacen que </w:t>
      </w:r>
      <w:r w:rsidR="005718FA" w:rsidRPr="00FB75EB">
        <w:rPr>
          <w:lang w:val="es-ES_tradnl"/>
        </w:rPr>
        <w:t>se les asign</w:t>
      </w:r>
      <w:r w:rsidR="00136B2B" w:rsidRPr="00FB75EB">
        <w:rPr>
          <w:lang w:val="es-ES_tradnl"/>
        </w:rPr>
        <w:t>e</w:t>
      </w:r>
      <w:r w:rsidR="005718FA" w:rsidRPr="00FB75EB">
        <w:rPr>
          <w:lang w:val="es-ES_tradnl"/>
        </w:rPr>
        <w:t xml:space="preserve"> una DRU. </w:t>
      </w:r>
      <w:r w:rsidR="00136B2B" w:rsidRPr="00FB75EB">
        <w:rPr>
          <w:lang w:val="es-ES_tradnl"/>
        </w:rPr>
        <w:t>En</w:t>
      </w:r>
      <w:r w:rsidR="005718FA" w:rsidRPr="00FB75EB">
        <w:rPr>
          <w:lang w:val="es-ES_tradnl"/>
        </w:rPr>
        <w:t xml:space="preserve"> consecuencia</w:t>
      </w:r>
      <w:r w:rsidR="00136B2B" w:rsidRPr="00FB75EB">
        <w:rPr>
          <w:lang w:val="es-ES_tradnl"/>
        </w:rPr>
        <w:t>, la calidad de funcionamiento</w:t>
      </w:r>
      <w:r w:rsidR="005718FA" w:rsidRPr="00FB75EB">
        <w:rPr>
          <w:lang w:val="es-ES_tradnl"/>
        </w:rPr>
        <w:t xml:space="preserve"> </w:t>
      </w:r>
      <w:r w:rsidR="00136B2B" w:rsidRPr="00FB75EB">
        <w:rPr>
          <w:lang w:val="es-ES_tradnl"/>
        </w:rPr>
        <w:t>del sistema A</w:t>
      </w:r>
      <w:r w:rsidR="005718FA" w:rsidRPr="00FB75EB">
        <w:rPr>
          <w:lang w:val="es-ES_tradnl"/>
        </w:rPr>
        <w:t>RGOS4, en cuanto a capacidad (por ejemplo</w:t>
      </w:r>
      <w:r w:rsidR="008F429D">
        <w:rPr>
          <w:lang w:val="es-ES_tradnl"/>
        </w:rPr>
        <w:t>,</w:t>
      </w:r>
      <w:r w:rsidR="005718FA" w:rsidRPr="00FB75EB">
        <w:rPr>
          <w:lang w:val="es-ES_tradnl"/>
        </w:rPr>
        <w:t xml:space="preserve"> el número de mensajes</w:t>
      </w:r>
      <w:r w:rsidRPr="00FB75EB">
        <w:rPr>
          <w:lang w:val="es-ES_tradnl"/>
        </w:rPr>
        <w:t xml:space="preserve"> DCS</w:t>
      </w:r>
      <w:r w:rsidR="005718FA" w:rsidRPr="00FB75EB">
        <w:rPr>
          <w:lang w:val="es-ES_tradnl"/>
        </w:rPr>
        <w:t xml:space="preserve"> simultáneos que puede procesar) se degradaría considerablemente.</w:t>
      </w:r>
    </w:p>
    <w:p w:rsidR="005718FA" w:rsidRPr="00FB75EB" w:rsidRDefault="005718FA" w:rsidP="008F429D">
      <w:pPr>
        <w:rPr>
          <w:lang w:val="es-ES_tradnl"/>
        </w:rPr>
      </w:pPr>
      <w:r w:rsidRPr="00FB75EB">
        <w:rPr>
          <w:lang w:val="es-ES_tradnl"/>
        </w:rPr>
        <w:t xml:space="preserve">Los parámetros </w:t>
      </w:r>
      <w:r w:rsidR="00136B2B" w:rsidRPr="00FB75EB">
        <w:rPr>
          <w:lang w:val="es-ES_tradnl"/>
        </w:rPr>
        <w:t>típicos</w:t>
      </w:r>
      <w:r w:rsidRPr="00FB75EB">
        <w:rPr>
          <w:lang w:val="es-ES_tradnl"/>
        </w:rPr>
        <w:t xml:space="preserve"> del ARGOS4 son: factor de ruido = 3</w:t>
      </w:r>
      <w:r w:rsidR="002D3B97">
        <w:rPr>
          <w:lang w:val="es-ES_tradnl"/>
        </w:rPr>
        <w:t> </w:t>
      </w:r>
      <w:r w:rsidRPr="00FB75EB">
        <w:rPr>
          <w:lang w:val="es-ES_tradnl"/>
        </w:rPr>
        <w:t>dB (valor típico del ARGOS4), temperatura de ruido de fondo de caso más</w:t>
      </w:r>
      <w:r w:rsidR="00136B2B" w:rsidRPr="00FB75EB">
        <w:rPr>
          <w:lang w:val="es-ES_tradnl"/>
        </w:rPr>
        <w:t xml:space="preserve"> desfavorable = 1</w:t>
      </w:r>
      <w:r w:rsidR="008F429D" w:rsidRPr="00FB623A">
        <w:rPr>
          <w:sz w:val="16"/>
          <w:szCs w:val="16"/>
          <w:lang w:val="es-ES_tradnl"/>
        </w:rPr>
        <w:t> </w:t>
      </w:r>
      <w:r w:rsidRPr="00FB75EB">
        <w:rPr>
          <w:lang w:val="es-ES_tradnl"/>
        </w:rPr>
        <w:t>200 K, atenuación entre la antena y el receptor = 1,6 dB. Por tanto, la temperatura de ruido del sistema a la entrada del receptor es 1</w:t>
      </w:r>
      <w:r w:rsidR="00136B2B" w:rsidRPr="008F429D">
        <w:rPr>
          <w:sz w:val="16"/>
          <w:szCs w:val="16"/>
          <w:lang w:val="es-ES_tradnl"/>
        </w:rPr>
        <w:t> </w:t>
      </w:r>
      <w:r w:rsidRPr="00FB75EB">
        <w:rPr>
          <w:lang w:val="es-ES_tradnl"/>
        </w:rPr>
        <w:t>214 K y</w:t>
      </w:r>
      <w:r w:rsidR="00136B2B" w:rsidRPr="00FB75EB">
        <w:rPr>
          <w:lang w:val="es-ES_tradnl"/>
        </w:rPr>
        <w:t>,</w:t>
      </w:r>
      <w:r w:rsidRPr="00FB75EB">
        <w:rPr>
          <w:lang w:val="es-ES_tradnl"/>
        </w:rPr>
        <w:t xml:space="preserve"> en consecuencia</w:t>
      </w:r>
      <w:r w:rsidR="00136B2B" w:rsidRPr="00FB75EB">
        <w:rPr>
          <w:lang w:val="es-ES_tradnl"/>
        </w:rPr>
        <w:t>,</w:t>
      </w:r>
      <w:r w:rsidRPr="00FB75EB">
        <w:rPr>
          <w:lang w:val="es-ES_tradnl"/>
        </w:rPr>
        <w:t xml:space="preserve"> la densidad espectral de ruido es </w:t>
      </w:r>
      <w:r w:rsidR="00136B2B" w:rsidRPr="00FB75EB">
        <w:rPr>
          <w:i/>
          <w:iCs/>
          <w:lang w:val="es-ES_tradnl"/>
        </w:rPr>
        <w:t>N</w:t>
      </w:r>
      <w:r w:rsidR="00136B2B" w:rsidRPr="00FB75EB">
        <w:rPr>
          <w:vertAlign w:val="subscript"/>
          <w:lang w:val="es-ES_tradnl"/>
        </w:rPr>
        <w:t>0</w:t>
      </w:r>
      <w:r w:rsidR="00136B2B" w:rsidRPr="00FB75EB">
        <w:rPr>
          <w:lang w:val="es-ES_tradnl"/>
        </w:rPr>
        <w:t> = –197,8 dB(W/Hz).</w:t>
      </w:r>
    </w:p>
    <w:p w:rsidR="005718FA" w:rsidRPr="00FB75EB" w:rsidRDefault="005718FA" w:rsidP="006523FC">
      <w:pPr>
        <w:rPr>
          <w:lang w:val="es-ES_tradnl"/>
        </w:rPr>
      </w:pPr>
      <w:r w:rsidRPr="00FB75EB">
        <w:rPr>
          <w:lang w:val="es-ES_tradnl"/>
        </w:rPr>
        <w:t xml:space="preserve">Como </w:t>
      </w:r>
      <w:r w:rsidR="00136B2B" w:rsidRPr="00FB75EB">
        <w:rPr>
          <w:i/>
          <w:iCs/>
          <w:lang w:val="es-ES_tradnl"/>
        </w:rPr>
        <w:t>C</w:t>
      </w:r>
      <w:r w:rsidR="00136B2B" w:rsidRPr="00FB75EB">
        <w:rPr>
          <w:i/>
          <w:iCs/>
          <w:vertAlign w:val="subscript"/>
          <w:lang w:val="es-ES_tradnl"/>
        </w:rPr>
        <w:t>m</w:t>
      </w:r>
      <w:r w:rsidR="006523FC">
        <w:rPr>
          <w:i/>
          <w:iCs/>
          <w:vertAlign w:val="subscript"/>
          <w:lang w:val="es-ES_tradnl"/>
        </w:rPr>
        <w:t>í</w:t>
      </w:r>
      <w:r w:rsidR="00136B2B" w:rsidRPr="00FB75EB">
        <w:rPr>
          <w:i/>
          <w:iCs/>
          <w:vertAlign w:val="subscript"/>
          <w:lang w:val="es-ES_tradnl"/>
        </w:rPr>
        <w:t>n</w:t>
      </w:r>
      <w:r w:rsidR="00136B2B" w:rsidRPr="00FB75EB">
        <w:rPr>
          <w:rFonts w:ascii="Tms Rmn" w:hAnsi="Tms Rmn"/>
          <w:sz w:val="4"/>
          <w:lang w:val="es-ES_tradnl"/>
        </w:rPr>
        <w:t> </w:t>
      </w:r>
      <w:r w:rsidR="00136B2B" w:rsidRPr="00FB75EB">
        <w:rPr>
          <w:lang w:val="es-ES_tradnl"/>
        </w:rPr>
        <w:t>/</w:t>
      </w:r>
      <w:r w:rsidR="00136B2B" w:rsidRPr="00FB75EB">
        <w:rPr>
          <w:rFonts w:ascii="Tms Rmn" w:hAnsi="Tms Rmn"/>
          <w:sz w:val="4"/>
          <w:lang w:val="es-ES_tradnl"/>
        </w:rPr>
        <w:t> </w:t>
      </w:r>
      <w:r w:rsidR="00136B2B" w:rsidRPr="00FB75EB">
        <w:rPr>
          <w:i/>
          <w:iCs/>
          <w:lang w:val="es-ES_tradnl"/>
        </w:rPr>
        <w:t>N</w:t>
      </w:r>
      <w:r w:rsidR="00136B2B" w:rsidRPr="00FB75EB">
        <w:rPr>
          <w:vertAlign w:val="subscript"/>
          <w:lang w:val="es-ES_tradnl"/>
        </w:rPr>
        <w:t>0</w:t>
      </w:r>
      <w:r w:rsidR="00136B2B" w:rsidRPr="00FB75EB">
        <w:rPr>
          <w:lang w:val="es-ES_tradnl"/>
        </w:rPr>
        <w:t xml:space="preserve"> = 21 dB(Hz), </w:t>
      </w:r>
      <w:r w:rsidR="00136B2B" w:rsidRPr="00FB75EB">
        <w:rPr>
          <w:i/>
          <w:iCs/>
          <w:lang w:val="es-ES_tradnl"/>
        </w:rPr>
        <w:t>C</w:t>
      </w:r>
      <w:r w:rsidR="00136B2B" w:rsidRPr="00FB75EB">
        <w:rPr>
          <w:i/>
          <w:iCs/>
          <w:vertAlign w:val="subscript"/>
          <w:lang w:val="es-ES_tradnl"/>
        </w:rPr>
        <w:t>m</w:t>
      </w:r>
      <w:r w:rsidR="00562DB5">
        <w:rPr>
          <w:i/>
          <w:iCs/>
          <w:vertAlign w:val="subscript"/>
          <w:lang w:val="es-ES_tradnl"/>
        </w:rPr>
        <w:t>í</w:t>
      </w:r>
      <w:r w:rsidR="00136B2B" w:rsidRPr="00FB75EB">
        <w:rPr>
          <w:i/>
          <w:iCs/>
          <w:vertAlign w:val="subscript"/>
          <w:lang w:val="es-ES_tradnl"/>
        </w:rPr>
        <w:t>n</w:t>
      </w:r>
      <w:r w:rsidR="00136B2B" w:rsidRPr="00FB75EB">
        <w:rPr>
          <w:lang w:val="es-ES_tradnl"/>
        </w:rPr>
        <w:t> = –176,8 dBW</w:t>
      </w:r>
      <w:r w:rsidRPr="00FB75EB">
        <w:rPr>
          <w:lang w:val="es-ES_tradnl"/>
        </w:rPr>
        <w:t xml:space="preserve">. Por consiguiente, toda emisión no esencial de banda estrecha superior a </w:t>
      </w:r>
      <w:r w:rsidR="00562DB5">
        <w:rPr>
          <w:lang w:val="es-ES_tradnl"/>
        </w:rPr>
        <w:t>–</w:t>
      </w:r>
      <w:r w:rsidRPr="00FB75EB">
        <w:rPr>
          <w:lang w:val="es-ES_tradnl"/>
        </w:rPr>
        <w:t>176,8 dBW a la entrada del receptor del ARGOS4 daría lugar a una degradación de la capacidad del sistema.</w:t>
      </w:r>
    </w:p>
    <w:p w:rsidR="005718FA" w:rsidRPr="00FB75EB" w:rsidRDefault="005718FA" w:rsidP="005718FA">
      <w:pPr>
        <w:rPr>
          <w:lang w:val="es-ES_tradnl"/>
        </w:rPr>
      </w:pPr>
      <w:r w:rsidRPr="00FB75EB">
        <w:rPr>
          <w:lang w:val="es-ES_tradnl"/>
        </w:rPr>
        <w:t>Por tanto, es necesario calcular este máximo nivel admisible de la interferencia</w:t>
      </w:r>
      <w:r w:rsidR="00136B2B" w:rsidRPr="00FB75EB">
        <w:rPr>
          <w:lang w:val="es-ES_tradnl"/>
        </w:rPr>
        <w:t xml:space="preserve"> de banda estrecha a la entrada</w:t>
      </w:r>
      <w:r w:rsidRPr="00FB75EB">
        <w:rPr>
          <w:lang w:val="es-ES_tradnl"/>
        </w:rPr>
        <w:t xml:space="preserve"> de la antena </w:t>
      </w:r>
      <w:r w:rsidR="00136B2B" w:rsidRPr="00FB75EB">
        <w:rPr>
          <w:lang w:val="es-ES_tradnl"/>
        </w:rPr>
        <w:t>d</w:t>
      </w:r>
      <w:r w:rsidRPr="00FB75EB">
        <w:rPr>
          <w:lang w:val="es-ES_tradnl"/>
        </w:rPr>
        <w:t>el ARGOS4.</w:t>
      </w:r>
    </w:p>
    <w:p w:rsidR="005718FA" w:rsidRPr="00FB75EB" w:rsidRDefault="005718FA" w:rsidP="00136B2B">
      <w:pPr>
        <w:rPr>
          <w:lang w:val="es-ES_tradnl"/>
        </w:rPr>
      </w:pPr>
      <w:r w:rsidRPr="00FB75EB">
        <w:rPr>
          <w:lang w:val="es-ES_tradnl"/>
        </w:rPr>
        <w:t xml:space="preserve">La especificación </w:t>
      </w:r>
      <w:r w:rsidR="00136B2B" w:rsidRPr="00FB75EB">
        <w:rPr>
          <w:lang w:val="es-ES_tradnl"/>
        </w:rPr>
        <w:t>d</w:t>
      </w:r>
      <w:r w:rsidRPr="00FB75EB">
        <w:rPr>
          <w:lang w:val="es-ES_tradnl"/>
        </w:rPr>
        <w:t xml:space="preserve">el diagrama de ganancia de antena del receptor de ARGOS4 se expresa </w:t>
      </w:r>
      <w:r w:rsidR="00136B2B" w:rsidRPr="00FB75EB">
        <w:rPr>
          <w:lang w:val="es-ES_tradnl"/>
        </w:rPr>
        <w:t>en función del</w:t>
      </w:r>
      <w:r w:rsidRPr="00FB75EB">
        <w:rPr>
          <w:lang w:val="es-ES_tradnl"/>
        </w:rPr>
        <w:t xml:space="preserve"> ángulo de nadir</w:t>
      </w:r>
      <w:r w:rsidR="00136B2B" w:rsidRPr="00FB75EB">
        <w:rPr>
          <w:lang w:val="es-ES_tradnl"/>
        </w:rPr>
        <w:t>, tal como se recoge en el C</w:t>
      </w:r>
      <w:r w:rsidRPr="00FB75EB">
        <w:rPr>
          <w:lang w:val="es-ES_tradnl"/>
        </w:rPr>
        <w:t xml:space="preserve">uadro 1 (véase el </w:t>
      </w:r>
      <w:r w:rsidR="00136B2B" w:rsidRPr="00FB75EB">
        <w:rPr>
          <w:lang w:val="es-ES_tradnl"/>
        </w:rPr>
        <w:t>§ 2.1</w:t>
      </w:r>
      <w:r w:rsidRPr="00FB75EB">
        <w:rPr>
          <w:lang w:val="es-ES_tradnl"/>
        </w:rPr>
        <w:t>).</w:t>
      </w:r>
    </w:p>
    <w:p w:rsidR="00133FC9" w:rsidRPr="00FB75EB" w:rsidRDefault="00133FC9" w:rsidP="00F31FE4">
      <w:pPr>
        <w:rPr>
          <w:lang w:val="es-ES_tradnl"/>
        </w:rPr>
      </w:pPr>
      <w:r w:rsidRPr="00FB75EB">
        <w:rPr>
          <w:lang w:val="es-ES_tradnl"/>
        </w:rPr>
        <w:t>En consecuencia, la máxima potencia admisible en el receptor y antes de la antena es –176,8 + 1,6 (pérdidas) = –175,2 dBW.</w:t>
      </w:r>
      <w:r w:rsidR="00295D4F">
        <w:rPr>
          <w:lang w:val="es-ES_tradnl"/>
        </w:rPr>
        <w:t xml:space="preserve"> </w:t>
      </w:r>
      <w:r w:rsidRPr="00FB75EB">
        <w:rPr>
          <w:lang w:val="es-ES_tradnl"/>
        </w:rPr>
        <w:t>Como se necesita la dfp es preciso transformar esta cifra a dB(</w:t>
      </w:r>
      <w:r w:rsidR="00FF74C4" w:rsidRPr="00FB75EB">
        <w:rPr>
          <w:lang w:val="es-ES_tradnl"/>
        </w:rPr>
        <w:t>W/m</w:t>
      </w:r>
      <w:r w:rsidR="00FF74C4" w:rsidRPr="00FB75EB">
        <w:rPr>
          <w:vertAlign w:val="superscript"/>
          <w:lang w:val="es-ES_tradnl"/>
        </w:rPr>
        <w:t>2</w:t>
      </w:r>
      <w:r w:rsidRPr="00FB75EB">
        <w:rPr>
          <w:lang w:val="es-ES_tradnl"/>
        </w:rPr>
        <w:t xml:space="preserve">). El ángulo de nadir del satélite más elevado se utiliza para conseguir una ganancia de antena de 3,85 dBi que se transforma en un área de </w:t>
      </w:r>
      <w:r w:rsidR="00FF74C4" w:rsidRPr="00FB75EB">
        <w:rPr>
          <w:lang w:val="es-ES_tradnl"/>
        </w:rPr>
        <w:t xml:space="preserve">la </w:t>
      </w:r>
      <w:r w:rsidRPr="00FB75EB">
        <w:rPr>
          <w:lang w:val="es-ES_tradnl"/>
        </w:rPr>
        <w:t>superficie equivalente utilizando la f</w:t>
      </w:r>
      <w:r w:rsidR="008F429D">
        <w:rPr>
          <w:lang w:val="es-ES_tradnl"/>
        </w:rPr>
        <w:t>ó</w:t>
      </w:r>
      <w:r w:rsidRPr="00FB75EB">
        <w:rPr>
          <w:lang w:val="es-ES_tradnl"/>
        </w:rPr>
        <w:t>rmula</w:t>
      </w:r>
      <w:r w:rsidR="00F31FE4">
        <w:rPr>
          <w:szCs w:val="24"/>
          <w:lang w:val="es-ES_tradnl"/>
        </w:rPr>
        <w:t xml:space="preserve"> </w:t>
      </w:r>
      <w:r w:rsidR="00F31FE4" w:rsidRPr="006357F0">
        <w:rPr>
          <w:position w:val="-24"/>
          <w:lang w:val="en-GB"/>
        </w:rPr>
        <w:object w:dxaOrig="999" w:dyaOrig="680">
          <v:shape id="_x0000_i1028" type="#_x0000_t75" style="width:50pt;height:33pt" o:ole="">
            <v:imagedata r:id="rId20" o:title=""/>
          </v:shape>
          <o:OLEObject Type="Embed" ProgID="Equation.3" ShapeID="_x0000_i1028" DrawAspect="Content" ObjectID="_1475925541" r:id="rId21"/>
        </w:object>
      </w:r>
      <w:r w:rsidR="00FF74C4" w:rsidRPr="00FB75EB">
        <w:rPr>
          <w:lang w:val="es-ES_tradnl"/>
        </w:rPr>
        <w:t xml:space="preserve">. Por ello, la </w:t>
      </w:r>
      <w:r w:rsidR="00295D4F">
        <w:rPr>
          <w:lang w:val="es-ES_tradnl"/>
        </w:rPr>
        <w:t>correspondien</w:t>
      </w:r>
      <w:r w:rsidRPr="00FB75EB">
        <w:rPr>
          <w:lang w:val="es-ES_tradnl"/>
        </w:rPr>
        <w:t xml:space="preserve">te dfp es </w:t>
      </w:r>
      <w:r w:rsidR="00FF74C4" w:rsidRPr="00FB75EB">
        <w:rPr>
          <w:lang w:val="es-ES_tradnl"/>
        </w:rPr>
        <w:t>–175,2 – 10 log</w:t>
      </w:r>
      <w:r w:rsidR="00FF74C4" w:rsidRPr="00FB75EB">
        <w:rPr>
          <w:vertAlign w:val="subscript"/>
          <w:lang w:val="es-ES_tradnl"/>
        </w:rPr>
        <w:t>10</w:t>
      </w:r>
      <w:r w:rsidR="00FF74C4" w:rsidRPr="00FB75EB">
        <w:rPr>
          <w:lang w:val="es-ES_tradnl"/>
        </w:rPr>
        <w:t xml:space="preserve"> </w:t>
      </w:r>
      <w:r w:rsidR="00FF74C4" w:rsidRPr="00FB75EB">
        <w:rPr>
          <w:i/>
          <w:iCs/>
          <w:lang w:val="es-ES_tradnl"/>
        </w:rPr>
        <w:t>S</w:t>
      </w:r>
      <w:r w:rsidR="00FF74C4" w:rsidRPr="00FB75EB">
        <w:rPr>
          <w:lang w:val="es-ES_tradnl"/>
        </w:rPr>
        <w:t xml:space="preserve"> = –165,4 dB(W/m</w:t>
      </w:r>
      <w:r w:rsidR="00FF74C4" w:rsidRPr="008F429D">
        <w:rPr>
          <w:vertAlign w:val="superscript"/>
          <w:lang w:val="es-ES_tradnl"/>
        </w:rPr>
        <w:t>2</w:t>
      </w:r>
      <w:r w:rsidR="00FF74C4" w:rsidRPr="00FB75EB">
        <w:rPr>
          <w:lang w:val="es-ES_tradnl"/>
        </w:rPr>
        <w:t>).</w:t>
      </w:r>
    </w:p>
    <w:p w:rsidR="00133FC9" w:rsidRPr="00FB75EB" w:rsidRDefault="00133FC9" w:rsidP="00E42804">
      <w:pPr>
        <w:pStyle w:val="Heading2"/>
        <w:rPr>
          <w:lang w:val="es-ES_tradnl"/>
        </w:rPr>
      </w:pPr>
      <w:r w:rsidRPr="00FB75EB">
        <w:rPr>
          <w:lang w:val="es-ES_tradnl"/>
        </w:rPr>
        <w:t>3.2</w:t>
      </w:r>
      <w:r w:rsidRPr="00FB75EB">
        <w:rPr>
          <w:lang w:val="es-ES_tradnl"/>
        </w:rPr>
        <w:tab/>
        <w:t>Conclusión</w:t>
      </w:r>
    </w:p>
    <w:p w:rsidR="00133FC9" w:rsidRDefault="00133FC9" w:rsidP="00D223CC">
      <w:pPr>
        <w:rPr>
          <w:lang w:val="es-ES_tradnl"/>
        </w:rPr>
      </w:pPr>
      <w:r w:rsidRPr="00FB75EB">
        <w:rPr>
          <w:lang w:val="es-ES_tradnl"/>
        </w:rPr>
        <w:t>Tras los cálculos</w:t>
      </w:r>
      <w:r w:rsidR="00FF74C4" w:rsidRPr="00FB75EB">
        <w:rPr>
          <w:lang w:val="es-ES_tradnl"/>
        </w:rPr>
        <w:t>,</w:t>
      </w:r>
      <w:r w:rsidRPr="00FB75EB">
        <w:rPr>
          <w:lang w:val="es-ES_tradnl"/>
        </w:rPr>
        <w:t xml:space="preserve"> </w:t>
      </w:r>
      <w:r w:rsidR="00FF74C4" w:rsidRPr="00FB75EB">
        <w:rPr>
          <w:lang w:val="es-ES_tradnl"/>
        </w:rPr>
        <w:t>c</w:t>
      </w:r>
      <w:r w:rsidRPr="00FB75EB">
        <w:rPr>
          <w:lang w:val="es-ES_tradnl"/>
        </w:rPr>
        <w:t xml:space="preserve">onclusiones y recomendaciones </w:t>
      </w:r>
      <w:r w:rsidR="00FF74C4" w:rsidRPr="00FB75EB">
        <w:rPr>
          <w:lang w:val="es-ES_tradnl"/>
        </w:rPr>
        <w:t xml:space="preserve">anteriores </w:t>
      </w:r>
      <w:r w:rsidRPr="00FB75EB">
        <w:rPr>
          <w:lang w:val="es-ES_tradnl"/>
        </w:rPr>
        <w:t>relativ</w:t>
      </w:r>
      <w:r w:rsidR="00FF74C4" w:rsidRPr="00FB75EB">
        <w:rPr>
          <w:lang w:val="es-ES_tradnl"/>
        </w:rPr>
        <w:t>o</w:t>
      </w:r>
      <w:r w:rsidRPr="00FB75EB">
        <w:rPr>
          <w:lang w:val="es-ES_tradnl"/>
        </w:rPr>
        <w:t xml:space="preserve">s a la repercusión que tiene la combinación de emisiones interferentes </w:t>
      </w:r>
      <w:r w:rsidR="00FF74C4" w:rsidRPr="00FB75EB">
        <w:rPr>
          <w:lang w:val="es-ES_tradnl"/>
        </w:rPr>
        <w:t>d</w:t>
      </w:r>
      <w:r w:rsidRPr="00FB75EB">
        <w:rPr>
          <w:lang w:val="es-ES_tradnl"/>
        </w:rPr>
        <w:t>e banda espectral estrecha</w:t>
      </w:r>
      <w:r w:rsidR="00FF74C4" w:rsidRPr="00FB75EB">
        <w:rPr>
          <w:lang w:val="es-ES_tradnl"/>
        </w:rPr>
        <w:t>, la dfp</w:t>
      </w:r>
      <w:r w:rsidRPr="00FB75EB">
        <w:rPr>
          <w:lang w:val="es-ES_tradnl"/>
        </w:rPr>
        <w:t xml:space="preserve"> no debe rebasar </w:t>
      </w:r>
      <w:r w:rsidR="00FF74C4" w:rsidRPr="00FB75EB">
        <w:rPr>
          <w:lang w:val="es-ES_tradnl"/>
        </w:rPr>
        <w:t xml:space="preserve">el valor de </w:t>
      </w:r>
      <w:r w:rsidR="00562DB5">
        <w:rPr>
          <w:lang w:val="es-ES_tradnl"/>
        </w:rPr>
        <w:t>–</w:t>
      </w:r>
      <w:r w:rsidR="00C34D05">
        <w:rPr>
          <w:lang w:val="es-ES_tradnl"/>
        </w:rPr>
        <w:t>165,4</w:t>
      </w:r>
      <w:r w:rsidR="0078725D" w:rsidRPr="0078725D">
        <w:rPr>
          <w:sz w:val="16"/>
          <w:szCs w:val="16"/>
          <w:lang w:val="es-ES_tradnl"/>
        </w:rPr>
        <w:t> </w:t>
      </w:r>
      <w:r w:rsidR="00C34D05">
        <w:rPr>
          <w:lang w:val="es-ES_tradnl"/>
        </w:rPr>
        <w:t>dB</w:t>
      </w:r>
      <w:r w:rsidRPr="00FB75EB">
        <w:rPr>
          <w:lang w:val="es-ES_tradnl"/>
        </w:rPr>
        <w:t>(W/m</w:t>
      </w:r>
      <w:r w:rsidR="00FF74C4" w:rsidRPr="00FB75EB">
        <w:rPr>
          <w:vertAlign w:val="superscript"/>
          <w:lang w:val="es-ES_tradnl"/>
        </w:rPr>
        <w:t>2</w:t>
      </w:r>
      <w:r w:rsidRPr="00FB75EB">
        <w:rPr>
          <w:lang w:val="es-ES_tradnl"/>
        </w:rPr>
        <w:t xml:space="preserve">) </w:t>
      </w:r>
      <w:r w:rsidR="00FF74C4" w:rsidRPr="00FB75EB">
        <w:rPr>
          <w:lang w:val="es-ES_tradnl"/>
        </w:rPr>
        <w:t>a</w:t>
      </w:r>
      <w:r w:rsidRPr="00FB75EB">
        <w:rPr>
          <w:lang w:val="es-ES_tradnl"/>
        </w:rPr>
        <w:t xml:space="preserve"> la entrada </w:t>
      </w:r>
      <w:r w:rsidR="00FF74C4" w:rsidRPr="00FB75EB">
        <w:rPr>
          <w:lang w:val="es-ES_tradnl"/>
        </w:rPr>
        <w:t>d</w:t>
      </w:r>
      <w:r w:rsidRPr="00FB75EB">
        <w:rPr>
          <w:lang w:val="es-ES_tradnl"/>
        </w:rPr>
        <w:t>e la antena del ARGOS4 en la ba</w:t>
      </w:r>
      <w:r w:rsidR="00295D4F">
        <w:rPr>
          <w:lang w:val="es-ES_tradnl"/>
        </w:rPr>
        <w:t>nda de frecuencias 399,9</w:t>
      </w:r>
      <w:r w:rsidR="00295D4F">
        <w:rPr>
          <w:lang w:val="es-ES_tradnl"/>
        </w:rPr>
        <w:noBreakHyphen/>
        <w:t>400,05 </w:t>
      </w:r>
      <w:r w:rsidRPr="00FB75EB">
        <w:rPr>
          <w:lang w:val="es-ES_tradnl"/>
        </w:rPr>
        <w:t>MHz, en una anchura de banda de resolución de 19 Hz.</w:t>
      </w:r>
    </w:p>
    <w:p w:rsidR="00E42804" w:rsidRPr="00FB75EB" w:rsidRDefault="00E42804" w:rsidP="00562DB5">
      <w:pPr>
        <w:rPr>
          <w:lang w:val="es-ES_tradnl"/>
        </w:rPr>
      </w:pPr>
    </w:p>
    <w:p w:rsidR="00E02DE5" w:rsidRPr="00FB75EB" w:rsidRDefault="00E02DE5">
      <w:pPr>
        <w:jc w:val="center"/>
        <w:rPr>
          <w:lang w:val="es-ES_tradnl"/>
        </w:rPr>
      </w:pPr>
      <w:r w:rsidRPr="00FB75EB">
        <w:rPr>
          <w:lang w:val="es-ES_tradnl"/>
        </w:rPr>
        <w:t>______________</w:t>
      </w:r>
    </w:p>
    <w:sectPr w:rsidR="00E02DE5" w:rsidRPr="00FB75EB" w:rsidSect="00F330C1">
      <w:headerReference w:type="even" r:id="rId22"/>
      <w:headerReference w:type="default" r:id="rId23"/>
      <w:footerReference w:type="even" r:id="rId24"/>
      <w:footerReference w:type="default" r:id="rId2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75EB" w:rsidRDefault="00FB75EB">
      <w:r>
        <w:separator/>
      </w:r>
    </w:p>
  </w:endnote>
  <w:endnote w:type="continuationSeparator" w:id="0">
    <w:p w:rsidR="00FB75EB" w:rsidRDefault="00FB75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New Roman Bold">
    <w:panose1 w:val="020208030705050203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75EB" w:rsidRPr="006974C9" w:rsidRDefault="00FB75EB" w:rsidP="006974C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66D5" w:rsidRPr="006974C9" w:rsidRDefault="009666D5" w:rsidP="006974C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66D5" w:rsidRPr="006974C9" w:rsidRDefault="009666D5" w:rsidP="006974C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75EB" w:rsidRDefault="00FB75EB">
      <w:r>
        <w:separator/>
      </w:r>
    </w:p>
  </w:footnote>
  <w:footnote w:type="continuationSeparator" w:id="0">
    <w:p w:rsidR="00FB75EB" w:rsidRDefault="00FB75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75EB" w:rsidRDefault="00FB75EB" w:rsidP="00110AEC">
    <w:pPr>
      <w:ind w:right="360" w:firstLine="360"/>
    </w:pPr>
    <w:r>
      <w:rPr>
        <w:noProof/>
        <w:lang w:val="en-US" w:eastAsia="zh-CN"/>
      </w:rPr>
      <w:drawing>
        <wp:anchor distT="0" distB="0" distL="114300" distR="114300" simplePos="0" relativeHeight="251659264" behindDoc="1" locked="0" layoutInCell="1" allowOverlap="1" wp14:anchorId="102548FA" wp14:editId="016D57FF">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75EB" w:rsidRDefault="001F1E89" w:rsidP="00110AEC">
    <w:pPr>
      <w:pStyle w:val="Header"/>
      <w:jc w:val="left"/>
    </w:pPr>
    <w:r>
      <w:rPr>
        <w:rStyle w:val="PageNumber"/>
        <w:b/>
        <w:bCs/>
      </w:rPr>
      <w:fldChar w:fldCharType="begin"/>
    </w:r>
    <w:r>
      <w:rPr>
        <w:rStyle w:val="PageNumber"/>
        <w:b/>
        <w:bCs/>
        <w:lang w:val="en-US"/>
      </w:rPr>
      <w:instrText xml:space="preserve"> PAGE </w:instrText>
    </w:r>
    <w:r>
      <w:rPr>
        <w:rStyle w:val="PageNumber"/>
        <w:b/>
        <w:bCs/>
      </w:rPr>
      <w:fldChar w:fldCharType="separate"/>
    </w:r>
    <w:r w:rsidR="004E5043">
      <w:rPr>
        <w:rStyle w:val="PageNumber"/>
        <w:b/>
        <w:bCs/>
        <w:noProof/>
        <w:lang w:val="en-US"/>
      </w:rPr>
      <w:t>ii</w:t>
    </w:r>
    <w:r>
      <w:rPr>
        <w:rStyle w:val="PageNumber"/>
        <w:b/>
        <w:bCs/>
      </w:rPr>
      <w:fldChar w:fldCharType="end"/>
    </w:r>
    <w:r w:rsidR="00FB75EB">
      <w:tab/>
    </w:r>
    <w:r w:rsidR="004E5043">
      <w:fldChar w:fldCharType="begin"/>
    </w:r>
    <w:r w:rsidR="004E5043">
      <w:instrText xml:space="preserve"> DOCPROPERTY "Header" \* MERGEFORMAT </w:instrText>
    </w:r>
    <w:r w:rsidR="004E5043">
      <w:fldChar w:fldCharType="separate"/>
    </w:r>
    <w:r w:rsidR="00DF6C3D" w:rsidRPr="00DF6C3D">
      <w:rPr>
        <w:b/>
        <w:bCs/>
      </w:rPr>
      <w:t xml:space="preserve">Rec. </w:t>
    </w:r>
    <w:r w:rsidR="004E5043">
      <w:rPr>
        <w:b/>
        <w:bCs/>
      </w:rPr>
      <w:fldChar w:fldCharType="end"/>
    </w:r>
    <w:r w:rsidR="00FB75EB" w:rsidRPr="001B395D">
      <w:rPr>
        <w:b/>
        <w:bCs/>
      </w:rPr>
      <w:t xml:space="preserve"> </w:t>
    </w:r>
    <w:r w:rsidR="00FB75EB" w:rsidRPr="001B395D">
      <w:rPr>
        <w:b/>
        <w:bCs/>
      </w:rPr>
      <w:fldChar w:fldCharType="begin"/>
    </w:r>
    <w:r w:rsidR="00FB75EB" w:rsidRPr="001B395D">
      <w:rPr>
        <w:b/>
        <w:bCs/>
      </w:rPr>
      <w:instrText>styleref href</w:instrText>
    </w:r>
    <w:r w:rsidR="00FB75EB" w:rsidRPr="001B395D">
      <w:rPr>
        <w:b/>
        <w:bCs/>
      </w:rPr>
      <w:fldChar w:fldCharType="separate"/>
    </w:r>
    <w:r w:rsidR="004E5043">
      <w:rPr>
        <w:b/>
        <w:bCs/>
        <w:noProof/>
      </w:rPr>
      <w:t>UIT-R  M.2046</w:t>
    </w:r>
    <w:r w:rsidR="00FB75EB" w:rsidRPr="001B395D">
      <w:rPr>
        <w:b/>
        <w:bCs/>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75EB" w:rsidRDefault="00FB75EB">
    <w:r>
      <w:tab/>
    </w:r>
    <w:r w:rsidR="004E5043">
      <w:fldChar w:fldCharType="begin"/>
    </w:r>
    <w:r w:rsidR="004E5043">
      <w:instrText xml:space="preserve"> DOCPROPERTY "Header" \* MERGEFORMAT </w:instrText>
    </w:r>
    <w:r w:rsidR="004E5043">
      <w:fldChar w:fldCharType="separate"/>
    </w:r>
    <w:r w:rsidR="00DF6C3D" w:rsidRPr="00DF6C3D">
      <w:rPr>
        <w:b/>
        <w:bCs/>
      </w:rPr>
      <w:t xml:space="preserve">Rec. </w:t>
    </w:r>
    <w:r w:rsidR="004E5043">
      <w:rPr>
        <w:b/>
        <w:bCs/>
      </w:rPr>
      <w:fldChar w:fldCharType="end"/>
    </w:r>
    <w:r>
      <w:rPr>
        <w:b/>
        <w:bCs/>
      </w:rPr>
      <w:t xml:space="preserve"> </w:t>
    </w:r>
    <w:r>
      <w:rPr>
        <w:b/>
        <w:bCs/>
      </w:rPr>
      <w:fldChar w:fldCharType="begin"/>
    </w:r>
    <w:r>
      <w:rPr>
        <w:b/>
        <w:bCs/>
      </w:rPr>
      <w:instrText>styleref href</w:instrText>
    </w:r>
    <w:r>
      <w:rPr>
        <w:b/>
        <w:bCs/>
      </w:rPr>
      <w:fldChar w:fldCharType="separate"/>
    </w:r>
    <w:r w:rsidR="00DF6C3D">
      <w:rPr>
        <w:b/>
        <w:bCs/>
        <w:noProof/>
      </w:rPr>
      <w:t>UIT-R  M.2046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75EB" w:rsidRDefault="00FB75EB">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E5043">
      <w:rPr>
        <w:rStyle w:val="PageNumber"/>
        <w:b/>
        <w:bCs/>
        <w:noProof/>
        <w:lang w:val="en-US"/>
      </w:rPr>
      <w:t>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DF6C3D" w:rsidRPr="00DF6C3D">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4E5043">
      <w:rPr>
        <w:b/>
        <w:bCs/>
        <w:noProof/>
      </w:rPr>
      <w:t>UIT-R  M.2046</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75EB" w:rsidRDefault="00FB75EB">
    <w:pPr>
      <w:pStyle w:val="Header"/>
    </w:pPr>
    <w:r>
      <w:tab/>
    </w:r>
    <w:r w:rsidR="004E5043">
      <w:fldChar w:fldCharType="begin"/>
    </w:r>
    <w:r w:rsidR="004E5043">
      <w:instrText xml:space="preserve"> DOCPROPERTY "Header" \* MERGEFORMAT </w:instrText>
    </w:r>
    <w:r w:rsidR="004E5043">
      <w:fldChar w:fldCharType="separate"/>
    </w:r>
    <w:r w:rsidR="00DF6C3D" w:rsidRPr="00DF6C3D">
      <w:rPr>
        <w:b/>
        <w:bCs/>
      </w:rPr>
      <w:t xml:space="preserve">Rec. </w:t>
    </w:r>
    <w:r w:rsidR="004E5043">
      <w:rPr>
        <w:b/>
        <w:bCs/>
      </w:rPr>
      <w:fldChar w:fldCharType="end"/>
    </w:r>
    <w:r>
      <w:rPr>
        <w:b/>
        <w:bCs/>
      </w:rPr>
      <w:t xml:space="preserve"> </w:t>
    </w:r>
    <w:r>
      <w:rPr>
        <w:b/>
        <w:bCs/>
      </w:rPr>
      <w:fldChar w:fldCharType="begin"/>
    </w:r>
    <w:r>
      <w:rPr>
        <w:b/>
        <w:bCs/>
      </w:rPr>
      <w:instrText>styleref href</w:instrText>
    </w:r>
    <w:r>
      <w:rPr>
        <w:b/>
        <w:bCs/>
      </w:rPr>
      <w:fldChar w:fldCharType="separate"/>
    </w:r>
    <w:r w:rsidR="004E5043">
      <w:rPr>
        <w:b/>
        <w:bCs/>
        <w:noProof/>
      </w:rPr>
      <w:t>UIT-R  M.2046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E5043">
      <w:rPr>
        <w:rStyle w:val="PageNumber"/>
        <w:b/>
        <w:bCs/>
        <w:noProof/>
      </w:rPr>
      <w:t>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42AB13E"/>
    <w:lvl w:ilvl="0">
      <w:start w:val="1"/>
      <w:numFmt w:val="decimal"/>
      <w:lvlText w:val="%1."/>
      <w:lvlJc w:val="left"/>
      <w:pPr>
        <w:tabs>
          <w:tab w:val="num" w:pos="1492"/>
        </w:tabs>
        <w:ind w:left="1492" w:hanging="360"/>
      </w:pPr>
    </w:lvl>
  </w:abstractNum>
  <w:abstractNum w:abstractNumId="1">
    <w:nsid w:val="FFFFFF7D"/>
    <w:multiLevelType w:val="singleLevel"/>
    <w:tmpl w:val="4DFC4B74"/>
    <w:lvl w:ilvl="0">
      <w:start w:val="1"/>
      <w:numFmt w:val="decimal"/>
      <w:lvlText w:val="%1."/>
      <w:lvlJc w:val="left"/>
      <w:pPr>
        <w:tabs>
          <w:tab w:val="num" w:pos="1209"/>
        </w:tabs>
        <w:ind w:left="1209" w:hanging="360"/>
      </w:pPr>
    </w:lvl>
  </w:abstractNum>
  <w:abstractNum w:abstractNumId="2">
    <w:nsid w:val="FFFFFF7E"/>
    <w:multiLevelType w:val="singleLevel"/>
    <w:tmpl w:val="B5449CE4"/>
    <w:lvl w:ilvl="0">
      <w:start w:val="1"/>
      <w:numFmt w:val="decimal"/>
      <w:lvlText w:val="%1."/>
      <w:lvlJc w:val="left"/>
      <w:pPr>
        <w:tabs>
          <w:tab w:val="num" w:pos="926"/>
        </w:tabs>
        <w:ind w:left="926" w:hanging="360"/>
      </w:pPr>
    </w:lvl>
  </w:abstractNum>
  <w:abstractNum w:abstractNumId="3">
    <w:nsid w:val="FFFFFF7F"/>
    <w:multiLevelType w:val="singleLevel"/>
    <w:tmpl w:val="150CF51C"/>
    <w:lvl w:ilvl="0">
      <w:start w:val="1"/>
      <w:numFmt w:val="decimal"/>
      <w:lvlText w:val="%1."/>
      <w:lvlJc w:val="left"/>
      <w:pPr>
        <w:tabs>
          <w:tab w:val="num" w:pos="643"/>
        </w:tabs>
        <w:ind w:left="643" w:hanging="360"/>
      </w:pPr>
    </w:lvl>
  </w:abstractNum>
  <w:abstractNum w:abstractNumId="4">
    <w:nsid w:val="FFFFFF80"/>
    <w:multiLevelType w:val="singleLevel"/>
    <w:tmpl w:val="3186455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1B4CA9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B74B6F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A9C9C9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5712D654"/>
    <w:lvl w:ilvl="0">
      <w:start w:val="1"/>
      <w:numFmt w:val="decimal"/>
      <w:lvlText w:val="%1."/>
      <w:lvlJc w:val="left"/>
      <w:pPr>
        <w:tabs>
          <w:tab w:val="num" w:pos="360"/>
        </w:tabs>
        <w:ind w:left="360" w:hanging="360"/>
      </w:pPr>
    </w:lvl>
  </w:abstractNum>
  <w:abstractNum w:abstractNumId="9">
    <w:nsid w:val="FFFFFF89"/>
    <w:multiLevelType w:val="singleLevel"/>
    <w:tmpl w:val="8D185A8C"/>
    <w:lvl w:ilvl="0">
      <w:start w:val="1"/>
      <w:numFmt w:val="bullet"/>
      <w:lvlText w:val=""/>
      <w:lvlJc w:val="left"/>
      <w:pPr>
        <w:tabs>
          <w:tab w:val="num" w:pos="360"/>
        </w:tabs>
        <w:ind w:left="360" w:hanging="360"/>
      </w:pPr>
      <w:rPr>
        <w:rFonts w:ascii="Symbol" w:hAnsi="Symbol" w:hint="default"/>
      </w:rPr>
    </w:lvl>
  </w:abstractNum>
  <w:abstractNum w:abstractNumId="10">
    <w:nsid w:val="3E5D340D"/>
    <w:multiLevelType w:val="multilevel"/>
    <w:tmpl w:val="EE8ADACA"/>
    <w:lvl w:ilvl="0">
      <w:start w:val="1"/>
      <w:numFmt w:val="decimal"/>
      <w:lvlText w:val="%1"/>
      <w:lvlJc w:val="left"/>
      <w:pPr>
        <w:ind w:left="1140" w:hanging="78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789A76D1"/>
    <w:multiLevelType w:val="hybridMultilevel"/>
    <w:tmpl w:val="4586B060"/>
    <w:lvl w:ilvl="0" w:tplc="E70EB020">
      <w:start w:val="1"/>
      <w:numFmt w:val="lowerLetter"/>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mirrorMargin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30C1"/>
    <w:rsid w:val="00014852"/>
    <w:rsid w:val="00017CA1"/>
    <w:rsid w:val="000318B3"/>
    <w:rsid w:val="00031C45"/>
    <w:rsid w:val="000725CF"/>
    <w:rsid w:val="00110AEC"/>
    <w:rsid w:val="00133FC9"/>
    <w:rsid w:val="00136B2B"/>
    <w:rsid w:val="00163C7D"/>
    <w:rsid w:val="0017347C"/>
    <w:rsid w:val="00193B54"/>
    <w:rsid w:val="001F1E89"/>
    <w:rsid w:val="00217EBF"/>
    <w:rsid w:val="00231CB5"/>
    <w:rsid w:val="00242AEE"/>
    <w:rsid w:val="00243EB9"/>
    <w:rsid w:val="00256868"/>
    <w:rsid w:val="00295D4F"/>
    <w:rsid w:val="002A1AA9"/>
    <w:rsid w:val="002D3B97"/>
    <w:rsid w:val="002D76C4"/>
    <w:rsid w:val="003E09ED"/>
    <w:rsid w:val="0043003A"/>
    <w:rsid w:val="00434D18"/>
    <w:rsid w:val="004E5043"/>
    <w:rsid w:val="0052529D"/>
    <w:rsid w:val="005275D3"/>
    <w:rsid w:val="005317D3"/>
    <w:rsid w:val="00532873"/>
    <w:rsid w:val="00560909"/>
    <w:rsid w:val="00562DB5"/>
    <w:rsid w:val="005640D7"/>
    <w:rsid w:val="005718FA"/>
    <w:rsid w:val="00573EB1"/>
    <w:rsid w:val="005E30C3"/>
    <w:rsid w:val="00607D68"/>
    <w:rsid w:val="006243E9"/>
    <w:rsid w:val="00627E19"/>
    <w:rsid w:val="006523FC"/>
    <w:rsid w:val="006974C9"/>
    <w:rsid w:val="00713CB8"/>
    <w:rsid w:val="007220C1"/>
    <w:rsid w:val="007308B9"/>
    <w:rsid w:val="007320CB"/>
    <w:rsid w:val="007468DA"/>
    <w:rsid w:val="00764D21"/>
    <w:rsid w:val="0078725D"/>
    <w:rsid w:val="007C17CB"/>
    <w:rsid w:val="007D717E"/>
    <w:rsid w:val="00815E97"/>
    <w:rsid w:val="008327F0"/>
    <w:rsid w:val="00876F5E"/>
    <w:rsid w:val="00883628"/>
    <w:rsid w:val="008C2238"/>
    <w:rsid w:val="008F429D"/>
    <w:rsid w:val="00932E58"/>
    <w:rsid w:val="009406E1"/>
    <w:rsid w:val="0094443B"/>
    <w:rsid w:val="009666D5"/>
    <w:rsid w:val="009E00A8"/>
    <w:rsid w:val="00A05119"/>
    <w:rsid w:val="00A32B9A"/>
    <w:rsid w:val="00A411E7"/>
    <w:rsid w:val="00A6617B"/>
    <w:rsid w:val="00AB0DC8"/>
    <w:rsid w:val="00B44E24"/>
    <w:rsid w:val="00B55A4E"/>
    <w:rsid w:val="00BE6E86"/>
    <w:rsid w:val="00C12341"/>
    <w:rsid w:val="00C34D05"/>
    <w:rsid w:val="00D223CC"/>
    <w:rsid w:val="00D23300"/>
    <w:rsid w:val="00D3044F"/>
    <w:rsid w:val="00DB11A3"/>
    <w:rsid w:val="00DE0D80"/>
    <w:rsid w:val="00DF4176"/>
    <w:rsid w:val="00DF6C3D"/>
    <w:rsid w:val="00E02DE5"/>
    <w:rsid w:val="00E11111"/>
    <w:rsid w:val="00E42804"/>
    <w:rsid w:val="00E8665F"/>
    <w:rsid w:val="00EE00D5"/>
    <w:rsid w:val="00EF0BD4"/>
    <w:rsid w:val="00F035DE"/>
    <w:rsid w:val="00F31FE4"/>
    <w:rsid w:val="00F330C1"/>
    <w:rsid w:val="00FB623A"/>
    <w:rsid w:val="00FB75EB"/>
    <w:rsid w:val="00FF02C6"/>
    <w:rsid w:val="00FF74C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5:docId w15:val="{BBB67BA4-2BE1-4318-9C9D-36EDC34F5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30C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F330C1"/>
    <w:rPr>
      <w:color w:val="0000FF"/>
      <w:u w:val="single"/>
    </w:rPr>
  </w:style>
  <w:style w:type="character" w:customStyle="1" w:styleId="TableheadChar">
    <w:name w:val="Table_head Char"/>
    <w:basedOn w:val="DefaultParagraphFont"/>
    <w:link w:val="Tablehead"/>
    <w:locked/>
    <w:rsid w:val="00F330C1"/>
    <w:rPr>
      <w:b/>
      <w:sz w:val="22"/>
      <w:lang w:val="fr-FR" w:eastAsia="en-US"/>
    </w:rPr>
  </w:style>
  <w:style w:type="character" w:customStyle="1" w:styleId="TabletextChar">
    <w:name w:val="Table_text Char"/>
    <w:basedOn w:val="DefaultParagraphFont"/>
    <w:link w:val="Tabletext"/>
    <w:locked/>
    <w:rsid w:val="00F330C1"/>
    <w:rPr>
      <w:sz w:val="22"/>
      <w:lang w:val="fr-FR" w:eastAsia="en-US"/>
    </w:rPr>
  </w:style>
  <w:style w:type="character" w:customStyle="1" w:styleId="HeadingbChar">
    <w:name w:val="Heading_b Char"/>
    <w:link w:val="Headingb"/>
    <w:locked/>
    <w:rsid w:val="00110AEC"/>
    <w:rPr>
      <w:b/>
      <w:sz w:val="24"/>
      <w:lang w:val="fr-FR" w:eastAsia="en-US"/>
    </w:rPr>
  </w:style>
  <w:style w:type="paragraph" w:customStyle="1" w:styleId="Reasons">
    <w:name w:val="Reasons"/>
    <w:basedOn w:val="Normal"/>
    <w:qFormat/>
    <w:rsid w:val="00E02DE5"/>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EquationChar">
    <w:name w:val="Equation Char"/>
    <w:link w:val="Equation"/>
    <w:locked/>
    <w:rsid w:val="00243EB9"/>
    <w:rPr>
      <w:sz w:val="24"/>
      <w:lang w:val="fr-FR" w:eastAsia="en-US"/>
    </w:rPr>
  </w:style>
  <w:style w:type="table" w:styleId="TableGrid">
    <w:name w:val="Table Grid"/>
    <w:basedOn w:val="TableNormal"/>
    <w:rsid w:val="00EF0B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1.xml"/><Relationship Id="rId18" Type="http://schemas.openxmlformats.org/officeDocument/2006/relationships/image" Target="media/image4.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header" Target="header5.xml"/><Relationship Id="rId10" Type="http://schemas.openxmlformats.org/officeDocument/2006/relationships/hyperlink" Target="http://www.itu.int/publ/R-REC/es" TargetMode="Externa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yperlink" Target="http://www.itu.int/ITU-R/go/patents/es" TargetMode="External"/><Relationship Id="rId14" Type="http://schemas.openxmlformats.org/officeDocument/2006/relationships/image" Target="media/image2.wmf"/><Relationship Id="rId22" Type="http://schemas.openxmlformats.org/officeDocument/2006/relationships/header" Target="header4.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F89F3E-B232-4794-9210-F36CCC8B3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29</TotalTime>
  <Pages>7</Pages>
  <Words>2303</Words>
  <Characters>13059</Characters>
  <Application>Microsoft Office Word</Application>
  <DocSecurity>0</DocSecurity>
  <Lines>483</Lines>
  <Paragraphs>57</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15305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Martinez Romera, Angel</dc:creator>
  <cp:lastModifiedBy>Gachet, Christelle</cp:lastModifiedBy>
  <cp:revision>9</cp:revision>
  <cp:lastPrinted>2014-10-27T10:21:00Z</cp:lastPrinted>
  <dcterms:created xsi:type="dcterms:W3CDTF">2014-10-27T09:56:00Z</dcterms:created>
  <dcterms:modified xsi:type="dcterms:W3CDTF">2014-10-27T13:28:00Z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