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143E" w14:textId="77777777" w:rsidR="00FE79FE" w:rsidRDefault="00FE79FE"/>
    <w:p w14:paraId="3ABF55B5" w14:textId="77777777" w:rsidR="00013002" w:rsidRDefault="00013002" w:rsidP="00DE5556">
      <w:pPr>
        <w:tabs>
          <w:tab w:val="clear" w:pos="794"/>
          <w:tab w:val="clear" w:pos="1191"/>
          <w:tab w:val="clear" w:pos="1588"/>
          <w:tab w:val="clear" w:pos="1985"/>
        </w:tabs>
      </w:pPr>
    </w:p>
    <w:p w14:paraId="5947C9A8" w14:textId="1EC91D2D"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EC4D79">
        <w:rPr>
          <w:lang w:val="es-ES"/>
        </w:rPr>
        <w:t>M</w:t>
      </w:r>
      <w:r w:rsidRPr="00F111D6">
        <w:rPr>
          <w:lang w:val="es-ES"/>
        </w:rPr>
        <w:t>.</w:t>
      </w:r>
      <w:r w:rsidR="00420D29">
        <w:rPr>
          <w:lang w:val="es-ES"/>
        </w:rPr>
        <w:t>2121-1</w:t>
      </w:r>
    </w:p>
    <w:p w14:paraId="3210281F" w14:textId="7519CD4C" w:rsidR="00D5024B" w:rsidRPr="00F111D6" w:rsidRDefault="00D5024B" w:rsidP="00D5024B">
      <w:pPr>
        <w:pStyle w:val="CoverDate"/>
        <w:rPr>
          <w:lang w:val="es-ES"/>
        </w:rPr>
      </w:pPr>
      <w:r w:rsidRPr="00F111D6">
        <w:rPr>
          <w:lang w:val="es-ES"/>
        </w:rPr>
        <w:t>(</w:t>
      </w:r>
      <w:r w:rsidR="00420D29">
        <w:rPr>
          <w:lang w:val="es-ES"/>
        </w:rPr>
        <w:t>12</w:t>
      </w:r>
      <w:r w:rsidRPr="00F111D6">
        <w:rPr>
          <w:lang w:val="es-ES"/>
        </w:rPr>
        <w:t>/</w:t>
      </w:r>
      <w:r w:rsidR="00420D29">
        <w:rPr>
          <w:lang w:val="es-ES"/>
        </w:rPr>
        <w:t>2023</w:t>
      </w:r>
      <w:r w:rsidRPr="00F111D6">
        <w:rPr>
          <w:lang w:val="es-ES"/>
        </w:rPr>
        <w:t>)</w:t>
      </w:r>
    </w:p>
    <w:p w14:paraId="30DFEAEE"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EC4D79">
        <w:rPr>
          <w:lang w:val="es-ES"/>
        </w:rPr>
        <w:t>M</w:t>
      </w:r>
      <w:r w:rsidR="00D5024B" w:rsidRPr="00F111D6">
        <w:rPr>
          <w:lang w:val="es-ES"/>
        </w:rPr>
        <w:t xml:space="preserve">: </w:t>
      </w:r>
      <w:r w:rsidR="00EC4D79" w:rsidRPr="00EC4D79">
        <w:rPr>
          <w:lang w:val="es-ES"/>
        </w:rPr>
        <w:t xml:space="preserve">Servicios móviles, de </w:t>
      </w:r>
      <w:proofErr w:type="spellStart"/>
      <w:r w:rsidR="00EC4D79" w:rsidRPr="00EC4D79">
        <w:rPr>
          <w:lang w:val="es-ES"/>
        </w:rPr>
        <w:t>radiodeterminación</w:t>
      </w:r>
      <w:proofErr w:type="spellEnd"/>
      <w:r w:rsidR="00EC4D79" w:rsidRPr="00EC4D79">
        <w:rPr>
          <w:lang w:val="es-ES"/>
        </w:rPr>
        <w:t>, de aficionados y otros servicios por satélite conexos</w:t>
      </w:r>
    </w:p>
    <w:p w14:paraId="71F2CB65" w14:textId="37097A99" w:rsidR="00FE79FE" w:rsidRPr="00420D29" w:rsidRDefault="00420D29" w:rsidP="00420D29">
      <w:pPr>
        <w:pStyle w:val="CoverTitle"/>
        <w:rPr>
          <w:lang w:val="es-ES"/>
        </w:rPr>
      </w:pPr>
      <w:r w:rsidRPr="00420D29">
        <w:rPr>
          <w:lang w:val="es-ES"/>
        </w:rPr>
        <w:t>Armonización de las bandas de frecuencias para los sistemas de transporte inteligentes en el servicio</w:t>
      </w:r>
      <w:r w:rsidR="00D00E4D">
        <w:rPr>
          <w:lang w:val="es-ES"/>
        </w:rPr>
        <w:t> </w:t>
      </w:r>
      <w:r w:rsidRPr="00420D29">
        <w:rPr>
          <w:lang w:val="es-ES"/>
        </w:rPr>
        <w:t>móvil</w:t>
      </w:r>
    </w:p>
    <w:p w14:paraId="0A71E2DF" w14:textId="77777777" w:rsidR="00A71FE5" w:rsidRPr="00F111D6" w:rsidRDefault="00A71FE5" w:rsidP="005373E0"/>
    <w:p w14:paraId="4E193E2E"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39735B41"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19809FB6"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67BCD73"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0685A7CC"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082E9B1"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w:t>
      </w:r>
      <w:proofErr w:type="gramStart"/>
      <w:r w:rsidRPr="00021E8A">
        <w:rPr>
          <w:sz w:val="20"/>
          <w:lang w:val="es-ES_tradnl"/>
        </w:rPr>
        <w:t>las mismas</w:t>
      </w:r>
      <w:proofErr w:type="gramEnd"/>
      <w:r w:rsidRPr="00021E8A">
        <w:rPr>
          <w:sz w:val="20"/>
          <w:lang w:val="es-ES_tradnl"/>
        </w:rPr>
        <w:t xml:space="preserve">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494C0810" w14:textId="77777777" w:rsidR="0069322D" w:rsidRPr="007C36CA" w:rsidRDefault="0069322D" w:rsidP="0069322D">
      <w:pPr>
        <w:spacing w:before="0"/>
        <w:jc w:val="center"/>
        <w:rPr>
          <w:sz w:val="22"/>
          <w:lang w:val="es-ES_tradnl"/>
        </w:rPr>
      </w:pPr>
    </w:p>
    <w:p w14:paraId="04DE22B6"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4D79" w14:paraId="2676CC7B" w14:textId="77777777" w:rsidTr="0069322D">
        <w:tc>
          <w:tcPr>
            <w:tcW w:w="9360" w:type="dxa"/>
            <w:gridSpan w:val="2"/>
          </w:tcPr>
          <w:p w14:paraId="58E64BE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15F9AD37"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18260D5D" w14:textId="77777777" w:rsidTr="00B96572">
        <w:tc>
          <w:tcPr>
            <w:tcW w:w="1140" w:type="dxa"/>
            <w:tcBorders>
              <w:bottom w:val="nil"/>
            </w:tcBorders>
            <w:vAlign w:val="bottom"/>
          </w:tcPr>
          <w:p w14:paraId="368F58AF"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344A0EC9"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proofErr w:type="spellStart"/>
            <w:r>
              <w:rPr>
                <w:bCs/>
                <w:sz w:val="20"/>
                <w:lang w:val="en-US"/>
              </w:rPr>
              <w:t>Título</w:t>
            </w:r>
            <w:proofErr w:type="spellEnd"/>
          </w:p>
        </w:tc>
      </w:tr>
      <w:tr w:rsidR="0069322D" w:rsidRPr="004532F7" w14:paraId="57E521D7" w14:textId="77777777" w:rsidTr="0069322D">
        <w:tc>
          <w:tcPr>
            <w:tcW w:w="1140" w:type="dxa"/>
            <w:tcBorders>
              <w:top w:val="nil"/>
              <w:bottom w:val="nil"/>
            </w:tcBorders>
            <w:shd w:val="clear" w:color="auto" w:fill="auto"/>
          </w:tcPr>
          <w:p w14:paraId="06DB622F"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29525DCC"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C4D79" w14:paraId="5E4A38A4" w14:textId="77777777" w:rsidTr="0069322D">
        <w:tc>
          <w:tcPr>
            <w:tcW w:w="1140" w:type="dxa"/>
            <w:tcBorders>
              <w:top w:val="nil"/>
              <w:bottom w:val="nil"/>
            </w:tcBorders>
            <w:shd w:val="clear" w:color="auto" w:fill="auto"/>
          </w:tcPr>
          <w:p w14:paraId="0C5020EE"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790C0C8B"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7714A67A" w14:textId="77777777" w:rsidTr="0069322D">
        <w:tc>
          <w:tcPr>
            <w:tcW w:w="1140" w:type="dxa"/>
            <w:tcBorders>
              <w:top w:val="nil"/>
              <w:bottom w:val="nil"/>
            </w:tcBorders>
            <w:shd w:val="clear" w:color="auto" w:fill="auto"/>
          </w:tcPr>
          <w:p w14:paraId="606BC710"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21C0A8B3"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58A5CCD2" w14:textId="77777777" w:rsidTr="008B56B2">
        <w:tc>
          <w:tcPr>
            <w:tcW w:w="1140" w:type="dxa"/>
            <w:tcBorders>
              <w:top w:val="nil"/>
              <w:bottom w:val="nil"/>
            </w:tcBorders>
            <w:shd w:val="clear" w:color="auto" w:fill="auto"/>
          </w:tcPr>
          <w:p w14:paraId="6E439326"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1710A53"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4020F349" w14:textId="77777777" w:rsidTr="00EC4D79">
        <w:tc>
          <w:tcPr>
            <w:tcW w:w="1140" w:type="dxa"/>
            <w:tcBorders>
              <w:top w:val="nil"/>
              <w:bottom w:val="nil"/>
            </w:tcBorders>
            <w:shd w:val="clear" w:color="auto" w:fill="FFFFFF" w:themeFill="background1"/>
          </w:tcPr>
          <w:p w14:paraId="6BAF76BE"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456B4ACA"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EC4D79" w:rsidRPr="00EC4D79" w14:paraId="284F8400" w14:textId="77777777" w:rsidTr="00EC4D79">
        <w:tc>
          <w:tcPr>
            <w:tcW w:w="1140" w:type="dxa"/>
            <w:tcBorders>
              <w:top w:val="nil"/>
              <w:bottom w:val="nil"/>
            </w:tcBorders>
            <w:shd w:val="clear" w:color="auto" w:fill="F2F2F2" w:themeFill="background1" w:themeFillShade="F2"/>
          </w:tcPr>
          <w:p w14:paraId="4B22116F" w14:textId="77777777" w:rsidR="0069322D" w:rsidRPr="00EC4D79" w:rsidRDefault="0069322D" w:rsidP="000B4BD9">
            <w:pPr>
              <w:spacing w:before="30" w:after="30"/>
              <w:ind w:left="57"/>
              <w:jc w:val="left"/>
              <w:rPr>
                <w:rFonts w:hAnsi="Times New Roman Bold"/>
                <w:b/>
                <w:bCs/>
                <w:color w:val="000080"/>
                <w:sz w:val="20"/>
                <w:lang w:val="en-US"/>
              </w:rPr>
            </w:pPr>
            <w:r w:rsidRPr="00EC4D79">
              <w:rPr>
                <w:rFonts w:hAnsi="Times New Roman Bold"/>
                <w:b/>
                <w:bCs/>
                <w:color w:val="000080"/>
                <w:sz w:val="20"/>
                <w:lang w:val="en-US"/>
              </w:rPr>
              <w:t>M</w:t>
            </w:r>
          </w:p>
        </w:tc>
        <w:tc>
          <w:tcPr>
            <w:tcW w:w="8220" w:type="dxa"/>
            <w:tcBorders>
              <w:top w:val="nil"/>
              <w:bottom w:val="nil"/>
            </w:tcBorders>
            <w:shd w:val="clear" w:color="auto" w:fill="F2F2F2" w:themeFill="background1" w:themeFillShade="F2"/>
          </w:tcPr>
          <w:p w14:paraId="7503A7F6" w14:textId="77777777" w:rsidR="0069322D" w:rsidRPr="00EC4D79"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Cs/>
                <w:color w:val="000080"/>
                <w:sz w:val="20"/>
                <w:lang w:val="es-ES_tradnl"/>
              </w:rPr>
            </w:pPr>
            <w:r w:rsidRPr="00EC4D79">
              <w:rPr>
                <w:rFonts w:hAnsi="Times New Roman Bold"/>
                <w:bCs/>
                <w:color w:val="000080"/>
                <w:sz w:val="20"/>
                <w:lang w:val="es-ES_tradnl"/>
              </w:rPr>
              <w:t>Servicios m</w:t>
            </w:r>
            <w:r w:rsidRPr="00EC4D79">
              <w:rPr>
                <w:rFonts w:hAnsi="Times New Roman Bold"/>
                <w:bCs/>
                <w:color w:val="000080"/>
                <w:sz w:val="20"/>
                <w:lang w:val="es-ES_tradnl"/>
              </w:rPr>
              <w:t>ó</w:t>
            </w:r>
            <w:r w:rsidRPr="00EC4D79">
              <w:rPr>
                <w:rFonts w:hAnsi="Times New Roman Bold"/>
                <w:bCs/>
                <w:color w:val="000080"/>
                <w:sz w:val="20"/>
                <w:lang w:val="es-ES_tradnl"/>
              </w:rPr>
              <w:t xml:space="preserve">viles, de </w:t>
            </w:r>
            <w:proofErr w:type="spellStart"/>
            <w:r w:rsidRPr="00EC4D79">
              <w:rPr>
                <w:rFonts w:hAnsi="Times New Roman Bold"/>
                <w:bCs/>
                <w:color w:val="000080"/>
                <w:sz w:val="20"/>
                <w:lang w:val="es-ES_tradnl"/>
              </w:rPr>
              <w:t>radiodeterminaci</w:t>
            </w:r>
            <w:r w:rsidRPr="00EC4D79">
              <w:rPr>
                <w:rFonts w:hAnsi="Times New Roman Bold"/>
                <w:bCs/>
                <w:color w:val="000080"/>
                <w:sz w:val="20"/>
                <w:lang w:val="es-ES_tradnl"/>
              </w:rPr>
              <w:t>ó</w:t>
            </w:r>
            <w:r w:rsidRPr="00EC4D79">
              <w:rPr>
                <w:rFonts w:hAnsi="Times New Roman Bold"/>
                <w:bCs/>
                <w:color w:val="000080"/>
                <w:sz w:val="20"/>
                <w:lang w:val="es-ES_tradnl"/>
              </w:rPr>
              <w:t>n</w:t>
            </w:r>
            <w:proofErr w:type="spellEnd"/>
            <w:r w:rsidRPr="00EC4D79">
              <w:rPr>
                <w:rFonts w:hAnsi="Times New Roman Bold"/>
                <w:bCs/>
                <w:color w:val="000080"/>
                <w:sz w:val="20"/>
                <w:lang w:val="es-ES_tradnl"/>
              </w:rPr>
              <w:t>, de aficionados y otros servicios por sat</w:t>
            </w:r>
            <w:r w:rsidRPr="00EC4D79">
              <w:rPr>
                <w:rFonts w:hAnsi="Times New Roman Bold"/>
                <w:bCs/>
                <w:color w:val="000080"/>
                <w:sz w:val="20"/>
                <w:lang w:val="es-ES_tradnl"/>
              </w:rPr>
              <w:t>é</w:t>
            </w:r>
            <w:r w:rsidRPr="00EC4D79">
              <w:rPr>
                <w:rFonts w:hAnsi="Times New Roman Bold"/>
                <w:bCs/>
                <w:color w:val="000080"/>
                <w:sz w:val="20"/>
                <w:lang w:val="es-ES_tradnl"/>
              </w:rPr>
              <w:t>lite conexos</w:t>
            </w:r>
          </w:p>
        </w:tc>
      </w:tr>
      <w:tr w:rsidR="0069322D" w:rsidRPr="00EC4D79" w14:paraId="3E20ADDD" w14:textId="77777777" w:rsidTr="0069322D">
        <w:tc>
          <w:tcPr>
            <w:tcW w:w="1140" w:type="dxa"/>
            <w:tcBorders>
              <w:top w:val="nil"/>
              <w:bottom w:val="nil"/>
            </w:tcBorders>
            <w:shd w:val="clear" w:color="auto" w:fill="auto"/>
          </w:tcPr>
          <w:p w14:paraId="0D87C2C1"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2C4715EB"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4342BAE5" w14:textId="77777777" w:rsidTr="0069322D">
        <w:tc>
          <w:tcPr>
            <w:tcW w:w="1140" w:type="dxa"/>
            <w:tcBorders>
              <w:top w:val="nil"/>
              <w:bottom w:val="nil"/>
            </w:tcBorders>
            <w:shd w:val="clear" w:color="auto" w:fill="auto"/>
          </w:tcPr>
          <w:p w14:paraId="06BADACB"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4968599D"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C4D79" w14:paraId="092AC690" w14:textId="77777777" w:rsidTr="0069322D">
        <w:tc>
          <w:tcPr>
            <w:tcW w:w="1140" w:type="dxa"/>
            <w:tcBorders>
              <w:top w:val="nil"/>
              <w:bottom w:val="nil"/>
            </w:tcBorders>
            <w:shd w:val="clear" w:color="auto" w:fill="auto"/>
          </w:tcPr>
          <w:p w14:paraId="7208BB61"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5409706C"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4EB1579" w14:textId="77777777" w:rsidTr="00EC4D79">
        <w:tc>
          <w:tcPr>
            <w:tcW w:w="1140" w:type="dxa"/>
            <w:tcBorders>
              <w:top w:val="nil"/>
              <w:bottom w:val="nil"/>
            </w:tcBorders>
            <w:shd w:val="clear" w:color="auto" w:fill="auto"/>
          </w:tcPr>
          <w:p w14:paraId="4910484C"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10B2581D" w14:textId="77777777" w:rsidR="0069322D" w:rsidRPr="00025336" w:rsidRDefault="0069322D" w:rsidP="000B4BD9">
            <w:pPr>
              <w:spacing w:before="30" w:after="30"/>
              <w:jc w:val="left"/>
              <w:rPr>
                <w:sz w:val="20"/>
                <w:lang w:val="en-US"/>
              </w:rPr>
            </w:pPr>
            <w:r w:rsidRPr="00025336">
              <w:rPr>
                <w:sz w:val="20"/>
              </w:rPr>
              <w:t>Servicio fijo por satélite</w:t>
            </w:r>
          </w:p>
        </w:tc>
      </w:tr>
      <w:tr w:rsidR="00EC4D79" w:rsidRPr="00EC4D79" w14:paraId="1CD4A6E8" w14:textId="77777777" w:rsidTr="00EC4D79">
        <w:tc>
          <w:tcPr>
            <w:tcW w:w="1140" w:type="dxa"/>
            <w:tcBorders>
              <w:top w:val="nil"/>
              <w:bottom w:val="nil"/>
            </w:tcBorders>
            <w:shd w:val="clear" w:color="auto" w:fill="FFFFFF" w:themeFill="background1"/>
          </w:tcPr>
          <w:p w14:paraId="69A37AA0" w14:textId="77777777" w:rsidR="0069322D" w:rsidRPr="00EC4D79" w:rsidRDefault="0069322D" w:rsidP="000B4BD9">
            <w:pPr>
              <w:spacing w:before="30" w:after="30"/>
              <w:ind w:left="57"/>
              <w:jc w:val="left"/>
              <w:rPr>
                <w:b/>
                <w:bCs/>
                <w:sz w:val="20"/>
                <w:lang w:val="en-US"/>
              </w:rPr>
            </w:pPr>
            <w:r w:rsidRPr="00EC4D79">
              <w:rPr>
                <w:b/>
                <w:bCs/>
                <w:sz w:val="20"/>
                <w:lang w:val="en-US"/>
              </w:rPr>
              <w:t>SA</w:t>
            </w:r>
          </w:p>
        </w:tc>
        <w:tc>
          <w:tcPr>
            <w:tcW w:w="8220" w:type="dxa"/>
            <w:tcBorders>
              <w:top w:val="nil"/>
              <w:bottom w:val="nil"/>
            </w:tcBorders>
            <w:shd w:val="clear" w:color="auto" w:fill="FFFFFF" w:themeFill="background1"/>
          </w:tcPr>
          <w:p w14:paraId="3FA44AC1" w14:textId="77777777" w:rsidR="0069322D" w:rsidRPr="00EC4D79" w:rsidRDefault="0069322D" w:rsidP="000B4BD9">
            <w:pPr>
              <w:spacing w:before="30" w:after="30"/>
              <w:jc w:val="left"/>
              <w:rPr>
                <w:sz w:val="20"/>
                <w:lang w:val="en-US"/>
              </w:rPr>
            </w:pPr>
            <w:r w:rsidRPr="00EC4D79">
              <w:rPr>
                <w:sz w:val="20"/>
              </w:rPr>
              <w:t>Aplicaciones espaciales y meteorología</w:t>
            </w:r>
          </w:p>
        </w:tc>
      </w:tr>
      <w:tr w:rsidR="0069322D" w:rsidRPr="00EC4D79" w14:paraId="397AC087" w14:textId="77777777" w:rsidTr="0069322D">
        <w:tc>
          <w:tcPr>
            <w:tcW w:w="1140" w:type="dxa"/>
            <w:tcBorders>
              <w:top w:val="nil"/>
            </w:tcBorders>
          </w:tcPr>
          <w:p w14:paraId="2513CF2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03FDC4FD"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3BAF2CE9" w14:textId="77777777" w:rsidTr="0069322D">
        <w:tc>
          <w:tcPr>
            <w:tcW w:w="1140" w:type="dxa"/>
            <w:shd w:val="clear" w:color="auto" w:fill="auto"/>
          </w:tcPr>
          <w:p w14:paraId="3538D1BC"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FD2F934"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224082A" w14:textId="77777777" w:rsidTr="0069322D">
        <w:tc>
          <w:tcPr>
            <w:tcW w:w="1140" w:type="dxa"/>
          </w:tcPr>
          <w:p w14:paraId="4A5ACB7F"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83DB3B6"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C4D79" w14:paraId="3BBBA30D" w14:textId="77777777" w:rsidTr="0069322D">
        <w:tc>
          <w:tcPr>
            <w:tcW w:w="1140" w:type="dxa"/>
          </w:tcPr>
          <w:p w14:paraId="0B59EBD5"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3B9032D"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FFA66B1" w14:textId="77777777" w:rsidTr="0069322D">
        <w:tc>
          <w:tcPr>
            <w:tcW w:w="1140" w:type="dxa"/>
          </w:tcPr>
          <w:p w14:paraId="286AEB10"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28C88747"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34425B1C"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04C8AE9" w14:textId="77777777" w:rsidTr="000B4BD9">
        <w:tc>
          <w:tcPr>
            <w:tcW w:w="720" w:type="dxa"/>
          </w:tcPr>
          <w:p w14:paraId="70AE0D99"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C4D79" w14:paraId="27CDE63C" w14:textId="77777777" w:rsidTr="00B96572">
        <w:tc>
          <w:tcPr>
            <w:tcW w:w="9360" w:type="dxa"/>
          </w:tcPr>
          <w:p w14:paraId="7379EEDF"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21066424" w14:textId="77777777" w:rsidR="0069322D" w:rsidRPr="00763D08" w:rsidRDefault="0069322D" w:rsidP="0069322D">
      <w:pPr>
        <w:spacing w:before="0"/>
        <w:jc w:val="center"/>
        <w:rPr>
          <w:sz w:val="22"/>
          <w:lang w:val="es-ES_tradnl"/>
        </w:rPr>
      </w:pPr>
    </w:p>
    <w:p w14:paraId="0D3C727A"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63006B0A" w14:textId="51AAFD2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420D29">
        <w:rPr>
          <w:sz w:val="20"/>
          <w:lang w:val="es-ES_tradnl"/>
        </w:rPr>
        <w:t>4</w:t>
      </w:r>
    </w:p>
    <w:p w14:paraId="22174BBB" w14:textId="77777777" w:rsidR="0069322D" w:rsidRPr="00763D08" w:rsidRDefault="0069322D" w:rsidP="0069322D">
      <w:pPr>
        <w:spacing w:before="0" w:after="120"/>
        <w:jc w:val="center"/>
        <w:rPr>
          <w:sz w:val="22"/>
          <w:lang w:val="es-ES_tradnl"/>
        </w:rPr>
      </w:pPr>
    </w:p>
    <w:p w14:paraId="72C10A64" w14:textId="467D4B54"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420D29">
        <w:rPr>
          <w:sz w:val="20"/>
          <w:lang w:val="es-ES_tradnl"/>
        </w:rPr>
        <w:t>4</w:t>
      </w:r>
    </w:p>
    <w:p w14:paraId="72B886C7"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C17623A"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8200E22" w14:textId="6456ED62" w:rsidR="00B874C6" w:rsidRPr="00F17CED" w:rsidRDefault="00F17CED" w:rsidP="00A936CB">
      <w:pPr>
        <w:pStyle w:val="RecNo"/>
        <w:spacing w:before="0"/>
      </w:pPr>
      <w:bookmarkStart w:id="2" w:name="irecnoe"/>
      <w:bookmarkEnd w:id="2"/>
      <w:proofErr w:type="gramStart"/>
      <w:r w:rsidRPr="00F17CED">
        <w:lastRenderedPageBreak/>
        <w:t>RECOMENDACIÓN</w:t>
      </w:r>
      <w:r w:rsidR="00B874C6" w:rsidRPr="00F17CED">
        <w:t xml:space="preserve">  </w:t>
      </w:r>
      <w:r w:rsidR="00A25EE2" w:rsidRPr="00F17CED">
        <w:rPr>
          <w:rStyle w:val="href"/>
        </w:rPr>
        <w:t>UI</w:t>
      </w:r>
      <w:r w:rsidR="00B874C6" w:rsidRPr="00F17CED">
        <w:rPr>
          <w:rStyle w:val="href"/>
        </w:rPr>
        <w:t>T</w:t>
      </w:r>
      <w:proofErr w:type="gramEnd"/>
      <w:r w:rsidR="00B874C6" w:rsidRPr="00F17CED">
        <w:rPr>
          <w:rStyle w:val="href"/>
        </w:rPr>
        <w:t xml:space="preserve">-R  </w:t>
      </w:r>
      <w:r w:rsidR="00EC4D79">
        <w:rPr>
          <w:rStyle w:val="href"/>
        </w:rPr>
        <w:t>M</w:t>
      </w:r>
      <w:r w:rsidR="00B874C6" w:rsidRPr="00F17CED">
        <w:rPr>
          <w:rStyle w:val="href"/>
        </w:rPr>
        <w:t>.</w:t>
      </w:r>
      <w:r w:rsidR="00420D29">
        <w:rPr>
          <w:rStyle w:val="href"/>
        </w:rPr>
        <w:t>2121-1</w:t>
      </w:r>
    </w:p>
    <w:p w14:paraId="20CAF7A2" w14:textId="34593346" w:rsidR="00934ED7" w:rsidRPr="00F17CED" w:rsidRDefault="00420D29" w:rsidP="00420D29">
      <w:pPr>
        <w:pStyle w:val="Rectitle"/>
      </w:pPr>
      <w:r w:rsidRPr="00F77716">
        <w:rPr>
          <w:lang w:eastAsia="zh-CN"/>
        </w:rPr>
        <w:t xml:space="preserve">Armonización de las bandas de frecuencias para los sistemas </w:t>
      </w:r>
      <w:r w:rsidRPr="00F77716">
        <w:rPr>
          <w:lang w:eastAsia="zh-CN"/>
        </w:rPr>
        <w:br/>
        <w:t>de transporte inteligentes en el servicio móvil</w:t>
      </w:r>
    </w:p>
    <w:p w14:paraId="41653B0D" w14:textId="77777777" w:rsidR="00420D29" w:rsidRPr="00B81213" w:rsidRDefault="00420D29" w:rsidP="00420D29">
      <w:pPr>
        <w:pStyle w:val="Recref"/>
        <w:rPr>
          <w:lang w:eastAsia="ja-JP"/>
        </w:rPr>
      </w:pPr>
      <w:r w:rsidRPr="00B81213">
        <w:rPr>
          <w:lang w:eastAsia="ja-JP"/>
        </w:rPr>
        <w:t>(Cuestión UIT-R 205-</w:t>
      </w:r>
      <w:r>
        <w:rPr>
          <w:lang w:eastAsia="ja-JP"/>
        </w:rPr>
        <w:t>6</w:t>
      </w:r>
      <w:r w:rsidRPr="00B81213">
        <w:rPr>
          <w:lang w:eastAsia="ja-JP"/>
        </w:rPr>
        <w:t>/5)</w:t>
      </w:r>
    </w:p>
    <w:p w14:paraId="63972F32" w14:textId="77777777" w:rsidR="00420D29" w:rsidRPr="00F77716" w:rsidRDefault="00420D29" w:rsidP="00E05C87">
      <w:pPr>
        <w:pStyle w:val="Recdate"/>
      </w:pPr>
      <w:r w:rsidRPr="00F77716">
        <w:rPr>
          <w:lang w:eastAsia="ja-JP"/>
        </w:rPr>
        <w:t>(2019</w:t>
      </w:r>
      <w:r>
        <w:rPr>
          <w:lang w:eastAsia="ja-JP"/>
        </w:rPr>
        <w:t>-2023</w:t>
      </w:r>
      <w:r w:rsidRPr="00F77716">
        <w:rPr>
          <w:lang w:eastAsia="ja-JP"/>
        </w:rPr>
        <w:t>)</w:t>
      </w:r>
    </w:p>
    <w:p w14:paraId="39FA8A53" w14:textId="010CF0C0" w:rsidR="00420D29" w:rsidRPr="00B81213" w:rsidRDefault="00E05C87" w:rsidP="00420D29">
      <w:pPr>
        <w:pStyle w:val="HeadingSum"/>
      </w:pPr>
      <w:r>
        <w:t>Cometido</w:t>
      </w:r>
    </w:p>
    <w:p w14:paraId="5B9960FA" w14:textId="77777777" w:rsidR="00420D29" w:rsidRPr="00F77716" w:rsidRDefault="00420D29" w:rsidP="00420D29">
      <w:pPr>
        <w:pStyle w:val="Summary"/>
      </w:pPr>
      <w:r w:rsidRPr="00F77716">
        <w:t>Esta Recomendación proporciona orientaciones sobre las bandas de frecuencias armonizadas que deben utilizar los sistemas de transporte inteligentes (STI) en relación con el intercambio de información para mejorar la gestión del tráfico y ayudar a la conducción segura. En l</w:t>
      </w:r>
      <w:r w:rsidRPr="00B81213">
        <w:t xml:space="preserve">a presente Recomendación se </w:t>
      </w:r>
      <w:r w:rsidRPr="00F77716">
        <w:t xml:space="preserve">alienta a las administraciones a emplear bandas de frecuencias armonizadas </w:t>
      </w:r>
      <w:bookmarkStart w:id="3" w:name="lt_pId062"/>
      <w:r w:rsidRPr="00B81213">
        <w:t>en todas las Regiones del UIT-R para dichas aplicaciones STI.</w:t>
      </w:r>
      <w:bookmarkEnd w:id="3"/>
      <w:r w:rsidRPr="00B81213">
        <w:t xml:space="preserve"> </w:t>
      </w:r>
      <w:bookmarkStart w:id="4" w:name="lt_pId063"/>
      <w:r w:rsidRPr="00B81213">
        <w:t>En el Anexo a la presente Recomendación se dan ejemplos de las bandas de frecuencias pertinentes.</w:t>
      </w:r>
      <w:bookmarkEnd w:id="4"/>
    </w:p>
    <w:p w14:paraId="262A33F5" w14:textId="77777777" w:rsidR="00420D29" w:rsidRPr="00DD4463" w:rsidRDefault="00420D29" w:rsidP="00420D29">
      <w:pPr>
        <w:pStyle w:val="Headingb"/>
      </w:pPr>
      <w:r w:rsidRPr="00DD4463">
        <w:t>Palabra clave</w:t>
      </w:r>
    </w:p>
    <w:p w14:paraId="3C180F60" w14:textId="77777777" w:rsidR="00420D29" w:rsidRPr="00DD4463" w:rsidRDefault="00420D29" w:rsidP="00420D29">
      <w:bookmarkStart w:id="5" w:name="lt_pId065"/>
      <w:r w:rsidRPr="00DD4463">
        <w:t>Sistemas de transporte inteligentes (STI)</w:t>
      </w:r>
      <w:bookmarkEnd w:id="5"/>
    </w:p>
    <w:p w14:paraId="0212B9C2" w14:textId="6DFC5C46" w:rsidR="00420D29" w:rsidRPr="00DD4463" w:rsidRDefault="00E05C87" w:rsidP="00420D29">
      <w:pPr>
        <w:pStyle w:val="Headingb"/>
      </w:pPr>
      <w:proofErr w:type="spellStart"/>
      <w:r>
        <w:t>Abreviaturas</w:t>
      </w:r>
      <w:proofErr w:type="spellEnd"/>
    </w:p>
    <w:p w14:paraId="236CFFD3" w14:textId="77777777" w:rsidR="00420D29" w:rsidRPr="00DD4463" w:rsidRDefault="00420D29" w:rsidP="00E05C87">
      <w:bookmarkStart w:id="6" w:name="lt_pId067"/>
      <w:r w:rsidRPr="00DD4463">
        <w:t>CEPT</w:t>
      </w:r>
      <w:bookmarkEnd w:id="6"/>
      <w:r w:rsidRPr="00DD4463">
        <w:tab/>
        <w:t>Conferencia Europea de Administraciones de Correos y Telecomunicaciones</w:t>
      </w:r>
    </w:p>
    <w:p w14:paraId="279F0BE9" w14:textId="77777777" w:rsidR="00420D29" w:rsidRPr="00DD4463" w:rsidRDefault="00420D29" w:rsidP="00E05C87">
      <w:bookmarkStart w:id="7" w:name="lt_pId069"/>
      <w:r w:rsidRPr="00DD4463">
        <w:t>SFS</w:t>
      </w:r>
      <w:bookmarkEnd w:id="7"/>
      <w:r w:rsidRPr="00DD4463">
        <w:tab/>
        <w:t>Servicio fijo por satélite</w:t>
      </w:r>
    </w:p>
    <w:p w14:paraId="1B98B45A" w14:textId="77777777" w:rsidR="00420D29" w:rsidRPr="00DD4463" w:rsidRDefault="00420D29" w:rsidP="00E05C87">
      <w:bookmarkStart w:id="8" w:name="lt_pId071"/>
      <w:r w:rsidRPr="00DD4463">
        <w:t>STI</w:t>
      </w:r>
      <w:bookmarkEnd w:id="8"/>
      <w:r w:rsidRPr="00DD4463">
        <w:tab/>
      </w:r>
      <w:bookmarkStart w:id="9" w:name="lt_pId072"/>
      <w:r w:rsidRPr="00DD4463">
        <w:t>Sistemas de transporte inteligentes</w:t>
      </w:r>
      <w:bookmarkEnd w:id="9"/>
    </w:p>
    <w:p w14:paraId="4C4B97D8" w14:textId="77777777" w:rsidR="00420D29" w:rsidRPr="00DD4463" w:rsidRDefault="00420D29" w:rsidP="00E05C87">
      <w:pPr>
        <w:pStyle w:val="Headingb"/>
      </w:pPr>
      <w:bookmarkStart w:id="10" w:name="lt_pId074"/>
      <w:proofErr w:type="spellStart"/>
      <w:r w:rsidRPr="00E05C87">
        <w:t>Recomendaciones</w:t>
      </w:r>
      <w:proofErr w:type="spellEnd"/>
      <w:r w:rsidRPr="00DD4463">
        <w:t xml:space="preserve"> e </w:t>
      </w:r>
      <w:proofErr w:type="spellStart"/>
      <w:r w:rsidRPr="00DD4463">
        <w:t>Informes</w:t>
      </w:r>
      <w:proofErr w:type="spellEnd"/>
      <w:r w:rsidRPr="00DD4463">
        <w:t xml:space="preserve"> de la UIT conexos</w:t>
      </w:r>
    </w:p>
    <w:p w14:paraId="0B0D0753" w14:textId="77777777" w:rsidR="00420D29" w:rsidRPr="00F77716" w:rsidRDefault="00420D29" w:rsidP="00420D29">
      <w:pPr>
        <w:pStyle w:val="Reftext"/>
      </w:pPr>
      <w:r w:rsidRPr="00F77716">
        <w:t xml:space="preserve">Recomendación UIT-R M.1452 – </w:t>
      </w:r>
      <w:r w:rsidRPr="00F77716">
        <w:rPr>
          <w:lang w:eastAsia="zh-CN"/>
        </w:rPr>
        <w:t>Radares de ondas milimétricas para evitar colisiones entre vehículos y sistemas de radiocomunicaciones para aplicaciones de sistemas de transporte inteligentes</w:t>
      </w:r>
    </w:p>
    <w:p w14:paraId="0DDEA411" w14:textId="77777777" w:rsidR="00420D29" w:rsidRPr="00B81213" w:rsidRDefault="00420D29" w:rsidP="00420D29">
      <w:pPr>
        <w:pStyle w:val="Reftext"/>
      </w:pPr>
      <w:bookmarkStart w:id="11" w:name="lt_pId075"/>
      <w:bookmarkEnd w:id="10"/>
      <w:r w:rsidRPr="00B81213">
        <w:t xml:space="preserve">Recomendación UIT-R M.1453 – Sistemas de transporte inteligentes </w:t>
      </w:r>
      <w:r w:rsidRPr="00C545E9">
        <w:t>–</w:t>
      </w:r>
      <w:r w:rsidRPr="00B81213">
        <w:t xml:space="preserve"> Comunicaciones especializadas de corto alcance a 5,8 GHz</w:t>
      </w:r>
    </w:p>
    <w:p w14:paraId="3148DA65" w14:textId="77777777" w:rsidR="00420D29" w:rsidRPr="00B81213" w:rsidRDefault="00420D29" w:rsidP="00420D29">
      <w:pPr>
        <w:pStyle w:val="Reftext"/>
      </w:pPr>
      <w:bookmarkStart w:id="12" w:name="lt_pId076"/>
      <w:bookmarkEnd w:id="11"/>
      <w:r w:rsidRPr="00B81213">
        <w:t xml:space="preserve">Recomendación UIT-R M.1797 – </w:t>
      </w:r>
      <w:bookmarkEnd w:id="12"/>
      <w:r w:rsidRPr="00B81213">
        <w:t>Vocabulario de términos relativos al servicio móvil terrestre</w:t>
      </w:r>
    </w:p>
    <w:p w14:paraId="52EF33B3" w14:textId="77777777" w:rsidR="00420D29" w:rsidRPr="00B81213" w:rsidRDefault="00420D29" w:rsidP="00420D29">
      <w:pPr>
        <w:pStyle w:val="Reftext"/>
      </w:pPr>
      <w:bookmarkStart w:id="13" w:name="lt_pId077"/>
      <w:r w:rsidRPr="00B81213">
        <w:t>Recomendación UIT-R M.2084 – Normas relativas a la interfaz radioeléctrica de las comunicaciones de vehículo a vehículo y de vehículo a infraestructura para aplicaciones de sistemas de transporte inteligentes</w:t>
      </w:r>
      <w:bookmarkEnd w:id="13"/>
    </w:p>
    <w:p w14:paraId="3D9F4028" w14:textId="77777777" w:rsidR="00420D29" w:rsidRPr="00B81213" w:rsidRDefault="00420D29" w:rsidP="00420D29">
      <w:pPr>
        <w:pStyle w:val="Reftext"/>
      </w:pPr>
      <w:bookmarkStart w:id="14" w:name="lt_pId078"/>
      <w:r w:rsidRPr="00B81213">
        <w:t xml:space="preserve">Informe UIT-R M.2228 – </w:t>
      </w:r>
      <w:bookmarkEnd w:id="14"/>
      <w:r w:rsidRPr="00B81213">
        <w:t xml:space="preserve">Radiocomunicaciones para sistemas avanzados de transporte inteligente </w:t>
      </w:r>
    </w:p>
    <w:p w14:paraId="216D081D" w14:textId="77777777" w:rsidR="00420D29" w:rsidRPr="00B81213" w:rsidRDefault="00420D29" w:rsidP="00420D29">
      <w:pPr>
        <w:pStyle w:val="Reftext"/>
      </w:pPr>
      <w:bookmarkStart w:id="15" w:name="lt_pId079"/>
      <w:r w:rsidRPr="00B81213">
        <w:t xml:space="preserve">Informe UIT-R M.2444 – </w:t>
      </w:r>
      <w:bookmarkEnd w:id="15"/>
      <w:r w:rsidRPr="00B81213">
        <w:t>Ejemplos de disposiciones para el despliegue de los sistemas de transporte inteligente</w:t>
      </w:r>
      <w:r>
        <w:t>s</w:t>
      </w:r>
      <w:r w:rsidRPr="00B81213">
        <w:t xml:space="preserve"> en el servicio móvil</w:t>
      </w:r>
    </w:p>
    <w:p w14:paraId="6EDD023F" w14:textId="77777777" w:rsidR="00420D29" w:rsidRPr="00B81213" w:rsidRDefault="00420D29" w:rsidP="00420D29">
      <w:pPr>
        <w:pStyle w:val="Reftext"/>
      </w:pPr>
      <w:bookmarkStart w:id="16" w:name="lt_pId080"/>
      <w:r w:rsidRPr="00B81213">
        <w:t>Informe UIT-R M.2445 – Utilización de los sistemas de transporte inteligentes (STI)</w:t>
      </w:r>
      <w:bookmarkEnd w:id="16"/>
    </w:p>
    <w:p w14:paraId="2FAC1031" w14:textId="77777777" w:rsidR="00420D29" w:rsidRPr="00F77716" w:rsidRDefault="00420D29" w:rsidP="00420D29">
      <w:pPr>
        <w:pStyle w:val="Normalaftertitle"/>
      </w:pPr>
      <w:bookmarkStart w:id="17" w:name="lt_pId081"/>
      <w:r w:rsidRPr="00F77716">
        <w:t>La Asamblea de Radiocomunicaciones de la UIT,</w:t>
      </w:r>
      <w:bookmarkEnd w:id="17"/>
    </w:p>
    <w:p w14:paraId="76F5F174" w14:textId="77777777" w:rsidR="00420D29" w:rsidRPr="00F77716" w:rsidRDefault="00420D29" w:rsidP="00420D29">
      <w:pPr>
        <w:pStyle w:val="Call"/>
      </w:pPr>
      <w:r w:rsidRPr="00F77716">
        <w:t>considerando</w:t>
      </w:r>
    </w:p>
    <w:p w14:paraId="543CDE2F" w14:textId="77777777" w:rsidR="00420D29" w:rsidRPr="00F77716" w:rsidRDefault="00420D29" w:rsidP="00420D29">
      <w:bookmarkStart w:id="18" w:name="lt_pId083"/>
      <w:r w:rsidRPr="00F77716">
        <w:rPr>
          <w:i/>
          <w:iCs/>
        </w:rPr>
        <w:t>a)</w:t>
      </w:r>
      <w:bookmarkEnd w:id="18"/>
      <w:r w:rsidRPr="00F77716">
        <w:tab/>
      </w:r>
      <w:bookmarkStart w:id="19" w:name="lt_pId084"/>
      <w:r w:rsidRPr="00F77716">
        <w:t>que las crecientes necesidades de radiocomunicaciones para la gestión nacional e internacional de carreteras pueden satisfacerse mediante sistemas de transporte inteligentes (STI) evolutivos;</w:t>
      </w:r>
      <w:bookmarkEnd w:id="19"/>
    </w:p>
    <w:p w14:paraId="3E249268" w14:textId="77777777" w:rsidR="00420D29" w:rsidRPr="00F77716" w:rsidRDefault="00420D29" w:rsidP="00420D29">
      <w:pPr>
        <w:keepLines/>
      </w:pPr>
      <w:bookmarkStart w:id="20" w:name="lt_pId085"/>
      <w:r w:rsidRPr="00F77716">
        <w:rPr>
          <w:i/>
          <w:iCs/>
        </w:rPr>
        <w:t>b)</w:t>
      </w:r>
      <w:bookmarkEnd w:id="20"/>
      <w:r w:rsidRPr="00F77716">
        <w:tab/>
      </w:r>
      <w:bookmarkStart w:id="21" w:name="lt_pId086"/>
      <w:r w:rsidRPr="00F77716">
        <w:t>que la planificación nacional del espectro para los STI requiere la cooperación con otras administraciones interesadas, a fin de obtener mayores niveles de armonización del espectro;</w:t>
      </w:r>
      <w:bookmarkEnd w:id="21"/>
    </w:p>
    <w:p w14:paraId="1C1177C0" w14:textId="77777777" w:rsidR="00420D29" w:rsidRPr="00DD4463" w:rsidRDefault="00420D29" w:rsidP="00420D29">
      <w:bookmarkStart w:id="22" w:name="lt_pId087"/>
      <w:r w:rsidRPr="00F77716">
        <w:rPr>
          <w:i/>
          <w:iCs/>
        </w:rPr>
        <w:lastRenderedPageBreak/>
        <w:t>c)</w:t>
      </w:r>
      <w:bookmarkEnd w:id="22"/>
      <w:r w:rsidRPr="00F77716">
        <w:tab/>
      </w:r>
      <w:bookmarkStart w:id="23" w:name="lt_pId088"/>
      <w:r w:rsidRPr="00F77716">
        <w:t>que la utilización de las mismas frecuencias en el mismo servicio permitirá a las administraciones beneficiarse de la armonización y continuar satisfaciendo las necesidades de planificación nacionales;</w:t>
      </w:r>
      <w:bookmarkEnd w:id="23"/>
    </w:p>
    <w:p w14:paraId="652BBDAA" w14:textId="77777777" w:rsidR="00420D29" w:rsidRPr="00F77716" w:rsidRDefault="00420D29" w:rsidP="00420D29">
      <w:bookmarkStart w:id="24" w:name="lt_pId089"/>
      <w:r w:rsidRPr="00F77716">
        <w:rPr>
          <w:i/>
          <w:iCs/>
        </w:rPr>
        <w:t>d)</w:t>
      </w:r>
      <w:bookmarkEnd w:id="24"/>
      <w:r w:rsidRPr="00F77716">
        <w:tab/>
      </w:r>
      <w:bookmarkStart w:id="25" w:name="lt_pId090"/>
      <w:r w:rsidRPr="00F77716">
        <w:t>las ventajas de la cooperación entre países que ofrecen operaciones de transporte eficaces;</w:t>
      </w:r>
      <w:bookmarkEnd w:id="25"/>
    </w:p>
    <w:p w14:paraId="5A181672" w14:textId="77777777" w:rsidR="00420D29" w:rsidRPr="00F77716" w:rsidRDefault="00420D29" w:rsidP="00420D29">
      <w:bookmarkStart w:id="26" w:name="lt_pId091"/>
      <w:r w:rsidRPr="00F77716">
        <w:rPr>
          <w:i/>
          <w:iCs/>
        </w:rPr>
        <w:t>e)</w:t>
      </w:r>
      <w:bookmarkEnd w:id="26"/>
      <w:r w:rsidRPr="00F77716">
        <w:tab/>
      </w:r>
      <w:bookmarkStart w:id="27" w:name="lt_pId092"/>
      <w:r w:rsidRPr="00F77716">
        <w:t>que la utilización de aplicaciones STI podría mejorar la gestión del tráfico, contribuir a una conducción segura y dar soporte a la conducción automatizada;</w:t>
      </w:r>
      <w:bookmarkEnd w:id="27"/>
    </w:p>
    <w:p w14:paraId="6921FEA2" w14:textId="77777777" w:rsidR="00420D29" w:rsidRPr="00F77716" w:rsidRDefault="00420D29" w:rsidP="00420D29">
      <w:bookmarkStart w:id="28" w:name="lt_pId093"/>
      <w:r w:rsidRPr="00F77716">
        <w:rPr>
          <w:i/>
          <w:iCs/>
        </w:rPr>
        <w:t>f)</w:t>
      </w:r>
      <w:bookmarkEnd w:id="28"/>
      <w:r w:rsidRPr="00F77716">
        <w:tab/>
      </w:r>
      <w:bookmarkStart w:id="29" w:name="lt_pId094"/>
      <w:r w:rsidRPr="00F77716">
        <w:t>que las ventajas de la armonización del espectro para STI son:</w:t>
      </w:r>
      <w:bookmarkEnd w:id="29"/>
    </w:p>
    <w:p w14:paraId="58328A48" w14:textId="77777777" w:rsidR="00420D29" w:rsidRPr="00F77716" w:rsidRDefault="00420D29" w:rsidP="00420D29">
      <w:pPr>
        <w:pStyle w:val="enumlev1"/>
      </w:pPr>
      <w:r w:rsidRPr="00F77716">
        <w:t>–</w:t>
      </w:r>
      <w:r w:rsidRPr="00F77716">
        <w:tab/>
      </w:r>
      <w:bookmarkStart w:id="30" w:name="lt_pId096"/>
      <w:r w:rsidRPr="00F77716">
        <w:t>un mayor potencial para las operaciones de transporte, especialmente las transfronterizas;</w:t>
      </w:r>
      <w:bookmarkEnd w:id="30"/>
    </w:p>
    <w:p w14:paraId="25EFC88B" w14:textId="77777777" w:rsidR="00420D29" w:rsidRPr="00F77716" w:rsidRDefault="00420D29" w:rsidP="00420D29">
      <w:pPr>
        <w:pStyle w:val="enumlev1"/>
      </w:pPr>
      <w:r w:rsidRPr="00F77716">
        <w:t>–</w:t>
      </w:r>
      <w:r w:rsidRPr="00F77716">
        <w:tab/>
      </w:r>
      <w:bookmarkStart w:id="31" w:name="lt_pId098"/>
      <w:r w:rsidRPr="00F77716">
        <w:t>una base manufacturera más amplia y un mayor volumen de equipos, lo</w:t>
      </w:r>
      <w:r>
        <w:t xml:space="preserve"> que se tradu</w:t>
      </w:r>
      <w:r w:rsidRPr="00F77716">
        <w:t>ce en economías de escala y en una mayor disponibilidad de equipos;</w:t>
      </w:r>
      <w:bookmarkEnd w:id="31"/>
    </w:p>
    <w:p w14:paraId="7AED54E9" w14:textId="77777777" w:rsidR="00420D29" w:rsidRPr="00F77716" w:rsidRDefault="00420D29" w:rsidP="00420D29">
      <w:pPr>
        <w:pStyle w:val="enumlev1"/>
      </w:pPr>
      <w:r w:rsidRPr="00F77716">
        <w:t>–</w:t>
      </w:r>
      <w:r w:rsidRPr="00F77716">
        <w:tab/>
      </w:r>
      <w:bookmarkStart w:id="32" w:name="lt_pId100"/>
      <w:r w:rsidRPr="00F77716">
        <w:t>la mejora de la gestión y la planificación del espectro</w:t>
      </w:r>
      <w:bookmarkEnd w:id="32"/>
      <w:r>
        <w:t>;</w:t>
      </w:r>
    </w:p>
    <w:p w14:paraId="7DDF555E" w14:textId="77777777" w:rsidR="00420D29" w:rsidRPr="00F77716" w:rsidRDefault="00420D29" w:rsidP="00420D29">
      <w:pPr>
        <w:rPr>
          <w:szCs w:val="24"/>
        </w:rPr>
      </w:pPr>
      <w:bookmarkStart w:id="33" w:name="lt_pId101"/>
      <w:r w:rsidRPr="00F77716">
        <w:rPr>
          <w:i/>
          <w:iCs/>
        </w:rPr>
        <w:t>g)</w:t>
      </w:r>
      <w:bookmarkEnd w:id="33"/>
      <w:r w:rsidRPr="00F77716">
        <w:rPr>
          <w:szCs w:val="24"/>
        </w:rPr>
        <w:tab/>
      </w:r>
      <w:bookmarkStart w:id="34" w:name="lt_pId102"/>
      <w:r w:rsidRPr="00F77716">
        <w:rPr>
          <w:szCs w:val="24"/>
        </w:rPr>
        <w:t>la necesidad de desarrollar bandas de frecuencias armonizadas para los STI;</w:t>
      </w:r>
      <w:bookmarkEnd w:id="34"/>
    </w:p>
    <w:p w14:paraId="7BDAF88C" w14:textId="77777777" w:rsidR="00420D29" w:rsidRPr="00F77716" w:rsidRDefault="00420D29" w:rsidP="00420D29">
      <w:bookmarkStart w:id="35" w:name="lt_pId103"/>
      <w:r w:rsidRPr="00F77716">
        <w:rPr>
          <w:i/>
          <w:iCs/>
        </w:rPr>
        <w:t>h)</w:t>
      </w:r>
      <w:bookmarkEnd w:id="35"/>
      <w:r w:rsidRPr="00F77716">
        <w:tab/>
      </w:r>
      <w:bookmarkStart w:id="36" w:name="lt_pId104"/>
      <w:r w:rsidRPr="00F77716">
        <w:t xml:space="preserve">que la designación de dichas bandas de frecuencias, o partes de </w:t>
      </w:r>
      <w:proofErr w:type="gramStart"/>
      <w:r w:rsidRPr="00F77716">
        <w:t>las mismas</w:t>
      </w:r>
      <w:proofErr w:type="gramEnd"/>
      <w:r w:rsidRPr="00F77716">
        <w:t>, armonizadas para los STI no excluye la utilización de estas bandas o frecuencias por otras aplicaciones de los servicios a los que están atribuidas ni establece prioridad alguna en cuanto a la aplicación y utilización del Reglamento de Radiocomunicaciones;</w:t>
      </w:r>
      <w:bookmarkEnd w:id="36"/>
    </w:p>
    <w:p w14:paraId="1A7E0760" w14:textId="77777777" w:rsidR="00420D29" w:rsidRPr="00F77716" w:rsidRDefault="00420D29" w:rsidP="00420D29">
      <w:bookmarkStart w:id="37" w:name="lt_pId105"/>
      <w:r w:rsidRPr="00F77716">
        <w:rPr>
          <w:i/>
          <w:iCs/>
        </w:rPr>
        <w:t>i)</w:t>
      </w:r>
      <w:bookmarkEnd w:id="37"/>
      <w:r w:rsidRPr="00F77716">
        <w:tab/>
      </w:r>
      <w:bookmarkStart w:id="38" w:name="lt_pId106"/>
      <w:r w:rsidRPr="00F77716">
        <w:t>que otros sistemas móviles terrestres pueden complementar eficazmente los STI;</w:t>
      </w:r>
      <w:bookmarkEnd w:id="38"/>
    </w:p>
    <w:p w14:paraId="6FEDB2BB" w14:textId="77777777" w:rsidR="00420D29" w:rsidRPr="00F77716" w:rsidRDefault="00420D29" w:rsidP="00420D29">
      <w:pPr>
        <w:rPr>
          <w:i/>
        </w:rPr>
      </w:pPr>
      <w:bookmarkStart w:id="39" w:name="lt_pId107"/>
      <w:r w:rsidRPr="00F77716">
        <w:rPr>
          <w:i/>
          <w:iCs/>
        </w:rPr>
        <w:t>j)</w:t>
      </w:r>
      <w:bookmarkEnd w:id="39"/>
      <w:r w:rsidRPr="00F77716">
        <w:tab/>
      </w:r>
      <w:bookmarkStart w:id="40" w:name="lt_pId108"/>
      <w:r w:rsidRPr="00F77716">
        <w:t>que los STI no están destinados a proporcionar conectividad de banda ancha a los conductores/pasajeros,</w:t>
      </w:r>
      <w:bookmarkEnd w:id="40"/>
    </w:p>
    <w:p w14:paraId="0CEEAD5E" w14:textId="77777777" w:rsidR="00420D29" w:rsidRPr="00F77716" w:rsidRDefault="00420D29" w:rsidP="00420D29">
      <w:pPr>
        <w:pStyle w:val="Call"/>
      </w:pPr>
      <w:r w:rsidRPr="00F77716">
        <w:t>reconociendo</w:t>
      </w:r>
    </w:p>
    <w:p w14:paraId="3B7DA552" w14:textId="77777777" w:rsidR="00420D29" w:rsidRPr="00F77716" w:rsidRDefault="00420D29" w:rsidP="00420D29">
      <w:pPr>
        <w:rPr>
          <w:i/>
        </w:rPr>
      </w:pPr>
      <w:bookmarkStart w:id="41" w:name="lt_pId110"/>
      <w:r w:rsidRPr="00F77716">
        <w:rPr>
          <w:i/>
        </w:rPr>
        <w:t>a)</w:t>
      </w:r>
      <w:bookmarkEnd w:id="41"/>
      <w:r w:rsidRPr="00F77716">
        <w:rPr>
          <w:i/>
        </w:rPr>
        <w:tab/>
      </w:r>
      <w:bookmarkStart w:id="42" w:name="lt_pId111"/>
      <w:r w:rsidRPr="00F77716">
        <w:t>que el Informe</w:t>
      </w:r>
      <w:r w:rsidRPr="00F77716">
        <w:rPr>
          <w:color w:val="000000" w:themeColor="text1"/>
        </w:rPr>
        <w:t xml:space="preserve"> U</w:t>
      </w:r>
      <w:r w:rsidRPr="00F77716">
        <w:t>IT-R M.2444 contiene ejemplos de disposiciones para el despliegue de STI en determinadas regiones y países con el fin de ayudar a mejorar la gestión del tráfico y la seguridad de la conducción;</w:t>
      </w:r>
      <w:bookmarkEnd w:id="42"/>
    </w:p>
    <w:p w14:paraId="5E3C2124" w14:textId="77777777" w:rsidR="00420D29" w:rsidRPr="00F77716" w:rsidRDefault="00420D29" w:rsidP="00420D29">
      <w:pPr>
        <w:rPr>
          <w:i/>
        </w:rPr>
      </w:pPr>
      <w:bookmarkStart w:id="43" w:name="lt_pId112"/>
      <w:r w:rsidRPr="00F77716">
        <w:rPr>
          <w:i/>
        </w:rPr>
        <w:t>b)</w:t>
      </w:r>
      <w:bookmarkEnd w:id="43"/>
      <w:r w:rsidRPr="00F77716">
        <w:rPr>
          <w:i/>
        </w:rPr>
        <w:tab/>
      </w:r>
      <w:bookmarkStart w:id="44" w:name="lt_pId113"/>
      <w:r w:rsidRPr="00F77716">
        <w:t>que un determinado país de la Región 3 explota un sistema STI en torno a 5,8 GHz, como se describe en la Recomendación UIT-R M.1453,</w:t>
      </w:r>
      <w:bookmarkEnd w:id="44"/>
    </w:p>
    <w:p w14:paraId="43D04090" w14:textId="77777777" w:rsidR="00420D29" w:rsidRPr="00F77716" w:rsidRDefault="00420D29" w:rsidP="00420D29">
      <w:pPr>
        <w:pStyle w:val="Call"/>
      </w:pPr>
      <w:r w:rsidRPr="00F77716">
        <w:t>observando</w:t>
      </w:r>
    </w:p>
    <w:p w14:paraId="2749B007" w14:textId="77777777" w:rsidR="00420D29" w:rsidRPr="00F77716" w:rsidRDefault="00420D29" w:rsidP="00420D29">
      <w:bookmarkStart w:id="45" w:name="lt_pId115"/>
      <w:r w:rsidRPr="00F77716">
        <w:rPr>
          <w:i/>
          <w:iCs/>
        </w:rPr>
        <w:t>a)</w:t>
      </w:r>
      <w:bookmarkEnd w:id="45"/>
      <w:r w:rsidRPr="00F77716">
        <w:tab/>
      </w:r>
      <w:bookmarkStart w:id="46" w:name="lt_pId116"/>
      <w:r w:rsidRPr="00F77716">
        <w:t>que los STI funcionan en las atribuciones existentes al servicio móvil;</w:t>
      </w:r>
      <w:bookmarkEnd w:id="46"/>
    </w:p>
    <w:p w14:paraId="50F2BC9B" w14:textId="77777777" w:rsidR="00420D29" w:rsidRPr="00F77716" w:rsidRDefault="00420D29" w:rsidP="00420D29">
      <w:bookmarkStart w:id="47" w:name="lt_pId117"/>
      <w:r w:rsidRPr="00F77716">
        <w:rPr>
          <w:i/>
          <w:iCs/>
        </w:rPr>
        <w:t>b)</w:t>
      </w:r>
      <w:bookmarkEnd w:id="47"/>
      <w:r w:rsidRPr="00F77716">
        <w:tab/>
      </w:r>
      <w:bookmarkStart w:id="48" w:name="lt_pId118"/>
      <w:r w:rsidRPr="00F77716">
        <w:t xml:space="preserve">que las bandas de frecuencias armonizadas por la presente Recomendación están atribuidas </w:t>
      </w:r>
      <w:r>
        <w:t xml:space="preserve">a </w:t>
      </w:r>
      <w:r w:rsidRPr="00F77716">
        <w:t>diversos servicios de conformidad con las disposiciones pertinentes del Reglamento de Radiocomunicaciones;</w:t>
      </w:r>
      <w:bookmarkEnd w:id="48"/>
    </w:p>
    <w:p w14:paraId="0B3A6BC4" w14:textId="77777777" w:rsidR="00420D29" w:rsidRPr="00F77716" w:rsidRDefault="00420D29" w:rsidP="00420D29">
      <w:pPr>
        <w:rPr>
          <w:i/>
          <w:iCs/>
        </w:rPr>
      </w:pPr>
      <w:bookmarkStart w:id="49" w:name="lt_pId119"/>
      <w:r w:rsidRPr="00F77716">
        <w:rPr>
          <w:i/>
          <w:iCs/>
        </w:rPr>
        <w:t>c)</w:t>
      </w:r>
      <w:bookmarkEnd w:id="49"/>
      <w:r w:rsidRPr="00F77716">
        <w:tab/>
      </w:r>
      <w:bookmarkStart w:id="50" w:name="lt_pId120"/>
      <w:r w:rsidRPr="00F77716">
        <w:t xml:space="preserve">que las aplicaciones STI no se entienden como una aplicación de un servicio de seguridad (número </w:t>
      </w:r>
      <w:r w:rsidRPr="00DF2D89">
        <w:rPr>
          <w:rStyle w:val="Artref"/>
          <w:b/>
        </w:rPr>
        <w:t>1.59</w:t>
      </w:r>
      <w:r w:rsidRPr="00DD4463">
        <w:t xml:space="preserve"> del </w:t>
      </w:r>
      <w:r w:rsidRPr="00F77716">
        <w:t>RR</w:t>
      </w:r>
      <w:proofErr w:type="gramStart"/>
      <w:r w:rsidRPr="00F77716">
        <w:t>);</w:t>
      </w:r>
      <w:bookmarkEnd w:id="50"/>
      <w:proofErr w:type="gramEnd"/>
    </w:p>
    <w:p w14:paraId="5B44EF6E" w14:textId="77777777" w:rsidR="00420D29" w:rsidRPr="00F77716" w:rsidRDefault="00420D29" w:rsidP="00420D29">
      <w:bookmarkStart w:id="51" w:name="lt_pId121"/>
      <w:r w:rsidRPr="00F77716">
        <w:rPr>
          <w:i/>
          <w:iCs/>
        </w:rPr>
        <w:t>d)</w:t>
      </w:r>
      <w:bookmarkEnd w:id="51"/>
      <w:r w:rsidRPr="00F77716">
        <w:tab/>
      </w:r>
      <w:bookmarkStart w:id="52" w:name="lt_pId122"/>
      <w:r w:rsidRPr="00F77716">
        <w:t>que la planificación del espectro para los STI se lleva a cabo a nivel nacional, teniendo en cuenta las ventajas de las bandas de frecuencias armonizadas utilizadas por las administraciones vecinas</w:t>
      </w:r>
      <w:bookmarkEnd w:id="52"/>
      <w:r w:rsidRPr="00F77716">
        <w:t>;</w:t>
      </w:r>
    </w:p>
    <w:p w14:paraId="7EA235C2" w14:textId="77777777" w:rsidR="00420D29" w:rsidRPr="000706B2" w:rsidRDefault="00420D29" w:rsidP="00420D29">
      <w:bookmarkStart w:id="53" w:name="lt_pId123"/>
      <w:r w:rsidRPr="00F77716">
        <w:rPr>
          <w:i/>
          <w:iCs/>
        </w:rPr>
        <w:t>e)</w:t>
      </w:r>
      <w:bookmarkEnd w:id="53"/>
      <w:r w:rsidRPr="00F77716">
        <w:tab/>
      </w:r>
      <w:bookmarkStart w:id="54" w:name="lt_pId124"/>
      <w:r w:rsidRPr="00F77716">
        <w:t>que las administraciones deben tener flexibilidad para determinar, a nivel nacional, la cantidad de espectro que pondrán a disposición para los STI, a fin de satisfacer sus necesidades nacionales particulares, teniendo en cuenta las aplicaciones existentes y su evolución</w:t>
      </w:r>
      <w:bookmarkEnd w:id="54"/>
      <w:r>
        <w:t>;</w:t>
      </w:r>
    </w:p>
    <w:p w14:paraId="2FF55BC6" w14:textId="77777777" w:rsidR="00420D29" w:rsidRPr="00F77716" w:rsidRDefault="00420D29" w:rsidP="00420D29">
      <w:bookmarkStart w:id="55" w:name="lt_pId125"/>
      <w:r w:rsidRPr="00F77716">
        <w:rPr>
          <w:i/>
        </w:rPr>
        <w:t>f)</w:t>
      </w:r>
      <w:bookmarkEnd w:id="55"/>
      <w:r w:rsidRPr="00F77716">
        <w:tab/>
      </w:r>
      <w:bookmarkStart w:id="56" w:name="lt_pId126"/>
      <w:r w:rsidRPr="00F77716">
        <w:t>que debe garantizarse la protección de los servicios existentes;</w:t>
      </w:r>
      <w:bookmarkEnd w:id="56"/>
    </w:p>
    <w:p w14:paraId="72CE7DFD" w14:textId="77777777" w:rsidR="00420D29" w:rsidRPr="00F77716" w:rsidRDefault="00420D29" w:rsidP="00420D29">
      <w:bookmarkStart w:id="57" w:name="lt_pId127"/>
      <w:r w:rsidRPr="00ED70BB">
        <w:rPr>
          <w:i/>
          <w:iCs/>
        </w:rPr>
        <w:t>g)</w:t>
      </w:r>
      <w:bookmarkEnd w:id="57"/>
      <w:r w:rsidRPr="00F77716">
        <w:tab/>
      </w:r>
      <w:bookmarkStart w:id="58" w:name="lt_pId128"/>
      <w:r w:rsidRPr="00F77716">
        <w:t>que un determinado país de la Región 3 explota un si</w:t>
      </w:r>
      <w:r>
        <w:t>stema STI evolutivo en la banda </w:t>
      </w:r>
      <w:r w:rsidRPr="00F77716">
        <w:t>755,5</w:t>
      </w:r>
      <w:r>
        <w:noBreakHyphen/>
      </w:r>
      <w:r w:rsidRPr="00F77716">
        <w:t>764,5 MHz;</w:t>
      </w:r>
      <w:bookmarkEnd w:id="58"/>
    </w:p>
    <w:p w14:paraId="76C4428D" w14:textId="36A26A26" w:rsidR="00420D29" w:rsidRPr="00ED4A15" w:rsidRDefault="00420D29" w:rsidP="00420D29">
      <w:pPr>
        <w:rPr>
          <w:i/>
          <w:lang w:val="es-ES"/>
        </w:rPr>
      </w:pPr>
      <w:bookmarkStart w:id="59" w:name="lt_pId129"/>
      <w:r w:rsidRPr="00ED4A15">
        <w:rPr>
          <w:i/>
          <w:lang w:val="es-ES"/>
        </w:rPr>
        <w:lastRenderedPageBreak/>
        <w:t>h)</w:t>
      </w:r>
      <w:bookmarkEnd w:id="59"/>
      <w:r w:rsidRPr="00ED4A15">
        <w:rPr>
          <w:i/>
          <w:lang w:val="es-ES"/>
        </w:rPr>
        <w:tab/>
      </w:r>
      <w:bookmarkStart w:id="60" w:name="lt_pId130"/>
      <w:r w:rsidRPr="00ED4A15">
        <w:rPr>
          <w:lang w:val="es-ES" w:eastAsia="ja-JP"/>
        </w:rPr>
        <w:t>que algunas administraciones en cada una de las tres Regiones de la UIT han desplegado redes de radiocomunicaciones de área local en la banda de frecuencias 5 725</w:t>
      </w:r>
      <w:r w:rsidRPr="00ED4A15">
        <w:rPr>
          <w:lang w:val="es-ES" w:eastAsia="ja-JP"/>
        </w:rPr>
        <w:noBreakHyphen/>
        <w:t>5 85</w:t>
      </w:r>
      <w:r w:rsidR="00ED4A15" w:rsidRPr="00ED4A15">
        <w:rPr>
          <w:lang w:val="es-ES" w:eastAsia="ja-JP"/>
        </w:rPr>
        <w:t>0</w:t>
      </w:r>
      <w:r w:rsidRPr="00ED4A15">
        <w:rPr>
          <w:lang w:val="es-ES" w:eastAsia="ja-JP"/>
        </w:rPr>
        <w:t> MHz</w:t>
      </w:r>
      <w:r w:rsidRPr="00ED4A15">
        <w:rPr>
          <w:spacing w:val="-3"/>
          <w:lang w:val="es-ES"/>
        </w:rPr>
        <w:t xml:space="preserve"> y </w:t>
      </w:r>
      <w:r w:rsidRPr="00ED4A15">
        <w:rPr>
          <w:lang w:val="es-ES" w:eastAsia="ja-JP"/>
        </w:rPr>
        <w:t xml:space="preserve">otras administraciones han autorizado o </w:t>
      </w:r>
      <w:r w:rsidRPr="00ED4A15">
        <w:rPr>
          <w:spacing w:val="-3"/>
          <w:lang w:val="es-ES"/>
        </w:rPr>
        <w:t xml:space="preserve">están considerando </w:t>
      </w:r>
      <w:r w:rsidRPr="00ED4A15">
        <w:rPr>
          <w:lang w:val="es-ES" w:eastAsia="ja-JP"/>
        </w:rPr>
        <w:t xml:space="preserve">la posibilidad de autorizar redes de radiocomunicaciones de área local en la banda de frecuencias </w:t>
      </w:r>
      <w:r w:rsidRPr="00ED4A15">
        <w:rPr>
          <w:spacing w:val="-3"/>
          <w:lang w:val="es-ES"/>
        </w:rPr>
        <w:t>5 850</w:t>
      </w:r>
      <w:r w:rsidRPr="00ED4A15">
        <w:rPr>
          <w:spacing w:val="-3"/>
          <w:lang w:val="es-ES"/>
        </w:rPr>
        <w:noBreakHyphen/>
        <w:t xml:space="preserve">5 925 MHz o partes de </w:t>
      </w:r>
      <w:proofErr w:type="gramStart"/>
      <w:r w:rsidRPr="00ED4A15">
        <w:rPr>
          <w:spacing w:val="-3"/>
          <w:lang w:val="es-ES"/>
        </w:rPr>
        <w:t>la misma</w:t>
      </w:r>
      <w:proofErr w:type="gramEnd"/>
      <w:r w:rsidRPr="00ED4A15">
        <w:rPr>
          <w:spacing w:val="-3"/>
          <w:lang w:val="es-ES"/>
        </w:rPr>
        <w:t>;</w:t>
      </w:r>
      <w:bookmarkEnd w:id="60"/>
    </w:p>
    <w:p w14:paraId="623A0DF0" w14:textId="77777777" w:rsidR="00420D29" w:rsidRPr="00F77716" w:rsidRDefault="00420D29" w:rsidP="00420D29">
      <w:bookmarkStart w:id="61" w:name="lt_pId131"/>
      <w:proofErr w:type="spellStart"/>
      <w:r w:rsidRPr="00F77716">
        <w:rPr>
          <w:i/>
          <w:iCs/>
        </w:rPr>
        <w:t>i</w:t>
      </w:r>
      <w:proofErr w:type="spellEnd"/>
      <w:r w:rsidRPr="00F77716">
        <w:rPr>
          <w:i/>
          <w:iCs/>
        </w:rPr>
        <w:t>)</w:t>
      </w:r>
      <w:bookmarkEnd w:id="61"/>
      <w:r w:rsidRPr="00F77716">
        <w:tab/>
      </w:r>
      <w:bookmarkStart w:id="62" w:name="lt_pId132"/>
      <w:r w:rsidRPr="00F77716">
        <w:t xml:space="preserve">que </w:t>
      </w:r>
      <w:proofErr w:type="spellStart"/>
      <w:r w:rsidRPr="00F77716">
        <w:t>los</w:t>
      </w:r>
      <w:proofErr w:type="spellEnd"/>
      <w:r w:rsidRPr="00F77716">
        <w:t xml:space="preserve"> enlaces ascendentes de las estaciones terrenas del SFS pueden causar interferencia potencial a los dispositivos STI, especialmente cuando se encuentran muy </w:t>
      </w:r>
      <w:proofErr w:type="gramStart"/>
      <w:r w:rsidRPr="00F77716">
        <w:t>cerca;</w:t>
      </w:r>
      <w:bookmarkEnd w:id="62"/>
      <w:proofErr w:type="gramEnd"/>
    </w:p>
    <w:p w14:paraId="68358D9F" w14:textId="77777777" w:rsidR="00420D29" w:rsidRPr="00DD4463" w:rsidRDefault="00420D29" w:rsidP="00420D29">
      <w:bookmarkStart w:id="63" w:name="lt_pId133"/>
      <w:r w:rsidRPr="00F77716">
        <w:rPr>
          <w:i/>
          <w:iCs/>
        </w:rPr>
        <w:t>j)</w:t>
      </w:r>
      <w:bookmarkEnd w:id="63"/>
      <w:r w:rsidRPr="00F77716">
        <w:tab/>
      </w:r>
      <w:bookmarkStart w:id="64" w:name="lt_pId134"/>
      <w:r w:rsidRPr="00F77716">
        <w:t>que administraciones de la CEPT han considerado que los dispositivos STI no pueden reclamar protección contras los enlaces ascendentes de las estaciones terrenas del SFS en la banda de frecuencias 5</w:t>
      </w:r>
      <w:r>
        <w:t> </w:t>
      </w:r>
      <w:r w:rsidRPr="00F77716">
        <w:t>850-5</w:t>
      </w:r>
      <w:r>
        <w:t> </w:t>
      </w:r>
      <w:r w:rsidRPr="00F77716">
        <w:t>925</w:t>
      </w:r>
      <w:r>
        <w:t> </w:t>
      </w:r>
      <w:r w:rsidRPr="00F77716">
        <w:t>MHz para facilitar la coexistencia, en cuyo caso los dispositivos</w:t>
      </w:r>
      <w:r>
        <w:t> </w:t>
      </w:r>
      <w:r w:rsidRPr="00F77716">
        <w:t>STI desplegados dentro de la CEPT tienen que asumir la interferencia creada por los enlaces ascendentes de las estaciones terrenas del SFS,</w:t>
      </w:r>
      <w:bookmarkEnd w:id="64"/>
    </w:p>
    <w:p w14:paraId="6986FA01" w14:textId="77777777" w:rsidR="00420D29" w:rsidRPr="00F77716" w:rsidRDefault="00420D29" w:rsidP="00420D29">
      <w:pPr>
        <w:pStyle w:val="Call"/>
      </w:pPr>
      <w:r w:rsidRPr="00F77716">
        <w:t>recomienda</w:t>
      </w:r>
    </w:p>
    <w:p w14:paraId="7A31F21E" w14:textId="77777777" w:rsidR="00420D29" w:rsidRPr="00F77716" w:rsidRDefault="00420D29" w:rsidP="00420D29">
      <w:r w:rsidRPr="00F77716">
        <w:rPr>
          <w:b/>
          <w:bCs/>
        </w:rPr>
        <w:t>1</w:t>
      </w:r>
      <w:r w:rsidRPr="00F77716">
        <w:tab/>
      </w:r>
      <w:bookmarkStart w:id="65" w:name="lt_pId137"/>
      <w:r w:rsidRPr="00F77716">
        <w:t xml:space="preserve">que, habida cuenta del </w:t>
      </w:r>
      <w:r w:rsidRPr="00DD4463">
        <w:rPr>
          <w:i/>
          <w:iCs/>
        </w:rPr>
        <w:t>considerando h)</w:t>
      </w:r>
      <w:r w:rsidRPr="00DD4463">
        <w:t>,</w:t>
      </w:r>
      <w:r w:rsidRPr="00F77716">
        <w:t xml:space="preserve"> las administraciones consideren la posibilidad de utilizar la banda de frecuencias 5 850-5 925 MHz, o partes de </w:t>
      </w:r>
      <w:proofErr w:type="gramStart"/>
      <w:r w:rsidRPr="00F77716">
        <w:t>la misma</w:t>
      </w:r>
      <w:proofErr w:type="gramEnd"/>
      <w:r w:rsidRPr="00F77716">
        <w:t>, para las aplicaciones STI presentes y futuras;</w:t>
      </w:r>
      <w:bookmarkEnd w:id="65"/>
    </w:p>
    <w:p w14:paraId="69226F78" w14:textId="77777777" w:rsidR="00420D29" w:rsidRPr="007853D3" w:rsidRDefault="00420D29" w:rsidP="00420D29">
      <w:pPr>
        <w:rPr>
          <w:spacing w:val="-6"/>
        </w:rPr>
      </w:pPr>
      <w:r w:rsidRPr="007853D3">
        <w:rPr>
          <w:b/>
          <w:bCs/>
          <w:spacing w:val="-6"/>
        </w:rPr>
        <w:t>2</w:t>
      </w:r>
      <w:r w:rsidRPr="007853D3">
        <w:rPr>
          <w:spacing w:val="-6"/>
        </w:rPr>
        <w:tab/>
      </w:r>
      <w:bookmarkStart w:id="66" w:name="lt_pId139"/>
      <w:r w:rsidRPr="007853D3">
        <w:rPr>
          <w:spacing w:val="-6"/>
        </w:rPr>
        <w:t xml:space="preserve">que se </w:t>
      </w:r>
      <w:r>
        <w:rPr>
          <w:spacing w:val="-6"/>
        </w:rPr>
        <w:t>consideren</w:t>
      </w:r>
      <w:r w:rsidRPr="007853D3">
        <w:rPr>
          <w:spacing w:val="-6"/>
        </w:rPr>
        <w:t xml:space="preserve"> los ejemplos de bandas de frecuencias de STI que ya se están utilizado, indicadas en el Anexo, a la hora de armonizar las bandas de frecuencias de los STI a escala regional;</w:t>
      </w:r>
      <w:bookmarkEnd w:id="66"/>
    </w:p>
    <w:p w14:paraId="691B311F" w14:textId="181E466A" w:rsidR="00420D29" w:rsidRPr="00C64E77" w:rsidRDefault="00420D29" w:rsidP="00420D29">
      <w:pPr>
        <w:rPr>
          <w:spacing w:val="-6"/>
        </w:rPr>
      </w:pPr>
      <w:r w:rsidRPr="00C64E77">
        <w:rPr>
          <w:b/>
          <w:bCs/>
          <w:spacing w:val="-6"/>
        </w:rPr>
        <w:t>3</w:t>
      </w:r>
      <w:r w:rsidRPr="00C64E77">
        <w:rPr>
          <w:spacing w:val="-6"/>
        </w:rPr>
        <w:tab/>
      </w:r>
      <w:bookmarkStart w:id="67" w:name="lt_pId141"/>
      <w:r w:rsidRPr="00C64E77">
        <w:rPr>
          <w:spacing w:val="-6"/>
        </w:rPr>
        <w:t>que, al utilizar las bandas de frecuencias armonizadas para los STI, se consideren los posibles problemas de coexistencia entre las estaciones STI y otras aplicaciones del servicio móvil y/o de otros servicios.</w:t>
      </w:r>
      <w:bookmarkEnd w:id="67"/>
    </w:p>
    <w:p w14:paraId="53386CFE" w14:textId="5BBE4B79" w:rsidR="00420D29" w:rsidRPr="00DD4463" w:rsidRDefault="00420D29" w:rsidP="00C64E77">
      <w:pPr>
        <w:pStyle w:val="AnnexNoTitle"/>
        <w:spacing w:before="360" w:after="120"/>
      </w:pPr>
      <w:bookmarkStart w:id="68" w:name="lt_pId142"/>
      <w:r w:rsidRPr="00DD4463">
        <w:t>Anex</w:t>
      </w:r>
      <w:bookmarkEnd w:id="68"/>
      <w:r w:rsidRPr="00DD4463">
        <w:t>o</w:t>
      </w:r>
      <w:r w:rsidR="00C64E77">
        <w:br/>
      </w:r>
      <w:r w:rsidRPr="00DD4463">
        <w:br/>
      </w:r>
      <w:bookmarkStart w:id="69" w:name="lt_pId143"/>
      <w:proofErr w:type="spellStart"/>
      <w:r w:rsidRPr="00DD4463">
        <w:t>Ejemplos</w:t>
      </w:r>
      <w:proofErr w:type="spellEnd"/>
      <w:r w:rsidRPr="00DD4463">
        <w:t xml:space="preserve"> de </w:t>
      </w:r>
      <w:proofErr w:type="spellStart"/>
      <w:r w:rsidRPr="00DD4463">
        <w:t>utilización</w:t>
      </w:r>
      <w:proofErr w:type="spellEnd"/>
      <w:r w:rsidRPr="00DD4463">
        <w:t xml:space="preserve"> de frecuencias para STI evolutivos en las Regiones</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420D29" w:rsidRPr="00F77716" w14:paraId="215D154B" w14:textId="77777777" w:rsidTr="00C16EFF">
        <w:trPr>
          <w:trHeight w:val="397"/>
          <w:jc w:val="center"/>
        </w:trPr>
        <w:tc>
          <w:tcPr>
            <w:tcW w:w="9609" w:type="dxa"/>
            <w:gridSpan w:val="2"/>
            <w:hideMark/>
          </w:tcPr>
          <w:p w14:paraId="36BA3A58" w14:textId="77777777" w:rsidR="00420D29" w:rsidRPr="00F77716" w:rsidRDefault="00420D29" w:rsidP="00C64E77">
            <w:pPr>
              <w:pStyle w:val="Tablehead"/>
              <w:spacing w:before="40" w:after="40"/>
            </w:pPr>
            <w:bookmarkStart w:id="70" w:name="lt_pId144"/>
            <w:r w:rsidRPr="00F77716">
              <w:t>R</w:t>
            </w:r>
            <w:r>
              <w:t>e</w:t>
            </w:r>
            <w:r w:rsidRPr="00F77716">
              <w:t>gi</w:t>
            </w:r>
            <w:r>
              <w:t>ó</w:t>
            </w:r>
            <w:r w:rsidRPr="00F77716">
              <w:t>n 1</w:t>
            </w:r>
            <w:bookmarkEnd w:id="70"/>
          </w:p>
        </w:tc>
      </w:tr>
      <w:tr w:rsidR="00420D29" w:rsidRPr="00F77716" w14:paraId="3B663D01" w14:textId="77777777" w:rsidTr="00C16EFF">
        <w:trPr>
          <w:jc w:val="center"/>
        </w:trPr>
        <w:tc>
          <w:tcPr>
            <w:tcW w:w="4804" w:type="dxa"/>
            <w:hideMark/>
          </w:tcPr>
          <w:p w14:paraId="0B069120" w14:textId="77777777" w:rsidR="00420D29" w:rsidRPr="00F77716" w:rsidRDefault="00420D29" w:rsidP="00C64E77">
            <w:pPr>
              <w:pStyle w:val="Tablehead"/>
              <w:spacing w:before="40" w:after="40"/>
              <w:rPr>
                <w:lang w:eastAsia="zh-CN"/>
              </w:rPr>
            </w:pPr>
            <w:r w:rsidRPr="00F77716">
              <w:rPr>
                <w:lang w:eastAsia="zh-CN"/>
              </w:rPr>
              <w:t xml:space="preserve">País o </w:t>
            </w:r>
            <w:proofErr w:type="spellStart"/>
            <w:r w:rsidRPr="00F77716">
              <w:rPr>
                <w:lang w:eastAsia="zh-CN"/>
              </w:rPr>
              <w:t>grupo</w:t>
            </w:r>
            <w:proofErr w:type="spellEnd"/>
            <w:r w:rsidRPr="00F77716">
              <w:rPr>
                <w:lang w:eastAsia="zh-CN"/>
              </w:rPr>
              <w:t xml:space="preserve"> de </w:t>
            </w:r>
            <w:proofErr w:type="spellStart"/>
            <w:r w:rsidRPr="00F77716">
              <w:rPr>
                <w:lang w:eastAsia="zh-CN"/>
              </w:rPr>
              <w:t>países</w:t>
            </w:r>
            <w:proofErr w:type="spellEnd"/>
          </w:p>
        </w:tc>
        <w:tc>
          <w:tcPr>
            <w:tcW w:w="4805" w:type="dxa"/>
            <w:hideMark/>
          </w:tcPr>
          <w:p w14:paraId="15FA38EB" w14:textId="77777777" w:rsidR="00420D29" w:rsidRPr="00F77716" w:rsidRDefault="00420D29" w:rsidP="00C64E77">
            <w:pPr>
              <w:pStyle w:val="Tablehead"/>
              <w:spacing w:before="40" w:after="40"/>
              <w:rPr>
                <w:lang w:eastAsia="zh-CN"/>
              </w:rPr>
            </w:pPr>
            <w:r w:rsidRPr="00F77716">
              <w:rPr>
                <w:lang w:eastAsia="zh-CN"/>
              </w:rPr>
              <w:t>Bandas de frecuencias</w:t>
            </w:r>
          </w:p>
        </w:tc>
      </w:tr>
      <w:tr w:rsidR="00420D29" w:rsidRPr="00F77716" w14:paraId="2700A206" w14:textId="77777777" w:rsidTr="00C16EFF">
        <w:trPr>
          <w:jc w:val="center"/>
        </w:trPr>
        <w:tc>
          <w:tcPr>
            <w:tcW w:w="4804" w:type="dxa"/>
            <w:hideMark/>
          </w:tcPr>
          <w:p w14:paraId="5C3F1A97" w14:textId="77777777" w:rsidR="00420D29" w:rsidRPr="00F77716" w:rsidRDefault="00420D29" w:rsidP="00C64E77">
            <w:pPr>
              <w:pStyle w:val="Tabletext"/>
              <w:rPr>
                <w:lang w:eastAsia="zh-CN"/>
              </w:rPr>
            </w:pPr>
            <w:bookmarkStart w:id="71" w:name="lt_pId147"/>
            <w:r w:rsidRPr="00F77716">
              <w:rPr>
                <w:lang w:eastAsia="zh-CN"/>
              </w:rPr>
              <w:t>CEPT</w:t>
            </w:r>
            <w:bookmarkEnd w:id="71"/>
          </w:p>
        </w:tc>
        <w:tc>
          <w:tcPr>
            <w:tcW w:w="4805" w:type="dxa"/>
            <w:hideMark/>
          </w:tcPr>
          <w:p w14:paraId="7BEBFAC7" w14:textId="77777777" w:rsidR="00420D29" w:rsidRPr="00F77716" w:rsidRDefault="00420D29" w:rsidP="00C64E77">
            <w:pPr>
              <w:pStyle w:val="Tabletext"/>
              <w:jc w:val="center"/>
              <w:rPr>
                <w:lang w:eastAsia="zh-CN"/>
              </w:rPr>
            </w:pPr>
            <w:bookmarkStart w:id="72" w:name="lt_pId148"/>
            <w:r w:rsidRPr="00F77716">
              <w:rPr>
                <w:lang w:eastAsia="zh-CN"/>
              </w:rPr>
              <w:t>5 855-5 925 MHz</w:t>
            </w:r>
            <w:bookmarkEnd w:id="72"/>
          </w:p>
        </w:tc>
      </w:tr>
      <w:tr w:rsidR="00420D29" w:rsidRPr="00F77716" w14:paraId="1217272C" w14:textId="77777777" w:rsidTr="00C16EFF">
        <w:trPr>
          <w:jc w:val="center"/>
        </w:trPr>
        <w:tc>
          <w:tcPr>
            <w:tcW w:w="4804" w:type="dxa"/>
            <w:hideMark/>
          </w:tcPr>
          <w:p w14:paraId="5E54923A" w14:textId="77777777" w:rsidR="00420D29" w:rsidRPr="00F77716" w:rsidRDefault="00420D29" w:rsidP="00C64E77">
            <w:pPr>
              <w:pStyle w:val="Tabletext"/>
              <w:rPr>
                <w:lang w:eastAsia="zh-CN"/>
              </w:rPr>
            </w:pPr>
            <w:proofErr w:type="spellStart"/>
            <w:r w:rsidRPr="00F77716">
              <w:rPr>
                <w:lang w:eastAsia="zh-CN"/>
              </w:rPr>
              <w:t>Emiratos</w:t>
            </w:r>
            <w:proofErr w:type="spellEnd"/>
            <w:r w:rsidRPr="00F77716">
              <w:rPr>
                <w:lang w:eastAsia="zh-CN"/>
              </w:rPr>
              <w:t xml:space="preserve"> </w:t>
            </w:r>
            <w:proofErr w:type="spellStart"/>
            <w:r w:rsidRPr="00F77716">
              <w:rPr>
                <w:lang w:eastAsia="zh-CN"/>
              </w:rPr>
              <w:t>Árabes</w:t>
            </w:r>
            <w:proofErr w:type="spellEnd"/>
            <w:r w:rsidRPr="00F77716">
              <w:rPr>
                <w:lang w:eastAsia="zh-CN"/>
              </w:rPr>
              <w:t xml:space="preserve"> Unidos</w:t>
            </w:r>
          </w:p>
        </w:tc>
        <w:tc>
          <w:tcPr>
            <w:tcW w:w="4805" w:type="dxa"/>
            <w:hideMark/>
          </w:tcPr>
          <w:p w14:paraId="6D7A90F0" w14:textId="77777777" w:rsidR="00420D29" w:rsidRPr="00F77716" w:rsidRDefault="00420D29" w:rsidP="00C64E77">
            <w:pPr>
              <w:pStyle w:val="Tabletext"/>
              <w:jc w:val="center"/>
              <w:rPr>
                <w:lang w:eastAsia="zh-CN"/>
              </w:rPr>
            </w:pPr>
            <w:bookmarkStart w:id="73" w:name="lt_pId150"/>
            <w:r w:rsidRPr="00F77716">
              <w:rPr>
                <w:lang w:eastAsia="zh-CN"/>
              </w:rPr>
              <w:t>5 855-5 925 MHz</w:t>
            </w:r>
            <w:bookmarkEnd w:id="73"/>
          </w:p>
        </w:tc>
      </w:tr>
      <w:tr w:rsidR="00420D29" w:rsidRPr="00F77716" w14:paraId="37297147" w14:textId="77777777" w:rsidTr="00C16EFF">
        <w:trPr>
          <w:trHeight w:val="397"/>
          <w:jc w:val="center"/>
        </w:trPr>
        <w:tc>
          <w:tcPr>
            <w:tcW w:w="9609" w:type="dxa"/>
            <w:gridSpan w:val="2"/>
            <w:hideMark/>
          </w:tcPr>
          <w:p w14:paraId="1D4690B0" w14:textId="77777777" w:rsidR="00420D29" w:rsidRPr="00F77716" w:rsidRDefault="00420D29" w:rsidP="00C64E77">
            <w:pPr>
              <w:pStyle w:val="Tablehead"/>
              <w:spacing w:before="40" w:after="40"/>
              <w:rPr>
                <w:lang w:eastAsia="zh-CN"/>
              </w:rPr>
            </w:pPr>
            <w:bookmarkStart w:id="74" w:name="lt_pId151"/>
            <w:proofErr w:type="spellStart"/>
            <w:r w:rsidRPr="00F77716">
              <w:rPr>
                <w:lang w:eastAsia="zh-CN"/>
              </w:rPr>
              <w:t>R</w:t>
            </w:r>
            <w:r>
              <w:rPr>
                <w:lang w:eastAsia="zh-CN"/>
              </w:rPr>
              <w:t>e</w:t>
            </w:r>
            <w:r w:rsidRPr="00F77716">
              <w:rPr>
                <w:lang w:eastAsia="zh-CN"/>
              </w:rPr>
              <w:t>gi</w:t>
            </w:r>
            <w:r>
              <w:rPr>
                <w:lang w:eastAsia="zh-CN"/>
              </w:rPr>
              <w:t>ó</w:t>
            </w:r>
            <w:r w:rsidRPr="00F77716">
              <w:rPr>
                <w:lang w:eastAsia="zh-CN"/>
              </w:rPr>
              <w:t>n</w:t>
            </w:r>
            <w:proofErr w:type="spellEnd"/>
            <w:r w:rsidRPr="00F77716">
              <w:rPr>
                <w:lang w:eastAsia="zh-CN"/>
              </w:rPr>
              <w:t xml:space="preserve"> 2</w:t>
            </w:r>
            <w:bookmarkEnd w:id="74"/>
          </w:p>
        </w:tc>
      </w:tr>
      <w:tr w:rsidR="00420D29" w:rsidRPr="00F77716" w14:paraId="0A2AF230" w14:textId="77777777" w:rsidTr="00C16EFF">
        <w:trPr>
          <w:jc w:val="center"/>
        </w:trPr>
        <w:tc>
          <w:tcPr>
            <w:tcW w:w="4804" w:type="dxa"/>
            <w:hideMark/>
          </w:tcPr>
          <w:p w14:paraId="4BEB7341" w14:textId="77777777" w:rsidR="00420D29" w:rsidRPr="00F77716" w:rsidRDefault="00420D29" w:rsidP="00C64E77">
            <w:pPr>
              <w:pStyle w:val="Tablehead"/>
              <w:spacing w:before="40" w:after="40"/>
              <w:rPr>
                <w:lang w:eastAsia="zh-CN"/>
              </w:rPr>
            </w:pPr>
            <w:r w:rsidRPr="00F77716">
              <w:rPr>
                <w:lang w:eastAsia="zh-CN"/>
              </w:rPr>
              <w:t xml:space="preserve">País o </w:t>
            </w:r>
            <w:proofErr w:type="spellStart"/>
            <w:r w:rsidRPr="00F77716">
              <w:rPr>
                <w:lang w:eastAsia="zh-CN"/>
              </w:rPr>
              <w:t>grupo</w:t>
            </w:r>
            <w:proofErr w:type="spellEnd"/>
            <w:r w:rsidRPr="00F77716">
              <w:rPr>
                <w:lang w:eastAsia="zh-CN"/>
              </w:rPr>
              <w:t xml:space="preserve"> de </w:t>
            </w:r>
            <w:proofErr w:type="spellStart"/>
            <w:r w:rsidRPr="00F77716">
              <w:rPr>
                <w:lang w:eastAsia="zh-CN"/>
              </w:rPr>
              <w:t>países</w:t>
            </w:r>
            <w:proofErr w:type="spellEnd"/>
          </w:p>
        </w:tc>
        <w:tc>
          <w:tcPr>
            <w:tcW w:w="4805" w:type="dxa"/>
            <w:hideMark/>
          </w:tcPr>
          <w:p w14:paraId="22B162E0" w14:textId="77777777" w:rsidR="00420D29" w:rsidRPr="00F77716" w:rsidRDefault="00420D29" w:rsidP="00C64E77">
            <w:pPr>
              <w:pStyle w:val="Tablehead"/>
              <w:spacing w:before="40" w:after="40"/>
              <w:rPr>
                <w:lang w:eastAsia="zh-CN"/>
              </w:rPr>
            </w:pPr>
            <w:r w:rsidRPr="00F77716">
              <w:rPr>
                <w:lang w:eastAsia="zh-CN"/>
              </w:rPr>
              <w:t>Bandas de frecuencias</w:t>
            </w:r>
          </w:p>
        </w:tc>
      </w:tr>
      <w:tr w:rsidR="00420D29" w:rsidRPr="00F77716" w14:paraId="3FB4BA2C" w14:textId="77777777" w:rsidTr="00C16EFF">
        <w:trPr>
          <w:jc w:val="center"/>
        </w:trPr>
        <w:tc>
          <w:tcPr>
            <w:tcW w:w="4804" w:type="dxa"/>
          </w:tcPr>
          <w:p w14:paraId="2C99C181" w14:textId="77777777" w:rsidR="00420D29" w:rsidRPr="00F77716" w:rsidRDefault="00420D29" w:rsidP="00C64E77">
            <w:pPr>
              <w:pStyle w:val="Tabletext"/>
              <w:rPr>
                <w:lang w:eastAsia="zh-CN"/>
              </w:rPr>
            </w:pPr>
            <w:proofErr w:type="spellStart"/>
            <w:r>
              <w:rPr>
                <w:lang w:eastAsia="zh-CN"/>
              </w:rPr>
              <w:t>Brasil</w:t>
            </w:r>
            <w:proofErr w:type="spellEnd"/>
          </w:p>
        </w:tc>
        <w:tc>
          <w:tcPr>
            <w:tcW w:w="4805" w:type="dxa"/>
          </w:tcPr>
          <w:p w14:paraId="21A12FD5" w14:textId="77777777" w:rsidR="00420D29" w:rsidRPr="00F77716" w:rsidRDefault="00420D29" w:rsidP="00C64E77">
            <w:pPr>
              <w:pStyle w:val="Tabletext"/>
              <w:jc w:val="center"/>
              <w:rPr>
                <w:lang w:eastAsia="zh-CN"/>
              </w:rPr>
            </w:pPr>
            <w:r>
              <w:rPr>
                <w:lang w:eastAsia="zh-CN"/>
              </w:rPr>
              <w:t>5 855-5 925 MHz</w:t>
            </w:r>
          </w:p>
        </w:tc>
      </w:tr>
      <w:tr w:rsidR="00420D29" w:rsidRPr="00F77716" w14:paraId="093F9363" w14:textId="77777777" w:rsidTr="00C16EFF">
        <w:trPr>
          <w:jc w:val="center"/>
        </w:trPr>
        <w:tc>
          <w:tcPr>
            <w:tcW w:w="4804" w:type="dxa"/>
            <w:hideMark/>
          </w:tcPr>
          <w:p w14:paraId="135701E1" w14:textId="77777777" w:rsidR="00420D29" w:rsidRPr="00F77716" w:rsidRDefault="00420D29" w:rsidP="00C64E77">
            <w:pPr>
              <w:pStyle w:val="Tabletext"/>
              <w:rPr>
                <w:lang w:eastAsia="zh-CN"/>
              </w:rPr>
            </w:pPr>
            <w:bookmarkStart w:id="75" w:name="lt_pId154"/>
            <w:proofErr w:type="spellStart"/>
            <w:r w:rsidRPr="00F77716">
              <w:rPr>
                <w:lang w:eastAsia="zh-CN"/>
              </w:rPr>
              <w:t>Canad</w:t>
            </w:r>
            <w:bookmarkEnd w:id="75"/>
            <w:r w:rsidRPr="00F77716">
              <w:rPr>
                <w:lang w:eastAsia="zh-CN"/>
              </w:rPr>
              <w:t>á</w:t>
            </w:r>
            <w:proofErr w:type="spellEnd"/>
          </w:p>
        </w:tc>
        <w:tc>
          <w:tcPr>
            <w:tcW w:w="4805" w:type="dxa"/>
            <w:hideMark/>
          </w:tcPr>
          <w:p w14:paraId="0BEFCAB1" w14:textId="77777777" w:rsidR="00420D29" w:rsidRPr="00F77716" w:rsidRDefault="00420D29" w:rsidP="00C64E77">
            <w:pPr>
              <w:pStyle w:val="Tabletext"/>
              <w:jc w:val="center"/>
              <w:rPr>
                <w:lang w:eastAsia="zh-CN"/>
              </w:rPr>
            </w:pPr>
            <w:bookmarkStart w:id="76" w:name="lt_pId155"/>
            <w:r w:rsidRPr="00F77716">
              <w:rPr>
                <w:lang w:eastAsia="zh-CN"/>
              </w:rPr>
              <w:t>5 8</w:t>
            </w:r>
            <w:r>
              <w:rPr>
                <w:lang w:eastAsia="zh-CN"/>
              </w:rPr>
              <w:t>9</w:t>
            </w:r>
            <w:r w:rsidRPr="00F77716">
              <w:rPr>
                <w:lang w:eastAsia="zh-CN"/>
              </w:rPr>
              <w:t>5-5 925 MHz</w:t>
            </w:r>
            <w:bookmarkEnd w:id="76"/>
          </w:p>
        </w:tc>
      </w:tr>
      <w:tr w:rsidR="00420D29" w:rsidRPr="00F77716" w14:paraId="7DC0A7C6" w14:textId="77777777" w:rsidTr="00C16EFF">
        <w:trPr>
          <w:jc w:val="center"/>
        </w:trPr>
        <w:tc>
          <w:tcPr>
            <w:tcW w:w="4804" w:type="dxa"/>
          </w:tcPr>
          <w:p w14:paraId="67060172" w14:textId="77777777" w:rsidR="00420D29" w:rsidRPr="00F77716" w:rsidRDefault="00420D29" w:rsidP="00C64E77">
            <w:pPr>
              <w:pStyle w:val="Tabletext"/>
              <w:rPr>
                <w:lang w:eastAsia="zh-CN"/>
              </w:rPr>
            </w:pPr>
            <w:proofErr w:type="spellStart"/>
            <w:r w:rsidRPr="00F77716">
              <w:rPr>
                <w:lang w:eastAsia="zh-CN"/>
              </w:rPr>
              <w:t>Estados</w:t>
            </w:r>
            <w:proofErr w:type="spellEnd"/>
            <w:r w:rsidRPr="00F77716">
              <w:rPr>
                <w:lang w:eastAsia="zh-CN"/>
              </w:rPr>
              <w:t xml:space="preserve"> Unidos</w:t>
            </w:r>
          </w:p>
        </w:tc>
        <w:tc>
          <w:tcPr>
            <w:tcW w:w="4805" w:type="dxa"/>
          </w:tcPr>
          <w:p w14:paraId="6C72735D" w14:textId="77777777" w:rsidR="00420D29" w:rsidRPr="00F77716" w:rsidRDefault="00420D29" w:rsidP="00C64E77">
            <w:pPr>
              <w:pStyle w:val="Tabletext"/>
              <w:jc w:val="center"/>
              <w:rPr>
                <w:lang w:eastAsia="zh-CN"/>
              </w:rPr>
            </w:pPr>
            <w:bookmarkStart w:id="77" w:name="lt_pId157"/>
            <w:r w:rsidRPr="00F77716">
              <w:rPr>
                <w:lang w:eastAsia="zh-CN"/>
              </w:rPr>
              <w:t>5 8</w:t>
            </w:r>
            <w:r>
              <w:rPr>
                <w:lang w:eastAsia="zh-CN"/>
              </w:rPr>
              <w:t>9</w:t>
            </w:r>
            <w:r w:rsidRPr="00F77716">
              <w:rPr>
                <w:lang w:eastAsia="zh-CN"/>
              </w:rPr>
              <w:t>5-5 925 MHz</w:t>
            </w:r>
            <w:bookmarkEnd w:id="77"/>
          </w:p>
        </w:tc>
      </w:tr>
      <w:tr w:rsidR="00420D29" w:rsidRPr="00F77716" w14:paraId="5F2A0AC9" w14:textId="77777777" w:rsidTr="00C16EFF">
        <w:trPr>
          <w:trHeight w:val="397"/>
          <w:jc w:val="center"/>
        </w:trPr>
        <w:tc>
          <w:tcPr>
            <w:tcW w:w="9609" w:type="dxa"/>
            <w:gridSpan w:val="2"/>
            <w:hideMark/>
          </w:tcPr>
          <w:p w14:paraId="62F153D5" w14:textId="77777777" w:rsidR="00420D29" w:rsidRPr="00F77716" w:rsidRDefault="00420D29" w:rsidP="00C64E77">
            <w:pPr>
              <w:pStyle w:val="Tablehead"/>
              <w:spacing w:before="40" w:after="40"/>
              <w:rPr>
                <w:lang w:eastAsia="zh-CN"/>
              </w:rPr>
            </w:pPr>
            <w:bookmarkStart w:id="78" w:name="lt_pId158"/>
            <w:proofErr w:type="spellStart"/>
            <w:r w:rsidRPr="00F77716">
              <w:rPr>
                <w:lang w:eastAsia="zh-CN"/>
              </w:rPr>
              <w:t>R</w:t>
            </w:r>
            <w:r>
              <w:rPr>
                <w:lang w:eastAsia="zh-CN"/>
              </w:rPr>
              <w:t>e</w:t>
            </w:r>
            <w:r w:rsidRPr="00F77716">
              <w:rPr>
                <w:lang w:eastAsia="zh-CN"/>
              </w:rPr>
              <w:t>gi</w:t>
            </w:r>
            <w:r>
              <w:rPr>
                <w:lang w:eastAsia="zh-CN"/>
              </w:rPr>
              <w:t>ó</w:t>
            </w:r>
            <w:r w:rsidRPr="00F77716">
              <w:rPr>
                <w:lang w:eastAsia="zh-CN"/>
              </w:rPr>
              <w:t>n</w:t>
            </w:r>
            <w:proofErr w:type="spellEnd"/>
            <w:r w:rsidRPr="00F77716">
              <w:rPr>
                <w:lang w:eastAsia="zh-CN"/>
              </w:rPr>
              <w:t xml:space="preserve"> 3</w:t>
            </w:r>
            <w:bookmarkEnd w:id="78"/>
          </w:p>
        </w:tc>
      </w:tr>
      <w:tr w:rsidR="00420D29" w:rsidRPr="00F77716" w14:paraId="06526B80" w14:textId="77777777" w:rsidTr="00C16EFF">
        <w:trPr>
          <w:jc w:val="center"/>
        </w:trPr>
        <w:tc>
          <w:tcPr>
            <w:tcW w:w="4804" w:type="dxa"/>
            <w:hideMark/>
          </w:tcPr>
          <w:p w14:paraId="6AECBD40" w14:textId="77777777" w:rsidR="00420D29" w:rsidRPr="00F77716" w:rsidRDefault="00420D29" w:rsidP="00C64E77">
            <w:pPr>
              <w:pStyle w:val="Tablehead"/>
              <w:spacing w:before="40" w:after="40"/>
              <w:rPr>
                <w:lang w:eastAsia="zh-CN"/>
              </w:rPr>
            </w:pPr>
            <w:r w:rsidRPr="00F77716">
              <w:rPr>
                <w:lang w:eastAsia="zh-CN"/>
              </w:rPr>
              <w:t xml:space="preserve">País o </w:t>
            </w:r>
            <w:proofErr w:type="spellStart"/>
            <w:r w:rsidRPr="00F77716">
              <w:rPr>
                <w:lang w:eastAsia="zh-CN"/>
              </w:rPr>
              <w:t>grupo</w:t>
            </w:r>
            <w:proofErr w:type="spellEnd"/>
            <w:r w:rsidRPr="00F77716">
              <w:rPr>
                <w:lang w:eastAsia="zh-CN"/>
              </w:rPr>
              <w:t xml:space="preserve"> de </w:t>
            </w:r>
            <w:proofErr w:type="spellStart"/>
            <w:r w:rsidRPr="00F77716">
              <w:rPr>
                <w:lang w:eastAsia="zh-CN"/>
              </w:rPr>
              <w:t>países</w:t>
            </w:r>
            <w:proofErr w:type="spellEnd"/>
          </w:p>
        </w:tc>
        <w:tc>
          <w:tcPr>
            <w:tcW w:w="4805" w:type="dxa"/>
            <w:hideMark/>
          </w:tcPr>
          <w:p w14:paraId="1725203C" w14:textId="77777777" w:rsidR="00420D29" w:rsidRPr="00F77716" w:rsidRDefault="00420D29" w:rsidP="00C64E77">
            <w:pPr>
              <w:pStyle w:val="Tablehead"/>
              <w:spacing w:before="40" w:after="40"/>
              <w:rPr>
                <w:lang w:eastAsia="zh-CN"/>
              </w:rPr>
            </w:pPr>
            <w:r w:rsidRPr="00F77716">
              <w:rPr>
                <w:lang w:eastAsia="zh-CN"/>
              </w:rPr>
              <w:t>Bandas de frecuencias</w:t>
            </w:r>
          </w:p>
        </w:tc>
      </w:tr>
      <w:tr w:rsidR="00420D29" w:rsidRPr="00F77716" w14:paraId="0C4F28F0" w14:textId="77777777" w:rsidTr="00C16EFF">
        <w:trPr>
          <w:jc w:val="center"/>
        </w:trPr>
        <w:tc>
          <w:tcPr>
            <w:tcW w:w="4804" w:type="dxa"/>
          </w:tcPr>
          <w:p w14:paraId="22F2CED7" w14:textId="77777777" w:rsidR="00420D29" w:rsidRPr="00F77716" w:rsidRDefault="00420D29" w:rsidP="00C64E77">
            <w:pPr>
              <w:pStyle w:val="Tabletext"/>
              <w:rPr>
                <w:lang w:eastAsia="zh-CN"/>
              </w:rPr>
            </w:pPr>
            <w:bookmarkStart w:id="79" w:name="lt_pId161"/>
            <w:r w:rsidRPr="00F77716">
              <w:rPr>
                <w:lang w:eastAsia="zh-CN"/>
              </w:rPr>
              <w:t>Australia</w:t>
            </w:r>
            <w:bookmarkEnd w:id="79"/>
          </w:p>
        </w:tc>
        <w:tc>
          <w:tcPr>
            <w:tcW w:w="4805" w:type="dxa"/>
          </w:tcPr>
          <w:p w14:paraId="57F5D091" w14:textId="77777777" w:rsidR="00420D29" w:rsidRPr="00F77716" w:rsidRDefault="00420D29" w:rsidP="00C64E77">
            <w:pPr>
              <w:pStyle w:val="Tabletext"/>
              <w:jc w:val="center"/>
              <w:rPr>
                <w:lang w:eastAsia="zh-CN"/>
              </w:rPr>
            </w:pPr>
            <w:bookmarkStart w:id="80" w:name="lt_pId162"/>
            <w:r w:rsidRPr="00F77716">
              <w:rPr>
                <w:lang w:eastAsia="zh-CN"/>
              </w:rPr>
              <w:t>5 855-5 925 MHz</w:t>
            </w:r>
            <w:bookmarkEnd w:id="80"/>
          </w:p>
        </w:tc>
      </w:tr>
      <w:tr w:rsidR="00420D29" w:rsidRPr="00F77716" w14:paraId="73A28E23" w14:textId="77777777" w:rsidTr="00C16EFF">
        <w:trPr>
          <w:jc w:val="center"/>
        </w:trPr>
        <w:tc>
          <w:tcPr>
            <w:tcW w:w="4804" w:type="dxa"/>
            <w:hideMark/>
          </w:tcPr>
          <w:p w14:paraId="53E245FE" w14:textId="77777777" w:rsidR="00420D29" w:rsidRPr="00F77716" w:rsidRDefault="00420D29" w:rsidP="00C64E77">
            <w:pPr>
              <w:pStyle w:val="Tabletext"/>
              <w:rPr>
                <w:b/>
                <w:lang w:eastAsia="zh-CN"/>
              </w:rPr>
            </w:pPr>
            <w:bookmarkStart w:id="81" w:name="lt_pId163"/>
            <w:r w:rsidRPr="00F77716">
              <w:rPr>
                <w:lang w:eastAsia="zh-CN"/>
              </w:rPr>
              <w:t>China</w:t>
            </w:r>
            <w:bookmarkEnd w:id="81"/>
          </w:p>
        </w:tc>
        <w:tc>
          <w:tcPr>
            <w:tcW w:w="4805" w:type="dxa"/>
            <w:hideMark/>
          </w:tcPr>
          <w:p w14:paraId="2AA41411" w14:textId="77777777" w:rsidR="00420D29" w:rsidRPr="00F77716" w:rsidRDefault="00420D29" w:rsidP="00C64E77">
            <w:pPr>
              <w:pStyle w:val="Tabletext"/>
              <w:jc w:val="center"/>
              <w:rPr>
                <w:b/>
                <w:lang w:eastAsia="zh-CN"/>
              </w:rPr>
            </w:pPr>
            <w:bookmarkStart w:id="82" w:name="lt_pId164"/>
            <w:r w:rsidRPr="00F77716">
              <w:rPr>
                <w:lang w:eastAsia="zh-CN"/>
              </w:rPr>
              <w:t>5 905-5 925 MHz</w:t>
            </w:r>
            <w:bookmarkEnd w:id="82"/>
          </w:p>
        </w:tc>
      </w:tr>
      <w:tr w:rsidR="00420D29" w:rsidRPr="00F77716" w14:paraId="339AE1FE" w14:textId="77777777" w:rsidTr="00C16EFF">
        <w:trPr>
          <w:jc w:val="center"/>
        </w:trPr>
        <w:tc>
          <w:tcPr>
            <w:tcW w:w="4804" w:type="dxa"/>
            <w:hideMark/>
          </w:tcPr>
          <w:p w14:paraId="3E33DD3C" w14:textId="77777777" w:rsidR="00420D29" w:rsidRPr="00F77716" w:rsidRDefault="00420D29" w:rsidP="00C64E77">
            <w:pPr>
              <w:pStyle w:val="Tabletext"/>
              <w:rPr>
                <w:lang w:eastAsia="zh-CN"/>
              </w:rPr>
            </w:pPr>
            <w:bookmarkStart w:id="83" w:name="lt_pId165"/>
            <w:proofErr w:type="spellStart"/>
            <w:r w:rsidRPr="00F77716">
              <w:rPr>
                <w:lang w:eastAsia="zh-CN"/>
              </w:rPr>
              <w:t>Japón</w:t>
            </w:r>
            <w:bookmarkEnd w:id="83"/>
            <w:proofErr w:type="spellEnd"/>
          </w:p>
        </w:tc>
        <w:tc>
          <w:tcPr>
            <w:tcW w:w="4805" w:type="dxa"/>
            <w:hideMark/>
          </w:tcPr>
          <w:p w14:paraId="66BB1ED6" w14:textId="77777777" w:rsidR="00420D29" w:rsidRPr="00F77716" w:rsidRDefault="00420D29" w:rsidP="00C64E77">
            <w:pPr>
              <w:pStyle w:val="Tabletext"/>
              <w:jc w:val="center"/>
              <w:rPr>
                <w:lang w:eastAsia="zh-CN"/>
              </w:rPr>
            </w:pPr>
            <w:bookmarkStart w:id="84" w:name="lt_pId166"/>
            <w:r w:rsidRPr="00F77716">
              <w:rPr>
                <w:lang w:eastAsia="zh-CN"/>
              </w:rPr>
              <w:t>755</w:t>
            </w:r>
            <w:r>
              <w:rPr>
                <w:lang w:eastAsia="zh-CN"/>
              </w:rPr>
              <w:t>,</w:t>
            </w:r>
            <w:r w:rsidRPr="00F77716">
              <w:rPr>
                <w:lang w:eastAsia="zh-CN"/>
              </w:rPr>
              <w:t>5-764</w:t>
            </w:r>
            <w:r>
              <w:rPr>
                <w:lang w:eastAsia="zh-CN"/>
              </w:rPr>
              <w:t>,</w:t>
            </w:r>
            <w:r w:rsidRPr="00F77716">
              <w:rPr>
                <w:lang w:eastAsia="zh-CN"/>
              </w:rPr>
              <w:t>5 MHz</w:t>
            </w:r>
            <w:bookmarkStart w:id="85" w:name="lt_pId167"/>
            <w:bookmarkEnd w:id="84"/>
            <w:r>
              <w:rPr>
                <w:lang w:eastAsia="zh-CN"/>
              </w:rPr>
              <w:br/>
            </w:r>
            <w:r w:rsidRPr="00F77716">
              <w:rPr>
                <w:lang w:eastAsia="zh-CN"/>
              </w:rPr>
              <w:t>5 770-5 850 MHz</w:t>
            </w:r>
            <w:bookmarkEnd w:id="85"/>
          </w:p>
        </w:tc>
      </w:tr>
      <w:tr w:rsidR="00420D29" w:rsidRPr="00F77716" w14:paraId="580757EA" w14:textId="77777777" w:rsidTr="00C16EFF">
        <w:trPr>
          <w:jc w:val="center"/>
        </w:trPr>
        <w:tc>
          <w:tcPr>
            <w:tcW w:w="4804" w:type="dxa"/>
            <w:hideMark/>
          </w:tcPr>
          <w:p w14:paraId="57DC967A" w14:textId="77777777" w:rsidR="00420D29" w:rsidRPr="00F77716" w:rsidRDefault="00420D29" w:rsidP="00C64E77">
            <w:pPr>
              <w:pStyle w:val="Tabletext"/>
              <w:rPr>
                <w:lang w:eastAsia="zh-CN"/>
              </w:rPr>
            </w:pPr>
            <w:bookmarkStart w:id="86" w:name="lt_pId168"/>
            <w:r w:rsidRPr="00F77716">
              <w:rPr>
                <w:lang w:eastAsia="zh-CN"/>
              </w:rPr>
              <w:t>Corea</w:t>
            </w:r>
            <w:bookmarkEnd w:id="86"/>
          </w:p>
        </w:tc>
        <w:tc>
          <w:tcPr>
            <w:tcW w:w="4805" w:type="dxa"/>
            <w:hideMark/>
          </w:tcPr>
          <w:p w14:paraId="4485B1EB" w14:textId="77777777" w:rsidR="00420D29" w:rsidRPr="00F77716" w:rsidRDefault="00420D29" w:rsidP="00C64E77">
            <w:pPr>
              <w:pStyle w:val="Tabletext"/>
              <w:jc w:val="center"/>
              <w:rPr>
                <w:lang w:eastAsia="zh-CN"/>
              </w:rPr>
            </w:pPr>
            <w:bookmarkStart w:id="87" w:name="lt_pId169"/>
            <w:r w:rsidRPr="00F77716">
              <w:rPr>
                <w:lang w:eastAsia="zh-CN"/>
              </w:rPr>
              <w:t>5 855-5 925 MHz</w:t>
            </w:r>
            <w:bookmarkEnd w:id="87"/>
          </w:p>
        </w:tc>
      </w:tr>
      <w:tr w:rsidR="00420D29" w:rsidRPr="00F77716" w14:paraId="6963F19F" w14:textId="77777777" w:rsidTr="00C16EFF">
        <w:trPr>
          <w:jc w:val="center"/>
        </w:trPr>
        <w:tc>
          <w:tcPr>
            <w:tcW w:w="4804" w:type="dxa"/>
            <w:hideMark/>
          </w:tcPr>
          <w:p w14:paraId="2CC49A27" w14:textId="77777777" w:rsidR="00420D29" w:rsidRPr="00F77716" w:rsidRDefault="00420D29" w:rsidP="00C64E77">
            <w:pPr>
              <w:pStyle w:val="Tabletext"/>
              <w:rPr>
                <w:lang w:eastAsia="zh-CN"/>
              </w:rPr>
            </w:pPr>
            <w:bookmarkStart w:id="88" w:name="lt_pId170"/>
            <w:proofErr w:type="spellStart"/>
            <w:r w:rsidRPr="00F77716">
              <w:rPr>
                <w:lang w:eastAsia="zh-CN"/>
              </w:rPr>
              <w:t>Singapur</w:t>
            </w:r>
            <w:bookmarkEnd w:id="88"/>
            <w:proofErr w:type="spellEnd"/>
          </w:p>
        </w:tc>
        <w:tc>
          <w:tcPr>
            <w:tcW w:w="4805" w:type="dxa"/>
            <w:hideMark/>
          </w:tcPr>
          <w:p w14:paraId="0D5AA476" w14:textId="77777777" w:rsidR="00420D29" w:rsidRPr="00F77716" w:rsidRDefault="00420D29" w:rsidP="00C64E77">
            <w:pPr>
              <w:pStyle w:val="Tabletext"/>
              <w:jc w:val="center"/>
              <w:rPr>
                <w:lang w:eastAsia="zh-CN"/>
              </w:rPr>
            </w:pPr>
            <w:bookmarkStart w:id="89" w:name="lt_pId171"/>
            <w:r w:rsidRPr="00F77716">
              <w:rPr>
                <w:lang w:eastAsia="zh-CN"/>
              </w:rPr>
              <w:t>5 855-5 925 MHz</w:t>
            </w:r>
            <w:bookmarkEnd w:id="89"/>
          </w:p>
        </w:tc>
      </w:tr>
    </w:tbl>
    <w:p w14:paraId="4C0C6FBF" w14:textId="77777777" w:rsidR="00B874C6" w:rsidRPr="00F17CED" w:rsidRDefault="00B874C6" w:rsidP="00B874C6">
      <w:pPr>
        <w:pStyle w:val="Line"/>
        <w:rPr>
          <w:lang w:val="es-ES"/>
        </w:rPr>
      </w:pPr>
    </w:p>
    <w:sectPr w:rsidR="00B874C6" w:rsidRPr="00F17CED" w:rsidSect="007565CC">
      <w:footerReference w:type="default" r:id="rId14"/>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E1EC" w14:textId="77777777" w:rsidR="00420D29" w:rsidRDefault="00420D29">
      <w:r>
        <w:separator/>
      </w:r>
    </w:p>
  </w:endnote>
  <w:endnote w:type="continuationSeparator" w:id="0">
    <w:p w14:paraId="15745394" w14:textId="77777777" w:rsidR="00420D29" w:rsidRDefault="0042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2FD2" w14:textId="77777777" w:rsidR="00301DB3" w:rsidRDefault="00301DB3">
    <w:pPr>
      <w:pStyle w:val="Footer"/>
    </w:pPr>
    <w:r>
      <w:drawing>
        <wp:anchor distT="0" distB="0" distL="0" distR="0" simplePos="0" relativeHeight="251656192" behindDoc="0" locked="0" layoutInCell="1" allowOverlap="1" wp14:anchorId="53FDDAA5" wp14:editId="4CB9DF4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7D8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7C928" w14:textId="77777777" w:rsidR="00420D29" w:rsidRDefault="00420D29">
      <w:r>
        <w:separator/>
      </w:r>
    </w:p>
  </w:footnote>
  <w:footnote w:type="continuationSeparator" w:id="0">
    <w:p w14:paraId="62D9C2E5" w14:textId="77777777" w:rsidR="00420D29" w:rsidRDefault="0042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573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60311D9" w14:textId="77777777" w:rsidTr="0019307B">
      <w:tc>
        <w:tcPr>
          <w:tcW w:w="4634" w:type="dxa"/>
          <w:vAlign w:val="center"/>
        </w:tcPr>
        <w:p w14:paraId="5907DB5F"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D77BFBA"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37F1A510" w14:textId="77777777" w:rsidTr="0019307B">
      <w:tc>
        <w:tcPr>
          <w:tcW w:w="4634" w:type="dxa"/>
          <w:vAlign w:val="center"/>
        </w:tcPr>
        <w:p w14:paraId="0ED06C0E"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CCE0DBB"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C562077"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F96B0D9" wp14:editId="430B4322">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21B4213" wp14:editId="0AC29AC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DD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F28644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6B7E5BB" wp14:editId="37F52E4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91C2"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9DD8" w14:textId="349549D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w:t>
    </w:r>
    <w:proofErr w:type="spellStart"/>
    <w:r w:rsidRPr="00F111D6">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D4CC8">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3D4CC8">
      <w:rPr>
        <w:b/>
        <w:bCs/>
        <w:noProof/>
        <w:lang w:val="en-US"/>
      </w:rPr>
      <w:t>UIT-R  M.2121-1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DBCA" w14:textId="27424BD3"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3D4CC8">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D4CC8">
      <w:rPr>
        <w:b/>
        <w:bCs/>
        <w:noProof/>
      </w:rPr>
      <w:t>UIT-R  M.2121-1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9"/>
    <w:rsid w:val="00013002"/>
    <w:rsid w:val="000246E0"/>
    <w:rsid w:val="00036EE3"/>
    <w:rsid w:val="00072484"/>
    <w:rsid w:val="00095530"/>
    <w:rsid w:val="00096612"/>
    <w:rsid w:val="000A4A32"/>
    <w:rsid w:val="000B1B2B"/>
    <w:rsid w:val="000B7683"/>
    <w:rsid w:val="000D0677"/>
    <w:rsid w:val="000E0548"/>
    <w:rsid w:val="000E6A6E"/>
    <w:rsid w:val="00102934"/>
    <w:rsid w:val="00120C75"/>
    <w:rsid w:val="00147110"/>
    <w:rsid w:val="001511A6"/>
    <w:rsid w:val="00171C4D"/>
    <w:rsid w:val="0017562F"/>
    <w:rsid w:val="0019307B"/>
    <w:rsid w:val="001B0927"/>
    <w:rsid w:val="001B164E"/>
    <w:rsid w:val="001B7886"/>
    <w:rsid w:val="001C4108"/>
    <w:rsid w:val="001D6639"/>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E210B"/>
    <w:rsid w:val="002F5199"/>
    <w:rsid w:val="00301DB3"/>
    <w:rsid w:val="00305119"/>
    <w:rsid w:val="003157F1"/>
    <w:rsid w:val="00346EC2"/>
    <w:rsid w:val="00356B5D"/>
    <w:rsid w:val="00357707"/>
    <w:rsid w:val="0036627C"/>
    <w:rsid w:val="003D4CC8"/>
    <w:rsid w:val="003E5516"/>
    <w:rsid w:val="003F4B75"/>
    <w:rsid w:val="00410651"/>
    <w:rsid w:val="00420D29"/>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418D4"/>
    <w:rsid w:val="00680D2B"/>
    <w:rsid w:val="00681B32"/>
    <w:rsid w:val="0069322D"/>
    <w:rsid w:val="00697887"/>
    <w:rsid w:val="006B1D2B"/>
    <w:rsid w:val="006B1E05"/>
    <w:rsid w:val="006C00A6"/>
    <w:rsid w:val="006C37D5"/>
    <w:rsid w:val="006E1131"/>
    <w:rsid w:val="006E2037"/>
    <w:rsid w:val="006E6199"/>
    <w:rsid w:val="006F536F"/>
    <w:rsid w:val="00712870"/>
    <w:rsid w:val="00714AC0"/>
    <w:rsid w:val="0074147D"/>
    <w:rsid w:val="00743D85"/>
    <w:rsid w:val="00744F8B"/>
    <w:rsid w:val="00747D6E"/>
    <w:rsid w:val="00753CF4"/>
    <w:rsid w:val="007565CC"/>
    <w:rsid w:val="007624B1"/>
    <w:rsid w:val="00763B9A"/>
    <w:rsid w:val="007A0BC8"/>
    <w:rsid w:val="007A6AA8"/>
    <w:rsid w:val="007B1357"/>
    <w:rsid w:val="007B3343"/>
    <w:rsid w:val="008310C9"/>
    <w:rsid w:val="008335F0"/>
    <w:rsid w:val="00834306"/>
    <w:rsid w:val="00841046"/>
    <w:rsid w:val="00853CC5"/>
    <w:rsid w:val="00877E6E"/>
    <w:rsid w:val="008B083A"/>
    <w:rsid w:val="008B56B2"/>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33425"/>
    <w:rsid w:val="00B41F06"/>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64E77"/>
    <w:rsid w:val="00C73560"/>
    <w:rsid w:val="00C84DB7"/>
    <w:rsid w:val="00C87A35"/>
    <w:rsid w:val="00CB0F14"/>
    <w:rsid w:val="00CD659B"/>
    <w:rsid w:val="00CE0A43"/>
    <w:rsid w:val="00CF130D"/>
    <w:rsid w:val="00D00118"/>
    <w:rsid w:val="00D00E4D"/>
    <w:rsid w:val="00D0483A"/>
    <w:rsid w:val="00D16749"/>
    <w:rsid w:val="00D5024B"/>
    <w:rsid w:val="00D61962"/>
    <w:rsid w:val="00D72623"/>
    <w:rsid w:val="00D83556"/>
    <w:rsid w:val="00DE5556"/>
    <w:rsid w:val="00DF2D89"/>
    <w:rsid w:val="00DF4176"/>
    <w:rsid w:val="00E0095C"/>
    <w:rsid w:val="00E05C87"/>
    <w:rsid w:val="00E17240"/>
    <w:rsid w:val="00E222BE"/>
    <w:rsid w:val="00E74595"/>
    <w:rsid w:val="00E77485"/>
    <w:rsid w:val="00EB1CB6"/>
    <w:rsid w:val="00EB7C57"/>
    <w:rsid w:val="00EC3454"/>
    <w:rsid w:val="00EC4D79"/>
    <w:rsid w:val="00ED2695"/>
    <w:rsid w:val="00ED3CA8"/>
    <w:rsid w:val="00ED4A15"/>
    <w:rsid w:val="00EE04BA"/>
    <w:rsid w:val="00EE47C4"/>
    <w:rsid w:val="00EF2D52"/>
    <w:rsid w:val="00F111D6"/>
    <w:rsid w:val="00F17CED"/>
    <w:rsid w:val="00F30C9B"/>
    <w:rsid w:val="00F354B1"/>
    <w:rsid w:val="00F354D7"/>
    <w:rsid w:val="00F6343F"/>
    <w:rsid w:val="00F72776"/>
    <w:rsid w:val="00F77360"/>
    <w:rsid w:val="00F92A40"/>
    <w:rsid w:val="00FB0E4E"/>
    <w:rsid w:val="00FC65FA"/>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287221BB"/>
  <w15:docId w15:val="{B711BED7-E487-4097-A0A8-CE888B6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F0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B41F06"/>
    <w:pPr>
      <w:keepNext/>
      <w:keepLines/>
      <w:spacing w:before="480"/>
      <w:ind w:left="794" w:hanging="794"/>
      <w:outlineLvl w:val="0"/>
    </w:pPr>
    <w:rPr>
      <w:b/>
    </w:rPr>
  </w:style>
  <w:style w:type="paragraph" w:styleId="Heading2">
    <w:name w:val="heading 2"/>
    <w:basedOn w:val="Heading1"/>
    <w:next w:val="Normal"/>
    <w:qFormat/>
    <w:rsid w:val="00B41F06"/>
    <w:pPr>
      <w:spacing w:before="320"/>
      <w:outlineLvl w:val="1"/>
    </w:pPr>
  </w:style>
  <w:style w:type="paragraph" w:styleId="Heading3">
    <w:name w:val="heading 3"/>
    <w:basedOn w:val="Heading1"/>
    <w:next w:val="Normal"/>
    <w:qFormat/>
    <w:rsid w:val="00B41F06"/>
    <w:pPr>
      <w:spacing w:before="200"/>
      <w:outlineLvl w:val="2"/>
    </w:pPr>
  </w:style>
  <w:style w:type="paragraph" w:styleId="Heading4">
    <w:name w:val="heading 4"/>
    <w:basedOn w:val="Heading3"/>
    <w:next w:val="Normal"/>
    <w:qFormat/>
    <w:rsid w:val="00B41F06"/>
    <w:pPr>
      <w:tabs>
        <w:tab w:val="clear" w:pos="794"/>
        <w:tab w:val="left" w:pos="992"/>
      </w:tabs>
      <w:ind w:left="992" w:hanging="992"/>
      <w:outlineLvl w:val="3"/>
    </w:pPr>
  </w:style>
  <w:style w:type="paragraph" w:styleId="Heading5">
    <w:name w:val="heading 5"/>
    <w:basedOn w:val="Heading4"/>
    <w:next w:val="Normal"/>
    <w:qFormat/>
    <w:rsid w:val="00B41F06"/>
    <w:pPr>
      <w:outlineLvl w:val="4"/>
    </w:pPr>
  </w:style>
  <w:style w:type="paragraph" w:styleId="Heading6">
    <w:name w:val="heading 6"/>
    <w:basedOn w:val="Heading4"/>
    <w:next w:val="Normal"/>
    <w:qFormat/>
    <w:rsid w:val="00B41F06"/>
    <w:pPr>
      <w:tabs>
        <w:tab w:val="clear" w:pos="992"/>
        <w:tab w:val="clear" w:pos="1191"/>
      </w:tabs>
      <w:ind w:left="1588" w:hanging="1588"/>
      <w:outlineLvl w:val="5"/>
    </w:pPr>
  </w:style>
  <w:style w:type="paragraph" w:styleId="Heading7">
    <w:name w:val="heading 7"/>
    <w:basedOn w:val="Heading6"/>
    <w:next w:val="Normal"/>
    <w:qFormat/>
    <w:rsid w:val="00B41F06"/>
    <w:pPr>
      <w:outlineLvl w:val="6"/>
    </w:pPr>
  </w:style>
  <w:style w:type="paragraph" w:styleId="Heading8">
    <w:name w:val="heading 8"/>
    <w:basedOn w:val="Heading6"/>
    <w:next w:val="Normal"/>
    <w:qFormat/>
    <w:rsid w:val="00B41F06"/>
    <w:pPr>
      <w:outlineLvl w:val="7"/>
    </w:pPr>
  </w:style>
  <w:style w:type="paragraph" w:styleId="Heading9">
    <w:name w:val="heading 9"/>
    <w:basedOn w:val="Heading6"/>
    <w:next w:val="Normal"/>
    <w:qFormat/>
    <w:rsid w:val="00B41F06"/>
    <w:pPr>
      <w:jc w:val="left"/>
      <w:outlineLvl w:val="8"/>
    </w:pPr>
  </w:style>
  <w:style w:type="character" w:default="1" w:styleId="DefaultParagraphFont">
    <w:name w:val="Default Paragraph Font"/>
    <w:uiPriority w:val="1"/>
    <w:semiHidden/>
    <w:unhideWhenUsed/>
    <w:rsid w:val="00B41F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F06"/>
  </w:style>
  <w:style w:type="paragraph" w:styleId="Header">
    <w:name w:val="header"/>
    <w:basedOn w:val="Normal"/>
    <w:link w:val="HeaderChar"/>
    <w:rsid w:val="00B41F0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B41F0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41F06"/>
  </w:style>
  <w:style w:type="paragraph" w:customStyle="1" w:styleId="Headingb">
    <w:name w:val="Heading_b"/>
    <w:basedOn w:val="Heading3"/>
    <w:next w:val="Normal"/>
    <w:link w:val="HeadingbChar"/>
    <w:rsid w:val="00B41F06"/>
    <w:pPr>
      <w:spacing w:before="160"/>
      <w:ind w:left="0" w:firstLine="0"/>
      <w:outlineLvl w:val="9"/>
    </w:pPr>
  </w:style>
  <w:style w:type="paragraph" w:customStyle="1" w:styleId="Headingi">
    <w:name w:val="Heading_i"/>
    <w:basedOn w:val="Heading3"/>
    <w:next w:val="Normal"/>
    <w:rsid w:val="00B41F06"/>
    <w:pPr>
      <w:spacing w:before="160"/>
      <w:ind w:left="0" w:firstLine="0"/>
    </w:pPr>
    <w:rPr>
      <w:b w:val="0"/>
      <w:i/>
    </w:rPr>
  </w:style>
  <w:style w:type="character" w:customStyle="1" w:styleId="href">
    <w:name w:val="href"/>
    <w:basedOn w:val="DefaultParagraphFont"/>
    <w:rsid w:val="00B41F06"/>
  </w:style>
  <w:style w:type="paragraph" w:customStyle="1" w:styleId="AnnexNoTitle">
    <w:name w:val="Annex_NoTitle"/>
    <w:basedOn w:val="Normal"/>
    <w:next w:val="Normalaftertitle"/>
    <w:rsid w:val="00B41F06"/>
    <w:pPr>
      <w:keepNext/>
      <w:keepLines/>
      <w:spacing w:before="480" w:after="80"/>
      <w:jc w:val="center"/>
    </w:pPr>
    <w:rPr>
      <w:b/>
      <w:sz w:val="28"/>
    </w:rPr>
  </w:style>
  <w:style w:type="paragraph" w:customStyle="1" w:styleId="Normalaftertitle">
    <w:name w:val="Normal_after_title"/>
    <w:basedOn w:val="Normal"/>
    <w:next w:val="Normal"/>
    <w:link w:val="NormalaftertitleChar"/>
    <w:rsid w:val="00B41F06"/>
    <w:pPr>
      <w:spacing w:before="320"/>
    </w:pPr>
  </w:style>
  <w:style w:type="paragraph" w:customStyle="1" w:styleId="enumlev2">
    <w:name w:val="enumlev2"/>
    <w:basedOn w:val="enumlev1"/>
    <w:rsid w:val="00B41F06"/>
    <w:pPr>
      <w:ind w:left="1191" w:hanging="397"/>
    </w:pPr>
  </w:style>
  <w:style w:type="paragraph" w:customStyle="1" w:styleId="enumlev1">
    <w:name w:val="enumlev1"/>
    <w:basedOn w:val="Normal"/>
    <w:link w:val="enumlev1Char"/>
    <w:rsid w:val="00B41F06"/>
    <w:pPr>
      <w:spacing w:before="80"/>
      <w:ind w:left="794" w:hanging="794"/>
    </w:pPr>
  </w:style>
  <w:style w:type="paragraph" w:customStyle="1" w:styleId="enumlev3">
    <w:name w:val="enumlev3"/>
    <w:basedOn w:val="enumlev2"/>
    <w:rsid w:val="00B41F06"/>
    <w:pPr>
      <w:ind w:left="1588"/>
    </w:pPr>
  </w:style>
  <w:style w:type="paragraph" w:customStyle="1" w:styleId="Note">
    <w:name w:val="Note"/>
    <w:basedOn w:val="Normal"/>
    <w:rsid w:val="00B41F06"/>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B41F06"/>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B41F06"/>
    <w:pPr>
      <w:keepNext/>
      <w:keepLines/>
      <w:spacing w:before="240"/>
      <w:jc w:val="center"/>
    </w:pPr>
    <w:rPr>
      <w:b/>
      <w:sz w:val="28"/>
    </w:rPr>
  </w:style>
  <w:style w:type="paragraph" w:customStyle="1" w:styleId="Recref">
    <w:name w:val="Rec_ref"/>
    <w:basedOn w:val="Normal"/>
    <w:next w:val="Recdate"/>
    <w:rsid w:val="00B41F06"/>
    <w:pPr>
      <w:jc w:val="center"/>
    </w:pPr>
  </w:style>
  <w:style w:type="paragraph" w:customStyle="1" w:styleId="Recdate">
    <w:name w:val="Rec_date"/>
    <w:basedOn w:val="Recref"/>
    <w:next w:val="Normalaftertitle"/>
    <w:rsid w:val="00B41F06"/>
    <w:pPr>
      <w:jc w:val="right"/>
    </w:pPr>
  </w:style>
  <w:style w:type="paragraph" w:customStyle="1" w:styleId="HeadingSum">
    <w:name w:val="Heading_Sum"/>
    <w:basedOn w:val="Headingb"/>
    <w:next w:val="Normal"/>
    <w:autoRedefine/>
    <w:rsid w:val="00B41F06"/>
    <w:pPr>
      <w:spacing w:before="240"/>
    </w:pPr>
    <w:rPr>
      <w:sz w:val="22"/>
      <w:lang w:val="es-ES_tradnl"/>
    </w:rPr>
  </w:style>
  <w:style w:type="paragraph" w:customStyle="1" w:styleId="AppendixNoTitle">
    <w:name w:val="Appendix_NoTitle"/>
    <w:basedOn w:val="AnnexNoTitle"/>
    <w:next w:val="Normal"/>
    <w:rsid w:val="00B41F06"/>
  </w:style>
  <w:style w:type="paragraph" w:customStyle="1" w:styleId="Tablefin">
    <w:name w:val="Table_fin"/>
    <w:basedOn w:val="Normal"/>
    <w:next w:val="Normal"/>
    <w:rsid w:val="00B41F06"/>
    <w:pPr>
      <w:spacing w:before="0"/>
    </w:pPr>
    <w:rPr>
      <w:sz w:val="20"/>
    </w:rPr>
  </w:style>
  <w:style w:type="paragraph" w:customStyle="1" w:styleId="Tablehead">
    <w:name w:val="Table_head"/>
    <w:basedOn w:val="Normal"/>
    <w:next w:val="Normal"/>
    <w:link w:val="TableheadChar"/>
    <w:rsid w:val="00B41F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41F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41F06"/>
    <w:pPr>
      <w:keepNext/>
      <w:spacing w:before="360" w:after="120"/>
      <w:jc w:val="center"/>
    </w:pPr>
  </w:style>
  <w:style w:type="paragraph" w:customStyle="1" w:styleId="Tabletext">
    <w:name w:val="Table_text"/>
    <w:basedOn w:val="Normal"/>
    <w:link w:val="TabletextChar"/>
    <w:rsid w:val="00B41F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41F06"/>
    <w:pPr>
      <w:tabs>
        <w:tab w:val="clear" w:pos="1191"/>
        <w:tab w:val="clear" w:pos="1588"/>
        <w:tab w:val="clear" w:pos="1985"/>
        <w:tab w:val="center" w:pos="4820"/>
        <w:tab w:val="right" w:pos="9639"/>
      </w:tabs>
    </w:pPr>
  </w:style>
  <w:style w:type="paragraph" w:customStyle="1" w:styleId="Equationlegend">
    <w:name w:val="Equation_legend"/>
    <w:basedOn w:val="NormalIndent"/>
    <w:rsid w:val="00B41F0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41F06"/>
    <w:pPr>
      <w:ind w:left="794"/>
    </w:pPr>
  </w:style>
  <w:style w:type="paragraph" w:customStyle="1" w:styleId="Figurelegend">
    <w:name w:val="Figure_legend"/>
    <w:basedOn w:val="Normal"/>
    <w:rsid w:val="00B41F0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41F06"/>
    <w:pPr>
      <w:keepNext/>
      <w:keepLines/>
      <w:spacing w:before="480" w:after="80"/>
      <w:jc w:val="center"/>
    </w:pPr>
    <w:rPr>
      <w:caps/>
      <w:sz w:val="18"/>
    </w:rPr>
  </w:style>
  <w:style w:type="paragraph" w:customStyle="1" w:styleId="Figuretitle">
    <w:name w:val="Figure_title"/>
    <w:basedOn w:val="Normal"/>
    <w:next w:val="Figure"/>
    <w:rsid w:val="00B41F06"/>
    <w:pPr>
      <w:keepNext/>
      <w:spacing w:before="0" w:after="120"/>
      <w:jc w:val="center"/>
    </w:pPr>
    <w:rPr>
      <w:rFonts w:ascii="Times New Roman Bold" w:hAnsi="Times New Roman Bold"/>
      <w:b/>
      <w:sz w:val="18"/>
    </w:rPr>
  </w:style>
  <w:style w:type="paragraph" w:customStyle="1" w:styleId="Figure">
    <w:name w:val="Figure"/>
    <w:basedOn w:val="FigureNo"/>
    <w:next w:val="Normal"/>
    <w:rsid w:val="00B41F06"/>
    <w:pPr>
      <w:keepNext w:val="0"/>
      <w:spacing w:before="0" w:after="240"/>
    </w:pPr>
  </w:style>
  <w:style w:type="paragraph" w:customStyle="1" w:styleId="tocpart">
    <w:name w:val="tocpart"/>
    <w:basedOn w:val="Normal"/>
    <w:rsid w:val="00B41F0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41F06"/>
    <w:pPr>
      <w:keepNext/>
      <w:keepLines/>
      <w:spacing w:before="480"/>
      <w:jc w:val="center"/>
    </w:pPr>
    <w:rPr>
      <w:sz w:val="28"/>
    </w:rPr>
  </w:style>
  <w:style w:type="paragraph" w:customStyle="1" w:styleId="Arttitle">
    <w:name w:val="Art_title"/>
    <w:basedOn w:val="Normal"/>
    <w:next w:val="Normalaftertitle"/>
    <w:rsid w:val="00B41F06"/>
    <w:pPr>
      <w:keepNext/>
      <w:keepLines/>
      <w:spacing w:before="240"/>
      <w:jc w:val="center"/>
    </w:pPr>
    <w:rPr>
      <w:b/>
      <w:sz w:val="28"/>
    </w:rPr>
  </w:style>
  <w:style w:type="paragraph" w:customStyle="1" w:styleId="Blanc">
    <w:name w:val="Blanc"/>
    <w:basedOn w:val="Normal"/>
    <w:next w:val="Tabletext"/>
    <w:rsid w:val="00B41F06"/>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B41F0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41F06"/>
    <w:pPr>
      <w:keepNext/>
      <w:keepLines/>
      <w:spacing w:before="160"/>
      <w:ind w:left="794"/>
    </w:pPr>
    <w:rPr>
      <w:i/>
    </w:rPr>
  </w:style>
  <w:style w:type="paragraph" w:customStyle="1" w:styleId="ChapNo">
    <w:name w:val="Chap_No"/>
    <w:basedOn w:val="ArtNo"/>
    <w:next w:val="Chaptitle"/>
    <w:rsid w:val="00B41F06"/>
    <w:rPr>
      <w:b/>
    </w:rPr>
  </w:style>
  <w:style w:type="paragraph" w:customStyle="1" w:styleId="Chaptitle">
    <w:name w:val="Chap_title"/>
    <w:basedOn w:val="Arttitle"/>
    <w:next w:val="Normalaftertitle"/>
    <w:rsid w:val="00B41F06"/>
  </w:style>
  <w:style w:type="character" w:styleId="FootnoteReference">
    <w:name w:val="footnote reference"/>
    <w:basedOn w:val="DefaultParagraphFont"/>
    <w:semiHidden/>
    <w:rsid w:val="00B41F06"/>
    <w:rPr>
      <w:position w:val="6"/>
      <w:sz w:val="18"/>
    </w:rPr>
  </w:style>
  <w:style w:type="paragraph" w:styleId="FootnoteText">
    <w:name w:val="footnote text"/>
    <w:basedOn w:val="Normal"/>
    <w:semiHidden/>
    <w:rsid w:val="00B41F06"/>
    <w:pPr>
      <w:keepLines/>
      <w:tabs>
        <w:tab w:val="left" w:pos="255"/>
      </w:tabs>
      <w:ind w:left="255" w:hanging="255"/>
    </w:pPr>
    <w:rPr>
      <w:sz w:val="22"/>
    </w:rPr>
  </w:style>
  <w:style w:type="paragraph" w:styleId="Index1">
    <w:name w:val="index 1"/>
    <w:basedOn w:val="Normal"/>
    <w:next w:val="Normal"/>
    <w:semiHidden/>
    <w:rsid w:val="00B41F06"/>
  </w:style>
  <w:style w:type="paragraph" w:styleId="Index2">
    <w:name w:val="index 2"/>
    <w:basedOn w:val="Normal"/>
    <w:next w:val="Normal"/>
    <w:semiHidden/>
    <w:rsid w:val="00B41F06"/>
    <w:pPr>
      <w:ind w:left="283"/>
    </w:pPr>
  </w:style>
  <w:style w:type="paragraph" w:styleId="Index3">
    <w:name w:val="index 3"/>
    <w:basedOn w:val="Normal"/>
    <w:next w:val="Normal"/>
    <w:semiHidden/>
    <w:rsid w:val="00B41F06"/>
    <w:pPr>
      <w:ind w:left="566"/>
    </w:pPr>
  </w:style>
  <w:style w:type="paragraph" w:styleId="IndexHeading">
    <w:name w:val="index heading"/>
    <w:basedOn w:val="Normal"/>
    <w:next w:val="Index1"/>
    <w:semiHidden/>
    <w:rsid w:val="00B41F06"/>
  </w:style>
  <w:style w:type="paragraph" w:customStyle="1" w:styleId="Line">
    <w:name w:val="Line"/>
    <w:basedOn w:val="Normal"/>
    <w:next w:val="Normal"/>
    <w:rsid w:val="00B41F06"/>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41F0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41F06"/>
  </w:style>
  <w:style w:type="paragraph" w:customStyle="1" w:styleId="Partref">
    <w:name w:val="Part_ref"/>
    <w:basedOn w:val="Normal"/>
    <w:next w:val="Normal"/>
    <w:rsid w:val="00B41F06"/>
    <w:pPr>
      <w:keepNext/>
      <w:keepLines/>
      <w:spacing w:after="280"/>
      <w:jc w:val="center"/>
    </w:pPr>
  </w:style>
  <w:style w:type="paragraph" w:customStyle="1" w:styleId="Parttitle">
    <w:name w:val="Part_title"/>
    <w:basedOn w:val="Normal"/>
    <w:next w:val="Normalaftertitle"/>
    <w:rsid w:val="00B41F0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41F06"/>
  </w:style>
  <w:style w:type="paragraph" w:customStyle="1" w:styleId="QuestionNo">
    <w:name w:val="Question_No"/>
    <w:basedOn w:val="RecNo"/>
    <w:next w:val="Normal"/>
    <w:rsid w:val="00B41F06"/>
  </w:style>
  <w:style w:type="paragraph" w:customStyle="1" w:styleId="Questionref">
    <w:name w:val="Question_ref"/>
    <w:basedOn w:val="Recref"/>
    <w:next w:val="Questiondate"/>
    <w:rsid w:val="00B41F06"/>
  </w:style>
  <w:style w:type="paragraph" w:customStyle="1" w:styleId="Questiontitle">
    <w:name w:val="Question_title"/>
    <w:basedOn w:val="Normal"/>
    <w:next w:val="Questionref"/>
    <w:rsid w:val="00B41F06"/>
  </w:style>
  <w:style w:type="paragraph" w:customStyle="1" w:styleId="Reftext">
    <w:name w:val="Ref_text"/>
    <w:basedOn w:val="Normal"/>
    <w:rsid w:val="00B41F06"/>
    <w:pPr>
      <w:ind w:left="794" w:hanging="794"/>
    </w:pPr>
    <w:rPr>
      <w:sz w:val="22"/>
    </w:rPr>
  </w:style>
  <w:style w:type="paragraph" w:customStyle="1" w:styleId="Reftitle">
    <w:name w:val="Ref_title"/>
    <w:basedOn w:val="Normal"/>
    <w:next w:val="Reftext"/>
    <w:rsid w:val="00B41F0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41F06"/>
  </w:style>
  <w:style w:type="paragraph" w:customStyle="1" w:styleId="RepNo">
    <w:name w:val="Rep_No"/>
    <w:basedOn w:val="RecNo"/>
    <w:next w:val="Reptitle"/>
    <w:rsid w:val="00B41F06"/>
  </w:style>
  <w:style w:type="paragraph" w:customStyle="1" w:styleId="Reptitle">
    <w:name w:val="Rep_title"/>
    <w:basedOn w:val="Rectitle"/>
    <w:next w:val="Repref"/>
    <w:rsid w:val="00B41F06"/>
  </w:style>
  <w:style w:type="paragraph" w:customStyle="1" w:styleId="Repref">
    <w:name w:val="Rep_ref"/>
    <w:basedOn w:val="Recref"/>
    <w:next w:val="Repdate"/>
    <w:rsid w:val="00B41F06"/>
  </w:style>
  <w:style w:type="paragraph" w:customStyle="1" w:styleId="Resdate">
    <w:name w:val="Res_date"/>
    <w:basedOn w:val="Recdate"/>
    <w:next w:val="Normalaftertitle"/>
    <w:rsid w:val="00B41F06"/>
  </w:style>
  <w:style w:type="paragraph" w:customStyle="1" w:styleId="ResNo">
    <w:name w:val="Res_No"/>
    <w:basedOn w:val="RecNo"/>
    <w:next w:val="Restitle"/>
    <w:rsid w:val="00B41F06"/>
  </w:style>
  <w:style w:type="paragraph" w:customStyle="1" w:styleId="Restitle">
    <w:name w:val="Res_title"/>
    <w:basedOn w:val="Normal"/>
    <w:next w:val="Resref"/>
    <w:rsid w:val="00B41F06"/>
    <w:pPr>
      <w:spacing w:before="240"/>
      <w:jc w:val="center"/>
    </w:pPr>
    <w:rPr>
      <w:b/>
      <w:sz w:val="28"/>
    </w:rPr>
  </w:style>
  <w:style w:type="paragraph" w:customStyle="1" w:styleId="Resref">
    <w:name w:val="Res_ref"/>
    <w:basedOn w:val="Recref"/>
    <w:next w:val="Resdate"/>
    <w:rsid w:val="00B41F06"/>
  </w:style>
  <w:style w:type="paragraph" w:customStyle="1" w:styleId="SectionNo">
    <w:name w:val="Section_No"/>
    <w:basedOn w:val="Normal"/>
    <w:next w:val="Normal"/>
    <w:rsid w:val="00B41F06"/>
  </w:style>
  <w:style w:type="paragraph" w:customStyle="1" w:styleId="Sectiontitle">
    <w:name w:val="Section_title"/>
    <w:basedOn w:val="Normal"/>
    <w:next w:val="Normalaftertitle"/>
    <w:rsid w:val="00B41F0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41F06"/>
    <w:pPr>
      <w:tabs>
        <w:tab w:val="clear" w:pos="794"/>
        <w:tab w:val="clear" w:pos="1191"/>
        <w:tab w:val="clear" w:pos="1588"/>
        <w:tab w:val="clear" w:pos="1985"/>
        <w:tab w:val="right" w:pos="9611"/>
      </w:tabs>
    </w:pPr>
    <w:rPr>
      <w:i/>
    </w:rPr>
  </w:style>
  <w:style w:type="paragraph" w:styleId="TOC1">
    <w:name w:val="toc 1"/>
    <w:basedOn w:val="Normal"/>
    <w:semiHidden/>
    <w:rsid w:val="00B41F0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41F06"/>
    <w:pPr>
      <w:tabs>
        <w:tab w:val="clear" w:pos="567"/>
        <w:tab w:val="left" w:pos="1276"/>
      </w:tabs>
      <w:spacing w:before="160"/>
      <w:ind w:left="1276" w:hanging="709"/>
    </w:pPr>
  </w:style>
  <w:style w:type="paragraph" w:styleId="TOC3">
    <w:name w:val="toc 3"/>
    <w:basedOn w:val="TOC2"/>
    <w:semiHidden/>
    <w:rsid w:val="00B41F06"/>
    <w:pPr>
      <w:tabs>
        <w:tab w:val="clear" w:pos="1276"/>
        <w:tab w:val="left" w:pos="2155"/>
      </w:tabs>
      <w:ind w:left="2155" w:hanging="879"/>
    </w:pPr>
  </w:style>
  <w:style w:type="paragraph" w:styleId="TOC4">
    <w:name w:val="toc 4"/>
    <w:basedOn w:val="TOC3"/>
    <w:semiHidden/>
    <w:rsid w:val="00B41F06"/>
    <w:pPr>
      <w:tabs>
        <w:tab w:val="left" w:pos="3261"/>
      </w:tabs>
      <w:spacing w:before="80"/>
      <w:ind w:left="3261" w:hanging="993"/>
    </w:pPr>
  </w:style>
  <w:style w:type="paragraph" w:styleId="TOC5">
    <w:name w:val="toc 5"/>
    <w:basedOn w:val="TOC4"/>
    <w:semiHidden/>
    <w:rsid w:val="00B41F06"/>
  </w:style>
  <w:style w:type="paragraph" w:styleId="TOC6">
    <w:name w:val="toc 6"/>
    <w:basedOn w:val="TOC4"/>
    <w:semiHidden/>
    <w:rsid w:val="00B41F06"/>
  </w:style>
  <w:style w:type="paragraph" w:styleId="TOC7">
    <w:name w:val="toc 7"/>
    <w:basedOn w:val="TOC4"/>
    <w:semiHidden/>
    <w:rsid w:val="00B41F06"/>
  </w:style>
  <w:style w:type="paragraph" w:styleId="TOC8">
    <w:name w:val="toc 8"/>
    <w:basedOn w:val="TOC4"/>
    <w:semiHidden/>
    <w:rsid w:val="00B41F06"/>
  </w:style>
  <w:style w:type="paragraph" w:customStyle="1" w:styleId="Annexref">
    <w:name w:val="Annex_ref"/>
    <w:basedOn w:val="Normal"/>
    <w:next w:val="Normalaftertitle"/>
    <w:rsid w:val="00B41F06"/>
    <w:pPr>
      <w:keepNext/>
      <w:keepLines/>
      <w:spacing w:after="280"/>
      <w:jc w:val="center"/>
    </w:pPr>
  </w:style>
  <w:style w:type="paragraph" w:customStyle="1" w:styleId="Appendixref">
    <w:name w:val="Appendix_ref"/>
    <w:basedOn w:val="Annexref"/>
    <w:next w:val="Normalaftertitle"/>
    <w:rsid w:val="00B41F06"/>
  </w:style>
  <w:style w:type="paragraph" w:customStyle="1" w:styleId="Tabletitle">
    <w:name w:val="Table_title"/>
    <w:basedOn w:val="Normal"/>
    <w:next w:val="Tablehead"/>
    <w:rsid w:val="00B41F06"/>
    <w:pPr>
      <w:keepNext/>
      <w:spacing w:before="0" w:after="120"/>
      <w:jc w:val="center"/>
    </w:pPr>
    <w:rPr>
      <w:b/>
    </w:rPr>
  </w:style>
  <w:style w:type="paragraph" w:customStyle="1" w:styleId="Summary">
    <w:name w:val="Summary"/>
    <w:basedOn w:val="Normal"/>
    <w:next w:val="Normalaftertitle"/>
    <w:link w:val="SummaryZchn"/>
    <w:autoRedefine/>
    <w:rsid w:val="00B41F06"/>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B41F06"/>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locked/>
    <w:rsid w:val="00420D29"/>
    <w:rPr>
      <w:b/>
      <w:sz w:val="22"/>
      <w:lang w:val="en-GB" w:eastAsia="en-US"/>
    </w:rPr>
  </w:style>
  <w:style w:type="character" w:customStyle="1" w:styleId="TabletextChar">
    <w:name w:val="Table_text Char"/>
    <w:basedOn w:val="DefaultParagraphFont"/>
    <w:link w:val="Tabletext"/>
    <w:locked/>
    <w:rsid w:val="00420D29"/>
    <w:rPr>
      <w:sz w:val="22"/>
      <w:lang w:val="en-GB" w:eastAsia="en-US"/>
    </w:rPr>
  </w:style>
  <w:style w:type="character" w:customStyle="1" w:styleId="enumlev1Char">
    <w:name w:val="enumlev1 Char"/>
    <w:link w:val="enumlev1"/>
    <w:locked/>
    <w:rsid w:val="00420D29"/>
    <w:rPr>
      <w:sz w:val="24"/>
      <w:lang w:val="en-GB" w:eastAsia="en-US"/>
    </w:rPr>
  </w:style>
  <w:style w:type="character" w:customStyle="1" w:styleId="HeadingbChar">
    <w:name w:val="Heading_b Char"/>
    <w:basedOn w:val="DefaultParagraphFont"/>
    <w:link w:val="Headingb"/>
    <w:locked/>
    <w:rsid w:val="00420D29"/>
    <w:rPr>
      <w:b/>
      <w:sz w:val="24"/>
      <w:lang w:val="en-GB" w:eastAsia="en-US"/>
    </w:rPr>
  </w:style>
  <w:style w:type="character" w:customStyle="1" w:styleId="NormalaftertitleChar">
    <w:name w:val="Normal_after_title Char"/>
    <w:basedOn w:val="DefaultParagraphFont"/>
    <w:link w:val="Normalaftertitle"/>
    <w:locked/>
    <w:rsid w:val="00420D29"/>
    <w:rPr>
      <w:sz w:val="24"/>
      <w:lang w:val="en-GB" w:eastAsia="en-US"/>
    </w:rPr>
  </w:style>
  <w:style w:type="character" w:customStyle="1" w:styleId="CallChar">
    <w:name w:val="Call Char"/>
    <w:basedOn w:val="DefaultParagraphFont"/>
    <w:link w:val="Call"/>
    <w:locked/>
    <w:rsid w:val="00420D29"/>
    <w:rPr>
      <w:i/>
      <w:sz w:val="24"/>
      <w:lang w:val="en-GB" w:eastAsia="en-US"/>
    </w:rPr>
  </w:style>
  <w:style w:type="character" w:customStyle="1" w:styleId="Artref">
    <w:name w:val="Art_ref"/>
    <w:basedOn w:val="DefaultParagraphFont"/>
    <w:rsid w:val="00420D29"/>
  </w:style>
  <w:style w:type="character" w:customStyle="1" w:styleId="SummaryZchn">
    <w:name w:val="Summary Zchn"/>
    <w:basedOn w:val="DefaultParagraphFont"/>
    <w:link w:val="Summary"/>
    <w:rsid w:val="00420D29"/>
    <w:rPr>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TU-R/go/patent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28</TotalTime>
  <Pages>5</Pages>
  <Words>1481</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RECOMENDACIÓN  UIT-R  M.2121-1 (12/2023) – Armonización de las bandas de frecuencias para los sistemas de transporte inteligentes en el servicio móvil</vt:lpstr>
    </vt:vector>
  </TitlesOfParts>
  <Manager/>
  <Company>ITU</Company>
  <LinksUpToDate>false</LinksUpToDate>
  <CharactersWithSpaces>10113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M.2121-1 (12/2023) – Armonización de las bandas de frecuencias para los sistemas de transporte inteligentes en el servicio móvil</dc:title>
  <dc:subject/>
  <dc:creator>Spanish</dc:creator>
  <cp:keywords/>
  <dc:description>2023-03-17 Version 1</dc:description>
  <cp:lastModifiedBy>Catalano Moreira, Rossana</cp:lastModifiedBy>
  <cp:revision>12</cp:revision>
  <cp:lastPrinted>2024-08-26T09:29:00Z</cp:lastPrinted>
  <dcterms:created xsi:type="dcterms:W3CDTF">2024-08-26T08:56:00Z</dcterms:created>
  <dcterms:modified xsi:type="dcterms:W3CDTF">2024-08-26T09:35:00Z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