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33DF" w14:textId="77777777" w:rsidR="00FE79FE" w:rsidRPr="001A3850" w:rsidRDefault="00FE79FE">
      <w:pPr>
        <w:rPr>
          <w:lang w:val="ru-RU"/>
        </w:rPr>
      </w:pPr>
      <w:bookmarkStart w:id="0" w:name="c2tope"/>
      <w:bookmarkEnd w:id="0"/>
    </w:p>
    <w:p w14:paraId="3028361E" w14:textId="77777777" w:rsidR="009E7C05" w:rsidRPr="001A3850" w:rsidRDefault="009E7C05" w:rsidP="009E7C05">
      <w:pPr>
        <w:rPr>
          <w:lang w:val="ru-RU"/>
        </w:rPr>
      </w:pPr>
    </w:p>
    <w:p w14:paraId="11B0E2A9" w14:textId="77777777" w:rsidR="009E7C05" w:rsidRPr="001A3850" w:rsidRDefault="009E7C05" w:rsidP="009E7C05">
      <w:pPr>
        <w:tabs>
          <w:tab w:val="clear" w:pos="794"/>
          <w:tab w:val="clear" w:pos="1191"/>
          <w:tab w:val="clear" w:pos="1588"/>
          <w:tab w:val="clear" w:pos="1985"/>
        </w:tabs>
        <w:rPr>
          <w:lang w:val="ru-RU"/>
        </w:rPr>
      </w:pPr>
    </w:p>
    <w:p w14:paraId="49F424FE" w14:textId="4D102E94" w:rsidR="009E7C05" w:rsidRPr="001A3850" w:rsidRDefault="009E7C05" w:rsidP="009E7C05">
      <w:pPr>
        <w:pStyle w:val="CoverNumber"/>
        <w:rPr>
          <w:lang w:val="ru-RU"/>
        </w:rPr>
      </w:pPr>
      <w:r w:rsidRPr="001A3850">
        <w:rPr>
          <w:lang w:val="ru-RU"/>
        </w:rPr>
        <w:t xml:space="preserve">Рекомендация МСЭ-R </w:t>
      </w:r>
      <w:r w:rsidR="00457F7F" w:rsidRPr="001A3850">
        <w:rPr>
          <w:lang w:val="ru-RU"/>
        </w:rPr>
        <w:t>M</w:t>
      </w:r>
      <w:r w:rsidRPr="001A3850">
        <w:rPr>
          <w:lang w:val="ru-RU"/>
        </w:rPr>
        <w:t>.</w:t>
      </w:r>
      <w:proofErr w:type="gramStart"/>
      <w:r w:rsidR="00B76EC6" w:rsidRPr="001A3850">
        <w:rPr>
          <w:lang w:val="ru-RU"/>
        </w:rPr>
        <w:t>2164-0</w:t>
      </w:r>
      <w:proofErr w:type="gramEnd"/>
    </w:p>
    <w:p w14:paraId="363BF592" w14:textId="7833EE33" w:rsidR="009E7C05" w:rsidRPr="001A3850" w:rsidRDefault="009E7C05" w:rsidP="009E7C05">
      <w:pPr>
        <w:pStyle w:val="CoverDate"/>
        <w:rPr>
          <w:lang w:val="ru-RU"/>
        </w:rPr>
      </w:pPr>
      <w:r w:rsidRPr="001A3850">
        <w:rPr>
          <w:lang w:val="ru-RU"/>
        </w:rPr>
        <w:t>(</w:t>
      </w:r>
      <w:r w:rsidR="00B76EC6" w:rsidRPr="001A3850">
        <w:rPr>
          <w:lang w:val="ru-RU"/>
        </w:rPr>
        <w:t>11</w:t>
      </w:r>
      <w:r w:rsidRPr="001A3850">
        <w:rPr>
          <w:lang w:val="ru-RU"/>
        </w:rPr>
        <w:t>/</w:t>
      </w:r>
      <w:r w:rsidR="00B76EC6" w:rsidRPr="001A3850">
        <w:rPr>
          <w:lang w:val="ru-RU"/>
        </w:rPr>
        <w:t>2023</w:t>
      </w:r>
      <w:r w:rsidRPr="001A3850">
        <w:rPr>
          <w:lang w:val="ru-RU"/>
        </w:rPr>
        <w:t>)</w:t>
      </w:r>
    </w:p>
    <w:p w14:paraId="3548BEF3" w14:textId="3889ADB4" w:rsidR="009E7C05" w:rsidRPr="001A3850" w:rsidRDefault="009E7C05" w:rsidP="009E7C05">
      <w:pPr>
        <w:pStyle w:val="CoverSeries"/>
        <w:rPr>
          <w:bCs w:val="0"/>
          <w:lang w:val="ru-RU"/>
        </w:rPr>
      </w:pPr>
      <w:r w:rsidRPr="001A3850">
        <w:rPr>
          <w:lang w:val="ru-RU"/>
        </w:rPr>
        <w:t xml:space="preserve">Серия </w:t>
      </w:r>
      <w:r w:rsidR="00457F7F" w:rsidRPr="001A3850">
        <w:rPr>
          <w:lang w:val="ru-RU"/>
        </w:rPr>
        <w:t>M</w:t>
      </w:r>
      <w:r w:rsidRPr="001A3850">
        <w:rPr>
          <w:lang w:val="ru-RU"/>
        </w:rPr>
        <w:t xml:space="preserve">: </w:t>
      </w:r>
      <w:r w:rsidR="00457F7F" w:rsidRPr="001A3850">
        <w:rPr>
          <w:bCs w:val="0"/>
          <w:iCs/>
          <w:lang w:val="ru-RU"/>
        </w:rPr>
        <w:t>Подвижные службы, служба радиоопределения, любительская служба и относящиеся к ним спутниковые службы</w:t>
      </w:r>
    </w:p>
    <w:p w14:paraId="42D2531C" w14:textId="12C5CF35" w:rsidR="009E7C05" w:rsidRPr="001A3850" w:rsidRDefault="00B76EC6" w:rsidP="009E7C05">
      <w:pPr>
        <w:pStyle w:val="CoverTitle"/>
        <w:rPr>
          <w:lang w:val="ru-RU"/>
        </w:rPr>
      </w:pPr>
      <w:r w:rsidRPr="001A3850">
        <w:rPr>
          <w:lang w:val="ru-RU"/>
        </w:rPr>
        <w:t xml:space="preserve">Руководство по техническим и эксплуатационным мерам по использованию полосы частот </w:t>
      </w:r>
      <w:proofErr w:type="gramStart"/>
      <w:r w:rsidRPr="001A3850">
        <w:rPr>
          <w:lang w:val="ru-RU"/>
        </w:rPr>
        <w:t>1240−1300</w:t>
      </w:r>
      <w:proofErr w:type="gramEnd"/>
      <w:r w:rsidRPr="001A3850">
        <w:rPr>
          <w:lang w:val="ru-RU"/>
        </w:rPr>
        <w:t> МГц любительской и любительской спутниковой службами, предназначенным для защиты радионавигационной спутниковой службы (космос-Земля)</w:t>
      </w:r>
    </w:p>
    <w:p w14:paraId="19CB230E" w14:textId="77777777" w:rsidR="009E7C05" w:rsidRPr="001A3850" w:rsidRDefault="009E7C05" w:rsidP="009E7C05">
      <w:pPr>
        <w:rPr>
          <w:lang w:val="ru-RU"/>
        </w:rPr>
      </w:pPr>
    </w:p>
    <w:p w14:paraId="210C874F" w14:textId="77777777" w:rsidR="009E7C05" w:rsidRPr="001A3850" w:rsidRDefault="009E7C05" w:rsidP="009E7C05">
      <w:pPr>
        <w:rPr>
          <w:lang w:val="ru-RU"/>
        </w:rPr>
      </w:pPr>
    </w:p>
    <w:p w14:paraId="78AFB684" w14:textId="77777777" w:rsidR="009E7C05" w:rsidRPr="001A3850" w:rsidRDefault="009E7C05" w:rsidP="009E7C05">
      <w:pPr>
        <w:rPr>
          <w:lang w:val="ru-RU"/>
        </w:rPr>
        <w:sectPr w:rsidR="009E7C05" w:rsidRPr="001A3850" w:rsidSect="002741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89" w:right="1089" w:bottom="284" w:left="1089" w:header="737" w:footer="284" w:gutter="0"/>
          <w:pgNumType w:start="1"/>
          <w:cols w:space="720"/>
          <w:docGrid w:linePitch="326"/>
        </w:sectPr>
      </w:pPr>
    </w:p>
    <w:p w14:paraId="5F9A0793" w14:textId="77777777" w:rsidR="00131900" w:rsidRPr="001A3850" w:rsidRDefault="00131900" w:rsidP="00ED5D3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b/>
          <w:bCs/>
          <w:szCs w:val="22"/>
          <w:lang w:val="ru-RU"/>
        </w:rPr>
      </w:pPr>
      <w:r w:rsidRPr="001A3850">
        <w:rPr>
          <w:b/>
          <w:bCs/>
          <w:szCs w:val="22"/>
          <w:lang w:val="ru-RU"/>
        </w:rPr>
        <w:lastRenderedPageBreak/>
        <w:t>Предисловие</w:t>
      </w:r>
    </w:p>
    <w:p w14:paraId="33216B58" w14:textId="77777777" w:rsidR="00131900" w:rsidRPr="001A3850" w:rsidRDefault="00131900" w:rsidP="0013190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0"/>
          <w:lang w:val="ru-RU"/>
        </w:rPr>
      </w:pPr>
      <w:r w:rsidRPr="001A3850">
        <w:rPr>
          <w:sz w:val="20"/>
          <w:lang w:val="ru-RU"/>
        </w:rPr>
        <w:t>Роль Сектора радиосвязи заключается в обеспечении рационального, справедливого, эффективного и экономичного использования радиочастотного спектра всеми службами радиосвязи, включая спутниковые службы, и проведении в неограниченном частотном диапазоне исследований, на основании которых принимаются Рекомендации.</w:t>
      </w:r>
    </w:p>
    <w:p w14:paraId="241FD9C0" w14:textId="77777777" w:rsidR="00131900" w:rsidRPr="001A3850" w:rsidRDefault="00131900" w:rsidP="0013190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0"/>
          <w:lang w:val="ru-RU"/>
        </w:rPr>
      </w:pPr>
      <w:r w:rsidRPr="001A3850">
        <w:rPr>
          <w:sz w:val="20"/>
          <w:lang w:val="ru-RU"/>
        </w:rPr>
        <w:t xml:space="preserve">Всемирные и региональные конференции радиосвязи и ассамблеи радиосвязи при поддержке исследовательских комиссий выполняют регламентарную и политическую функции Сектора радиосвязи. </w:t>
      </w:r>
    </w:p>
    <w:p w14:paraId="74F158DD" w14:textId="77777777" w:rsidR="00131900" w:rsidRPr="001A3850" w:rsidRDefault="00131900" w:rsidP="0013562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360"/>
        <w:jc w:val="center"/>
        <w:textAlignment w:val="auto"/>
        <w:rPr>
          <w:b/>
          <w:bCs/>
          <w:szCs w:val="22"/>
          <w:lang w:val="ru-RU"/>
        </w:rPr>
      </w:pPr>
      <w:r w:rsidRPr="001A3850">
        <w:rPr>
          <w:b/>
          <w:bCs/>
          <w:szCs w:val="22"/>
          <w:lang w:val="ru-RU"/>
        </w:rPr>
        <w:t>Политика в области прав интеллектуальной собственности (ПИС)</w:t>
      </w:r>
    </w:p>
    <w:p w14:paraId="69EB0660" w14:textId="13BBB3FD" w:rsidR="00131900" w:rsidRPr="001A3850" w:rsidRDefault="00131900" w:rsidP="00D4030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0"/>
          <w:lang w:val="ru-RU"/>
        </w:rPr>
      </w:pPr>
      <w:r w:rsidRPr="001A3850">
        <w:rPr>
          <w:sz w:val="20"/>
          <w:lang w:val="ru-RU"/>
        </w:rPr>
        <w:t>Политика МСЭ-R в области ПИС излагается в общей патентной политике МСЭ-Т/МСЭ-R/ИСО/МЭК, упоминаемой в Резолюции МСЭ-R</w:t>
      </w:r>
      <w:r w:rsidR="001D53F9" w:rsidRPr="001A3850">
        <w:rPr>
          <w:sz w:val="20"/>
          <w:lang w:val="ru-RU"/>
        </w:rPr>
        <w:t xml:space="preserve"> 1</w:t>
      </w:r>
      <w:r w:rsidRPr="001A3850">
        <w:rPr>
          <w:sz w:val="20"/>
          <w:lang w:val="ru-RU"/>
        </w:rPr>
        <w:t xml:space="preserve">. Формы, которые владельцам патентов следует использовать для представления патентных заявлений и деклараций о лицензировании, представлены по адресу: </w:t>
      </w:r>
      <w:hyperlink r:id="rId14" w:history="1">
        <w:r w:rsidR="009E7C05" w:rsidRPr="001A3850">
          <w:rPr>
            <w:rFonts w:eastAsia="SimSun"/>
            <w:color w:val="0000FF"/>
            <w:sz w:val="20"/>
            <w:u w:val="single"/>
            <w:lang w:val="ru-RU" w:eastAsia="zh-CN"/>
          </w:rPr>
          <w:t>http://www.itu.int/ITU-R/go/patents/ru</w:t>
        </w:r>
      </w:hyperlink>
      <w:r w:rsidRPr="001A3850">
        <w:rPr>
          <w:sz w:val="20"/>
          <w:lang w:val="ru-RU"/>
        </w:rPr>
        <w:t>, где также содержатся Руководящие принципы по выполнению общей патентной политики МСЭ-Т/МСЭ-R/ИСО/МЭК и база данных патентной информации МСЭ-R.</w:t>
      </w:r>
    </w:p>
    <w:p w14:paraId="786086E2" w14:textId="77777777" w:rsidR="00131900" w:rsidRPr="001A3850" w:rsidRDefault="00131900" w:rsidP="0013190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jc w:val="left"/>
        <w:textAlignment w:val="auto"/>
        <w:rPr>
          <w:rFonts w:eastAsia="SimSun"/>
          <w:sz w:val="20"/>
          <w:lang w:val="ru-RU" w:eastAsia="zh-CN"/>
        </w:rPr>
      </w:pP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</w:tblBorders>
        <w:tblLook w:val="01E0" w:firstRow="1" w:lastRow="1" w:firstColumn="1" w:lastColumn="1" w:noHBand="0" w:noVBand="0"/>
      </w:tblPr>
      <w:tblGrid>
        <w:gridCol w:w="1188"/>
        <w:gridCol w:w="7668"/>
      </w:tblGrid>
      <w:tr w:rsidR="00457F7F" w:rsidRPr="001A3850" w14:paraId="700F82CB" w14:textId="77777777" w:rsidTr="00EB171C">
        <w:trPr>
          <w:jc w:val="center"/>
        </w:trPr>
        <w:tc>
          <w:tcPr>
            <w:tcW w:w="8856" w:type="dxa"/>
            <w:gridSpan w:val="2"/>
          </w:tcPr>
          <w:p w14:paraId="5AC41B12" w14:textId="77777777" w:rsidR="00457F7F" w:rsidRPr="001A3850" w:rsidRDefault="00457F7F" w:rsidP="00EB171C">
            <w:pPr>
              <w:spacing w:before="180"/>
              <w:jc w:val="center"/>
              <w:rPr>
                <w:b/>
                <w:bCs/>
                <w:szCs w:val="22"/>
                <w:lang w:val="ru-RU"/>
              </w:rPr>
            </w:pPr>
            <w:r w:rsidRPr="001A3850">
              <w:rPr>
                <w:b/>
                <w:bCs/>
                <w:szCs w:val="22"/>
                <w:lang w:val="ru-RU"/>
              </w:rPr>
              <w:t>Серии Рекомендаций МСЭ-R</w:t>
            </w:r>
          </w:p>
          <w:p w14:paraId="304F5F80" w14:textId="017BBE4C" w:rsidR="00457F7F" w:rsidRPr="001A3850" w:rsidRDefault="00457F7F" w:rsidP="00EB171C">
            <w:pPr>
              <w:spacing w:after="2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1A3850">
              <w:rPr>
                <w:sz w:val="18"/>
                <w:szCs w:val="18"/>
                <w:lang w:val="ru-RU"/>
              </w:rPr>
              <w:t xml:space="preserve">(Представлены также в онлайновой форме по адресу: </w:t>
            </w:r>
            <w:hyperlink r:id="rId15" w:history="1">
              <w:r w:rsidRPr="001A3850">
                <w:rPr>
                  <w:rStyle w:val="Hyperlink"/>
                  <w:sz w:val="18"/>
                  <w:lang w:val="ru-RU"/>
                </w:rPr>
                <w:t>http://www.itu.int/publ/R-REC/ru</w:t>
              </w:r>
            </w:hyperlink>
            <w:r w:rsidRPr="001A3850">
              <w:rPr>
                <w:sz w:val="18"/>
                <w:szCs w:val="18"/>
                <w:lang w:val="ru-RU"/>
              </w:rPr>
              <w:t>.)</w:t>
            </w:r>
          </w:p>
        </w:tc>
      </w:tr>
      <w:tr w:rsidR="00457F7F" w:rsidRPr="001A3850" w14:paraId="20103530" w14:textId="77777777" w:rsidTr="00EB171C">
        <w:trPr>
          <w:jc w:val="center"/>
        </w:trPr>
        <w:tc>
          <w:tcPr>
            <w:tcW w:w="1188" w:type="dxa"/>
          </w:tcPr>
          <w:p w14:paraId="1E19A906" w14:textId="77777777" w:rsidR="00457F7F" w:rsidRPr="001A3850" w:rsidRDefault="00457F7F" w:rsidP="00EB171C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1A3850">
              <w:rPr>
                <w:b/>
                <w:bCs/>
                <w:sz w:val="20"/>
                <w:lang w:val="ru-RU"/>
              </w:rPr>
              <w:t>Серия</w:t>
            </w:r>
          </w:p>
        </w:tc>
        <w:tc>
          <w:tcPr>
            <w:tcW w:w="7668" w:type="dxa"/>
          </w:tcPr>
          <w:p w14:paraId="597607A5" w14:textId="77777777" w:rsidR="00457F7F" w:rsidRPr="001A3850" w:rsidRDefault="00457F7F" w:rsidP="00EB171C">
            <w:pPr>
              <w:spacing w:before="40" w:after="40"/>
              <w:jc w:val="center"/>
              <w:rPr>
                <w:b/>
                <w:bCs/>
                <w:sz w:val="20"/>
                <w:lang w:val="ru-RU"/>
              </w:rPr>
            </w:pPr>
            <w:r w:rsidRPr="001A3850">
              <w:rPr>
                <w:b/>
                <w:bCs/>
                <w:sz w:val="20"/>
                <w:lang w:val="ru-RU"/>
              </w:rPr>
              <w:t>Название</w:t>
            </w:r>
          </w:p>
        </w:tc>
      </w:tr>
      <w:tr w:rsidR="00457F7F" w:rsidRPr="001A3850" w14:paraId="2783C223" w14:textId="77777777" w:rsidTr="00EB171C">
        <w:trPr>
          <w:jc w:val="center"/>
        </w:trPr>
        <w:tc>
          <w:tcPr>
            <w:tcW w:w="1188" w:type="dxa"/>
          </w:tcPr>
          <w:p w14:paraId="28D529A9" w14:textId="77777777" w:rsidR="00457F7F" w:rsidRPr="001A3850" w:rsidRDefault="00457F7F" w:rsidP="00EB171C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1A3850">
              <w:rPr>
                <w:b/>
                <w:bCs/>
                <w:sz w:val="20"/>
                <w:lang w:val="ru-RU"/>
              </w:rPr>
              <w:t>BO</w:t>
            </w:r>
          </w:p>
        </w:tc>
        <w:tc>
          <w:tcPr>
            <w:tcW w:w="7668" w:type="dxa"/>
          </w:tcPr>
          <w:p w14:paraId="14AC0D37" w14:textId="77777777" w:rsidR="00457F7F" w:rsidRPr="001A3850" w:rsidRDefault="00457F7F" w:rsidP="00EB171C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1A3850">
              <w:rPr>
                <w:sz w:val="20"/>
                <w:lang w:val="ru-RU"/>
              </w:rPr>
              <w:t>Спутниковое радиовещание</w:t>
            </w:r>
          </w:p>
        </w:tc>
      </w:tr>
      <w:tr w:rsidR="00457F7F" w:rsidRPr="001A3850" w14:paraId="058CF7F7" w14:textId="77777777" w:rsidTr="00EB171C">
        <w:trPr>
          <w:jc w:val="center"/>
        </w:trPr>
        <w:tc>
          <w:tcPr>
            <w:tcW w:w="1188" w:type="dxa"/>
            <w:tcBorders>
              <w:bottom w:val="nil"/>
            </w:tcBorders>
          </w:tcPr>
          <w:p w14:paraId="04BB7350" w14:textId="77777777" w:rsidR="00457F7F" w:rsidRPr="001A3850" w:rsidRDefault="00457F7F" w:rsidP="00EB171C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1A3850">
              <w:rPr>
                <w:b/>
                <w:bCs/>
                <w:sz w:val="20"/>
                <w:lang w:val="ru-RU"/>
              </w:rPr>
              <w:t>BR</w:t>
            </w:r>
          </w:p>
        </w:tc>
        <w:tc>
          <w:tcPr>
            <w:tcW w:w="7668" w:type="dxa"/>
            <w:tcBorders>
              <w:bottom w:val="nil"/>
            </w:tcBorders>
          </w:tcPr>
          <w:p w14:paraId="26437930" w14:textId="77777777" w:rsidR="00457F7F" w:rsidRPr="001A3850" w:rsidRDefault="00457F7F" w:rsidP="00EB171C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1A3850">
              <w:rPr>
                <w:sz w:val="20"/>
                <w:lang w:val="ru-RU"/>
              </w:rPr>
              <w:t>Запись для производства, архивирования и воспроизведения; пленки для телевидения</w:t>
            </w:r>
          </w:p>
        </w:tc>
      </w:tr>
      <w:tr w:rsidR="00457F7F" w:rsidRPr="001A3850" w14:paraId="3A93EE7B" w14:textId="77777777" w:rsidTr="00EB171C">
        <w:trPr>
          <w:jc w:val="center"/>
        </w:trPr>
        <w:tc>
          <w:tcPr>
            <w:tcW w:w="118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C1163D3" w14:textId="77777777" w:rsidR="00457F7F" w:rsidRPr="001A3850" w:rsidRDefault="00457F7F" w:rsidP="00EB171C">
            <w:pPr>
              <w:spacing w:before="40" w:after="40"/>
              <w:rPr>
                <w:rFonts w:ascii="Times New Roman Bold" w:hAnsi="Times New Roman Bold" w:cs="Times New Roman Bold"/>
                <w:b/>
                <w:bCs/>
                <w:color w:val="000080"/>
                <w:sz w:val="20"/>
                <w:lang w:val="ru-RU"/>
              </w:rPr>
            </w:pPr>
            <w:r w:rsidRPr="001A3850">
              <w:rPr>
                <w:b/>
                <w:bCs/>
                <w:sz w:val="20"/>
                <w:lang w:val="ru-RU"/>
              </w:rPr>
              <w:t>BS</w:t>
            </w:r>
          </w:p>
        </w:tc>
        <w:tc>
          <w:tcPr>
            <w:tcW w:w="76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22F45C2" w14:textId="77777777" w:rsidR="00457F7F" w:rsidRPr="001A3850" w:rsidRDefault="00457F7F" w:rsidP="00EB171C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1A3850">
              <w:rPr>
                <w:sz w:val="20"/>
                <w:lang w:val="ru-RU"/>
              </w:rPr>
              <w:t>Радиовещательная служба (звуковая)</w:t>
            </w:r>
          </w:p>
        </w:tc>
      </w:tr>
      <w:tr w:rsidR="00457F7F" w:rsidRPr="001A3850" w14:paraId="21B56E09" w14:textId="77777777" w:rsidTr="00EB171C">
        <w:trPr>
          <w:jc w:val="center"/>
        </w:trPr>
        <w:tc>
          <w:tcPr>
            <w:tcW w:w="1188" w:type="dxa"/>
            <w:tcBorders>
              <w:top w:val="nil"/>
            </w:tcBorders>
          </w:tcPr>
          <w:p w14:paraId="5830B7B4" w14:textId="77777777" w:rsidR="00457F7F" w:rsidRPr="001A3850" w:rsidRDefault="00457F7F" w:rsidP="00EB171C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1A3850">
              <w:rPr>
                <w:b/>
                <w:bCs/>
                <w:sz w:val="20"/>
                <w:lang w:val="ru-RU"/>
              </w:rPr>
              <w:t>BT</w:t>
            </w:r>
          </w:p>
        </w:tc>
        <w:tc>
          <w:tcPr>
            <w:tcW w:w="7668" w:type="dxa"/>
            <w:tcBorders>
              <w:top w:val="nil"/>
            </w:tcBorders>
          </w:tcPr>
          <w:p w14:paraId="6004581E" w14:textId="77777777" w:rsidR="00457F7F" w:rsidRPr="001A3850" w:rsidRDefault="00457F7F" w:rsidP="00EB171C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1A3850">
              <w:rPr>
                <w:sz w:val="20"/>
                <w:lang w:val="ru-RU"/>
              </w:rPr>
              <w:t>Радиовещательная служба (телевизионная)</w:t>
            </w:r>
          </w:p>
        </w:tc>
      </w:tr>
      <w:tr w:rsidR="00457F7F" w:rsidRPr="001A3850" w14:paraId="1720F693" w14:textId="77777777" w:rsidTr="00EB171C">
        <w:trPr>
          <w:jc w:val="center"/>
        </w:trPr>
        <w:tc>
          <w:tcPr>
            <w:tcW w:w="1188" w:type="dxa"/>
            <w:tcBorders>
              <w:bottom w:val="nil"/>
            </w:tcBorders>
          </w:tcPr>
          <w:p w14:paraId="484B21C4" w14:textId="77777777" w:rsidR="00457F7F" w:rsidRPr="001A3850" w:rsidRDefault="00457F7F" w:rsidP="00EB171C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1A3850">
              <w:rPr>
                <w:b/>
                <w:bCs/>
                <w:sz w:val="20"/>
                <w:lang w:val="ru-RU"/>
              </w:rPr>
              <w:t>F</w:t>
            </w:r>
          </w:p>
        </w:tc>
        <w:tc>
          <w:tcPr>
            <w:tcW w:w="7668" w:type="dxa"/>
            <w:tcBorders>
              <w:bottom w:val="nil"/>
            </w:tcBorders>
          </w:tcPr>
          <w:p w14:paraId="055B3586" w14:textId="77777777" w:rsidR="00457F7F" w:rsidRPr="001A3850" w:rsidRDefault="00457F7F" w:rsidP="00EB171C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1A3850">
              <w:rPr>
                <w:sz w:val="20"/>
                <w:lang w:val="ru-RU"/>
              </w:rPr>
              <w:t>Фиксированная служба</w:t>
            </w:r>
          </w:p>
        </w:tc>
      </w:tr>
      <w:tr w:rsidR="00457F7F" w:rsidRPr="001A3850" w14:paraId="5303F718" w14:textId="77777777" w:rsidTr="00EB171C">
        <w:trPr>
          <w:jc w:val="center"/>
        </w:trPr>
        <w:tc>
          <w:tcPr>
            <w:tcW w:w="118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6A03546" w14:textId="77777777" w:rsidR="00457F7F" w:rsidRPr="001A3850" w:rsidRDefault="00457F7F" w:rsidP="00EB171C">
            <w:pPr>
              <w:spacing w:before="40" w:after="40"/>
              <w:rPr>
                <w:b/>
                <w:bCs/>
                <w:color w:val="000080"/>
                <w:sz w:val="20"/>
                <w:lang w:val="ru-RU"/>
              </w:rPr>
            </w:pPr>
            <w:r w:rsidRPr="001A3850">
              <w:rPr>
                <w:b/>
                <w:bCs/>
                <w:color w:val="000080"/>
                <w:sz w:val="20"/>
                <w:lang w:val="ru-RU"/>
              </w:rPr>
              <w:t>M</w:t>
            </w:r>
          </w:p>
        </w:tc>
        <w:tc>
          <w:tcPr>
            <w:tcW w:w="766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B28B066" w14:textId="77777777" w:rsidR="00457F7F" w:rsidRPr="001A3850" w:rsidRDefault="00457F7F" w:rsidP="00EB171C">
            <w:pPr>
              <w:spacing w:before="40" w:after="40"/>
              <w:jc w:val="left"/>
              <w:rPr>
                <w:b/>
                <w:bCs/>
                <w:color w:val="000080"/>
                <w:sz w:val="20"/>
                <w:lang w:val="ru-RU"/>
              </w:rPr>
            </w:pPr>
            <w:r w:rsidRPr="001A3850">
              <w:rPr>
                <w:b/>
                <w:bCs/>
                <w:color w:val="000080"/>
                <w:sz w:val="20"/>
                <w:lang w:val="ru-RU"/>
              </w:rPr>
              <w:t xml:space="preserve">Подвижные службы, служба радиоопределения, любительская служба и относящиеся к ним спутниковые службы </w:t>
            </w:r>
          </w:p>
        </w:tc>
      </w:tr>
      <w:tr w:rsidR="00457F7F" w:rsidRPr="001A3850" w14:paraId="2B2B46D9" w14:textId="77777777" w:rsidTr="00EB171C">
        <w:trPr>
          <w:jc w:val="center"/>
        </w:trPr>
        <w:tc>
          <w:tcPr>
            <w:tcW w:w="1188" w:type="dxa"/>
            <w:tcBorders>
              <w:top w:val="nil"/>
            </w:tcBorders>
            <w:shd w:val="clear" w:color="auto" w:fill="FFFFFF" w:themeFill="background1"/>
          </w:tcPr>
          <w:p w14:paraId="5A2B3CD8" w14:textId="77777777" w:rsidR="00457F7F" w:rsidRPr="001A3850" w:rsidRDefault="00457F7F" w:rsidP="00EB171C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1A3850">
              <w:rPr>
                <w:b/>
                <w:bCs/>
                <w:sz w:val="20"/>
                <w:lang w:val="ru-RU"/>
              </w:rPr>
              <w:t>P</w:t>
            </w:r>
          </w:p>
        </w:tc>
        <w:tc>
          <w:tcPr>
            <w:tcW w:w="7668" w:type="dxa"/>
            <w:tcBorders>
              <w:top w:val="nil"/>
            </w:tcBorders>
            <w:shd w:val="clear" w:color="auto" w:fill="FFFFFF" w:themeFill="background1"/>
          </w:tcPr>
          <w:p w14:paraId="47C9FE3D" w14:textId="77777777" w:rsidR="00457F7F" w:rsidRPr="001A3850" w:rsidRDefault="00457F7F" w:rsidP="00EB171C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1A3850">
              <w:rPr>
                <w:sz w:val="20"/>
                <w:lang w:val="ru-RU"/>
              </w:rPr>
              <w:t>Распространение радиоволн</w:t>
            </w:r>
          </w:p>
        </w:tc>
      </w:tr>
      <w:tr w:rsidR="00457F7F" w:rsidRPr="001A3850" w14:paraId="0479774F" w14:textId="77777777" w:rsidTr="00EB171C">
        <w:trPr>
          <w:jc w:val="center"/>
        </w:trPr>
        <w:tc>
          <w:tcPr>
            <w:tcW w:w="1188" w:type="dxa"/>
          </w:tcPr>
          <w:p w14:paraId="3649C0C2" w14:textId="77777777" w:rsidR="00457F7F" w:rsidRPr="001A3850" w:rsidRDefault="00457F7F" w:rsidP="00EB171C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1A3850">
              <w:rPr>
                <w:b/>
                <w:bCs/>
                <w:sz w:val="20"/>
                <w:lang w:val="ru-RU"/>
              </w:rPr>
              <w:t>RA</w:t>
            </w:r>
          </w:p>
        </w:tc>
        <w:tc>
          <w:tcPr>
            <w:tcW w:w="7668" w:type="dxa"/>
          </w:tcPr>
          <w:p w14:paraId="4674A8B8" w14:textId="77777777" w:rsidR="00457F7F" w:rsidRPr="001A3850" w:rsidRDefault="00457F7F" w:rsidP="00EB171C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1A3850">
              <w:rPr>
                <w:sz w:val="20"/>
                <w:lang w:val="ru-RU"/>
              </w:rPr>
              <w:t>Радиоастрономия</w:t>
            </w:r>
          </w:p>
        </w:tc>
      </w:tr>
      <w:tr w:rsidR="00457F7F" w:rsidRPr="001A3850" w14:paraId="2361321E" w14:textId="77777777" w:rsidTr="00EB171C">
        <w:trPr>
          <w:jc w:val="center"/>
        </w:trPr>
        <w:tc>
          <w:tcPr>
            <w:tcW w:w="1188" w:type="dxa"/>
          </w:tcPr>
          <w:p w14:paraId="42E2CAB8" w14:textId="77777777" w:rsidR="00457F7F" w:rsidRPr="001A3850" w:rsidRDefault="00457F7F" w:rsidP="00EB171C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1A3850">
              <w:rPr>
                <w:b/>
                <w:bCs/>
                <w:sz w:val="20"/>
                <w:lang w:val="ru-RU"/>
              </w:rPr>
              <w:t>RS</w:t>
            </w:r>
          </w:p>
        </w:tc>
        <w:tc>
          <w:tcPr>
            <w:tcW w:w="7668" w:type="dxa"/>
          </w:tcPr>
          <w:p w14:paraId="1187D774" w14:textId="77777777" w:rsidR="00457F7F" w:rsidRPr="001A3850" w:rsidRDefault="00457F7F" w:rsidP="00EB171C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1A3850">
              <w:rPr>
                <w:sz w:val="20"/>
                <w:lang w:val="ru-RU"/>
              </w:rPr>
              <w:t>Системы дистанционного зондирования</w:t>
            </w:r>
          </w:p>
        </w:tc>
      </w:tr>
      <w:tr w:rsidR="00457F7F" w:rsidRPr="001A3850" w14:paraId="313EE2BE" w14:textId="77777777" w:rsidTr="00EB171C">
        <w:trPr>
          <w:jc w:val="center"/>
        </w:trPr>
        <w:tc>
          <w:tcPr>
            <w:tcW w:w="1188" w:type="dxa"/>
          </w:tcPr>
          <w:p w14:paraId="62CC6C7B" w14:textId="77777777" w:rsidR="00457F7F" w:rsidRPr="001A3850" w:rsidRDefault="00457F7F" w:rsidP="00EB171C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1A3850">
              <w:rPr>
                <w:b/>
                <w:bCs/>
                <w:sz w:val="20"/>
                <w:lang w:val="ru-RU"/>
              </w:rPr>
              <w:t>S</w:t>
            </w:r>
          </w:p>
        </w:tc>
        <w:tc>
          <w:tcPr>
            <w:tcW w:w="7668" w:type="dxa"/>
          </w:tcPr>
          <w:p w14:paraId="576AA4BE" w14:textId="77777777" w:rsidR="00457F7F" w:rsidRPr="001A3850" w:rsidRDefault="00457F7F" w:rsidP="00EB171C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1A3850">
              <w:rPr>
                <w:sz w:val="20"/>
                <w:lang w:val="ru-RU"/>
              </w:rPr>
              <w:t>Фиксированная спутниковая служба</w:t>
            </w:r>
          </w:p>
        </w:tc>
      </w:tr>
      <w:tr w:rsidR="00457F7F" w:rsidRPr="001A3850" w14:paraId="5F862AC3" w14:textId="77777777" w:rsidTr="00EB171C">
        <w:trPr>
          <w:jc w:val="center"/>
        </w:trPr>
        <w:tc>
          <w:tcPr>
            <w:tcW w:w="1188" w:type="dxa"/>
            <w:shd w:val="clear" w:color="auto" w:fill="auto"/>
          </w:tcPr>
          <w:p w14:paraId="548D6512" w14:textId="77777777" w:rsidR="00457F7F" w:rsidRPr="001A3850" w:rsidRDefault="00457F7F" w:rsidP="00EB171C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1A3850">
              <w:rPr>
                <w:b/>
                <w:bCs/>
                <w:sz w:val="20"/>
                <w:lang w:val="ru-RU"/>
              </w:rPr>
              <w:t>SA</w:t>
            </w:r>
          </w:p>
        </w:tc>
        <w:tc>
          <w:tcPr>
            <w:tcW w:w="7668" w:type="dxa"/>
            <w:shd w:val="clear" w:color="auto" w:fill="auto"/>
          </w:tcPr>
          <w:p w14:paraId="4F6B3968" w14:textId="77777777" w:rsidR="00457F7F" w:rsidRPr="001A3850" w:rsidRDefault="00457F7F" w:rsidP="00EB171C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1A3850">
              <w:rPr>
                <w:sz w:val="20"/>
                <w:lang w:val="ru-RU"/>
              </w:rPr>
              <w:t>Космические применения и метеорология</w:t>
            </w:r>
          </w:p>
        </w:tc>
      </w:tr>
      <w:tr w:rsidR="00457F7F" w:rsidRPr="001A3850" w14:paraId="31E6DB55" w14:textId="77777777" w:rsidTr="00EB171C">
        <w:trPr>
          <w:jc w:val="center"/>
        </w:trPr>
        <w:tc>
          <w:tcPr>
            <w:tcW w:w="1188" w:type="dxa"/>
          </w:tcPr>
          <w:p w14:paraId="39236ED4" w14:textId="77777777" w:rsidR="00457F7F" w:rsidRPr="001A3850" w:rsidRDefault="00457F7F" w:rsidP="00EB171C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1A3850">
              <w:rPr>
                <w:b/>
                <w:bCs/>
                <w:sz w:val="20"/>
                <w:lang w:val="ru-RU"/>
              </w:rPr>
              <w:t>SF</w:t>
            </w:r>
          </w:p>
        </w:tc>
        <w:tc>
          <w:tcPr>
            <w:tcW w:w="7668" w:type="dxa"/>
          </w:tcPr>
          <w:p w14:paraId="1F5F9BC0" w14:textId="77777777" w:rsidR="00457F7F" w:rsidRPr="001A3850" w:rsidRDefault="00457F7F" w:rsidP="00EB171C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1A3850">
              <w:rPr>
                <w:sz w:val="20"/>
                <w:lang w:val="ru-RU"/>
              </w:rPr>
              <w:t>Совместное использование частот и координация между системами фиксированной спутниковой службы и фиксированной службы</w:t>
            </w:r>
          </w:p>
        </w:tc>
      </w:tr>
      <w:tr w:rsidR="00457F7F" w:rsidRPr="001A3850" w14:paraId="24EE5871" w14:textId="77777777" w:rsidTr="00EB171C">
        <w:trPr>
          <w:jc w:val="center"/>
        </w:trPr>
        <w:tc>
          <w:tcPr>
            <w:tcW w:w="1188" w:type="dxa"/>
            <w:shd w:val="clear" w:color="auto" w:fill="auto"/>
          </w:tcPr>
          <w:p w14:paraId="007929C5" w14:textId="77777777" w:rsidR="00457F7F" w:rsidRPr="001A3850" w:rsidRDefault="00457F7F" w:rsidP="00EB171C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1A3850">
              <w:rPr>
                <w:b/>
                <w:bCs/>
                <w:sz w:val="20"/>
                <w:lang w:val="ru-RU"/>
              </w:rPr>
              <w:t>SM</w:t>
            </w:r>
          </w:p>
        </w:tc>
        <w:tc>
          <w:tcPr>
            <w:tcW w:w="7668" w:type="dxa"/>
            <w:shd w:val="clear" w:color="auto" w:fill="auto"/>
          </w:tcPr>
          <w:p w14:paraId="43440E88" w14:textId="77777777" w:rsidR="00457F7F" w:rsidRPr="001A3850" w:rsidRDefault="00457F7F" w:rsidP="00EB171C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1A3850">
              <w:rPr>
                <w:sz w:val="20"/>
                <w:lang w:val="ru-RU"/>
              </w:rPr>
              <w:t>Управление использованием спектра</w:t>
            </w:r>
          </w:p>
        </w:tc>
      </w:tr>
      <w:tr w:rsidR="00457F7F" w:rsidRPr="001A3850" w14:paraId="4DEE6691" w14:textId="77777777" w:rsidTr="00EB171C">
        <w:trPr>
          <w:jc w:val="center"/>
        </w:trPr>
        <w:tc>
          <w:tcPr>
            <w:tcW w:w="1188" w:type="dxa"/>
          </w:tcPr>
          <w:p w14:paraId="66C3AE9B" w14:textId="77777777" w:rsidR="00457F7F" w:rsidRPr="001A3850" w:rsidRDefault="00457F7F" w:rsidP="00EB171C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1A3850">
              <w:rPr>
                <w:b/>
                <w:bCs/>
                <w:sz w:val="20"/>
                <w:lang w:val="ru-RU"/>
              </w:rPr>
              <w:t>SNG</w:t>
            </w:r>
          </w:p>
        </w:tc>
        <w:tc>
          <w:tcPr>
            <w:tcW w:w="7668" w:type="dxa"/>
          </w:tcPr>
          <w:p w14:paraId="7C0E5C0D" w14:textId="77777777" w:rsidR="00457F7F" w:rsidRPr="001A3850" w:rsidRDefault="00457F7F" w:rsidP="00EB171C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1A3850">
              <w:rPr>
                <w:sz w:val="20"/>
                <w:lang w:val="ru-RU"/>
              </w:rPr>
              <w:t>Спутниковый сбор новостей</w:t>
            </w:r>
          </w:p>
        </w:tc>
      </w:tr>
      <w:tr w:rsidR="00457F7F" w:rsidRPr="001A3850" w14:paraId="2E039CCE" w14:textId="77777777" w:rsidTr="00EB171C">
        <w:trPr>
          <w:jc w:val="center"/>
        </w:trPr>
        <w:tc>
          <w:tcPr>
            <w:tcW w:w="1188" w:type="dxa"/>
          </w:tcPr>
          <w:p w14:paraId="4DE1AEA7" w14:textId="77777777" w:rsidR="00457F7F" w:rsidRPr="001A3850" w:rsidRDefault="00457F7F" w:rsidP="00EB171C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1A3850">
              <w:rPr>
                <w:b/>
                <w:bCs/>
                <w:sz w:val="20"/>
                <w:lang w:val="ru-RU"/>
              </w:rPr>
              <w:t>TF</w:t>
            </w:r>
          </w:p>
        </w:tc>
        <w:tc>
          <w:tcPr>
            <w:tcW w:w="7668" w:type="dxa"/>
          </w:tcPr>
          <w:p w14:paraId="65F61EAC" w14:textId="77777777" w:rsidR="00457F7F" w:rsidRPr="001A3850" w:rsidRDefault="00457F7F" w:rsidP="00EB171C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1A3850">
              <w:rPr>
                <w:sz w:val="20"/>
                <w:lang w:val="ru-RU"/>
              </w:rPr>
              <w:t>Передача сигналов времени и эталонных частот</w:t>
            </w:r>
          </w:p>
        </w:tc>
      </w:tr>
      <w:tr w:rsidR="00457F7F" w:rsidRPr="001A3850" w14:paraId="7506B00C" w14:textId="77777777" w:rsidTr="00EB171C">
        <w:trPr>
          <w:jc w:val="center"/>
        </w:trPr>
        <w:tc>
          <w:tcPr>
            <w:tcW w:w="1188" w:type="dxa"/>
          </w:tcPr>
          <w:p w14:paraId="5BA34906" w14:textId="77777777" w:rsidR="00457F7F" w:rsidRPr="001A3850" w:rsidRDefault="00457F7F" w:rsidP="00EB171C">
            <w:pPr>
              <w:spacing w:before="40" w:after="180"/>
              <w:rPr>
                <w:b/>
                <w:bCs/>
                <w:sz w:val="20"/>
                <w:lang w:val="ru-RU"/>
              </w:rPr>
            </w:pPr>
            <w:r w:rsidRPr="001A3850">
              <w:rPr>
                <w:b/>
                <w:bCs/>
                <w:sz w:val="20"/>
                <w:lang w:val="ru-RU"/>
              </w:rPr>
              <w:t>V</w:t>
            </w:r>
          </w:p>
        </w:tc>
        <w:tc>
          <w:tcPr>
            <w:tcW w:w="7668" w:type="dxa"/>
          </w:tcPr>
          <w:p w14:paraId="2235623E" w14:textId="77777777" w:rsidR="00457F7F" w:rsidRPr="001A3850" w:rsidRDefault="00457F7F" w:rsidP="00EB171C">
            <w:pPr>
              <w:spacing w:before="40" w:after="180"/>
              <w:jc w:val="left"/>
              <w:rPr>
                <w:sz w:val="20"/>
                <w:lang w:val="ru-RU"/>
              </w:rPr>
            </w:pPr>
            <w:r w:rsidRPr="001A3850">
              <w:rPr>
                <w:sz w:val="20"/>
                <w:lang w:val="ru-RU"/>
              </w:rPr>
              <w:t>Словарь и связанные с ним вопросы</w:t>
            </w:r>
          </w:p>
        </w:tc>
      </w:tr>
    </w:tbl>
    <w:p w14:paraId="23157806" w14:textId="77777777" w:rsidR="00131900" w:rsidRPr="001A3850" w:rsidRDefault="00131900" w:rsidP="0013190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szCs w:val="24"/>
          <w:lang w:val="ru-RU" w:eastAsia="zh-CN"/>
        </w:rPr>
      </w:pP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ook w:val="01E0" w:firstRow="1" w:lastRow="1" w:firstColumn="1" w:lastColumn="1" w:noHBand="0" w:noVBand="0"/>
      </w:tblPr>
      <w:tblGrid>
        <w:gridCol w:w="8856"/>
      </w:tblGrid>
      <w:tr w:rsidR="00131900" w:rsidRPr="001A3850" w14:paraId="6322B5F9" w14:textId="77777777" w:rsidTr="00135623">
        <w:trPr>
          <w:jc w:val="center"/>
        </w:trPr>
        <w:tc>
          <w:tcPr>
            <w:tcW w:w="8856" w:type="dxa"/>
          </w:tcPr>
          <w:p w14:paraId="09AA3E3F" w14:textId="77777777" w:rsidR="00131900" w:rsidRPr="001A3850" w:rsidRDefault="00131900" w:rsidP="001D53F9">
            <w:pPr>
              <w:spacing w:after="120"/>
              <w:jc w:val="left"/>
              <w:rPr>
                <w:rFonts w:eastAsia="SimSun"/>
                <w:i/>
                <w:iCs/>
                <w:sz w:val="20"/>
                <w:lang w:val="ru-RU" w:eastAsia="zh-CN"/>
              </w:rPr>
            </w:pPr>
            <w:r w:rsidRPr="001A3850">
              <w:rPr>
                <w:b/>
                <w:bCs/>
                <w:i/>
                <w:iCs/>
                <w:sz w:val="20"/>
                <w:lang w:val="ru-RU"/>
              </w:rPr>
              <w:t>Примечание</w:t>
            </w:r>
            <w:r w:rsidRPr="001A3850">
              <w:rPr>
                <w:i/>
                <w:iCs/>
                <w:sz w:val="20"/>
                <w:lang w:val="ru-RU"/>
              </w:rPr>
              <w:t>. – Настоящая Рекомендация МСЭ-R утверждена на английском языке в</w:t>
            </w:r>
            <w:r w:rsidR="000F09B1" w:rsidRPr="001A3850">
              <w:rPr>
                <w:i/>
                <w:iCs/>
                <w:sz w:val="20"/>
                <w:lang w:val="ru-RU"/>
              </w:rPr>
              <w:t> </w:t>
            </w:r>
            <w:r w:rsidRPr="001A3850">
              <w:rPr>
                <w:i/>
                <w:iCs/>
                <w:sz w:val="20"/>
                <w:lang w:val="ru-RU"/>
              </w:rPr>
              <w:t>соответствии с процедурой, изложенной в Резолюции МСЭ-R</w:t>
            </w:r>
            <w:r w:rsidR="001D53F9" w:rsidRPr="001A3850">
              <w:rPr>
                <w:i/>
                <w:iCs/>
                <w:sz w:val="20"/>
                <w:lang w:val="ru-RU"/>
              </w:rPr>
              <w:t xml:space="preserve"> 1</w:t>
            </w:r>
            <w:r w:rsidRPr="001A3850">
              <w:rPr>
                <w:i/>
                <w:iCs/>
                <w:sz w:val="20"/>
                <w:lang w:val="ru-RU"/>
              </w:rPr>
              <w:t>.</w:t>
            </w:r>
          </w:p>
        </w:tc>
      </w:tr>
    </w:tbl>
    <w:p w14:paraId="45AC0F69" w14:textId="7B6CC542" w:rsidR="00131900" w:rsidRPr="001A3850" w:rsidRDefault="00131900" w:rsidP="00652125">
      <w:pPr>
        <w:spacing w:before="360"/>
        <w:jc w:val="right"/>
        <w:rPr>
          <w:sz w:val="20"/>
          <w:lang w:val="ru-RU"/>
        </w:rPr>
      </w:pPr>
      <w:r w:rsidRPr="001A3850">
        <w:rPr>
          <w:i/>
          <w:iCs/>
          <w:sz w:val="20"/>
          <w:lang w:val="ru-RU"/>
        </w:rPr>
        <w:t>Электронная публикация</w:t>
      </w:r>
      <w:r w:rsidRPr="001A3850">
        <w:rPr>
          <w:i/>
          <w:iCs/>
          <w:sz w:val="20"/>
          <w:lang w:val="ru-RU"/>
        </w:rPr>
        <w:br/>
      </w:r>
      <w:r w:rsidRPr="001A3850">
        <w:rPr>
          <w:sz w:val="20"/>
          <w:lang w:val="ru-RU"/>
        </w:rPr>
        <w:t>Женева, 20</w:t>
      </w:r>
      <w:r w:rsidR="009E7C05" w:rsidRPr="001A3850">
        <w:rPr>
          <w:sz w:val="20"/>
          <w:lang w:val="ru-RU"/>
        </w:rPr>
        <w:t>2</w:t>
      </w:r>
      <w:r w:rsidR="00AF07E0" w:rsidRPr="001A3850">
        <w:rPr>
          <w:sz w:val="20"/>
          <w:lang w:val="ru-RU"/>
        </w:rPr>
        <w:t>4</w:t>
      </w:r>
      <w:r w:rsidRPr="001A3850">
        <w:rPr>
          <w:sz w:val="20"/>
          <w:lang w:val="ru-RU"/>
        </w:rPr>
        <w:t xml:space="preserve"> г.</w:t>
      </w:r>
    </w:p>
    <w:p w14:paraId="74D815F1" w14:textId="077D5FA7" w:rsidR="00CB5488" w:rsidRPr="001A3850" w:rsidRDefault="00CB5488" w:rsidP="00652125">
      <w:pPr>
        <w:jc w:val="center"/>
        <w:rPr>
          <w:sz w:val="20"/>
          <w:lang w:val="ru-RU"/>
        </w:rPr>
      </w:pPr>
      <w:r w:rsidRPr="001A3850">
        <w:rPr>
          <w:sz w:val="20"/>
          <w:lang w:val="ru-RU"/>
        </w:rPr>
        <w:sym w:font="Symbol" w:char="F0E3"/>
      </w:r>
      <w:r w:rsidRPr="001A3850">
        <w:rPr>
          <w:sz w:val="20"/>
          <w:lang w:val="ru-RU"/>
        </w:rPr>
        <w:t xml:space="preserve"> ITU </w:t>
      </w:r>
      <w:bookmarkStart w:id="1" w:name="iiannee"/>
      <w:bookmarkEnd w:id="1"/>
      <w:r w:rsidRPr="001A3850">
        <w:rPr>
          <w:sz w:val="20"/>
          <w:lang w:val="ru-RU"/>
        </w:rPr>
        <w:t>20</w:t>
      </w:r>
      <w:r w:rsidR="009E7C05" w:rsidRPr="001A3850">
        <w:rPr>
          <w:sz w:val="20"/>
          <w:lang w:val="ru-RU"/>
        </w:rPr>
        <w:t>2</w:t>
      </w:r>
      <w:r w:rsidR="00AF07E0" w:rsidRPr="001A3850">
        <w:rPr>
          <w:sz w:val="20"/>
          <w:lang w:val="ru-RU"/>
        </w:rPr>
        <w:t>4</w:t>
      </w:r>
    </w:p>
    <w:p w14:paraId="20CEC6D9" w14:textId="77777777" w:rsidR="00CB5488" w:rsidRPr="001A3850" w:rsidRDefault="00131900" w:rsidP="00CB5488">
      <w:pPr>
        <w:rPr>
          <w:i/>
          <w:sz w:val="20"/>
          <w:lang w:val="ru-RU"/>
        </w:rPr>
      </w:pPr>
      <w:r w:rsidRPr="001A3850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14:paraId="37AF35E5" w14:textId="77777777" w:rsidR="00CB5488" w:rsidRPr="001A3850" w:rsidRDefault="00CB5488" w:rsidP="00CB5488">
      <w:pPr>
        <w:spacing w:before="160"/>
        <w:rPr>
          <w:i/>
          <w:sz w:val="20"/>
          <w:lang w:val="ru-RU"/>
        </w:rPr>
        <w:sectPr w:rsidR="00CB5488" w:rsidRPr="001A3850" w:rsidSect="002058CE">
          <w:headerReference w:type="even" r:id="rId16"/>
          <w:headerReference w:type="default" r:id="rId17"/>
          <w:footerReference w:type="even" r:id="rId18"/>
          <w:pgSz w:w="11907" w:h="16834" w:code="9"/>
          <w:pgMar w:top="1418" w:right="1134" w:bottom="1134" w:left="1134" w:header="720" w:footer="482" w:gutter="0"/>
          <w:paperSrc w:first="15" w:other="15"/>
          <w:pgNumType w:fmt="lowerRoman" w:start="2"/>
          <w:cols w:space="720"/>
        </w:sectPr>
      </w:pPr>
    </w:p>
    <w:p w14:paraId="49EDF720" w14:textId="2DCC3806" w:rsidR="00E31735" w:rsidRPr="001A3850" w:rsidRDefault="000F09B1" w:rsidP="00E31735">
      <w:pPr>
        <w:pStyle w:val="RecNo"/>
        <w:spacing w:before="0"/>
        <w:rPr>
          <w:lang w:val="ru-RU"/>
        </w:rPr>
      </w:pPr>
      <w:bookmarkStart w:id="2" w:name="irecnoe"/>
      <w:bookmarkEnd w:id="2"/>
      <w:proofErr w:type="gramStart"/>
      <w:r w:rsidRPr="001A3850">
        <w:rPr>
          <w:lang w:val="ru-RU"/>
        </w:rPr>
        <w:lastRenderedPageBreak/>
        <w:t xml:space="preserve">РЕКОМЕНДАЦИЯ  </w:t>
      </w:r>
      <w:r w:rsidRPr="001A3850">
        <w:rPr>
          <w:rStyle w:val="href"/>
          <w:lang w:val="ru-RU"/>
        </w:rPr>
        <w:t>МСЭ</w:t>
      </w:r>
      <w:proofErr w:type="gramEnd"/>
      <w:r w:rsidRPr="001A3850">
        <w:rPr>
          <w:rStyle w:val="href"/>
          <w:lang w:val="ru-RU"/>
        </w:rPr>
        <w:t xml:space="preserve">-R  </w:t>
      </w:r>
      <w:r w:rsidR="00457F7F" w:rsidRPr="001A3850">
        <w:rPr>
          <w:rStyle w:val="href"/>
          <w:lang w:val="ru-RU"/>
        </w:rPr>
        <w:t>M</w:t>
      </w:r>
      <w:r w:rsidRPr="001A3850">
        <w:rPr>
          <w:rStyle w:val="href"/>
          <w:lang w:val="ru-RU"/>
        </w:rPr>
        <w:t>.</w:t>
      </w:r>
      <w:r w:rsidR="00E31735" w:rsidRPr="001A3850">
        <w:rPr>
          <w:rStyle w:val="href"/>
          <w:lang w:val="ru-RU"/>
        </w:rPr>
        <w:t>2164-0</w:t>
      </w:r>
      <w:r w:rsidR="00E31735" w:rsidRPr="001A3850">
        <w:rPr>
          <w:rStyle w:val="FootnoteReference"/>
          <w:lang w:val="ru-RU"/>
        </w:rPr>
        <w:footnoteReference w:customMarkFollows="1" w:id="1"/>
        <w:sym w:font="Symbol" w:char="F02A"/>
      </w:r>
    </w:p>
    <w:p w14:paraId="492E6B67" w14:textId="77777777" w:rsidR="00E31735" w:rsidRPr="001A3850" w:rsidRDefault="00E31735" w:rsidP="00E31735">
      <w:pPr>
        <w:pStyle w:val="Rectitle"/>
        <w:rPr>
          <w:lang w:val="ru-RU"/>
        </w:rPr>
      </w:pPr>
      <w:r w:rsidRPr="001A3850">
        <w:rPr>
          <w:lang w:val="ru-RU"/>
        </w:rPr>
        <w:t xml:space="preserve">Руководство по техническим и эксплуатационным мерам по использованию полосы частот </w:t>
      </w:r>
      <w:proofErr w:type="gramStart"/>
      <w:r w:rsidRPr="001A3850">
        <w:rPr>
          <w:lang w:val="ru-RU"/>
        </w:rPr>
        <w:t>1240</w:t>
      </w:r>
      <w:r w:rsidRPr="001A3850">
        <w:rPr>
          <w:bCs/>
          <w:lang w:val="ru-RU"/>
        </w:rPr>
        <w:t>−</w:t>
      </w:r>
      <w:r w:rsidRPr="001A3850">
        <w:rPr>
          <w:lang w:val="ru-RU"/>
        </w:rPr>
        <w:t>1300</w:t>
      </w:r>
      <w:proofErr w:type="gramEnd"/>
      <w:r w:rsidRPr="001A3850">
        <w:rPr>
          <w:lang w:val="ru-RU"/>
        </w:rPr>
        <w:t xml:space="preserve"> МГц любительской и любительской спутниковой службами, предназначенным для защиты радионавигационной </w:t>
      </w:r>
      <w:r w:rsidRPr="001A3850">
        <w:rPr>
          <w:lang w:val="ru-RU"/>
        </w:rPr>
        <w:br/>
        <w:t>спутниковой службы (космос-Земля)</w:t>
      </w:r>
    </w:p>
    <w:p w14:paraId="14DB3406" w14:textId="77777777" w:rsidR="00E31735" w:rsidRPr="001A3850" w:rsidRDefault="00E31735" w:rsidP="00E31735">
      <w:pPr>
        <w:pStyle w:val="Recdate"/>
        <w:rPr>
          <w:lang w:val="ru-RU"/>
        </w:rPr>
      </w:pPr>
      <w:r w:rsidRPr="001A3850">
        <w:rPr>
          <w:lang w:val="ru-RU"/>
        </w:rPr>
        <w:t>(2023)</w:t>
      </w:r>
    </w:p>
    <w:p w14:paraId="38678958" w14:textId="77777777" w:rsidR="00E31735" w:rsidRPr="001A3850" w:rsidRDefault="00E31735" w:rsidP="008B6851">
      <w:pPr>
        <w:pStyle w:val="HeadingSum"/>
      </w:pPr>
      <w:r w:rsidRPr="001A3850">
        <w:t>Сфера применения</w:t>
      </w:r>
    </w:p>
    <w:p w14:paraId="770CD386" w14:textId="77777777" w:rsidR="00E31735" w:rsidRPr="001A3850" w:rsidRDefault="00E31735" w:rsidP="008B6851">
      <w:pPr>
        <w:pStyle w:val="Summary"/>
      </w:pPr>
      <w:r w:rsidRPr="001A3850">
        <w:t xml:space="preserve">В настоящей Рекомендации представлено руководство для администраций, выдающих разрешение на работу станций в любительской и любительской спутниковой службах, по техническим и эксплуатационным мерам, обеспечивающим защиту радионавигационной спутниковой службы (космос-Земля) в полосе частот </w:t>
      </w:r>
      <w:proofErr w:type="gramStart"/>
      <w:r w:rsidRPr="001A3850">
        <w:t>1240</w:t>
      </w:r>
      <w:r w:rsidRPr="001A3850">
        <w:rPr>
          <w:bCs/>
        </w:rPr>
        <w:t>−</w:t>
      </w:r>
      <w:r w:rsidRPr="001A3850">
        <w:t>1300</w:t>
      </w:r>
      <w:proofErr w:type="gramEnd"/>
      <w:r w:rsidRPr="001A3850">
        <w:t xml:space="preserve"> МГц. Соответствующие меры изложены в Приложении к настоящей Рекомендации. </w:t>
      </w:r>
    </w:p>
    <w:p w14:paraId="421BC4B9" w14:textId="77777777" w:rsidR="00E31735" w:rsidRPr="001A3850" w:rsidRDefault="00E31735" w:rsidP="00E31735">
      <w:pPr>
        <w:pStyle w:val="Headingb"/>
        <w:rPr>
          <w:lang w:val="ru-RU"/>
        </w:rPr>
      </w:pPr>
      <w:r w:rsidRPr="001A3850">
        <w:rPr>
          <w:lang w:val="ru-RU"/>
        </w:rPr>
        <w:t>Ключевые слова</w:t>
      </w:r>
    </w:p>
    <w:p w14:paraId="3E56CF97" w14:textId="77777777" w:rsidR="00E31735" w:rsidRPr="001A3850" w:rsidRDefault="00E31735" w:rsidP="00E31735">
      <w:pPr>
        <w:rPr>
          <w:lang w:val="ru-RU"/>
        </w:rPr>
      </w:pPr>
      <w:r w:rsidRPr="001A3850">
        <w:rPr>
          <w:lang w:val="ru-RU"/>
        </w:rPr>
        <w:t>Радионавигационная спутниковая служба (РНСС), любительская служба, любительская спутниковая служба.</w:t>
      </w:r>
    </w:p>
    <w:p w14:paraId="23669A4A" w14:textId="77777777" w:rsidR="00E31735" w:rsidRPr="001A3850" w:rsidRDefault="00E31735" w:rsidP="00E31735">
      <w:pPr>
        <w:pStyle w:val="Headingb"/>
        <w:rPr>
          <w:lang w:val="ru-RU"/>
        </w:rPr>
      </w:pPr>
      <w:r w:rsidRPr="001A3850">
        <w:rPr>
          <w:lang w:val="ru-RU"/>
        </w:rPr>
        <w:t>Соответствующие Рекомендации, Отчеты и справочники МСЭ</w:t>
      </w:r>
    </w:p>
    <w:p w14:paraId="3239D8D5" w14:textId="77777777" w:rsidR="00E31735" w:rsidRPr="001A3850" w:rsidRDefault="00E31735" w:rsidP="00E31735">
      <w:pPr>
        <w:pStyle w:val="Reftext"/>
        <w:rPr>
          <w:lang w:val="ru-RU"/>
        </w:rPr>
      </w:pPr>
      <w:r w:rsidRPr="001A3850">
        <w:rPr>
          <w:lang w:val="ru-RU"/>
        </w:rPr>
        <w:t xml:space="preserve">Рекомендация </w:t>
      </w:r>
      <w:hyperlink r:id="rId19" w:history="1">
        <w:r w:rsidRPr="001A3850">
          <w:rPr>
            <w:lang w:val="ru-RU"/>
          </w:rPr>
          <w:t>МСЭ-R M.1732</w:t>
        </w:r>
      </w:hyperlink>
      <w:r w:rsidRPr="001A3850">
        <w:rPr>
          <w:lang w:val="ru-RU"/>
        </w:rPr>
        <w:t> – Характеристики систем, работающих в любительской и любительской спутниковой службах, в целях применения в исследованиях по совместному использованию частот.</w:t>
      </w:r>
    </w:p>
    <w:p w14:paraId="704035F2" w14:textId="77777777" w:rsidR="00E31735" w:rsidRPr="001A3850" w:rsidRDefault="00E31735" w:rsidP="00E31735">
      <w:pPr>
        <w:pStyle w:val="Reftext"/>
        <w:rPr>
          <w:lang w:val="ru-RU"/>
        </w:rPr>
      </w:pPr>
      <w:r w:rsidRPr="001A3850">
        <w:rPr>
          <w:lang w:val="ru-RU"/>
        </w:rPr>
        <w:t xml:space="preserve">Рекомендация </w:t>
      </w:r>
      <w:hyperlink r:id="rId20" w:history="1">
        <w:r w:rsidRPr="001A3850">
          <w:rPr>
            <w:lang w:val="ru-RU" w:eastAsia="ja-JP"/>
          </w:rPr>
          <w:t>МСЭ-R M.1787</w:t>
        </w:r>
      </w:hyperlink>
      <w:r w:rsidRPr="001A3850">
        <w:rPr>
          <w:lang w:val="ru-RU"/>
        </w:rPr>
        <w:t> – Описание систем и сетей РНСС (космос-Земля и космос-космос) и технические характеристики передающих космических станций, работающих в полосах частот 1164−1215 МГц, 1215−1300 МГц и 1559−1610 МГц.</w:t>
      </w:r>
    </w:p>
    <w:p w14:paraId="6A628B8F" w14:textId="77777777" w:rsidR="00E31735" w:rsidRPr="001A3850" w:rsidRDefault="00E31735" w:rsidP="00E31735">
      <w:pPr>
        <w:pStyle w:val="Reftext"/>
        <w:rPr>
          <w:lang w:val="ru-RU"/>
        </w:rPr>
      </w:pPr>
      <w:r w:rsidRPr="001A3850">
        <w:rPr>
          <w:lang w:val="ru-RU"/>
        </w:rPr>
        <w:t xml:space="preserve">Рекомендация </w:t>
      </w:r>
      <w:hyperlink r:id="rId21" w:history="1">
        <w:r w:rsidRPr="001A3850">
          <w:rPr>
            <w:lang w:val="ru-RU"/>
          </w:rPr>
          <w:t>МСЭ-R M.1902</w:t>
        </w:r>
      </w:hyperlink>
      <w:r w:rsidRPr="001A3850">
        <w:rPr>
          <w:lang w:val="ru-RU"/>
        </w:rPr>
        <w:t> –</w:t>
      </w:r>
      <w:r w:rsidRPr="001A3850">
        <w:rPr>
          <w:rFonts w:ascii="Segoe UI" w:hAnsi="Segoe UI" w:cs="Segoe UI"/>
          <w:sz w:val="20"/>
          <w:shd w:val="clear" w:color="auto" w:fill="FFFFFF"/>
          <w:lang w:val="ru-RU"/>
        </w:rPr>
        <w:t xml:space="preserve"> </w:t>
      </w:r>
      <w:r w:rsidRPr="001A3850">
        <w:rPr>
          <w:lang w:val="ru-RU"/>
        </w:rPr>
        <w:t>Характеристики и критерии защиты приемных земных станций РНСС (космос-Земля), работающих в полосе частот 1215−1300 МГц.</w:t>
      </w:r>
    </w:p>
    <w:p w14:paraId="6190D685" w14:textId="36FDFE32" w:rsidR="00E31735" w:rsidRPr="001A3850" w:rsidRDefault="00E31735" w:rsidP="00E31735">
      <w:pPr>
        <w:pStyle w:val="Reftext"/>
        <w:rPr>
          <w:lang w:val="ru-RU"/>
        </w:rPr>
      </w:pPr>
      <w:r w:rsidRPr="001A3850">
        <w:rPr>
          <w:lang w:val="ru-RU"/>
        </w:rPr>
        <w:t>Рекомендация</w:t>
      </w:r>
      <w:r w:rsidRPr="001A3850">
        <w:rPr>
          <w:lang w:val="ru-RU" w:eastAsia="ja-JP"/>
        </w:rPr>
        <w:t xml:space="preserve"> </w:t>
      </w:r>
      <w:hyperlink r:id="rId22" w:history="1">
        <w:r w:rsidRPr="001A3850">
          <w:rPr>
            <w:lang w:val="ru-RU"/>
          </w:rPr>
          <w:t>МСЭ-R M.2030</w:t>
        </w:r>
      </w:hyperlink>
      <w:r w:rsidRPr="001A3850">
        <w:rPr>
          <w:lang w:val="ru-RU"/>
        </w:rPr>
        <w:t> – Модель оценки импульсных помех от соответствующих источников радиосигналов, кроме источников в радионавигационной спутниковой службе, системам и сетям радионавигационной спутниковой службы, работающим в полосах частот 1164−1215</w:t>
      </w:r>
      <w:r w:rsidR="002A456B" w:rsidRPr="001A3850">
        <w:rPr>
          <w:lang w:val="ru-RU"/>
        </w:rPr>
        <w:t> </w:t>
      </w:r>
      <w:r w:rsidRPr="001A3850">
        <w:rPr>
          <w:lang w:val="ru-RU"/>
        </w:rPr>
        <w:t>МГц, 1215−1300 МГц и 1559−1610 МГц.</w:t>
      </w:r>
    </w:p>
    <w:p w14:paraId="0C82A9E6" w14:textId="4CDDB9B6" w:rsidR="00E31735" w:rsidRPr="001A3850" w:rsidRDefault="00E31735" w:rsidP="00E31735">
      <w:pPr>
        <w:pStyle w:val="Reftext"/>
        <w:rPr>
          <w:lang w:val="ru-RU"/>
        </w:rPr>
      </w:pPr>
      <w:r w:rsidRPr="001A3850">
        <w:rPr>
          <w:lang w:val="ru-RU"/>
        </w:rPr>
        <w:t>Отчет</w:t>
      </w:r>
      <w:r w:rsidRPr="001A3850">
        <w:rPr>
          <w:lang w:val="ru-RU" w:eastAsia="ja-JP"/>
        </w:rPr>
        <w:t xml:space="preserve"> </w:t>
      </w:r>
      <w:hyperlink r:id="rId23" w:history="1">
        <w:r w:rsidRPr="001A3850">
          <w:rPr>
            <w:lang w:val="ru-RU" w:eastAsia="ja-JP"/>
          </w:rPr>
          <w:t>МСЭ-R M.2458</w:t>
        </w:r>
      </w:hyperlink>
      <w:r w:rsidRPr="001A3850">
        <w:rPr>
          <w:lang w:val="ru-RU" w:eastAsia="ja-JP"/>
        </w:rPr>
        <w:t xml:space="preserve"> </w:t>
      </w:r>
      <w:r w:rsidRPr="001A3850">
        <w:rPr>
          <w:lang w:val="ru-RU"/>
        </w:rPr>
        <w:t>– Применения радионавигационной спутниковой службы в полосах частот 1164−1215 МГц, 1215−1300 МГц и 1559−1610 МГц.</w:t>
      </w:r>
    </w:p>
    <w:p w14:paraId="0BBCA085" w14:textId="43F8DC20" w:rsidR="00E31735" w:rsidRPr="001A3850" w:rsidRDefault="00E31735" w:rsidP="00E31735">
      <w:pPr>
        <w:pStyle w:val="Reftext"/>
        <w:rPr>
          <w:lang w:val="ru-RU"/>
        </w:rPr>
      </w:pPr>
      <w:r w:rsidRPr="001A3850">
        <w:rPr>
          <w:lang w:val="ru-RU"/>
        </w:rPr>
        <w:t xml:space="preserve">Отчет </w:t>
      </w:r>
      <w:hyperlink r:id="rId24" w:history="1">
        <w:r w:rsidRPr="001A3850">
          <w:rPr>
            <w:lang w:val="ru-RU"/>
          </w:rPr>
          <w:t>МСЭ-R M.2513</w:t>
        </w:r>
      </w:hyperlink>
      <w:r w:rsidRPr="001A3850">
        <w:rPr>
          <w:lang w:val="ru-RU"/>
        </w:rPr>
        <w:t> – Исследования, касающиеся защиты первичной радионавигационной спутниковой службы (космос-Земля) вторичными любительской и любительской спутниковой службами в полосе частот 1240</w:t>
      </w:r>
      <w:r w:rsidRPr="001A3850">
        <w:rPr>
          <w:bCs/>
          <w:lang w:val="ru-RU"/>
        </w:rPr>
        <w:t>−</w:t>
      </w:r>
      <w:r w:rsidRPr="001A3850">
        <w:rPr>
          <w:lang w:val="ru-RU"/>
        </w:rPr>
        <w:t>1300 МГц.</w:t>
      </w:r>
    </w:p>
    <w:p w14:paraId="5E66B820" w14:textId="0BE86B0E" w:rsidR="00E31735" w:rsidRPr="001A3850" w:rsidRDefault="00E31735" w:rsidP="00E31735">
      <w:pPr>
        <w:pStyle w:val="Reftext"/>
        <w:rPr>
          <w:lang w:val="ru-RU"/>
        </w:rPr>
      </w:pPr>
      <w:r w:rsidRPr="001A3850">
        <w:rPr>
          <w:lang w:val="ru-RU"/>
        </w:rPr>
        <w:t xml:space="preserve">Отчет </w:t>
      </w:r>
      <w:hyperlink r:id="rId25" w:history="1">
        <w:r w:rsidRPr="001A3850">
          <w:rPr>
            <w:lang w:val="ru-RU"/>
          </w:rPr>
          <w:t>МСЭ</w:t>
        </w:r>
        <w:r w:rsidRPr="001A3850">
          <w:rPr>
            <w:lang w:val="ru-RU"/>
          </w:rPr>
          <w:noBreakHyphen/>
          <w:t>R M.2532</w:t>
        </w:r>
      </w:hyperlink>
      <w:r w:rsidRPr="001A3850">
        <w:rPr>
          <w:lang w:val="ru-RU"/>
        </w:rPr>
        <w:t xml:space="preserve"> – Характеристики и использование любительской и любительской спутниковой служб в полосе частот </w:t>
      </w:r>
      <w:proofErr w:type="gramStart"/>
      <w:r w:rsidRPr="001A3850">
        <w:rPr>
          <w:lang w:val="ru-RU"/>
        </w:rPr>
        <w:t>1240−1300</w:t>
      </w:r>
      <w:proofErr w:type="gramEnd"/>
      <w:r w:rsidRPr="001A3850">
        <w:rPr>
          <w:lang w:val="ru-RU"/>
        </w:rPr>
        <w:t xml:space="preserve"> МГц.</w:t>
      </w:r>
    </w:p>
    <w:p w14:paraId="25B28B1A" w14:textId="77777777" w:rsidR="00E31735" w:rsidRPr="001A3850" w:rsidRDefault="00E31735" w:rsidP="00E31735">
      <w:pPr>
        <w:rPr>
          <w:lang w:val="ru-RU"/>
        </w:rPr>
      </w:pPr>
      <w:r w:rsidRPr="001A3850">
        <w:rPr>
          <w:lang w:val="ru-RU" w:eastAsia="ja-JP"/>
        </w:rPr>
        <w:t xml:space="preserve">Справочник </w:t>
      </w:r>
      <w:hyperlink r:id="rId26" w:history="1">
        <w:r w:rsidRPr="001A3850">
          <w:rPr>
            <w:lang w:val="ru-RU" w:eastAsia="ja-JP"/>
          </w:rPr>
          <w:t>МСЭ-R 52</w:t>
        </w:r>
      </w:hyperlink>
      <w:r w:rsidRPr="001A3850">
        <w:rPr>
          <w:lang w:val="ru-RU"/>
        </w:rPr>
        <w:t xml:space="preserve"> – </w:t>
      </w:r>
      <w:r w:rsidRPr="001A3850">
        <w:rPr>
          <w:bCs/>
          <w:lang w:val="ru-RU"/>
        </w:rPr>
        <w:t>Любительская и любительская спутниковая службы.</w:t>
      </w:r>
    </w:p>
    <w:p w14:paraId="0A723269" w14:textId="77777777" w:rsidR="00E31735" w:rsidRPr="001A3850" w:rsidRDefault="00E31735" w:rsidP="00E31735">
      <w:pPr>
        <w:pStyle w:val="Normalaftertitle0"/>
        <w:keepNext/>
        <w:tabs>
          <w:tab w:val="center" w:pos="4819"/>
        </w:tabs>
        <w:spacing w:before="480"/>
        <w:rPr>
          <w:lang w:val="ru-RU"/>
        </w:rPr>
      </w:pPr>
      <w:r w:rsidRPr="001A3850">
        <w:rPr>
          <w:lang w:val="ru-RU"/>
        </w:rPr>
        <w:lastRenderedPageBreak/>
        <w:t>Ассамблея радиосвязи МСЭ,</w:t>
      </w:r>
    </w:p>
    <w:p w14:paraId="5A04ABD4" w14:textId="77777777" w:rsidR="00E31735" w:rsidRPr="001A3850" w:rsidRDefault="00E31735" w:rsidP="00E31735">
      <w:pPr>
        <w:pStyle w:val="Call"/>
        <w:rPr>
          <w:lang w:val="ru-RU"/>
        </w:rPr>
      </w:pPr>
      <w:r w:rsidRPr="001A3850">
        <w:rPr>
          <w:lang w:val="ru-RU"/>
        </w:rPr>
        <w:t>учитывая</w:t>
      </w:r>
      <w:r w:rsidRPr="001A3850">
        <w:rPr>
          <w:i w:val="0"/>
          <w:iCs/>
          <w:lang w:val="ru-RU"/>
        </w:rPr>
        <w:t>,</w:t>
      </w:r>
    </w:p>
    <w:p w14:paraId="0040BB03" w14:textId="77777777" w:rsidR="00E31735" w:rsidRPr="001A3850" w:rsidRDefault="00E31735" w:rsidP="00E31735">
      <w:pPr>
        <w:rPr>
          <w:b/>
          <w:bCs/>
          <w:lang w:val="ru-RU"/>
        </w:rPr>
      </w:pPr>
      <w:r w:rsidRPr="001A3850">
        <w:rPr>
          <w:bCs/>
          <w:i/>
          <w:lang w:val="ru-RU"/>
        </w:rPr>
        <w:t>a)</w:t>
      </w:r>
      <w:r w:rsidRPr="001A3850">
        <w:rPr>
          <w:b/>
          <w:bCs/>
          <w:lang w:val="ru-RU"/>
        </w:rPr>
        <w:tab/>
      </w:r>
      <w:r w:rsidRPr="001A3850">
        <w:rPr>
          <w:lang w:val="ru-RU"/>
        </w:rPr>
        <w:t>что Международный союз радиолюбителей (МСР) разрабатывает, ведет и публикует подробные планы частот для работы и развития любительской и любительской спутниковой служб во всех трех Районах;</w:t>
      </w:r>
    </w:p>
    <w:p w14:paraId="4E531125" w14:textId="77777777" w:rsidR="00E31735" w:rsidRPr="001A3850" w:rsidRDefault="00E31735" w:rsidP="00E31735">
      <w:pPr>
        <w:rPr>
          <w:i/>
          <w:lang w:val="ru-RU"/>
        </w:rPr>
      </w:pPr>
      <w:r w:rsidRPr="001A3850">
        <w:rPr>
          <w:i/>
          <w:lang w:val="ru-RU"/>
        </w:rPr>
        <w:t>b)</w:t>
      </w:r>
      <w:r w:rsidRPr="001A3850">
        <w:rPr>
          <w:i/>
          <w:lang w:val="ru-RU"/>
        </w:rPr>
        <w:tab/>
      </w:r>
      <w:r w:rsidRPr="001A3850">
        <w:rPr>
          <w:iCs/>
          <w:lang w:val="ru-RU"/>
        </w:rPr>
        <w:t xml:space="preserve">что в Отчете </w:t>
      </w:r>
      <w:hyperlink r:id="rId27" w:history="1">
        <w:r w:rsidRPr="001A3850">
          <w:rPr>
            <w:lang w:val="ru-RU"/>
          </w:rPr>
          <w:t>МСЭ</w:t>
        </w:r>
        <w:r w:rsidRPr="001A3850">
          <w:rPr>
            <w:lang w:val="ru-RU"/>
          </w:rPr>
          <w:noBreakHyphen/>
          <w:t>R M.2532</w:t>
        </w:r>
      </w:hyperlink>
      <w:r w:rsidRPr="001A3850">
        <w:rPr>
          <w:lang w:val="ru-RU"/>
        </w:rPr>
        <w:t xml:space="preserve"> представлена информация о применениях и эксплуатационных характеристиках любительской и любительской спутниковой служб в контексте использования полосы частот </w:t>
      </w:r>
      <w:r w:rsidRPr="001A3850">
        <w:rPr>
          <w:bCs/>
          <w:lang w:val="ru-RU"/>
        </w:rPr>
        <w:t>1240−1300 МГц;</w:t>
      </w:r>
    </w:p>
    <w:p w14:paraId="63C594FA" w14:textId="69E3D191" w:rsidR="00E31735" w:rsidRPr="001A3850" w:rsidRDefault="00E31735" w:rsidP="00E31735">
      <w:pPr>
        <w:rPr>
          <w:bCs/>
          <w:lang w:val="ru-RU"/>
        </w:rPr>
      </w:pPr>
      <w:r w:rsidRPr="001A3850">
        <w:rPr>
          <w:bCs/>
          <w:i/>
          <w:lang w:val="ru-RU"/>
        </w:rPr>
        <w:t>c)</w:t>
      </w:r>
      <w:r w:rsidRPr="001A3850">
        <w:rPr>
          <w:bCs/>
          <w:lang w:val="ru-RU"/>
        </w:rPr>
        <w:tab/>
        <w:t xml:space="preserve">что в Отчете </w:t>
      </w:r>
      <w:hyperlink r:id="rId28" w:history="1">
        <w:r w:rsidRPr="001A3850">
          <w:rPr>
            <w:lang w:val="ru-RU"/>
          </w:rPr>
          <w:t>МСЭ-R M.2513</w:t>
        </w:r>
      </w:hyperlink>
      <w:r w:rsidRPr="001A3850">
        <w:rPr>
          <w:lang w:val="ru-RU"/>
        </w:rPr>
        <w:t xml:space="preserve"> описаны результаты исследований и измерений, проведенных в отношении передач любительской и любительской спутниковой служб и их способности причинять вредные помехи радионавигационной спутниковой службе (</w:t>
      </w:r>
      <w:r w:rsidRPr="001A3850">
        <w:rPr>
          <w:bCs/>
          <w:lang w:val="ru-RU"/>
        </w:rPr>
        <w:t>РНСС</w:t>
      </w:r>
      <w:r w:rsidRPr="001A3850">
        <w:rPr>
          <w:lang w:val="ru-RU"/>
        </w:rPr>
        <w:t>) (космос</w:t>
      </w:r>
      <w:r w:rsidRPr="001A3850">
        <w:rPr>
          <w:lang w:val="ru-RU"/>
        </w:rPr>
        <w:noBreakHyphen/>
        <w:t xml:space="preserve">Земля), которые при определенных условиях могут превышать критерии защиты, установленные в Рекомендации </w:t>
      </w:r>
      <w:hyperlink r:id="rId29" w:history="1">
        <w:r w:rsidRPr="001A3850">
          <w:rPr>
            <w:lang w:val="ru-RU"/>
          </w:rPr>
          <w:t>МСЭ</w:t>
        </w:r>
        <w:r w:rsidR="00C63B7C" w:rsidRPr="001A3850">
          <w:rPr>
            <w:lang w:val="ru-RU"/>
          </w:rPr>
          <w:noBreakHyphen/>
        </w:r>
        <w:r w:rsidRPr="001A3850">
          <w:rPr>
            <w:lang w:val="ru-RU"/>
          </w:rPr>
          <w:t>R</w:t>
        </w:r>
        <w:r w:rsidR="00C63B7C" w:rsidRPr="001A3850">
          <w:rPr>
            <w:lang w:val="ru-RU"/>
          </w:rPr>
          <w:t> </w:t>
        </w:r>
        <w:r w:rsidRPr="001A3850">
          <w:rPr>
            <w:lang w:val="ru-RU"/>
          </w:rPr>
          <w:t>M.1902</w:t>
        </w:r>
      </w:hyperlink>
      <w:r w:rsidRPr="001A3850">
        <w:rPr>
          <w:lang w:val="ru-RU"/>
        </w:rPr>
        <w:t>;</w:t>
      </w:r>
    </w:p>
    <w:p w14:paraId="2DF12F8F" w14:textId="77777777" w:rsidR="00E31735" w:rsidRPr="001A3850" w:rsidRDefault="00E31735" w:rsidP="00E31735">
      <w:pPr>
        <w:rPr>
          <w:b/>
          <w:bCs/>
          <w:lang w:val="ru-RU"/>
        </w:rPr>
      </w:pPr>
      <w:r w:rsidRPr="001A3850">
        <w:rPr>
          <w:i/>
          <w:lang w:val="ru-RU"/>
        </w:rPr>
        <w:t>d)</w:t>
      </w:r>
      <w:r w:rsidRPr="001A3850">
        <w:rPr>
          <w:b/>
          <w:bCs/>
          <w:lang w:val="ru-RU"/>
        </w:rPr>
        <w:tab/>
      </w:r>
      <w:r w:rsidRPr="001A3850">
        <w:rPr>
          <w:lang w:val="ru-RU"/>
        </w:rPr>
        <w:t xml:space="preserve">что в Рекомендации </w:t>
      </w:r>
      <w:hyperlink r:id="rId30" w:history="1">
        <w:r w:rsidRPr="001A3850">
          <w:rPr>
            <w:lang w:val="ru-RU"/>
          </w:rPr>
          <w:t>МСЭ-R M.1902</w:t>
        </w:r>
      </w:hyperlink>
      <w:r w:rsidRPr="001A3850">
        <w:rPr>
          <w:lang w:val="ru-RU"/>
        </w:rPr>
        <w:t xml:space="preserve"> представлены характеристики и критерии защиты приемников РНСС (космос-Земля), работающих в полосе </w:t>
      </w:r>
      <w:r w:rsidRPr="001A3850">
        <w:rPr>
          <w:bCs/>
          <w:lang w:val="ru-RU"/>
        </w:rPr>
        <w:t>1215−1300 МГц;</w:t>
      </w:r>
    </w:p>
    <w:p w14:paraId="18BA5AA4" w14:textId="77777777" w:rsidR="00E31735" w:rsidRPr="001A3850" w:rsidRDefault="00E31735" w:rsidP="00E31735">
      <w:pPr>
        <w:rPr>
          <w:b/>
          <w:bCs/>
          <w:lang w:val="ru-RU"/>
        </w:rPr>
      </w:pPr>
      <w:r w:rsidRPr="001A3850">
        <w:rPr>
          <w:i/>
          <w:lang w:val="ru-RU"/>
        </w:rPr>
        <w:t>e)</w:t>
      </w:r>
      <w:r w:rsidRPr="001A3850">
        <w:rPr>
          <w:b/>
          <w:bCs/>
          <w:lang w:val="ru-RU"/>
        </w:rPr>
        <w:tab/>
      </w:r>
      <w:r w:rsidRPr="001A3850">
        <w:rPr>
          <w:bCs/>
          <w:lang w:val="ru-RU"/>
        </w:rPr>
        <w:t xml:space="preserve">что системы РНСС, использующие полосу частот </w:t>
      </w:r>
      <w:proofErr w:type="gramStart"/>
      <w:r w:rsidRPr="001A3850">
        <w:rPr>
          <w:bCs/>
          <w:lang w:val="ru-RU"/>
        </w:rPr>
        <w:t>1240−1300</w:t>
      </w:r>
      <w:proofErr w:type="gramEnd"/>
      <w:r w:rsidRPr="001A3850">
        <w:rPr>
          <w:bCs/>
          <w:lang w:val="ru-RU"/>
        </w:rPr>
        <w:t xml:space="preserve"> МГц, находятся в эксплуатации или вводятся в эксплуатацию в различных частях мира для поддержки широкого круга новых применений для спутникового определения местоположения;</w:t>
      </w:r>
    </w:p>
    <w:p w14:paraId="40340950" w14:textId="77777777" w:rsidR="00E31735" w:rsidRPr="001A3850" w:rsidRDefault="00E31735" w:rsidP="00E31735">
      <w:pPr>
        <w:rPr>
          <w:bCs/>
          <w:lang w:val="ru-RU"/>
        </w:rPr>
      </w:pPr>
      <w:r w:rsidRPr="001A3850">
        <w:rPr>
          <w:bCs/>
          <w:i/>
          <w:iCs/>
          <w:lang w:val="ru-RU"/>
        </w:rPr>
        <w:t>f)</w:t>
      </w:r>
      <w:r w:rsidRPr="001A3850">
        <w:rPr>
          <w:bCs/>
          <w:lang w:val="ru-RU"/>
        </w:rPr>
        <w:tab/>
        <w:t>что администрациям, желающим выполнить настоящую Рекомендацию, может потребоваться переходный период для внесения необходимых изменений в свои национальные процедуры выдачи разрешений любительской и любительской спутниковой службам;</w:t>
      </w:r>
    </w:p>
    <w:p w14:paraId="275623B2" w14:textId="77777777" w:rsidR="00E31735" w:rsidRPr="001A3850" w:rsidRDefault="00E31735" w:rsidP="00E31735">
      <w:pPr>
        <w:rPr>
          <w:lang w:val="ru-RU"/>
        </w:rPr>
      </w:pPr>
      <w:r w:rsidRPr="001A3850">
        <w:rPr>
          <w:bCs/>
          <w:i/>
          <w:iCs/>
          <w:lang w:val="ru-RU"/>
        </w:rPr>
        <w:t>g)</w:t>
      </w:r>
      <w:r w:rsidRPr="001A3850">
        <w:rPr>
          <w:lang w:val="ru-RU"/>
        </w:rPr>
        <w:tab/>
        <w:t xml:space="preserve">что с учетом пунктов </w:t>
      </w:r>
      <w:r w:rsidRPr="001A3850">
        <w:rPr>
          <w:bCs/>
          <w:i/>
          <w:iCs/>
          <w:lang w:val="ru-RU"/>
        </w:rPr>
        <w:t>a)</w:t>
      </w:r>
      <w:r w:rsidRPr="001A3850">
        <w:rPr>
          <w:bCs/>
          <w:lang w:val="ru-RU"/>
        </w:rPr>
        <w:t xml:space="preserve">, </w:t>
      </w:r>
      <w:r w:rsidRPr="001A3850">
        <w:rPr>
          <w:bCs/>
          <w:i/>
          <w:iCs/>
          <w:lang w:val="ru-RU"/>
        </w:rPr>
        <w:t>b)</w:t>
      </w:r>
      <w:r w:rsidRPr="001A3850">
        <w:rPr>
          <w:bCs/>
          <w:lang w:val="ru-RU"/>
        </w:rPr>
        <w:t xml:space="preserve"> и </w:t>
      </w:r>
      <w:r w:rsidRPr="001A3850">
        <w:rPr>
          <w:bCs/>
          <w:i/>
          <w:iCs/>
          <w:lang w:val="ru-RU"/>
        </w:rPr>
        <w:t xml:space="preserve">c) </w:t>
      </w:r>
      <w:r w:rsidRPr="001A3850">
        <w:rPr>
          <w:bCs/>
          <w:lang w:val="ru-RU"/>
        </w:rPr>
        <w:t>раздела</w:t>
      </w:r>
      <w:r w:rsidRPr="001A3850">
        <w:rPr>
          <w:bCs/>
          <w:i/>
          <w:iCs/>
          <w:lang w:val="ru-RU"/>
        </w:rPr>
        <w:t xml:space="preserve"> признавая</w:t>
      </w:r>
      <w:r w:rsidRPr="001A3850">
        <w:rPr>
          <w:bCs/>
          <w:lang w:val="ru-RU"/>
        </w:rPr>
        <w:t>, ниже, некоторые администрации считают, что для обеспечения защиты РНСС может быть достаточно существующих передовых методов в области управления использованием спектра, а также технических и эксплуатационных мер,</w:t>
      </w:r>
    </w:p>
    <w:p w14:paraId="2EA43124" w14:textId="77777777" w:rsidR="00E31735" w:rsidRPr="001A3850" w:rsidRDefault="00E31735" w:rsidP="00E31735">
      <w:pPr>
        <w:pStyle w:val="Call"/>
        <w:rPr>
          <w:lang w:val="ru-RU"/>
        </w:rPr>
      </w:pPr>
      <w:r w:rsidRPr="001A3850">
        <w:rPr>
          <w:lang w:val="ru-RU"/>
        </w:rPr>
        <w:t>признавая</w:t>
      </w:r>
      <w:r w:rsidRPr="001A3850">
        <w:rPr>
          <w:i w:val="0"/>
          <w:iCs/>
          <w:lang w:val="ru-RU"/>
        </w:rPr>
        <w:t>,</w:t>
      </w:r>
    </w:p>
    <w:p w14:paraId="6BFE04DF" w14:textId="77777777" w:rsidR="00E31735" w:rsidRPr="001A3850" w:rsidRDefault="00E31735" w:rsidP="00E31735">
      <w:pPr>
        <w:rPr>
          <w:i/>
          <w:lang w:val="ru-RU"/>
        </w:rPr>
      </w:pPr>
      <w:r w:rsidRPr="001A3850">
        <w:rPr>
          <w:i/>
          <w:lang w:val="ru-RU"/>
        </w:rPr>
        <w:t>a)</w:t>
      </w:r>
      <w:r w:rsidRPr="001A3850">
        <w:rPr>
          <w:i/>
          <w:lang w:val="ru-RU"/>
        </w:rPr>
        <w:tab/>
      </w:r>
      <w:r w:rsidRPr="001A3850">
        <w:rPr>
          <w:iCs/>
          <w:lang w:val="ru-RU"/>
        </w:rPr>
        <w:t>что полоса частот</w:t>
      </w:r>
      <w:r w:rsidRPr="001A3850">
        <w:rPr>
          <w:i/>
          <w:lang w:val="ru-RU"/>
        </w:rPr>
        <w:t xml:space="preserve"> </w:t>
      </w:r>
      <w:proofErr w:type="gramStart"/>
      <w:r w:rsidRPr="001A3850">
        <w:rPr>
          <w:lang w:val="ru-RU"/>
        </w:rPr>
        <w:t>1240−1300</w:t>
      </w:r>
      <w:proofErr w:type="gramEnd"/>
      <w:r w:rsidRPr="001A3850">
        <w:rPr>
          <w:lang w:val="ru-RU"/>
        </w:rPr>
        <w:t> МГц распределена РНСС (космос-Земля и космос-космос) на первичной основе;</w:t>
      </w:r>
    </w:p>
    <w:p w14:paraId="0B0DD434" w14:textId="77777777" w:rsidR="00E31735" w:rsidRPr="001A3850" w:rsidRDefault="00E31735" w:rsidP="00E31735">
      <w:pPr>
        <w:rPr>
          <w:lang w:val="ru-RU"/>
        </w:rPr>
      </w:pPr>
      <w:r w:rsidRPr="001A3850">
        <w:rPr>
          <w:i/>
          <w:lang w:val="ru-RU"/>
        </w:rPr>
        <w:t>b)</w:t>
      </w:r>
      <w:r w:rsidRPr="001A3850">
        <w:rPr>
          <w:i/>
          <w:lang w:val="ru-RU"/>
        </w:rPr>
        <w:tab/>
      </w:r>
      <w:r w:rsidRPr="001A3850">
        <w:rPr>
          <w:iCs/>
          <w:lang w:val="ru-RU"/>
        </w:rPr>
        <w:t>что полоса частот</w:t>
      </w:r>
      <w:r w:rsidRPr="001A3850">
        <w:rPr>
          <w:i/>
          <w:lang w:val="ru-RU"/>
        </w:rPr>
        <w:t xml:space="preserve"> </w:t>
      </w:r>
      <w:proofErr w:type="gramStart"/>
      <w:r w:rsidRPr="001A3850">
        <w:rPr>
          <w:lang w:val="ru-RU"/>
        </w:rPr>
        <w:t>1240−1300</w:t>
      </w:r>
      <w:proofErr w:type="gramEnd"/>
      <w:r w:rsidRPr="001A3850">
        <w:rPr>
          <w:lang w:val="ru-RU"/>
        </w:rPr>
        <w:t> МГц также распределена любительской службе на вторичной основе;</w:t>
      </w:r>
    </w:p>
    <w:p w14:paraId="2C9285AA" w14:textId="77777777" w:rsidR="00E31735" w:rsidRPr="001A3850" w:rsidRDefault="00E31735" w:rsidP="00E31735">
      <w:pPr>
        <w:rPr>
          <w:lang w:val="ru-RU"/>
        </w:rPr>
      </w:pPr>
      <w:r w:rsidRPr="001A3850">
        <w:rPr>
          <w:i/>
          <w:iCs/>
          <w:lang w:val="ru-RU"/>
        </w:rPr>
        <w:t>c)</w:t>
      </w:r>
      <w:r w:rsidRPr="001A3850">
        <w:rPr>
          <w:lang w:val="ru-RU"/>
        </w:rPr>
        <w:tab/>
        <w:t>что в соответствии с положениями п. </w:t>
      </w:r>
      <w:r w:rsidRPr="001A3850">
        <w:rPr>
          <w:b/>
          <w:bCs/>
          <w:lang w:val="ru-RU"/>
        </w:rPr>
        <w:t>5.282</w:t>
      </w:r>
      <w:r w:rsidRPr="001A3850">
        <w:rPr>
          <w:lang w:val="ru-RU"/>
        </w:rPr>
        <w:t xml:space="preserve"> РР любительская спутниковая служба (Земля</w:t>
      </w:r>
      <w:r w:rsidRPr="001A3850">
        <w:rPr>
          <w:lang w:val="ru-RU"/>
        </w:rPr>
        <w:noBreakHyphen/>
        <w:t xml:space="preserve">космос) может работать в полосе частот </w:t>
      </w:r>
      <w:proofErr w:type="gramStart"/>
      <w:r w:rsidRPr="001A3850">
        <w:rPr>
          <w:rFonts w:eastAsia="SimSun"/>
          <w:lang w:val="ru-RU" w:eastAsia="zh-CN"/>
        </w:rPr>
        <w:t>1260−1270</w:t>
      </w:r>
      <w:proofErr w:type="gramEnd"/>
      <w:r w:rsidRPr="001A3850">
        <w:rPr>
          <w:rFonts w:eastAsia="SimSun"/>
          <w:lang w:val="ru-RU" w:eastAsia="zh-CN"/>
        </w:rPr>
        <w:t xml:space="preserve"> МГц; </w:t>
      </w:r>
    </w:p>
    <w:p w14:paraId="0C1E9C22" w14:textId="5FD5A4CA" w:rsidR="00E31735" w:rsidRPr="001A3850" w:rsidRDefault="00E31735" w:rsidP="00E31735">
      <w:pPr>
        <w:rPr>
          <w:lang w:val="ru-RU"/>
        </w:rPr>
      </w:pPr>
      <w:r w:rsidRPr="001A3850">
        <w:rPr>
          <w:i/>
          <w:iCs/>
          <w:lang w:val="ru-RU"/>
        </w:rPr>
        <w:t>d)</w:t>
      </w:r>
      <w:r w:rsidRPr="001A3850">
        <w:rPr>
          <w:lang w:val="ru-RU"/>
        </w:rPr>
        <w:tab/>
      </w:r>
      <w:r w:rsidRPr="001A3850">
        <w:rPr>
          <w:iCs/>
          <w:lang w:val="ru-RU"/>
        </w:rPr>
        <w:t>что полоса частот</w:t>
      </w:r>
      <w:r w:rsidRPr="001A3850">
        <w:rPr>
          <w:i/>
          <w:lang w:val="ru-RU"/>
        </w:rPr>
        <w:t xml:space="preserve"> </w:t>
      </w:r>
      <w:proofErr w:type="gramStart"/>
      <w:r w:rsidRPr="001A3850">
        <w:rPr>
          <w:lang w:val="ru-RU"/>
        </w:rPr>
        <w:t>1240−1300</w:t>
      </w:r>
      <w:proofErr w:type="gramEnd"/>
      <w:r w:rsidRPr="001A3850">
        <w:rPr>
          <w:lang w:val="ru-RU"/>
        </w:rPr>
        <w:t> МГц также распределена во всем мире спутниковой службе исследования Земли (активной), радиолокационной службе (применяется п.</w:t>
      </w:r>
      <w:r w:rsidR="00E31B52">
        <w:rPr>
          <w:lang w:val="en-US"/>
        </w:rPr>
        <w:t> </w:t>
      </w:r>
      <w:r w:rsidRPr="001A3850">
        <w:rPr>
          <w:b/>
          <w:bCs/>
          <w:lang w:val="ru-RU"/>
        </w:rPr>
        <w:t>5.329</w:t>
      </w:r>
      <w:r w:rsidRPr="001A3850">
        <w:rPr>
          <w:lang w:val="ru-RU"/>
        </w:rPr>
        <w:t xml:space="preserve"> РР) и службе космических исследований (активной) на первичной основе;</w:t>
      </w:r>
    </w:p>
    <w:p w14:paraId="0D5881DF" w14:textId="77777777" w:rsidR="00E31735" w:rsidRPr="001A3850" w:rsidRDefault="00E31735" w:rsidP="00E31735">
      <w:pPr>
        <w:rPr>
          <w:i/>
          <w:iCs/>
          <w:lang w:val="ru-RU"/>
        </w:rPr>
      </w:pPr>
      <w:r w:rsidRPr="001A3850">
        <w:rPr>
          <w:i/>
          <w:iCs/>
          <w:lang w:val="ru-RU"/>
        </w:rPr>
        <w:t>e)</w:t>
      </w:r>
      <w:r w:rsidRPr="001A3850">
        <w:rPr>
          <w:i/>
          <w:iCs/>
          <w:lang w:val="ru-RU"/>
        </w:rPr>
        <w:tab/>
      </w:r>
      <w:r w:rsidRPr="001A3850">
        <w:rPr>
          <w:lang w:val="ru-RU"/>
        </w:rPr>
        <w:t xml:space="preserve">что </w:t>
      </w:r>
      <w:r w:rsidRPr="001A3850">
        <w:rPr>
          <w:spacing w:val="-4"/>
          <w:lang w:val="ru-RU"/>
        </w:rPr>
        <w:t>в некоторых странах</w:t>
      </w:r>
      <w:r w:rsidRPr="001A3850">
        <w:rPr>
          <w:lang w:val="ru-RU"/>
        </w:rPr>
        <w:t xml:space="preserve"> полоса частот </w:t>
      </w:r>
      <w:proofErr w:type="gramStart"/>
      <w:r w:rsidRPr="001A3850">
        <w:rPr>
          <w:spacing w:val="-4"/>
          <w:lang w:val="ru-RU"/>
        </w:rPr>
        <w:t>1215−1300</w:t>
      </w:r>
      <w:proofErr w:type="gramEnd"/>
      <w:r w:rsidRPr="001A3850">
        <w:rPr>
          <w:spacing w:val="-4"/>
          <w:lang w:val="ru-RU"/>
        </w:rPr>
        <w:t xml:space="preserve"> МГц также распределена дополнительным службам на первичной основе в соответствии с п. </w:t>
      </w:r>
      <w:r w:rsidRPr="001A3850">
        <w:rPr>
          <w:b/>
          <w:bCs/>
          <w:lang w:val="ru-RU"/>
        </w:rPr>
        <w:t>5.330</w:t>
      </w:r>
      <w:r w:rsidRPr="001A3850">
        <w:rPr>
          <w:lang w:val="ru-RU"/>
        </w:rPr>
        <w:t xml:space="preserve"> РР (фиксированной и подвижной службам) и п.</w:t>
      </w:r>
      <w:r w:rsidRPr="001A3850">
        <w:rPr>
          <w:b/>
          <w:bCs/>
          <w:spacing w:val="-4"/>
          <w:lang w:val="ru-RU"/>
        </w:rPr>
        <w:t> 5.331</w:t>
      </w:r>
      <w:r w:rsidRPr="001A3850">
        <w:rPr>
          <w:spacing w:val="-4"/>
          <w:lang w:val="ru-RU"/>
        </w:rPr>
        <w:t xml:space="preserve"> РР (радионавигационной службе);</w:t>
      </w:r>
    </w:p>
    <w:p w14:paraId="177B005C" w14:textId="77777777" w:rsidR="00E31735" w:rsidRPr="001A3850" w:rsidRDefault="00E31735" w:rsidP="00E31735">
      <w:pPr>
        <w:rPr>
          <w:lang w:val="ru-RU"/>
        </w:rPr>
      </w:pPr>
      <w:r w:rsidRPr="001A3850">
        <w:rPr>
          <w:i/>
          <w:iCs/>
          <w:lang w:val="ru-RU"/>
        </w:rPr>
        <w:t>f)</w:t>
      </w:r>
      <w:r w:rsidRPr="001A3850">
        <w:rPr>
          <w:lang w:val="ru-RU"/>
        </w:rPr>
        <w:tab/>
        <w:t xml:space="preserve">что в соответствии с пп. </w:t>
      </w:r>
      <w:r w:rsidRPr="001A3850">
        <w:rPr>
          <w:b/>
          <w:bCs/>
          <w:lang w:val="ru-RU"/>
        </w:rPr>
        <w:t>1.56</w:t>
      </w:r>
      <w:r w:rsidRPr="001A3850">
        <w:rPr>
          <w:lang w:val="ru-RU"/>
        </w:rPr>
        <w:t xml:space="preserve"> и </w:t>
      </w:r>
      <w:r w:rsidRPr="001A3850">
        <w:rPr>
          <w:b/>
          <w:bCs/>
          <w:lang w:val="ru-RU"/>
        </w:rPr>
        <w:t>1.57</w:t>
      </w:r>
      <w:r w:rsidRPr="001A3850">
        <w:rPr>
          <w:lang w:val="ru-RU"/>
        </w:rPr>
        <w:t xml:space="preserve"> РР любительская и любительская спутниковая службы постоянно расширяют использование полосы частот </w:t>
      </w:r>
      <w:proofErr w:type="gramStart"/>
      <w:r w:rsidRPr="001A3850">
        <w:rPr>
          <w:lang w:val="ru-RU"/>
        </w:rPr>
        <w:t>1240−1300</w:t>
      </w:r>
      <w:proofErr w:type="gramEnd"/>
      <w:r w:rsidRPr="001A3850">
        <w:rPr>
          <w:lang w:val="ru-RU"/>
        </w:rPr>
        <w:t xml:space="preserve"> МГц;</w:t>
      </w:r>
    </w:p>
    <w:p w14:paraId="64C993AD" w14:textId="77777777" w:rsidR="00E31735" w:rsidRPr="001A3850" w:rsidRDefault="00E31735" w:rsidP="00E31735">
      <w:pPr>
        <w:rPr>
          <w:lang w:val="ru-RU"/>
        </w:rPr>
      </w:pPr>
      <w:r w:rsidRPr="001A3850">
        <w:rPr>
          <w:i/>
          <w:iCs/>
          <w:lang w:val="ru-RU"/>
        </w:rPr>
        <w:t>g)</w:t>
      </w:r>
      <w:r w:rsidRPr="001A3850">
        <w:rPr>
          <w:lang w:val="ru-RU"/>
        </w:rPr>
        <w:tab/>
        <w:t>что в соответствии с п. </w:t>
      </w:r>
      <w:r w:rsidRPr="001A3850">
        <w:rPr>
          <w:b/>
          <w:bCs/>
          <w:lang w:val="ru-RU"/>
        </w:rPr>
        <w:t>25.7</w:t>
      </w:r>
      <w:r w:rsidRPr="001A3850">
        <w:rPr>
          <w:lang w:val="ru-RU"/>
        </w:rPr>
        <w:t xml:space="preserve"> РР</w:t>
      </w:r>
      <w:r w:rsidRPr="001A3850">
        <w:rPr>
          <w:b/>
          <w:bCs/>
          <w:lang w:val="ru-RU"/>
        </w:rPr>
        <w:t xml:space="preserve"> </w:t>
      </w:r>
      <w:r w:rsidRPr="001A3850">
        <w:rPr>
          <w:lang w:val="ru-RU"/>
        </w:rPr>
        <w:t>максимальная мощность любительских станций устанавливается заинтересованными администрациями;</w:t>
      </w:r>
    </w:p>
    <w:p w14:paraId="24332DEA" w14:textId="77777777" w:rsidR="00E31735" w:rsidRPr="001A3850" w:rsidRDefault="00E31735" w:rsidP="00E31735">
      <w:pPr>
        <w:rPr>
          <w:lang w:val="ru-RU"/>
        </w:rPr>
      </w:pPr>
      <w:r w:rsidRPr="001A3850">
        <w:rPr>
          <w:i/>
          <w:iCs/>
          <w:lang w:val="ru-RU"/>
        </w:rPr>
        <w:t>h)</w:t>
      </w:r>
      <w:r w:rsidRPr="001A3850">
        <w:rPr>
          <w:lang w:val="ru-RU"/>
        </w:rPr>
        <w:tab/>
        <w:t xml:space="preserve">что администрации, выдающие лицензии станциям любительской и любительской спутниковой служб и присваивающие им соответствующие частоты, несут ответственность за соблюдение этими станциями применимых положений РР, особенно в части защиты первичных служб других заинтересованных администраций; </w:t>
      </w:r>
    </w:p>
    <w:p w14:paraId="5A752A38" w14:textId="77777777" w:rsidR="00E31735" w:rsidRPr="001A3850" w:rsidRDefault="00E31735" w:rsidP="00E31735">
      <w:pPr>
        <w:rPr>
          <w:i/>
          <w:iCs/>
          <w:lang w:val="ru-RU"/>
        </w:rPr>
      </w:pPr>
      <w:r w:rsidRPr="001A3850">
        <w:rPr>
          <w:i/>
          <w:iCs/>
          <w:lang w:val="ru-RU"/>
        </w:rPr>
        <w:lastRenderedPageBreak/>
        <w:t>i)</w:t>
      </w:r>
      <w:r w:rsidRPr="001A3850">
        <w:rPr>
          <w:i/>
          <w:iCs/>
          <w:lang w:val="ru-RU"/>
        </w:rPr>
        <w:tab/>
      </w:r>
      <w:r w:rsidRPr="001A3850">
        <w:rPr>
          <w:lang w:val="ru-RU"/>
        </w:rPr>
        <w:t>что на случай создания вредных помех приемникам РНСС передатчиками любительской и любительской спутниковой служб в положениях Статьи </w:t>
      </w:r>
      <w:r w:rsidRPr="001A3850">
        <w:rPr>
          <w:b/>
          <w:bCs/>
          <w:lang w:val="ru-RU"/>
        </w:rPr>
        <w:t>15</w:t>
      </w:r>
      <w:r w:rsidRPr="001A3850">
        <w:rPr>
          <w:lang w:val="ru-RU"/>
        </w:rPr>
        <w:t xml:space="preserve"> РР предусмотрены обязательства администраций и соответствующие процедуры по урегулированию таких случаев вредных помех,</w:t>
      </w:r>
    </w:p>
    <w:p w14:paraId="5BE199BB" w14:textId="77777777" w:rsidR="00E31735" w:rsidRPr="001A3850" w:rsidRDefault="00E31735" w:rsidP="00E31735">
      <w:pPr>
        <w:pStyle w:val="Call"/>
        <w:rPr>
          <w:lang w:val="ru-RU"/>
        </w:rPr>
      </w:pPr>
      <w:r w:rsidRPr="001A3850">
        <w:rPr>
          <w:lang w:val="ru-RU"/>
        </w:rPr>
        <w:t>отмечая</w:t>
      </w:r>
      <w:r w:rsidRPr="001A3850">
        <w:rPr>
          <w:i w:val="0"/>
          <w:iCs/>
          <w:lang w:val="ru-RU"/>
        </w:rPr>
        <w:t>,</w:t>
      </w:r>
    </w:p>
    <w:p w14:paraId="78D390A5" w14:textId="77777777" w:rsidR="00E31735" w:rsidRPr="001A3850" w:rsidRDefault="00E31735" w:rsidP="00E31735">
      <w:pPr>
        <w:rPr>
          <w:lang w:val="ru-RU"/>
        </w:rPr>
      </w:pPr>
      <w:r w:rsidRPr="001A3850">
        <w:rPr>
          <w:lang w:val="ru-RU"/>
        </w:rPr>
        <w:t xml:space="preserve">что с учетом пунктов </w:t>
      </w:r>
      <w:r w:rsidRPr="001A3850">
        <w:rPr>
          <w:i/>
          <w:iCs/>
          <w:lang w:val="ru-RU"/>
        </w:rPr>
        <w:t>a)</w:t>
      </w:r>
      <w:r w:rsidRPr="001A3850">
        <w:rPr>
          <w:lang w:val="ru-RU"/>
        </w:rPr>
        <w:t xml:space="preserve">, </w:t>
      </w:r>
      <w:r w:rsidRPr="001A3850">
        <w:rPr>
          <w:i/>
          <w:iCs/>
          <w:lang w:val="ru-RU"/>
        </w:rPr>
        <w:t>b)</w:t>
      </w:r>
      <w:r w:rsidRPr="001A3850">
        <w:rPr>
          <w:lang w:val="ru-RU"/>
        </w:rPr>
        <w:t xml:space="preserve">, </w:t>
      </w:r>
      <w:r w:rsidRPr="001A3850">
        <w:rPr>
          <w:i/>
          <w:iCs/>
          <w:lang w:val="ru-RU"/>
        </w:rPr>
        <w:t>c)</w:t>
      </w:r>
      <w:r w:rsidRPr="001A3850">
        <w:rPr>
          <w:lang w:val="ru-RU"/>
        </w:rPr>
        <w:t xml:space="preserve">, </w:t>
      </w:r>
      <w:r w:rsidRPr="001A3850">
        <w:rPr>
          <w:i/>
          <w:iCs/>
          <w:lang w:val="ru-RU"/>
        </w:rPr>
        <w:t>h)</w:t>
      </w:r>
      <w:r w:rsidRPr="001A3850">
        <w:rPr>
          <w:lang w:val="ru-RU"/>
        </w:rPr>
        <w:t xml:space="preserve"> и </w:t>
      </w:r>
      <w:r w:rsidRPr="001A3850">
        <w:rPr>
          <w:i/>
          <w:iCs/>
          <w:lang w:val="ru-RU"/>
        </w:rPr>
        <w:t xml:space="preserve">i) </w:t>
      </w:r>
      <w:r w:rsidRPr="001A3850">
        <w:rPr>
          <w:lang w:val="ru-RU"/>
        </w:rPr>
        <w:t xml:space="preserve">раздела </w:t>
      </w:r>
      <w:r w:rsidRPr="001A3850">
        <w:rPr>
          <w:i/>
          <w:iCs/>
          <w:lang w:val="ru-RU"/>
        </w:rPr>
        <w:t>признавая</w:t>
      </w:r>
      <w:r w:rsidRPr="001A3850">
        <w:rPr>
          <w:lang w:val="ru-RU"/>
        </w:rPr>
        <w:t>, выше, некоторые администрации считают, что для обеспечения защиты РНСС могут потребоваться дополнительные меры помимо тех, которые описаны в Приложении к настоящей Рекомендации,</w:t>
      </w:r>
    </w:p>
    <w:p w14:paraId="6760F17E" w14:textId="77777777" w:rsidR="00E31735" w:rsidRPr="001A3850" w:rsidRDefault="00E31735" w:rsidP="00E31735">
      <w:pPr>
        <w:pStyle w:val="Call"/>
        <w:rPr>
          <w:lang w:val="ru-RU"/>
        </w:rPr>
      </w:pPr>
      <w:r w:rsidRPr="001A3850">
        <w:rPr>
          <w:lang w:val="ru-RU"/>
        </w:rPr>
        <w:t>рекомендует</w:t>
      </w:r>
    </w:p>
    <w:p w14:paraId="0D1D49D1" w14:textId="77777777" w:rsidR="00E31735" w:rsidRDefault="00E31735" w:rsidP="00E31735">
      <w:pPr>
        <w:rPr>
          <w:lang w:val="ru-RU"/>
        </w:rPr>
      </w:pPr>
      <w:r w:rsidRPr="001A3850">
        <w:rPr>
          <w:lang w:val="ru-RU"/>
        </w:rPr>
        <w:t xml:space="preserve">администрациям, желающим разрешить или продолжить эксплуатацию на своей территории любительской и любительской спутниковой служб во всей полосе частот </w:t>
      </w:r>
      <w:proofErr w:type="gramStart"/>
      <w:r w:rsidRPr="001A3850">
        <w:rPr>
          <w:lang w:val="ru-RU"/>
        </w:rPr>
        <w:t>1240−1300</w:t>
      </w:r>
      <w:proofErr w:type="gramEnd"/>
      <w:r w:rsidRPr="001A3850">
        <w:rPr>
          <w:lang w:val="ru-RU"/>
        </w:rPr>
        <w:t xml:space="preserve"> МГц или ее части, использовать описанные в Приложении технические и эксплуатационные меры в качестве руководства по обеспечению защиты </w:t>
      </w:r>
      <w:proofErr w:type="spellStart"/>
      <w:r w:rsidRPr="001A3850">
        <w:rPr>
          <w:lang w:val="ru-RU"/>
        </w:rPr>
        <w:t>РНСС</w:t>
      </w:r>
      <w:proofErr w:type="spellEnd"/>
      <w:r w:rsidRPr="001A3850">
        <w:rPr>
          <w:lang w:val="ru-RU"/>
        </w:rPr>
        <w:t xml:space="preserve"> (космос-Земля).</w:t>
      </w:r>
    </w:p>
    <w:p w14:paraId="51ED6F02" w14:textId="77777777" w:rsidR="00C871C4" w:rsidRDefault="00C871C4" w:rsidP="00E31735">
      <w:pPr>
        <w:rPr>
          <w:lang w:val="ru-RU"/>
        </w:rPr>
      </w:pPr>
    </w:p>
    <w:p w14:paraId="1FA39AEE" w14:textId="77777777" w:rsidR="00C871C4" w:rsidRPr="001A3850" w:rsidRDefault="00C871C4" w:rsidP="00E31735">
      <w:pPr>
        <w:rPr>
          <w:lang w:val="ru-RU"/>
        </w:rPr>
      </w:pPr>
    </w:p>
    <w:p w14:paraId="62A651E9" w14:textId="22AAE9EE" w:rsidR="00E31735" w:rsidRPr="001A3850" w:rsidRDefault="00E31735" w:rsidP="001D2D41">
      <w:pPr>
        <w:pStyle w:val="AnnexNoTitle"/>
        <w:rPr>
          <w:lang w:val="ru-RU"/>
        </w:rPr>
      </w:pPr>
      <w:r w:rsidRPr="001A3850">
        <w:rPr>
          <w:lang w:val="ru-RU"/>
        </w:rPr>
        <w:t>П</w:t>
      </w:r>
      <w:r w:rsidR="001D2D41" w:rsidRPr="001A3850">
        <w:rPr>
          <w:lang w:val="ru-RU"/>
        </w:rPr>
        <w:t>риложение</w:t>
      </w:r>
      <w:r w:rsidR="001D2D41" w:rsidRPr="001A3850">
        <w:rPr>
          <w:lang w:val="ru-RU"/>
        </w:rPr>
        <w:br/>
      </w:r>
      <w:r w:rsidR="001D2D41" w:rsidRPr="001A3850">
        <w:rPr>
          <w:lang w:val="ru-RU"/>
        </w:rPr>
        <w:br/>
      </w:r>
      <w:r w:rsidRPr="001A3850">
        <w:rPr>
          <w:lang w:val="ru-RU"/>
        </w:rPr>
        <w:t xml:space="preserve">Руководство по техническим и эксплуатационным мерам по использованию полосы частот </w:t>
      </w:r>
      <w:proofErr w:type="gramStart"/>
      <w:r w:rsidRPr="001A3850">
        <w:rPr>
          <w:lang w:val="ru-RU"/>
        </w:rPr>
        <w:t>1240</w:t>
      </w:r>
      <w:r w:rsidRPr="001A3850">
        <w:rPr>
          <w:bCs/>
          <w:lang w:val="ru-RU"/>
        </w:rPr>
        <w:t>−</w:t>
      </w:r>
      <w:r w:rsidRPr="001A3850">
        <w:rPr>
          <w:lang w:val="ru-RU"/>
        </w:rPr>
        <w:t>1300</w:t>
      </w:r>
      <w:proofErr w:type="gramEnd"/>
      <w:r w:rsidRPr="001A3850">
        <w:rPr>
          <w:lang w:val="ru-RU"/>
        </w:rPr>
        <w:t xml:space="preserve"> МГц любительской и любительской спутниковой службами, предназначенным для защиты радионавигационной </w:t>
      </w:r>
      <w:r w:rsidRPr="001A3850">
        <w:rPr>
          <w:lang w:val="ru-RU"/>
        </w:rPr>
        <w:br/>
        <w:t>спутниковой службы (космос-Земля)</w:t>
      </w:r>
    </w:p>
    <w:p w14:paraId="21A137C8" w14:textId="77777777" w:rsidR="00E31735" w:rsidRPr="001A3850" w:rsidRDefault="00E31735" w:rsidP="001D2D41">
      <w:pPr>
        <w:pStyle w:val="Normalaftertitle"/>
        <w:rPr>
          <w:lang w:val="ru-RU"/>
        </w:rPr>
      </w:pPr>
      <w:r w:rsidRPr="001A3850">
        <w:rPr>
          <w:lang w:val="ru-RU"/>
        </w:rPr>
        <w:t xml:space="preserve">С учетом пунктов </w:t>
      </w:r>
      <w:r w:rsidRPr="001A3850">
        <w:rPr>
          <w:i/>
          <w:iCs/>
          <w:lang w:val="ru-RU"/>
        </w:rPr>
        <w:t>b)</w:t>
      </w:r>
      <w:r w:rsidRPr="001A3850">
        <w:rPr>
          <w:lang w:val="ru-RU"/>
        </w:rPr>
        <w:t xml:space="preserve"> и </w:t>
      </w:r>
      <w:r w:rsidRPr="001A3850">
        <w:rPr>
          <w:i/>
          <w:iCs/>
          <w:lang w:val="ru-RU"/>
        </w:rPr>
        <w:t>с)</w:t>
      </w:r>
      <w:r w:rsidRPr="001A3850">
        <w:rPr>
          <w:lang w:val="ru-RU"/>
        </w:rPr>
        <w:t xml:space="preserve"> раздела </w:t>
      </w:r>
      <w:r w:rsidRPr="001A3850">
        <w:rPr>
          <w:i/>
          <w:iCs/>
          <w:lang w:val="ru-RU"/>
        </w:rPr>
        <w:t>признавая</w:t>
      </w:r>
      <w:r w:rsidRPr="001A3850">
        <w:rPr>
          <w:lang w:val="ru-RU"/>
        </w:rPr>
        <w:t xml:space="preserve"> в настоящем Приложении представлены технические и эксплуатационные меры, предназначенные для использования администрациями, желающими разрешить или продолжить эксплуатацию на своей территории любительской и любительской спутниковой служб во всей полосе частот 1240−1300 МГц или ее участках, в качестве руководства по защите РНСС, признавая, что для обеспечения защиты РНСС администрации могут реализовать другие меры с учетом своих национальных условий.</w:t>
      </w:r>
    </w:p>
    <w:p w14:paraId="40E5A8DB" w14:textId="77777777" w:rsidR="00E31735" w:rsidRPr="001A3850" w:rsidRDefault="00E31735" w:rsidP="00E31735">
      <w:pPr>
        <w:pStyle w:val="enumlev1"/>
        <w:rPr>
          <w:lang w:val="ru-RU"/>
        </w:rPr>
      </w:pPr>
      <w:r w:rsidRPr="001A3850">
        <w:rPr>
          <w:lang w:val="ru-RU"/>
        </w:rPr>
        <w:t>1)</w:t>
      </w:r>
      <w:r w:rsidRPr="001A3850">
        <w:rPr>
          <w:lang w:val="ru-RU"/>
        </w:rPr>
        <w:tab/>
        <w:t xml:space="preserve">Для узкополосных применений (ширина полосы ≤ 150 кГц), работающих в любительской службе: </w:t>
      </w:r>
    </w:p>
    <w:p w14:paraId="458BB20D" w14:textId="77777777" w:rsidR="00E31735" w:rsidRPr="001A3850" w:rsidRDefault="00E31735" w:rsidP="00E95305">
      <w:pPr>
        <w:pStyle w:val="enumlev2"/>
        <w:rPr>
          <w:rFonts w:eastAsia="Batang"/>
          <w:lang w:val="ru-RU" w:bidi="ru-RU"/>
        </w:rPr>
      </w:pPr>
      <w:r w:rsidRPr="001A3850">
        <w:rPr>
          <w:rFonts w:eastAsia="Batang"/>
          <w:lang w:val="ru-RU" w:bidi="ru-RU"/>
        </w:rPr>
        <w:t>a)</w:t>
      </w:r>
      <w:r w:rsidRPr="001A3850">
        <w:rPr>
          <w:rFonts w:eastAsia="Batang"/>
          <w:lang w:val="ru-RU" w:bidi="ru-RU"/>
        </w:rPr>
        <w:tab/>
      </w:r>
      <w:proofErr w:type="gramStart"/>
      <w:r w:rsidRPr="001A3850">
        <w:rPr>
          <w:rFonts w:eastAsia="SimSun"/>
          <w:lang w:val="ru-RU" w:eastAsia="zh-CN" w:bidi="ru-RU"/>
        </w:rPr>
        <w:t>1240</w:t>
      </w:r>
      <w:r w:rsidRPr="001A3850">
        <w:rPr>
          <w:rFonts w:eastAsia="Batang"/>
          <w:lang w:val="ru-RU" w:bidi="ru-RU"/>
        </w:rPr>
        <w:t>−1255,76</w:t>
      </w:r>
      <w:proofErr w:type="gramEnd"/>
      <w:r w:rsidRPr="001A3850">
        <w:rPr>
          <w:rFonts w:eastAsia="Batang"/>
          <w:lang w:val="ru-RU" w:bidi="ru-RU"/>
        </w:rPr>
        <w:t> МГц:</w:t>
      </w:r>
    </w:p>
    <w:p w14:paraId="1B3A640F" w14:textId="4EA0BD90" w:rsidR="00E31735" w:rsidRPr="001A3850" w:rsidRDefault="00E95305" w:rsidP="00E31735">
      <w:pPr>
        <w:pStyle w:val="enumlev2"/>
        <w:rPr>
          <w:rFonts w:eastAsia="MS Mincho"/>
          <w:lang w:val="ru-RU"/>
        </w:rPr>
      </w:pPr>
      <w:r w:rsidRPr="001A3850">
        <w:rPr>
          <w:rFonts w:eastAsia="Batang"/>
          <w:lang w:val="ru-RU" w:bidi="ru-RU"/>
        </w:rPr>
        <w:tab/>
      </w:r>
      <w:r w:rsidR="00E31735" w:rsidRPr="001A3850">
        <w:rPr>
          <w:rFonts w:eastAsia="Batang"/>
          <w:lang w:val="ru-RU" w:bidi="ru-RU"/>
        </w:rPr>
        <w:t>максимальные значения э.и.и.м.</w:t>
      </w:r>
      <w:r w:rsidR="00E31735" w:rsidRPr="001A3850">
        <w:rPr>
          <w:rStyle w:val="FootnoteReference"/>
          <w:rFonts w:eastAsia="Batang"/>
          <w:lang w:val="ru-RU" w:bidi="ru-RU"/>
        </w:rPr>
        <w:footnoteReference w:customMarkFollows="1" w:id="2"/>
        <w:t>2</w:t>
      </w:r>
      <w:r w:rsidR="00E31735" w:rsidRPr="001A3850">
        <w:rPr>
          <w:rFonts w:eastAsia="MS Mincho"/>
          <w:lang w:val="ru-RU"/>
        </w:rPr>
        <w:t>:</w:t>
      </w:r>
    </w:p>
    <w:p w14:paraId="2A1D43EE" w14:textId="74228299" w:rsidR="00E31735" w:rsidRPr="001A3850" w:rsidRDefault="00E31735" w:rsidP="00E95305">
      <w:pPr>
        <w:pStyle w:val="Equation"/>
        <w:tabs>
          <w:tab w:val="clear" w:pos="794"/>
          <w:tab w:val="clear" w:pos="4820"/>
          <w:tab w:val="left" w:pos="1204"/>
          <w:tab w:val="center" w:pos="5954"/>
          <w:tab w:val="right" w:pos="6804"/>
          <w:tab w:val="right" w:pos="7230"/>
        </w:tabs>
        <w:spacing w:before="80"/>
        <w:rPr>
          <w:lang w:val="ru-RU"/>
        </w:rPr>
      </w:pPr>
      <w:r w:rsidRPr="001A3850">
        <w:rPr>
          <w:rFonts w:eastAsia="Batang"/>
          <w:lang w:val="ru-RU" w:bidi="ru-RU"/>
        </w:rPr>
        <w:tab/>
        <w:t>−39,0</w:t>
      </w:r>
      <w:r w:rsidR="001D2D41" w:rsidRPr="001A3850">
        <w:rPr>
          <w:rFonts w:eastAsia="Batang"/>
          <w:lang w:val="ru-RU" w:bidi="ru-RU"/>
        </w:rPr>
        <w:t xml:space="preserve"> </w:t>
      </w:r>
      <w:r w:rsidRPr="001A3850">
        <w:rPr>
          <w:rFonts w:eastAsia="Batang"/>
          <w:lang w:val="ru-RU" w:bidi="ru-RU"/>
        </w:rPr>
        <w:t>дБВт в (150 кГц)</w:t>
      </w:r>
      <w:r w:rsidRPr="001A3850">
        <w:rPr>
          <w:rFonts w:eastAsia="Batang"/>
          <w:lang w:val="ru-RU" w:bidi="ru-RU"/>
        </w:rPr>
        <w:tab/>
        <w:t>при</w:t>
      </w:r>
      <w:r w:rsidRPr="001A3850">
        <w:rPr>
          <w:rFonts w:eastAsia="Batang"/>
          <w:lang w:val="ru-RU" w:bidi="ru-RU"/>
        </w:rPr>
        <w:tab/>
        <w:t>‒90</w:t>
      </w:r>
      <w:r w:rsidRPr="001A3850">
        <w:rPr>
          <w:rFonts w:eastAsia="Batang"/>
          <w:lang w:val="ru-RU" w:bidi="ru-RU"/>
        </w:rPr>
        <w:sym w:font="Symbol" w:char="F0B0"/>
      </w:r>
      <w:r w:rsidRPr="001A3850">
        <w:rPr>
          <w:rFonts w:eastAsia="Batang"/>
          <w:lang w:val="ru-RU" w:bidi="ru-RU"/>
        </w:rPr>
        <w:tab/>
      </w:r>
      <w:r w:rsidRPr="001A3850">
        <w:rPr>
          <w:rFonts w:eastAsia="Batang"/>
          <w:lang w:val="ru-RU" w:bidi="ru-RU"/>
        </w:rPr>
        <w:sym w:font="Symbol" w:char="F0A3"/>
      </w:r>
      <w:r w:rsidRPr="001A3850">
        <w:rPr>
          <w:rFonts w:eastAsia="Batang"/>
          <w:lang w:val="ru-RU" w:bidi="ru-RU"/>
        </w:rPr>
        <w:t xml:space="preserve"> </w:t>
      </w:r>
      <w:r w:rsidRPr="001A3850">
        <w:rPr>
          <w:rFonts w:eastAsia="Batang"/>
          <w:lang w:val="ru-RU" w:bidi="ru-RU"/>
        </w:rPr>
        <w:sym w:font="Symbol" w:char="F071"/>
      </w:r>
      <w:r w:rsidRPr="001A3850">
        <w:rPr>
          <w:rFonts w:eastAsia="Batang"/>
          <w:lang w:val="ru-RU" w:bidi="ru-RU"/>
        </w:rPr>
        <w:t xml:space="preserve"> </w:t>
      </w:r>
      <w:proofErr w:type="gramStart"/>
      <w:r w:rsidRPr="001A3850">
        <w:rPr>
          <w:rFonts w:eastAsia="Batang"/>
          <w:lang w:val="ru-RU" w:bidi="ru-RU"/>
        </w:rPr>
        <w:t>&lt;  </w:t>
      </w:r>
      <w:proofErr w:type="gramEnd"/>
      <w:r w:rsidRPr="001A3850">
        <w:rPr>
          <w:rFonts w:eastAsia="Batang"/>
          <w:lang w:val="ru-RU" w:bidi="ru-RU"/>
        </w:rPr>
        <w:t> 0°</w:t>
      </w:r>
    </w:p>
    <w:p w14:paraId="3FC3C8F1" w14:textId="575C7F89" w:rsidR="00E31735" w:rsidRPr="001A3850" w:rsidRDefault="00E31735" w:rsidP="00E95305">
      <w:pPr>
        <w:pStyle w:val="Equation"/>
        <w:tabs>
          <w:tab w:val="clear" w:pos="794"/>
          <w:tab w:val="clear" w:pos="4820"/>
          <w:tab w:val="left" w:pos="1204"/>
          <w:tab w:val="center" w:pos="5954"/>
          <w:tab w:val="right" w:pos="6804"/>
          <w:tab w:val="right" w:pos="7230"/>
        </w:tabs>
        <w:spacing w:before="80"/>
        <w:rPr>
          <w:rFonts w:eastAsia="Batang"/>
          <w:lang w:val="ru-RU" w:eastAsia="ko-KR"/>
        </w:rPr>
      </w:pPr>
      <w:r w:rsidRPr="001A3850">
        <w:rPr>
          <w:rFonts w:eastAsia="Batang"/>
          <w:lang w:val="ru-RU" w:bidi="ru-RU"/>
        </w:rPr>
        <w:tab/>
        <w:t>−39,0</w:t>
      </w:r>
      <w:r w:rsidR="001D2D41" w:rsidRPr="001A3850">
        <w:rPr>
          <w:rFonts w:eastAsia="Batang"/>
          <w:lang w:val="ru-RU" w:bidi="ru-RU"/>
        </w:rPr>
        <w:t xml:space="preserve"> </w:t>
      </w:r>
      <w:r w:rsidRPr="001A3850">
        <w:rPr>
          <w:rFonts w:eastAsia="Batang"/>
          <w:lang w:val="ru-RU" w:bidi="ru-RU"/>
        </w:rPr>
        <w:t>дБВт в (150 кГц)</w:t>
      </w:r>
      <w:r w:rsidRPr="001A3850">
        <w:rPr>
          <w:rFonts w:eastAsia="Batang"/>
          <w:lang w:val="ru-RU" w:bidi="ru-RU"/>
        </w:rPr>
        <w:tab/>
        <w:t>при</w:t>
      </w:r>
      <w:r w:rsidRPr="001A3850">
        <w:rPr>
          <w:rFonts w:eastAsia="Batang"/>
          <w:lang w:val="ru-RU" w:bidi="ru-RU"/>
        </w:rPr>
        <w:tab/>
        <w:t>0</w:t>
      </w:r>
      <w:r w:rsidRPr="001A3850">
        <w:rPr>
          <w:rFonts w:eastAsia="Batang"/>
          <w:lang w:val="ru-RU" w:bidi="ru-RU"/>
        </w:rPr>
        <w:sym w:font="Symbol" w:char="F0B0"/>
      </w:r>
      <w:r w:rsidRPr="001A3850">
        <w:rPr>
          <w:rFonts w:eastAsia="Batang"/>
          <w:lang w:val="ru-RU" w:bidi="ru-RU"/>
        </w:rPr>
        <w:tab/>
      </w:r>
      <w:r w:rsidRPr="001A3850">
        <w:rPr>
          <w:rFonts w:eastAsia="Batang"/>
          <w:lang w:val="ru-RU" w:bidi="ru-RU"/>
        </w:rPr>
        <w:sym w:font="Symbol" w:char="F0A3"/>
      </w:r>
      <w:r w:rsidRPr="001A3850">
        <w:rPr>
          <w:rFonts w:eastAsia="Batang"/>
          <w:lang w:val="ru-RU" w:bidi="ru-RU"/>
        </w:rPr>
        <w:t xml:space="preserve"> </w:t>
      </w:r>
      <w:r w:rsidRPr="001A3850">
        <w:rPr>
          <w:rFonts w:eastAsia="Batang"/>
          <w:lang w:val="ru-RU" w:bidi="ru-RU"/>
        </w:rPr>
        <w:sym w:font="Symbol" w:char="F071"/>
      </w:r>
      <w:r w:rsidRPr="001A3850">
        <w:rPr>
          <w:rFonts w:eastAsia="Batang"/>
          <w:lang w:val="ru-RU" w:bidi="ru-RU"/>
        </w:rPr>
        <w:t xml:space="preserve"> </w:t>
      </w:r>
      <w:proofErr w:type="gramStart"/>
      <w:r w:rsidRPr="001A3850">
        <w:rPr>
          <w:rFonts w:eastAsia="Batang"/>
          <w:lang w:val="ru-RU" w:bidi="ru-RU"/>
        </w:rPr>
        <w:t>&lt;  </w:t>
      </w:r>
      <w:proofErr w:type="gramEnd"/>
      <w:r w:rsidRPr="001A3850">
        <w:rPr>
          <w:rFonts w:eastAsia="Batang"/>
          <w:lang w:val="ru-RU" w:bidi="ru-RU"/>
        </w:rPr>
        <w:t> 5°</w:t>
      </w:r>
    </w:p>
    <w:p w14:paraId="5500AA54" w14:textId="78B9B682" w:rsidR="00E31735" w:rsidRPr="001A3850" w:rsidRDefault="00E31735" w:rsidP="00E95305">
      <w:pPr>
        <w:pStyle w:val="Equation"/>
        <w:tabs>
          <w:tab w:val="clear" w:pos="794"/>
          <w:tab w:val="clear" w:pos="4820"/>
          <w:tab w:val="left" w:pos="1204"/>
          <w:tab w:val="center" w:pos="5954"/>
          <w:tab w:val="right" w:pos="6804"/>
          <w:tab w:val="right" w:pos="7230"/>
        </w:tabs>
        <w:spacing w:before="80"/>
        <w:rPr>
          <w:rFonts w:eastAsia="Batang"/>
          <w:lang w:val="ru-RU" w:eastAsia="ko-KR"/>
        </w:rPr>
      </w:pPr>
      <w:r w:rsidRPr="001A3850">
        <w:rPr>
          <w:rFonts w:eastAsia="Batang"/>
          <w:lang w:val="ru-RU" w:bidi="ru-RU"/>
        </w:rPr>
        <w:tab/>
        <w:t>−39,0 − 1,05 (</w:t>
      </w:r>
      <w:r w:rsidRPr="001A3850">
        <w:rPr>
          <w:rFonts w:eastAsia="Batang"/>
          <w:lang w:val="ru-RU" w:bidi="ru-RU"/>
        </w:rPr>
        <w:sym w:font="Symbol" w:char="F071"/>
      </w:r>
      <w:r w:rsidRPr="001A3850">
        <w:rPr>
          <w:rFonts w:eastAsia="Batang"/>
          <w:lang w:val="ru-RU" w:bidi="ru-RU"/>
        </w:rPr>
        <w:t> – 5)</w:t>
      </w:r>
      <w:r w:rsidR="001D2D41" w:rsidRPr="001A3850">
        <w:rPr>
          <w:rFonts w:eastAsia="Batang"/>
          <w:lang w:val="ru-RU" w:bidi="ru-RU"/>
        </w:rPr>
        <w:t xml:space="preserve"> </w:t>
      </w:r>
      <w:r w:rsidRPr="001A3850">
        <w:rPr>
          <w:rFonts w:eastAsia="Batang"/>
          <w:lang w:val="ru-RU" w:bidi="ru-RU"/>
        </w:rPr>
        <w:t>дБВт в (150 кГц)</w:t>
      </w:r>
      <w:r w:rsidRPr="001A3850">
        <w:rPr>
          <w:rFonts w:eastAsia="Batang"/>
          <w:lang w:val="ru-RU" w:bidi="ru-RU"/>
        </w:rPr>
        <w:tab/>
        <w:t>при</w:t>
      </w:r>
      <w:r w:rsidRPr="001A3850">
        <w:rPr>
          <w:rFonts w:eastAsia="Batang"/>
          <w:lang w:val="ru-RU" w:bidi="ru-RU"/>
        </w:rPr>
        <w:tab/>
        <w:t> 5</w:t>
      </w:r>
      <w:r w:rsidRPr="001A3850">
        <w:rPr>
          <w:rFonts w:eastAsia="Batang"/>
          <w:lang w:val="ru-RU" w:bidi="ru-RU"/>
        </w:rPr>
        <w:sym w:font="Symbol" w:char="F0B0"/>
      </w:r>
      <w:r w:rsidRPr="001A3850">
        <w:rPr>
          <w:rFonts w:eastAsia="Batang"/>
          <w:lang w:val="ru-RU" w:bidi="ru-RU"/>
        </w:rPr>
        <w:tab/>
      </w:r>
      <w:r w:rsidRPr="001A3850">
        <w:rPr>
          <w:rFonts w:eastAsia="Batang"/>
          <w:lang w:val="ru-RU" w:bidi="ru-RU"/>
        </w:rPr>
        <w:sym w:font="Symbol" w:char="F0A3"/>
      </w:r>
      <w:r w:rsidRPr="001A3850">
        <w:rPr>
          <w:rFonts w:eastAsia="Batang"/>
          <w:lang w:val="ru-RU" w:bidi="ru-RU"/>
        </w:rPr>
        <w:t xml:space="preserve"> </w:t>
      </w:r>
      <w:r w:rsidRPr="001A3850">
        <w:rPr>
          <w:rFonts w:eastAsia="Batang"/>
          <w:lang w:val="ru-RU" w:bidi="ru-RU"/>
        </w:rPr>
        <w:sym w:font="Symbol" w:char="F071"/>
      </w:r>
      <w:r w:rsidRPr="001A3850">
        <w:rPr>
          <w:rFonts w:eastAsia="Batang"/>
          <w:lang w:val="ru-RU" w:bidi="ru-RU"/>
        </w:rPr>
        <w:t xml:space="preserve"> </w:t>
      </w:r>
      <w:proofErr w:type="gramStart"/>
      <w:r w:rsidRPr="001A3850">
        <w:rPr>
          <w:rFonts w:eastAsia="Batang"/>
          <w:lang w:val="ru-RU" w:bidi="ru-RU"/>
        </w:rPr>
        <w:t>&lt; 25</w:t>
      </w:r>
      <w:proofErr w:type="gramEnd"/>
      <w:r w:rsidRPr="001A3850">
        <w:rPr>
          <w:rFonts w:eastAsia="Batang"/>
          <w:lang w:val="ru-RU" w:bidi="ru-RU"/>
        </w:rPr>
        <w:t>°</w:t>
      </w:r>
    </w:p>
    <w:p w14:paraId="15933E1F" w14:textId="49CF6DDD" w:rsidR="00E31735" w:rsidRPr="001A3850" w:rsidRDefault="00E31735" w:rsidP="00E95305">
      <w:pPr>
        <w:pStyle w:val="Equation"/>
        <w:tabs>
          <w:tab w:val="clear" w:pos="794"/>
          <w:tab w:val="clear" w:pos="4820"/>
          <w:tab w:val="left" w:pos="1204"/>
          <w:tab w:val="center" w:pos="5954"/>
          <w:tab w:val="right" w:pos="6804"/>
          <w:tab w:val="right" w:pos="7230"/>
        </w:tabs>
        <w:spacing w:before="80"/>
        <w:rPr>
          <w:rFonts w:eastAsia="Batang"/>
          <w:lang w:val="ru-RU" w:bidi="ru-RU"/>
        </w:rPr>
      </w:pPr>
      <w:r w:rsidRPr="001A3850">
        <w:rPr>
          <w:rFonts w:eastAsia="Batang"/>
          <w:lang w:val="ru-RU" w:bidi="ru-RU"/>
        </w:rPr>
        <w:tab/>
        <w:t>–60</w:t>
      </w:r>
      <w:r w:rsidR="001D2D41" w:rsidRPr="001A3850">
        <w:rPr>
          <w:rFonts w:eastAsia="Batang"/>
          <w:lang w:val="ru-RU" w:bidi="ru-RU"/>
        </w:rPr>
        <w:t xml:space="preserve"> </w:t>
      </w:r>
      <w:r w:rsidRPr="001A3850">
        <w:rPr>
          <w:rFonts w:eastAsia="Batang"/>
          <w:lang w:val="ru-RU" w:bidi="ru-RU"/>
        </w:rPr>
        <w:t>дБВт в (150 кГц)</w:t>
      </w:r>
      <w:r w:rsidRPr="001A3850">
        <w:rPr>
          <w:rFonts w:eastAsia="Batang"/>
          <w:lang w:val="ru-RU" w:bidi="ru-RU"/>
        </w:rPr>
        <w:tab/>
        <w:t>при</w:t>
      </w:r>
      <w:r w:rsidRPr="001A3850">
        <w:rPr>
          <w:rFonts w:eastAsia="Batang"/>
          <w:lang w:val="ru-RU" w:bidi="ru-RU"/>
        </w:rPr>
        <w:tab/>
        <w:t>25°</w:t>
      </w:r>
      <w:r w:rsidRPr="001A3850">
        <w:rPr>
          <w:rFonts w:eastAsia="Batang"/>
          <w:lang w:val="ru-RU" w:bidi="ru-RU"/>
        </w:rPr>
        <w:tab/>
      </w:r>
      <w:r w:rsidRPr="001A3850">
        <w:rPr>
          <w:rFonts w:eastAsia="Batang"/>
          <w:lang w:val="ru-RU" w:bidi="ru-RU"/>
        </w:rPr>
        <w:sym w:font="Symbol" w:char="F0A3"/>
      </w:r>
      <w:r w:rsidRPr="001A3850">
        <w:rPr>
          <w:rFonts w:eastAsia="Batang"/>
          <w:lang w:val="ru-RU" w:bidi="ru-RU"/>
        </w:rPr>
        <w:t xml:space="preserve"> </w:t>
      </w:r>
      <w:r w:rsidRPr="001A3850">
        <w:rPr>
          <w:rFonts w:eastAsia="Batang"/>
          <w:lang w:val="ru-RU" w:bidi="ru-RU"/>
        </w:rPr>
        <w:sym w:font="Symbol" w:char="F071"/>
      </w:r>
      <w:r w:rsidRPr="001A3850">
        <w:rPr>
          <w:rFonts w:eastAsia="Batang"/>
          <w:lang w:val="ru-RU" w:bidi="ru-RU"/>
        </w:rPr>
        <w:t xml:space="preserve"> </w:t>
      </w:r>
      <w:proofErr w:type="gramStart"/>
      <w:r w:rsidRPr="001A3850">
        <w:rPr>
          <w:rFonts w:eastAsia="Batang"/>
          <w:lang w:val="ru-RU" w:bidi="ru-RU"/>
        </w:rPr>
        <w:t>&lt; 90</w:t>
      </w:r>
      <w:proofErr w:type="gramEnd"/>
      <w:r w:rsidRPr="001A3850">
        <w:rPr>
          <w:rFonts w:eastAsia="Batang"/>
          <w:lang w:val="ru-RU" w:bidi="ru-RU"/>
        </w:rPr>
        <w:t>°,</w:t>
      </w:r>
    </w:p>
    <w:p w14:paraId="4CC2EA6D" w14:textId="77777777" w:rsidR="00E31735" w:rsidRPr="001A3850" w:rsidRDefault="00E31735" w:rsidP="00E31735">
      <w:pPr>
        <w:pStyle w:val="enumlev1"/>
        <w:rPr>
          <w:rFonts w:eastAsia="Batang"/>
          <w:lang w:val="ru-RU" w:eastAsia="ko-KR"/>
        </w:rPr>
      </w:pPr>
      <w:r w:rsidRPr="001A3850">
        <w:rPr>
          <w:rFonts w:eastAsia="Batang"/>
          <w:lang w:val="ru-RU" w:bidi="ru-RU"/>
        </w:rPr>
        <w:tab/>
      </w:r>
      <w:r w:rsidRPr="001A3850">
        <w:rPr>
          <w:rFonts w:eastAsia="SimSun"/>
          <w:lang w:val="ru-RU" w:eastAsia="zh-CN" w:bidi="ru-RU"/>
        </w:rPr>
        <w:t xml:space="preserve">где </w:t>
      </w:r>
      <w:r w:rsidRPr="001A3850">
        <w:rPr>
          <w:lang w:val="ru-RU" w:bidi="ru-RU"/>
        </w:rPr>
        <w:sym w:font="Symbol" w:char="F071"/>
      </w:r>
      <w:r w:rsidRPr="001A3850">
        <w:rPr>
          <w:rFonts w:eastAsia="Batang"/>
          <w:lang w:val="ru-RU" w:bidi="ru-RU"/>
        </w:rPr>
        <w:t xml:space="preserve"> – угол места антенны станции любительской службы;</w:t>
      </w:r>
    </w:p>
    <w:p w14:paraId="6CA83628" w14:textId="77777777" w:rsidR="00E31735" w:rsidRPr="001A3850" w:rsidRDefault="00E31735" w:rsidP="00E31735">
      <w:pPr>
        <w:pStyle w:val="enumlev2"/>
        <w:rPr>
          <w:rFonts w:eastAsia="SimSun"/>
          <w:lang w:val="ru-RU" w:eastAsia="zh-CN" w:bidi="ru-RU"/>
        </w:rPr>
      </w:pPr>
      <w:r w:rsidRPr="001A3850">
        <w:rPr>
          <w:rFonts w:eastAsia="Batang"/>
          <w:lang w:val="ru-RU" w:bidi="ru-RU"/>
        </w:rPr>
        <w:t>b)</w:t>
      </w:r>
      <w:r w:rsidRPr="001A3850">
        <w:rPr>
          <w:rFonts w:eastAsia="Batang"/>
          <w:lang w:val="ru-RU" w:bidi="ru-RU"/>
        </w:rPr>
        <w:tab/>
      </w:r>
      <w:proofErr w:type="gramStart"/>
      <w:r w:rsidRPr="001A3850">
        <w:rPr>
          <w:rFonts w:eastAsia="Batang"/>
          <w:lang w:val="ru-RU" w:bidi="ru-RU"/>
        </w:rPr>
        <w:t>125</w:t>
      </w:r>
      <w:r w:rsidRPr="001A3850">
        <w:rPr>
          <w:rFonts w:eastAsia="SimSun"/>
          <w:lang w:val="ru-RU" w:eastAsia="zh-CN" w:bidi="ru-RU"/>
        </w:rPr>
        <w:t>5,76</w:t>
      </w:r>
      <w:r w:rsidRPr="001A3850">
        <w:rPr>
          <w:rFonts w:eastAsia="Batang"/>
          <w:lang w:val="ru-RU" w:bidi="ru-RU"/>
        </w:rPr>
        <w:t>−125</w:t>
      </w:r>
      <w:r w:rsidRPr="001A3850">
        <w:rPr>
          <w:rFonts w:eastAsia="SimSun"/>
          <w:lang w:val="ru-RU" w:eastAsia="zh-CN" w:bidi="ru-RU"/>
        </w:rPr>
        <w:t>6,52</w:t>
      </w:r>
      <w:proofErr w:type="gramEnd"/>
      <w:r w:rsidRPr="001A3850">
        <w:rPr>
          <w:rFonts w:eastAsia="Batang"/>
          <w:lang w:val="ru-RU" w:bidi="ru-RU"/>
        </w:rPr>
        <w:t xml:space="preserve"> МГц: </w:t>
      </w:r>
      <w:r w:rsidRPr="001A3850">
        <w:rPr>
          <w:rFonts w:eastAsia="SimSun"/>
          <w:lang w:val="ru-RU" w:eastAsia="zh-CN" w:bidi="ru-RU"/>
        </w:rPr>
        <w:t>максимальное значение э.и.и.м.</w:t>
      </w:r>
      <w:r w:rsidRPr="001A3850">
        <w:rPr>
          <w:rStyle w:val="FootnoteReference"/>
          <w:rFonts w:eastAsia="SimSun"/>
          <w:lang w:val="ru-RU"/>
        </w:rPr>
        <w:t>2</w:t>
      </w:r>
      <w:r w:rsidRPr="001A3850">
        <w:rPr>
          <w:rFonts w:eastAsia="SimSun"/>
          <w:lang w:val="ru-RU" w:eastAsia="zh-CN" w:bidi="ru-RU"/>
        </w:rPr>
        <w:t xml:space="preserve"> = 24 дБВт,</w:t>
      </w:r>
    </w:p>
    <w:p w14:paraId="0C327F37" w14:textId="77777777" w:rsidR="00E31735" w:rsidRPr="001A3850" w:rsidRDefault="00E31735" w:rsidP="00E31735">
      <w:pPr>
        <w:pStyle w:val="enumlev3"/>
        <w:rPr>
          <w:rFonts w:eastAsia="Batang"/>
          <w:lang w:val="ru-RU" w:eastAsia="ko-KR"/>
        </w:rPr>
      </w:pPr>
      <w:bookmarkStart w:id="3" w:name="_Hlk151026224"/>
      <w:r w:rsidRPr="001A3850">
        <w:rPr>
          <w:rFonts w:eastAsia="SimSun"/>
          <w:lang w:val="ru-RU" w:eastAsia="zh-CN" w:bidi="ru-RU"/>
        </w:rPr>
        <w:t>•</w:t>
      </w:r>
      <w:r w:rsidRPr="001A3850">
        <w:rPr>
          <w:rFonts w:eastAsia="SimSun"/>
          <w:lang w:val="ru-RU" w:eastAsia="zh-CN" w:bidi="ru-RU"/>
        </w:rPr>
        <w:tab/>
      </w:r>
      <w:r w:rsidRPr="001A3850">
        <w:rPr>
          <w:lang w:val="ru-RU"/>
        </w:rPr>
        <w:t xml:space="preserve">внеполосные излучения на частотах ниже </w:t>
      </w:r>
      <w:r w:rsidRPr="001A3850">
        <w:rPr>
          <w:rFonts w:eastAsia="SimSun"/>
          <w:lang w:val="ru-RU" w:eastAsia="zh-CN" w:bidi="ru-RU"/>
        </w:rPr>
        <w:t>1255,76 МГц должны соответствовать уровням, определенным в пункте 1a), выше.</w:t>
      </w:r>
      <w:bookmarkEnd w:id="3"/>
    </w:p>
    <w:p w14:paraId="08471D00" w14:textId="77777777" w:rsidR="00E31735" w:rsidRPr="001A3850" w:rsidRDefault="00E31735" w:rsidP="00E31735">
      <w:pPr>
        <w:pStyle w:val="enumlev2"/>
        <w:rPr>
          <w:rFonts w:eastAsia="MS Mincho"/>
          <w:lang w:val="ru-RU"/>
        </w:rPr>
      </w:pPr>
      <w:r w:rsidRPr="001A3850">
        <w:rPr>
          <w:lang w:val="ru-RU"/>
        </w:rPr>
        <w:t>c)</w:t>
      </w:r>
      <w:r w:rsidRPr="001A3850">
        <w:rPr>
          <w:lang w:val="ru-RU"/>
        </w:rPr>
        <w:tab/>
      </w:r>
      <w:proofErr w:type="gramStart"/>
      <w:r w:rsidRPr="001A3850">
        <w:rPr>
          <w:rFonts w:eastAsia="Batang"/>
          <w:lang w:val="ru-RU" w:bidi="ru-RU"/>
        </w:rPr>
        <w:t>125</w:t>
      </w:r>
      <w:r w:rsidRPr="001A3850">
        <w:rPr>
          <w:rFonts w:eastAsia="SimSun"/>
          <w:lang w:val="ru-RU" w:eastAsia="zh-CN" w:bidi="ru-RU"/>
        </w:rPr>
        <w:t>6,52</w:t>
      </w:r>
      <w:r w:rsidRPr="001A3850">
        <w:rPr>
          <w:rFonts w:eastAsia="Batang"/>
          <w:lang w:val="ru-RU" w:bidi="ru-RU"/>
        </w:rPr>
        <w:t>−1258</w:t>
      </w:r>
      <w:proofErr w:type="gramEnd"/>
      <w:r w:rsidRPr="001A3850">
        <w:rPr>
          <w:rFonts w:eastAsia="Batang"/>
          <w:lang w:val="ru-RU" w:bidi="ru-RU"/>
        </w:rPr>
        <w:t> </w:t>
      </w:r>
      <w:r w:rsidRPr="001A3850">
        <w:rPr>
          <w:lang w:val="ru-RU"/>
        </w:rPr>
        <w:t xml:space="preserve">МГц: </w:t>
      </w:r>
      <w:r w:rsidRPr="001A3850">
        <w:rPr>
          <w:rFonts w:eastAsia="Batang"/>
          <w:lang w:val="ru-RU" w:bidi="ru-RU"/>
        </w:rPr>
        <w:t>максимальное значение э.и.и.м.</w:t>
      </w:r>
      <w:r w:rsidRPr="001A3850">
        <w:rPr>
          <w:rStyle w:val="FootnoteReference"/>
          <w:rFonts w:eastAsia="SimSun"/>
          <w:lang w:val="ru-RU"/>
        </w:rPr>
        <w:t>2</w:t>
      </w:r>
      <w:r w:rsidRPr="001A3850">
        <w:rPr>
          <w:rFonts w:eastAsia="MS Mincho"/>
          <w:lang w:val="ru-RU"/>
        </w:rPr>
        <w:t xml:space="preserve"> </w:t>
      </w:r>
      <w:r w:rsidRPr="001A3850">
        <w:rPr>
          <w:rFonts w:eastAsia="SimSun"/>
          <w:lang w:val="ru-RU" w:eastAsia="zh-CN" w:bidi="ru-RU"/>
        </w:rPr>
        <w:t>= 21 дБВт;</w:t>
      </w:r>
    </w:p>
    <w:p w14:paraId="2B304F6F" w14:textId="77777777" w:rsidR="00E31735" w:rsidRPr="001A3850" w:rsidRDefault="00E31735" w:rsidP="00E31735">
      <w:pPr>
        <w:pStyle w:val="enumlev2"/>
        <w:rPr>
          <w:lang w:val="ru-RU"/>
        </w:rPr>
      </w:pPr>
      <w:r w:rsidRPr="001A3850">
        <w:rPr>
          <w:lang w:val="ru-RU"/>
        </w:rPr>
        <w:t>d)</w:t>
      </w:r>
      <w:r w:rsidRPr="001A3850">
        <w:rPr>
          <w:lang w:val="ru-RU"/>
        </w:rPr>
        <w:tab/>
      </w:r>
      <w:proofErr w:type="gramStart"/>
      <w:r w:rsidRPr="001A3850">
        <w:rPr>
          <w:rFonts w:eastAsia="Batang"/>
          <w:lang w:val="ru-RU" w:bidi="ru-RU"/>
        </w:rPr>
        <w:t>1258−1296</w:t>
      </w:r>
      <w:proofErr w:type="gramEnd"/>
      <w:r w:rsidRPr="001A3850">
        <w:rPr>
          <w:rFonts w:eastAsia="Batang"/>
          <w:lang w:val="ru-RU" w:bidi="ru-RU"/>
        </w:rPr>
        <w:t> </w:t>
      </w:r>
      <w:r w:rsidRPr="001A3850">
        <w:rPr>
          <w:lang w:val="ru-RU"/>
        </w:rPr>
        <w:t xml:space="preserve">МГц: </w:t>
      </w:r>
      <w:r w:rsidRPr="001A3850">
        <w:rPr>
          <w:rFonts w:eastAsia="Batang"/>
          <w:lang w:val="ru-RU" w:bidi="ru-RU"/>
        </w:rPr>
        <w:t>максимальное значение э.и.и.м.</w:t>
      </w:r>
      <w:r w:rsidRPr="001A3850">
        <w:rPr>
          <w:rStyle w:val="FootnoteReference"/>
          <w:rFonts w:eastAsia="SimSun"/>
          <w:lang w:val="ru-RU"/>
        </w:rPr>
        <w:t>2</w:t>
      </w:r>
      <w:r w:rsidRPr="001A3850">
        <w:rPr>
          <w:lang w:val="ru-RU"/>
        </w:rPr>
        <w:t xml:space="preserve"> = −17 дБВт;</w:t>
      </w:r>
    </w:p>
    <w:p w14:paraId="77642545" w14:textId="77777777" w:rsidR="00E31735" w:rsidRPr="001A3850" w:rsidRDefault="00E31735" w:rsidP="001D2D41">
      <w:pPr>
        <w:pStyle w:val="enumlev2"/>
        <w:rPr>
          <w:rFonts w:eastAsia="Batang"/>
          <w:lang w:val="ru-RU" w:bidi="ru-RU"/>
        </w:rPr>
      </w:pPr>
      <w:r w:rsidRPr="001A3850">
        <w:rPr>
          <w:rFonts w:eastAsia="Batang"/>
          <w:lang w:val="ru-RU" w:bidi="ru-RU"/>
        </w:rPr>
        <w:lastRenderedPageBreak/>
        <w:t>e)</w:t>
      </w:r>
      <w:r w:rsidRPr="001A3850">
        <w:rPr>
          <w:rFonts w:eastAsia="Batang"/>
          <w:lang w:val="ru-RU" w:bidi="ru-RU"/>
        </w:rPr>
        <w:tab/>
      </w:r>
      <w:proofErr w:type="gramStart"/>
      <w:r w:rsidRPr="001A3850">
        <w:rPr>
          <w:rFonts w:eastAsia="Batang"/>
          <w:lang w:val="ru-RU" w:bidi="ru-RU"/>
        </w:rPr>
        <w:t>1296−1298</w:t>
      </w:r>
      <w:proofErr w:type="gramEnd"/>
      <w:r w:rsidRPr="001A3850">
        <w:rPr>
          <w:rFonts w:eastAsia="Batang"/>
          <w:lang w:val="ru-RU" w:bidi="ru-RU"/>
        </w:rPr>
        <w:t> МГц: максимальная</w:t>
      </w:r>
      <w:r w:rsidRPr="001A3850">
        <w:rPr>
          <w:lang w:val="ru-RU"/>
        </w:rPr>
        <w:t xml:space="preserve"> мощность передатчика</w:t>
      </w:r>
      <w:r w:rsidRPr="001A3850">
        <w:rPr>
          <w:rStyle w:val="FootnoteReference"/>
          <w:lang w:val="ru-RU"/>
        </w:rPr>
        <w:footnoteReference w:customMarkFollows="1" w:id="3"/>
        <w:t>3</w:t>
      </w:r>
      <w:r w:rsidRPr="001A3850">
        <w:rPr>
          <w:rFonts w:eastAsia="Batang"/>
          <w:lang w:val="ru-RU" w:bidi="ru-RU"/>
        </w:rPr>
        <w:t xml:space="preserve"> = 17 дБВт;</w:t>
      </w:r>
    </w:p>
    <w:p w14:paraId="57F6C100" w14:textId="77777777" w:rsidR="00E31735" w:rsidRPr="001A3850" w:rsidRDefault="00E31735" w:rsidP="001D2D41">
      <w:pPr>
        <w:pStyle w:val="enumlev2"/>
        <w:rPr>
          <w:lang w:val="ru-RU"/>
        </w:rPr>
      </w:pPr>
      <w:r w:rsidRPr="001A3850">
        <w:rPr>
          <w:rFonts w:eastAsia="Batang"/>
          <w:lang w:val="ru-RU" w:bidi="ru-RU"/>
        </w:rPr>
        <w:t>f)</w:t>
      </w:r>
      <w:r w:rsidRPr="001A3850">
        <w:rPr>
          <w:rFonts w:eastAsia="Batang"/>
          <w:lang w:val="ru-RU" w:bidi="ru-RU"/>
        </w:rPr>
        <w:tab/>
      </w:r>
      <w:proofErr w:type="gramStart"/>
      <w:r w:rsidRPr="001A3850">
        <w:rPr>
          <w:rFonts w:eastAsia="Batang"/>
          <w:lang w:val="ru-RU" w:bidi="ru-RU"/>
        </w:rPr>
        <w:t>1298−1300</w:t>
      </w:r>
      <w:proofErr w:type="gramEnd"/>
      <w:r w:rsidRPr="001A3850">
        <w:rPr>
          <w:rFonts w:eastAsia="Batang"/>
          <w:lang w:val="ru-RU" w:bidi="ru-RU"/>
        </w:rPr>
        <w:t> МГц: максимальная</w:t>
      </w:r>
      <w:r w:rsidRPr="001A3850">
        <w:rPr>
          <w:lang w:val="ru-RU"/>
        </w:rPr>
        <w:t xml:space="preserve"> мощность передатчика</w:t>
      </w:r>
      <w:r w:rsidRPr="001A3850">
        <w:rPr>
          <w:rStyle w:val="FootnoteReference"/>
          <w:rFonts w:eastAsia="Batang"/>
          <w:lang w:val="ru-RU"/>
        </w:rPr>
        <w:t>3</w:t>
      </w:r>
      <w:r w:rsidRPr="001A3850">
        <w:rPr>
          <w:rFonts w:eastAsia="Batang"/>
          <w:lang w:val="ru-RU" w:bidi="ru-RU"/>
        </w:rPr>
        <w:t xml:space="preserve"> = 22 дБВт;</w:t>
      </w:r>
    </w:p>
    <w:p w14:paraId="3056FD6F" w14:textId="77777777" w:rsidR="00E31735" w:rsidRPr="001A3850" w:rsidRDefault="00E31735" w:rsidP="00E31735">
      <w:pPr>
        <w:pStyle w:val="enumlev3"/>
        <w:rPr>
          <w:lang w:val="ru-RU"/>
        </w:rPr>
      </w:pPr>
      <w:r w:rsidRPr="001A3850">
        <w:rPr>
          <w:lang w:val="ru-RU"/>
        </w:rPr>
        <w:t>•</w:t>
      </w:r>
      <w:r w:rsidRPr="001A3850">
        <w:rPr>
          <w:lang w:val="ru-RU"/>
        </w:rPr>
        <w:tab/>
      </w:r>
      <w:bookmarkStart w:id="4" w:name="_Hlk150103806"/>
      <w:r w:rsidRPr="001A3850">
        <w:rPr>
          <w:lang w:val="ru-RU"/>
        </w:rPr>
        <w:t>для узкополосных применений любительской службы, использующих отражение радиоволн от Луны и симметричную высокоэффективную антенну (например, с усилением в опорном направлении не менее 30 дБи), угол наведения которой составляет не менее 15 градусов над горизонтом</w:t>
      </w:r>
      <w:bookmarkEnd w:id="4"/>
      <w:r w:rsidRPr="001A3850">
        <w:rPr>
          <w:lang w:val="ru-RU"/>
        </w:rPr>
        <w:t>:</w:t>
      </w:r>
    </w:p>
    <w:p w14:paraId="14455C66" w14:textId="77777777" w:rsidR="00E31735" w:rsidRPr="001A3850" w:rsidRDefault="00E31735" w:rsidP="00E31735">
      <w:pPr>
        <w:pStyle w:val="enumlev3"/>
        <w:tabs>
          <w:tab w:val="left" w:pos="2835"/>
        </w:tabs>
        <w:rPr>
          <w:lang w:val="ru-RU"/>
        </w:rPr>
      </w:pPr>
      <w:r w:rsidRPr="001A3850">
        <w:rPr>
          <w:lang w:val="ru-RU"/>
        </w:rPr>
        <w:tab/>
      </w:r>
      <w:r w:rsidRPr="001A3850">
        <w:rPr>
          <w:lang w:val="ru-RU"/>
        </w:rPr>
        <w:tab/>
        <w:t>a)</w:t>
      </w:r>
      <w:r w:rsidRPr="001A3850">
        <w:rPr>
          <w:lang w:val="ru-RU"/>
        </w:rPr>
        <w:tab/>
      </w:r>
      <w:proofErr w:type="gramStart"/>
      <w:r w:rsidRPr="001A3850">
        <w:rPr>
          <w:lang w:val="ru-RU"/>
        </w:rPr>
        <w:t>1298</w:t>
      </w:r>
      <w:r w:rsidRPr="001A3850">
        <w:rPr>
          <w:bCs/>
          <w:lang w:val="ru-RU"/>
        </w:rPr>
        <w:t>−</w:t>
      </w:r>
      <w:r w:rsidRPr="001A3850">
        <w:rPr>
          <w:lang w:val="ru-RU"/>
        </w:rPr>
        <w:t>1300</w:t>
      </w:r>
      <w:proofErr w:type="gramEnd"/>
      <w:r w:rsidRPr="001A3850">
        <w:rPr>
          <w:lang w:val="ru-RU"/>
        </w:rPr>
        <w:t xml:space="preserve"> МГц: максимальная мощность передатчика</w:t>
      </w:r>
      <w:r w:rsidRPr="001A3850">
        <w:rPr>
          <w:rStyle w:val="FootnoteReference"/>
          <w:lang w:val="ru-RU"/>
        </w:rPr>
        <w:t>3</w:t>
      </w:r>
      <w:r w:rsidRPr="001A3850">
        <w:rPr>
          <w:lang w:val="ru-RU"/>
        </w:rPr>
        <w:t xml:space="preserve"> = 27 дБВт;</w:t>
      </w:r>
    </w:p>
    <w:p w14:paraId="43F67D10" w14:textId="77777777" w:rsidR="00E31735" w:rsidRPr="001A3850" w:rsidRDefault="00E31735" w:rsidP="00E31735">
      <w:pPr>
        <w:pStyle w:val="enumlev1"/>
        <w:rPr>
          <w:lang w:val="ru-RU"/>
        </w:rPr>
      </w:pPr>
      <w:r w:rsidRPr="001A3850">
        <w:rPr>
          <w:lang w:val="ru-RU"/>
        </w:rPr>
        <w:t>2)</w:t>
      </w:r>
      <w:r w:rsidRPr="001A3850">
        <w:rPr>
          <w:lang w:val="ru-RU"/>
        </w:rPr>
        <w:tab/>
        <w:t>Для узкополосных применений (ширина полосы ≤ 150 кГц), работающих в любительской спутниковой службе (Земля-космос):</w:t>
      </w:r>
    </w:p>
    <w:p w14:paraId="622897A4" w14:textId="77777777" w:rsidR="00E31735" w:rsidRPr="001A3850" w:rsidRDefault="00E31735" w:rsidP="00E31735">
      <w:pPr>
        <w:pStyle w:val="enumlev2"/>
        <w:rPr>
          <w:lang w:val="ru-RU"/>
        </w:rPr>
      </w:pPr>
      <w:r w:rsidRPr="001A3850">
        <w:rPr>
          <w:lang w:val="ru-RU"/>
        </w:rPr>
        <w:t>a)</w:t>
      </w:r>
      <w:r w:rsidRPr="001A3850">
        <w:rPr>
          <w:lang w:val="ru-RU"/>
        </w:rPr>
        <w:tab/>
      </w:r>
      <w:proofErr w:type="gramStart"/>
      <w:r w:rsidRPr="001A3850">
        <w:rPr>
          <w:lang w:val="ru-RU"/>
        </w:rPr>
        <w:t>1260</w:t>
      </w:r>
      <w:r w:rsidRPr="001A3850">
        <w:rPr>
          <w:bCs/>
          <w:lang w:val="ru-RU"/>
        </w:rPr>
        <w:t>−</w:t>
      </w:r>
      <w:r w:rsidRPr="001A3850">
        <w:rPr>
          <w:lang w:val="ru-RU"/>
        </w:rPr>
        <w:t>1262</w:t>
      </w:r>
      <w:proofErr w:type="gramEnd"/>
      <w:r w:rsidRPr="001A3850">
        <w:rPr>
          <w:lang w:val="ru-RU"/>
        </w:rPr>
        <w:t xml:space="preserve"> МГц: </w:t>
      </w:r>
    </w:p>
    <w:p w14:paraId="4A4E5DB2" w14:textId="10CC065E" w:rsidR="00E31735" w:rsidRPr="001A3850" w:rsidRDefault="00E31735" w:rsidP="00E31735">
      <w:pPr>
        <w:pStyle w:val="enumlev2"/>
        <w:rPr>
          <w:lang w:val="ru-RU"/>
        </w:rPr>
      </w:pPr>
      <w:r w:rsidRPr="001A3850">
        <w:rPr>
          <w:rFonts w:eastAsia="Batang"/>
          <w:lang w:val="ru-RU" w:bidi="ru-RU"/>
        </w:rPr>
        <w:tab/>
        <w:t>максимальное значение э.и.и.м.</w:t>
      </w:r>
      <w:r w:rsidR="0028081E" w:rsidRPr="001A3850">
        <w:rPr>
          <w:rStyle w:val="FootnoteReference"/>
          <w:rFonts w:eastAsia="SimSun"/>
          <w:lang w:val="ru-RU"/>
        </w:rPr>
        <w:t>2</w:t>
      </w:r>
      <w:r w:rsidRPr="001A3850">
        <w:rPr>
          <w:lang w:val="ru-RU"/>
        </w:rPr>
        <w:t>:</w:t>
      </w:r>
    </w:p>
    <w:p w14:paraId="3B6D5DD1" w14:textId="77777777" w:rsidR="00E31735" w:rsidRPr="001A3850" w:rsidRDefault="00E31735" w:rsidP="004A73F4">
      <w:pPr>
        <w:pStyle w:val="Equation"/>
        <w:tabs>
          <w:tab w:val="clear" w:pos="794"/>
          <w:tab w:val="clear" w:pos="4820"/>
          <w:tab w:val="left" w:pos="1204"/>
          <w:tab w:val="left" w:pos="2835"/>
          <w:tab w:val="left" w:pos="3402"/>
          <w:tab w:val="center" w:pos="5954"/>
          <w:tab w:val="right" w:pos="6804"/>
          <w:tab w:val="right" w:pos="7230"/>
          <w:tab w:val="center" w:pos="7655"/>
        </w:tabs>
        <w:spacing w:before="80"/>
        <w:rPr>
          <w:rFonts w:eastAsia="SimSun"/>
          <w:lang w:val="ru-RU" w:eastAsia="zh-CN" w:bidi="ru-RU"/>
        </w:rPr>
      </w:pPr>
      <w:r w:rsidRPr="001A3850">
        <w:rPr>
          <w:rFonts w:eastAsia="Batang"/>
          <w:lang w:val="ru-RU" w:eastAsia="zh-CN" w:bidi="ru-RU"/>
        </w:rPr>
        <w:tab/>
        <w:t>–3 дБВт</w:t>
      </w:r>
      <w:r w:rsidRPr="001A3850">
        <w:rPr>
          <w:rFonts w:eastAsia="SimSun"/>
          <w:lang w:val="ru-RU" w:eastAsia="zh-CN" w:bidi="ru-RU"/>
        </w:rPr>
        <w:tab/>
      </w:r>
      <w:r w:rsidRPr="001A3850">
        <w:rPr>
          <w:rFonts w:eastAsia="SimSun"/>
          <w:lang w:val="ru-RU" w:eastAsia="zh-CN" w:bidi="ru-RU"/>
        </w:rPr>
        <w:tab/>
      </w:r>
      <w:r w:rsidRPr="001A3850">
        <w:rPr>
          <w:rFonts w:eastAsia="SimSun"/>
          <w:lang w:val="ru-RU" w:eastAsia="zh-CN" w:bidi="ru-RU"/>
        </w:rPr>
        <w:tab/>
        <w:t>при</w:t>
      </w:r>
      <w:r w:rsidRPr="001A3850">
        <w:rPr>
          <w:rFonts w:eastAsia="SimSun"/>
          <w:lang w:val="ru-RU" w:eastAsia="zh-CN" w:bidi="ru-RU"/>
        </w:rPr>
        <w:tab/>
      </w:r>
      <w:r w:rsidRPr="001A3850">
        <w:rPr>
          <w:rFonts w:eastAsia="SimSun"/>
          <w:lang w:val="ru-RU" w:eastAsia="zh-CN" w:bidi="ru-RU"/>
        </w:rPr>
        <w:tab/>
        <w:t>0</w:t>
      </w:r>
      <w:r w:rsidRPr="001A3850">
        <w:rPr>
          <w:rFonts w:eastAsia="Batang"/>
          <w:lang w:val="ru-RU" w:bidi="ru-RU"/>
        </w:rPr>
        <w:t>°</w:t>
      </w:r>
      <w:r w:rsidRPr="001A3850">
        <w:rPr>
          <w:lang w:val="ru-RU" w:bidi="ru-RU"/>
        </w:rPr>
        <w:sym w:font="Symbol" w:char="F0A3"/>
      </w:r>
      <w:r w:rsidRPr="001A3850">
        <w:rPr>
          <w:lang w:val="ru-RU" w:bidi="ru-RU"/>
        </w:rPr>
        <w:tab/>
      </w:r>
      <w:r w:rsidRPr="001A3850">
        <w:rPr>
          <w:lang w:val="ru-RU" w:bidi="ru-RU"/>
        </w:rPr>
        <w:sym w:font="Symbol" w:char="F071"/>
      </w:r>
      <w:r w:rsidRPr="001A3850">
        <w:rPr>
          <w:lang w:val="ru-RU" w:bidi="ru-RU"/>
        </w:rPr>
        <w:t> </w:t>
      </w:r>
      <w:proofErr w:type="gramStart"/>
      <w:r w:rsidRPr="001A3850">
        <w:rPr>
          <w:rFonts w:eastAsia="Batang"/>
          <w:lang w:val="ru-RU" w:bidi="ru-RU"/>
        </w:rPr>
        <w:t xml:space="preserve">&lt; </w:t>
      </w:r>
      <w:r w:rsidRPr="001A3850">
        <w:rPr>
          <w:rFonts w:eastAsia="SimSun"/>
          <w:lang w:val="ru-RU" w:eastAsia="zh-CN" w:bidi="ru-RU"/>
        </w:rPr>
        <w:t>15</w:t>
      </w:r>
      <w:proofErr w:type="gramEnd"/>
      <w:r w:rsidRPr="001A3850">
        <w:rPr>
          <w:rFonts w:eastAsia="Batang"/>
          <w:lang w:val="ru-RU" w:bidi="ru-RU"/>
        </w:rPr>
        <w:t>°</w:t>
      </w:r>
    </w:p>
    <w:p w14:paraId="6DB4E0D5" w14:textId="77777777" w:rsidR="00E31735" w:rsidRPr="001A3850" w:rsidRDefault="00E31735" w:rsidP="004A73F4">
      <w:pPr>
        <w:pStyle w:val="Equation"/>
        <w:tabs>
          <w:tab w:val="clear" w:pos="794"/>
          <w:tab w:val="clear" w:pos="4820"/>
          <w:tab w:val="left" w:pos="1204"/>
          <w:tab w:val="left" w:pos="2835"/>
          <w:tab w:val="left" w:pos="3402"/>
          <w:tab w:val="center" w:pos="5954"/>
          <w:tab w:val="right" w:pos="6804"/>
          <w:tab w:val="right" w:pos="7230"/>
        </w:tabs>
        <w:spacing w:before="80"/>
        <w:rPr>
          <w:rFonts w:eastAsia="Batang"/>
          <w:lang w:val="ru-RU" w:bidi="ru-RU"/>
        </w:rPr>
      </w:pPr>
      <w:r w:rsidRPr="001A3850">
        <w:rPr>
          <w:rFonts w:eastAsia="SimSun"/>
          <w:lang w:val="ru-RU" w:eastAsia="zh-CN"/>
        </w:rPr>
        <w:tab/>
        <w:t>17</w:t>
      </w:r>
      <w:r w:rsidRPr="001A3850">
        <w:rPr>
          <w:lang w:val="ru-RU"/>
        </w:rPr>
        <w:t xml:space="preserve"> </w:t>
      </w:r>
      <w:r w:rsidRPr="001A3850">
        <w:rPr>
          <w:rFonts w:eastAsia="Batang"/>
          <w:lang w:val="ru-RU" w:eastAsia="zh-CN" w:bidi="ru-RU"/>
        </w:rPr>
        <w:t>дБВт</w:t>
      </w:r>
      <w:r w:rsidRPr="001A3850">
        <w:rPr>
          <w:rFonts w:eastAsia="SimSun"/>
          <w:lang w:val="ru-RU" w:eastAsia="zh-CN"/>
        </w:rPr>
        <w:tab/>
      </w:r>
      <w:r w:rsidRPr="001A3850">
        <w:rPr>
          <w:rFonts w:eastAsia="SimSun"/>
          <w:lang w:val="ru-RU" w:eastAsia="zh-CN"/>
        </w:rPr>
        <w:tab/>
      </w:r>
      <w:r w:rsidRPr="001A3850">
        <w:rPr>
          <w:rFonts w:eastAsia="SimSun"/>
          <w:lang w:val="ru-RU" w:eastAsia="zh-CN"/>
        </w:rPr>
        <w:tab/>
        <w:t>при</w:t>
      </w:r>
      <w:r w:rsidRPr="001A3850">
        <w:rPr>
          <w:rFonts w:eastAsia="SimSun"/>
          <w:lang w:val="ru-RU" w:eastAsia="zh-CN"/>
        </w:rPr>
        <w:tab/>
      </w:r>
      <w:r w:rsidRPr="001A3850">
        <w:rPr>
          <w:rFonts w:eastAsia="SimSun"/>
          <w:lang w:val="ru-RU" w:eastAsia="zh-CN"/>
        </w:rPr>
        <w:tab/>
      </w:r>
      <w:r w:rsidRPr="001A3850">
        <w:rPr>
          <w:rFonts w:eastAsia="SimSun"/>
          <w:lang w:val="ru-RU" w:eastAsia="zh-CN" w:bidi="ru-RU"/>
        </w:rPr>
        <w:t>15</w:t>
      </w:r>
      <w:r w:rsidRPr="001A3850">
        <w:rPr>
          <w:rFonts w:eastAsia="Batang"/>
          <w:lang w:val="ru-RU" w:bidi="ru-RU"/>
        </w:rPr>
        <w:t>°</w:t>
      </w:r>
      <w:r w:rsidRPr="001A3850">
        <w:rPr>
          <w:lang w:val="ru-RU" w:bidi="ru-RU"/>
        </w:rPr>
        <w:sym w:font="Symbol" w:char="F0A3"/>
      </w:r>
      <w:r w:rsidRPr="001A3850">
        <w:rPr>
          <w:lang w:val="ru-RU" w:bidi="ru-RU"/>
        </w:rPr>
        <w:t xml:space="preserve"> </w:t>
      </w:r>
      <w:r w:rsidRPr="001A3850">
        <w:rPr>
          <w:lang w:val="ru-RU" w:bidi="ru-RU"/>
        </w:rPr>
        <w:sym w:font="Symbol" w:char="F071"/>
      </w:r>
      <w:r w:rsidRPr="001A3850">
        <w:rPr>
          <w:lang w:val="ru-RU" w:bidi="ru-RU"/>
        </w:rPr>
        <w:t> </w:t>
      </w:r>
      <w:proofErr w:type="gramStart"/>
      <w:r w:rsidRPr="001A3850">
        <w:rPr>
          <w:rFonts w:eastAsia="Batang"/>
          <w:lang w:val="ru-RU" w:bidi="ru-RU"/>
        </w:rPr>
        <w:t>&lt; 55</w:t>
      </w:r>
      <w:proofErr w:type="gramEnd"/>
      <w:r w:rsidRPr="001A3850">
        <w:rPr>
          <w:rFonts w:eastAsia="Batang"/>
          <w:lang w:val="ru-RU" w:bidi="ru-RU"/>
        </w:rPr>
        <w:t>°</w:t>
      </w:r>
    </w:p>
    <w:p w14:paraId="4F223746" w14:textId="77777777" w:rsidR="00E31735" w:rsidRPr="001A3850" w:rsidRDefault="00E31735" w:rsidP="004A73F4">
      <w:pPr>
        <w:pStyle w:val="Equation"/>
        <w:tabs>
          <w:tab w:val="clear" w:pos="794"/>
          <w:tab w:val="clear" w:pos="4820"/>
          <w:tab w:val="left" w:pos="1204"/>
          <w:tab w:val="left" w:pos="2835"/>
          <w:tab w:val="left" w:pos="3402"/>
          <w:tab w:val="center" w:pos="5954"/>
          <w:tab w:val="right" w:pos="6804"/>
          <w:tab w:val="right" w:pos="7230"/>
        </w:tabs>
        <w:spacing w:before="80"/>
        <w:rPr>
          <w:rFonts w:eastAsia="Batang"/>
          <w:lang w:val="ru-RU" w:bidi="ru-RU"/>
        </w:rPr>
      </w:pPr>
      <w:r w:rsidRPr="001A3850">
        <w:rPr>
          <w:rFonts w:eastAsia="Batang"/>
          <w:lang w:val="ru-RU" w:bidi="ru-RU"/>
        </w:rPr>
        <w:tab/>
        <w:t xml:space="preserve">26,8 </w:t>
      </w:r>
      <w:r w:rsidRPr="001A3850">
        <w:rPr>
          <w:rFonts w:eastAsia="Batang"/>
          <w:lang w:val="ru-RU" w:eastAsia="zh-CN" w:bidi="ru-RU"/>
        </w:rPr>
        <w:t>дБВт</w:t>
      </w:r>
      <w:r w:rsidRPr="001A3850">
        <w:rPr>
          <w:rFonts w:eastAsia="Batang"/>
          <w:lang w:val="ru-RU" w:eastAsia="zh-CN" w:bidi="ru-RU"/>
        </w:rPr>
        <w:tab/>
      </w:r>
      <w:r w:rsidRPr="001A3850">
        <w:rPr>
          <w:rFonts w:eastAsia="Batang"/>
          <w:lang w:val="ru-RU" w:eastAsia="zh-CN" w:bidi="ru-RU"/>
        </w:rPr>
        <w:tab/>
      </w:r>
      <w:r w:rsidRPr="001A3850">
        <w:rPr>
          <w:rFonts w:eastAsia="Batang"/>
          <w:lang w:val="ru-RU" w:eastAsia="zh-CN" w:bidi="ru-RU"/>
        </w:rPr>
        <w:tab/>
      </w:r>
      <w:r w:rsidRPr="001A3850">
        <w:rPr>
          <w:rFonts w:eastAsia="Batang"/>
          <w:lang w:val="ru-RU" w:bidi="ru-RU"/>
        </w:rPr>
        <w:t>при</w:t>
      </w:r>
      <w:r w:rsidRPr="001A3850">
        <w:rPr>
          <w:rFonts w:eastAsia="Batang"/>
          <w:lang w:val="ru-RU" w:bidi="ru-RU"/>
        </w:rPr>
        <w:tab/>
      </w:r>
      <w:r w:rsidRPr="001A3850">
        <w:rPr>
          <w:rFonts w:eastAsia="Batang"/>
          <w:lang w:val="ru-RU" w:bidi="ru-RU"/>
        </w:rPr>
        <w:tab/>
      </w:r>
      <w:r w:rsidRPr="001A3850">
        <w:rPr>
          <w:rFonts w:eastAsia="SimSun"/>
          <w:lang w:val="ru-RU" w:eastAsia="zh-CN" w:bidi="ru-RU"/>
        </w:rPr>
        <w:t>55</w:t>
      </w:r>
      <w:r w:rsidRPr="001A3850">
        <w:rPr>
          <w:rFonts w:eastAsia="Batang"/>
          <w:lang w:val="ru-RU" w:bidi="ru-RU"/>
        </w:rPr>
        <w:t>°</w:t>
      </w:r>
      <w:r w:rsidRPr="001A3850">
        <w:rPr>
          <w:lang w:val="ru-RU" w:bidi="ru-RU"/>
        </w:rPr>
        <w:sym w:font="Symbol" w:char="F0A3"/>
      </w:r>
      <w:r w:rsidRPr="001A3850">
        <w:rPr>
          <w:lang w:val="ru-RU" w:bidi="ru-RU"/>
        </w:rPr>
        <w:t xml:space="preserve"> </w:t>
      </w:r>
      <w:r w:rsidRPr="001A3850">
        <w:rPr>
          <w:lang w:val="ru-RU" w:bidi="ru-RU"/>
        </w:rPr>
        <w:sym w:font="Symbol" w:char="F071"/>
      </w:r>
      <w:r w:rsidRPr="001A3850">
        <w:rPr>
          <w:lang w:val="ru-RU" w:bidi="ru-RU"/>
        </w:rPr>
        <w:t> </w:t>
      </w:r>
      <w:proofErr w:type="gramStart"/>
      <w:r w:rsidRPr="001A3850">
        <w:rPr>
          <w:rFonts w:eastAsia="Batang"/>
          <w:lang w:val="ru-RU" w:bidi="ru-RU"/>
        </w:rPr>
        <w:t>&lt; 90</w:t>
      </w:r>
      <w:proofErr w:type="gramEnd"/>
      <w:r w:rsidRPr="001A3850">
        <w:rPr>
          <w:rFonts w:eastAsia="Batang"/>
          <w:lang w:val="ru-RU" w:bidi="ru-RU"/>
        </w:rPr>
        <w:t>°,</w:t>
      </w:r>
    </w:p>
    <w:p w14:paraId="6EAF67D8" w14:textId="37946F24" w:rsidR="00E31735" w:rsidRPr="001A3850" w:rsidRDefault="00E31735" w:rsidP="00E31735">
      <w:pPr>
        <w:pStyle w:val="enumlev2"/>
        <w:rPr>
          <w:lang w:val="ru-RU"/>
        </w:rPr>
      </w:pPr>
      <w:r w:rsidRPr="001A3850">
        <w:rPr>
          <w:rFonts w:eastAsia="Batang"/>
          <w:lang w:val="ru-RU" w:bidi="ru-RU"/>
        </w:rPr>
        <w:tab/>
        <w:t xml:space="preserve">где </w:t>
      </w:r>
      <w:r w:rsidRPr="001A3850">
        <w:rPr>
          <w:rFonts w:eastAsia="Batang"/>
          <w:lang w:val="ru-RU" w:bidi="ru-RU"/>
        </w:rPr>
        <w:sym w:font="Symbol" w:char="F071"/>
      </w:r>
      <w:r w:rsidRPr="001A3850">
        <w:rPr>
          <w:rFonts w:eastAsia="Batang"/>
          <w:lang w:val="ru-RU" w:bidi="ru-RU"/>
        </w:rPr>
        <w:t xml:space="preserve"> – угол места антенны станции любительской службы,</w:t>
      </w:r>
    </w:p>
    <w:p w14:paraId="76EB36B5" w14:textId="1AF2C927" w:rsidR="00E31735" w:rsidRPr="001A3850" w:rsidRDefault="00E31735" w:rsidP="00E31735">
      <w:pPr>
        <w:pStyle w:val="enumlev2"/>
        <w:rPr>
          <w:lang w:val="ru-RU"/>
        </w:rPr>
      </w:pPr>
      <w:r w:rsidRPr="001A3850">
        <w:rPr>
          <w:lang w:val="ru-RU"/>
        </w:rPr>
        <w:t>b)</w:t>
      </w:r>
      <w:r w:rsidRPr="001A3850">
        <w:rPr>
          <w:lang w:val="ru-RU"/>
        </w:rPr>
        <w:tab/>
      </w:r>
      <w:proofErr w:type="gramStart"/>
      <w:r w:rsidRPr="001A3850">
        <w:rPr>
          <w:lang w:val="ru-RU"/>
        </w:rPr>
        <w:t>1262</w:t>
      </w:r>
      <w:r w:rsidRPr="001A3850">
        <w:rPr>
          <w:bCs/>
          <w:lang w:val="ru-RU"/>
        </w:rPr>
        <w:t>−</w:t>
      </w:r>
      <w:r w:rsidRPr="001A3850">
        <w:rPr>
          <w:lang w:val="ru-RU"/>
        </w:rPr>
        <w:t>1270</w:t>
      </w:r>
      <w:proofErr w:type="gramEnd"/>
      <w:r w:rsidRPr="001A3850">
        <w:rPr>
          <w:lang w:val="ru-RU"/>
        </w:rPr>
        <w:t xml:space="preserve"> МГц: </w:t>
      </w:r>
      <w:r w:rsidRPr="001A3850">
        <w:rPr>
          <w:rFonts w:eastAsia="Batang"/>
          <w:lang w:val="ru-RU" w:bidi="ru-RU"/>
        </w:rPr>
        <w:t>максимальное значение э.и.и.м</w:t>
      </w:r>
      <w:r w:rsidRPr="001A3850">
        <w:rPr>
          <w:lang w:val="ru-RU"/>
        </w:rPr>
        <w:t>.</w:t>
      </w:r>
      <w:r w:rsidR="0028081E" w:rsidRPr="001A3850">
        <w:rPr>
          <w:rStyle w:val="FootnoteReference"/>
          <w:rFonts w:eastAsia="SimSun"/>
          <w:lang w:val="ru-RU"/>
        </w:rPr>
        <w:t>2</w:t>
      </w:r>
      <w:r w:rsidRPr="001A3850">
        <w:rPr>
          <w:lang w:val="ru-RU"/>
        </w:rPr>
        <w:t xml:space="preserve"> = </w:t>
      </w:r>
      <w:r w:rsidRPr="001A3850">
        <w:rPr>
          <w:bCs/>
          <w:lang w:val="ru-RU"/>
        </w:rPr>
        <w:t>−</w:t>
      </w:r>
      <w:r w:rsidRPr="001A3850">
        <w:rPr>
          <w:lang w:val="ru-RU"/>
        </w:rPr>
        <w:t>17 дБВт;</w:t>
      </w:r>
    </w:p>
    <w:p w14:paraId="389EB916" w14:textId="77777777" w:rsidR="00E31735" w:rsidRPr="001A3850" w:rsidRDefault="00E31735" w:rsidP="00E31735">
      <w:pPr>
        <w:pStyle w:val="enumlev1"/>
        <w:rPr>
          <w:lang w:val="ru-RU"/>
        </w:rPr>
      </w:pPr>
      <w:r w:rsidRPr="001A3850">
        <w:rPr>
          <w:lang w:val="ru-RU"/>
        </w:rPr>
        <w:t>3)</w:t>
      </w:r>
      <w:r w:rsidRPr="001A3850">
        <w:rPr>
          <w:lang w:val="ru-RU"/>
        </w:rPr>
        <w:tab/>
        <w:t xml:space="preserve">Для широкополосных применений (ширина </w:t>
      </w:r>
      <w:proofErr w:type="gramStart"/>
      <w:r w:rsidRPr="001A3850">
        <w:rPr>
          <w:lang w:val="ru-RU"/>
        </w:rPr>
        <w:t>полосы &gt;</w:t>
      </w:r>
      <w:proofErr w:type="gramEnd"/>
      <w:r w:rsidRPr="001A3850">
        <w:rPr>
          <w:lang w:val="ru-RU"/>
        </w:rPr>
        <w:t xml:space="preserve"> 150 кГц), включая любительское телевидение (ATV), работающих в любительской службе:</w:t>
      </w:r>
    </w:p>
    <w:p w14:paraId="3C2F5A3B" w14:textId="77777777" w:rsidR="00E31735" w:rsidRPr="001A3850" w:rsidRDefault="00E31735" w:rsidP="00E31735">
      <w:pPr>
        <w:pStyle w:val="enumlev2"/>
        <w:rPr>
          <w:rFonts w:eastAsia="Batang"/>
          <w:lang w:val="ru-RU" w:bidi="ru-RU"/>
        </w:rPr>
      </w:pPr>
      <w:r w:rsidRPr="001A3850">
        <w:rPr>
          <w:rFonts w:eastAsia="Batang"/>
          <w:lang w:val="ru-RU" w:bidi="ru-RU"/>
        </w:rPr>
        <w:t>a)</w:t>
      </w:r>
      <w:r w:rsidRPr="001A3850">
        <w:rPr>
          <w:rFonts w:eastAsia="Batang"/>
          <w:lang w:val="ru-RU" w:bidi="ru-RU"/>
        </w:rPr>
        <w:tab/>
      </w:r>
      <w:proofErr w:type="gramStart"/>
      <w:r w:rsidRPr="001A3850">
        <w:rPr>
          <w:lang w:val="ru-RU"/>
        </w:rPr>
        <w:t>1240−125</w:t>
      </w:r>
      <w:r w:rsidRPr="001A3850">
        <w:rPr>
          <w:rFonts w:eastAsia="SimSun"/>
          <w:lang w:val="ru-RU" w:eastAsia="zh-CN" w:bidi="ru-RU"/>
        </w:rPr>
        <w:t>5,76</w:t>
      </w:r>
      <w:proofErr w:type="gramEnd"/>
      <w:r w:rsidRPr="001A3850">
        <w:rPr>
          <w:lang w:val="ru-RU"/>
        </w:rPr>
        <w:t> МГц</w:t>
      </w:r>
      <w:r w:rsidRPr="001A3850">
        <w:rPr>
          <w:rFonts w:eastAsia="Batang"/>
          <w:lang w:val="ru-RU" w:bidi="ru-RU"/>
        </w:rPr>
        <w:t xml:space="preserve">: </w:t>
      </w:r>
    </w:p>
    <w:p w14:paraId="7FA57015" w14:textId="6FFD759D" w:rsidR="00E31735" w:rsidRPr="001A3850" w:rsidRDefault="004A73F4" w:rsidP="00E31735">
      <w:pPr>
        <w:pStyle w:val="enumlev2"/>
        <w:rPr>
          <w:lang w:val="ru-RU"/>
        </w:rPr>
      </w:pPr>
      <w:r w:rsidRPr="001A3850">
        <w:rPr>
          <w:rFonts w:eastAsia="Batang"/>
          <w:lang w:val="ru-RU" w:bidi="ru-RU"/>
        </w:rPr>
        <w:tab/>
      </w:r>
      <w:r w:rsidR="00E31735" w:rsidRPr="001A3850">
        <w:rPr>
          <w:rFonts w:eastAsia="Batang"/>
          <w:lang w:val="ru-RU" w:bidi="ru-RU"/>
        </w:rPr>
        <w:t>максимальные значения э.и.и.м.</w:t>
      </w:r>
      <w:r w:rsidR="0028081E" w:rsidRPr="001A3850">
        <w:rPr>
          <w:rStyle w:val="FootnoteReference"/>
          <w:rFonts w:eastAsia="SimSun"/>
          <w:lang w:val="ru-RU"/>
        </w:rPr>
        <w:t>2</w:t>
      </w:r>
      <w:r w:rsidR="00E31735" w:rsidRPr="001A3850">
        <w:rPr>
          <w:lang w:val="ru-RU"/>
        </w:rPr>
        <w:t>:</w:t>
      </w:r>
    </w:p>
    <w:p w14:paraId="08C9CFFE" w14:textId="754418BA" w:rsidR="00E31735" w:rsidRPr="001A3850" w:rsidRDefault="00E31735" w:rsidP="004A73F4">
      <w:pPr>
        <w:pStyle w:val="Equation"/>
        <w:tabs>
          <w:tab w:val="clear" w:pos="794"/>
          <w:tab w:val="clear" w:pos="4820"/>
          <w:tab w:val="left" w:pos="1218"/>
          <w:tab w:val="center" w:pos="5954"/>
          <w:tab w:val="right" w:pos="6804"/>
          <w:tab w:val="right" w:pos="7230"/>
        </w:tabs>
        <w:spacing w:before="80"/>
        <w:rPr>
          <w:lang w:val="ru-RU"/>
        </w:rPr>
      </w:pPr>
      <w:r w:rsidRPr="001A3850">
        <w:rPr>
          <w:rFonts w:eastAsia="Batang"/>
          <w:lang w:val="ru-RU" w:bidi="ru-RU"/>
        </w:rPr>
        <w:tab/>
        <w:t>−39,0</w:t>
      </w:r>
      <w:r w:rsidR="00E95305" w:rsidRPr="001A3850">
        <w:rPr>
          <w:rFonts w:eastAsia="Batang"/>
          <w:lang w:val="ru-RU" w:bidi="ru-RU"/>
        </w:rPr>
        <w:t xml:space="preserve"> </w:t>
      </w:r>
      <w:r w:rsidRPr="001A3850">
        <w:rPr>
          <w:rFonts w:eastAsia="Batang"/>
          <w:lang w:val="ru-RU" w:bidi="ru-RU"/>
        </w:rPr>
        <w:t>дБВт в (150 кГц)</w:t>
      </w:r>
      <w:r w:rsidRPr="001A3850">
        <w:rPr>
          <w:rFonts w:eastAsia="Batang"/>
          <w:lang w:val="ru-RU" w:bidi="ru-RU"/>
        </w:rPr>
        <w:tab/>
        <w:t>при</w:t>
      </w:r>
      <w:r w:rsidRPr="001A3850">
        <w:rPr>
          <w:rFonts w:eastAsia="Batang"/>
          <w:lang w:val="ru-RU" w:bidi="ru-RU"/>
        </w:rPr>
        <w:tab/>
        <w:t>‒90</w:t>
      </w:r>
      <w:r w:rsidRPr="001A3850">
        <w:rPr>
          <w:rFonts w:eastAsia="Batang"/>
          <w:lang w:val="ru-RU" w:bidi="ru-RU"/>
        </w:rPr>
        <w:sym w:font="Symbol" w:char="F0B0"/>
      </w:r>
      <w:r w:rsidRPr="001A3850">
        <w:rPr>
          <w:rFonts w:eastAsia="Batang"/>
          <w:lang w:val="ru-RU" w:bidi="ru-RU"/>
        </w:rPr>
        <w:tab/>
      </w:r>
      <w:r w:rsidRPr="001A3850">
        <w:rPr>
          <w:rFonts w:eastAsia="Batang"/>
          <w:lang w:val="ru-RU" w:bidi="ru-RU"/>
        </w:rPr>
        <w:sym w:font="Symbol" w:char="F0A3"/>
      </w:r>
      <w:r w:rsidRPr="001A3850">
        <w:rPr>
          <w:rFonts w:eastAsia="Batang"/>
          <w:lang w:val="ru-RU" w:bidi="ru-RU"/>
        </w:rPr>
        <w:t xml:space="preserve"> </w:t>
      </w:r>
      <w:r w:rsidRPr="001A3850">
        <w:rPr>
          <w:rFonts w:eastAsia="Batang"/>
          <w:lang w:val="ru-RU" w:bidi="ru-RU"/>
        </w:rPr>
        <w:sym w:font="Symbol" w:char="F071"/>
      </w:r>
      <w:r w:rsidRPr="001A3850">
        <w:rPr>
          <w:rFonts w:eastAsia="Batang"/>
          <w:lang w:val="ru-RU" w:bidi="ru-RU"/>
        </w:rPr>
        <w:t xml:space="preserve"> </w:t>
      </w:r>
      <w:proofErr w:type="gramStart"/>
      <w:r w:rsidRPr="001A3850">
        <w:rPr>
          <w:rFonts w:eastAsia="Batang"/>
          <w:lang w:val="ru-RU" w:bidi="ru-RU"/>
        </w:rPr>
        <w:t>&lt;  </w:t>
      </w:r>
      <w:proofErr w:type="gramEnd"/>
      <w:r w:rsidRPr="001A3850">
        <w:rPr>
          <w:rFonts w:eastAsia="Batang"/>
          <w:lang w:val="ru-RU" w:bidi="ru-RU"/>
        </w:rPr>
        <w:t> 0°</w:t>
      </w:r>
    </w:p>
    <w:p w14:paraId="413CE837" w14:textId="41FE4F3B" w:rsidR="00E31735" w:rsidRPr="001A3850" w:rsidRDefault="00E31735" w:rsidP="004A73F4">
      <w:pPr>
        <w:pStyle w:val="Equation"/>
        <w:tabs>
          <w:tab w:val="clear" w:pos="794"/>
          <w:tab w:val="clear" w:pos="4820"/>
          <w:tab w:val="left" w:pos="1218"/>
          <w:tab w:val="center" w:pos="5954"/>
          <w:tab w:val="right" w:pos="6804"/>
          <w:tab w:val="right" w:pos="7230"/>
        </w:tabs>
        <w:spacing w:before="80"/>
        <w:rPr>
          <w:rFonts w:eastAsia="Batang"/>
          <w:lang w:val="ru-RU" w:eastAsia="ko-KR"/>
        </w:rPr>
      </w:pPr>
      <w:r w:rsidRPr="001A3850">
        <w:rPr>
          <w:rFonts w:eastAsia="Batang"/>
          <w:lang w:val="ru-RU" w:bidi="ru-RU"/>
        </w:rPr>
        <w:tab/>
        <w:t>−39,0</w:t>
      </w:r>
      <w:r w:rsidR="00E95305" w:rsidRPr="001A3850">
        <w:rPr>
          <w:rFonts w:eastAsia="Batang"/>
          <w:lang w:val="ru-RU" w:bidi="ru-RU"/>
        </w:rPr>
        <w:t xml:space="preserve"> </w:t>
      </w:r>
      <w:r w:rsidRPr="001A3850">
        <w:rPr>
          <w:rFonts w:eastAsia="Batang"/>
          <w:lang w:val="ru-RU" w:bidi="ru-RU"/>
        </w:rPr>
        <w:t>дБВт в (150 кГц)</w:t>
      </w:r>
      <w:r w:rsidRPr="001A3850">
        <w:rPr>
          <w:rFonts w:eastAsia="Batang"/>
          <w:lang w:val="ru-RU" w:bidi="ru-RU"/>
        </w:rPr>
        <w:tab/>
        <w:t>при</w:t>
      </w:r>
      <w:r w:rsidRPr="001A3850">
        <w:rPr>
          <w:rFonts w:eastAsia="Batang"/>
          <w:lang w:val="ru-RU" w:bidi="ru-RU"/>
        </w:rPr>
        <w:tab/>
        <w:t>0</w:t>
      </w:r>
      <w:r w:rsidRPr="001A3850">
        <w:rPr>
          <w:rFonts w:eastAsia="Batang"/>
          <w:lang w:val="ru-RU" w:bidi="ru-RU"/>
        </w:rPr>
        <w:sym w:font="Symbol" w:char="F0B0"/>
      </w:r>
      <w:r w:rsidRPr="001A3850">
        <w:rPr>
          <w:rFonts w:eastAsia="Batang"/>
          <w:lang w:val="ru-RU" w:bidi="ru-RU"/>
        </w:rPr>
        <w:tab/>
      </w:r>
      <w:r w:rsidRPr="001A3850">
        <w:rPr>
          <w:rFonts w:eastAsia="Batang"/>
          <w:lang w:val="ru-RU" w:bidi="ru-RU"/>
        </w:rPr>
        <w:sym w:font="Symbol" w:char="F0A3"/>
      </w:r>
      <w:r w:rsidRPr="001A3850">
        <w:rPr>
          <w:rFonts w:eastAsia="Batang"/>
          <w:lang w:val="ru-RU" w:bidi="ru-RU"/>
        </w:rPr>
        <w:t xml:space="preserve"> </w:t>
      </w:r>
      <w:r w:rsidRPr="001A3850">
        <w:rPr>
          <w:rFonts w:eastAsia="Batang"/>
          <w:lang w:val="ru-RU" w:bidi="ru-RU"/>
        </w:rPr>
        <w:sym w:font="Symbol" w:char="F071"/>
      </w:r>
      <w:r w:rsidRPr="001A3850">
        <w:rPr>
          <w:rFonts w:eastAsia="Batang"/>
          <w:lang w:val="ru-RU" w:bidi="ru-RU"/>
        </w:rPr>
        <w:t xml:space="preserve"> </w:t>
      </w:r>
      <w:proofErr w:type="gramStart"/>
      <w:r w:rsidRPr="001A3850">
        <w:rPr>
          <w:rFonts w:eastAsia="Batang"/>
          <w:lang w:val="ru-RU" w:bidi="ru-RU"/>
        </w:rPr>
        <w:t>&lt;  </w:t>
      </w:r>
      <w:proofErr w:type="gramEnd"/>
      <w:r w:rsidRPr="001A3850">
        <w:rPr>
          <w:rFonts w:eastAsia="Batang"/>
          <w:lang w:val="ru-RU" w:bidi="ru-RU"/>
        </w:rPr>
        <w:t> 5°</w:t>
      </w:r>
    </w:p>
    <w:p w14:paraId="58A54E83" w14:textId="13195505" w:rsidR="00E31735" w:rsidRPr="001A3850" w:rsidRDefault="00E31735" w:rsidP="004A73F4">
      <w:pPr>
        <w:pStyle w:val="Equation"/>
        <w:tabs>
          <w:tab w:val="clear" w:pos="794"/>
          <w:tab w:val="clear" w:pos="4820"/>
          <w:tab w:val="left" w:pos="1218"/>
          <w:tab w:val="center" w:pos="5954"/>
          <w:tab w:val="right" w:pos="6804"/>
          <w:tab w:val="right" w:pos="7230"/>
        </w:tabs>
        <w:spacing w:before="80"/>
        <w:rPr>
          <w:rFonts w:eastAsia="Batang"/>
          <w:lang w:val="ru-RU" w:eastAsia="ko-KR"/>
        </w:rPr>
      </w:pPr>
      <w:r w:rsidRPr="001A3850">
        <w:rPr>
          <w:rFonts w:eastAsia="Batang"/>
          <w:lang w:val="ru-RU" w:bidi="ru-RU"/>
        </w:rPr>
        <w:tab/>
        <w:t>−39,0 − 1,05 (</w:t>
      </w:r>
      <w:r w:rsidRPr="001A3850">
        <w:rPr>
          <w:rFonts w:eastAsia="Batang"/>
          <w:lang w:val="ru-RU" w:bidi="ru-RU"/>
        </w:rPr>
        <w:sym w:font="Symbol" w:char="F071"/>
      </w:r>
      <w:r w:rsidRPr="001A3850">
        <w:rPr>
          <w:rFonts w:eastAsia="Batang"/>
          <w:lang w:val="ru-RU" w:bidi="ru-RU"/>
        </w:rPr>
        <w:t> – 5)</w:t>
      </w:r>
      <w:r w:rsidR="00E95305" w:rsidRPr="001A3850">
        <w:rPr>
          <w:rFonts w:eastAsia="Batang"/>
          <w:lang w:val="ru-RU" w:bidi="ru-RU"/>
        </w:rPr>
        <w:t xml:space="preserve"> </w:t>
      </w:r>
      <w:r w:rsidRPr="001A3850">
        <w:rPr>
          <w:rFonts w:eastAsia="Batang"/>
          <w:lang w:val="ru-RU" w:bidi="ru-RU"/>
        </w:rPr>
        <w:t>дБВт в (150 кГц)</w:t>
      </w:r>
      <w:r w:rsidRPr="001A3850">
        <w:rPr>
          <w:rFonts w:eastAsia="Batang"/>
          <w:lang w:val="ru-RU" w:bidi="ru-RU"/>
        </w:rPr>
        <w:tab/>
        <w:t>при</w:t>
      </w:r>
      <w:r w:rsidRPr="001A3850">
        <w:rPr>
          <w:rFonts w:eastAsia="Batang"/>
          <w:lang w:val="ru-RU" w:bidi="ru-RU"/>
        </w:rPr>
        <w:tab/>
        <w:t>5</w:t>
      </w:r>
      <w:r w:rsidRPr="001A3850">
        <w:rPr>
          <w:rFonts w:eastAsia="Batang"/>
          <w:lang w:val="ru-RU" w:bidi="ru-RU"/>
        </w:rPr>
        <w:sym w:font="Symbol" w:char="F0B0"/>
      </w:r>
      <w:r w:rsidRPr="001A3850">
        <w:rPr>
          <w:rFonts w:eastAsia="Batang"/>
          <w:lang w:val="ru-RU" w:bidi="ru-RU"/>
        </w:rPr>
        <w:tab/>
      </w:r>
      <w:r w:rsidRPr="001A3850">
        <w:rPr>
          <w:rFonts w:eastAsia="Batang"/>
          <w:lang w:val="ru-RU" w:bidi="ru-RU"/>
        </w:rPr>
        <w:sym w:font="Symbol" w:char="F0A3"/>
      </w:r>
      <w:r w:rsidRPr="001A3850">
        <w:rPr>
          <w:rFonts w:eastAsia="Batang"/>
          <w:lang w:val="ru-RU" w:bidi="ru-RU"/>
        </w:rPr>
        <w:t xml:space="preserve"> </w:t>
      </w:r>
      <w:r w:rsidRPr="001A3850">
        <w:rPr>
          <w:rFonts w:eastAsia="Batang"/>
          <w:lang w:val="ru-RU" w:bidi="ru-RU"/>
        </w:rPr>
        <w:sym w:font="Symbol" w:char="F071"/>
      </w:r>
      <w:r w:rsidRPr="001A3850">
        <w:rPr>
          <w:rFonts w:eastAsia="Batang"/>
          <w:lang w:val="ru-RU" w:bidi="ru-RU"/>
        </w:rPr>
        <w:t xml:space="preserve"> </w:t>
      </w:r>
      <w:proofErr w:type="gramStart"/>
      <w:r w:rsidRPr="001A3850">
        <w:rPr>
          <w:rFonts w:eastAsia="Batang"/>
          <w:lang w:val="ru-RU" w:bidi="ru-RU"/>
        </w:rPr>
        <w:t>&lt; 25</w:t>
      </w:r>
      <w:proofErr w:type="gramEnd"/>
      <w:r w:rsidRPr="001A3850">
        <w:rPr>
          <w:rFonts w:eastAsia="Batang"/>
          <w:lang w:val="ru-RU" w:bidi="ru-RU"/>
        </w:rPr>
        <w:t>°</w:t>
      </w:r>
    </w:p>
    <w:p w14:paraId="58C1CAD6" w14:textId="640D8EA2" w:rsidR="00E31735" w:rsidRPr="001A3850" w:rsidRDefault="00E31735" w:rsidP="004A73F4">
      <w:pPr>
        <w:pStyle w:val="Equation"/>
        <w:tabs>
          <w:tab w:val="clear" w:pos="794"/>
          <w:tab w:val="clear" w:pos="4820"/>
          <w:tab w:val="left" w:pos="1218"/>
          <w:tab w:val="center" w:pos="5954"/>
          <w:tab w:val="right" w:pos="6804"/>
          <w:tab w:val="right" w:pos="7230"/>
        </w:tabs>
        <w:spacing w:before="80"/>
        <w:rPr>
          <w:rFonts w:eastAsia="Batang"/>
          <w:lang w:val="ru-RU" w:bidi="ru-RU"/>
        </w:rPr>
      </w:pPr>
      <w:r w:rsidRPr="001A3850">
        <w:rPr>
          <w:rFonts w:eastAsia="Batang"/>
          <w:lang w:val="ru-RU" w:bidi="ru-RU"/>
        </w:rPr>
        <w:tab/>
        <w:t>–60</w:t>
      </w:r>
      <w:r w:rsidR="00E95305" w:rsidRPr="001A3850">
        <w:rPr>
          <w:rFonts w:eastAsia="Batang"/>
          <w:lang w:val="ru-RU" w:bidi="ru-RU"/>
        </w:rPr>
        <w:t xml:space="preserve"> </w:t>
      </w:r>
      <w:r w:rsidRPr="001A3850">
        <w:rPr>
          <w:rFonts w:eastAsia="Batang"/>
          <w:lang w:val="ru-RU" w:bidi="ru-RU"/>
        </w:rPr>
        <w:t>дБВт в (150 кГц)</w:t>
      </w:r>
      <w:r w:rsidRPr="001A3850">
        <w:rPr>
          <w:rFonts w:eastAsia="Batang"/>
          <w:lang w:val="ru-RU" w:bidi="ru-RU"/>
        </w:rPr>
        <w:tab/>
        <w:t>при</w:t>
      </w:r>
      <w:r w:rsidRPr="001A3850">
        <w:rPr>
          <w:rFonts w:eastAsia="Batang"/>
          <w:lang w:val="ru-RU" w:bidi="ru-RU"/>
        </w:rPr>
        <w:tab/>
        <w:t>25°</w:t>
      </w:r>
      <w:r w:rsidRPr="001A3850">
        <w:rPr>
          <w:rFonts w:eastAsia="Batang"/>
          <w:lang w:val="ru-RU" w:bidi="ru-RU"/>
        </w:rPr>
        <w:tab/>
      </w:r>
      <w:r w:rsidRPr="001A3850">
        <w:rPr>
          <w:rFonts w:eastAsia="Batang"/>
          <w:lang w:val="ru-RU" w:bidi="ru-RU"/>
        </w:rPr>
        <w:sym w:font="Symbol" w:char="F0A3"/>
      </w:r>
      <w:r w:rsidRPr="001A3850">
        <w:rPr>
          <w:rFonts w:eastAsia="Batang"/>
          <w:lang w:val="ru-RU" w:bidi="ru-RU"/>
        </w:rPr>
        <w:t xml:space="preserve"> </w:t>
      </w:r>
      <w:r w:rsidRPr="001A3850">
        <w:rPr>
          <w:rFonts w:eastAsia="Batang"/>
          <w:lang w:val="ru-RU" w:bidi="ru-RU"/>
        </w:rPr>
        <w:sym w:font="Symbol" w:char="F071"/>
      </w:r>
      <w:r w:rsidRPr="001A3850">
        <w:rPr>
          <w:rFonts w:eastAsia="Batang"/>
          <w:lang w:val="ru-RU" w:bidi="ru-RU"/>
        </w:rPr>
        <w:t xml:space="preserve"> </w:t>
      </w:r>
      <w:proofErr w:type="gramStart"/>
      <w:r w:rsidRPr="001A3850">
        <w:rPr>
          <w:rFonts w:eastAsia="Batang"/>
          <w:lang w:val="ru-RU" w:bidi="ru-RU"/>
        </w:rPr>
        <w:t>&lt; 90</w:t>
      </w:r>
      <w:proofErr w:type="gramEnd"/>
      <w:r w:rsidRPr="001A3850">
        <w:rPr>
          <w:rFonts w:eastAsia="Batang"/>
          <w:lang w:val="ru-RU" w:bidi="ru-RU"/>
        </w:rPr>
        <w:t>°,</w:t>
      </w:r>
    </w:p>
    <w:p w14:paraId="1D8F4604" w14:textId="77777777" w:rsidR="00E31735" w:rsidRPr="001A3850" w:rsidRDefault="00E31735" w:rsidP="00E31735">
      <w:pPr>
        <w:pStyle w:val="enumlev1"/>
        <w:rPr>
          <w:rFonts w:eastAsia="Batang"/>
          <w:lang w:val="ru-RU" w:eastAsia="ko-KR"/>
        </w:rPr>
      </w:pPr>
      <w:r w:rsidRPr="001A3850">
        <w:rPr>
          <w:rFonts w:eastAsia="Batang"/>
          <w:lang w:val="ru-RU" w:bidi="ru-RU"/>
        </w:rPr>
        <w:tab/>
      </w:r>
      <w:r w:rsidRPr="001A3850">
        <w:rPr>
          <w:rFonts w:eastAsia="SimSun"/>
          <w:lang w:val="ru-RU" w:eastAsia="zh-CN" w:bidi="ru-RU"/>
        </w:rPr>
        <w:t xml:space="preserve">где </w:t>
      </w:r>
      <w:r w:rsidRPr="001A3850">
        <w:rPr>
          <w:lang w:val="ru-RU" w:bidi="ru-RU"/>
        </w:rPr>
        <w:sym w:font="Symbol" w:char="F071"/>
      </w:r>
      <w:r w:rsidRPr="001A3850">
        <w:rPr>
          <w:rFonts w:eastAsia="Batang"/>
          <w:lang w:val="ru-RU" w:bidi="ru-RU"/>
        </w:rPr>
        <w:t xml:space="preserve"> – угол места антенны станции любительской службы;</w:t>
      </w:r>
    </w:p>
    <w:p w14:paraId="1C7DCBDD" w14:textId="6E56AE30" w:rsidR="00E31735" w:rsidRPr="001A3850" w:rsidRDefault="00E31735" w:rsidP="00E31735">
      <w:pPr>
        <w:pStyle w:val="enumlev2"/>
        <w:rPr>
          <w:lang w:val="ru-RU"/>
        </w:rPr>
      </w:pPr>
      <w:r w:rsidRPr="001A3850">
        <w:rPr>
          <w:lang w:val="ru-RU"/>
        </w:rPr>
        <w:t>b)</w:t>
      </w:r>
      <w:r w:rsidRPr="001A3850">
        <w:rPr>
          <w:lang w:val="ru-RU"/>
        </w:rPr>
        <w:tab/>
      </w:r>
      <w:proofErr w:type="gramStart"/>
      <w:r w:rsidRPr="001A3850">
        <w:rPr>
          <w:rFonts w:eastAsia="Batang"/>
          <w:lang w:val="ru-RU" w:bidi="ru-RU"/>
        </w:rPr>
        <w:t>125</w:t>
      </w:r>
      <w:r w:rsidRPr="001A3850">
        <w:rPr>
          <w:rFonts w:eastAsia="SimSun"/>
          <w:lang w:val="ru-RU" w:eastAsia="zh-CN" w:bidi="ru-RU"/>
        </w:rPr>
        <w:t>5,76</w:t>
      </w:r>
      <w:r w:rsidRPr="001A3850">
        <w:rPr>
          <w:rFonts w:eastAsia="Batang"/>
          <w:lang w:val="ru-RU" w:bidi="ru-RU"/>
        </w:rPr>
        <w:t>−125</w:t>
      </w:r>
      <w:r w:rsidRPr="001A3850">
        <w:rPr>
          <w:rFonts w:eastAsia="SimSun"/>
          <w:lang w:val="ru-RU" w:eastAsia="zh-CN" w:bidi="ru-RU"/>
        </w:rPr>
        <w:t>6,52</w:t>
      </w:r>
      <w:proofErr w:type="gramEnd"/>
      <w:r w:rsidRPr="001A3850">
        <w:rPr>
          <w:rFonts w:eastAsia="Batang"/>
          <w:lang w:val="ru-RU" w:bidi="ru-RU"/>
        </w:rPr>
        <w:t> </w:t>
      </w:r>
      <w:r w:rsidRPr="001A3850">
        <w:rPr>
          <w:lang w:val="ru-RU"/>
        </w:rPr>
        <w:t>МГц: максимальное значение</w:t>
      </w:r>
      <w:r w:rsidRPr="001A3850">
        <w:rPr>
          <w:rFonts w:eastAsia="SimSun"/>
          <w:lang w:val="ru-RU" w:eastAsia="zh-CN" w:bidi="ru-RU"/>
        </w:rPr>
        <w:t xml:space="preserve"> </w:t>
      </w:r>
      <w:r w:rsidRPr="001A3850">
        <w:rPr>
          <w:rFonts w:eastAsia="Batang"/>
          <w:lang w:val="ru-RU" w:bidi="ru-RU"/>
        </w:rPr>
        <w:t>э.и.и.м.</w:t>
      </w:r>
      <w:r w:rsidR="0028081E" w:rsidRPr="001A3850">
        <w:rPr>
          <w:rStyle w:val="FootnoteReference"/>
          <w:rFonts w:eastAsia="SimSun"/>
          <w:lang w:val="ru-RU"/>
        </w:rPr>
        <w:t>2</w:t>
      </w:r>
      <w:r w:rsidRPr="001A3850">
        <w:rPr>
          <w:rFonts w:eastAsia="SimSun"/>
          <w:lang w:val="ru-RU" w:eastAsia="zh-CN" w:bidi="ru-RU"/>
        </w:rPr>
        <w:t xml:space="preserve"> = 24 дБВт/150 кГц</w:t>
      </w:r>
      <w:r w:rsidRPr="001A3850">
        <w:rPr>
          <w:rFonts w:eastAsia="Batang"/>
          <w:lang w:val="ru-RU" w:bidi="ru-RU"/>
        </w:rPr>
        <w:t>;</w:t>
      </w:r>
    </w:p>
    <w:p w14:paraId="2102B0E8" w14:textId="53DD29EE" w:rsidR="00E31735" w:rsidRPr="001A3850" w:rsidRDefault="00E31735" w:rsidP="00E31735">
      <w:pPr>
        <w:pStyle w:val="enumlev3"/>
        <w:rPr>
          <w:rFonts w:eastAsia="Batang"/>
          <w:lang w:val="ru-RU" w:eastAsia="ko-KR"/>
        </w:rPr>
      </w:pPr>
      <w:r w:rsidRPr="001A3850">
        <w:rPr>
          <w:lang w:val="ru-RU"/>
        </w:rPr>
        <w:t>•</w:t>
      </w:r>
      <w:r w:rsidRPr="001A3850">
        <w:rPr>
          <w:lang w:val="ru-RU"/>
        </w:rPr>
        <w:tab/>
        <w:t xml:space="preserve">внеполосные излучения на частотах ниже </w:t>
      </w:r>
      <w:r w:rsidRPr="001A3850">
        <w:rPr>
          <w:rFonts w:eastAsia="SimSun"/>
          <w:lang w:val="ru-RU" w:eastAsia="zh-CN" w:bidi="ru-RU"/>
        </w:rPr>
        <w:t>1255,76 МГц должны соответствовать уровням, определенным в пункте 3a), выше;</w:t>
      </w:r>
    </w:p>
    <w:p w14:paraId="7F498307" w14:textId="31087975" w:rsidR="00E31735" w:rsidRPr="001A3850" w:rsidRDefault="00E31735" w:rsidP="00E31735">
      <w:pPr>
        <w:pStyle w:val="enumlev2"/>
        <w:rPr>
          <w:rFonts w:eastAsia="MS Mincho"/>
          <w:lang w:val="ru-RU"/>
        </w:rPr>
      </w:pPr>
      <w:r w:rsidRPr="001A3850">
        <w:rPr>
          <w:lang w:val="ru-RU"/>
        </w:rPr>
        <w:t>c)</w:t>
      </w:r>
      <w:r w:rsidRPr="001A3850">
        <w:rPr>
          <w:lang w:val="ru-RU"/>
        </w:rPr>
        <w:tab/>
      </w:r>
      <w:proofErr w:type="gramStart"/>
      <w:r w:rsidRPr="001A3850">
        <w:rPr>
          <w:rFonts w:eastAsia="Batang"/>
          <w:lang w:val="ru-RU" w:bidi="ru-RU"/>
        </w:rPr>
        <w:t>125</w:t>
      </w:r>
      <w:r w:rsidRPr="001A3850">
        <w:rPr>
          <w:rFonts w:eastAsia="SimSun"/>
          <w:lang w:val="ru-RU" w:eastAsia="zh-CN" w:bidi="ru-RU"/>
        </w:rPr>
        <w:t>6,52</w:t>
      </w:r>
      <w:r w:rsidRPr="001A3850">
        <w:rPr>
          <w:rFonts w:eastAsia="Batang"/>
          <w:lang w:val="ru-RU" w:bidi="ru-RU"/>
        </w:rPr>
        <w:t>−1258</w:t>
      </w:r>
      <w:proofErr w:type="gramEnd"/>
      <w:r w:rsidRPr="001A3850">
        <w:rPr>
          <w:rFonts w:eastAsia="Batang"/>
          <w:lang w:val="ru-RU" w:bidi="ru-RU"/>
        </w:rPr>
        <w:t xml:space="preserve"> </w:t>
      </w:r>
      <w:r w:rsidRPr="001A3850">
        <w:rPr>
          <w:lang w:val="ru-RU"/>
        </w:rPr>
        <w:t xml:space="preserve">МГц: </w:t>
      </w:r>
      <w:r w:rsidRPr="001A3850">
        <w:rPr>
          <w:rFonts w:eastAsia="Batang"/>
          <w:lang w:val="ru-RU" w:bidi="ru-RU"/>
        </w:rPr>
        <w:t>максимальное значение э.и.и.м.</w:t>
      </w:r>
      <w:r w:rsidR="0028081E" w:rsidRPr="001A3850">
        <w:rPr>
          <w:rStyle w:val="FootnoteReference"/>
          <w:rFonts w:eastAsia="SimSun"/>
          <w:lang w:val="ru-RU"/>
        </w:rPr>
        <w:t>2</w:t>
      </w:r>
      <w:r w:rsidRPr="001A3850">
        <w:rPr>
          <w:rFonts w:eastAsia="MS Mincho"/>
          <w:lang w:val="ru-RU"/>
        </w:rPr>
        <w:t xml:space="preserve"> </w:t>
      </w:r>
      <w:r w:rsidRPr="001A3850">
        <w:rPr>
          <w:rFonts w:eastAsia="SimSun"/>
          <w:lang w:val="ru-RU" w:eastAsia="zh-CN" w:bidi="ru-RU"/>
        </w:rPr>
        <w:t>= 21 дБВт/150 кГц;</w:t>
      </w:r>
    </w:p>
    <w:p w14:paraId="4234A013" w14:textId="77777777" w:rsidR="00E31735" w:rsidRPr="001A3850" w:rsidRDefault="00E31735" w:rsidP="00E31735">
      <w:pPr>
        <w:pStyle w:val="enumlev2"/>
        <w:rPr>
          <w:lang w:val="ru-RU"/>
        </w:rPr>
      </w:pPr>
      <w:r w:rsidRPr="001A3850">
        <w:rPr>
          <w:lang w:val="ru-RU"/>
        </w:rPr>
        <w:t>d)</w:t>
      </w:r>
      <w:r w:rsidRPr="001A3850">
        <w:rPr>
          <w:lang w:val="ru-RU"/>
        </w:rPr>
        <w:tab/>
      </w:r>
      <w:proofErr w:type="gramStart"/>
      <w:r w:rsidRPr="001A3850">
        <w:rPr>
          <w:rFonts w:eastAsia="Batang"/>
          <w:lang w:val="ru-RU" w:bidi="ru-RU"/>
        </w:rPr>
        <w:t>1258−1300</w:t>
      </w:r>
      <w:proofErr w:type="gramEnd"/>
      <w:r w:rsidRPr="001A3850">
        <w:rPr>
          <w:rFonts w:eastAsia="Batang"/>
          <w:lang w:val="ru-RU" w:bidi="ru-RU"/>
        </w:rPr>
        <w:t> </w:t>
      </w:r>
      <w:r w:rsidRPr="001A3850">
        <w:rPr>
          <w:lang w:val="ru-RU"/>
        </w:rPr>
        <w:t xml:space="preserve">МГц: </w:t>
      </w:r>
      <w:r w:rsidRPr="001A3850">
        <w:rPr>
          <w:rFonts w:eastAsia="Batang"/>
          <w:lang w:val="ru-RU" w:bidi="ru-RU"/>
        </w:rPr>
        <w:t>максимальное значение э.и.и.м.</w:t>
      </w:r>
      <w:r w:rsidRPr="001A3850">
        <w:rPr>
          <w:rStyle w:val="FootnoteReference"/>
          <w:rFonts w:eastAsia="SimSun"/>
          <w:lang w:val="ru-RU"/>
        </w:rPr>
        <w:t>2</w:t>
      </w:r>
      <w:r w:rsidRPr="001A3850">
        <w:rPr>
          <w:lang w:val="ru-RU"/>
        </w:rPr>
        <w:t xml:space="preserve"> = </w:t>
      </w:r>
      <w:r w:rsidRPr="001A3850">
        <w:rPr>
          <w:rFonts w:eastAsia="Batang"/>
          <w:lang w:val="ru-RU" w:bidi="ru-RU"/>
        </w:rPr>
        <w:t>−</w:t>
      </w:r>
      <w:r w:rsidRPr="001A3850">
        <w:rPr>
          <w:lang w:val="ru-RU"/>
        </w:rPr>
        <w:t>17 дБВт/1 МГц;</w:t>
      </w:r>
    </w:p>
    <w:p w14:paraId="77EDCE8B" w14:textId="77777777" w:rsidR="00E31735" w:rsidRPr="001A3850" w:rsidRDefault="00E31735" w:rsidP="00E31735">
      <w:pPr>
        <w:pStyle w:val="enumlev1"/>
        <w:rPr>
          <w:lang w:val="ru-RU"/>
        </w:rPr>
      </w:pPr>
      <w:r w:rsidRPr="001A3850">
        <w:rPr>
          <w:lang w:val="ru-RU"/>
        </w:rPr>
        <w:t>4)</w:t>
      </w:r>
      <w:r w:rsidRPr="001A3850">
        <w:rPr>
          <w:lang w:val="ru-RU"/>
        </w:rPr>
        <w:tab/>
      </w:r>
      <w:bookmarkStart w:id="5" w:name="_Hlk150103890"/>
      <w:r w:rsidRPr="001A3850">
        <w:rPr>
          <w:lang w:val="ru-RU"/>
        </w:rPr>
        <w:t>В случаях, когда антенны станций любительской и любительской спутниковой служб установлены на высотах, которые значительно превышают типовые значения, приведенные в Отчете МСЭ</w:t>
      </w:r>
      <w:r w:rsidRPr="001A3850">
        <w:rPr>
          <w:lang w:val="ru-RU"/>
        </w:rPr>
        <w:noBreakHyphen/>
        <w:t>R M.2513-0 (типовая высота антенны над поверхностью земли составляет 25 м), администрациям, возможно, потребуется рассмотреть вопрос о введении дополнительных условий или ограничений помимо тех, которые указаны в пунктах 1)</w:t>
      </w:r>
      <w:r w:rsidRPr="001A3850">
        <w:rPr>
          <w:bCs/>
          <w:lang w:val="ru-RU"/>
        </w:rPr>
        <w:t>−</w:t>
      </w:r>
      <w:r w:rsidRPr="001A3850">
        <w:rPr>
          <w:lang w:val="ru-RU"/>
        </w:rPr>
        <w:t>3), выше, в особенности в случае любительских станций, относящихся к категории "стационарные установки", таких как ретрансляторы и маяки для контроля условий распространения</w:t>
      </w:r>
      <w:bookmarkEnd w:id="5"/>
      <w:r w:rsidRPr="001A3850">
        <w:rPr>
          <w:lang w:val="ru-RU"/>
        </w:rPr>
        <w:t xml:space="preserve">. </w:t>
      </w:r>
    </w:p>
    <w:p w14:paraId="79199BEF" w14:textId="77777777" w:rsidR="00E31735" w:rsidRPr="001A3850" w:rsidRDefault="00E31735" w:rsidP="00E31735">
      <w:pPr>
        <w:pStyle w:val="enumlev1"/>
        <w:rPr>
          <w:lang w:val="ru-RU"/>
        </w:rPr>
      </w:pPr>
      <w:r w:rsidRPr="001A3850">
        <w:rPr>
          <w:lang w:val="ru-RU"/>
        </w:rPr>
        <w:t>5)</w:t>
      </w:r>
      <w:r w:rsidRPr="001A3850">
        <w:rPr>
          <w:lang w:val="ru-RU"/>
        </w:rPr>
        <w:tab/>
        <w:t xml:space="preserve">В дополнение к пункту 2), выше, в случае расширения текущего использования полосы частот </w:t>
      </w:r>
      <w:proofErr w:type="gramStart"/>
      <w:r w:rsidRPr="001A3850">
        <w:rPr>
          <w:lang w:val="ru-RU"/>
        </w:rPr>
        <w:t>1260−1270</w:t>
      </w:r>
      <w:proofErr w:type="gramEnd"/>
      <w:r w:rsidRPr="001A3850">
        <w:rPr>
          <w:lang w:val="ru-RU"/>
        </w:rPr>
        <w:t> МГц спутниками любительских служб администрации могут рассмотреть вопрос о применении ограничения рабочего цикла соответствующих операций спутников любительских служб.</w:t>
      </w:r>
    </w:p>
    <w:p w14:paraId="66802053" w14:textId="77777777" w:rsidR="00E31735" w:rsidRPr="001A3850" w:rsidRDefault="00E31735" w:rsidP="00C871C4">
      <w:pPr>
        <w:pStyle w:val="enumlev1"/>
        <w:keepNext/>
        <w:keepLines/>
        <w:rPr>
          <w:lang w:val="ru-RU"/>
        </w:rPr>
      </w:pPr>
      <w:r w:rsidRPr="001A3850">
        <w:rPr>
          <w:lang w:val="ru-RU"/>
        </w:rPr>
        <w:lastRenderedPageBreak/>
        <w:t>6)</w:t>
      </w:r>
      <w:r w:rsidRPr="001A3850">
        <w:rPr>
          <w:lang w:val="ru-RU"/>
        </w:rPr>
        <w:tab/>
        <w:t xml:space="preserve">В диапазоне частот </w:t>
      </w:r>
      <w:proofErr w:type="gramStart"/>
      <w:r w:rsidRPr="001A3850">
        <w:rPr>
          <w:lang w:val="ru-RU"/>
        </w:rPr>
        <w:t>1240−1256</w:t>
      </w:r>
      <w:proofErr w:type="gramEnd"/>
      <w:r w:rsidRPr="001A3850">
        <w:rPr>
          <w:lang w:val="ru-RU"/>
        </w:rPr>
        <w:t> МГц:</w:t>
      </w:r>
    </w:p>
    <w:p w14:paraId="5C64FDC5" w14:textId="77777777" w:rsidR="00E31735" w:rsidRPr="001A3850" w:rsidRDefault="00E31735" w:rsidP="00E31735">
      <w:pPr>
        <w:pStyle w:val="enumlev2"/>
        <w:rPr>
          <w:lang w:val="ru-RU"/>
        </w:rPr>
      </w:pPr>
      <w:r w:rsidRPr="001A3850">
        <w:rPr>
          <w:lang w:val="ru-RU"/>
        </w:rPr>
        <w:t>•</w:t>
      </w:r>
      <w:r w:rsidRPr="001A3850">
        <w:rPr>
          <w:lang w:val="ru-RU"/>
        </w:rPr>
        <w:tab/>
        <w:t>администрациям следует рассматривать вопрос о заключении двусторонних и многосторонних соглашений, учитывающих передачи любительских служб вблизи аэропортов, расположенных рядом с приграничными областями в соседних странах, в которых используются воздушные приемники РНСС в вышеуказанном диапазоне частот;</w:t>
      </w:r>
    </w:p>
    <w:p w14:paraId="296864CE" w14:textId="77777777" w:rsidR="00E31735" w:rsidRDefault="00E31735" w:rsidP="00E31735">
      <w:pPr>
        <w:pStyle w:val="enumlev2"/>
        <w:rPr>
          <w:lang w:val="ru-RU"/>
        </w:rPr>
      </w:pPr>
      <w:r w:rsidRPr="001A3850">
        <w:rPr>
          <w:lang w:val="ru-RU"/>
        </w:rPr>
        <w:t>•</w:t>
      </w:r>
      <w:r w:rsidRPr="001A3850">
        <w:rPr>
          <w:lang w:val="ru-RU"/>
        </w:rPr>
        <w:tab/>
        <w:t>администрациям следует учитывать местоположение станций любительских служб, с тем чтобы не допускать наведения главного лепестка антенны станции в направлении аэропортов и вблизи аэропортов в странах, в которых используются воздушные приемники РНСС в вышеуказанном диапазоне частот.</w:t>
      </w:r>
    </w:p>
    <w:p w14:paraId="4BD5FCDC" w14:textId="77777777" w:rsidR="001720EB" w:rsidRDefault="001720EB" w:rsidP="001720EB">
      <w:pPr>
        <w:spacing w:before="720"/>
        <w:jc w:val="center"/>
      </w:pPr>
      <w:r>
        <w:t>______________</w:t>
      </w:r>
    </w:p>
    <w:sectPr w:rsidR="001720EB" w:rsidSect="00F064C9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7" w:h="16840" w:code="9"/>
      <w:pgMar w:top="1418" w:right="1134" w:bottom="1134" w:left="1134" w:header="720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919ED" w14:textId="77777777" w:rsidR="001D407F" w:rsidRDefault="001D407F">
      <w:r>
        <w:separator/>
      </w:r>
    </w:p>
  </w:endnote>
  <w:endnote w:type="continuationSeparator" w:id="0">
    <w:p w14:paraId="09C39FB9" w14:textId="77777777" w:rsidR="001D407F" w:rsidRDefault="001D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Medium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F8E9" w14:textId="77777777" w:rsidR="00164A90" w:rsidRDefault="00164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BC0A" w14:textId="77777777" w:rsidR="009E7C05" w:rsidRDefault="009E7C05">
    <w:pPr>
      <w:pStyle w:val="Footer"/>
    </w:pPr>
    <w:r>
      <w:drawing>
        <wp:anchor distT="0" distB="0" distL="0" distR="0" simplePos="0" relativeHeight="251659264" behindDoc="0" locked="0" layoutInCell="1" allowOverlap="1" wp14:anchorId="00C6E6A8" wp14:editId="698B75D9">
          <wp:simplePos x="0" y="0"/>
          <wp:positionH relativeFrom="page">
            <wp:posOffset>6346209</wp:posOffset>
          </wp:positionH>
          <wp:positionV relativeFrom="page">
            <wp:posOffset>9501505</wp:posOffset>
          </wp:positionV>
          <wp:extent cx="738000" cy="813600"/>
          <wp:effectExtent l="0" t="0" r="0" b="0"/>
          <wp:wrapNone/>
          <wp:docPr id="1" name="image1.png" descr="International Telecommunication Un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nternational Telecommunication Union lo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80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4669" w14:textId="77777777" w:rsidR="00164A90" w:rsidRDefault="00164A9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FCD3" w14:textId="77777777" w:rsidR="00E95305" w:rsidRDefault="00E9530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1954" w14:textId="77777777" w:rsidR="00E95305" w:rsidRDefault="00E9530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02CC1" w14:textId="40596C1A" w:rsidR="00E95305" w:rsidRDefault="00E95305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41BD" w14:textId="77777777" w:rsidR="00E95305" w:rsidRDefault="00E95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B5AF2" w14:textId="77777777" w:rsidR="001D407F" w:rsidRDefault="001D407F">
      <w:r>
        <w:separator/>
      </w:r>
    </w:p>
  </w:footnote>
  <w:footnote w:type="continuationSeparator" w:id="0">
    <w:p w14:paraId="46F51616" w14:textId="77777777" w:rsidR="001D407F" w:rsidRDefault="001D407F">
      <w:r>
        <w:continuationSeparator/>
      </w:r>
    </w:p>
  </w:footnote>
  <w:footnote w:id="1">
    <w:p w14:paraId="2600F318" w14:textId="77777777" w:rsidR="00E31735" w:rsidRPr="00AE2EA5" w:rsidRDefault="00E31735" w:rsidP="00E31735">
      <w:pPr>
        <w:pStyle w:val="FootnoteText"/>
        <w:rPr>
          <w:lang w:val="ru-RU"/>
        </w:rPr>
      </w:pPr>
      <w:r w:rsidRPr="00B24377">
        <w:rPr>
          <w:rStyle w:val="FootnoteReference"/>
        </w:rPr>
        <w:sym w:font="Symbol" w:char="F02A"/>
      </w:r>
      <w:r w:rsidRPr="00AE2EA5">
        <w:rPr>
          <w:lang w:val="ru-RU"/>
        </w:rPr>
        <w:t xml:space="preserve"> </w:t>
      </w:r>
      <w:r w:rsidRPr="00AE2EA5">
        <w:rPr>
          <w:lang w:val="ru-RU"/>
        </w:rPr>
        <w:tab/>
      </w:r>
      <w:r>
        <w:rPr>
          <w:lang w:val="ru-RU"/>
        </w:rPr>
        <w:t>Настоящая Рекомендация должна быть доведена до сведения Международного союза радиолюбителей (МСР).</w:t>
      </w:r>
    </w:p>
  </w:footnote>
  <w:footnote w:id="2">
    <w:p w14:paraId="0D7AA27C" w14:textId="77777777" w:rsidR="00E31735" w:rsidRPr="00531DA8" w:rsidRDefault="00E31735" w:rsidP="00E31735">
      <w:pPr>
        <w:pStyle w:val="FootnoteText"/>
        <w:rPr>
          <w:lang w:val="ru-RU"/>
        </w:rPr>
      </w:pPr>
      <w:r w:rsidRPr="00531DA8">
        <w:rPr>
          <w:rStyle w:val="FootnoteReference"/>
          <w:lang w:val="ru-RU"/>
        </w:rPr>
        <w:t>2</w:t>
      </w:r>
      <w:r w:rsidRPr="00531DA8">
        <w:rPr>
          <w:lang w:val="ru-RU"/>
        </w:rPr>
        <w:t xml:space="preserve"> </w:t>
      </w:r>
      <w:r w:rsidRPr="00531DA8">
        <w:rPr>
          <w:lang w:val="ru-RU"/>
        </w:rPr>
        <w:tab/>
      </w:r>
      <w:r>
        <w:rPr>
          <w:lang w:val="ru-RU"/>
        </w:rPr>
        <w:t>Где</w:t>
      </w:r>
      <w:r w:rsidRPr="003A6020">
        <w:rPr>
          <w:lang w:val="ru-RU"/>
        </w:rPr>
        <w:t xml:space="preserve"> </w:t>
      </w:r>
      <w:r w:rsidRPr="00F3629F">
        <w:rPr>
          <w:rFonts w:eastAsia="Batang"/>
          <w:lang w:val="ru-RU" w:bidi="ru-RU"/>
        </w:rPr>
        <w:t>э</w:t>
      </w:r>
      <w:r w:rsidRPr="003A6020">
        <w:rPr>
          <w:rFonts w:eastAsia="Batang"/>
          <w:lang w:val="ru-RU" w:bidi="ru-RU"/>
        </w:rPr>
        <w:t>.</w:t>
      </w:r>
      <w:r w:rsidRPr="00F3629F">
        <w:rPr>
          <w:rFonts w:eastAsia="Batang"/>
          <w:lang w:val="ru-RU" w:bidi="ru-RU"/>
        </w:rPr>
        <w:t>и</w:t>
      </w:r>
      <w:r w:rsidRPr="003A6020">
        <w:rPr>
          <w:rFonts w:eastAsia="Batang"/>
          <w:lang w:val="ru-RU" w:bidi="ru-RU"/>
        </w:rPr>
        <w:t>.</w:t>
      </w:r>
      <w:r w:rsidRPr="00F3629F">
        <w:rPr>
          <w:rFonts w:eastAsia="Batang"/>
          <w:lang w:val="ru-RU" w:bidi="ru-RU"/>
        </w:rPr>
        <w:t>и</w:t>
      </w:r>
      <w:r w:rsidRPr="003A6020">
        <w:rPr>
          <w:rFonts w:eastAsia="Batang"/>
          <w:lang w:val="ru-RU" w:bidi="ru-RU"/>
        </w:rPr>
        <w:t>.</w:t>
      </w:r>
      <w:r w:rsidRPr="00F3629F">
        <w:rPr>
          <w:rFonts w:eastAsia="Batang"/>
          <w:lang w:val="ru-RU" w:bidi="ru-RU"/>
        </w:rPr>
        <w:t>м</w:t>
      </w:r>
      <w:r w:rsidRPr="003A6020">
        <w:rPr>
          <w:rFonts w:eastAsia="Batang"/>
          <w:lang w:val="ru-RU" w:bidi="ru-RU"/>
        </w:rPr>
        <w:t>.</w:t>
      </w:r>
      <w:r>
        <w:rPr>
          <w:rFonts w:eastAsia="Batang"/>
          <w:lang w:val="ru-RU" w:bidi="ru-RU"/>
        </w:rPr>
        <w:t xml:space="preserve"> – это </w:t>
      </w:r>
      <w:r w:rsidRPr="003A6020">
        <w:rPr>
          <w:rFonts w:eastAsia="Batang"/>
          <w:lang w:val="ru-RU" w:bidi="ru-RU"/>
        </w:rPr>
        <w:t>излучаем</w:t>
      </w:r>
      <w:r>
        <w:rPr>
          <w:rFonts w:eastAsia="Batang"/>
          <w:lang w:val="ru-RU" w:bidi="ru-RU"/>
        </w:rPr>
        <w:t>ая</w:t>
      </w:r>
      <w:r w:rsidRPr="003A6020">
        <w:rPr>
          <w:rFonts w:eastAsia="Batang"/>
          <w:lang w:val="ru-RU" w:bidi="ru-RU"/>
        </w:rPr>
        <w:t xml:space="preserve"> мощност</w:t>
      </w:r>
      <w:r>
        <w:rPr>
          <w:rFonts w:eastAsia="Batang"/>
          <w:lang w:val="ru-RU" w:bidi="ru-RU"/>
        </w:rPr>
        <w:t>ь</w:t>
      </w:r>
      <w:r w:rsidRPr="003A6020">
        <w:rPr>
          <w:rFonts w:eastAsia="Batang"/>
          <w:lang w:val="ru-RU" w:bidi="ru-RU"/>
        </w:rPr>
        <w:t xml:space="preserve"> любительск</w:t>
      </w:r>
      <w:r>
        <w:rPr>
          <w:rFonts w:eastAsia="Batang"/>
          <w:lang w:val="ru-RU" w:bidi="ru-RU"/>
        </w:rPr>
        <w:t>ой</w:t>
      </w:r>
      <w:r w:rsidRPr="003A6020">
        <w:rPr>
          <w:rFonts w:eastAsia="Batang"/>
          <w:lang w:val="ru-RU" w:bidi="ru-RU"/>
        </w:rPr>
        <w:t xml:space="preserve"> станци</w:t>
      </w:r>
      <w:r>
        <w:rPr>
          <w:rFonts w:eastAsia="Batang"/>
          <w:lang w:val="ru-RU" w:bidi="ru-RU"/>
        </w:rPr>
        <w:t>и</w:t>
      </w:r>
      <w:r w:rsidRPr="00531DA8">
        <w:rPr>
          <w:rFonts w:eastAsia="Batang"/>
          <w:lang w:val="ru-RU" w:bidi="ru-RU"/>
        </w:rPr>
        <w:t>.</w:t>
      </w:r>
    </w:p>
  </w:footnote>
  <w:footnote w:id="3">
    <w:p w14:paraId="34B81C74" w14:textId="79CED4CD" w:rsidR="00E31735" w:rsidRPr="00531DA8" w:rsidRDefault="00E31735" w:rsidP="00E31735">
      <w:pPr>
        <w:pStyle w:val="FootnoteText"/>
        <w:rPr>
          <w:lang w:val="ru-RU"/>
        </w:rPr>
      </w:pPr>
      <w:r w:rsidRPr="00531DA8">
        <w:rPr>
          <w:rStyle w:val="FootnoteReference"/>
          <w:lang w:val="ru-RU"/>
        </w:rPr>
        <w:t>3</w:t>
      </w:r>
      <w:r w:rsidRPr="00531DA8">
        <w:rPr>
          <w:lang w:val="ru-RU"/>
        </w:rPr>
        <w:t xml:space="preserve"> </w:t>
      </w:r>
      <w:r w:rsidRPr="00531DA8">
        <w:rPr>
          <w:lang w:val="ru-RU"/>
        </w:rPr>
        <w:tab/>
      </w:r>
      <w:r>
        <w:rPr>
          <w:lang w:val="ru-RU"/>
        </w:rPr>
        <w:t>Г</w:t>
      </w:r>
      <w:r w:rsidRPr="00345AEF">
        <w:rPr>
          <w:lang w:val="ru-RU"/>
        </w:rPr>
        <w:t>де под максимальной мощностью понимается пиковая мощность огибающей либо мощность несущей (в</w:t>
      </w:r>
      <w:r w:rsidR="00E95305">
        <w:rPr>
          <w:lang w:val="en-US"/>
        </w:rPr>
        <w:t> </w:t>
      </w:r>
      <w:r w:rsidRPr="00345AEF">
        <w:rPr>
          <w:lang w:val="ru-RU"/>
        </w:rPr>
        <w:t>зависимости от случая), подводимая от передатчика к</w:t>
      </w:r>
      <w:r>
        <w:rPr>
          <w:lang w:val="ru-RU"/>
        </w:rPr>
        <w:t> </w:t>
      </w:r>
      <w:r w:rsidRPr="00345AEF">
        <w:rPr>
          <w:lang w:val="ru-RU"/>
        </w:rPr>
        <w:t>антенне любительской станции</w:t>
      </w:r>
      <w:r w:rsidRPr="00531DA8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F7A1" w14:textId="77777777" w:rsidR="009E7C05" w:rsidRDefault="009E7C05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3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4"/>
      <w:gridCol w:w="5916"/>
    </w:tblGrid>
    <w:tr w:rsidR="009E7C05" w:rsidRPr="00A239D1" w14:paraId="744105BD" w14:textId="77777777" w:rsidTr="0019307B">
      <w:tc>
        <w:tcPr>
          <w:tcW w:w="4634" w:type="dxa"/>
          <w:vAlign w:val="center"/>
        </w:tcPr>
        <w:p w14:paraId="34AEFC88" w14:textId="77777777" w:rsidR="009E7C05" w:rsidRPr="005B0371" w:rsidRDefault="009E7C05" w:rsidP="00B9169E">
          <w:pPr>
            <w:pStyle w:val="Header"/>
            <w:jc w:val="left"/>
            <w:rPr>
              <w:rFonts w:ascii="Arial Black" w:hAnsi="Arial Black" w:cs="Arial"/>
              <w:color w:val="FFFFFF" w:themeColor="background1"/>
              <w:sz w:val="32"/>
              <w:szCs w:val="32"/>
            </w:rPr>
          </w:pPr>
          <w:r w:rsidRPr="005B0371">
            <w:rPr>
              <w:rFonts w:ascii="Arial Black" w:hAnsi="Arial Black" w:cs="Arial"/>
              <w:color w:val="FFFFFF" w:themeColor="background1"/>
              <w:sz w:val="32"/>
              <w:szCs w:val="32"/>
            </w:rPr>
            <w:t xml:space="preserve"> </w:t>
          </w:r>
        </w:p>
      </w:tc>
      <w:tc>
        <w:tcPr>
          <w:tcW w:w="5998" w:type="dxa"/>
          <w:vAlign w:val="center"/>
        </w:tcPr>
        <w:p w14:paraId="381AB93C" w14:textId="77777777" w:rsidR="009E7C05" w:rsidRPr="00260B24" w:rsidRDefault="009E7C05" w:rsidP="00B76EC6">
          <w:pPr>
            <w:pStyle w:val="Header"/>
            <w:spacing w:after="120"/>
            <w:jc w:val="right"/>
            <w:rPr>
              <w:rFonts w:asciiTheme="minorBidi" w:hAnsiTheme="minorBidi"/>
              <w:b/>
              <w:spacing w:val="4"/>
              <w:szCs w:val="24"/>
            </w:rPr>
          </w:pPr>
          <w:r w:rsidRPr="00736384">
            <w:rPr>
              <w:rFonts w:asciiTheme="minorBidi" w:hAnsiTheme="minorBidi"/>
              <w:b/>
              <w:spacing w:val="4"/>
              <w:szCs w:val="24"/>
            </w:rPr>
            <w:t>Международн</w:t>
          </w:r>
          <w:r>
            <w:rPr>
              <w:rFonts w:asciiTheme="minorBidi" w:hAnsiTheme="minorBidi"/>
              <w:b/>
              <w:spacing w:val="4"/>
              <w:szCs w:val="24"/>
              <w:lang w:val="ru-RU"/>
            </w:rPr>
            <w:t>ый</w:t>
          </w:r>
          <w:r w:rsidRPr="00736384">
            <w:rPr>
              <w:rFonts w:asciiTheme="minorBidi" w:hAnsiTheme="minorBidi"/>
              <w:b/>
              <w:spacing w:val="4"/>
              <w:szCs w:val="24"/>
            </w:rPr>
            <w:t xml:space="preserve"> союз электросвязи</w:t>
          </w:r>
        </w:p>
      </w:tc>
    </w:tr>
    <w:tr w:rsidR="009E7C05" w:rsidRPr="00A239D1" w14:paraId="4C43BFF2" w14:textId="77777777" w:rsidTr="0019307B">
      <w:tc>
        <w:tcPr>
          <w:tcW w:w="4634" w:type="dxa"/>
          <w:vAlign w:val="center"/>
        </w:tcPr>
        <w:p w14:paraId="7D8626C8" w14:textId="77777777" w:rsidR="009E7C05" w:rsidRPr="00260B24" w:rsidRDefault="009E7C05" w:rsidP="00744F8B">
          <w:pPr>
            <w:pStyle w:val="Header"/>
            <w:jc w:val="left"/>
            <w:rPr>
              <w:rFonts w:asciiTheme="minorBidi" w:hAnsiTheme="minorBidi"/>
              <w:spacing w:val="4"/>
              <w:sz w:val="21"/>
              <w:szCs w:val="21"/>
            </w:rPr>
          </w:pPr>
          <w:r w:rsidRPr="00736384">
            <w:rPr>
              <w:rFonts w:asciiTheme="minorBidi" w:hAnsiTheme="minorBidi"/>
              <w:spacing w:val="4"/>
              <w:szCs w:val="24"/>
            </w:rPr>
            <w:t>Рекомендации</w:t>
          </w:r>
        </w:p>
      </w:tc>
      <w:tc>
        <w:tcPr>
          <w:tcW w:w="5998" w:type="dxa"/>
          <w:vAlign w:val="center"/>
        </w:tcPr>
        <w:p w14:paraId="1E8AC211" w14:textId="77777777" w:rsidR="009E7C05" w:rsidRPr="00260B24" w:rsidRDefault="009E7C05" w:rsidP="00744F8B">
          <w:pPr>
            <w:pStyle w:val="Header"/>
            <w:jc w:val="right"/>
            <w:rPr>
              <w:rFonts w:asciiTheme="minorBidi" w:hAnsiTheme="minorBidi"/>
              <w:spacing w:val="4"/>
              <w:szCs w:val="24"/>
            </w:rPr>
          </w:pPr>
          <w:r w:rsidRPr="00391033">
            <w:rPr>
              <w:rFonts w:asciiTheme="minorBidi" w:hAnsiTheme="minorBidi"/>
              <w:spacing w:val="4"/>
              <w:szCs w:val="24"/>
            </w:rPr>
            <w:t>Сектор радиосвязи</w:t>
          </w:r>
        </w:p>
      </w:tc>
    </w:tr>
  </w:tbl>
  <w:p w14:paraId="5E27827A" w14:textId="77777777" w:rsidR="009E7C05" w:rsidRDefault="009E7C05" w:rsidP="004A6FEB">
    <w:pPr>
      <w:pStyle w:val="Header"/>
    </w:pPr>
    <w:r>
      <w:rPr>
        <w:rFonts w:ascii="Arial Black" w:hAnsi="Arial Black" w:cs="Arial"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0FD9E688" wp14:editId="356DBA26">
          <wp:simplePos x="0" y="0"/>
          <wp:positionH relativeFrom="column">
            <wp:posOffset>-271780</wp:posOffset>
          </wp:positionH>
          <wp:positionV relativeFrom="paragraph">
            <wp:posOffset>-548005</wp:posOffset>
          </wp:positionV>
          <wp:extent cx="1733550" cy="37492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74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8B119E" wp14:editId="6B2FB968">
              <wp:simplePos x="0" y="0"/>
              <wp:positionH relativeFrom="column">
                <wp:posOffset>-106045</wp:posOffset>
              </wp:positionH>
              <wp:positionV relativeFrom="paragraph">
                <wp:posOffset>164465</wp:posOffset>
              </wp:positionV>
              <wp:extent cx="301625" cy="172085"/>
              <wp:effectExtent l="17780" t="12065" r="23495" b="1587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01625" cy="17208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F8F8F8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DD9A8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" o:spid="_x0000_s1026" type="#_x0000_t5" style="position:absolute;margin-left:-8.35pt;margin-top:12.95pt;width:23.75pt;height:13.5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" fillcolor="white [3212]" strokecolor="#f8f8f8"/>
          </w:pict>
        </mc:Fallback>
      </mc:AlternateContent>
    </w:r>
  </w:p>
  <w:p w14:paraId="2CC55AD0" w14:textId="77777777" w:rsidR="009E7C05" w:rsidRDefault="009E7C05" w:rsidP="004A6FEB">
    <w:pPr>
      <w:pStyle w:val="Header"/>
      <w:ind w:right="360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E8B0E9" wp14:editId="19D7A44D">
              <wp:simplePos x="0" y="0"/>
              <wp:positionH relativeFrom="page">
                <wp:posOffset>0</wp:posOffset>
              </wp:positionH>
              <wp:positionV relativeFrom="page">
                <wp:posOffset>1196340</wp:posOffset>
              </wp:positionV>
              <wp:extent cx="7560310" cy="236220"/>
              <wp:effectExtent l="9525" t="5715" r="12065" b="5715"/>
              <wp:wrapNone/>
              <wp:docPr id="2" name="docshapegroup6" descr="Header separator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236220"/>
                        <a:chOff x="0" y="1884"/>
                        <a:chExt cx="11906" cy="372"/>
                      </a:xfrm>
                    </wpg:grpSpPr>
                    <wps:wsp>
                      <wps:cNvPr id="3" name="docshape7" descr="Header separator line"/>
                      <wps:cNvSpPr>
                        <a:spLocks noChangeArrowheads="1"/>
                      </wps:cNvSpPr>
                      <wps:spPr bwMode="auto">
                        <a:xfrm>
                          <a:off x="0" y="1944"/>
                          <a:ext cx="11906" cy="312"/>
                        </a:xfrm>
                        <a:prstGeom prst="rect">
                          <a:avLst/>
                        </a:prstGeom>
                        <a:solidFill>
                          <a:srgbClr val="009CD6"/>
                        </a:solidFill>
                        <a:ln w="9525">
                          <a:solidFill>
                            <a:srgbClr val="009CD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docshape8" descr="Header separator line"/>
                      <wps:cNvSpPr>
                        <a:spLocks/>
                      </wps:cNvSpPr>
                      <wps:spPr bwMode="auto">
                        <a:xfrm>
                          <a:off x="1109" y="1884"/>
                          <a:ext cx="627" cy="314"/>
                        </a:xfrm>
                        <a:custGeom>
                          <a:avLst/>
                          <a:gdLst>
                            <a:gd name="T0" fmla="+- 0 1736 1109"/>
                            <a:gd name="T1" fmla="*/ T0 w 627"/>
                            <a:gd name="T2" fmla="+- 0 1884 1884"/>
                            <a:gd name="T3" fmla="*/ 1884 h 314"/>
                            <a:gd name="T4" fmla="+- 0 1109 1109"/>
                            <a:gd name="T5" fmla="*/ T4 w 627"/>
                            <a:gd name="T6" fmla="+- 0 1884 1884"/>
                            <a:gd name="T7" fmla="*/ 1884 h 314"/>
                            <a:gd name="T8" fmla="+- 0 1423 1109"/>
                            <a:gd name="T9" fmla="*/ T8 w 627"/>
                            <a:gd name="T10" fmla="+- 0 2197 1884"/>
                            <a:gd name="T11" fmla="*/ 2197 h 314"/>
                            <a:gd name="T12" fmla="+- 0 1736 1109"/>
                            <a:gd name="T13" fmla="*/ T12 w 627"/>
                            <a:gd name="T14" fmla="+- 0 1884 1884"/>
                            <a:gd name="T15" fmla="*/ 1884 h 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27" h="314">
                              <a:moveTo>
                                <a:pt x="627" y="0"/>
                              </a:moveTo>
                              <a:lnTo>
                                <a:pt x="0" y="0"/>
                              </a:lnTo>
                              <a:lnTo>
                                <a:pt x="314" y="313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3C2303" id="docshapegroup6" o:spid="_x0000_s1026" alt="Header separator line" style="position:absolute;margin-left:0;margin-top:94.2pt;width:595.3pt;height:18.6pt;z-index:251661312;mso-position-horizontal-relative:page;mso-position-vertical-relative:page" coordorigin=",1884" coordsize="1190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">
              <v:rect id="docshape7" o:spid="_x0000_s1027" alt="Header separator line" style="position:absolute;top:1944;width:1190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" fillcolor="#009cd6" strokecolor="#009cd6"/>
              <v:shape id="docshape8" o:spid="_x0000_s1028" alt="Header separator line" style="position:absolute;left:1109;top:1884;width:627;height:314;visibility:visible;mso-wrap-style:square;v-text-anchor:top" coordsize="62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" path="m627,l,,314,313,627,xe" fillcolor="white [3212]" stroked="f" strokecolor="#009cd6">
                <v:path arrowok="t" o:connecttype="custom" o:connectlocs="627,1884;0,1884;314,2197;627,1884" o:connectangles="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C09D" w14:textId="77777777" w:rsidR="00164A90" w:rsidRDefault="00164A9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A3B7" w14:textId="75DCF5B1" w:rsidR="00CB5488" w:rsidRDefault="00CB5488" w:rsidP="00020FCC">
    <w:pPr>
      <w:pStyle w:val="Header"/>
      <w:jc w:val="left"/>
      <w:rPr>
        <w:lang w:val="en-US"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  <w:lang w:val="en-US"/>
      </w:rPr>
      <w:instrText xml:space="preserve"> PAGE </w:instrText>
    </w:r>
    <w:r>
      <w:rPr>
        <w:rStyle w:val="PageNumber"/>
        <w:b/>
        <w:bCs/>
      </w:rPr>
      <w:fldChar w:fldCharType="separate"/>
    </w:r>
    <w:r w:rsidR="00652125">
      <w:rPr>
        <w:rStyle w:val="PageNumber"/>
        <w:b/>
        <w:bCs/>
        <w:noProof/>
        <w:lang w:val="en-US"/>
      </w:rPr>
      <w:t>ii</w:t>
    </w:r>
    <w:r>
      <w:rPr>
        <w:rStyle w:val="PageNumber"/>
        <w:b/>
        <w:bCs/>
      </w:rPr>
      <w:fldChar w:fldCharType="end"/>
    </w:r>
    <w:r>
      <w:rPr>
        <w:lang w:val="en-US"/>
      </w:rPr>
      <w:tab/>
    </w:r>
    <w:r w:rsidR="00020FCC" w:rsidRPr="00553C5F">
      <w:rPr>
        <w:b/>
        <w:szCs w:val="22"/>
        <w:lang w:val="ru-RU"/>
      </w:rPr>
      <w:t>Рек.</w:t>
    </w:r>
    <w:r w:rsidR="00020FCC" w:rsidRPr="00553C5F">
      <w:rPr>
        <w:b/>
        <w:szCs w:val="22"/>
        <w:lang w:val="en-US"/>
      </w:rPr>
      <w:t xml:space="preserve"> </w:t>
    </w:r>
    <w:r w:rsidR="00020FCC" w:rsidRPr="00553C5F">
      <w:rPr>
        <w:b/>
        <w:szCs w:val="22"/>
        <w:lang w:val="ru-RU"/>
      </w:rPr>
      <w:t xml:space="preserve"> </w:t>
    </w:r>
    <w:r w:rsidR="00020FCC" w:rsidRPr="00553C5F">
      <w:rPr>
        <w:b/>
        <w:bCs/>
        <w:szCs w:val="22"/>
        <w:lang w:val="en-US"/>
      </w:rPr>
      <w:fldChar w:fldCharType="begin"/>
    </w:r>
    <w:r w:rsidR="00020FCC" w:rsidRPr="00553C5F">
      <w:rPr>
        <w:b/>
        <w:bCs/>
        <w:szCs w:val="22"/>
        <w:lang w:val="en-US"/>
      </w:rPr>
      <w:instrText>styleref href</w:instrText>
    </w:r>
    <w:r w:rsidR="00020FCC" w:rsidRPr="00553C5F">
      <w:rPr>
        <w:b/>
        <w:bCs/>
        <w:szCs w:val="22"/>
        <w:lang w:val="en-US"/>
      </w:rPr>
      <w:fldChar w:fldCharType="separate"/>
    </w:r>
    <w:r w:rsidR="00FC1B12">
      <w:rPr>
        <w:b/>
        <w:bCs/>
        <w:noProof/>
        <w:szCs w:val="22"/>
        <w:lang w:val="en-US"/>
      </w:rPr>
      <w:t>МСЭ-R  M.2164-0</w:t>
    </w:r>
    <w:r w:rsidR="00020FCC" w:rsidRPr="00553C5F">
      <w:rPr>
        <w:b/>
        <w:bCs/>
        <w:szCs w:val="22"/>
        <w:lang w:val="en-US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2A3A" w14:textId="0514DDB4" w:rsidR="00CB5488" w:rsidRDefault="00CB5488">
    <w:pPr>
      <w:pStyle w:val="Header"/>
    </w:pPr>
    <w:r>
      <w:tab/>
    </w:r>
    <w:r w:rsidR="00FC1B12">
      <w:fldChar w:fldCharType="begin"/>
    </w:r>
    <w:r w:rsidR="00FC1B12">
      <w:instrText xml:space="preserve"> DOCPROPERTY "Header" \* MERGEFORMAT </w:instrText>
    </w:r>
    <w:r w:rsidR="00FC1B12">
      <w:fldChar w:fldCharType="separate"/>
    </w:r>
    <w:r w:rsidR="00FC1B12" w:rsidRPr="00FC1B12">
      <w:rPr>
        <w:b/>
        <w:bCs/>
      </w:rPr>
      <w:t xml:space="preserve">Rec. </w:t>
    </w:r>
    <w:r w:rsidR="00FC1B12">
      <w:rPr>
        <w:b/>
        <w:bCs/>
      </w:rPr>
      <w:fldChar w:fldCharType="end"/>
    </w:r>
    <w:r>
      <w:rPr>
        <w:b/>
        <w:bCs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styleref href</w:instrText>
    </w:r>
    <w:r>
      <w:rPr>
        <w:b/>
        <w:bCs/>
      </w:rPr>
      <w:fldChar w:fldCharType="separate"/>
    </w:r>
    <w:r w:rsidR="00FC1B12">
      <w:rPr>
        <w:b/>
        <w:bCs/>
        <w:noProof/>
      </w:rPr>
      <w:t>МСЭ-R  M.2164-0</w:t>
    </w:r>
    <w:r>
      <w:rPr>
        <w:b/>
        <w:bCs/>
      </w:rPr>
      <w:fldChar w:fldCharType="end"/>
    </w:r>
    <w:r>
      <w:tab/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4B5A61">
      <w:rPr>
        <w:rStyle w:val="PageNumber"/>
        <w:b/>
        <w:bCs/>
        <w:noProof/>
      </w:rPr>
      <w:t>iii</w:t>
    </w:r>
    <w:r>
      <w:rPr>
        <w:rStyle w:val="PageNumber"/>
        <w:b/>
        <w:bCs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4AF7" w14:textId="4BF196E5" w:rsidR="00164A90" w:rsidRDefault="00164A90" w:rsidP="00020FCC">
    <w:pPr>
      <w:pStyle w:val="Header"/>
      <w:jc w:val="left"/>
      <w:rPr>
        <w:lang w:val="en-US"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  <w:lang w:val="en-US"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  <w:lang w:val="en-US"/>
      </w:rPr>
      <w:t>ii</w:t>
    </w:r>
    <w:r>
      <w:rPr>
        <w:rStyle w:val="PageNumber"/>
        <w:b/>
        <w:bCs/>
      </w:rPr>
      <w:fldChar w:fldCharType="end"/>
    </w:r>
    <w:r>
      <w:rPr>
        <w:lang w:val="en-US"/>
      </w:rPr>
      <w:tab/>
    </w:r>
    <w:r w:rsidRPr="00553C5F">
      <w:rPr>
        <w:b/>
        <w:szCs w:val="22"/>
        <w:lang w:val="ru-RU"/>
      </w:rPr>
      <w:t>Рек.</w:t>
    </w:r>
    <w:r w:rsidRPr="00553C5F">
      <w:rPr>
        <w:b/>
        <w:szCs w:val="22"/>
        <w:lang w:val="en-US"/>
      </w:rPr>
      <w:t xml:space="preserve"> </w:t>
    </w:r>
    <w:r w:rsidRPr="00553C5F">
      <w:rPr>
        <w:b/>
        <w:szCs w:val="22"/>
        <w:lang w:val="ru-RU"/>
      </w:rPr>
      <w:t xml:space="preserve"> </w:t>
    </w:r>
    <w:r w:rsidRPr="00553C5F">
      <w:rPr>
        <w:b/>
        <w:bCs/>
        <w:szCs w:val="22"/>
        <w:lang w:val="en-US"/>
      </w:rPr>
      <w:fldChar w:fldCharType="begin"/>
    </w:r>
    <w:r w:rsidRPr="00553C5F">
      <w:rPr>
        <w:b/>
        <w:bCs/>
        <w:szCs w:val="22"/>
        <w:lang w:val="en-US"/>
      </w:rPr>
      <w:instrText>styleref href</w:instrText>
    </w:r>
    <w:r w:rsidRPr="00553C5F">
      <w:rPr>
        <w:b/>
        <w:bCs/>
        <w:szCs w:val="22"/>
        <w:lang w:val="en-US"/>
      </w:rPr>
      <w:fldChar w:fldCharType="separate"/>
    </w:r>
    <w:r w:rsidR="00FC1B12">
      <w:rPr>
        <w:b/>
        <w:bCs/>
        <w:noProof/>
        <w:szCs w:val="22"/>
        <w:lang w:val="en-US"/>
      </w:rPr>
      <w:t>МСЭ-R  M.2164-0</w:t>
    </w:r>
    <w:r w:rsidRPr="00553C5F">
      <w:rPr>
        <w:b/>
        <w:bCs/>
        <w:szCs w:val="22"/>
        <w:lang w:val="en-US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8DB4" w14:textId="64A5CB0E" w:rsidR="00164A90" w:rsidRDefault="00164A90">
    <w:pPr>
      <w:pStyle w:val="Header"/>
    </w:pPr>
    <w:r>
      <w:tab/>
    </w:r>
    <w:r w:rsidRPr="00553C5F">
      <w:rPr>
        <w:b/>
        <w:szCs w:val="22"/>
        <w:lang w:val="ru-RU"/>
      </w:rPr>
      <w:t>Рек.</w:t>
    </w:r>
    <w:r w:rsidRPr="00553C5F">
      <w:rPr>
        <w:b/>
        <w:szCs w:val="22"/>
        <w:lang w:val="en-US"/>
      </w:rPr>
      <w:t xml:space="preserve"> </w:t>
    </w:r>
    <w:r w:rsidRPr="00553C5F">
      <w:rPr>
        <w:b/>
        <w:szCs w:val="22"/>
        <w:lang w:val="ru-RU"/>
      </w:rPr>
      <w:t xml:space="preserve"> </w:t>
    </w:r>
    <w:r w:rsidRPr="00553C5F">
      <w:rPr>
        <w:b/>
        <w:bCs/>
        <w:szCs w:val="22"/>
        <w:lang w:val="en-US"/>
      </w:rPr>
      <w:fldChar w:fldCharType="begin"/>
    </w:r>
    <w:r w:rsidRPr="00553C5F">
      <w:rPr>
        <w:b/>
        <w:bCs/>
        <w:szCs w:val="22"/>
        <w:lang w:val="en-US"/>
      </w:rPr>
      <w:instrText>styleref href</w:instrText>
    </w:r>
    <w:r w:rsidRPr="00553C5F">
      <w:rPr>
        <w:b/>
        <w:bCs/>
        <w:szCs w:val="22"/>
        <w:lang w:val="en-US"/>
      </w:rPr>
      <w:fldChar w:fldCharType="separate"/>
    </w:r>
    <w:r w:rsidR="00FC1B12">
      <w:rPr>
        <w:b/>
        <w:bCs/>
        <w:noProof/>
        <w:szCs w:val="22"/>
        <w:lang w:val="en-US"/>
      </w:rPr>
      <w:t>МСЭ-R  M.2164-0</w:t>
    </w:r>
    <w:r w:rsidRPr="00553C5F">
      <w:rPr>
        <w:b/>
        <w:bCs/>
        <w:szCs w:val="22"/>
        <w:lang w:val="en-US"/>
      </w:rPr>
      <w:fldChar w:fldCharType="end"/>
    </w:r>
    <w:r>
      <w:tab/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iii</w:t>
    </w:r>
    <w:r>
      <w:rPr>
        <w:rStyle w:val="PageNumber"/>
        <w:b/>
        <w:bCs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BB4B" w14:textId="4ACEC7DB" w:rsidR="000A4E1F" w:rsidRPr="009D71E4" w:rsidRDefault="000F09B1" w:rsidP="009D71E4">
    <w:pPr>
      <w:pStyle w:val="Header"/>
      <w:rPr>
        <w:b/>
        <w:bCs/>
      </w:rPr>
    </w:pPr>
    <w:r w:rsidRPr="009D71E4">
      <w:rPr>
        <w:b/>
        <w:bCs/>
      </w:rPr>
      <w:tab/>
      <w:t xml:space="preserve">Рек.  </w:t>
    </w:r>
    <w:r w:rsidRPr="009D71E4">
      <w:rPr>
        <w:b/>
        <w:bCs/>
      </w:rPr>
      <w:fldChar w:fldCharType="begin"/>
    </w:r>
    <w:r w:rsidRPr="009D71E4">
      <w:rPr>
        <w:b/>
        <w:bCs/>
      </w:rPr>
      <w:instrText>styleref href</w:instrText>
    </w:r>
    <w:r w:rsidRPr="009D71E4">
      <w:rPr>
        <w:b/>
        <w:bCs/>
      </w:rPr>
      <w:fldChar w:fldCharType="separate"/>
    </w:r>
    <w:r w:rsidR="00FC1B12">
      <w:rPr>
        <w:b/>
        <w:bCs/>
        <w:noProof/>
      </w:rPr>
      <w:t>МСЭ-R  M.2164-0</w:t>
    </w:r>
    <w:r w:rsidRPr="009D71E4">
      <w:rPr>
        <w:b/>
        <w:bCs/>
      </w:rPr>
      <w:fldChar w:fldCharType="end"/>
    </w:r>
    <w:r w:rsidRPr="009D71E4">
      <w:rPr>
        <w:b/>
        <w:bCs/>
      </w:rPr>
      <w:tab/>
    </w:r>
    <w:r w:rsidRPr="009D71E4">
      <w:rPr>
        <w:rStyle w:val="PageNumber"/>
        <w:b/>
        <w:bCs/>
      </w:rPr>
      <w:fldChar w:fldCharType="begin"/>
    </w:r>
    <w:r w:rsidRPr="009D71E4">
      <w:rPr>
        <w:rStyle w:val="PageNumber"/>
        <w:b/>
        <w:bCs/>
      </w:rPr>
      <w:instrText xml:space="preserve"> PAGE </w:instrText>
    </w:r>
    <w:r w:rsidRPr="009D71E4">
      <w:rPr>
        <w:rStyle w:val="PageNumber"/>
        <w:b/>
        <w:bCs/>
      </w:rPr>
      <w:fldChar w:fldCharType="separate"/>
    </w:r>
    <w:r w:rsidR="00652125">
      <w:rPr>
        <w:rStyle w:val="PageNumber"/>
        <w:b/>
        <w:bCs/>
        <w:noProof/>
      </w:rPr>
      <w:t>1</w:t>
    </w:r>
    <w:r w:rsidRPr="009D71E4">
      <w:rPr>
        <w:rStyle w:val="PageNumber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E0741"/>
    <w:multiLevelType w:val="hybridMultilevel"/>
    <w:tmpl w:val="73506790"/>
    <w:lvl w:ilvl="0" w:tplc="9FA02DF4">
      <w:numFmt w:val="bullet"/>
      <w:lvlText w:val="–"/>
      <w:lvlJc w:val="left"/>
      <w:pPr>
        <w:tabs>
          <w:tab w:val="num" w:pos="795"/>
        </w:tabs>
        <w:ind w:left="79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5147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mirrorMargins/>
  <w:activeWritingStyle w:appName="MSWord" w:lang="en-US" w:vendorID="64" w:dllVersion="5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80897">
      <o:colormru v:ext="edit" colors="#d62a47"/>
      <o:colormenu v:ext="edit" strokecolor="#d62a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D7"/>
    <w:rsid w:val="00013002"/>
    <w:rsid w:val="00020FCC"/>
    <w:rsid w:val="00036EE3"/>
    <w:rsid w:val="00072484"/>
    <w:rsid w:val="00077E1F"/>
    <w:rsid w:val="00096612"/>
    <w:rsid w:val="00097C70"/>
    <w:rsid w:val="000A4E1F"/>
    <w:rsid w:val="000B7683"/>
    <w:rsid w:val="000D0677"/>
    <w:rsid w:val="000E6A6E"/>
    <w:rsid w:val="000F09B1"/>
    <w:rsid w:val="000F2C79"/>
    <w:rsid w:val="00102934"/>
    <w:rsid w:val="00127730"/>
    <w:rsid w:val="00131900"/>
    <w:rsid w:val="00135623"/>
    <w:rsid w:val="00147110"/>
    <w:rsid w:val="001511A6"/>
    <w:rsid w:val="00164A90"/>
    <w:rsid w:val="001720EB"/>
    <w:rsid w:val="00197B47"/>
    <w:rsid w:val="001A3850"/>
    <w:rsid w:val="001B6BE1"/>
    <w:rsid w:val="001D2D41"/>
    <w:rsid w:val="001D407F"/>
    <w:rsid w:val="001D53F9"/>
    <w:rsid w:val="002058CE"/>
    <w:rsid w:val="002165F1"/>
    <w:rsid w:val="0025422D"/>
    <w:rsid w:val="00272A10"/>
    <w:rsid w:val="00276D21"/>
    <w:rsid w:val="0028081E"/>
    <w:rsid w:val="00296D7F"/>
    <w:rsid w:val="002A3393"/>
    <w:rsid w:val="002A456B"/>
    <w:rsid w:val="002B3CF6"/>
    <w:rsid w:val="002C768A"/>
    <w:rsid w:val="002D76C4"/>
    <w:rsid w:val="002E2C47"/>
    <w:rsid w:val="002E75AF"/>
    <w:rsid w:val="002F5199"/>
    <w:rsid w:val="00305A41"/>
    <w:rsid w:val="00356B5D"/>
    <w:rsid w:val="0036003A"/>
    <w:rsid w:val="003646F2"/>
    <w:rsid w:val="003A38D7"/>
    <w:rsid w:val="003C38BA"/>
    <w:rsid w:val="003F73BD"/>
    <w:rsid w:val="00420DFD"/>
    <w:rsid w:val="00424855"/>
    <w:rsid w:val="00437A76"/>
    <w:rsid w:val="00457F7F"/>
    <w:rsid w:val="00470E28"/>
    <w:rsid w:val="00477D27"/>
    <w:rsid w:val="00484A27"/>
    <w:rsid w:val="004934C5"/>
    <w:rsid w:val="004A517F"/>
    <w:rsid w:val="004A73F4"/>
    <w:rsid w:val="004B5A61"/>
    <w:rsid w:val="004E05E5"/>
    <w:rsid w:val="004E1938"/>
    <w:rsid w:val="005411A1"/>
    <w:rsid w:val="00556548"/>
    <w:rsid w:val="00571788"/>
    <w:rsid w:val="005728F1"/>
    <w:rsid w:val="00586EF8"/>
    <w:rsid w:val="005A127F"/>
    <w:rsid w:val="005B49AB"/>
    <w:rsid w:val="005B50E7"/>
    <w:rsid w:val="005E7B4F"/>
    <w:rsid w:val="00601882"/>
    <w:rsid w:val="00607D68"/>
    <w:rsid w:val="006114CA"/>
    <w:rsid w:val="00613212"/>
    <w:rsid w:val="006149B1"/>
    <w:rsid w:val="00652125"/>
    <w:rsid w:val="00680D2B"/>
    <w:rsid w:val="00681B32"/>
    <w:rsid w:val="006B1D2B"/>
    <w:rsid w:val="006B3748"/>
    <w:rsid w:val="006E1131"/>
    <w:rsid w:val="006E2037"/>
    <w:rsid w:val="006E6199"/>
    <w:rsid w:val="00712870"/>
    <w:rsid w:val="00743D85"/>
    <w:rsid w:val="00753CF4"/>
    <w:rsid w:val="007565CC"/>
    <w:rsid w:val="00763B9A"/>
    <w:rsid w:val="007A6AA8"/>
    <w:rsid w:val="007D056D"/>
    <w:rsid w:val="007D45C4"/>
    <w:rsid w:val="008310C9"/>
    <w:rsid w:val="00852A54"/>
    <w:rsid w:val="00853CC5"/>
    <w:rsid w:val="00870848"/>
    <w:rsid w:val="008B6851"/>
    <w:rsid w:val="008C7848"/>
    <w:rsid w:val="008E79DF"/>
    <w:rsid w:val="00906589"/>
    <w:rsid w:val="00906AD6"/>
    <w:rsid w:val="00917AF2"/>
    <w:rsid w:val="0092418A"/>
    <w:rsid w:val="00934ED7"/>
    <w:rsid w:val="009543C3"/>
    <w:rsid w:val="00966E1B"/>
    <w:rsid w:val="0098568D"/>
    <w:rsid w:val="009947C0"/>
    <w:rsid w:val="009A1747"/>
    <w:rsid w:val="009D71E4"/>
    <w:rsid w:val="009E3058"/>
    <w:rsid w:val="009E7C05"/>
    <w:rsid w:val="009F2D2C"/>
    <w:rsid w:val="00A25DEC"/>
    <w:rsid w:val="00A31928"/>
    <w:rsid w:val="00A62A14"/>
    <w:rsid w:val="00A6617B"/>
    <w:rsid w:val="00A71FE5"/>
    <w:rsid w:val="00A971A1"/>
    <w:rsid w:val="00AA3AD8"/>
    <w:rsid w:val="00AB0DC8"/>
    <w:rsid w:val="00AF07E0"/>
    <w:rsid w:val="00AF302B"/>
    <w:rsid w:val="00B033C8"/>
    <w:rsid w:val="00B26EF5"/>
    <w:rsid w:val="00B33425"/>
    <w:rsid w:val="00B44E24"/>
    <w:rsid w:val="00B54ECC"/>
    <w:rsid w:val="00B714F3"/>
    <w:rsid w:val="00B76EC6"/>
    <w:rsid w:val="00B87B6B"/>
    <w:rsid w:val="00BA7A85"/>
    <w:rsid w:val="00BB283C"/>
    <w:rsid w:val="00BC5D77"/>
    <w:rsid w:val="00BF0366"/>
    <w:rsid w:val="00BF487A"/>
    <w:rsid w:val="00C46BD9"/>
    <w:rsid w:val="00C55258"/>
    <w:rsid w:val="00C63B7C"/>
    <w:rsid w:val="00C73560"/>
    <w:rsid w:val="00C871C4"/>
    <w:rsid w:val="00C904F9"/>
    <w:rsid w:val="00CA7519"/>
    <w:rsid w:val="00CB0F14"/>
    <w:rsid w:val="00CB5488"/>
    <w:rsid w:val="00CD659B"/>
    <w:rsid w:val="00CE0A43"/>
    <w:rsid w:val="00D10006"/>
    <w:rsid w:val="00D3493A"/>
    <w:rsid w:val="00D40303"/>
    <w:rsid w:val="00D54BEC"/>
    <w:rsid w:val="00D83556"/>
    <w:rsid w:val="00DA3801"/>
    <w:rsid w:val="00DF4176"/>
    <w:rsid w:val="00DF48BB"/>
    <w:rsid w:val="00E17240"/>
    <w:rsid w:val="00E31735"/>
    <w:rsid w:val="00E31B52"/>
    <w:rsid w:val="00E65104"/>
    <w:rsid w:val="00E74595"/>
    <w:rsid w:val="00E95305"/>
    <w:rsid w:val="00EB7C57"/>
    <w:rsid w:val="00ED2695"/>
    <w:rsid w:val="00ED5D31"/>
    <w:rsid w:val="00F074C2"/>
    <w:rsid w:val="00F30C9B"/>
    <w:rsid w:val="00F354B1"/>
    <w:rsid w:val="00F53FD3"/>
    <w:rsid w:val="00F76900"/>
    <w:rsid w:val="00FA5A91"/>
    <w:rsid w:val="00FB0E4E"/>
    <w:rsid w:val="00FC1B12"/>
    <w:rsid w:val="00FD3C61"/>
    <w:rsid w:val="00F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o:colormru v:ext="edit" colors="#d62a47"/>
      <o:colormenu v:ext="edit" strokecolor="#d62a47"/>
    </o:shapedefaults>
    <o:shapelayout v:ext="edit">
      <o:idmap v:ext="edit" data="1"/>
    </o:shapelayout>
  </w:shapeDefaults>
  <w:decimalSymbol w:val="."/>
  <w:listSeparator w:val=","/>
  <w14:docId w14:val="5EC59D31"/>
  <w15:docId w15:val="{2357FB50-BD2F-4DB5-AED4-2DD1D631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53F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5A127F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A127F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A127F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A127F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5A127F"/>
    <w:pPr>
      <w:outlineLvl w:val="4"/>
    </w:pPr>
  </w:style>
  <w:style w:type="paragraph" w:styleId="Heading6">
    <w:name w:val="heading 6"/>
    <w:basedOn w:val="Heading4"/>
    <w:next w:val="Normal"/>
    <w:qFormat/>
    <w:rsid w:val="005A127F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5A127F"/>
    <w:pPr>
      <w:outlineLvl w:val="6"/>
    </w:pPr>
  </w:style>
  <w:style w:type="paragraph" w:styleId="Heading8">
    <w:name w:val="heading 8"/>
    <w:basedOn w:val="Heading6"/>
    <w:next w:val="Normal"/>
    <w:qFormat/>
    <w:rsid w:val="005A127F"/>
    <w:pPr>
      <w:outlineLvl w:val="7"/>
    </w:pPr>
  </w:style>
  <w:style w:type="paragraph" w:styleId="Heading9">
    <w:name w:val="heading 9"/>
    <w:basedOn w:val="Heading6"/>
    <w:next w:val="Normal"/>
    <w:qFormat/>
    <w:rsid w:val="005A127F"/>
    <w:pPr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127F"/>
    <w:pPr>
      <w:tabs>
        <w:tab w:val="clear" w:pos="794"/>
        <w:tab w:val="clear" w:pos="1191"/>
        <w:tab w:val="clear" w:pos="1588"/>
        <w:tab w:val="clear" w:pos="1985"/>
        <w:tab w:val="center" w:pos="4848"/>
        <w:tab w:val="right" w:pos="9696"/>
      </w:tabs>
      <w:spacing w:before="0"/>
      <w:jc w:val="center"/>
    </w:pPr>
  </w:style>
  <w:style w:type="paragraph" w:styleId="Footer">
    <w:name w:val="footer"/>
    <w:basedOn w:val="Normal"/>
    <w:rsid w:val="005A127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noProof/>
      <w:sz w:val="18"/>
    </w:rPr>
  </w:style>
  <w:style w:type="character" w:styleId="PageNumber">
    <w:name w:val="page number"/>
    <w:basedOn w:val="DefaultParagraphFont"/>
    <w:rsid w:val="005A127F"/>
  </w:style>
  <w:style w:type="paragraph" w:customStyle="1" w:styleId="Headingb">
    <w:name w:val="Heading_b"/>
    <w:basedOn w:val="Heading3"/>
    <w:next w:val="Normal"/>
    <w:link w:val="HeadingbChar"/>
    <w:qFormat/>
    <w:rsid w:val="005A127F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5A127F"/>
    <w:pPr>
      <w:spacing w:before="160"/>
      <w:ind w:left="0" w:firstLine="0"/>
    </w:pPr>
    <w:rPr>
      <w:b w:val="0"/>
      <w:i/>
    </w:rPr>
  </w:style>
  <w:style w:type="character" w:customStyle="1" w:styleId="href">
    <w:name w:val="href"/>
    <w:basedOn w:val="DefaultParagraphFont"/>
    <w:rsid w:val="005A127F"/>
  </w:style>
  <w:style w:type="paragraph" w:customStyle="1" w:styleId="AnnexNoTitle">
    <w:name w:val="Annex_NoTitle"/>
    <w:basedOn w:val="Heading1"/>
    <w:next w:val="Normalaftertitle"/>
    <w:rsid w:val="002E2C47"/>
    <w:pPr>
      <w:spacing w:after="80"/>
      <w:ind w:left="0" w:firstLine="0"/>
      <w:jc w:val="center"/>
    </w:pPr>
    <w:rPr>
      <w:sz w:val="26"/>
    </w:rPr>
  </w:style>
  <w:style w:type="paragraph" w:customStyle="1" w:styleId="Normalaftertitle">
    <w:name w:val="Normal_after_title"/>
    <w:basedOn w:val="Normal"/>
    <w:next w:val="Normal"/>
    <w:rsid w:val="005A127F"/>
    <w:pPr>
      <w:spacing w:before="320"/>
    </w:pPr>
  </w:style>
  <w:style w:type="paragraph" w:customStyle="1" w:styleId="enumlev2">
    <w:name w:val="enumlev2"/>
    <w:basedOn w:val="enumlev1"/>
    <w:qFormat/>
    <w:rsid w:val="005A127F"/>
    <w:pPr>
      <w:ind w:left="1191" w:hanging="397"/>
    </w:pPr>
  </w:style>
  <w:style w:type="paragraph" w:customStyle="1" w:styleId="enumlev1">
    <w:name w:val="enumlev1"/>
    <w:basedOn w:val="Normal"/>
    <w:link w:val="enumlev1Char"/>
    <w:qFormat/>
    <w:rsid w:val="005A127F"/>
    <w:pPr>
      <w:spacing w:before="80"/>
      <w:ind w:left="794" w:hanging="794"/>
    </w:pPr>
  </w:style>
  <w:style w:type="paragraph" w:customStyle="1" w:styleId="enumlev3">
    <w:name w:val="enumlev3"/>
    <w:basedOn w:val="enumlev2"/>
    <w:rsid w:val="005A127F"/>
    <w:pPr>
      <w:ind w:left="1588"/>
    </w:pPr>
  </w:style>
  <w:style w:type="paragraph" w:customStyle="1" w:styleId="Note">
    <w:name w:val="Note"/>
    <w:basedOn w:val="Normal"/>
    <w:rsid w:val="008E79DF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RecNo">
    <w:name w:val="Rec_No"/>
    <w:basedOn w:val="Normal"/>
    <w:next w:val="Rectitle"/>
    <w:rsid w:val="000F09B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sz w:val="26"/>
    </w:rPr>
  </w:style>
  <w:style w:type="paragraph" w:customStyle="1" w:styleId="Rectitle">
    <w:name w:val="Rec_title"/>
    <w:basedOn w:val="Normal"/>
    <w:next w:val="Recref"/>
    <w:rsid w:val="000F09B1"/>
    <w:pPr>
      <w:keepNext/>
      <w:keepLines/>
      <w:spacing w:before="24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rsid w:val="005A127F"/>
    <w:pPr>
      <w:jc w:val="center"/>
    </w:pPr>
  </w:style>
  <w:style w:type="paragraph" w:customStyle="1" w:styleId="Recdate">
    <w:name w:val="Rec_date"/>
    <w:basedOn w:val="Recref"/>
    <w:next w:val="Normalaftertitle"/>
    <w:rsid w:val="005A127F"/>
    <w:pPr>
      <w:jc w:val="right"/>
    </w:pPr>
  </w:style>
  <w:style w:type="paragraph" w:customStyle="1" w:styleId="HeadingSum">
    <w:name w:val="Heading_Sum"/>
    <w:basedOn w:val="Headingb"/>
    <w:next w:val="Normal"/>
    <w:rsid w:val="005A127F"/>
    <w:pPr>
      <w:spacing w:before="240"/>
    </w:pPr>
    <w:rPr>
      <w:lang w:val="es-ES_tradnl"/>
    </w:rPr>
  </w:style>
  <w:style w:type="paragraph" w:customStyle="1" w:styleId="AppendixNoTitle">
    <w:name w:val="Appendix_NoTitle"/>
    <w:basedOn w:val="AnnexNoTitle"/>
    <w:next w:val="Normal"/>
    <w:rsid w:val="005A127F"/>
  </w:style>
  <w:style w:type="paragraph" w:customStyle="1" w:styleId="Tablefin">
    <w:name w:val="Table_fin"/>
    <w:basedOn w:val="Normal"/>
    <w:next w:val="Normal"/>
    <w:rsid w:val="005A127F"/>
    <w:pPr>
      <w:spacing w:before="0"/>
    </w:pPr>
    <w:rPr>
      <w:sz w:val="20"/>
      <w:lang w:val="en-GB"/>
    </w:rPr>
  </w:style>
  <w:style w:type="paragraph" w:customStyle="1" w:styleId="Tablehead">
    <w:name w:val="Table_head"/>
    <w:basedOn w:val="Normal"/>
    <w:next w:val="Normal"/>
    <w:rsid w:val="000F09B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0F09B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/>
      <w:ind w:left="284" w:right="-85" w:hanging="369"/>
    </w:pPr>
    <w:rPr>
      <w:sz w:val="20"/>
    </w:rPr>
  </w:style>
  <w:style w:type="paragraph" w:customStyle="1" w:styleId="TableNo">
    <w:name w:val="Table_No"/>
    <w:basedOn w:val="Normal"/>
    <w:next w:val="Normal"/>
    <w:rsid w:val="005A127F"/>
    <w:pPr>
      <w:keepNext/>
      <w:spacing w:before="360" w:after="120"/>
      <w:jc w:val="center"/>
    </w:pPr>
  </w:style>
  <w:style w:type="paragraph" w:customStyle="1" w:styleId="Tabletext">
    <w:name w:val="Table_text"/>
    <w:basedOn w:val="Normal"/>
    <w:rsid w:val="000F09B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Equation">
    <w:name w:val="Equation"/>
    <w:basedOn w:val="Normal"/>
    <w:link w:val="EquationeqChar"/>
    <w:rsid w:val="005A127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5A127F"/>
    <w:pPr>
      <w:tabs>
        <w:tab w:val="clear" w:pos="794"/>
        <w:tab w:val="clear" w:pos="1191"/>
        <w:tab w:val="clear" w:pos="1588"/>
        <w:tab w:val="right" w:pos="1701"/>
      </w:tabs>
      <w:spacing w:before="80"/>
      <w:ind w:left="1985" w:hanging="1985"/>
    </w:pPr>
    <w:rPr>
      <w:lang w:val="en-US"/>
    </w:rPr>
  </w:style>
  <w:style w:type="paragraph" w:styleId="NormalIndent">
    <w:name w:val="Normal Indent"/>
    <w:basedOn w:val="Normal"/>
    <w:rsid w:val="005A127F"/>
    <w:pPr>
      <w:ind w:left="794"/>
    </w:pPr>
  </w:style>
  <w:style w:type="paragraph" w:customStyle="1" w:styleId="Figurelegend">
    <w:name w:val="Figure_legend"/>
    <w:basedOn w:val="Normal"/>
    <w:rsid w:val="005A127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5A127F"/>
    <w:pPr>
      <w:keepNext/>
      <w:keepLines/>
      <w:spacing w:before="480" w:after="80"/>
      <w:jc w:val="center"/>
    </w:pPr>
    <w:rPr>
      <w:caps/>
      <w:sz w:val="18"/>
    </w:rPr>
  </w:style>
  <w:style w:type="paragraph" w:customStyle="1" w:styleId="Figuretitle">
    <w:name w:val="Figure_title"/>
    <w:basedOn w:val="Normal"/>
    <w:next w:val="Figure"/>
    <w:rsid w:val="005A127F"/>
    <w:pPr>
      <w:keepNext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Figure">
    <w:name w:val="Figure"/>
    <w:basedOn w:val="FigureNo"/>
    <w:next w:val="Normal"/>
    <w:rsid w:val="005A127F"/>
    <w:pPr>
      <w:keepNext w:val="0"/>
      <w:spacing w:before="0" w:after="240"/>
    </w:pPr>
  </w:style>
  <w:style w:type="paragraph" w:customStyle="1" w:styleId="tocpart">
    <w:name w:val="tocpart"/>
    <w:basedOn w:val="Normal"/>
    <w:rsid w:val="005A127F"/>
    <w:pPr>
      <w:tabs>
        <w:tab w:val="clear" w:pos="794"/>
        <w:tab w:val="clear" w:pos="1191"/>
        <w:tab w:val="clear" w:pos="1588"/>
        <w:tab w:val="clear" w:pos="1985"/>
        <w:tab w:val="left" w:pos="2693"/>
        <w:tab w:val="left" w:pos="8789"/>
        <w:tab w:val="right" w:pos="9639"/>
      </w:tabs>
      <w:ind w:left="2693" w:hanging="2693"/>
    </w:pPr>
  </w:style>
  <w:style w:type="paragraph" w:customStyle="1" w:styleId="ArtNo">
    <w:name w:val="Art_No"/>
    <w:basedOn w:val="Normal"/>
    <w:next w:val="Normal"/>
    <w:rsid w:val="000F09B1"/>
    <w:pPr>
      <w:keepNext/>
      <w:keepLines/>
      <w:spacing w:before="480"/>
      <w:jc w:val="center"/>
    </w:pPr>
    <w:rPr>
      <w:sz w:val="26"/>
    </w:rPr>
  </w:style>
  <w:style w:type="paragraph" w:customStyle="1" w:styleId="Arttitle">
    <w:name w:val="Art_title"/>
    <w:basedOn w:val="Normal"/>
    <w:next w:val="Normalaftertitle"/>
    <w:rsid w:val="000F09B1"/>
    <w:pPr>
      <w:keepNext/>
      <w:keepLines/>
      <w:spacing w:before="240"/>
      <w:jc w:val="center"/>
    </w:pPr>
    <w:rPr>
      <w:b/>
      <w:sz w:val="26"/>
    </w:rPr>
  </w:style>
  <w:style w:type="paragraph" w:customStyle="1" w:styleId="Blanc">
    <w:name w:val="Blanc"/>
    <w:basedOn w:val="Normal"/>
    <w:next w:val="Tabletext"/>
    <w:rsid w:val="005A127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16"/>
      <w:lang w:val="en-GB"/>
    </w:rPr>
  </w:style>
  <w:style w:type="paragraph" w:customStyle="1" w:styleId="ASN1">
    <w:name w:val="ASN.1"/>
    <w:basedOn w:val="Normal"/>
    <w:next w:val="Normal"/>
    <w:rsid w:val="005A127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5A127F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0F09B1"/>
    <w:rPr>
      <w:b/>
    </w:rPr>
  </w:style>
  <w:style w:type="paragraph" w:customStyle="1" w:styleId="Chaptitle">
    <w:name w:val="Chap_title"/>
    <w:basedOn w:val="Arttitle"/>
    <w:next w:val="Normalaftertitle"/>
    <w:rsid w:val="005A127F"/>
  </w:style>
  <w:style w:type="character" w:styleId="FootnoteReference">
    <w:name w:val="footnote reference"/>
    <w:aliases w:val="Footnote Reference/,Appel note de bas de p,Footnote symbol,Style 13,Style 12,(NECG) Footnote Reference,Style 124,Appel note de bas de p + 11 pt,Italic,Appel note de bas de p1,Appel note de bas de p2,Appel note de bas de p3,o,fr,FR,Ref"/>
    <w:basedOn w:val="DefaultParagraphFont"/>
    <w:qFormat/>
    <w:rsid w:val="001D53F9"/>
    <w:rPr>
      <w:position w:val="6"/>
      <w:sz w:val="16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,DNV"/>
    <w:basedOn w:val="Normal"/>
    <w:link w:val="FootnoteTextChar"/>
    <w:qFormat/>
    <w:rsid w:val="001D53F9"/>
    <w:pPr>
      <w:keepLines/>
      <w:tabs>
        <w:tab w:val="left" w:pos="284"/>
      </w:tabs>
      <w:spacing w:before="60"/>
      <w:ind w:left="284" w:hanging="284"/>
    </w:pPr>
    <w:rPr>
      <w:sz w:val="20"/>
    </w:rPr>
  </w:style>
  <w:style w:type="paragraph" w:styleId="Index1">
    <w:name w:val="index 1"/>
    <w:basedOn w:val="Normal"/>
    <w:next w:val="Normal"/>
    <w:semiHidden/>
    <w:rsid w:val="005A127F"/>
  </w:style>
  <w:style w:type="paragraph" w:styleId="Index2">
    <w:name w:val="index 2"/>
    <w:basedOn w:val="Normal"/>
    <w:next w:val="Normal"/>
    <w:semiHidden/>
    <w:rsid w:val="005A127F"/>
    <w:pPr>
      <w:ind w:left="283"/>
    </w:pPr>
  </w:style>
  <w:style w:type="paragraph" w:styleId="Index3">
    <w:name w:val="index 3"/>
    <w:basedOn w:val="Normal"/>
    <w:next w:val="Normal"/>
    <w:semiHidden/>
    <w:rsid w:val="005A127F"/>
    <w:pPr>
      <w:ind w:left="566"/>
    </w:pPr>
  </w:style>
  <w:style w:type="paragraph" w:styleId="IndexHeading">
    <w:name w:val="index heading"/>
    <w:basedOn w:val="Normal"/>
    <w:next w:val="Index1"/>
    <w:semiHidden/>
    <w:rsid w:val="005A127F"/>
  </w:style>
  <w:style w:type="paragraph" w:customStyle="1" w:styleId="Line">
    <w:name w:val="Line"/>
    <w:basedOn w:val="Normal"/>
    <w:next w:val="Normal"/>
    <w:rsid w:val="005A127F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/>
      <w:ind w:left="3997" w:right="3997"/>
      <w:jc w:val="center"/>
    </w:pPr>
    <w:rPr>
      <w:sz w:val="20"/>
      <w:lang w:val="en-GB"/>
    </w:rPr>
  </w:style>
  <w:style w:type="paragraph" w:customStyle="1" w:styleId="toctemp">
    <w:name w:val="toctemp"/>
    <w:basedOn w:val="Normal"/>
    <w:rsid w:val="005A127F"/>
    <w:pPr>
      <w:tabs>
        <w:tab w:val="clear" w:pos="794"/>
        <w:tab w:val="clear" w:pos="1191"/>
        <w:tab w:val="clear" w:pos="1588"/>
        <w:tab w:val="clear" w:pos="1985"/>
        <w:tab w:val="left" w:pos="2693"/>
        <w:tab w:val="left" w:leader="dot" w:pos="8789"/>
        <w:tab w:val="right" w:pos="9639"/>
      </w:tabs>
      <w:ind w:left="2693" w:right="964" w:hanging="2693"/>
    </w:pPr>
  </w:style>
  <w:style w:type="paragraph" w:customStyle="1" w:styleId="PartNo">
    <w:name w:val="Part_No"/>
    <w:basedOn w:val="Normal"/>
    <w:next w:val="Normal"/>
    <w:rsid w:val="005A127F"/>
  </w:style>
  <w:style w:type="paragraph" w:customStyle="1" w:styleId="Partref">
    <w:name w:val="Part_ref"/>
    <w:basedOn w:val="Normal"/>
    <w:next w:val="Normal"/>
    <w:rsid w:val="005A127F"/>
    <w:pPr>
      <w:keepNext/>
      <w:keepLines/>
      <w:spacing w:after="280"/>
      <w:jc w:val="center"/>
    </w:pPr>
  </w:style>
  <w:style w:type="paragraph" w:customStyle="1" w:styleId="Parttitle">
    <w:name w:val="Part_title"/>
    <w:basedOn w:val="Normal"/>
    <w:next w:val="Normalaftertitle"/>
    <w:rsid w:val="000F09B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6"/>
    </w:rPr>
  </w:style>
  <w:style w:type="paragraph" w:customStyle="1" w:styleId="Questiondate">
    <w:name w:val="Question_date"/>
    <w:basedOn w:val="Recdate"/>
    <w:next w:val="Normalaftertitle"/>
    <w:rsid w:val="005A127F"/>
  </w:style>
  <w:style w:type="paragraph" w:customStyle="1" w:styleId="QuestionNo">
    <w:name w:val="Question_No"/>
    <w:basedOn w:val="RecNo"/>
    <w:next w:val="Normal"/>
    <w:rsid w:val="000F09B1"/>
  </w:style>
  <w:style w:type="paragraph" w:customStyle="1" w:styleId="Questionref">
    <w:name w:val="Question_ref"/>
    <w:basedOn w:val="Recref"/>
    <w:next w:val="Questiondate"/>
    <w:rsid w:val="005A127F"/>
  </w:style>
  <w:style w:type="paragraph" w:customStyle="1" w:styleId="Questiontitle">
    <w:name w:val="Question_title"/>
    <w:basedOn w:val="Normal"/>
    <w:next w:val="Questionref"/>
    <w:rsid w:val="005A127F"/>
  </w:style>
  <w:style w:type="paragraph" w:customStyle="1" w:styleId="Reftext">
    <w:name w:val="Ref_text"/>
    <w:basedOn w:val="Normal"/>
    <w:rsid w:val="005A127F"/>
    <w:pPr>
      <w:ind w:left="794" w:hanging="794"/>
    </w:pPr>
  </w:style>
  <w:style w:type="paragraph" w:customStyle="1" w:styleId="Reftitle">
    <w:name w:val="Ref_title"/>
    <w:basedOn w:val="Normal"/>
    <w:next w:val="Reftext"/>
    <w:rsid w:val="000F09B1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6"/>
    </w:rPr>
  </w:style>
  <w:style w:type="paragraph" w:customStyle="1" w:styleId="Repdate">
    <w:name w:val="Rep_date"/>
    <w:basedOn w:val="Recdate"/>
    <w:next w:val="Normal"/>
    <w:rsid w:val="005A127F"/>
  </w:style>
  <w:style w:type="paragraph" w:customStyle="1" w:styleId="RepNo">
    <w:name w:val="Rep_No"/>
    <w:basedOn w:val="RecNo"/>
    <w:next w:val="Reptitle"/>
    <w:rsid w:val="000F09B1"/>
  </w:style>
  <w:style w:type="paragraph" w:customStyle="1" w:styleId="Reptitle">
    <w:name w:val="Rep_title"/>
    <w:basedOn w:val="Rectitle"/>
    <w:next w:val="Repref"/>
    <w:rsid w:val="000F09B1"/>
  </w:style>
  <w:style w:type="paragraph" w:customStyle="1" w:styleId="Repref">
    <w:name w:val="Rep_ref"/>
    <w:basedOn w:val="Recref"/>
    <w:next w:val="Repdate"/>
    <w:rsid w:val="005A127F"/>
  </w:style>
  <w:style w:type="paragraph" w:customStyle="1" w:styleId="Resdate">
    <w:name w:val="Res_date"/>
    <w:basedOn w:val="Recdate"/>
    <w:next w:val="Normalaftertitle"/>
    <w:rsid w:val="005A127F"/>
  </w:style>
  <w:style w:type="paragraph" w:customStyle="1" w:styleId="ResNo">
    <w:name w:val="Res_No"/>
    <w:basedOn w:val="RecNo"/>
    <w:next w:val="Restitle"/>
    <w:rsid w:val="000F09B1"/>
  </w:style>
  <w:style w:type="paragraph" w:customStyle="1" w:styleId="Restitle">
    <w:name w:val="Res_title"/>
    <w:basedOn w:val="Normal"/>
    <w:next w:val="Resref"/>
    <w:rsid w:val="000F09B1"/>
    <w:pPr>
      <w:spacing w:before="240"/>
      <w:jc w:val="center"/>
    </w:pPr>
    <w:rPr>
      <w:b/>
      <w:sz w:val="26"/>
    </w:rPr>
  </w:style>
  <w:style w:type="paragraph" w:customStyle="1" w:styleId="Resref">
    <w:name w:val="Res_ref"/>
    <w:basedOn w:val="Recref"/>
    <w:next w:val="Resdate"/>
    <w:rsid w:val="005A127F"/>
  </w:style>
  <w:style w:type="paragraph" w:customStyle="1" w:styleId="SectionNo">
    <w:name w:val="Section_No"/>
    <w:basedOn w:val="Normal"/>
    <w:next w:val="Normal"/>
    <w:rsid w:val="005A127F"/>
  </w:style>
  <w:style w:type="paragraph" w:customStyle="1" w:styleId="Sectiontitle">
    <w:name w:val="Section_title"/>
    <w:basedOn w:val="Normal"/>
    <w:next w:val="Normalaftertitle"/>
    <w:rsid w:val="000F09B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6"/>
    </w:rPr>
  </w:style>
  <w:style w:type="paragraph" w:customStyle="1" w:styleId="toc0">
    <w:name w:val="toc 0"/>
    <w:basedOn w:val="Normal"/>
    <w:next w:val="TOC1"/>
    <w:rsid w:val="005A127F"/>
    <w:pPr>
      <w:tabs>
        <w:tab w:val="clear" w:pos="794"/>
        <w:tab w:val="clear" w:pos="1191"/>
        <w:tab w:val="clear" w:pos="1588"/>
        <w:tab w:val="clear" w:pos="1985"/>
        <w:tab w:val="right" w:pos="9611"/>
      </w:tabs>
    </w:pPr>
    <w:rPr>
      <w:i/>
    </w:rPr>
  </w:style>
  <w:style w:type="paragraph" w:styleId="TOC1">
    <w:name w:val="toc 1"/>
    <w:basedOn w:val="Normal"/>
    <w:semiHidden/>
    <w:rsid w:val="005A127F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leader="dot" w:pos="8789"/>
        <w:tab w:val="right" w:pos="9611"/>
      </w:tabs>
      <w:spacing w:before="240"/>
      <w:ind w:left="567" w:right="851" w:hanging="567"/>
    </w:pPr>
    <w:rPr>
      <w:lang w:val="en-US"/>
    </w:rPr>
  </w:style>
  <w:style w:type="paragraph" w:styleId="TOC2">
    <w:name w:val="toc 2"/>
    <w:basedOn w:val="TOC1"/>
    <w:semiHidden/>
    <w:rsid w:val="005A127F"/>
    <w:pPr>
      <w:tabs>
        <w:tab w:val="clear" w:pos="567"/>
        <w:tab w:val="left" w:pos="1276"/>
      </w:tabs>
      <w:spacing w:before="160"/>
      <w:ind w:left="1276" w:hanging="709"/>
    </w:pPr>
  </w:style>
  <w:style w:type="paragraph" w:styleId="TOC3">
    <w:name w:val="toc 3"/>
    <w:basedOn w:val="TOC2"/>
    <w:semiHidden/>
    <w:rsid w:val="005A127F"/>
    <w:pPr>
      <w:tabs>
        <w:tab w:val="clear" w:pos="1276"/>
        <w:tab w:val="left" w:pos="2155"/>
      </w:tabs>
      <w:ind w:left="2155" w:hanging="879"/>
    </w:pPr>
  </w:style>
  <w:style w:type="paragraph" w:styleId="TOC4">
    <w:name w:val="toc 4"/>
    <w:basedOn w:val="TOC3"/>
    <w:semiHidden/>
    <w:rsid w:val="005A127F"/>
    <w:pPr>
      <w:tabs>
        <w:tab w:val="left" w:pos="3261"/>
      </w:tabs>
      <w:spacing w:before="80"/>
      <w:ind w:left="3261" w:hanging="993"/>
    </w:pPr>
  </w:style>
  <w:style w:type="paragraph" w:styleId="TOC5">
    <w:name w:val="toc 5"/>
    <w:basedOn w:val="TOC4"/>
    <w:semiHidden/>
    <w:rsid w:val="005A127F"/>
  </w:style>
  <w:style w:type="paragraph" w:styleId="TOC6">
    <w:name w:val="toc 6"/>
    <w:basedOn w:val="TOC4"/>
    <w:semiHidden/>
    <w:rsid w:val="005A127F"/>
  </w:style>
  <w:style w:type="paragraph" w:styleId="TOC7">
    <w:name w:val="toc 7"/>
    <w:basedOn w:val="TOC4"/>
    <w:semiHidden/>
    <w:rsid w:val="005A127F"/>
  </w:style>
  <w:style w:type="paragraph" w:styleId="TOC8">
    <w:name w:val="toc 8"/>
    <w:basedOn w:val="TOC4"/>
    <w:semiHidden/>
    <w:rsid w:val="005A127F"/>
  </w:style>
  <w:style w:type="paragraph" w:customStyle="1" w:styleId="Annexref">
    <w:name w:val="Annex_ref"/>
    <w:basedOn w:val="Normal"/>
    <w:next w:val="Normalaftertitle"/>
    <w:rsid w:val="005A127F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Normalaftertitle"/>
    <w:rsid w:val="005A127F"/>
  </w:style>
  <w:style w:type="paragraph" w:customStyle="1" w:styleId="Tabletitle">
    <w:name w:val="Table_title"/>
    <w:basedOn w:val="Normal"/>
    <w:next w:val="Tablehead"/>
    <w:rsid w:val="005A127F"/>
    <w:pPr>
      <w:keepNext/>
      <w:spacing w:before="0" w:after="120"/>
      <w:jc w:val="center"/>
    </w:pPr>
    <w:rPr>
      <w:b/>
    </w:rPr>
  </w:style>
  <w:style w:type="paragraph" w:customStyle="1" w:styleId="Summary">
    <w:name w:val="Summary"/>
    <w:basedOn w:val="Normal"/>
    <w:next w:val="Normalaftertitle"/>
    <w:rsid w:val="005A127F"/>
    <w:pPr>
      <w:spacing w:after="480"/>
    </w:pPr>
    <w:rPr>
      <w:lang w:val="es-ES_tradnl"/>
    </w:rPr>
  </w:style>
  <w:style w:type="character" w:styleId="Hyperlink">
    <w:name w:val="Hyperlink"/>
    <w:basedOn w:val="DefaultParagraphFont"/>
    <w:rsid w:val="00934ED7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52A54"/>
    <w:rPr>
      <w:sz w:val="24"/>
      <w:lang w:val="fr-FR" w:eastAsia="en-US"/>
    </w:rPr>
  </w:style>
  <w:style w:type="paragraph" w:customStyle="1" w:styleId="TableLegendNote">
    <w:name w:val="Table_Legend_Note"/>
    <w:basedOn w:val="Tablelegend"/>
    <w:next w:val="Tablelegend"/>
    <w:rsid w:val="00097C70"/>
    <w:pPr>
      <w:ind w:left="-85" w:firstLine="0"/>
    </w:pPr>
    <w:rPr>
      <w:lang w:val="en-US"/>
    </w:rPr>
  </w:style>
  <w:style w:type="table" w:styleId="TableGrid">
    <w:name w:val="Table Grid"/>
    <w:basedOn w:val="TableNormal"/>
    <w:uiPriority w:val="39"/>
    <w:rsid w:val="009E7C0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Number">
    <w:name w:val="Cover Number"/>
    <w:basedOn w:val="Normal"/>
    <w:qFormat/>
    <w:rsid w:val="009E7C05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93"/>
      <w:ind w:left="284"/>
      <w:jc w:val="left"/>
      <w:textAlignment w:val="auto"/>
      <w:outlineLvl w:val="0"/>
    </w:pPr>
    <w:rPr>
      <w:rFonts w:ascii="Arial" w:eastAsia="AvenirNext LT Pro Medium" w:hAnsi="Arial" w:cs="AvenirNext LT Pro Medium"/>
      <w:b/>
      <w:bCs/>
      <w:spacing w:val="-10"/>
      <w:sz w:val="44"/>
      <w:szCs w:val="52"/>
      <w:lang w:val="en-US"/>
    </w:rPr>
  </w:style>
  <w:style w:type="paragraph" w:customStyle="1" w:styleId="CoverDate">
    <w:name w:val="Cover Date"/>
    <w:basedOn w:val="Normal"/>
    <w:qFormat/>
    <w:rsid w:val="009E7C05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126"/>
      <w:ind w:left="284"/>
      <w:jc w:val="left"/>
      <w:textAlignment w:val="auto"/>
    </w:pPr>
    <w:rPr>
      <w:rFonts w:ascii="Arial" w:eastAsia="AvenirNext LT Pro Regular" w:hAnsi="Arial" w:cs="AvenirNext LT Pro Regular"/>
      <w:b/>
      <w:spacing w:val="-2"/>
      <w:sz w:val="36"/>
      <w:szCs w:val="22"/>
      <w:lang w:val="en-US"/>
    </w:rPr>
  </w:style>
  <w:style w:type="paragraph" w:customStyle="1" w:styleId="CoverSeries">
    <w:name w:val="Cover Series"/>
    <w:basedOn w:val="Normal"/>
    <w:qFormat/>
    <w:rsid w:val="009E7C05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241" w:line="244" w:lineRule="auto"/>
      <w:ind w:left="284"/>
      <w:jc w:val="left"/>
      <w:textAlignment w:val="auto"/>
    </w:pPr>
    <w:rPr>
      <w:rFonts w:ascii="Arial" w:eastAsia="AvenirNext LT Pro Regular" w:hAnsi="Arial" w:cs="AvenirNext LT Pro Regular"/>
      <w:bCs/>
      <w:color w:val="1A1A1A"/>
      <w:spacing w:val="-4"/>
      <w:sz w:val="40"/>
      <w:szCs w:val="48"/>
      <w:lang w:val="en-US"/>
    </w:rPr>
  </w:style>
  <w:style w:type="paragraph" w:customStyle="1" w:styleId="CoverTitle">
    <w:name w:val="Cover Title"/>
    <w:basedOn w:val="Normal"/>
    <w:qFormat/>
    <w:rsid w:val="009E7C05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338" w:line="244" w:lineRule="auto"/>
      <w:ind w:left="284" w:right="1002"/>
      <w:jc w:val="left"/>
      <w:textAlignment w:val="auto"/>
    </w:pPr>
    <w:rPr>
      <w:rFonts w:ascii="Arial" w:eastAsia="AvenirNext LT Pro Regular" w:hAnsi="Arial" w:cs="AvenirNext LT Pro Regular"/>
      <w:b/>
      <w:bCs/>
      <w:sz w:val="44"/>
      <w:szCs w:val="48"/>
      <w:lang w:val="en-US"/>
    </w:rPr>
  </w:style>
  <w:style w:type="paragraph" w:customStyle="1" w:styleId="AnnexNo">
    <w:name w:val="Annex_No"/>
    <w:basedOn w:val="Normal"/>
    <w:next w:val="Normal"/>
    <w:link w:val="AnnexNoChar"/>
    <w:rsid w:val="00E3173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6"/>
      <w:lang w:val="en-GB"/>
    </w:rPr>
  </w:style>
  <w:style w:type="paragraph" w:customStyle="1" w:styleId="Annextitle">
    <w:name w:val="Annex_title"/>
    <w:basedOn w:val="Normal"/>
    <w:next w:val="Normal"/>
    <w:rsid w:val="00E3173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b/>
      <w:sz w:val="26"/>
      <w:lang w:val="en-GB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,DNV Char"/>
    <w:basedOn w:val="DefaultParagraphFont"/>
    <w:link w:val="FootnoteText"/>
    <w:qFormat/>
    <w:rsid w:val="00E31735"/>
    <w:rPr>
      <w:lang w:val="fr-FR" w:eastAsia="en-US"/>
    </w:rPr>
  </w:style>
  <w:style w:type="paragraph" w:customStyle="1" w:styleId="Normalaftertitle0">
    <w:name w:val="Normal after title"/>
    <w:basedOn w:val="Normal"/>
    <w:next w:val="Normal"/>
    <w:rsid w:val="00E3173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en-GB"/>
    </w:rPr>
  </w:style>
  <w:style w:type="character" w:customStyle="1" w:styleId="HeadingbChar">
    <w:name w:val="Heading_b Char"/>
    <w:link w:val="Headingb"/>
    <w:qFormat/>
    <w:locked/>
    <w:rsid w:val="00E31735"/>
    <w:rPr>
      <w:b/>
      <w:sz w:val="22"/>
      <w:lang w:val="fr-FR" w:eastAsia="en-US"/>
    </w:rPr>
  </w:style>
  <w:style w:type="character" w:customStyle="1" w:styleId="AnnexNoChar">
    <w:name w:val="Annex_No Char"/>
    <w:basedOn w:val="DefaultParagraphFont"/>
    <w:link w:val="AnnexNo"/>
    <w:locked/>
    <w:rsid w:val="00E31735"/>
    <w:rPr>
      <w:caps/>
      <w:sz w:val="26"/>
      <w:lang w:val="en-GB" w:eastAsia="en-US"/>
    </w:rPr>
  </w:style>
  <w:style w:type="character" w:customStyle="1" w:styleId="enumlev1Char">
    <w:name w:val="enumlev1 Char"/>
    <w:basedOn w:val="DefaultParagraphFont"/>
    <w:link w:val="enumlev1"/>
    <w:qFormat/>
    <w:locked/>
    <w:rsid w:val="00E31735"/>
    <w:rPr>
      <w:sz w:val="22"/>
      <w:lang w:val="fr-FR" w:eastAsia="en-US"/>
    </w:rPr>
  </w:style>
  <w:style w:type="character" w:customStyle="1" w:styleId="EquationeqChar">
    <w:name w:val="Equation.eq Char"/>
    <w:basedOn w:val="DefaultParagraphFont"/>
    <w:link w:val="Equation"/>
    <w:locked/>
    <w:rsid w:val="00E31735"/>
    <w:rPr>
      <w:sz w:val="22"/>
      <w:lang w:val="fr-FR" w:eastAsia="en-US"/>
    </w:rPr>
  </w:style>
  <w:style w:type="paragraph" w:customStyle="1" w:styleId="Reasons">
    <w:name w:val="Reasons"/>
    <w:basedOn w:val="Normal"/>
    <w:qFormat/>
    <w:rsid w:val="001720E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yperlink" Target="https://www.itu.int/pub/R-HDB-52" TargetMode="External"/><Relationship Id="rId21" Type="http://schemas.openxmlformats.org/officeDocument/2006/relationships/hyperlink" Target="https://www.itu.int/rec/R-REC-M.1902/en" TargetMode="External"/><Relationship Id="rId34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yperlink" Target="https://www.itu.int/pub/R-REP-M.2532" TargetMode="External"/><Relationship Id="rId33" Type="http://schemas.openxmlformats.org/officeDocument/2006/relationships/footer" Target="footer5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www.itu.int/rec/R-REC-M.1787/en" TargetMode="External"/><Relationship Id="rId29" Type="http://schemas.openxmlformats.org/officeDocument/2006/relationships/hyperlink" Target="https://www.itu.int/rec/R-REC-M.1902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itu.int/pub/R-REP-M/publications.aspx?lang=en&amp;parent=R-REP-M.2513" TargetMode="External"/><Relationship Id="rId32" Type="http://schemas.openxmlformats.org/officeDocument/2006/relationships/header" Target="header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l/R-REC/ru" TargetMode="External"/><Relationship Id="rId23" Type="http://schemas.openxmlformats.org/officeDocument/2006/relationships/hyperlink" Target="https://www.itu.int/pub/R-REP-M.2458" TargetMode="External"/><Relationship Id="rId28" Type="http://schemas.openxmlformats.org/officeDocument/2006/relationships/hyperlink" Target="https://www.itu.int/pub/R-REP-M/publications.aspx?lang=en&amp;parent=R-REP-M.2513" TargetMode="External"/><Relationship Id="rId36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yperlink" Target="https://www.itu.int/rec/R-REC-M.1732/en" TargetMode="External"/><Relationship Id="rId31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itu.int/ITU-R/go/patents/ru" TargetMode="External"/><Relationship Id="rId22" Type="http://schemas.openxmlformats.org/officeDocument/2006/relationships/hyperlink" Target="https://www.itu.int/rec/R-REC-M.2030/en" TargetMode="External"/><Relationship Id="rId27" Type="http://schemas.openxmlformats.org/officeDocument/2006/relationships/hyperlink" Target="https://www.itu.int/pub/R-REP-M.2532" TargetMode="External"/><Relationship Id="rId30" Type="http://schemas.openxmlformats.org/officeDocument/2006/relationships/hyperlink" Target="https://www.itu.int/rec/R-REC-M.1902/en" TargetMode="External"/><Relationship Id="rId35" Type="http://schemas.openxmlformats.org/officeDocument/2006/relationships/header" Target="header8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yeva\Application%20Data\Microsoft\Templates\QuickPub\BR_Rec_200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B84A7-45CB-4024-B458-539945B0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BR_Rec_2005.dotm</Template>
  <TotalTime>53</TotalTime>
  <Pages>7</Pages>
  <Words>1690</Words>
  <Characters>12449</Characters>
  <Application>Microsoft Office Word</Application>
  <DocSecurity>0</DocSecurity>
  <Lines>270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РЕКОМЕНДАЦИЯ  МСЭ-R  M.2164-0( - Руководство по техническим и эксплуатационным мерам по использованию полосы частот 1240−1300 МГц любительской и любительской спутниковой службами, предназначенным для защиты радионавигационной  спутниковой службы (космос-З</vt:lpstr>
    </vt:vector>
  </TitlesOfParts>
  <Manager/>
  <Company>ITU</Company>
  <LinksUpToDate>false</LinksUpToDate>
  <CharactersWithSpaces>13979</CharactersWithSpaces>
  <SharedDoc>false</SharedDoc>
  <HLinks>
    <vt:vector size="12" baseType="variant">
      <vt:variant>
        <vt:i4>1114207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http://www.itu.int/publications/R-REC/en</vt:lpwstr>
      </vt:variant>
      <vt:variant>
        <vt:lpwstr/>
      </vt:variant>
      <vt:variant>
        <vt:i4>3997742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http://www.itu.int/ITU-R/go/patents/en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РЕКОМЕНДАЦИЯ  МСЭ-R  M.2164-0 (11/2023) Руководство по техническим и эксплуатационным мерам по использованию полосы частот 1240−1300 МГц любительской и любительской спутниковой службами, предназначенным для защиты радионавигационной  спутниковой службы (космос-Земля)</dc:title>
  <dc:subject>M Series = Mobile, radiodetermination, amateur and related satellite services</dc:subject>
  <dc:creator>ITU Radiocommunication Bureau (BR)</dc:creator>
  <cp:keywords>M,2164-0</cp:keywords>
  <dc:description>Berdyeva, 01/08/24, ITU51017645</dc:description>
  <cp:lastModifiedBy>Berdyeva, Elena</cp:lastModifiedBy>
  <cp:revision>26</cp:revision>
  <cp:lastPrinted>2024-01-08T09:12:00Z</cp:lastPrinted>
  <dcterms:created xsi:type="dcterms:W3CDTF">2024-01-08T08:12:00Z</dcterms:created>
  <dcterms:modified xsi:type="dcterms:W3CDTF">2024-01-08T09:14:00Z</dcterms:modified>
  <cp:category>Template:  BR_Rec_2005.dot   (dès 25.10.2002)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Rec. </vt:lpwstr>
  </property>
  <property fmtid="{D5CDD505-2E9C-101B-9397-08002B2CF9AE}" pid="3" name="Header 1">
    <vt:lpwstr>Rap. </vt:lpwstr>
  </property>
  <property fmtid="{D5CDD505-2E9C-101B-9397-08002B2CF9AE}" pid="4" name="Header 2">
    <vt:lpwstr>Rep. </vt:lpwstr>
  </property>
  <property fmtid="{D5CDD505-2E9C-101B-9397-08002B2CF9AE}" pid="5" name="Header 3">
    <vt:lpwstr>I. </vt:lpwstr>
  </property>
  <property fmtid="{D5CDD505-2E9C-101B-9397-08002B2CF9AE}" pid="6" name="Header 4">
    <vt:lpwstr>Op. </vt:lpwstr>
  </property>
  <property fmtid="{D5CDD505-2E9C-101B-9397-08002B2CF9AE}" pid="7" name="Header 5">
    <vt:lpwstr>V. </vt:lpwstr>
  </property>
  <property fmtid="{D5CDD505-2E9C-101B-9397-08002B2CF9AE}" pid="8" name="Header 6">
    <vt:lpwstr>Ru. </vt:lpwstr>
  </property>
  <property fmtid="{D5CDD505-2E9C-101B-9397-08002B2CF9AE}" pid="9" name="Language">
    <vt:lpwstr>Russian</vt:lpwstr>
  </property>
  <property fmtid="{D5CDD505-2E9C-101B-9397-08002B2CF9AE}" pid="10" name="Typist">
    <vt:lpwstr>Berdyeva</vt:lpwstr>
  </property>
  <property fmtid="{D5CDD505-2E9C-101B-9397-08002B2CF9AE}" pid="11" name="Date completed">
    <vt:lpwstr>Monday, January 8, 2024</vt:lpwstr>
  </property>
</Properties>
</file>