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p w:rsidR="00B1008F" w:rsidRDefault="00B1008F" w:rsidP="00B1008F"/>
    <w:tbl>
      <w:tblPr>
        <w:tblW w:w="10089" w:type="dxa"/>
        <w:tblLook w:val="01E0" w:firstRow="1" w:lastRow="1" w:firstColumn="1" w:lastColumn="1" w:noHBand="0" w:noVBand="0"/>
      </w:tblPr>
      <w:tblGrid>
        <w:gridCol w:w="10089"/>
      </w:tblGrid>
      <w:tr w:rsidR="00B1008F" w:rsidRPr="004F65E4" w:rsidTr="006B4902">
        <w:tc>
          <w:tcPr>
            <w:tcW w:w="10089" w:type="dxa"/>
          </w:tcPr>
          <w:p w:rsidR="00B1008F" w:rsidRPr="001511A6" w:rsidRDefault="00B1008F" w:rsidP="006B4902">
            <w:pPr>
              <w:spacing w:before="380" w:line="280" w:lineRule="exact"/>
              <w:jc w:val="right"/>
              <w:rPr>
                <w:rFonts w:ascii="Tahoma" w:hAnsi="Tahoma" w:cs="Tahoma"/>
                <w:b/>
                <w:bCs/>
                <w:iCs/>
                <w:color w:val="243285"/>
                <w:sz w:val="32"/>
                <w:szCs w:val="32"/>
                <w:lang w:val="en-US"/>
              </w:rPr>
            </w:pPr>
          </w:p>
          <w:p w:rsidR="00B1008F" w:rsidRPr="004F65E4" w:rsidRDefault="00B1008F" w:rsidP="006B490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690-2</w:t>
            </w:r>
          </w:p>
          <w:p w:rsidR="00B1008F" w:rsidRPr="004F65E4" w:rsidRDefault="00B1008F" w:rsidP="009B05D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9B05D0">
              <w:rPr>
                <w:rFonts w:ascii="Tahoma" w:hAnsi="Tahoma" w:cs="Tahoma"/>
                <w:b/>
                <w:bCs/>
                <w:iCs/>
                <w:color w:val="243285"/>
                <w:szCs w:val="24"/>
              </w:rPr>
              <w:t>3</w:t>
            </w:r>
            <w:bookmarkStart w:id="0" w:name="_GoBack"/>
            <w:bookmarkEnd w:id="0"/>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B1008F" w:rsidRPr="009B05D0" w:rsidTr="006B4902">
        <w:tc>
          <w:tcPr>
            <w:tcW w:w="10089" w:type="dxa"/>
          </w:tcPr>
          <w:p w:rsidR="00B1008F" w:rsidRPr="003E1DED" w:rsidRDefault="00B1008F" w:rsidP="00B1008F">
            <w:pPr>
              <w:spacing w:before="80" w:line="500" w:lineRule="exact"/>
              <w:jc w:val="right"/>
              <w:rPr>
                <w:rFonts w:ascii="Tahoma" w:hAnsi="Tahoma" w:cs="Tahoma"/>
                <w:b/>
                <w:bCs/>
                <w:iCs/>
                <w:color w:val="243285"/>
                <w:sz w:val="44"/>
                <w:szCs w:val="44"/>
                <w:lang w:val="en-US"/>
              </w:rPr>
            </w:pPr>
            <w:r w:rsidRPr="00B1008F">
              <w:rPr>
                <w:rFonts w:ascii="Tahoma" w:hAnsi="Tahoma" w:cs="Tahoma"/>
                <w:b/>
                <w:bCs/>
                <w:iCs/>
                <w:color w:val="243285"/>
                <w:sz w:val="44"/>
                <w:szCs w:val="44"/>
                <w:lang w:val="en-US"/>
              </w:rPr>
              <w:t xml:space="preserve">Technical characteristics of emergency position-indicating radio beacons </w:t>
            </w:r>
            <w:r w:rsidRPr="00B1008F">
              <w:rPr>
                <w:rFonts w:ascii="Tahoma" w:hAnsi="Tahoma" w:cs="Tahoma"/>
                <w:b/>
                <w:bCs/>
                <w:iCs/>
                <w:color w:val="243285"/>
                <w:sz w:val="44"/>
                <w:szCs w:val="44"/>
                <w:lang w:val="en-US"/>
              </w:rPr>
              <w:br/>
              <w:t xml:space="preserve">operating on the carrier frequencies </w:t>
            </w:r>
            <w:r w:rsidRPr="00B1008F">
              <w:rPr>
                <w:rFonts w:ascii="Tahoma" w:hAnsi="Tahoma" w:cs="Tahoma"/>
                <w:b/>
                <w:bCs/>
                <w:iCs/>
                <w:color w:val="243285"/>
                <w:sz w:val="44"/>
                <w:szCs w:val="44"/>
                <w:lang w:val="en-US"/>
              </w:rPr>
              <w:br/>
              <w:t>of 121.5 MHz and 243 MHz</w:t>
            </w:r>
          </w:p>
          <w:p w:rsidR="00B1008F" w:rsidRPr="00052F66" w:rsidRDefault="00B1008F" w:rsidP="006B4902">
            <w:pPr>
              <w:spacing w:before="80" w:line="500" w:lineRule="exact"/>
              <w:jc w:val="right"/>
              <w:rPr>
                <w:rFonts w:ascii="Tahoma" w:hAnsi="Tahoma" w:cs="Tahoma"/>
                <w:b/>
                <w:bCs/>
                <w:iCs/>
                <w:color w:val="243285"/>
                <w:sz w:val="44"/>
                <w:szCs w:val="44"/>
                <w:lang w:val="en-US"/>
              </w:rPr>
            </w:pPr>
          </w:p>
        </w:tc>
      </w:tr>
      <w:tr w:rsidR="00B1008F" w:rsidTr="006B4902">
        <w:tc>
          <w:tcPr>
            <w:tcW w:w="10089" w:type="dxa"/>
          </w:tcPr>
          <w:p w:rsidR="00B1008F" w:rsidRPr="00052F66" w:rsidRDefault="00B1008F" w:rsidP="006B4902">
            <w:pPr>
              <w:spacing w:before="80" w:line="280" w:lineRule="exact"/>
              <w:ind w:right="640"/>
              <w:rPr>
                <w:rFonts w:ascii="Tahoma" w:hAnsi="Tahoma" w:cs="Tahoma"/>
                <w:b/>
                <w:bCs/>
                <w:iCs/>
                <w:color w:val="243285"/>
                <w:sz w:val="32"/>
                <w:szCs w:val="32"/>
                <w:lang w:val="en-US"/>
              </w:rPr>
            </w:pPr>
          </w:p>
          <w:p w:rsidR="00B1008F" w:rsidRPr="00052F66" w:rsidRDefault="00B1008F" w:rsidP="006B4902">
            <w:pPr>
              <w:spacing w:before="80" w:after="180" w:line="360" w:lineRule="exact"/>
              <w:ind w:right="720"/>
              <w:rPr>
                <w:rFonts w:ascii="Tahoma" w:hAnsi="Tahoma" w:cs="Tahoma"/>
                <w:b/>
                <w:bCs/>
                <w:iCs/>
                <w:color w:val="243285"/>
                <w:sz w:val="36"/>
                <w:szCs w:val="36"/>
                <w:lang w:val="en-US"/>
              </w:rPr>
            </w:pPr>
          </w:p>
          <w:p w:rsidR="00B1008F" w:rsidRPr="001511A6" w:rsidRDefault="00B1008F" w:rsidP="006B49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B1008F" w:rsidRDefault="00B1008F" w:rsidP="006B4902">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B1008F" w:rsidRPr="0041667C" w:rsidRDefault="00B1008F" w:rsidP="006B4902">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B1008F" w:rsidRDefault="00B1008F" w:rsidP="00B1008F">
      <w:pPr>
        <w:spacing w:before="80"/>
        <w:rPr>
          <w:i/>
          <w:sz w:val="22"/>
          <w:lang w:val="en-US"/>
        </w:rPr>
      </w:pPr>
    </w:p>
    <w:p w:rsidR="00B1008F" w:rsidRDefault="00B1008F" w:rsidP="00B1008F">
      <w:pPr>
        <w:spacing w:before="80"/>
        <w:rPr>
          <w:i/>
          <w:sz w:val="22"/>
          <w:lang w:val="en-US"/>
        </w:rPr>
      </w:pPr>
    </w:p>
    <w:p w:rsidR="00B1008F" w:rsidRDefault="00B1008F" w:rsidP="00B1008F">
      <w:pPr>
        <w:spacing w:before="80"/>
        <w:rPr>
          <w:i/>
          <w:sz w:val="22"/>
          <w:lang w:val="en-US"/>
        </w:rPr>
      </w:pPr>
    </w:p>
    <w:p w:rsidR="00B1008F" w:rsidRDefault="00B1008F" w:rsidP="00B1008F">
      <w:pPr>
        <w:spacing w:before="80"/>
        <w:rPr>
          <w:i/>
          <w:sz w:val="22"/>
          <w:lang w:val="en-US"/>
        </w:rPr>
      </w:pPr>
    </w:p>
    <w:p w:rsidR="00B1008F" w:rsidRDefault="00B1008F" w:rsidP="00B1008F">
      <w:pPr>
        <w:spacing w:before="80"/>
        <w:rPr>
          <w:i/>
          <w:sz w:val="22"/>
          <w:lang w:val="en-US"/>
        </w:rPr>
      </w:pPr>
    </w:p>
    <w:p w:rsidR="00B1008F" w:rsidRDefault="00B1008F" w:rsidP="00B1008F">
      <w:pPr>
        <w:spacing w:before="80"/>
        <w:rPr>
          <w:i/>
          <w:sz w:val="22"/>
          <w:lang w:val="en-US"/>
        </w:rPr>
      </w:pPr>
    </w:p>
    <w:p w:rsidR="00B1008F" w:rsidRDefault="00B1008F" w:rsidP="00B1008F">
      <w:pPr>
        <w:pStyle w:val="Equation"/>
        <w:tabs>
          <w:tab w:val="clear" w:pos="4820"/>
          <w:tab w:val="clear" w:pos="9639"/>
          <w:tab w:val="left" w:pos="1191"/>
          <w:tab w:val="left" w:pos="1588"/>
          <w:tab w:val="left" w:pos="1985"/>
        </w:tabs>
        <w:rPr>
          <w:rFonts w:ascii="Palatino Linotype" w:hAnsi="Palatino Linotype"/>
          <w:lang w:val="en-US"/>
        </w:rPr>
        <w:sectPr w:rsidR="00B1008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B1008F" w:rsidRPr="00586EF8" w:rsidRDefault="00B1008F" w:rsidP="00B1008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B1008F" w:rsidRDefault="00B1008F" w:rsidP="00B1008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1008F" w:rsidRDefault="00B1008F" w:rsidP="00B1008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1008F" w:rsidRPr="00B714F3" w:rsidRDefault="00B1008F" w:rsidP="00B1008F">
      <w:pPr>
        <w:pStyle w:val="Heading1"/>
        <w:spacing w:before="680"/>
        <w:jc w:val="center"/>
        <w:rPr>
          <w:szCs w:val="24"/>
          <w:lang w:val="en-US"/>
        </w:rPr>
      </w:pPr>
      <w:r w:rsidRPr="00B714F3">
        <w:rPr>
          <w:szCs w:val="24"/>
          <w:lang w:val="en-US"/>
        </w:rPr>
        <w:t>Policy on Intellectual Property Right (IPR)</w:t>
      </w:r>
    </w:p>
    <w:p w:rsidR="00B1008F" w:rsidRPr="00B714F3" w:rsidRDefault="00B1008F" w:rsidP="00B1008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1008F" w:rsidRDefault="00B1008F" w:rsidP="00B1008F">
      <w:pPr>
        <w:jc w:val="center"/>
        <w:rPr>
          <w:sz w:val="22"/>
          <w:lang w:val="en-US"/>
        </w:rPr>
      </w:pPr>
    </w:p>
    <w:p w:rsidR="00B1008F" w:rsidRDefault="00B1008F" w:rsidP="00B1008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1008F" w:rsidRPr="009B05D0" w:rsidTr="006B4902">
        <w:tc>
          <w:tcPr>
            <w:tcW w:w="9360" w:type="dxa"/>
            <w:gridSpan w:val="2"/>
          </w:tcPr>
          <w:p w:rsidR="00B1008F" w:rsidRPr="00036EE3" w:rsidRDefault="00B1008F" w:rsidP="006B490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1008F" w:rsidRPr="00036EE3"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B1008F" w:rsidRPr="00036EE3" w:rsidTr="006B4902">
        <w:tc>
          <w:tcPr>
            <w:tcW w:w="1140" w:type="dxa"/>
          </w:tcPr>
          <w:p w:rsidR="00B1008F" w:rsidRPr="00036EE3" w:rsidRDefault="00B1008F" w:rsidP="006B4902">
            <w:pPr>
              <w:spacing w:before="200" w:after="100"/>
              <w:ind w:left="57"/>
              <w:rPr>
                <w:b/>
                <w:bCs/>
                <w:sz w:val="20"/>
                <w:lang w:val="en-US"/>
              </w:rPr>
            </w:pPr>
            <w:r w:rsidRPr="00036EE3">
              <w:rPr>
                <w:b/>
                <w:bCs/>
                <w:sz w:val="20"/>
                <w:lang w:val="en-US"/>
              </w:rPr>
              <w:t>Series</w:t>
            </w:r>
          </w:p>
        </w:tc>
        <w:tc>
          <w:tcPr>
            <w:tcW w:w="8220" w:type="dxa"/>
          </w:tcPr>
          <w:p w:rsidR="00B1008F" w:rsidRPr="00036EE3"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1008F" w:rsidRPr="00036EE3"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BO</w:t>
            </w:r>
          </w:p>
        </w:tc>
        <w:tc>
          <w:tcPr>
            <w:tcW w:w="8220" w:type="dxa"/>
          </w:tcPr>
          <w:p w:rsidR="00B1008F" w:rsidRPr="00036EE3"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1008F" w:rsidRPr="009B05D0" w:rsidTr="006B4902">
        <w:tc>
          <w:tcPr>
            <w:tcW w:w="1140" w:type="dxa"/>
            <w:tcBorders>
              <w:bottom w:val="nil"/>
            </w:tcBorders>
          </w:tcPr>
          <w:p w:rsidR="00B1008F" w:rsidRPr="00036EE3" w:rsidRDefault="00B1008F" w:rsidP="006B4902">
            <w:pPr>
              <w:spacing w:before="30" w:after="30"/>
              <w:ind w:left="57"/>
              <w:jc w:val="left"/>
              <w:rPr>
                <w:b/>
                <w:bCs/>
                <w:sz w:val="20"/>
                <w:lang w:val="en-US"/>
              </w:rPr>
            </w:pPr>
            <w:r w:rsidRPr="00036EE3">
              <w:rPr>
                <w:b/>
                <w:bCs/>
                <w:sz w:val="20"/>
                <w:lang w:val="en-US"/>
              </w:rPr>
              <w:t>BR</w:t>
            </w:r>
          </w:p>
        </w:tc>
        <w:tc>
          <w:tcPr>
            <w:tcW w:w="8220" w:type="dxa"/>
            <w:tcBorders>
              <w:bottom w:val="nil"/>
            </w:tcBorders>
          </w:tcPr>
          <w:p w:rsidR="00B1008F" w:rsidRPr="00036EE3"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1008F" w:rsidRPr="00036EE3" w:rsidTr="006B4902">
        <w:tc>
          <w:tcPr>
            <w:tcW w:w="1140" w:type="dxa"/>
            <w:tcBorders>
              <w:top w:val="nil"/>
              <w:bottom w:val="nil"/>
            </w:tcBorders>
            <w:shd w:val="clear" w:color="auto" w:fill="auto"/>
          </w:tcPr>
          <w:p w:rsidR="00B1008F" w:rsidRPr="007D224F" w:rsidRDefault="00B1008F" w:rsidP="006B4902">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B1008F" w:rsidRPr="007D224F"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1008F" w:rsidRPr="00ED2695" w:rsidTr="006B4902">
        <w:tc>
          <w:tcPr>
            <w:tcW w:w="1140" w:type="dxa"/>
            <w:tcBorders>
              <w:top w:val="nil"/>
              <w:bottom w:val="nil"/>
            </w:tcBorders>
            <w:shd w:val="clear" w:color="auto" w:fill="auto"/>
          </w:tcPr>
          <w:p w:rsidR="00B1008F" w:rsidRPr="00ED2695" w:rsidRDefault="00B1008F" w:rsidP="006B490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008F" w:rsidRPr="00ED2695"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1008F" w:rsidRPr="007D224F" w:rsidTr="006B4902">
        <w:tc>
          <w:tcPr>
            <w:tcW w:w="1140" w:type="dxa"/>
            <w:tcBorders>
              <w:top w:val="nil"/>
              <w:bottom w:val="nil"/>
            </w:tcBorders>
            <w:shd w:val="clear" w:color="auto" w:fill="auto"/>
          </w:tcPr>
          <w:p w:rsidR="00B1008F" w:rsidRPr="0041667C" w:rsidRDefault="00B1008F" w:rsidP="006B4902">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B1008F" w:rsidRPr="0041667C" w:rsidRDefault="00B1008F" w:rsidP="006B49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1008F" w:rsidRPr="0041667C" w:rsidTr="006B4902">
        <w:tc>
          <w:tcPr>
            <w:tcW w:w="1140" w:type="dxa"/>
            <w:tcBorders>
              <w:top w:val="nil"/>
              <w:bottom w:val="nil"/>
            </w:tcBorders>
            <w:shd w:val="clear" w:color="auto" w:fill="F3F3F3"/>
          </w:tcPr>
          <w:p w:rsidR="00B1008F" w:rsidRPr="0041667C" w:rsidRDefault="00B1008F" w:rsidP="006B4902">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B1008F" w:rsidRPr="0041667C" w:rsidRDefault="00B1008F" w:rsidP="006B49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B1008F" w:rsidRPr="00036EE3" w:rsidTr="006B4902">
        <w:tc>
          <w:tcPr>
            <w:tcW w:w="1140" w:type="dxa"/>
            <w:tcBorders>
              <w:top w:val="nil"/>
            </w:tcBorders>
          </w:tcPr>
          <w:p w:rsidR="00B1008F" w:rsidRPr="00036EE3" w:rsidRDefault="00B1008F" w:rsidP="006B4902">
            <w:pPr>
              <w:spacing w:before="30" w:after="30"/>
              <w:ind w:left="57"/>
              <w:jc w:val="left"/>
              <w:rPr>
                <w:b/>
                <w:bCs/>
                <w:sz w:val="20"/>
                <w:lang w:val="fr-CH"/>
              </w:rPr>
            </w:pPr>
            <w:r w:rsidRPr="00036EE3">
              <w:rPr>
                <w:b/>
                <w:bCs/>
                <w:sz w:val="20"/>
                <w:lang w:val="fr-CH"/>
              </w:rPr>
              <w:t>P</w:t>
            </w:r>
          </w:p>
        </w:tc>
        <w:tc>
          <w:tcPr>
            <w:tcW w:w="8220" w:type="dxa"/>
            <w:tcBorders>
              <w:top w:val="nil"/>
            </w:tcBorders>
          </w:tcPr>
          <w:p w:rsidR="00B1008F" w:rsidRPr="00036EE3" w:rsidRDefault="00B1008F" w:rsidP="006B4902">
            <w:pPr>
              <w:spacing w:before="30" w:after="30"/>
              <w:jc w:val="left"/>
              <w:rPr>
                <w:sz w:val="20"/>
                <w:lang w:val="fr-CH"/>
              </w:rPr>
            </w:pPr>
            <w:r w:rsidRPr="00036EE3">
              <w:rPr>
                <w:sz w:val="20"/>
                <w:lang w:val="fr-CH"/>
              </w:rPr>
              <w:t>Radiowave propagation</w:t>
            </w:r>
          </w:p>
        </w:tc>
      </w:tr>
      <w:tr w:rsidR="00B1008F" w:rsidRPr="00036EE3"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RA</w:t>
            </w:r>
          </w:p>
        </w:tc>
        <w:tc>
          <w:tcPr>
            <w:tcW w:w="8220" w:type="dxa"/>
          </w:tcPr>
          <w:p w:rsidR="00B1008F" w:rsidRPr="00036EE3" w:rsidRDefault="00B1008F" w:rsidP="006B49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1008F" w:rsidRPr="00036EE3"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RS</w:t>
            </w:r>
          </w:p>
        </w:tc>
        <w:tc>
          <w:tcPr>
            <w:tcW w:w="8220" w:type="dxa"/>
          </w:tcPr>
          <w:p w:rsidR="00B1008F" w:rsidRPr="00036EE3" w:rsidRDefault="00B1008F" w:rsidP="006B49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1008F" w:rsidRPr="00036EE3"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S</w:t>
            </w:r>
          </w:p>
        </w:tc>
        <w:tc>
          <w:tcPr>
            <w:tcW w:w="8220" w:type="dxa"/>
          </w:tcPr>
          <w:p w:rsidR="00B1008F" w:rsidRPr="00036EE3" w:rsidRDefault="00B1008F" w:rsidP="006B4902">
            <w:pPr>
              <w:spacing w:before="30" w:after="30"/>
              <w:jc w:val="left"/>
              <w:rPr>
                <w:sz w:val="20"/>
                <w:lang w:val="en-US"/>
              </w:rPr>
            </w:pPr>
            <w:r w:rsidRPr="00036EE3">
              <w:rPr>
                <w:sz w:val="20"/>
                <w:lang w:val="en-US"/>
              </w:rPr>
              <w:t>Fixed-satellite service</w:t>
            </w:r>
          </w:p>
        </w:tc>
      </w:tr>
      <w:tr w:rsidR="00B1008F" w:rsidRPr="00036EE3"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SA</w:t>
            </w:r>
          </w:p>
        </w:tc>
        <w:tc>
          <w:tcPr>
            <w:tcW w:w="8220" w:type="dxa"/>
          </w:tcPr>
          <w:p w:rsidR="00B1008F" w:rsidRPr="00036EE3" w:rsidRDefault="00B1008F" w:rsidP="006B4902">
            <w:pPr>
              <w:spacing w:before="30" w:after="30"/>
              <w:jc w:val="left"/>
              <w:rPr>
                <w:sz w:val="20"/>
                <w:lang w:val="en-US"/>
              </w:rPr>
            </w:pPr>
            <w:r w:rsidRPr="00036EE3">
              <w:rPr>
                <w:sz w:val="20"/>
                <w:lang w:val="en-US"/>
              </w:rPr>
              <w:t>Space applications and meteorology</w:t>
            </w:r>
          </w:p>
        </w:tc>
      </w:tr>
      <w:tr w:rsidR="00B1008F" w:rsidRPr="009B05D0" w:rsidTr="006B4902">
        <w:tc>
          <w:tcPr>
            <w:tcW w:w="1140" w:type="dxa"/>
            <w:tcBorders>
              <w:bottom w:val="nil"/>
            </w:tcBorders>
          </w:tcPr>
          <w:p w:rsidR="00B1008F" w:rsidRPr="00036EE3" w:rsidRDefault="00B1008F" w:rsidP="006B4902">
            <w:pPr>
              <w:spacing w:before="30" w:after="30"/>
              <w:ind w:left="57"/>
              <w:jc w:val="left"/>
              <w:rPr>
                <w:b/>
                <w:bCs/>
                <w:sz w:val="20"/>
                <w:lang w:val="en-US"/>
              </w:rPr>
            </w:pPr>
            <w:r w:rsidRPr="00036EE3">
              <w:rPr>
                <w:b/>
                <w:bCs/>
                <w:sz w:val="20"/>
                <w:lang w:val="en-US"/>
              </w:rPr>
              <w:t>SF</w:t>
            </w:r>
          </w:p>
        </w:tc>
        <w:tc>
          <w:tcPr>
            <w:tcW w:w="8220" w:type="dxa"/>
            <w:tcBorders>
              <w:bottom w:val="nil"/>
            </w:tcBorders>
          </w:tcPr>
          <w:p w:rsidR="00B1008F" w:rsidRPr="00036EE3" w:rsidRDefault="00B1008F" w:rsidP="006B4902">
            <w:pPr>
              <w:spacing w:before="30" w:after="30"/>
              <w:jc w:val="left"/>
              <w:rPr>
                <w:sz w:val="20"/>
                <w:lang w:val="en-US"/>
              </w:rPr>
            </w:pPr>
            <w:r w:rsidRPr="00036EE3">
              <w:rPr>
                <w:sz w:val="20"/>
                <w:lang w:val="en-US"/>
              </w:rPr>
              <w:t>Frequency sharing and coordination between fixed-satellite and fixed service systems</w:t>
            </w:r>
          </w:p>
        </w:tc>
      </w:tr>
      <w:tr w:rsidR="00B1008F" w:rsidRPr="00036EE3" w:rsidTr="006B4902">
        <w:tc>
          <w:tcPr>
            <w:tcW w:w="1140" w:type="dxa"/>
            <w:tcBorders>
              <w:top w:val="nil"/>
              <w:bottom w:val="nil"/>
            </w:tcBorders>
            <w:shd w:val="clear" w:color="auto" w:fill="auto"/>
          </w:tcPr>
          <w:p w:rsidR="00B1008F" w:rsidRPr="000A4386" w:rsidRDefault="00B1008F" w:rsidP="006B4902">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1008F" w:rsidRPr="000A4386" w:rsidRDefault="00B1008F" w:rsidP="006B4902">
            <w:pPr>
              <w:spacing w:before="30" w:after="30"/>
              <w:jc w:val="left"/>
              <w:rPr>
                <w:sz w:val="20"/>
                <w:lang w:val="en-US"/>
              </w:rPr>
            </w:pPr>
            <w:r w:rsidRPr="000A4386">
              <w:rPr>
                <w:sz w:val="20"/>
                <w:lang w:val="en-US"/>
              </w:rPr>
              <w:t>Spectrum management</w:t>
            </w:r>
          </w:p>
        </w:tc>
      </w:tr>
      <w:tr w:rsidR="00B1008F" w:rsidRPr="00036EE3" w:rsidTr="006B4902">
        <w:tc>
          <w:tcPr>
            <w:tcW w:w="1140" w:type="dxa"/>
            <w:tcBorders>
              <w:top w:val="nil"/>
            </w:tcBorders>
          </w:tcPr>
          <w:p w:rsidR="00B1008F" w:rsidRPr="00036EE3" w:rsidRDefault="00B1008F" w:rsidP="006B4902">
            <w:pPr>
              <w:spacing w:before="30" w:after="30"/>
              <w:ind w:left="57"/>
              <w:jc w:val="left"/>
              <w:rPr>
                <w:b/>
                <w:bCs/>
                <w:sz w:val="20"/>
                <w:lang w:val="en-US"/>
              </w:rPr>
            </w:pPr>
            <w:r w:rsidRPr="00036EE3">
              <w:rPr>
                <w:b/>
                <w:bCs/>
                <w:sz w:val="20"/>
                <w:lang w:val="en-US"/>
              </w:rPr>
              <w:t>SNG</w:t>
            </w:r>
          </w:p>
        </w:tc>
        <w:tc>
          <w:tcPr>
            <w:tcW w:w="8220" w:type="dxa"/>
            <w:tcBorders>
              <w:top w:val="nil"/>
            </w:tcBorders>
          </w:tcPr>
          <w:p w:rsidR="00B1008F" w:rsidRPr="00036EE3" w:rsidRDefault="00B1008F" w:rsidP="006B4902">
            <w:pPr>
              <w:spacing w:before="30" w:after="30"/>
              <w:jc w:val="left"/>
              <w:rPr>
                <w:sz w:val="20"/>
                <w:lang w:val="en-US"/>
              </w:rPr>
            </w:pPr>
            <w:r w:rsidRPr="00036EE3">
              <w:rPr>
                <w:sz w:val="20"/>
                <w:lang w:val="en-US"/>
              </w:rPr>
              <w:t>Satellite news gathering</w:t>
            </w:r>
          </w:p>
        </w:tc>
      </w:tr>
      <w:tr w:rsidR="00B1008F" w:rsidRPr="009B05D0"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TF</w:t>
            </w:r>
          </w:p>
        </w:tc>
        <w:tc>
          <w:tcPr>
            <w:tcW w:w="8220" w:type="dxa"/>
          </w:tcPr>
          <w:p w:rsidR="00B1008F" w:rsidRPr="00036EE3" w:rsidRDefault="00B1008F" w:rsidP="006B4902">
            <w:pPr>
              <w:spacing w:before="30" w:after="30"/>
              <w:jc w:val="left"/>
              <w:rPr>
                <w:sz w:val="20"/>
                <w:lang w:val="en-US"/>
              </w:rPr>
            </w:pPr>
            <w:r w:rsidRPr="00036EE3">
              <w:rPr>
                <w:sz w:val="20"/>
                <w:lang w:val="en-US"/>
              </w:rPr>
              <w:t>Time signals and frequency standards emissions</w:t>
            </w:r>
          </w:p>
        </w:tc>
      </w:tr>
      <w:tr w:rsidR="00B1008F" w:rsidRPr="00036EE3" w:rsidTr="006B4902">
        <w:tc>
          <w:tcPr>
            <w:tcW w:w="1140" w:type="dxa"/>
          </w:tcPr>
          <w:p w:rsidR="00B1008F" w:rsidRPr="00036EE3" w:rsidRDefault="00B1008F" w:rsidP="006B4902">
            <w:pPr>
              <w:spacing w:before="30" w:after="30"/>
              <w:ind w:left="57"/>
              <w:jc w:val="left"/>
              <w:rPr>
                <w:b/>
                <w:bCs/>
                <w:sz w:val="20"/>
                <w:lang w:val="en-US"/>
              </w:rPr>
            </w:pPr>
            <w:r w:rsidRPr="00036EE3">
              <w:rPr>
                <w:b/>
                <w:bCs/>
                <w:sz w:val="20"/>
                <w:lang w:val="en-US"/>
              </w:rPr>
              <w:t>V</w:t>
            </w:r>
          </w:p>
        </w:tc>
        <w:tc>
          <w:tcPr>
            <w:tcW w:w="8220" w:type="dxa"/>
          </w:tcPr>
          <w:p w:rsidR="00B1008F" w:rsidRPr="00036EE3" w:rsidRDefault="00B1008F" w:rsidP="006B4902">
            <w:pPr>
              <w:spacing w:before="30" w:after="180"/>
              <w:jc w:val="left"/>
              <w:rPr>
                <w:sz w:val="20"/>
                <w:lang w:val="en-US"/>
              </w:rPr>
            </w:pPr>
            <w:r w:rsidRPr="00036EE3">
              <w:rPr>
                <w:sz w:val="20"/>
                <w:lang w:val="en-US"/>
              </w:rPr>
              <w:t>Vocabulary and related subjects</w:t>
            </w:r>
          </w:p>
        </w:tc>
      </w:tr>
    </w:tbl>
    <w:p w:rsidR="00B1008F" w:rsidRPr="00036EE3" w:rsidRDefault="00B1008F" w:rsidP="00B1008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008F" w:rsidTr="006B4902">
        <w:tc>
          <w:tcPr>
            <w:tcW w:w="720" w:type="dxa"/>
          </w:tcPr>
          <w:p w:rsidR="00B1008F" w:rsidRDefault="00B1008F" w:rsidP="006B4902">
            <w:pPr>
              <w:jc w:val="center"/>
              <w:rPr>
                <w:sz w:val="22"/>
                <w:lang w:val="en-US"/>
              </w:rPr>
            </w:pPr>
          </w:p>
        </w:tc>
      </w:tr>
    </w:tbl>
    <w:p w:rsidR="00B1008F" w:rsidRPr="00036EE3" w:rsidRDefault="00B1008F" w:rsidP="00B1008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1008F" w:rsidRPr="009B05D0" w:rsidTr="006B4902">
        <w:tc>
          <w:tcPr>
            <w:tcW w:w="9360" w:type="dxa"/>
          </w:tcPr>
          <w:p w:rsidR="00B1008F" w:rsidRPr="002F5199" w:rsidRDefault="00B1008F" w:rsidP="006B4902">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1008F" w:rsidRDefault="00B1008F" w:rsidP="00B1008F">
      <w:pPr>
        <w:spacing w:before="0"/>
        <w:jc w:val="center"/>
        <w:rPr>
          <w:sz w:val="22"/>
          <w:lang w:val="en-US"/>
        </w:rPr>
      </w:pPr>
    </w:p>
    <w:p w:rsidR="00B1008F" w:rsidRDefault="00B1008F" w:rsidP="00B1008F">
      <w:pPr>
        <w:spacing w:before="0"/>
        <w:jc w:val="center"/>
        <w:rPr>
          <w:sz w:val="22"/>
          <w:lang w:val="en-US"/>
        </w:rPr>
      </w:pPr>
    </w:p>
    <w:p w:rsidR="00B1008F" w:rsidRPr="002F5199" w:rsidRDefault="00B1008F" w:rsidP="00B1008F">
      <w:pPr>
        <w:spacing w:before="0"/>
        <w:jc w:val="right"/>
        <w:rPr>
          <w:i/>
          <w:iCs/>
          <w:sz w:val="20"/>
          <w:lang w:val="en-US"/>
        </w:rPr>
      </w:pPr>
      <w:r w:rsidRPr="002F5199">
        <w:rPr>
          <w:i/>
          <w:iCs/>
          <w:sz w:val="20"/>
          <w:lang w:val="en-US"/>
        </w:rPr>
        <w:t>Electronic Publication</w:t>
      </w:r>
    </w:p>
    <w:p w:rsidR="00B1008F" w:rsidRPr="002F5199" w:rsidRDefault="00B1008F" w:rsidP="00B1008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B1008F" w:rsidRDefault="00B1008F" w:rsidP="00B1008F">
      <w:pPr>
        <w:jc w:val="center"/>
        <w:rPr>
          <w:sz w:val="22"/>
          <w:lang w:val="en-US"/>
        </w:rPr>
      </w:pPr>
    </w:p>
    <w:p w:rsidR="00B1008F" w:rsidRPr="00470E28" w:rsidRDefault="00B1008F" w:rsidP="00B1008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B1008F" w:rsidRPr="00470E28" w:rsidRDefault="00B1008F" w:rsidP="00B1008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1008F" w:rsidRDefault="00B1008F" w:rsidP="00B1008F">
      <w:pPr>
        <w:spacing w:before="160"/>
        <w:rPr>
          <w:i/>
          <w:sz w:val="20"/>
          <w:lang w:val="en-US"/>
        </w:rPr>
        <w:sectPr w:rsidR="00B1008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1008F" w:rsidRPr="00052F66" w:rsidRDefault="00B1008F" w:rsidP="00B1008F">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690-2</w:t>
      </w:r>
      <w:r w:rsidRPr="009B05D0">
        <w:rPr>
          <w:rStyle w:val="FootnoteReference"/>
          <w:szCs w:val="28"/>
          <w:lang w:val="en-US"/>
        </w:rPr>
        <w:footnoteReference w:customMarkFollows="1" w:id="1"/>
        <w:t>*</w:t>
      </w:r>
    </w:p>
    <w:p w:rsidR="00B1008F" w:rsidRPr="00311B29" w:rsidRDefault="00B1008F" w:rsidP="00B1008F">
      <w:pPr>
        <w:pStyle w:val="Rectitle"/>
        <w:rPr>
          <w:lang w:val="en-GB"/>
        </w:rPr>
      </w:pPr>
      <w:r w:rsidRPr="00311B29">
        <w:rPr>
          <w:lang w:val="en-GB"/>
        </w:rPr>
        <w:t>Technical characteristics of emergency position-indicating</w:t>
      </w:r>
      <w:r w:rsidRPr="00311B29">
        <w:rPr>
          <w:lang w:val="en-GB"/>
        </w:rPr>
        <w:br/>
        <w:t xml:space="preserve">radio beacons operating on the carrier frequencies </w:t>
      </w:r>
      <w:r w:rsidRPr="00311B29">
        <w:rPr>
          <w:lang w:val="en-GB"/>
        </w:rPr>
        <w:br/>
        <w:t>of 121.5 MHz and 243 MHz</w:t>
      </w:r>
    </w:p>
    <w:p w:rsidR="00B1008F" w:rsidRPr="00311B29" w:rsidRDefault="00B1008F" w:rsidP="00B1008F">
      <w:pPr>
        <w:pStyle w:val="Recref"/>
        <w:rPr>
          <w:lang w:val="en-GB"/>
        </w:rPr>
      </w:pPr>
    </w:p>
    <w:p w:rsidR="00B1008F" w:rsidRPr="00311B29" w:rsidRDefault="00B1008F" w:rsidP="00B1008F">
      <w:pPr>
        <w:pStyle w:val="Recdate"/>
        <w:rPr>
          <w:lang w:val="en-GB"/>
        </w:rPr>
      </w:pPr>
      <w:bookmarkStart w:id="4" w:name="dbreak"/>
      <w:bookmarkEnd w:id="4"/>
      <w:r w:rsidRPr="00311B29">
        <w:rPr>
          <w:lang w:val="en-GB"/>
        </w:rPr>
        <w:t>(1990-1995-2012)</w:t>
      </w:r>
    </w:p>
    <w:p w:rsidR="00B1008F" w:rsidRPr="00311B29" w:rsidRDefault="00B1008F" w:rsidP="00B1008F">
      <w:pPr>
        <w:pStyle w:val="headfoot"/>
        <w:rPr>
          <w:color w:val="FFFFFF"/>
        </w:rPr>
      </w:pPr>
      <w:r w:rsidRPr="00311B29">
        <w:rPr>
          <w:color w:val="FFFFFF"/>
        </w:rPr>
        <w:t>Rec. ITU-R M.690-1</w:t>
      </w:r>
    </w:p>
    <w:p w:rsidR="00B1008F" w:rsidRPr="00311B29" w:rsidRDefault="00B1008F" w:rsidP="00B1008F">
      <w:pPr>
        <w:pStyle w:val="HeadingSum"/>
        <w:rPr>
          <w:lang w:val="en-GB"/>
        </w:rPr>
      </w:pPr>
      <w:r w:rsidRPr="00311B29">
        <w:rPr>
          <w:lang w:val="en-GB"/>
        </w:rPr>
        <w:t>Scope</w:t>
      </w:r>
    </w:p>
    <w:p w:rsidR="00B1008F" w:rsidRPr="009B05D0" w:rsidRDefault="00B1008F" w:rsidP="0044595A">
      <w:pPr>
        <w:pStyle w:val="Summary"/>
        <w:rPr>
          <w:lang w:val="en-US"/>
        </w:rPr>
      </w:pPr>
      <w:r w:rsidRPr="009B05D0">
        <w:rPr>
          <w:lang w:val="en-US"/>
        </w:rPr>
        <w:t>This Recommendation contains technical characteristics to which emergency position-indicating radio beacons (EPIRBs) intended to operate on the carrier frequency of 121.5 MHz and 243 MHz should conform.</w:t>
      </w:r>
    </w:p>
    <w:p w:rsidR="00B1008F" w:rsidRPr="009B05D0" w:rsidRDefault="00B1008F" w:rsidP="0044595A">
      <w:pPr>
        <w:pStyle w:val="Summary"/>
        <w:rPr>
          <w:lang w:val="en-US"/>
        </w:rPr>
      </w:pPr>
      <w:r w:rsidRPr="009B05D0">
        <w:rPr>
          <w:lang w:val="en-US"/>
        </w:rPr>
        <w:t>Additional characteristics for EPIRBs intended for carriage on aircraft are specified in relevant annexes to the Convention on International Civil Aviation.</w:t>
      </w:r>
    </w:p>
    <w:p w:rsidR="00B1008F" w:rsidRPr="00311B29" w:rsidRDefault="00B1008F" w:rsidP="00B1008F">
      <w:pPr>
        <w:pStyle w:val="Normalaftertitle0"/>
        <w:spacing w:before="480"/>
      </w:pPr>
      <w:r w:rsidRPr="00311B29">
        <w:t>The ITU Radiocommunication Assembly,</w:t>
      </w:r>
    </w:p>
    <w:p w:rsidR="00B1008F" w:rsidRPr="00311B29" w:rsidRDefault="00B1008F" w:rsidP="00B1008F">
      <w:pPr>
        <w:pStyle w:val="Call"/>
        <w:rPr>
          <w:lang w:val="en-GB"/>
        </w:rPr>
      </w:pPr>
      <w:r w:rsidRPr="00311B29">
        <w:rPr>
          <w:lang w:val="en-GB"/>
        </w:rPr>
        <w:t>considering</w:t>
      </w:r>
    </w:p>
    <w:p w:rsidR="00B1008F" w:rsidRPr="00311B29" w:rsidRDefault="00B1008F" w:rsidP="00B1008F">
      <w:pPr>
        <w:rPr>
          <w:lang w:val="en-GB"/>
        </w:rPr>
      </w:pPr>
      <w:r w:rsidRPr="00311B29">
        <w:rPr>
          <w:lang w:val="en-GB"/>
        </w:rPr>
        <w:t>a)</w:t>
      </w:r>
      <w:r w:rsidRPr="00311B29">
        <w:rPr>
          <w:lang w:val="en-GB"/>
        </w:rPr>
        <w:tab/>
        <w:t>that the Radio Regulations define the purpose of emergency position-indicating radio beacon (EPIRB) signals;</w:t>
      </w:r>
    </w:p>
    <w:p w:rsidR="00B1008F" w:rsidRPr="00311B29" w:rsidRDefault="00B1008F" w:rsidP="00B1008F">
      <w:pPr>
        <w:rPr>
          <w:lang w:val="en-GB"/>
        </w:rPr>
      </w:pPr>
      <w:r w:rsidRPr="00311B29">
        <w:rPr>
          <w:lang w:val="en-GB"/>
        </w:rPr>
        <w:t>b)</w:t>
      </w:r>
      <w:r w:rsidRPr="00311B29">
        <w:rPr>
          <w:lang w:val="en-GB"/>
        </w:rPr>
        <w:tab/>
        <w:t>that administrations authorizing the use of EPIRBs operating on carrier frequencies of 121.5 MHz and 243 MHz should ensure that such EPIRBs comply with relevant ITU-R Recommendations and the standards and recommended practices of ICAO,</w:t>
      </w:r>
    </w:p>
    <w:p w:rsidR="00B1008F" w:rsidRPr="00311B29" w:rsidRDefault="00B1008F" w:rsidP="00B1008F">
      <w:pPr>
        <w:pStyle w:val="Call"/>
        <w:rPr>
          <w:lang w:val="en-GB"/>
        </w:rPr>
      </w:pPr>
      <w:r w:rsidRPr="00311B29">
        <w:rPr>
          <w:lang w:val="en-GB"/>
        </w:rPr>
        <w:t>recommends</w:t>
      </w:r>
    </w:p>
    <w:p w:rsidR="00B1008F" w:rsidRPr="00311B29" w:rsidRDefault="00B1008F" w:rsidP="00B1008F">
      <w:pPr>
        <w:rPr>
          <w:lang w:val="en-GB"/>
        </w:rPr>
      </w:pPr>
      <w:r w:rsidRPr="00311B29">
        <w:rPr>
          <w:b/>
          <w:lang w:val="en-GB"/>
        </w:rPr>
        <w:t>1</w:t>
      </w:r>
      <w:r w:rsidRPr="00311B29">
        <w:rPr>
          <w:lang w:val="en-GB"/>
        </w:rPr>
        <w:tab/>
        <w:t>that the technical characteristics of EPIRBs operating on the carrier frequencies of 121.5 MHz and 243 MHz should be in accordance with Annex 1.</w:t>
      </w:r>
    </w:p>
    <w:p w:rsidR="00B1008F" w:rsidRPr="00311B29" w:rsidRDefault="00B1008F" w:rsidP="00B1008F">
      <w:pPr>
        <w:rPr>
          <w:lang w:val="en-GB"/>
        </w:rPr>
      </w:pPr>
    </w:p>
    <w:p w:rsidR="00B1008F" w:rsidRPr="00311B29" w:rsidRDefault="00B1008F" w:rsidP="00B1008F">
      <w:pPr>
        <w:rPr>
          <w:lang w:val="en-GB"/>
        </w:rPr>
      </w:pPr>
    </w:p>
    <w:p w:rsidR="00B1008F" w:rsidRPr="00311B29" w:rsidRDefault="00B1008F" w:rsidP="00B1008F">
      <w:pPr>
        <w:pStyle w:val="AnnexNoTitle"/>
        <w:rPr>
          <w:lang w:val="en-GB"/>
        </w:rPr>
      </w:pPr>
      <w:r w:rsidRPr="00311B29">
        <w:rPr>
          <w:lang w:val="en-GB"/>
        </w:rPr>
        <w:t>Annex 1</w:t>
      </w:r>
      <w:r w:rsidRPr="00311B29">
        <w:rPr>
          <w:lang w:val="en-GB"/>
        </w:rPr>
        <w:br/>
      </w:r>
      <w:r w:rsidRPr="00311B29">
        <w:rPr>
          <w:lang w:val="en-GB"/>
        </w:rPr>
        <w:br/>
        <w:t>Technical characteristics of emergency position-indicating</w:t>
      </w:r>
      <w:r w:rsidRPr="00311B29">
        <w:rPr>
          <w:lang w:val="en-GB"/>
        </w:rPr>
        <w:br/>
        <w:t xml:space="preserve">radio beacons operating on the carrier frequencies </w:t>
      </w:r>
      <w:r w:rsidRPr="00311B29">
        <w:rPr>
          <w:lang w:val="en-GB"/>
        </w:rPr>
        <w:br/>
        <w:t>of 121.5 MHz and 243 MHz</w:t>
      </w:r>
    </w:p>
    <w:p w:rsidR="00B1008F" w:rsidRPr="00311B29" w:rsidRDefault="00B1008F" w:rsidP="00B1008F">
      <w:pPr>
        <w:pStyle w:val="Normalaftertitle0"/>
      </w:pPr>
      <w:r w:rsidRPr="00311B29">
        <w:t>EPIRBs operating on the carrier frequencies of 121.5 MHz and 243 MHz should fulfil the following conditions (see Note 1):</w:t>
      </w:r>
    </w:p>
    <w:p w:rsidR="00B1008F" w:rsidRPr="00311B29" w:rsidRDefault="00B1008F" w:rsidP="00B1008F">
      <w:pPr>
        <w:pStyle w:val="enumlev1"/>
        <w:rPr>
          <w:lang w:val="en-GB"/>
        </w:rPr>
      </w:pPr>
      <w:r w:rsidRPr="00311B29">
        <w:rPr>
          <w:lang w:val="en-GB"/>
        </w:rPr>
        <w:t>a)</w:t>
      </w:r>
      <w:r w:rsidRPr="00311B29">
        <w:rPr>
          <w:lang w:val="en-GB"/>
        </w:rPr>
        <w:tab/>
        <w:t>emission in normal antenna conditions and positions should be vertically polarized and be essentially omnidirectional in the horizontal plane;</w:t>
      </w:r>
    </w:p>
    <w:p w:rsidR="00B1008F" w:rsidRPr="00311B29" w:rsidRDefault="00B1008F" w:rsidP="00B1008F">
      <w:pPr>
        <w:pStyle w:val="enumlev1"/>
        <w:rPr>
          <w:lang w:val="en-GB"/>
        </w:rPr>
      </w:pPr>
      <w:r w:rsidRPr="00311B29">
        <w:rPr>
          <w:lang w:val="en-GB"/>
        </w:rPr>
        <w:t>b)</w:t>
      </w:r>
      <w:r w:rsidRPr="00311B29">
        <w:rPr>
          <w:lang w:val="en-GB"/>
        </w:rPr>
        <w:tab/>
        <w:t>carrier frequencies should be amplitude-modulated (minimum duty cycle of 33%), with a minimum depth of modulation of 0.85;</w:t>
      </w:r>
    </w:p>
    <w:p w:rsidR="00B1008F" w:rsidRPr="00311B29" w:rsidRDefault="00B1008F" w:rsidP="00B1008F">
      <w:pPr>
        <w:pStyle w:val="enumlev1"/>
        <w:rPr>
          <w:lang w:val="en-GB"/>
        </w:rPr>
      </w:pPr>
      <w:r w:rsidRPr="00311B29">
        <w:rPr>
          <w:lang w:val="en-GB"/>
        </w:rPr>
        <w:t>c)</w:t>
      </w:r>
      <w:r w:rsidRPr="00311B29">
        <w:rPr>
          <w:lang w:val="en-GB"/>
        </w:rPr>
        <w:tab/>
        <w:t>the emission should consist of a characteristic audio-frequency signal obtained by amplitude modulation of the carrier frequencies with an upward and downward audio</w:t>
      </w:r>
      <w:r>
        <w:rPr>
          <w:lang w:val="en-GB"/>
        </w:rPr>
        <w:noBreakHyphen/>
      </w:r>
      <w:r w:rsidRPr="00311B29">
        <w:rPr>
          <w:lang w:val="en-GB"/>
        </w:rPr>
        <w:t>frequency sweep within a range of not less than 700 Hz between 300 Hz and 1 600</w:t>
      </w:r>
      <w:r>
        <w:rPr>
          <w:lang w:val="en-GB"/>
        </w:rPr>
        <w:t> </w:t>
      </w:r>
      <w:r w:rsidRPr="00311B29">
        <w:rPr>
          <w:lang w:val="en-GB"/>
        </w:rPr>
        <w:t>Hz and with a sweep repetition rate of two to four times per second;</w:t>
      </w:r>
    </w:p>
    <w:p w:rsidR="00B1008F" w:rsidRPr="00311B29" w:rsidRDefault="00B1008F" w:rsidP="00B1008F">
      <w:pPr>
        <w:pStyle w:val="enumlev1"/>
        <w:rPr>
          <w:lang w:val="en-GB"/>
        </w:rPr>
      </w:pPr>
      <w:r w:rsidRPr="00311B29">
        <w:rPr>
          <w:lang w:val="en-GB"/>
        </w:rPr>
        <w:t>d)</w:t>
      </w:r>
      <w:r w:rsidRPr="00311B29">
        <w:rPr>
          <w:lang w:val="en-GB"/>
        </w:rPr>
        <w:tab/>
        <w:t>the emission should include a clearly defined carrier frequency distinct from the modulation sideband components; in particular, at least 30% of the power should be contained at all times within:</w:t>
      </w:r>
    </w:p>
    <w:p w:rsidR="00B1008F" w:rsidRPr="00311B29" w:rsidRDefault="00B1008F" w:rsidP="00B1008F">
      <w:pPr>
        <w:pStyle w:val="enumlev1"/>
        <w:rPr>
          <w:lang w:val="en-GB"/>
        </w:rPr>
      </w:pPr>
      <w:r w:rsidRPr="00311B29">
        <w:rPr>
          <w:lang w:val="en-GB"/>
        </w:rPr>
        <w:tab/>
      </w:r>
      <w:r w:rsidRPr="00311B29">
        <w:rPr>
          <w:rFonts w:asciiTheme="majorBidi" w:hAnsiTheme="majorBidi" w:cstheme="majorBidi"/>
          <w:lang w:val="en-GB"/>
        </w:rPr>
        <w:t>±</w:t>
      </w:r>
      <w:r w:rsidRPr="00311B29">
        <w:rPr>
          <w:lang w:val="en-GB"/>
        </w:rPr>
        <w:t>30 Hz of the carrier frequency on 121.5 MHz;</w:t>
      </w:r>
    </w:p>
    <w:p w:rsidR="00B1008F" w:rsidRPr="00311B29" w:rsidRDefault="00B1008F" w:rsidP="00B1008F">
      <w:pPr>
        <w:pStyle w:val="enumlev1"/>
        <w:rPr>
          <w:lang w:val="en-GB"/>
        </w:rPr>
      </w:pPr>
      <w:r w:rsidRPr="00311B29">
        <w:rPr>
          <w:rFonts w:asciiTheme="majorBidi" w:hAnsiTheme="majorBidi" w:cstheme="majorBidi"/>
          <w:lang w:val="en-GB"/>
        </w:rPr>
        <w:tab/>
        <w:t>±</w:t>
      </w:r>
      <w:r w:rsidRPr="00311B29">
        <w:rPr>
          <w:lang w:val="en-GB"/>
        </w:rPr>
        <w:t>60 Hz of the carrier frequency on 243 MHz;</w:t>
      </w:r>
    </w:p>
    <w:p w:rsidR="00B1008F" w:rsidRPr="00311B29" w:rsidRDefault="00B1008F" w:rsidP="00B1008F">
      <w:pPr>
        <w:pStyle w:val="enumlev1"/>
        <w:rPr>
          <w:lang w:val="en-GB"/>
        </w:rPr>
      </w:pPr>
      <w:r w:rsidRPr="00311B29">
        <w:rPr>
          <w:lang w:val="en-GB"/>
        </w:rPr>
        <w:t>e)</w:t>
      </w:r>
      <w:r w:rsidRPr="00311B29">
        <w:rPr>
          <w:lang w:val="en-GB"/>
        </w:rPr>
        <w:tab/>
        <w:t>the class of emission should be A3X; however, any type of modulation which satisfies the requirements laid down in b), c) and d) above may be used, provided it does not impair the precise locating of the radio beacon.</w:t>
      </w:r>
    </w:p>
    <w:p w:rsidR="00B1008F" w:rsidRPr="00311B29" w:rsidRDefault="00B1008F" w:rsidP="00B1008F">
      <w:pPr>
        <w:pStyle w:val="Note"/>
        <w:rPr>
          <w:lang w:val="en-GB"/>
        </w:rPr>
      </w:pPr>
      <w:r w:rsidRPr="00311B29">
        <w:rPr>
          <w:lang w:val="en-GB"/>
        </w:rPr>
        <w:t>NOTE 1 – Additional characteristics for EPIRBs aboard aircraft are specified in the relevant annexes to the Convention on International Civil Aviation.</w:t>
      </w:r>
    </w:p>
    <w:p w:rsidR="00B1008F" w:rsidRPr="00311B29" w:rsidRDefault="00B1008F" w:rsidP="00B1008F">
      <w:pPr>
        <w:rPr>
          <w:lang w:val="en-GB"/>
        </w:rPr>
      </w:pPr>
    </w:p>
    <w:p w:rsidR="00B1008F" w:rsidRPr="00311B29" w:rsidRDefault="00B1008F" w:rsidP="00B1008F">
      <w:pPr>
        <w:rPr>
          <w:lang w:val="en-GB"/>
        </w:rPr>
      </w:pPr>
    </w:p>
    <w:p w:rsidR="00B1008F" w:rsidRPr="00311B29" w:rsidRDefault="00B1008F" w:rsidP="00B1008F">
      <w:pPr>
        <w:pStyle w:val="Line"/>
      </w:pPr>
    </w:p>
    <w:sectPr w:rsidR="00B1008F" w:rsidRPr="00311B29" w:rsidSect="00B1008F">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08F" w:rsidRDefault="00B1008F">
      <w:r>
        <w:separator/>
      </w:r>
    </w:p>
  </w:endnote>
  <w:endnote w:type="continuationSeparator" w:id="0">
    <w:p w:rsidR="00B1008F" w:rsidRDefault="00B10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08F" w:rsidRDefault="00B1008F">
      <w:r>
        <w:separator/>
      </w:r>
    </w:p>
  </w:footnote>
  <w:footnote w:type="continuationSeparator" w:id="0">
    <w:p w:rsidR="00B1008F" w:rsidRDefault="00B1008F">
      <w:r>
        <w:continuationSeparator/>
      </w:r>
    </w:p>
  </w:footnote>
  <w:footnote w:id="1">
    <w:p w:rsidR="00B1008F" w:rsidRPr="00B1008F" w:rsidRDefault="00B1008F" w:rsidP="00B1008F">
      <w:pPr>
        <w:pStyle w:val="FootnoteText"/>
        <w:tabs>
          <w:tab w:val="clear" w:pos="255"/>
          <w:tab w:val="left" w:pos="284"/>
        </w:tabs>
        <w:ind w:left="284" w:hanging="284"/>
        <w:rPr>
          <w:lang w:val="en-US"/>
        </w:rPr>
      </w:pPr>
      <w:r w:rsidRPr="00B1008F">
        <w:rPr>
          <w:rStyle w:val="FootnoteReference"/>
          <w:lang w:val="en-US"/>
        </w:rPr>
        <w:t>*</w:t>
      </w:r>
      <w:r w:rsidRPr="00B1008F">
        <w:rPr>
          <w:lang w:val="en-US"/>
        </w:rPr>
        <w:t xml:space="preserve"> </w:t>
      </w:r>
      <w:r w:rsidRPr="00B1008F">
        <w:rPr>
          <w:lang w:val="en-US"/>
        </w:rPr>
        <w:tab/>
        <w:t>This Recommendation should be brought to the attention of the International Civil Aviation Organization (ICAO) and the COSPAS-SARSAT Secretariat.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08F" w:rsidRDefault="00B1008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08F" w:rsidRDefault="00B1008F" w:rsidP="00B033C8">
    <w:pPr>
      <w:ind w:right="360" w:firstLine="360"/>
    </w:pPr>
    <w:r>
      <w:rPr>
        <w:noProof/>
        <w:lang w:val="en-US" w:eastAsia="zh-CN"/>
      </w:rPr>
      <w:drawing>
        <wp:anchor distT="0" distB="0" distL="114300" distR="114300" simplePos="0" relativeHeight="251659264" behindDoc="1" locked="0" layoutInCell="1" allowOverlap="1" wp14:anchorId="7A14EDD3" wp14:editId="0FF4BA8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08F" w:rsidRPr="00FC42AF" w:rsidRDefault="00B1008F" w:rsidP="007913D0">
    <w:pPr>
      <w:tabs>
        <w:tab w:val="clear" w:pos="794"/>
        <w:tab w:val="clear" w:pos="1191"/>
        <w:tab w:val="clear" w:pos="1588"/>
        <w:tab w:val="clear" w:pos="1985"/>
        <w:tab w:val="center" w:pos="4848"/>
        <w:tab w:val="center" w:pos="9696"/>
      </w:tabs>
      <w:jc w:val="left"/>
    </w:pPr>
    <w:r w:rsidRPr="00FC42AF">
      <w:tab/>
    </w:r>
    <w:r w:rsidR="009B05D0">
      <w:fldChar w:fldCharType="begin"/>
    </w:r>
    <w:r w:rsidR="009B05D0">
      <w:instrText xml:space="preserve"> DOCPROPERTY "Header" \* MERGEFORMAT </w:instrText>
    </w:r>
    <w:r w:rsidR="009B05D0">
      <w:fldChar w:fldCharType="separate"/>
    </w:r>
    <w:r w:rsidR="00E76A2E" w:rsidRPr="00E76A2E">
      <w:rPr>
        <w:b/>
        <w:bCs/>
      </w:rPr>
      <w:t xml:space="preserve">Rec. </w:t>
    </w:r>
    <w:r w:rsidR="009B05D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76A2E">
      <w:rPr>
        <w:b/>
        <w:bCs/>
        <w:noProof/>
      </w:rPr>
      <w:t>ITU-R  M.690-2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76A2E">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08F" w:rsidRPr="00FC42AF" w:rsidRDefault="00B1008F"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05D0">
      <w:rPr>
        <w:rStyle w:val="PageNumber"/>
        <w:b/>
        <w:bCs/>
        <w:noProof/>
      </w:rPr>
      <w:t>ii</w:t>
    </w:r>
    <w:r>
      <w:rPr>
        <w:rStyle w:val="PageNumber"/>
        <w:b/>
        <w:bCs/>
      </w:rPr>
      <w:fldChar w:fldCharType="end"/>
    </w:r>
    <w:r w:rsidRPr="00FC42AF">
      <w:tab/>
    </w:r>
    <w:r w:rsidR="009B05D0">
      <w:fldChar w:fldCharType="begin"/>
    </w:r>
    <w:r w:rsidR="009B05D0">
      <w:instrText xml:space="preserve"> DOCPROPERTY "Header" \* MERGEFORMAT </w:instrText>
    </w:r>
    <w:r w:rsidR="009B05D0">
      <w:fldChar w:fldCharType="separate"/>
    </w:r>
    <w:r w:rsidR="00E76A2E" w:rsidRPr="00E76A2E">
      <w:rPr>
        <w:b/>
        <w:bCs/>
      </w:rPr>
      <w:t xml:space="preserve">Rec. </w:t>
    </w:r>
    <w:r w:rsidR="009B05D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9B05D0">
      <w:rPr>
        <w:b/>
        <w:bCs/>
        <w:noProof/>
      </w:rPr>
      <w:t>ITU-R  M.690-2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08F" w:rsidRDefault="00B1008F">
    <w:r>
      <w:tab/>
    </w:r>
    <w:r w:rsidR="009B05D0">
      <w:fldChar w:fldCharType="begin"/>
    </w:r>
    <w:r w:rsidR="009B05D0">
      <w:instrText xml:space="preserve"> DOCPROPERTY "Header" \* MERGEFORMAT </w:instrText>
    </w:r>
    <w:r w:rsidR="009B05D0">
      <w:fldChar w:fldCharType="separate"/>
    </w:r>
    <w:r w:rsidR="00E76A2E" w:rsidRPr="00E76A2E">
      <w:rPr>
        <w:b/>
        <w:bCs/>
      </w:rPr>
      <w:t xml:space="preserve">Rec. </w:t>
    </w:r>
    <w:r w:rsidR="009B05D0">
      <w:rPr>
        <w:b/>
        <w:bCs/>
      </w:rPr>
      <w:fldChar w:fldCharType="end"/>
    </w:r>
    <w:r>
      <w:rPr>
        <w:b/>
        <w:bCs/>
      </w:rPr>
      <w:t xml:space="preserve"> </w:t>
    </w:r>
    <w:r>
      <w:rPr>
        <w:b/>
        <w:bCs/>
      </w:rPr>
      <w:fldChar w:fldCharType="begin"/>
    </w:r>
    <w:r>
      <w:rPr>
        <w:b/>
        <w:bCs/>
      </w:rPr>
      <w:instrText>styleref href</w:instrText>
    </w:r>
    <w:r>
      <w:rPr>
        <w:b/>
        <w:bCs/>
      </w:rPr>
      <w:fldChar w:fldCharType="separate"/>
    </w:r>
    <w:r w:rsidR="00E76A2E">
      <w:rPr>
        <w:b/>
        <w:bCs/>
        <w:noProof/>
      </w:rPr>
      <w:t>ITU-R  M.690-2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6A2E">
      <w:rPr>
        <w:rStyle w:val="PageNumber"/>
        <w:b/>
        <w:bCs/>
        <w:noProof/>
      </w:rPr>
      <w:t>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B05D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76A2E" w:rsidRPr="00E76A2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B05D0">
      <w:rPr>
        <w:b/>
        <w:bCs/>
        <w:noProof/>
      </w:rPr>
      <w:t>ITU-R  M.690-2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9B05D0">
      <w:fldChar w:fldCharType="begin"/>
    </w:r>
    <w:r w:rsidR="009B05D0">
      <w:instrText xml:space="preserve"> DOCPROPERTY "Header" \* MERGEFORMAT </w:instrText>
    </w:r>
    <w:r w:rsidR="009B05D0">
      <w:fldChar w:fldCharType="separate"/>
    </w:r>
    <w:r w:rsidR="00E76A2E" w:rsidRPr="00E76A2E">
      <w:rPr>
        <w:b/>
        <w:bCs/>
      </w:rPr>
      <w:t xml:space="preserve">Rec. </w:t>
    </w:r>
    <w:r w:rsidR="009B05D0">
      <w:rPr>
        <w:b/>
        <w:bCs/>
      </w:rPr>
      <w:fldChar w:fldCharType="end"/>
    </w:r>
    <w:r>
      <w:rPr>
        <w:b/>
        <w:bCs/>
      </w:rPr>
      <w:t xml:space="preserve"> </w:t>
    </w:r>
    <w:r>
      <w:rPr>
        <w:b/>
        <w:bCs/>
      </w:rPr>
      <w:fldChar w:fldCharType="begin"/>
    </w:r>
    <w:r>
      <w:rPr>
        <w:b/>
        <w:bCs/>
      </w:rPr>
      <w:instrText>styleref href</w:instrText>
    </w:r>
    <w:r>
      <w:rPr>
        <w:b/>
        <w:bCs/>
      </w:rPr>
      <w:fldChar w:fldCharType="separate"/>
    </w:r>
    <w:r w:rsidR="009B05D0">
      <w:rPr>
        <w:b/>
        <w:bCs/>
        <w:noProof/>
      </w:rPr>
      <w:t>ITU-R  M.690-2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05D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8F"/>
    <w:rsid w:val="00217EBF"/>
    <w:rsid w:val="00242AEE"/>
    <w:rsid w:val="002D76C4"/>
    <w:rsid w:val="0044595A"/>
    <w:rsid w:val="0052529D"/>
    <w:rsid w:val="00607D68"/>
    <w:rsid w:val="007468DA"/>
    <w:rsid w:val="009B05D0"/>
    <w:rsid w:val="009E00A8"/>
    <w:rsid w:val="00A6617B"/>
    <w:rsid w:val="00AB0DC8"/>
    <w:rsid w:val="00B1008F"/>
    <w:rsid w:val="00B44E24"/>
    <w:rsid w:val="00DF4176"/>
    <w:rsid w:val="00E76A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0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4595A"/>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1008F"/>
    <w:rPr>
      <w:b/>
      <w:sz w:val="24"/>
      <w:lang w:val="fr-FR" w:eastAsia="en-US"/>
    </w:rPr>
  </w:style>
  <w:style w:type="character" w:customStyle="1" w:styleId="TableheadChar">
    <w:name w:val="Table_head Char"/>
    <w:basedOn w:val="DefaultParagraphFont"/>
    <w:link w:val="Tablehead"/>
    <w:locked/>
    <w:rsid w:val="00B1008F"/>
    <w:rPr>
      <w:b/>
      <w:sz w:val="22"/>
      <w:lang w:val="fr-FR" w:eastAsia="en-US"/>
    </w:rPr>
  </w:style>
  <w:style w:type="character" w:customStyle="1" w:styleId="TabletextChar">
    <w:name w:val="Table_text Char"/>
    <w:basedOn w:val="DefaultParagraphFont"/>
    <w:link w:val="Tabletext"/>
    <w:locked/>
    <w:rsid w:val="00B1008F"/>
    <w:rPr>
      <w:sz w:val="22"/>
      <w:lang w:val="fr-FR" w:eastAsia="en-US"/>
    </w:rPr>
  </w:style>
  <w:style w:type="character" w:styleId="Hyperlink">
    <w:name w:val="Hyperlink"/>
    <w:basedOn w:val="DefaultParagraphFont"/>
    <w:rsid w:val="00B1008F"/>
    <w:rPr>
      <w:color w:val="0000FF"/>
      <w:u w:val="single"/>
    </w:rPr>
  </w:style>
  <w:style w:type="paragraph" w:customStyle="1" w:styleId="Normalaftertitle0">
    <w:name w:val="Normal after title"/>
    <w:basedOn w:val="Normal"/>
    <w:next w:val="Normal"/>
    <w:rsid w:val="00B1008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headfoot">
    <w:name w:val="head_foot"/>
    <w:basedOn w:val="Normal"/>
    <w:next w:val="Normalaftertitle0"/>
    <w:rsid w:val="00B1008F"/>
    <w:pPr>
      <w:tabs>
        <w:tab w:val="clear" w:pos="794"/>
        <w:tab w:val="clear" w:pos="1191"/>
        <w:tab w:val="clear" w:pos="1588"/>
        <w:tab w:val="clear" w:pos="1985"/>
      </w:tabs>
      <w:spacing w:before="0"/>
    </w:pPr>
    <w:rPr>
      <w:color w:val="FF0000"/>
      <w:sz w:val="8"/>
      <w:lang w:val="en-GB"/>
    </w:rPr>
  </w:style>
  <w:style w:type="character" w:customStyle="1" w:styleId="CallChar">
    <w:name w:val="Call Char"/>
    <w:link w:val="Call"/>
    <w:locked/>
    <w:rsid w:val="00B1008F"/>
    <w:rPr>
      <w:i/>
      <w:sz w:val="24"/>
      <w:lang w:val="fr-FR" w:eastAsia="en-US"/>
    </w:rPr>
  </w:style>
  <w:style w:type="character" w:customStyle="1" w:styleId="FootnoteTextChar">
    <w:name w:val="Footnote Text Char"/>
    <w:basedOn w:val="DefaultParagraphFont"/>
    <w:link w:val="FootnoteText"/>
    <w:rsid w:val="00B1008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008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4595A"/>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B1008F"/>
    <w:rPr>
      <w:b/>
      <w:sz w:val="24"/>
      <w:lang w:val="fr-FR" w:eastAsia="en-US"/>
    </w:rPr>
  </w:style>
  <w:style w:type="character" w:customStyle="1" w:styleId="TableheadChar">
    <w:name w:val="Table_head Char"/>
    <w:basedOn w:val="DefaultParagraphFont"/>
    <w:link w:val="Tablehead"/>
    <w:locked/>
    <w:rsid w:val="00B1008F"/>
    <w:rPr>
      <w:b/>
      <w:sz w:val="22"/>
      <w:lang w:val="fr-FR" w:eastAsia="en-US"/>
    </w:rPr>
  </w:style>
  <w:style w:type="character" w:customStyle="1" w:styleId="TabletextChar">
    <w:name w:val="Table_text Char"/>
    <w:basedOn w:val="DefaultParagraphFont"/>
    <w:link w:val="Tabletext"/>
    <w:locked/>
    <w:rsid w:val="00B1008F"/>
    <w:rPr>
      <w:sz w:val="22"/>
      <w:lang w:val="fr-FR" w:eastAsia="en-US"/>
    </w:rPr>
  </w:style>
  <w:style w:type="character" w:styleId="Hyperlink">
    <w:name w:val="Hyperlink"/>
    <w:basedOn w:val="DefaultParagraphFont"/>
    <w:rsid w:val="00B1008F"/>
    <w:rPr>
      <w:color w:val="0000FF"/>
      <w:u w:val="single"/>
    </w:rPr>
  </w:style>
  <w:style w:type="paragraph" w:customStyle="1" w:styleId="Normalaftertitle0">
    <w:name w:val="Normal after title"/>
    <w:basedOn w:val="Normal"/>
    <w:next w:val="Normal"/>
    <w:rsid w:val="00B1008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headfoot">
    <w:name w:val="head_foot"/>
    <w:basedOn w:val="Normal"/>
    <w:next w:val="Normalaftertitle0"/>
    <w:rsid w:val="00B1008F"/>
    <w:pPr>
      <w:tabs>
        <w:tab w:val="clear" w:pos="794"/>
        <w:tab w:val="clear" w:pos="1191"/>
        <w:tab w:val="clear" w:pos="1588"/>
        <w:tab w:val="clear" w:pos="1985"/>
      </w:tabs>
      <w:spacing w:before="0"/>
    </w:pPr>
    <w:rPr>
      <w:color w:val="FF0000"/>
      <w:sz w:val="8"/>
      <w:lang w:val="en-GB"/>
    </w:rPr>
  </w:style>
  <w:style w:type="character" w:customStyle="1" w:styleId="CallChar">
    <w:name w:val="Call Char"/>
    <w:link w:val="Call"/>
    <w:locked/>
    <w:rsid w:val="00B1008F"/>
    <w:rPr>
      <w:i/>
      <w:sz w:val="24"/>
      <w:lang w:val="fr-FR" w:eastAsia="en-US"/>
    </w:rPr>
  </w:style>
  <w:style w:type="character" w:customStyle="1" w:styleId="FootnoteTextChar">
    <w:name w:val="Footnote Text Char"/>
    <w:basedOn w:val="DefaultParagraphFont"/>
    <w:link w:val="FootnoteText"/>
    <w:rsid w:val="00B1008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4</Pages>
  <Words>702</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cp:lastModifiedBy>
  <cp:revision>4</cp:revision>
  <cp:lastPrinted>2012-03-27T08:53:00Z</cp:lastPrinted>
  <dcterms:created xsi:type="dcterms:W3CDTF">2012-03-27T08:46:00Z</dcterms:created>
  <dcterms:modified xsi:type="dcterms:W3CDTF">2012-04-16T07:28:00Z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