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1F6" w:rsidRPr="006D3BBC" w:rsidRDefault="00BC31F6"/>
    <w:p w:rsidR="00BC31F6" w:rsidRPr="006D3BBC" w:rsidRDefault="00BC31F6"/>
    <w:p w:rsidR="00BC31F6" w:rsidRPr="006D3BBC" w:rsidRDefault="00BC31F6"/>
    <w:p w:rsidR="00BC31F6" w:rsidRPr="006D3BBC" w:rsidRDefault="00BC31F6"/>
    <w:p w:rsidR="00BC31F6" w:rsidRPr="006D3BBC" w:rsidRDefault="00BC31F6"/>
    <w:p w:rsidR="00BC31F6" w:rsidRPr="006D3BBC" w:rsidRDefault="00BC31F6"/>
    <w:p w:rsidR="00BC31F6" w:rsidRPr="006D3BBC" w:rsidRDefault="00BC31F6"/>
    <w:p w:rsidR="00BC31F6" w:rsidRPr="006D3BBC" w:rsidRDefault="00BC31F6"/>
    <w:p w:rsidR="00BC31F6" w:rsidRPr="006D3BBC" w:rsidRDefault="00BC31F6"/>
    <w:p w:rsidR="00BC31F6" w:rsidRPr="006D3BBC" w:rsidRDefault="00BC31F6"/>
    <w:p w:rsidR="00BC31F6" w:rsidRPr="006D3BBC" w:rsidRDefault="00BC31F6"/>
    <w:p w:rsidR="00BC31F6" w:rsidRPr="006D3BBC" w:rsidRDefault="00BC31F6"/>
    <w:tbl>
      <w:tblPr>
        <w:tblW w:w="10089" w:type="dxa"/>
        <w:tblLook w:val="01E0" w:firstRow="1" w:lastRow="1" w:firstColumn="1" w:lastColumn="1" w:noHBand="0" w:noVBand="0"/>
      </w:tblPr>
      <w:tblGrid>
        <w:gridCol w:w="10089"/>
      </w:tblGrid>
      <w:tr w:rsidR="00BC31F6" w:rsidRPr="006D3BBC">
        <w:tc>
          <w:tcPr>
            <w:tcW w:w="10089" w:type="dxa"/>
          </w:tcPr>
          <w:p w:rsidR="00BC31F6" w:rsidRPr="006D3BBC" w:rsidRDefault="00BC31F6" w:rsidP="00013002">
            <w:pPr>
              <w:spacing w:before="380" w:line="280" w:lineRule="exact"/>
              <w:jc w:val="right"/>
              <w:rPr>
                <w:rFonts w:ascii="Tahoma" w:hAnsi="Tahoma" w:cs="Tahoma"/>
                <w:b/>
                <w:bCs/>
                <w:iCs/>
                <w:color w:val="243285"/>
                <w:sz w:val="32"/>
                <w:szCs w:val="32"/>
              </w:rPr>
            </w:pPr>
          </w:p>
          <w:p w:rsidR="00BC31F6" w:rsidRPr="006D3BBC" w:rsidRDefault="00BC31F6" w:rsidP="00BC31F6">
            <w:pPr>
              <w:spacing w:before="380" w:line="280" w:lineRule="exact"/>
              <w:jc w:val="right"/>
              <w:rPr>
                <w:rFonts w:ascii="Tahoma" w:hAnsi="Tahoma" w:cs="Tahoma"/>
                <w:b/>
                <w:bCs/>
                <w:iCs/>
                <w:color w:val="243285"/>
                <w:sz w:val="36"/>
                <w:szCs w:val="36"/>
              </w:rPr>
            </w:pPr>
            <w:r w:rsidRPr="006D3BBC">
              <w:rPr>
                <w:rFonts w:ascii="Tahoma" w:hAnsi="Tahoma" w:cs="Tahoma"/>
                <w:b/>
                <w:bCs/>
                <w:iCs/>
                <w:color w:val="243285"/>
                <w:sz w:val="36"/>
                <w:szCs w:val="36"/>
              </w:rPr>
              <w:t>Recommandation  UIT-R  M.824-4</w:t>
            </w:r>
          </w:p>
          <w:p w:rsidR="00BC31F6" w:rsidRPr="006D3BBC" w:rsidRDefault="00BC31F6" w:rsidP="00BC31F6">
            <w:pPr>
              <w:spacing w:before="80" w:line="280" w:lineRule="exact"/>
              <w:jc w:val="right"/>
              <w:rPr>
                <w:rFonts w:ascii="Tahoma" w:hAnsi="Tahoma" w:cs="Tahoma"/>
                <w:b/>
                <w:bCs/>
                <w:iCs/>
                <w:color w:val="243285"/>
                <w:szCs w:val="24"/>
              </w:rPr>
            </w:pPr>
            <w:r w:rsidRPr="006D3BBC">
              <w:rPr>
                <w:rFonts w:ascii="Tahoma" w:hAnsi="Tahoma" w:cs="Tahoma"/>
                <w:b/>
                <w:bCs/>
                <w:iCs/>
                <w:color w:val="243285"/>
                <w:szCs w:val="24"/>
              </w:rPr>
              <w:t>(02/2013)</w:t>
            </w:r>
          </w:p>
        </w:tc>
      </w:tr>
      <w:tr w:rsidR="00BC31F6" w:rsidRPr="006D3BBC">
        <w:tc>
          <w:tcPr>
            <w:tcW w:w="10089" w:type="dxa"/>
          </w:tcPr>
          <w:p w:rsidR="00BC31F6" w:rsidRPr="006D3BBC" w:rsidRDefault="00BC31F6" w:rsidP="00123FD5">
            <w:pPr>
              <w:spacing w:before="80" w:line="500" w:lineRule="exact"/>
              <w:jc w:val="right"/>
              <w:rPr>
                <w:rFonts w:ascii="Tahoma" w:hAnsi="Tahoma" w:cs="Tahoma"/>
                <w:b/>
                <w:bCs/>
                <w:iCs/>
                <w:color w:val="243285"/>
                <w:sz w:val="44"/>
                <w:szCs w:val="44"/>
              </w:rPr>
            </w:pPr>
          </w:p>
          <w:p w:rsidR="00BC31F6" w:rsidRPr="006D3BBC" w:rsidRDefault="00BC31F6" w:rsidP="00BC31F6">
            <w:pPr>
              <w:spacing w:before="80" w:line="500" w:lineRule="exact"/>
              <w:jc w:val="right"/>
              <w:rPr>
                <w:rFonts w:ascii="Tahoma" w:hAnsi="Tahoma" w:cs="Tahoma"/>
                <w:b/>
                <w:bCs/>
                <w:iCs/>
                <w:color w:val="243285"/>
                <w:sz w:val="44"/>
                <w:szCs w:val="44"/>
              </w:rPr>
            </w:pPr>
            <w:r w:rsidRPr="006D3BBC">
              <w:rPr>
                <w:rFonts w:ascii="Tahoma" w:hAnsi="Tahoma" w:cs="Tahoma"/>
                <w:b/>
                <w:bCs/>
                <w:iCs/>
                <w:color w:val="243285"/>
                <w:sz w:val="44"/>
                <w:szCs w:val="44"/>
              </w:rPr>
              <w:t>Caractéristiques techniques</w:t>
            </w:r>
            <w:r w:rsidRPr="006D3BBC">
              <w:rPr>
                <w:rFonts w:ascii="Tahoma" w:hAnsi="Tahoma" w:cs="Tahoma"/>
                <w:b/>
                <w:bCs/>
                <w:iCs/>
                <w:color w:val="243285"/>
                <w:sz w:val="44"/>
                <w:szCs w:val="44"/>
              </w:rPr>
              <w:br/>
              <w:t>des balises radar</w:t>
            </w:r>
          </w:p>
        </w:tc>
      </w:tr>
      <w:tr w:rsidR="00BC31F6" w:rsidRPr="006D3BBC">
        <w:tc>
          <w:tcPr>
            <w:tcW w:w="10089" w:type="dxa"/>
          </w:tcPr>
          <w:p w:rsidR="00BC31F6" w:rsidRPr="006D3BBC" w:rsidRDefault="00BC31F6" w:rsidP="00AD267B">
            <w:pPr>
              <w:spacing w:before="80" w:line="280" w:lineRule="exact"/>
              <w:ind w:right="640"/>
              <w:rPr>
                <w:rFonts w:ascii="Tahoma" w:hAnsi="Tahoma" w:cs="Tahoma"/>
                <w:b/>
                <w:bCs/>
                <w:iCs/>
                <w:color w:val="243285"/>
                <w:sz w:val="32"/>
                <w:szCs w:val="32"/>
              </w:rPr>
            </w:pPr>
          </w:p>
          <w:p w:rsidR="00BC31F6" w:rsidRPr="006D3BBC" w:rsidRDefault="00BC31F6" w:rsidP="00AD267B">
            <w:pPr>
              <w:spacing w:before="80" w:line="280" w:lineRule="exact"/>
              <w:ind w:right="640"/>
              <w:rPr>
                <w:rFonts w:ascii="Tahoma" w:hAnsi="Tahoma" w:cs="Tahoma"/>
                <w:b/>
                <w:bCs/>
                <w:iCs/>
                <w:color w:val="243285"/>
                <w:sz w:val="32"/>
                <w:szCs w:val="32"/>
              </w:rPr>
            </w:pPr>
          </w:p>
          <w:p w:rsidR="00BC31F6" w:rsidRPr="006D3BBC" w:rsidRDefault="00BC31F6" w:rsidP="004A4D65">
            <w:pPr>
              <w:spacing w:before="80" w:after="180" w:line="360" w:lineRule="exact"/>
              <w:ind w:right="720"/>
              <w:rPr>
                <w:rFonts w:ascii="Tahoma" w:hAnsi="Tahoma" w:cs="Tahoma"/>
                <w:b/>
                <w:bCs/>
                <w:iCs/>
                <w:color w:val="243285"/>
                <w:sz w:val="36"/>
                <w:szCs w:val="36"/>
              </w:rPr>
            </w:pPr>
          </w:p>
          <w:p w:rsidR="00BC31F6" w:rsidRPr="006D3BBC" w:rsidRDefault="00BC31F6" w:rsidP="00592F9F">
            <w:pPr>
              <w:spacing w:before="80" w:after="180" w:line="360" w:lineRule="exact"/>
              <w:jc w:val="right"/>
              <w:rPr>
                <w:rFonts w:ascii="Tahoma" w:hAnsi="Tahoma" w:cs="Tahoma"/>
                <w:b/>
                <w:bCs/>
                <w:iCs/>
                <w:color w:val="243285"/>
                <w:sz w:val="36"/>
                <w:szCs w:val="36"/>
              </w:rPr>
            </w:pPr>
            <w:r w:rsidRPr="006D3BBC">
              <w:rPr>
                <w:rFonts w:ascii="Tahoma" w:hAnsi="Tahoma" w:cs="Tahoma"/>
                <w:b/>
                <w:bCs/>
                <w:iCs/>
                <w:color w:val="243285"/>
                <w:sz w:val="36"/>
                <w:szCs w:val="36"/>
              </w:rPr>
              <w:t>Série M</w:t>
            </w:r>
          </w:p>
          <w:p w:rsidR="00BC31F6" w:rsidRPr="006D3BBC" w:rsidRDefault="00BC31F6" w:rsidP="00AD267B">
            <w:pPr>
              <w:spacing w:before="80" w:line="420" w:lineRule="exact"/>
              <w:jc w:val="right"/>
              <w:rPr>
                <w:rFonts w:ascii="Tahoma" w:hAnsi="Tahoma" w:cs="Tahoma"/>
                <w:b/>
                <w:bCs/>
                <w:iCs/>
                <w:color w:val="243285"/>
                <w:sz w:val="36"/>
                <w:szCs w:val="36"/>
              </w:rPr>
            </w:pPr>
            <w:r w:rsidRPr="006D3BBC">
              <w:rPr>
                <w:rFonts w:ascii="Tahoma" w:hAnsi="Tahoma" w:cs="Tahoma"/>
                <w:b/>
                <w:bCs/>
                <w:iCs/>
                <w:color w:val="243285"/>
                <w:sz w:val="36"/>
                <w:szCs w:val="36"/>
              </w:rPr>
              <w:t>Services mobile, de radiorepérage et d’amateur</w:t>
            </w:r>
            <w:r w:rsidRPr="006D3BBC">
              <w:rPr>
                <w:rFonts w:ascii="Tahoma" w:hAnsi="Tahoma" w:cs="Tahoma"/>
                <w:b/>
                <w:bCs/>
                <w:iCs/>
                <w:color w:val="243285"/>
                <w:sz w:val="36"/>
                <w:szCs w:val="36"/>
              </w:rPr>
              <w:br/>
              <w:t>y compris les services par satellite associés</w:t>
            </w:r>
          </w:p>
        </w:tc>
      </w:tr>
    </w:tbl>
    <w:p w:rsidR="00BC31F6" w:rsidRPr="006D3BBC" w:rsidRDefault="00BC31F6" w:rsidP="00CD659B">
      <w:pPr>
        <w:spacing w:before="80"/>
        <w:rPr>
          <w:i/>
          <w:sz w:val="22"/>
        </w:rPr>
      </w:pPr>
    </w:p>
    <w:p w:rsidR="00BC31F6" w:rsidRPr="006D3BBC" w:rsidRDefault="00BC31F6" w:rsidP="00CD659B">
      <w:pPr>
        <w:spacing w:before="80"/>
        <w:rPr>
          <w:i/>
          <w:sz w:val="22"/>
        </w:rPr>
      </w:pPr>
    </w:p>
    <w:p w:rsidR="00BC31F6" w:rsidRPr="006D3BBC" w:rsidRDefault="00BC31F6" w:rsidP="00CD659B">
      <w:pPr>
        <w:spacing w:before="80"/>
        <w:rPr>
          <w:i/>
          <w:sz w:val="22"/>
        </w:rPr>
      </w:pPr>
    </w:p>
    <w:p w:rsidR="00BC31F6" w:rsidRPr="006D3BBC" w:rsidRDefault="00BC31F6" w:rsidP="00CD659B">
      <w:pPr>
        <w:spacing w:before="80"/>
        <w:rPr>
          <w:i/>
          <w:sz w:val="22"/>
        </w:rPr>
      </w:pPr>
    </w:p>
    <w:p w:rsidR="00BC31F6" w:rsidRPr="006D3BBC" w:rsidRDefault="00BC31F6" w:rsidP="00CD659B">
      <w:pPr>
        <w:spacing w:before="80"/>
        <w:rPr>
          <w:i/>
          <w:sz w:val="22"/>
        </w:rPr>
      </w:pPr>
    </w:p>
    <w:p w:rsidR="00BC31F6" w:rsidRPr="006D3BBC" w:rsidRDefault="00BC31F6" w:rsidP="00CD659B">
      <w:pPr>
        <w:spacing w:before="80"/>
        <w:rPr>
          <w:i/>
          <w:sz w:val="22"/>
        </w:rPr>
      </w:pPr>
    </w:p>
    <w:p w:rsidR="00BC31F6" w:rsidRPr="006D3BBC" w:rsidRDefault="00BC31F6" w:rsidP="00CD659B">
      <w:pPr>
        <w:pStyle w:val="Equation"/>
        <w:tabs>
          <w:tab w:val="clear" w:pos="4820"/>
          <w:tab w:val="clear" w:pos="9639"/>
          <w:tab w:val="left" w:pos="1191"/>
          <w:tab w:val="left" w:pos="1588"/>
          <w:tab w:val="left" w:pos="1985"/>
        </w:tabs>
        <w:rPr>
          <w:rFonts w:ascii="Palatino Linotype" w:hAnsi="Palatino Linotype"/>
        </w:rPr>
        <w:sectPr w:rsidR="00BC31F6" w:rsidRPr="006D3BBC" w:rsidSect="002048D1">
          <w:headerReference w:type="even" r:id="rId8"/>
          <w:headerReference w:type="default" r:id="rId9"/>
          <w:pgSz w:w="11907" w:h="16834" w:code="9"/>
          <w:pgMar w:top="1418" w:right="1134" w:bottom="1134" w:left="1134" w:header="720" w:footer="482" w:gutter="0"/>
          <w:paperSrc w:first="15" w:other="15"/>
          <w:cols w:space="720"/>
        </w:sectPr>
      </w:pPr>
    </w:p>
    <w:p w:rsidR="00BC31F6" w:rsidRPr="006D3BBC" w:rsidRDefault="00BC31F6"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6D3BBC">
        <w:rPr>
          <w:bCs/>
          <w:sz w:val="24"/>
          <w:szCs w:val="24"/>
        </w:rPr>
        <w:lastRenderedPageBreak/>
        <w:t>Avant-propos</w:t>
      </w:r>
    </w:p>
    <w:p w:rsidR="00BC31F6" w:rsidRPr="006D3BBC" w:rsidRDefault="00BC31F6" w:rsidP="00F54FBD">
      <w:pPr>
        <w:spacing w:before="240"/>
        <w:rPr>
          <w:sz w:val="20"/>
        </w:rPr>
      </w:pPr>
      <w:r w:rsidRPr="006D3BBC">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C31F6" w:rsidRPr="006D3BBC" w:rsidRDefault="00BC31F6" w:rsidP="00F54FBD">
      <w:pPr>
        <w:rPr>
          <w:sz w:val="20"/>
        </w:rPr>
      </w:pPr>
      <w:r w:rsidRPr="006D3BBC">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BC31F6" w:rsidRPr="006D3BBC" w:rsidRDefault="00BC31F6" w:rsidP="00614CC6">
      <w:pPr>
        <w:pStyle w:val="Heading1"/>
        <w:spacing w:before="360"/>
        <w:jc w:val="center"/>
        <w:rPr>
          <w:szCs w:val="24"/>
        </w:rPr>
      </w:pPr>
      <w:r w:rsidRPr="006D3BBC">
        <w:rPr>
          <w:szCs w:val="24"/>
        </w:rPr>
        <w:t>Politique en matière de droits de propriété intellectuelle (IPR)</w:t>
      </w:r>
    </w:p>
    <w:p w:rsidR="00BC31F6" w:rsidRPr="006D3BBC" w:rsidRDefault="00BC31F6" w:rsidP="00E44CBB">
      <w:pPr>
        <w:spacing w:before="240"/>
        <w:rPr>
          <w:sz w:val="20"/>
        </w:rPr>
      </w:pPr>
      <w:r w:rsidRPr="006D3BBC">
        <w:rPr>
          <w:sz w:val="20"/>
        </w:rPr>
        <w:t>La politique de l'UIT</w:t>
      </w:r>
      <w:r w:rsidRPr="006D3BBC">
        <w:rPr>
          <w:sz w:val="20"/>
        </w:rPr>
        <w:noBreakHyphen/>
        <w:t>R en matière de droits de propriété intellectuelle est décrite dans la «Politique commune de l'UIT</w:t>
      </w:r>
      <w:r w:rsidRPr="006D3BBC">
        <w:rPr>
          <w:sz w:val="20"/>
        </w:rPr>
        <w:noBreakHyphen/>
        <w:t>T, l'UIT</w:t>
      </w:r>
      <w:r w:rsidRPr="006D3BBC">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6D3BBC">
          <w:rPr>
            <w:rStyle w:val="Hyperlink"/>
            <w:sz w:val="20"/>
          </w:rPr>
          <w:t>http://www.itu.int/ITU-R/go/patents/fr</w:t>
        </w:r>
      </w:hyperlink>
      <w:r w:rsidRPr="006D3BBC">
        <w:rPr>
          <w:sz w:val="20"/>
        </w:rPr>
        <w:t>, où l'on trouvera également les Lignes directrices pour la mise en oeuvre de la politique commune en matière de brevets de l'UIT</w:t>
      </w:r>
      <w:r w:rsidRPr="006D3BBC">
        <w:rPr>
          <w:sz w:val="20"/>
        </w:rPr>
        <w:noBreakHyphen/>
        <w:t>T, l'UIT</w:t>
      </w:r>
      <w:r w:rsidRPr="006D3BBC">
        <w:rPr>
          <w:sz w:val="20"/>
        </w:rPr>
        <w:noBreakHyphen/>
        <w:t>R, l'ISO et la CEI</w:t>
      </w:r>
      <w:r w:rsidRPr="006D3BBC" w:rsidDel="0061025C">
        <w:rPr>
          <w:sz w:val="20"/>
        </w:rPr>
        <w:t xml:space="preserve"> </w:t>
      </w:r>
      <w:r w:rsidRPr="006D3BBC">
        <w:rPr>
          <w:sz w:val="20"/>
        </w:rPr>
        <w:t>et la base de données en matière de brevets de l'UIT-R.</w:t>
      </w:r>
    </w:p>
    <w:p w:rsidR="00BC31F6" w:rsidRPr="006D3BBC" w:rsidRDefault="00BC31F6" w:rsidP="00614CC6">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C31F6" w:rsidRPr="006D3BBC">
        <w:tc>
          <w:tcPr>
            <w:tcW w:w="9360" w:type="dxa"/>
            <w:gridSpan w:val="2"/>
          </w:tcPr>
          <w:p w:rsidR="00BC31F6" w:rsidRPr="006D3BBC" w:rsidRDefault="00BC31F6" w:rsidP="00614CC6">
            <w:pPr>
              <w:pStyle w:val="Chaptitle"/>
              <w:keepLines w:val="0"/>
              <w:tabs>
                <w:tab w:val="clear" w:pos="794"/>
                <w:tab w:val="clear" w:pos="1191"/>
                <w:tab w:val="clear" w:pos="1588"/>
                <w:tab w:val="clear" w:pos="1985"/>
              </w:tabs>
              <w:overflowPunct/>
              <w:spacing w:before="140"/>
              <w:textAlignment w:val="auto"/>
              <w:rPr>
                <w:sz w:val="22"/>
                <w:szCs w:val="22"/>
              </w:rPr>
            </w:pPr>
            <w:r w:rsidRPr="006D3BBC">
              <w:rPr>
                <w:sz w:val="22"/>
                <w:szCs w:val="22"/>
              </w:rPr>
              <w:t xml:space="preserve">Séries des Recommandations UIT-R </w:t>
            </w:r>
          </w:p>
          <w:p w:rsidR="00BC31F6" w:rsidRPr="006D3BBC" w:rsidRDefault="00BC31F6"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6D3BBC">
              <w:rPr>
                <w:b w:val="0"/>
                <w:sz w:val="18"/>
                <w:szCs w:val="18"/>
              </w:rPr>
              <w:t xml:space="preserve">(Egalement disponible en ligne: </w:t>
            </w:r>
            <w:hyperlink r:id="rId11" w:history="1">
              <w:r w:rsidRPr="006D3BBC">
                <w:rPr>
                  <w:rStyle w:val="Hyperlink"/>
                  <w:b w:val="0"/>
                  <w:bCs/>
                  <w:sz w:val="18"/>
                  <w:szCs w:val="18"/>
                </w:rPr>
                <w:t>http://www.itu.int/publ/R-REC/fr</w:t>
              </w:r>
            </w:hyperlink>
            <w:r w:rsidRPr="006D3BBC">
              <w:rPr>
                <w:b w:val="0"/>
                <w:bCs/>
                <w:sz w:val="18"/>
                <w:szCs w:val="18"/>
              </w:rPr>
              <w:t>)</w:t>
            </w:r>
          </w:p>
        </w:tc>
      </w:tr>
      <w:tr w:rsidR="00BC31F6" w:rsidRPr="006D3BBC">
        <w:tc>
          <w:tcPr>
            <w:tcW w:w="1140" w:type="dxa"/>
          </w:tcPr>
          <w:p w:rsidR="00BC31F6" w:rsidRPr="006D3BBC" w:rsidRDefault="00BC31F6" w:rsidP="00614CC6">
            <w:pPr>
              <w:spacing w:before="90" w:after="100"/>
              <w:ind w:left="57"/>
              <w:rPr>
                <w:b/>
                <w:bCs/>
                <w:sz w:val="20"/>
              </w:rPr>
            </w:pPr>
            <w:r w:rsidRPr="006D3BBC">
              <w:rPr>
                <w:b/>
                <w:bCs/>
                <w:sz w:val="20"/>
              </w:rPr>
              <w:t>Séries</w:t>
            </w:r>
          </w:p>
        </w:tc>
        <w:tc>
          <w:tcPr>
            <w:tcW w:w="8220" w:type="dxa"/>
          </w:tcPr>
          <w:p w:rsidR="00BC31F6" w:rsidRPr="006D3BBC" w:rsidRDefault="00BC31F6"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6D3BBC">
              <w:rPr>
                <w:bCs/>
                <w:sz w:val="20"/>
              </w:rPr>
              <w:t>Titre</w:t>
            </w:r>
          </w:p>
        </w:tc>
      </w:tr>
      <w:tr w:rsidR="00BC31F6" w:rsidRPr="006D3BBC">
        <w:tc>
          <w:tcPr>
            <w:tcW w:w="1140" w:type="dxa"/>
          </w:tcPr>
          <w:p w:rsidR="00BC31F6" w:rsidRPr="006D3BBC" w:rsidRDefault="00BC31F6" w:rsidP="00F336CC">
            <w:pPr>
              <w:spacing w:before="30" w:after="30"/>
              <w:ind w:left="57"/>
              <w:jc w:val="left"/>
              <w:rPr>
                <w:b/>
                <w:bCs/>
                <w:sz w:val="20"/>
              </w:rPr>
            </w:pPr>
            <w:r w:rsidRPr="006D3BBC">
              <w:rPr>
                <w:b/>
                <w:bCs/>
                <w:sz w:val="20"/>
              </w:rPr>
              <w:t>BO</w:t>
            </w:r>
          </w:p>
        </w:tc>
        <w:tc>
          <w:tcPr>
            <w:tcW w:w="8220" w:type="dxa"/>
          </w:tcPr>
          <w:p w:rsidR="00BC31F6" w:rsidRPr="006D3BBC" w:rsidRDefault="00BC31F6"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D3BBC">
              <w:rPr>
                <w:b w:val="0"/>
                <w:bCs/>
                <w:sz w:val="20"/>
              </w:rPr>
              <w:t>Diffusion par satellite</w:t>
            </w:r>
          </w:p>
        </w:tc>
      </w:tr>
      <w:tr w:rsidR="00BC31F6" w:rsidRPr="006D3BBC">
        <w:tc>
          <w:tcPr>
            <w:tcW w:w="1140" w:type="dxa"/>
          </w:tcPr>
          <w:p w:rsidR="00BC31F6" w:rsidRPr="006D3BBC" w:rsidRDefault="00BC31F6" w:rsidP="00F336CC">
            <w:pPr>
              <w:spacing w:before="30" w:after="30"/>
              <w:ind w:left="57"/>
              <w:jc w:val="left"/>
              <w:rPr>
                <w:b/>
                <w:bCs/>
                <w:sz w:val="20"/>
              </w:rPr>
            </w:pPr>
            <w:r w:rsidRPr="006D3BBC">
              <w:rPr>
                <w:b/>
                <w:bCs/>
                <w:sz w:val="20"/>
              </w:rPr>
              <w:t>BR</w:t>
            </w:r>
          </w:p>
        </w:tc>
        <w:tc>
          <w:tcPr>
            <w:tcW w:w="8220" w:type="dxa"/>
          </w:tcPr>
          <w:p w:rsidR="00BC31F6" w:rsidRPr="006D3BBC" w:rsidRDefault="00BC31F6"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D3BBC">
              <w:rPr>
                <w:b w:val="0"/>
                <w:bCs/>
                <w:sz w:val="20"/>
              </w:rPr>
              <w:t>Enregistrement pour la production, l'archivage et la diffusion; films pour la télévision</w:t>
            </w:r>
          </w:p>
        </w:tc>
      </w:tr>
      <w:tr w:rsidR="00BC31F6" w:rsidRPr="006D3BBC">
        <w:tc>
          <w:tcPr>
            <w:tcW w:w="1140" w:type="dxa"/>
          </w:tcPr>
          <w:p w:rsidR="00BC31F6" w:rsidRPr="006D3BBC" w:rsidRDefault="00BC31F6" w:rsidP="00F336CC">
            <w:pPr>
              <w:spacing w:before="30" w:after="30"/>
              <w:ind w:left="57"/>
              <w:jc w:val="left"/>
              <w:rPr>
                <w:b/>
                <w:bCs/>
                <w:sz w:val="20"/>
              </w:rPr>
            </w:pPr>
            <w:r w:rsidRPr="006D3BBC">
              <w:rPr>
                <w:b/>
                <w:bCs/>
                <w:sz w:val="20"/>
              </w:rPr>
              <w:t>BS</w:t>
            </w:r>
          </w:p>
        </w:tc>
        <w:tc>
          <w:tcPr>
            <w:tcW w:w="8220" w:type="dxa"/>
          </w:tcPr>
          <w:p w:rsidR="00BC31F6" w:rsidRPr="006D3BBC" w:rsidRDefault="00BC31F6"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D3BBC">
              <w:rPr>
                <w:b w:val="0"/>
                <w:bCs/>
                <w:sz w:val="20"/>
              </w:rPr>
              <w:t>Service de radiodiffusion sonore</w:t>
            </w:r>
          </w:p>
        </w:tc>
      </w:tr>
      <w:tr w:rsidR="00BC31F6" w:rsidRPr="006D3BBC">
        <w:tc>
          <w:tcPr>
            <w:tcW w:w="1140" w:type="dxa"/>
            <w:shd w:val="clear" w:color="auto" w:fill="auto"/>
          </w:tcPr>
          <w:p w:rsidR="00BC31F6" w:rsidRPr="006D3BBC" w:rsidRDefault="00BC31F6" w:rsidP="00F336CC">
            <w:pPr>
              <w:spacing w:before="30" w:after="30"/>
              <w:ind w:left="57"/>
              <w:jc w:val="left"/>
              <w:rPr>
                <w:b/>
                <w:bCs/>
                <w:sz w:val="20"/>
              </w:rPr>
            </w:pPr>
            <w:r w:rsidRPr="006D3BBC">
              <w:rPr>
                <w:b/>
                <w:bCs/>
                <w:sz w:val="20"/>
              </w:rPr>
              <w:t>BT</w:t>
            </w:r>
          </w:p>
        </w:tc>
        <w:tc>
          <w:tcPr>
            <w:tcW w:w="8220" w:type="dxa"/>
            <w:shd w:val="clear" w:color="auto" w:fill="auto"/>
          </w:tcPr>
          <w:p w:rsidR="00BC31F6" w:rsidRPr="006D3BBC" w:rsidRDefault="00BC31F6"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D3BBC">
              <w:rPr>
                <w:b w:val="0"/>
                <w:bCs/>
                <w:sz w:val="20"/>
              </w:rPr>
              <w:t>Service de radiodiffusion télévisuelle</w:t>
            </w:r>
          </w:p>
        </w:tc>
      </w:tr>
      <w:tr w:rsidR="00BC31F6" w:rsidRPr="006D3BBC">
        <w:tc>
          <w:tcPr>
            <w:tcW w:w="1140" w:type="dxa"/>
            <w:shd w:val="clear" w:color="auto" w:fill="auto"/>
          </w:tcPr>
          <w:p w:rsidR="00BC31F6" w:rsidRPr="006D3BBC" w:rsidRDefault="00BC31F6" w:rsidP="00F336CC">
            <w:pPr>
              <w:spacing w:before="30" w:after="30"/>
              <w:ind w:left="57"/>
              <w:jc w:val="left"/>
              <w:rPr>
                <w:b/>
                <w:bCs/>
                <w:sz w:val="20"/>
              </w:rPr>
            </w:pPr>
            <w:r w:rsidRPr="006D3BBC">
              <w:rPr>
                <w:b/>
                <w:bCs/>
                <w:sz w:val="20"/>
              </w:rPr>
              <w:t>F</w:t>
            </w:r>
          </w:p>
        </w:tc>
        <w:tc>
          <w:tcPr>
            <w:tcW w:w="8220" w:type="dxa"/>
            <w:shd w:val="clear" w:color="auto" w:fill="auto"/>
          </w:tcPr>
          <w:p w:rsidR="00BC31F6" w:rsidRPr="006D3BBC" w:rsidRDefault="00BC31F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D3BBC">
              <w:rPr>
                <w:sz w:val="20"/>
              </w:rPr>
              <w:t>Service fixe</w:t>
            </w:r>
          </w:p>
        </w:tc>
      </w:tr>
      <w:tr w:rsidR="00BC31F6" w:rsidRPr="006D3BBC">
        <w:tc>
          <w:tcPr>
            <w:tcW w:w="1140" w:type="dxa"/>
            <w:shd w:val="clear" w:color="auto" w:fill="F3F3F3"/>
          </w:tcPr>
          <w:p w:rsidR="00BC31F6" w:rsidRPr="006D3BBC" w:rsidRDefault="00BC31F6" w:rsidP="00F336CC">
            <w:pPr>
              <w:spacing w:before="30" w:after="30"/>
              <w:ind w:left="57"/>
              <w:jc w:val="left"/>
              <w:rPr>
                <w:b/>
                <w:bCs/>
                <w:color w:val="000080"/>
                <w:sz w:val="20"/>
              </w:rPr>
            </w:pPr>
            <w:r w:rsidRPr="006D3BBC">
              <w:rPr>
                <w:b/>
                <w:bCs/>
                <w:color w:val="000080"/>
                <w:sz w:val="20"/>
              </w:rPr>
              <w:t>M</w:t>
            </w:r>
          </w:p>
        </w:tc>
        <w:tc>
          <w:tcPr>
            <w:tcW w:w="8220" w:type="dxa"/>
            <w:shd w:val="clear" w:color="auto" w:fill="F3F3F3"/>
          </w:tcPr>
          <w:p w:rsidR="00BC31F6" w:rsidRPr="006D3BBC" w:rsidRDefault="00BC31F6"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6D3BBC">
              <w:rPr>
                <w:bCs/>
                <w:color w:val="000080"/>
                <w:sz w:val="20"/>
              </w:rPr>
              <w:t>Services mobile, de radiorepérage et d'amateur y compris les services par satellite associés</w:t>
            </w:r>
          </w:p>
        </w:tc>
      </w:tr>
      <w:tr w:rsidR="00BC31F6" w:rsidRPr="006D3BBC">
        <w:tc>
          <w:tcPr>
            <w:tcW w:w="1140" w:type="dxa"/>
          </w:tcPr>
          <w:p w:rsidR="00BC31F6" w:rsidRPr="006D3BBC" w:rsidRDefault="00BC31F6" w:rsidP="00F336CC">
            <w:pPr>
              <w:spacing w:before="30" w:after="30"/>
              <w:ind w:left="57"/>
              <w:jc w:val="left"/>
              <w:rPr>
                <w:b/>
                <w:bCs/>
                <w:sz w:val="20"/>
              </w:rPr>
            </w:pPr>
            <w:r w:rsidRPr="006D3BBC">
              <w:rPr>
                <w:b/>
                <w:bCs/>
                <w:sz w:val="20"/>
              </w:rPr>
              <w:t>P</w:t>
            </w:r>
          </w:p>
        </w:tc>
        <w:tc>
          <w:tcPr>
            <w:tcW w:w="8220" w:type="dxa"/>
          </w:tcPr>
          <w:p w:rsidR="00BC31F6" w:rsidRPr="006D3BBC" w:rsidRDefault="00BC31F6" w:rsidP="00F336CC">
            <w:pPr>
              <w:spacing w:before="30" w:after="30"/>
              <w:jc w:val="left"/>
              <w:rPr>
                <w:sz w:val="20"/>
              </w:rPr>
            </w:pPr>
            <w:r w:rsidRPr="006D3BBC">
              <w:rPr>
                <w:sz w:val="20"/>
              </w:rPr>
              <w:t>Propagation des ondes radioélectriques</w:t>
            </w:r>
          </w:p>
        </w:tc>
      </w:tr>
      <w:tr w:rsidR="00BC31F6" w:rsidRPr="006D3BBC">
        <w:tc>
          <w:tcPr>
            <w:tcW w:w="1140" w:type="dxa"/>
          </w:tcPr>
          <w:p w:rsidR="00BC31F6" w:rsidRPr="006D3BBC" w:rsidRDefault="00BC31F6" w:rsidP="00F336CC">
            <w:pPr>
              <w:spacing w:before="30" w:after="30"/>
              <w:ind w:left="57"/>
              <w:jc w:val="left"/>
              <w:rPr>
                <w:b/>
                <w:bCs/>
                <w:sz w:val="20"/>
              </w:rPr>
            </w:pPr>
            <w:r w:rsidRPr="006D3BBC">
              <w:rPr>
                <w:b/>
                <w:bCs/>
                <w:sz w:val="20"/>
              </w:rPr>
              <w:t>RA</w:t>
            </w:r>
          </w:p>
        </w:tc>
        <w:tc>
          <w:tcPr>
            <w:tcW w:w="8220" w:type="dxa"/>
          </w:tcPr>
          <w:p w:rsidR="00BC31F6" w:rsidRPr="006D3BBC" w:rsidRDefault="00BC31F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D3BBC">
              <w:rPr>
                <w:sz w:val="20"/>
              </w:rPr>
              <w:t>Radio astronomie</w:t>
            </w:r>
          </w:p>
        </w:tc>
      </w:tr>
      <w:tr w:rsidR="00BC31F6" w:rsidRPr="006D3BBC">
        <w:tc>
          <w:tcPr>
            <w:tcW w:w="1140" w:type="dxa"/>
          </w:tcPr>
          <w:p w:rsidR="00BC31F6" w:rsidRPr="006D3BBC" w:rsidRDefault="00BC31F6" w:rsidP="00F336CC">
            <w:pPr>
              <w:spacing w:before="30" w:after="30"/>
              <w:ind w:left="57"/>
              <w:jc w:val="left"/>
              <w:rPr>
                <w:b/>
                <w:bCs/>
                <w:sz w:val="20"/>
              </w:rPr>
            </w:pPr>
            <w:r w:rsidRPr="006D3BBC">
              <w:rPr>
                <w:b/>
                <w:bCs/>
                <w:sz w:val="20"/>
              </w:rPr>
              <w:t>RS</w:t>
            </w:r>
          </w:p>
        </w:tc>
        <w:tc>
          <w:tcPr>
            <w:tcW w:w="8220" w:type="dxa"/>
          </w:tcPr>
          <w:p w:rsidR="00BC31F6" w:rsidRPr="006D3BBC" w:rsidRDefault="00BC31F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D3BBC">
              <w:rPr>
                <w:sz w:val="20"/>
              </w:rPr>
              <w:t>Systèmes de télédétection</w:t>
            </w:r>
          </w:p>
        </w:tc>
      </w:tr>
      <w:tr w:rsidR="00BC31F6" w:rsidRPr="006D3BBC">
        <w:tc>
          <w:tcPr>
            <w:tcW w:w="1140" w:type="dxa"/>
          </w:tcPr>
          <w:p w:rsidR="00BC31F6" w:rsidRPr="006D3BBC" w:rsidRDefault="00BC31F6" w:rsidP="00F336CC">
            <w:pPr>
              <w:spacing w:before="30" w:after="30"/>
              <w:ind w:left="57"/>
              <w:jc w:val="left"/>
              <w:rPr>
                <w:b/>
                <w:bCs/>
                <w:sz w:val="20"/>
              </w:rPr>
            </w:pPr>
            <w:r w:rsidRPr="006D3BBC">
              <w:rPr>
                <w:b/>
                <w:bCs/>
                <w:sz w:val="20"/>
              </w:rPr>
              <w:t>S</w:t>
            </w:r>
          </w:p>
        </w:tc>
        <w:tc>
          <w:tcPr>
            <w:tcW w:w="8220" w:type="dxa"/>
          </w:tcPr>
          <w:p w:rsidR="00BC31F6" w:rsidRPr="006D3BBC" w:rsidRDefault="00BC31F6" w:rsidP="00F336CC">
            <w:pPr>
              <w:spacing w:before="30" w:after="30"/>
              <w:jc w:val="left"/>
              <w:rPr>
                <w:sz w:val="20"/>
              </w:rPr>
            </w:pPr>
            <w:r w:rsidRPr="006D3BBC">
              <w:rPr>
                <w:sz w:val="20"/>
              </w:rPr>
              <w:t>Service fixe par satellite</w:t>
            </w:r>
          </w:p>
        </w:tc>
      </w:tr>
      <w:tr w:rsidR="00BC31F6" w:rsidRPr="006D3BBC">
        <w:tc>
          <w:tcPr>
            <w:tcW w:w="1140" w:type="dxa"/>
          </w:tcPr>
          <w:p w:rsidR="00BC31F6" w:rsidRPr="006D3BBC" w:rsidRDefault="00BC31F6" w:rsidP="00F336CC">
            <w:pPr>
              <w:spacing w:before="30" w:after="30"/>
              <w:ind w:left="57"/>
              <w:jc w:val="left"/>
              <w:rPr>
                <w:b/>
                <w:bCs/>
                <w:sz w:val="20"/>
              </w:rPr>
            </w:pPr>
            <w:r w:rsidRPr="006D3BBC">
              <w:rPr>
                <w:b/>
                <w:bCs/>
                <w:sz w:val="20"/>
              </w:rPr>
              <w:t>SA</w:t>
            </w:r>
          </w:p>
        </w:tc>
        <w:tc>
          <w:tcPr>
            <w:tcW w:w="8220" w:type="dxa"/>
          </w:tcPr>
          <w:p w:rsidR="00BC31F6" w:rsidRPr="006D3BBC" w:rsidRDefault="00BC31F6" w:rsidP="00F336CC">
            <w:pPr>
              <w:spacing w:before="30" w:after="30"/>
              <w:jc w:val="left"/>
              <w:rPr>
                <w:sz w:val="20"/>
              </w:rPr>
            </w:pPr>
            <w:r w:rsidRPr="006D3BBC">
              <w:rPr>
                <w:sz w:val="20"/>
              </w:rPr>
              <w:t>Applications spatiales et météorologie</w:t>
            </w:r>
          </w:p>
        </w:tc>
      </w:tr>
      <w:tr w:rsidR="00BC31F6" w:rsidRPr="006D3BBC">
        <w:tc>
          <w:tcPr>
            <w:tcW w:w="1140" w:type="dxa"/>
          </w:tcPr>
          <w:p w:rsidR="00BC31F6" w:rsidRPr="006D3BBC" w:rsidRDefault="00BC31F6" w:rsidP="00F336CC">
            <w:pPr>
              <w:spacing w:before="30" w:after="30"/>
              <w:ind w:left="57"/>
              <w:jc w:val="left"/>
              <w:rPr>
                <w:b/>
                <w:bCs/>
                <w:sz w:val="20"/>
              </w:rPr>
            </w:pPr>
            <w:r w:rsidRPr="006D3BBC">
              <w:rPr>
                <w:b/>
                <w:bCs/>
                <w:sz w:val="20"/>
              </w:rPr>
              <w:t>SF</w:t>
            </w:r>
          </w:p>
        </w:tc>
        <w:tc>
          <w:tcPr>
            <w:tcW w:w="8220" w:type="dxa"/>
          </w:tcPr>
          <w:p w:rsidR="00BC31F6" w:rsidRPr="006D3BBC" w:rsidRDefault="00BC31F6" w:rsidP="00F336CC">
            <w:pPr>
              <w:spacing w:before="30" w:after="30"/>
              <w:jc w:val="left"/>
              <w:rPr>
                <w:sz w:val="20"/>
              </w:rPr>
            </w:pPr>
            <w:r w:rsidRPr="006D3BBC">
              <w:rPr>
                <w:sz w:val="20"/>
              </w:rPr>
              <w:t>Partage des fréquences et coordination entre les systèmes du service fixe par satellite et du service fixe</w:t>
            </w:r>
          </w:p>
        </w:tc>
      </w:tr>
      <w:tr w:rsidR="00BC31F6" w:rsidRPr="006D3BBC">
        <w:tc>
          <w:tcPr>
            <w:tcW w:w="1140" w:type="dxa"/>
            <w:shd w:val="clear" w:color="auto" w:fill="auto"/>
          </w:tcPr>
          <w:p w:rsidR="00BC31F6" w:rsidRPr="006D3BBC" w:rsidRDefault="00BC31F6" w:rsidP="00F336CC">
            <w:pPr>
              <w:spacing w:before="30" w:after="30"/>
              <w:ind w:left="57"/>
              <w:jc w:val="left"/>
              <w:rPr>
                <w:b/>
                <w:bCs/>
                <w:sz w:val="20"/>
              </w:rPr>
            </w:pPr>
            <w:r w:rsidRPr="006D3BBC">
              <w:rPr>
                <w:b/>
                <w:bCs/>
                <w:sz w:val="20"/>
              </w:rPr>
              <w:t>SM</w:t>
            </w:r>
          </w:p>
        </w:tc>
        <w:tc>
          <w:tcPr>
            <w:tcW w:w="8220" w:type="dxa"/>
            <w:shd w:val="clear" w:color="auto" w:fill="auto"/>
          </w:tcPr>
          <w:p w:rsidR="00BC31F6" w:rsidRPr="006D3BBC" w:rsidRDefault="00BC31F6" w:rsidP="00F336CC">
            <w:pPr>
              <w:spacing w:before="30" w:after="30"/>
              <w:jc w:val="left"/>
              <w:rPr>
                <w:sz w:val="20"/>
              </w:rPr>
            </w:pPr>
            <w:r w:rsidRPr="006D3BBC">
              <w:rPr>
                <w:sz w:val="20"/>
              </w:rPr>
              <w:t>Gestion du spectre</w:t>
            </w:r>
          </w:p>
        </w:tc>
      </w:tr>
      <w:tr w:rsidR="00BC31F6" w:rsidRPr="006D3BBC">
        <w:tc>
          <w:tcPr>
            <w:tcW w:w="1140" w:type="dxa"/>
          </w:tcPr>
          <w:p w:rsidR="00BC31F6" w:rsidRPr="006D3BBC" w:rsidRDefault="00BC31F6" w:rsidP="00F336CC">
            <w:pPr>
              <w:spacing w:before="30" w:after="30"/>
              <w:ind w:left="57"/>
              <w:jc w:val="left"/>
              <w:rPr>
                <w:b/>
                <w:bCs/>
                <w:sz w:val="20"/>
              </w:rPr>
            </w:pPr>
            <w:r w:rsidRPr="006D3BBC">
              <w:rPr>
                <w:b/>
                <w:bCs/>
                <w:sz w:val="20"/>
              </w:rPr>
              <w:t>SNG</w:t>
            </w:r>
          </w:p>
        </w:tc>
        <w:tc>
          <w:tcPr>
            <w:tcW w:w="8220" w:type="dxa"/>
          </w:tcPr>
          <w:p w:rsidR="00BC31F6" w:rsidRPr="006D3BBC" w:rsidRDefault="00BC31F6" w:rsidP="00F336CC">
            <w:pPr>
              <w:spacing w:before="30" w:after="30"/>
              <w:jc w:val="left"/>
              <w:rPr>
                <w:sz w:val="20"/>
              </w:rPr>
            </w:pPr>
            <w:r w:rsidRPr="006D3BBC">
              <w:rPr>
                <w:sz w:val="20"/>
              </w:rPr>
              <w:t>Reportage d'actualités par satellite</w:t>
            </w:r>
          </w:p>
        </w:tc>
      </w:tr>
      <w:tr w:rsidR="00BC31F6" w:rsidRPr="006D3BBC">
        <w:tc>
          <w:tcPr>
            <w:tcW w:w="1140" w:type="dxa"/>
          </w:tcPr>
          <w:p w:rsidR="00BC31F6" w:rsidRPr="006D3BBC" w:rsidRDefault="00BC31F6" w:rsidP="00F336CC">
            <w:pPr>
              <w:spacing w:before="30" w:after="30"/>
              <w:ind w:left="57"/>
              <w:jc w:val="left"/>
              <w:rPr>
                <w:b/>
                <w:bCs/>
                <w:sz w:val="20"/>
              </w:rPr>
            </w:pPr>
            <w:r w:rsidRPr="006D3BBC">
              <w:rPr>
                <w:b/>
                <w:bCs/>
                <w:sz w:val="20"/>
              </w:rPr>
              <w:t>TF</w:t>
            </w:r>
          </w:p>
        </w:tc>
        <w:tc>
          <w:tcPr>
            <w:tcW w:w="8220" w:type="dxa"/>
          </w:tcPr>
          <w:p w:rsidR="00BC31F6" w:rsidRPr="006D3BBC" w:rsidRDefault="00BC31F6" w:rsidP="00F336CC">
            <w:pPr>
              <w:spacing w:before="30" w:after="30"/>
              <w:jc w:val="left"/>
              <w:rPr>
                <w:sz w:val="20"/>
              </w:rPr>
            </w:pPr>
            <w:r w:rsidRPr="006D3BBC">
              <w:rPr>
                <w:sz w:val="20"/>
              </w:rPr>
              <w:t>Emissions de fréquences étalon et de signaux horaires</w:t>
            </w:r>
          </w:p>
        </w:tc>
      </w:tr>
      <w:tr w:rsidR="00BC31F6" w:rsidRPr="006D3BBC">
        <w:tc>
          <w:tcPr>
            <w:tcW w:w="1140" w:type="dxa"/>
          </w:tcPr>
          <w:p w:rsidR="00BC31F6" w:rsidRPr="006D3BBC" w:rsidRDefault="00BC31F6" w:rsidP="00F336CC">
            <w:pPr>
              <w:spacing w:before="30" w:after="30"/>
              <w:ind w:left="57"/>
              <w:jc w:val="left"/>
              <w:rPr>
                <w:b/>
                <w:bCs/>
                <w:sz w:val="20"/>
              </w:rPr>
            </w:pPr>
            <w:r w:rsidRPr="006D3BBC">
              <w:rPr>
                <w:b/>
                <w:bCs/>
                <w:sz w:val="20"/>
              </w:rPr>
              <w:t>V</w:t>
            </w:r>
          </w:p>
        </w:tc>
        <w:tc>
          <w:tcPr>
            <w:tcW w:w="8220" w:type="dxa"/>
          </w:tcPr>
          <w:p w:rsidR="00BC31F6" w:rsidRPr="006D3BBC" w:rsidRDefault="00BC31F6" w:rsidP="00614CC6">
            <w:pPr>
              <w:spacing w:before="30" w:after="140"/>
              <w:jc w:val="left"/>
              <w:rPr>
                <w:sz w:val="20"/>
              </w:rPr>
            </w:pPr>
            <w:r w:rsidRPr="006D3BBC">
              <w:rPr>
                <w:sz w:val="20"/>
              </w:rPr>
              <w:t>Vocabulaire et sujets associés</w:t>
            </w:r>
          </w:p>
        </w:tc>
      </w:tr>
    </w:tbl>
    <w:p w:rsidR="00BC31F6" w:rsidRPr="006D3BBC" w:rsidRDefault="00BC31F6" w:rsidP="00614CC6">
      <w:pPr>
        <w:spacing w:before="0"/>
        <w:jc w:val="center"/>
        <w:rPr>
          <w:sz w:val="20"/>
        </w:rPr>
      </w:pPr>
    </w:p>
    <w:p w:rsidR="00BC31F6" w:rsidRPr="006D3BBC" w:rsidRDefault="00BC31F6" w:rsidP="00614CC6">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C31F6" w:rsidRPr="006D3BBC">
        <w:tc>
          <w:tcPr>
            <w:tcW w:w="9360" w:type="dxa"/>
          </w:tcPr>
          <w:p w:rsidR="00BC31F6" w:rsidRPr="006D3BBC" w:rsidRDefault="00BC31F6" w:rsidP="00422AE4">
            <w:pPr>
              <w:spacing w:before="80" w:after="80"/>
              <w:jc w:val="left"/>
              <w:rPr>
                <w:i/>
                <w:iCs/>
                <w:sz w:val="20"/>
              </w:rPr>
            </w:pPr>
            <w:r w:rsidRPr="006D3BBC">
              <w:rPr>
                <w:b/>
                <w:bCs/>
                <w:i/>
                <w:iCs/>
                <w:sz w:val="20"/>
              </w:rPr>
              <w:t>Note</w:t>
            </w:r>
            <w:r w:rsidRPr="006D3BBC">
              <w:rPr>
                <w:i/>
                <w:iCs/>
                <w:sz w:val="20"/>
              </w:rPr>
              <w:t>: Cette Recommandation UIT-R a été approuvée en anglais aux termes de la procédure détaillée dans la</w:t>
            </w:r>
            <w:r w:rsidRPr="006D3BBC">
              <w:rPr>
                <w:i/>
                <w:iCs/>
                <w:sz w:val="20"/>
              </w:rPr>
              <w:br/>
              <w:t xml:space="preserve">Résolution UIT-R 1. </w:t>
            </w:r>
          </w:p>
        </w:tc>
      </w:tr>
    </w:tbl>
    <w:p w:rsidR="00BC31F6" w:rsidRPr="006D3BBC" w:rsidRDefault="00BC31F6" w:rsidP="00F54FBD">
      <w:pPr>
        <w:spacing w:before="0"/>
        <w:jc w:val="center"/>
        <w:rPr>
          <w:sz w:val="22"/>
        </w:rPr>
      </w:pPr>
    </w:p>
    <w:p w:rsidR="00BC31F6" w:rsidRPr="006D3BBC" w:rsidRDefault="00BC31F6" w:rsidP="00756B4D">
      <w:pPr>
        <w:spacing w:before="100"/>
        <w:jc w:val="right"/>
        <w:rPr>
          <w:i/>
          <w:iCs/>
          <w:sz w:val="20"/>
        </w:rPr>
      </w:pPr>
      <w:r w:rsidRPr="006D3BBC">
        <w:rPr>
          <w:i/>
          <w:iCs/>
          <w:sz w:val="20"/>
        </w:rPr>
        <w:t>Publication électronique</w:t>
      </w:r>
    </w:p>
    <w:p w:rsidR="00BC31F6" w:rsidRPr="006D3BBC" w:rsidRDefault="00BC31F6" w:rsidP="001671C8">
      <w:pPr>
        <w:spacing w:before="0"/>
        <w:jc w:val="right"/>
        <w:rPr>
          <w:sz w:val="20"/>
        </w:rPr>
      </w:pPr>
      <w:r w:rsidRPr="006D3BBC">
        <w:rPr>
          <w:sz w:val="20"/>
        </w:rPr>
        <w:t>Genève, 2014</w:t>
      </w:r>
    </w:p>
    <w:p w:rsidR="00BC31F6" w:rsidRPr="006D3BBC" w:rsidRDefault="00BC31F6" w:rsidP="001671C8">
      <w:pPr>
        <w:spacing w:before="200"/>
        <w:jc w:val="center"/>
        <w:rPr>
          <w:sz w:val="20"/>
        </w:rPr>
      </w:pPr>
      <w:r w:rsidRPr="006D3BBC">
        <w:rPr>
          <w:sz w:val="20"/>
        </w:rPr>
        <w:sym w:font="Symbol" w:char="F0E3"/>
      </w:r>
      <w:r w:rsidRPr="006D3BBC">
        <w:rPr>
          <w:sz w:val="20"/>
        </w:rPr>
        <w:t xml:space="preserve"> UIT </w:t>
      </w:r>
      <w:bookmarkStart w:id="1" w:name="iiannee"/>
      <w:bookmarkEnd w:id="1"/>
      <w:r w:rsidRPr="006D3BBC">
        <w:rPr>
          <w:sz w:val="20"/>
        </w:rPr>
        <w:t>2014</w:t>
      </w:r>
    </w:p>
    <w:p w:rsidR="00BC31F6" w:rsidRPr="006D3BBC" w:rsidRDefault="00BC31F6" w:rsidP="00614CC6">
      <w:pPr>
        <w:rPr>
          <w:sz w:val="18"/>
          <w:szCs w:val="18"/>
        </w:rPr>
      </w:pPr>
      <w:r w:rsidRPr="006D3BBC">
        <w:rPr>
          <w:sz w:val="18"/>
          <w:szCs w:val="18"/>
        </w:rPr>
        <w:t>Tous droits réservés. Aucune partie de cette publication ne peut être reproduite, par quelque procédé que ce soit, sans l’accord écrit préalable de l’UIT.</w:t>
      </w:r>
    </w:p>
    <w:p w:rsidR="00BC31F6" w:rsidRPr="006D3BBC" w:rsidRDefault="00BC31F6" w:rsidP="00CD659B">
      <w:pPr>
        <w:spacing w:before="160"/>
        <w:rPr>
          <w:i/>
          <w:sz w:val="20"/>
          <w:highlight w:val="yellow"/>
        </w:rPr>
        <w:sectPr w:rsidR="00BC31F6" w:rsidRPr="006D3BB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BC31F6" w:rsidRPr="006D3BBC" w:rsidRDefault="00BC31F6" w:rsidP="00BC31F6">
      <w:pPr>
        <w:pStyle w:val="RecNo"/>
        <w:spacing w:before="0"/>
      </w:pPr>
      <w:bookmarkStart w:id="2" w:name="irecnoe"/>
      <w:bookmarkEnd w:id="2"/>
      <w:r w:rsidRPr="006D3BBC">
        <w:lastRenderedPageBreak/>
        <w:t xml:space="preserve">RECOMMANDATION  </w:t>
      </w:r>
      <w:r w:rsidRPr="006D3BBC">
        <w:rPr>
          <w:rStyle w:val="href"/>
        </w:rPr>
        <w:t>UIT-R  M.824-4</w:t>
      </w:r>
      <w:r w:rsidR="00DD5987" w:rsidRPr="006D3BBC">
        <w:rPr>
          <w:rStyle w:val="FootnoteReference"/>
        </w:rPr>
        <w:footnoteReference w:customMarkFollows="1" w:id="1"/>
        <w:t>*</w:t>
      </w:r>
    </w:p>
    <w:p w:rsidR="00BC31F6" w:rsidRPr="006D3BBC" w:rsidRDefault="00BC31F6" w:rsidP="00BC31F6">
      <w:pPr>
        <w:pStyle w:val="Rectitle"/>
      </w:pPr>
      <w:r w:rsidRPr="006D3BBC">
        <w:t>Caractéristiques techniques des balises radar</w:t>
      </w:r>
    </w:p>
    <w:p w:rsidR="00BC31F6" w:rsidRPr="006D3BBC" w:rsidRDefault="00BC31F6" w:rsidP="00BC31F6">
      <w:pPr>
        <w:pStyle w:val="Recdate"/>
        <w:spacing w:before="240"/>
      </w:pPr>
      <w:r w:rsidRPr="006D3BBC">
        <w:t>(1992-1994-1995-2007-2013)</w:t>
      </w:r>
    </w:p>
    <w:p w:rsidR="00BC31F6" w:rsidRPr="006D3BBC" w:rsidRDefault="00BC31F6" w:rsidP="00CE35AC">
      <w:pPr>
        <w:pStyle w:val="HeadingSum"/>
        <w:rPr>
          <w:lang w:val="fr-FR"/>
        </w:rPr>
      </w:pPr>
      <w:r w:rsidRPr="006D3BBC">
        <w:rPr>
          <w:lang w:val="fr-FR"/>
        </w:rPr>
        <w:t>Domaine d'application</w:t>
      </w:r>
    </w:p>
    <w:p w:rsidR="00BC31F6" w:rsidRPr="006D3BBC" w:rsidRDefault="00BC31F6" w:rsidP="00CE35AC">
      <w:pPr>
        <w:pStyle w:val="Summary"/>
        <w:rPr>
          <w:lang w:val="fr-FR"/>
        </w:rPr>
      </w:pPr>
      <w:r w:rsidRPr="006D3BBC">
        <w:rPr>
          <w:lang w:val="fr-FR"/>
        </w:rPr>
        <w:t>Les balises radar (racons) sont couramment utilisées dans le service de radionavigation maritime et d'une utilisation plus limitée dans le service de radionavigation aéronautique. Cette Recommandation indique les caractéristiques techniques:</w:t>
      </w:r>
    </w:p>
    <w:p w:rsidR="00CE35AC" w:rsidRPr="006D3BBC" w:rsidRDefault="00CE35AC" w:rsidP="00CE35AC">
      <w:pPr>
        <w:pStyle w:val="Summary"/>
        <w:rPr>
          <w:lang w:val="fr-FR"/>
        </w:rPr>
      </w:pPr>
      <w:r w:rsidRPr="006D3BBC">
        <w:rPr>
          <w:lang w:val="fr-FR"/>
        </w:rPr>
        <w:t>–</w:t>
      </w:r>
      <w:r w:rsidRPr="006D3BBC">
        <w:rPr>
          <w:lang w:val="fr-FR"/>
        </w:rPr>
        <w:tab/>
        <w:t>des racons maritimes – 2 900-3 100 MHz et 9 200-9 500 MHz;</w:t>
      </w:r>
    </w:p>
    <w:p w:rsidR="00BC31F6" w:rsidRDefault="00BC31F6" w:rsidP="00CE35AC">
      <w:pPr>
        <w:pStyle w:val="Summary"/>
        <w:rPr>
          <w:lang w:val="fr-FR"/>
        </w:rPr>
      </w:pPr>
      <w:r w:rsidRPr="006D3BBC">
        <w:rPr>
          <w:lang w:val="fr-FR"/>
        </w:rPr>
        <w:t>–</w:t>
      </w:r>
      <w:r w:rsidRPr="006D3BBC">
        <w:rPr>
          <w:lang w:val="fr-FR"/>
        </w:rPr>
        <w:tab/>
        <w:t>des racons aéronautiques à fréquence fixe – 9 300-9 500 MHz.</w:t>
      </w:r>
    </w:p>
    <w:p w:rsidR="002615A4" w:rsidRPr="002615A4" w:rsidRDefault="002615A4" w:rsidP="002615A4">
      <w:pPr>
        <w:pStyle w:val="Normalaftertitle"/>
      </w:pPr>
    </w:p>
    <w:p w:rsidR="00BC31F6" w:rsidRPr="006D3BBC" w:rsidRDefault="00BC31F6" w:rsidP="00BC31F6">
      <w:pPr>
        <w:pStyle w:val="Normalaftertitle"/>
      </w:pPr>
      <w:r w:rsidRPr="006D3BBC">
        <w:t>L'Assemblée des radiocommunications de l'UIT,</w:t>
      </w:r>
    </w:p>
    <w:p w:rsidR="00BC31F6" w:rsidRPr="006D3BBC" w:rsidRDefault="00BC31F6" w:rsidP="00BC31F6">
      <w:pPr>
        <w:pStyle w:val="Call"/>
      </w:pPr>
      <w:r w:rsidRPr="006D3BBC">
        <w:t>considérant</w:t>
      </w:r>
    </w:p>
    <w:p w:rsidR="00BC31F6" w:rsidRPr="006D3BBC" w:rsidRDefault="00BC31F6" w:rsidP="00BC31F6">
      <w:r w:rsidRPr="006D3BBC">
        <w:t>a)</w:t>
      </w:r>
      <w:r w:rsidRPr="006D3BBC">
        <w:tab/>
        <w:t>que, dans le service de radionavigation maritime, les radars maritimes fonctionnent dans les bandes de fréquences 2</w:t>
      </w:r>
      <w:r w:rsidRPr="006D3BBC">
        <w:rPr>
          <w:rFonts w:ascii="Tms Rmn" w:hAnsi="Tms Rmn"/>
          <w:sz w:val="12"/>
        </w:rPr>
        <w:t> </w:t>
      </w:r>
      <w:r w:rsidRPr="006D3BBC">
        <w:t>900</w:t>
      </w:r>
      <w:r w:rsidRPr="006D3BBC">
        <w:noBreakHyphen/>
        <w:t>3</w:t>
      </w:r>
      <w:r w:rsidRPr="006D3BBC">
        <w:rPr>
          <w:rFonts w:ascii="Tms Rmn" w:hAnsi="Tms Rmn"/>
          <w:sz w:val="12"/>
        </w:rPr>
        <w:t> </w:t>
      </w:r>
      <w:r w:rsidRPr="006D3BBC">
        <w:t>100 MHz et 9 200-9</w:t>
      </w:r>
      <w:r w:rsidRPr="006D3BBC">
        <w:rPr>
          <w:rFonts w:ascii="Tms Rmn" w:hAnsi="Tms Rmn"/>
          <w:sz w:val="12"/>
        </w:rPr>
        <w:t> </w:t>
      </w:r>
      <w:r w:rsidRPr="006D3BBC">
        <w:t>500 MHz;</w:t>
      </w:r>
    </w:p>
    <w:p w:rsidR="00BC31F6" w:rsidRPr="006D3BBC" w:rsidRDefault="00BC31F6" w:rsidP="00C6298A">
      <w:r w:rsidRPr="006D3BBC">
        <w:t>b)</w:t>
      </w:r>
      <w:r w:rsidRPr="006D3BBC">
        <w:tab/>
        <w:t>que les radars mobiles aéronautiques fonctionnent dans la bande de fréquences 9</w:t>
      </w:r>
      <w:r w:rsidRPr="006D3BBC">
        <w:rPr>
          <w:rFonts w:ascii="Tms Rmn" w:hAnsi="Tms Rmn"/>
          <w:sz w:val="12"/>
        </w:rPr>
        <w:t> </w:t>
      </w:r>
      <w:r w:rsidRPr="006D3BBC">
        <w:t>300</w:t>
      </w:r>
      <w:r w:rsidR="00C6298A">
        <w:noBreakHyphen/>
      </w:r>
      <w:r w:rsidRPr="006D3BBC">
        <w:t>9</w:t>
      </w:r>
      <w:r w:rsidRPr="006D3BBC">
        <w:rPr>
          <w:rFonts w:ascii="Tms Rmn" w:hAnsi="Tms Rmn"/>
          <w:sz w:val="12"/>
        </w:rPr>
        <w:t> </w:t>
      </w:r>
      <w:r w:rsidRPr="006D3BBC">
        <w:t>500</w:t>
      </w:r>
      <w:r w:rsidR="00C6298A">
        <w:t> </w:t>
      </w:r>
      <w:r w:rsidRPr="006D3BBC">
        <w:t>MHz;</w:t>
      </w:r>
    </w:p>
    <w:p w:rsidR="00BC31F6" w:rsidRPr="006D3BBC" w:rsidRDefault="00BC31F6" w:rsidP="00C6298A">
      <w:r w:rsidRPr="006D3BBC">
        <w:t>c)</w:t>
      </w:r>
      <w:r w:rsidRPr="006D3BBC">
        <w:tab/>
        <w:t>que les balises radar (racons) maritimes fonctionnent dans les bandes de fréquences 2</w:t>
      </w:r>
      <w:r w:rsidRPr="006D3BBC">
        <w:rPr>
          <w:rFonts w:ascii="Tms Rmn" w:hAnsi="Tms Rmn"/>
          <w:sz w:val="12"/>
        </w:rPr>
        <w:t> </w:t>
      </w:r>
      <w:r w:rsidRPr="006D3BBC">
        <w:t>900</w:t>
      </w:r>
      <w:r w:rsidR="00C6298A">
        <w:noBreakHyphen/>
      </w:r>
      <w:r w:rsidRPr="006D3BBC">
        <w:t>3</w:t>
      </w:r>
      <w:r w:rsidRPr="006D3BBC">
        <w:rPr>
          <w:rFonts w:ascii="Tms Rmn" w:hAnsi="Tms Rmn"/>
          <w:sz w:val="12"/>
        </w:rPr>
        <w:t> </w:t>
      </w:r>
      <w:r w:rsidRPr="006D3BBC">
        <w:t>100 MHz et 9 200-9</w:t>
      </w:r>
      <w:r w:rsidRPr="006D3BBC">
        <w:rPr>
          <w:rFonts w:ascii="Tms Rmn" w:hAnsi="Tms Rmn"/>
          <w:sz w:val="12"/>
        </w:rPr>
        <w:t> </w:t>
      </w:r>
      <w:r w:rsidRPr="006D3BBC">
        <w:t>500 MHz;</w:t>
      </w:r>
    </w:p>
    <w:p w:rsidR="00BC31F6" w:rsidRPr="006D3BBC" w:rsidRDefault="00BC31F6" w:rsidP="00BC31F6">
      <w:r w:rsidRPr="006D3BBC">
        <w:t>d)</w:t>
      </w:r>
      <w:r w:rsidRPr="006D3BBC">
        <w:tab/>
        <w:t>que l'utilisation de racons à fréquence fixe n'est pas autorisée dans la bande de fréquences 9</w:t>
      </w:r>
      <w:r w:rsidRPr="006D3BBC">
        <w:rPr>
          <w:rFonts w:ascii="Tms Rmn" w:hAnsi="Tms Rmn"/>
          <w:sz w:val="12"/>
        </w:rPr>
        <w:t> </w:t>
      </w:r>
      <w:r w:rsidRPr="006D3BBC">
        <w:t>320</w:t>
      </w:r>
      <w:r w:rsidRPr="006D3BBC">
        <w:noBreakHyphen/>
        <w:t>9</w:t>
      </w:r>
      <w:r w:rsidRPr="006D3BBC">
        <w:rPr>
          <w:rFonts w:ascii="Tms Rmn" w:hAnsi="Tms Rmn"/>
          <w:sz w:val="12"/>
        </w:rPr>
        <w:t> </w:t>
      </w:r>
      <w:r w:rsidRPr="006D3BBC">
        <w:t>500 MHz;</w:t>
      </w:r>
    </w:p>
    <w:p w:rsidR="00BC31F6" w:rsidRPr="006D3BBC" w:rsidRDefault="00BC31F6" w:rsidP="00BC31F6">
      <w:r w:rsidRPr="006D3BBC">
        <w:t>e)</w:t>
      </w:r>
      <w:r w:rsidRPr="006D3BBC">
        <w:tab/>
        <w:t>que l'utilisation de la bande de fréquences 9</w:t>
      </w:r>
      <w:r w:rsidRPr="006D3BBC">
        <w:rPr>
          <w:rFonts w:ascii="Tms Rmn" w:hAnsi="Tms Rmn"/>
          <w:sz w:val="12"/>
        </w:rPr>
        <w:t> </w:t>
      </w:r>
      <w:r w:rsidRPr="006D3BBC">
        <w:t>300-9</w:t>
      </w:r>
      <w:r w:rsidRPr="006D3BBC">
        <w:rPr>
          <w:rFonts w:ascii="Tms Rmn" w:hAnsi="Tms Rmn"/>
          <w:sz w:val="12"/>
        </w:rPr>
        <w:t> </w:t>
      </w:r>
      <w:r w:rsidRPr="006D3BBC">
        <w:t>500 MHz par le service de radionavigation aéronautique est limitée aux radars météorologiques d'aéronefs et aux radars au sol. De plus, les racons au sol à fréquence fixe du service de radionavigation aéronautique sont autorisées dans la bande de fréquences 9</w:t>
      </w:r>
      <w:r w:rsidRPr="006D3BBC">
        <w:rPr>
          <w:rFonts w:ascii="Tms Rmn" w:hAnsi="Tms Rmn"/>
          <w:sz w:val="12"/>
        </w:rPr>
        <w:t> </w:t>
      </w:r>
      <w:r w:rsidRPr="006D3BBC">
        <w:t>300</w:t>
      </w:r>
      <w:r w:rsidRPr="006D3BBC">
        <w:noBreakHyphen/>
        <w:t>9</w:t>
      </w:r>
      <w:r w:rsidRPr="006D3BBC">
        <w:rPr>
          <w:rFonts w:ascii="Tms Rmn" w:hAnsi="Tms Rmn"/>
          <w:sz w:val="12"/>
        </w:rPr>
        <w:t> </w:t>
      </w:r>
      <w:r w:rsidRPr="006D3BBC">
        <w:t>320 MHz à condition qu'aucun brouillage préjudiciable ne soit causé au service de radionavigation maritime. Dans la bande de fréquences 9</w:t>
      </w:r>
      <w:r w:rsidRPr="006D3BBC">
        <w:rPr>
          <w:rFonts w:ascii="Tms Rmn" w:hAnsi="Tms Rmn"/>
          <w:sz w:val="12"/>
        </w:rPr>
        <w:t> </w:t>
      </w:r>
      <w:r w:rsidRPr="006D3BBC">
        <w:t>300-9</w:t>
      </w:r>
      <w:r w:rsidRPr="006D3BBC">
        <w:rPr>
          <w:rFonts w:ascii="Tms Rmn" w:hAnsi="Tms Rmn"/>
          <w:sz w:val="12"/>
        </w:rPr>
        <w:t> </w:t>
      </w:r>
      <w:r w:rsidRPr="006D3BBC">
        <w:t>500 MHz, les radars au sol utilisés pour les besoins de la météorologie ont priorité sur les autres dispositifs de radiolocalisation,</w:t>
      </w:r>
    </w:p>
    <w:p w:rsidR="00BC31F6" w:rsidRPr="006D3BBC" w:rsidRDefault="00BC31F6" w:rsidP="00BC31F6">
      <w:pPr>
        <w:pStyle w:val="Call"/>
      </w:pPr>
      <w:r w:rsidRPr="006D3BBC">
        <w:t>recommande</w:t>
      </w:r>
    </w:p>
    <w:p w:rsidR="00BC31F6" w:rsidRPr="006D3BBC" w:rsidRDefault="00DD5987" w:rsidP="00BC31F6">
      <w:r w:rsidRPr="006D3BBC">
        <w:rPr>
          <w:b/>
          <w:bCs/>
        </w:rPr>
        <w:t>1</w:t>
      </w:r>
      <w:r w:rsidRPr="006D3BBC">
        <w:tab/>
      </w:r>
      <w:r w:rsidR="00BC31F6" w:rsidRPr="006D3BBC">
        <w:t>que les caractéristiques techniques des racons maritimes et des racons aéronautiques au sol à fréquence fixe soient conformes aux Annexes 1 et 2 respectivement.</w:t>
      </w:r>
    </w:p>
    <w:p w:rsidR="00BC31F6" w:rsidRPr="006D3BBC" w:rsidRDefault="00BC31F6" w:rsidP="00BC31F6">
      <w:pPr>
        <w:pStyle w:val="AnnexNoTitle"/>
      </w:pPr>
      <w:r w:rsidRPr="006D3BBC">
        <w:br w:type="page"/>
      </w:r>
    </w:p>
    <w:p w:rsidR="00BC31F6" w:rsidRPr="006D3BBC" w:rsidRDefault="00BC31F6" w:rsidP="006D3BBC">
      <w:pPr>
        <w:pStyle w:val="AnnexNoTitle"/>
        <w:spacing w:after="240"/>
      </w:pPr>
      <w:r w:rsidRPr="006D3BBC">
        <w:t>Annexe 1</w:t>
      </w:r>
      <w:r w:rsidRPr="006D3BBC">
        <w:br/>
      </w:r>
      <w:r w:rsidRPr="006D3BBC">
        <w:br/>
        <w:t>Caractéristiques techniques des racons maritimes</w:t>
      </w:r>
    </w:p>
    <w:tbl>
      <w:tblPr>
        <w:tblW w:w="9639" w:type="dxa"/>
        <w:jc w:val="center"/>
        <w:tblLayout w:type="fixed"/>
        <w:tblLook w:val="0000" w:firstRow="0" w:lastRow="0" w:firstColumn="0" w:lastColumn="0" w:noHBand="0" w:noVBand="0"/>
      </w:tblPr>
      <w:tblGrid>
        <w:gridCol w:w="1418"/>
        <w:gridCol w:w="1985"/>
        <w:gridCol w:w="6236"/>
      </w:tblGrid>
      <w:tr w:rsidR="00BC31F6" w:rsidRPr="006D3BBC" w:rsidTr="008E605E">
        <w:trPr>
          <w:cantSplit/>
          <w:jc w:val="center"/>
        </w:trPr>
        <w:tc>
          <w:tcPr>
            <w:tcW w:w="1418" w:type="dxa"/>
            <w:tcBorders>
              <w:top w:val="single" w:sz="6" w:space="0" w:color="auto"/>
              <w:left w:val="single" w:sz="6" w:space="0" w:color="auto"/>
              <w:bottom w:val="single" w:sz="6" w:space="0" w:color="auto"/>
              <w:right w:val="single" w:sz="6" w:space="0" w:color="auto"/>
            </w:tcBorders>
          </w:tcPr>
          <w:p w:rsidR="00BC31F6" w:rsidRPr="006D3BBC" w:rsidRDefault="00BC31F6" w:rsidP="008E605E">
            <w:pPr>
              <w:pStyle w:val="Tablehead"/>
            </w:pPr>
            <w:r w:rsidRPr="006D3BBC">
              <w:t>Point</w:t>
            </w:r>
          </w:p>
        </w:tc>
        <w:tc>
          <w:tcPr>
            <w:tcW w:w="1985" w:type="dxa"/>
            <w:tcBorders>
              <w:top w:val="single" w:sz="6" w:space="0" w:color="auto"/>
              <w:left w:val="single" w:sz="6" w:space="0" w:color="auto"/>
              <w:bottom w:val="single" w:sz="6" w:space="0" w:color="auto"/>
              <w:right w:val="single" w:sz="6" w:space="0" w:color="auto"/>
            </w:tcBorders>
          </w:tcPr>
          <w:p w:rsidR="00BC31F6" w:rsidRPr="006D3BBC" w:rsidRDefault="00BC31F6" w:rsidP="008E605E">
            <w:pPr>
              <w:pStyle w:val="Tablehead"/>
            </w:pPr>
            <w:r w:rsidRPr="006D3BBC">
              <w:t>Caractéristiques</w:t>
            </w:r>
          </w:p>
        </w:tc>
        <w:tc>
          <w:tcPr>
            <w:tcW w:w="6236" w:type="dxa"/>
            <w:tcBorders>
              <w:top w:val="single" w:sz="6" w:space="0" w:color="auto"/>
              <w:left w:val="single" w:sz="6" w:space="0" w:color="auto"/>
              <w:bottom w:val="single" w:sz="6" w:space="0" w:color="auto"/>
              <w:right w:val="single" w:sz="6" w:space="0" w:color="auto"/>
            </w:tcBorders>
          </w:tcPr>
          <w:p w:rsidR="00BC31F6" w:rsidRPr="006D3BBC" w:rsidRDefault="00BC31F6" w:rsidP="008E605E">
            <w:pPr>
              <w:pStyle w:val="Tablehead"/>
            </w:pPr>
            <w:r w:rsidRPr="006D3BBC">
              <w:t>Spécification</w:t>
            </w:r>
          </w:p>
        </w:tc>
      </w:tr>
      <w:tr w:rsidR="00BC31F6" w:rsidRPr="006D3BBC" w:rsidTr="008E605E">
        <w:trPr>
          <w:cantSplit/>
          <w:jc w:val="center"/>
        </w:trPr>
        <w:tc>
          <w:tcPr>
            <w:tcW w:w="1418" w:type="dxa"/>
            <w:tcBorders>
              <w:top w:val="single" w:sz="6" w:space="0" w:color="auto"/>
              <w:left w:val="single" w:sz="6" w:space="0" w:color="auto"/>
              <w:bottom w:val="single" w:sz="6" w:space="0" w:color="auto"/>
              <w:right w:val="single" w:sz="6" w:space="0" w:color="auto"/>
            </w:tcBorders>
          </w:tcPr>
          <w:p w:rsidR="00BC31F6" w:rsidRPr="006D3BBC" w:rsidRDefault="00BC31F6" w:rsidP="00DD5987">
            <w:pPr>
              <w:pStyle w:val="Tabletext"/>
              <w:jc w:val="left"/>
            </w:pPr>
            <w:r w:rsidRPr="006D3BBC">
              <w:t>1.</w:t>
            </w:r>
            <w:r w:rsidRPr="006D3BBC">
              <w:tab/>
              <w:t>Antenne</w:t>
            </w:r>
          </w:p>
        </w:tc>
        <w:tc>
          <w:tcPr>
            <w:tcW w:w="1985" w:type="dxa"/>
            <w:tcBorders>
              <w:top w:val="single" w:sz="6" w:space="0" w:color="auto"/>
              <w:left w:val="single" w:sz="6" w:space="0" w:color="auto"/>
              <w:bottom w:val="single" w:sz="6" w:space="0" w:color="auto"/>
              <w:right w:val="single" w:sz="6" w:space="0" w:color="auto"/>
            </w:tcBorders>
          </w:tcPr>
          <w:p w:rsidR="00BC31F6" w:rsidRPr="006D3BBC" w:rsidRDefault="00BC31F6" w:rsidP="00DD5987">
            <w:pPr>
              <w:pStyle w:val="Tabletext"/>
              <w:jc w:val="left"/>
            </w:pPr>
            <w:r w:rsidRPr="006D3BBC">
              <w:t>Polarisation</w:t>
            </w:r>
          </w:p>
        </w:tc>
        <w:tc>
          <w:tcPr>
            <w:tcW w:w="6236" w:type="dxa"/>
            <w:tcBorders>
              <w:top w:val="single" w:sz="6" w:space="0" w:color="auto"/>
              <w:left w:val="single" w:sz="6" w:space="0" w:color="auto"/>
              <w:bottom w:val="single" w:sz="6" w:space="0" w:color="auto"/>
              <w:right w:val="single" w:sz="6" w:space="0" w:color="auto"/>
            </w:tcBorders>
          </w:tcPr>
          <w:p w:rsidR="00BC31F6" w:rsidRPr="006D3BBC" w:rsidRDefault="00BC31F6" w:rsidP="00DD5987">
            <w:pPr>
              <w:pStyle w:val="Tabletext"/>
              <w:jc w:val="left"/>
            </w:pPr>
            <w:r w:rsidRPr="006D3BBC">
              <w:t>Dans la bande des 3 GHz, capable de répondre aux radars à polarisation horizontale ou verticale.</w:t>
            </w:r>
          </w:p>
          <w:p w:rsidR="00BC31F6" w:rsidRPr="006D3BBC" w:rsidRDefault="00BC31F6" w:rsidP="00DD5987">
            <w:pPr>
              <w:pStyle w:val="Tabletext"/>
              <w:jc w:val="left"/>
            </w:pPr>
            <w:r w:rsidRPr="006D3BBC">
              <w:t>Dans la bande des 9 GHz, capable de répondre aux radars à polarisation horizontale.</w:t>
            </w:r>
          </w:p>
        </w:tc>
      </w:tr>
      <w:tr w:rsidR="00BC31F6" w:rsidRPr="006D3BBC" w:rsidTr="008E605E">
        <w:trPr>
          <w:cantSplit/>
          <w:jc w:val="center"/>
        </w:trPr>
        <w:tc>
          <w:tcPr>
            <w:tcW w:w="1418" w:type="dxa"/>
            <w:tcBorders>
              <w:top w:val="single" w:sz="6" w:space="0" w:color="auto"/>
              <w:left w:val="single" w:sz="6" w:space="0" w:color="auto"/>
              <w:right w:val="single" w:sz="6" w:space="0" w:color="auto"/>
            </w:tcBorders>
          </w:tcPr>
          <w:p w:rsidR="00BC31F6" w:rsidRPr="006D3BBC" w:rsidRDefault="00BC31F6" w:rsidP="008E605E">
            <w:pPr>
              <w:pStyle w:val="Tabletext"/>
              <w:jc w:val="left"/>
            </w:pPr>
            <w:r w:rsidRPr="006D3BBC">
              <w:t>2.</w:t>
            </w:r>
            <w:r w:rsidRPr="006D3BBC">
              <w:tab/>
              <w:t>Récepteur</w:t>
            </w:r>
          </w:p>
        </w:tc>
        <w:tc>
          <w:tcPr>
            <w:tcW w:w="1985" w:type="dxa"/>
            <w:tcBorders>
              <w:top w:val="single" w:sz="6" w:space="0" w:color="auto"/>
              <w:left w:val="single" w:sz="6" w:space="0" w:color="auto"/>
              <w:right w:val="single" w:sz="6" w:space="0" w:color="auto"/>
            </w:tcBorders>
          </w:tcPr>
          <w:p w:rsidR="00BC31F6" w:rsidRPr="006D3BBC" w:rsidRDefault="00BC31F6" w:rsidP="008E605E">
            <w:pPr>
              <w:pStyle w:val="Tabletext"/>
              <w:jc w:val="left"/>
            </w:pPr>
            <w:r w:rsidRPr="006D3BBC">
              <w:t>Bande de fréquences</w:t>
            </w:r>
          </w:p>
        </w:tc>
        <w:tc>
          <w:tcPr>
            <w:tcW w:w="6236" w:type="dxa"/>
            <w:tcBorders>
              <w:top w:val="single" w:sz="6" w:space="0" w:color="auto"/>
              <w:left w:val="single" w:sz="6" w:space="0" w:color="auto"/>
              <w:right w:val="single" w:sz="6" w:space="0" w:color="auto"/>
            </w:tcBorders>
          </w:tcPr>
          <w:p w:rsidR="00BC31F6" w:rsidRPr="006D3BBC" w:rsidRDefault="00BC31F6" w:rsidP="008E605E">
            <w:pPr>
              <w:pStyle w:val="Tabletext"/>
              <w:jc w:val="left"/>
            </w:pPr>
            <w:r w:rsidRPr="006D3BBC">
              <w:t>2</w:t>
            </w:r>
            <w:r w:rsidRPr="006D3BBC">
              <w:rPr>
                <w:rFonts w:ascii="Tms Rmn" w:hAnsi="Tms Rmn"/>
                <w:sz w:val="12"/>
              </w:rPr>
              <w:t> </w:t>
            </w:r>
            <w:r w:rsidRPr="006D3BBC">
              <w:t>900-3</w:t>
            </w:r>
            <w:r w:rsidRPr="006D3BBC">
              <w:rPr>
                <w:rFonts w:ascii="Tms Rmn" w:hAnsi="Tms Rmn"/>
                <w:sz w:val="12"/>
              </w:rPr>
              <w:t> </w:t>
            </w:r>
            <w:r w:rsidRPr="006D3BBC">
              <w:t>100 MHz et/ou 9</w:t>
            </w:r>
            <w:r w:rsidRPr="006D3BBC">
              <w:rPr>
                <w:rFonts w:ascii="Tms Rmn" w:hAnsi="Tms Rmn"/>
                <w:sz w:val="12"/>
              </w:rPr>
              <w:t> </w:t>
            </w:r>
            <w:r w:rsidRPr="006D3BBC">
              <w:t>200-9</w:t>
            </w:r>
            <w:r w:rsidRPr="006D3BBC">
              <w:rPr>
                <w:rFonts w:ascii="Tms Rmn" w:hAnsi="Tms Rmn"/>
                <w:sz w:val="12"/>
              </w:rPr>
              <w:t> </w:t>
            </w:r>
            <w:r w:rsidRPr="006D3BBC">
              <w:t>500 MHz</w:t>
            </w:r>
          </w:p>
        </w:tc>
      </w:tr>
      <w:tr w:rsidR="00BC31F6" w:rsidRPr="006D3BBC" w:rsidTr="008E605E">
        <w:trPr>
          <w:cantSplit/>
          <w:jc w:val="center"/>
        </w:trPr>
        <w:tc>
          <w:tcPr>
            <w:tcW w:w="1418" w:type="dxa"/>
            <w:tcBorders>
              <w:left w:val="single" w:sz="6" w:space="0" w:color="auto"/>
              <w:right w:val="single" w:sz="6" w:space="0" w:color="auto"/>
            </w:tcBorders>
          </w:tcPr>
          <w:p w:rsidR="00BC31F6" w:rsidRPr="006D3BBC" w:rsidRDefault="00BC31F6" w:rsidP="008E605E">
            <w:pPr>
              <w:pStyle w:val="Tabletext"/>
              <w:jc w:val="left"/>
            </w:pPr>
          </w:p>
        </w:tc>
        <w:tc>
          <w:tcPr>
            <w:tcW w:w="1985" w:type="dxa"/>
            <w:tcBorders>
              <w:left w:val="single" w:sz="6" w:space="0" w:color="auto"/>
              <w:right w:val="single" w:sz="6" w:space="0" w:color="auto"/>
            </w:tcBorders>
          </w:tcPr>
          <w:p w:rsidR="00BC31F6" w:rsidRPr="006D3BBC" w:rsidRDefault="00BC31F6" w:rsidP="008E605E">
            <w:pPr>
              <w:pStyle w:val="Tabletext"/>
              <w:jc w:val="left"/>
            </w:pPr>
            <w:r w:rsidRPr="006D3BBC">
              <w:t>Période de rétablissement</w:t>
            </w:r>
          </w:p>
        </w:tc>
        <w:tc>
          <w:tcPr>
            <w:tcW w:w="6236" w:type="dxa"/>
            <w:tcBorders>
              <w:left w:val="single" w:sz="6" w:space="0" w:color="auto"/>
              <w:right w:val="single" w:sz="6" w:space="0" w:color="auto"/>
            </w:tcBorders>
          </w:tcPr>
          <w:p w:rsidR="00BC31F6" w:rsidRPr="006D3BBC" w:rsidRDefault="00A55489" w:rsidP="00A55489">
            <w:pPr>
              <w:pStyle w:val="Tabletext"/>
              <w:jc w:val="left"/>
            </w:pPr>
            <w:r w:rsidRPr="006D3BBC">
              <w:sym w:font="Symbol" w:char="F0A3"/>
            </w:r>
            <w:r w:rsidR="00BC31F6" w:rsidRPr="006D3BBC">
              <w:t xml:space="preserve"> 100 </w:t>
            </w:r>
            <w:r w:rsidRPr="006D3BBC">
              <w:sym w:font="Symbol" w:char="F06D"/>
            </w:r>
            <w:r w:rsidR="00BC31F6" w:rsidRPr="006D3BBC">
              <w:t>s après la fin de la réponse</w:t>
            </w:r>
          </w:p>
        </w:tc>
      </w:tr>
      <w:tr w:rsidR="00BC31F6" w:rsidRPr="006D3BBC" w:rsidTr="008E605E">
        <w:trPr>
          <w:cantSplit/>
          <w:jc w:val="center"/>
        </w:trPr>
        <w:tc>
          <w:tcPr>
            <w:tcW w:w="1418" w:type="dxa"/>
            <w:tcBorders>
              <w:left w:val="single" w:sz="6" w:space="0" w:color="auto"/>
              <w:bottom w:val="single" w:sz="6" w:space="0" w:color="auto"/>
              <w:right w:val="single" w:sz="6" w:space="0" w:color="auto"/>
            </w:tcBorders>
          </w:tcPr>
          <w:p w:rsidR="00BC31F6" w:rsidRPr="006D3BBC" w:rsidRDefault="00BC31F6" w:rsidP="008E605E">
            <w:pPr>
              <w:pStyle w:val="Tabletext"/>
              <w:jc w:val="left"/>
            </w:pPr>
          </w:p>
        </w:tc>
        <w:tc>
          <w:tcPr>
            <w:tcW w:w="1985" w:type="dxa"/>
            <w:tcBorders>
              <w:left w:val="single" w:sz="6" w:space="0" w:color="auto"/>
              <w:bottom w:val="single" w:sz="6" w:space="0" w:color="auto"/>
              <w:right w:val="single" w:sz="6" w:space="0" w:color="auto"/>
            </w:tcBorders>
          </w:tcPr>
          <w:p w:rsidR="00BC31F6" w:rsidRPr="006D3BBC" w:rsidRDefault="00BC31F6" w:rsidP="008E605E">
            <w:pPr>
              <w:pStyle w:val="Tabletext"/>
              <w:jc w:val="left"/>
            </w:pPr>
            <w:r w:rsidRPr="006D3BBC">
              <w:t>Longueur d'ouverture de l'impulsion primaire de radar</w:t>
            </w:r>
          </w:p>
        </w:tc>
        <w:tc>
          <w:tcPr>
            <w:tcW w:w="6236" w:type="dxa"/>
            <w:tcBorders>
              <w:left w:val="single" w:sz="6" w:space="0" w:color="auto"/>
              <w:bottom w:val="single" w:sz="6" w:space="0" w:color="auto"/>
              <w:right w:val="single" w:sz="6" w:space="0" w:color="auto"/>
            </w:tcBorders>
          </w:tcPr>
          <w:p w:rsidR="00BC31F6" w:rsidRPr="006D3BBC" w:rsidRDefault="00A55489" w:rsidP="00A55489">
            <w:pPr>
              <w:pStyle w:val="Tabletext"/>
              <w:jc w:val="left"/>
            </w:pPr>
            <w:r w:rsidRPr="006D3BBC">
              <w:sym w:font="Symbol" w:char="F0B3"/>
            </w:r>
            <w:r w:rsidR="00BC31F6" w:rsidRPr="006D3BBC">
              <w:t xml:space="preserve"> 0,05 </w:t>
            </w:r>
            <w:r w:rsidRPr="006D3BBC">
              <w:sym w:font="Symbol" w:char="F06D"/>
            </w:r>
            <w:r w:rsidR="00BC31F6" w:rsidRPr="006D3BBC">
              <w:t>s</w:t>
            </w:r>
            <w:r w:rsidR="00BC31F6" w:rsidRPr="006D3BBC">
              <w:br/>
            </w:r>
            <w:r w:rsidRPr="006D3BBC">
              <w:sym w:font="Symbol" w:char="F0A3"/>
            </w:r>
            <w:r w:rsidR="00BC31F6" w:rsidRPr="006D3BBC">
              <w:t xml:space="preserve"> 2 </w:t>
            </w:r>
            <w:r w:rsidRPr="006D3BBC">
              <w:sym w:font="Symbol" w:char="F06D"/>
            </w:r>
            <w:r w:rsidR="00BC31F6" w:rsidRPr="006D3BBC">
              <w:t>s</w:t>
            </w:r>
          </w:p>
        </w:tc>
      </w:tr>
      <w:tr w:rsidR="00BC31F6" w:rsidRPr="006D3BBC" w:rsidTr="008E605E">
        <w:trPr>
          <w:cantSplit/>
          <w:jc w:val="center"/>
        </w:trPr>
        <w:tc>
          <w:tcPr>
            <w:tcW w:w="1418" w:type="dxa"/>
            <w:tcBorders>
              <w:top w:val="single" w:sz="6" w:space="0" w:color="auto"/>
              <w:left w:val="single" w:sz="6" w:space="0" w:color="auto"/>
              <w:bottom w:val="single" w:sz="6" w:space="0" w:color="auto"/>
              <w:right w:val="single" w:sz="6" w:space="0" w:color="auto"/>
            </w:tcBorders>
          </w:tcPr>
          <w:p w:rsidR="00BC31F6" w:rsidRPr="006D3BBC" w:rsidRDefault="00BC31F6" w:rsidP="008E605E">
            <w:pPr>
              <w:pStyle w:val="Tabletext"/>
              <w:jc w:val="left"/>
            </w:pPr>
            <w:r w:rsidRPr="006D3BBC">
              <w:t>3.</w:t>
            </w:r>
            <w:r w:rsidRPr="006D3BBC">
              <w:tab/>
              <w:t>Emetteur</w:t>
            </w:r>
          </w:p>
        </w:tc>
        <w:tc>
          <w:tcPr>
            <w:tcW w:w="1985" w:type="dxa"/>
            <w:tcBorders>
              <w:top w:val="single" w:sz="6" w:space="0" w:color="auto"/>
              <w:left w:val="single" w:sz="6" w:space="0" w:color="auto"/>
              <w:bottom w:val="single" w:sz="6" w:space="0" w:color="auto"/>
              <w:right w:val="single" w:sz="6" w:space="0" w:color="auto"/>
            </w:tcBorders>
          </w:tcPr>
          <w:p w:rsidR="00BC31F6" w:rsidRPr="006D3BBC" w:rsidRDefault="00BC31F6" w:rsidP="008E605E">
            <w:pPr>
              <w:pStyle w:val="Tabletext"/>
              <w:jc w:val="left"/>
            </w:pPr>
            <w:r w:rsidRPr="006D3BBC">
              <w:t>Fréquence</w:t>
            </w:r>
          </w:p>
        </w:tc>
        <w:tc>
          <w:tcPr>
            <w:tcW w:w="6236" w:type="dxa"/>
            <w:tcBorders>
              <w:top w:val="single" w:sz="6" w:space="0" w:color="auto"/>
              <w:left w:val="single" w:sz="6" w:space="0" w:color="auto"/>
              <w:bottom w:val="single" w:sz="6" w:space="0" w:color="auto"/>
              <w:right w:val="single" w:sz="6" w:space="0" w:color="auto"/>
            </w:tcBorders>
          </w:tcPr>
          <w:p w:rsidR="00BC31F6" w:rsidRPr="006D3BBC" w:rsidRDefault="00BC31F6" w:rsidP="008E605E">
            <w:pPr>
              <w:pStyle w:val="Tabletext"/>
              <w:jc w:val="left"/>
            </w:pPr>
            <w:r w:rsidRPr="006D3BBC">
              <w:t>L'émission doit se produire:</w:t>
            </w:r>
          </w:p>
          <w:p w:rsidR="00BC31F6" w:rsidRPr="006D3BBC" w:rsidRDefault="00BC31F6" w:rsidP="00CE390D">
            <w:pPr>
              <w:pStyle w:val="Tabletext"/>
              <w:ind w:left="284" w:hanging="284"/>
              <w:jc w:val="left"/>
            </w:pPr>
            <w:r w:rsidRPr="006D3BBC">
              <w:t>–</w:t>
            </w:r>
            <w:r w:rsidRPr="006D3BBC">
              <w:tab/>
              <w:t>soit sur la fréquence du signal d'interrogation pour des impulsions ayant une</w:t>
            </w:r>
            <w:r w:rsidR="00CE390D">
              <w:t xml:space="preserve"> </w:t>
            </w:r>
            <w:r w:rsidRPr="006D3BBC">
              <w:t>durée inférieure à 200 ns avec une précision d'adaptation de fréquence de</w:t>
            </w:r>
            <w:r w:rsidR="00C6298A">
              <w:t xml:space="preserve"> </w:t>
            </w:r>
            <w:r w:rsidR="00A55489" w:rsidRPr="006D3BBC">
              <w:sym w:font="Symbol" w:char="F0B1"/>
            </w:r>
            <w:r w:rsidRPr="006D3BBC">
              <w:t> 3,5 MHz et pour des impulsions ayant une durée égale ou supérieure à</w:t>
            </w:r>
            <w:r w:rsidR="00CE390D">
              <w:t xml:space="preserve"> </w:t>
            </w:r>
            <w:r w:rsidRPr="006D3BBC">
              <w:t xml:space="preserve">200 ns avec une précision d'adaptation de fréquence de </w:t>
            </w:r>
            <w:r w:rsidR="00A55489" w:rsidRPr="006D3BBC">
              <w:sym w:font="Symbol" w:char="F0B1"/>
            </w:r>
            <w:r w:rsidRPr="006D3BBC">
              <w:t> 1,5 MHz;</w:t>
            </w:r>
          </w:p>
          <w:p w:rsidR="00BC31F6" w:rsidRPr="006D3BBC" w:rsidRDefault="00BC31F6" w:rsidP="00C6298A">
            <w:pPr>
              <w:pStyle w:val="Tabletext"/>
              <w:ind w:left="284" w:hanging="284"/>
              <w:jc w:val="left"/>
            </w:pPr>
            <w:r w:rsidRPr="006D3BBC">
              <w:t>–</w:t>
            </w:r>
            <w:r w:rsidRPr="006D3BBC">
              <w:tab/>
              <w:t>soit par une série de balayages couvrant la bande de fréquences totale du</w:t>
            </w:r>
            <w:r w:rsidR="00C6298A">
              <w:t xml:space="preserve"> </w:t>
            </w:r>
            <w:r w:rsidRPr="006D3BBC">
              <w:t>récepteur qui a reçu le signal. Quand l'émission consiste en une série de balayages, ils doivent avoir la forme d'une dent de scie et avoir une cadence</w:t>
            </w:r>
            <w:r w:rsidR="00C6298A">
              <w:t xml:space="preserve"> </w:t>
            </w:r>
            <w:r w:rsidRPr="006D3BBC">
              <w:t>comprise entre 60 s et</w:t>
            </w:r>
            <w:r w:rsidR="00C6298A">
              <w:t xml:space="preserve"> </w:t>
            </w:r>
            <w:r w:rsidRPr="006D3BBC">
              <w:t xml:space="preserve">120 s par 200 MHz. </w:t>
            </w:r>
          </w:p>
        </w:tc>
      </w:tr>
      <w:tr w:rsidR="00BC31F6" w:rsidRPr="006D3BBC" w:rsidTr="008E605E">
        <w:trPr>
          <w:cantSplit/>
          <w:jc w:val="center"/>
        </w:trPr>
        <w:tc>
          <w:tcPr>
            <w:tcW w:w="1418" w:type="dxa"/>
            <w:tcBorders>
              <w:top w:val="single" w:sz="6" w:space="0" w:color="auto"/>
              <w:left w:val="single" w:sz="6" w:space="0" w:color="auto"/>
              <w:right w:val="single" w:sz="6" w:space="0" w:color="auto"/>
            </w:tcBorders>
          </w:tcPr>
          <w:p w:rsidR="00BC31F6" w:rsidRPr="006D3BBC" w:rsidRDefault="00BC31F6" w:rsidP="008E605E">
            <w:pPr>
              <w:pStyle w:val="Tabletext"/>
              <w:jc w:val="left"/>
            </w:pPr>
            <w:r w:rsidRPr="006D3BBC">
              <w:t>4.</w:t>
            </w:r>
            <w:r w:rsidRPr="006D3BBC">
              <w:tab/>
              <w:t>Réponse</w:t>
            </w:r>
          </w:p>
        </w:tc>
        <w:tc>
          <w:tcPr>
            <w:tcW w:w="1985" w:type="dxa"/>
            <w:tcBorders>
              <w:top w:val="single" w:sz="6" w:space="0" w:color="auto"/>
              <w:left w:val="single" w:sz="6" w:space="0" w:color="auto"/>
              <w:right w:val="single" w:sz="6" w:space="0" w:color="auto"/>
            </w:tcBorders>
          </w:tcPr>
          <w:p w:rsidR="00BC31F6" w:rsidRPr="006D3BBC" w:rsidRDefault="00BC31F6" w:rsidP="008E605E">
            <w:pPr>
              <w:pStyle w:val="Tabletext"/>
              <w:jc w:val="left"/>
            </w:pPr>
            <w:r w:rsidRPr="006D3BBC">
              <w:t>Délai après réception de l'interrogation</w:t>
            </w:r>
          </w:p>
        </w:tc>
        <w:tc>
          <w:tcPr>
            <w:tcW w:w="6236" w:type="dxa"/>
            <w:tcBorders>
              <w:top w:val="single" w:sz="6" w:space="0" w:color="auto"/>
              <w:left w:val="single" w:sz="6" w:space="0" w:color="auto"/>
              <w:right w:val="single" w:sz="6" w:space="0" w:color="auto"/>
            </w:tcBorders>
          </w:tcPr>
          <w:p w:rsidR="00BC31F6" w:rsidRPr="006D3BBC" w:rsidRDefault="00BC31F6" w:rsidP="00A55489">
            <w:pPr>
              <w:pStyle w:val="Tabletext"/>
              <w:jc w:val="left"/>
            </w:pPr>
            <w:r w:rsidRPr="006D3BBC">
              <w:t xml:space="preserve">En général pas plus de 0,7 </w:t>
            </w:r>
            <w:r w:rsidR="00A55489" w:rsidRPr="006D3BBC">
              <w:sym w:font="Symbol" w:char="F06D"/>
            </w:r>
            <w:r w:rsidRPr="006D3BBC">
              <w:t>s</w:t>
            </w:r>
          </w:p>
        </w:tc>
      </w:tr>
      <w:tr w:rsidR="00BC31F6" w:rsidRPr="006D3BBC" w:rsidTr="008E605E">
        <w:trPr>
          <w:cantSplit/>
          <w:jc w:val="center"/>
        </w:trPr>
        <w:tc>
          <w:tcPr>
            <w:tcW w:w="1418" w:type="dxa"/>
            <w:tcBorders>
              <w:left w:val="single" w:sz="6" w:space="0" w:color="auto"/>
              <w:right w:val="single" w:sz="6" w:space="0" w:color="auto"/>
            </w:tcBorders>
          </w:tcPr>
          <w:p w:rsidR="00BC31F6" w:rsidRPr="006D3BBC" w:rsidRDefault="00BC31F6" w:rsidP="008E605E">
            <w:pPr>
              <w:pStyle w:val="Tabletext"/>
            </w:pPr>
          </w:p>
        </w:tc>
        <w:tc>
          <w:tcPr>
            <w:tcW w:w="1985" w:type="dxa"/>
            <w:tcBorders>
              <w:left w:val="single" w:sz="6" w:space="0" w:color="auto"/>
              <w:right w:val="single" w:sz="6" w:space="0" w:color="auto"/>
            </w:tcBorders>
          </w:tcPr>
          <w:p w:rsidR="00BC31F6" w:rsidRPr="006D3BBC" w:rsidRDefault="00BC31F6" w:rsidP="008E605E">
            <w:pPr>
              <w:pStyle w:val="Tabletext"/>
              <w:jc w:val="left"/>
            </w:pPr>
            <w:r w:rsidRPr="006D3BBC">
              <w:t>Forme du code d'identification</w:t>
            </w:r>
          </w:p>
        </w:tc>
        <w:tc>
          <w:tcPr>
            <w:tcW w:w="6236" w:type="dxa"/>
            <w:tcBorders>
              <w:left w:val="single" w:sz="6" w:space="0" w:color="auto"/>
              <w:right w:val="single" w:sz="6" w:space="0" w:color="auto"/>
            </w:tcBorders>
          </w:tcPr>
          <w:p w:rsidR="00BC31F6" w:rsidRPr="006D3BBC" w:rsidRDefault="00BC31F6" w:rsidP="008E605E">
            <w:pPr>
              <w:pStyle w:val="Tabletext"/>
              <w:jc w:val="left"/>
            </w:pPr>
            <w:r w:rsidRPr="006D3BBC">
              <w:t>Le code d'identification devrait normalement prendre la forme d'une lettre Morse. Le code d'identification utilisé devrait être décrit dans des publications maritimes appropriées.</w:t>
            </w:r>
          </w:p>
          <w:p w:rsidR="00BC31F6" w:rsidRPr="006D3BBC" w:rsidRDefault="00BC31F6" w:rsidP="00B0112D">
            <w:pPr>
              <w:pStyle w:val="Tabletext"/>
              <w:jc w:val="left"/>
            </w:pPr>
            <w:r w:rsidRPr="006D3BBC">
              <w:t>Le code d'identification devrait s'étendre sur toute la longueur de la réponse de la balise radar et si une lettre Morse est utilisée, la</w:t>
            </w:r>
            <w:r w:rsidR="00A55489" w:rsidRPr="006D3BBC">
              <w:t xml:space="preserve"> </w:t>
            </w:r>
            <w:r w:rsidRPr="006D3BBC">
              <w:t>réponse devrait être divisée selon le cas en points et en traits, les</w:t>
            </w:r>
            <w:r w:rsidR="00A55489" w:rsidRPr="006D3BBC">
              <w:t xml:space="preserve"> </w:t>
            </w:r>
            <w:r w:rsidRPr="006D3BBC">
              <w:t>rapports des durées correspondant à 1 trait </w:t>
            </w:r>
            <w:r w:rsidR="00A55489" w:rsidRPr="006D3BBC">
              <w:t>=</w:t>
            </w:r>
            <w:r w:rsidRPr="006D3BBC">
              <w:t> 3 points et</w:t>
            </w:r>
            <w:r w:rsidR="00A55489" w:rsidRPr="006D3BBC">
              <w:t xml:space="preserve"> </w:t>
            </w:r>
            <w:r w:rsidRPr="006D3BBC">
              <w:t>1 point </w:t>
            </w:r>
            <w:r w:rsidR="00A55489" w:rsidRPr="006D3BBC">
              <w:t>=</w:t>
            </w:r>
            <w:r w:rsidRPr="006D3BBC">
              <w:t> 1 espace. Le code devrait normalement commencer par</w:t>
            </w:r>
            <w:r w:rsidR="00B0112D">
              <w:t xml:space="preserve"> </w:t>
            </w:r>
            <w:r w:rsidRPr="006D3BBC">
              <w:t>un trait.</w:t>
            </w:r>
          </w:p>
        </w:tc>
      </w:tr>
      <w:tr w:rsidR="00BC31F6" w:rsidRPr="006D3BBC" w:rsidTr="008E605E">
        <w:trPr>
          <w:cantSplit/>
          <w:jc w:val="center"/>
        </w:trPr>
        <w:tc>
          <w:tcPr>
            <w:tcW w:w="1418" w:type="dxa"/>
            <w:tcBorders>
              <w:left w:val="single" w:sz="6" w:space="0" w:color="auto"/>
              <w:right w:val="single" w:sz="6" w:space="0" w:color="auto"/>
            </w:tcBorders>
          </w:tcPr>
          <w:p w:rsidR="00BC31F6" w:rsidRPr="006D3BBC" w:rsidRDefault="00BC31F6" w:rsidP="008E605E">
            <w:pPr>
              <w:pStyle w:val="Tabletext"/>
            </w:pPr>
          </w:p>
        </w:tc>
        <w:tc>
          <w:tcPr>
            <w:tcW w:w="1985" w:type="dxa"/>
            <w:tcBorders>
              <w:left w:val="single" w:sz="6" w:space="0" w:color="auto"/>
              <w:right w:val="single" w:sz="6" w:space="0" w:color="auto"/>
            </w:tcBorders>
          </w:tcPr>
          <w:p w:rsidR="00BC31F6" w:rsidRPr="006D3BBC" w:rsidRDefault="00BC31F6" w:rsidP="008E605E">
            <w:pPr>
              <w:pStyle w:val="Tabletext"/>
            </w:pPr>
            <w:r w:rsidRPr="006D3BBC">
              <w:t>Durée</w:t>
            </w:r>
          </w:p>
        </w:tc>
        <w:tc>
          <w:tcPr>
            <w:tcW w:w="6236" w:type="dxa"/>
            <w:tcBorders>
              <w:left w:val="single" w:sz="6" w:space="0" w:color="auto"/>
              <w:right w:val="single" w:sz="6" w:space="0" w:color="auto"/>
            </w:tcBorders>
          </w:tcPr>
          <w:p w:rsidR="00BC31F6" w:rsidRPr="006D3BBC" w:rsidRDefault="00BC31F6" w:rsidP="008E605E">
            <w:pPr>
              <w:pStyle w:val="Tabletext"/>
              <w:jc w:val="left"/>
            </w:pPr>
            <w:r w:rsidRPr="006D3BBC">
              <w:t>La durée de la réponse devrait, soit être égale à environ 20% de la portée maximale de la balise radar, soit ne pas dépasser cinq milles; on privilégiera en tout cas l'option donnant la valeur la plus faible. Elle peut, le cas échéant, être adaptée aux besoins de fonctionnement de la balise radar (voir la Note 1).</w:t>
            </w:r>
          </w:p>
        </w:tc>
      </w:tr>
      <w:tr w:rsidR="00BC31F6" w:rsidRPr="006D3BBC" w:rsidTr="008E605E">
        <w:trPr>
          <w:cantSplit/>
          <w:jc w:val="center"/>
        </w:trPr>
        <w:tc>
          <w:tcPr>
            <w:tcW w:w="9639" w:type="dxa"/>
            <w:gridSpan w:val="3"/>
            <w:tcBorders>
              <w:top w:val="single" w:sz="6" w:space="0" w:color="auto"/>
            </w:tcBorders>
          </w:tcPr>
          <w:p w:rsidR="00BC31F6" w:rsidRPr="006D3BBC" w:rsidRDefault="00BC31F6" w:rsidP="00DD5987">
            <w:pPr>
              <w:pStyle w:val="TableLegendNote"/>
              <w:rPr>
                <w:lang w:val="fr-FR"/>
              </w:rPr>
            </w:pPr>
            <w:r w:rsidRPr="006D3BBC">
              <w:rPr>
                <w:lang w:val="fr-FR"/>
              </w:rPr>
              <w:t>NOTE 1 – Les caractéristiques de gain d'antenne, de sensibilité de réception, de puissance d'émission, de longueur de réponse, de délai de commutation des balises agiles et de suppression des lobes latéraux, peuvent être décidées par les administrations.</w:t>
            </w:r>
          </w:p>
        </w:tc>
      </w:tr>
    </w:tbl>
    <w:p w:rsidR="00BC31F6" w:rsidRPr="006D3BBC" w:rsidRDefault="00BC31F6" w:rsidP="00BC31F6">
      <w:pPr>
        <w:pStyle w:val="Tablefin"/>
        <w:rPr>
          <w:lang w:val="fr-FR"/>
        </w:rPr>
      </w:pPr>
    </w:p>
    <w:p w:rsidR="00BC31F6" w:rsidRPr="006D3BBC" w:rsidRDefault="00BC31F6" w:rsidP="006D3BBC">
      <w:pPr>
        <w:pStyle w:val="AnnexNoTitle"/>
      </w:pPr>
      <w:r w:rsidRPr="006D3BBC">
        <w:t>Annexe 2</w:t>
      </w:r>
      <w:r w:rsidRPr="006D3BBC">
        <w:br/>
      </w:r>
      <w:r w:rsidRPr="006D3BBC">
        <w:br/>
        <w:t>Caractéristiques techniques des racons aéronautiques au sol à fréquence fixe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0"/>
        <w:gridCol w:w="2088"/>
      </w:tblGrid>
      <w:tr w:rsidR="00BC31F6" w:rsidRPr="006D3BBC" w:rsidTr="00955101">
        <w:trPr>
          <w:jc w:val="center"/>
        </w:trPr>
        <w:tc>
          <w:tcPr>
            <w:tcW w:w="5044" w:type="dxa"/>
            <w:vAlign w:val="center"/>
          </w:tcPr>
          <w:p w:rsidR="00BC31F6" w:rsidRPr="006D3BBC" w:rsidRDefault="00BC31F6" w:rsidP="008E605E">
            <w:pPr>
              <w:pStyle w:val="Tablehead"/>
            </w:pPr>
            <w:r w:rsidRPr="006D3BBC">
              <w:t>Caractéristiques</w:t>
            </w:r>
          </w:p>
        </w:tc>
        <w:tc>
          <w:tcPr>
            <w:tcW w:w="1800" w:type="dxa"/>
            <w:vAlign w:val="center"/>
          </w:tcPr>
          <w:p w:rsidR="00BC31F6" w:rsidRPr="006D3BBC" w:rsidRDefault="00BC31F6" w:rsidP="008E605E">
            <w:pPr>
              <w:pStyle w:val="Tablehead"/>
            </w:pPr>
            <w:r w:rsidRPr="006D3BBC">
              <w:t>Valeur</w:t>
            </w:r>
          </w:p>
        </w:tc>
      </w:tr>
      <w:tr w:rsidR="00BC31F6" w:rsidRPr="006D3BBC" w:rsidTr="00955101">
        <w:trPr>
          <w:jc w:val="center"/>
        </w:trPr>
        <w:tc>
          <w:tcPr>
            <w:tcW w:w="5044" w:type="dxa"/>
            <w:vAlign w:val="center"/>
          </w:tcPr>
          <w:p w:rsidR="00BC31F6" w:rsidRPr="006D3BBC" w:rsidRDefault="00BC31F6" w:rsidP="008E605E">
            <w:pPr>
              <w:pStyle w:val="Tablehead"/>
            </w:pPr>
            <w:r w:rsidRPr="006D3BBC">
              <w:t>Emetteur</w:t>
            </w:r>
          </w:p>
        </w:tc>
        <w:tc>
          <w:tcPr>
            <w:tcW w:w="1800" w:type="dxa"/>
            <w:vAlign w:val="center"/>
          </w:tcPr>
          <w:p w:rsidR="00BC31F6" w:rsidRPr="006D3BBC" w:rsidRDefault="00BC31F6" w:rsidP="008E605E">
            <w:pPr>
              <w:tabs>
                <w:tab w:val="clear" w:pos="794"/>
                <w:tab w:val="clear" w:pos="1191"/>
                <w:tab w:val="clear" w:pos="1588"/>
                <w:tab w:val="clear" w:pos="1985"/>
                <w:tab w:val="left" w:pos="1134"/>
                <w:tab w:val="left" w:pos="1871"/>
                <w:tab w:val="left" w:pos="2268"/>
              </w:tabs>
              <w:spacing w:before="40" w:after="40"/>
              <w:jc w:val="center"/>
              <w:rPr>
                <w:sz w:val="20"/>
              </w:rPr>
            </w:pPr>
          </w:p>
        </w:tc>
      </w:tr>
      <w:tr w:rsidR="00BC31F6" w:rsidRPr="006D3BBC" w:rsidTr="00955101">
        <w:trPr>
          <w:jc w:val="center"/>
        </w:trPr>
        <w:tc>
          <w:tcPr>
            <w:tcW w:w="5044" w:type="dxa"/>
            <w:vAlign w:val="center"/>
          </w:tcPr>
          <w:p w:rsidR="00BC31F6" w:rsidRPr="006D3BBC" w:rsidRDefault="00BC31F6" w:rsidP="008E605E">
            <w:pPr>
              <w:pStyle w:val="Tabletext"/>
              <w:jc w:val="left"/>
            </w:pPr>
            <w:r w:rsidRPr="006D3BBC">
              <w:t>Fréquence (MHz)</w:t>
            </w:r>
          </w:p>
        </w:tc>
        <w:tc>
          <w:tcPr>
            <w:tcW w:w="1800" w:type="dxa"/>
            <w:vAlign w:val="center"/>
          </w:tcPr>
          <w:p w:rsidR="00BC31F6" w:rsidRPr="006D3BBC" w:rsidRDefault="00BC31F6" w:rsidP="008E605E">
            <w:pPr>
              <w:pStyle w:val="Tabletext"/>
              <w:jc w:val="center"/>
            </w:pPr>
            <w:r w:rsidRPr="006D3BBC">
              <w:t>9</w:t>
            </w:r>
            <w:r w:rsidRPr="006D3BBC">
              <w:rPr>
                <w:rFonts w:ascii="Tms Rmn" w:hAnsi="Tms Rmn"/>
              </w:rPr>
              <w:t> </w:t>
            </w:r>
            <w:r w:rsidRPr="006D3BBC">
              <w:t>310</w:t>
            </w:r>
          </w:p>
        </w:tc>
      </w:tr>
      <w:tr w:rsidR="00BC31F6" w:rsidRPr="006D3BBC" w:rsidTr="00955101">
        <w:trPr>
          <w:jc w:val="center"/>
        </w:trPr>
        <w:tc>
          <w:tcPr>
            <w:tcW w:w="5044" w:type="dxa"/>
            <w:vAlign w:val="center"/>
          </w:tcPr>
          <w:p w:rsidR="00BC31F6" w:rsidRPr="006D3BBC" w:rsidRDefault="00BC31F6" w:rsidP="00A55489">
            <w:pPr>
              <w:pStyle w:val="Tabletext"/>
              <w:jc w:val="left"/>
            </w:pPr>
            <w:r w:rsidRPr="006D3BBC">
              <w:t xml:space="preserve">Largeur de bande nécessaire (compte tenu d'une tolérance de fréquence de </w:t>
            </w:r>
            <w:r w:rsidR="00A55489" w:rsidRPr="006D3BBC">
              <w:sym w:font="Symbol" w:char="F0B1"/>
            </w:r>
            <w:r w:rsidRPr="006D3BBC">
              <w:rPr>
                <w:rFonts w:ascii="Tms Rmn" w:hAnsi="Tms Rmn"/>
              </w:rPr>
              <w:t> </w:t>
            </w:r>
            <w:r w:rsidRPr="006D3BBC">
              <w:t>3 MHz)</w:t>
            </w:r>
          </w:p>
        </w:tc>
        <w:tc>
          <w:tcPr>
            <w:tcW w:w="1800" w:type="dxa"/>
            <w:vAlign w:val="center"/>
          </w:tcPr>
          <w:p w:rsidR="00BC31F6" w:rsidRPr="006D3BBC" w:rsidRDefault="00BC31F6" w:rsidP="008E605E">
            <w:pPr>
              <w:pStyle w:val="Tabletext"/>
              <w:jc w:val="center"/>
            </w:pPr>
            <w:r w:rsidRPr="006D3BBC">
              <w:t>12</w:t>
            </w:r>
          </w:p>
        </w:tc>
      </w:tr>
      <w:tr w:rsidR="00BC31F6" w:rsidRPr="006D3BBC" w:rsidTr="00955101">
        <w:trPr>
          <w:jc w:val="center"/>
        </w:trPr>
        <w:tc>
          <w:tcPr>
            <w:tcW w:w="5044" w:type="dxa"/>
            <w:vAlign w:val="center"/>
          </w:tcPr>
          <w:p w:rsidR="00BC31F6" w:rsidRPr="006D3BBC" w:rsidRDefault="00BC31F6" w:rsidP="008E605E">
            <w:pPr>
              <w:pStyle w:val="Tabletext"/>
              <w:jc w:val="left"/>
            </w:pPr>
            <w:r w:rsidRPr="006D3BBC">
              <w:t>Puissance (mesurée aux bornes de l'antenne) (W)</w:t>
            </w:r>
          </w:p>
        </w:tc>
        <w:tc>
          <w:tcPr>
            <w:tcW w:w="1800" w:type="dxa"/>
            <w:vAlign w:val="center"/>
          </w:tcPr>
          <w:p w:rsidR="00BC31F6" w:rsidRPr="006D3BBC" w:rsidRDefault="00BC31F6" w:rsidP="008E605E">
            <w:pPr>
              <w:pStyle w:val="Tabletext"/>
              <w:jc w:val="center"/>
            </w:pPr>
            <w:r w:rsidRPr="006D3BBC">
              <w:t>50</w:t>
            </w:r>
          </w:p>
        </w:tc>
      </w:tr>
      <w:tr w:rsidR="00BC31F6" w:rsidRPr="006D3BBC" w:rsidTr="00955101">
        <w:trPr>
          <w:jc w:val="center"/>
        </w:trPr>
        <w:tc>
          <w:tcPr>
            <w:tcW w:w="5044" w:type="dxa"/>
            <w:vAlign w:val="center"/>
          </w:tcPr>
          <w:p w:rsidR="00BC31F6" w:rsidRPr="006D3BBC" w:rsidRDefault="00BC31F6" w:rsidP="008E605E">
            <w:pPr>
              <w:pStyle w:val="Tabletext"/>
              <w:jc w:val="left"/>
            </w:pPr>
            <w:r w:rsidRPr="006D3BBC">
              <w:t>Forme du symbole d'identification</w:t>
            </w:r>
          </w:p>
        </w:tc>
        <w:tc>
          <w:tcPr>
            <w:tcW w:w="1800" w:type="dxa"/>
            <w:vAlign w:val="center"/>
          </w:tcPr>
          <w:p w:rsidR="00BC31F6" w:rsidRPr="006D3BBC" w:rsidRDefault="00BC31F6" w:rsidP="008E605E">
            <w:pPr>
              <w:pStyle w:val="Tabletext"/>
              <w:jc w:val="center"/>
            </w:pPr>
            <w:r w:rsidRPr="006D3BBC">
              <w:t>15 codes numériques</w:t>
            </w:r>
          </w:p>
        </w:tc>
      </w:tr>
      <w:tr w:rsidR="00BC31F6" w:rsidRPr="006D3BBC" w:rsidTr="00955101">
        <w:trPr>
          <w:jc w:val="center"/>
        </w:trPr>
        <w:tc>
          <w:tcPr>
            <w:tcW w:w="5044" w:type="dxa"/>
            <w:vAlign w:val="center"/>
          </w:tcPr>
          <w:p w:rsidR="00BC31F6" w:rsidRPr="006D3BBC" w:rsidRDefault="00BC31F6" w:rsidP="00A55489">
            <w:pPr>
              <w:pStyle w:val="Tabletext"/>
              <w:jc w:val="left"/>
            </w:pPr>
            <w:r w:rsidRPr="006D3BBC">
              <w:t>Durée totale de l'émission (</w:t>
            </w:r>
            <w:r w:rsidR="00A55489" w:rsidRPr="006D3BBC">
              <w:sym w:font="Symbol" w:char="F06D"/>
            </w:r>
            <w:r w:rsidRPr="006D3BBC">
              <w:t>s)</w:t>
            </w:r>
          </w:p>
        </w:tc>
        <w:tc>
          <w:tcPr>
            <w:tcW w:w="1800" w:type="dxa"/>
            <w:vAlign w:val="center"/>
          </w:tcPr>
          <w:p w:rsidR="00BC31F6" w:rsidRPr="006D3BBC" w:rsidRDefault="00BC31F6" w:rsidP="008E605E">
            <w:pPr>
              <w:pStyle w:val="Tabletext"/>
              <w:jc w:val="center"/>
            </w:pPr>
            <w:r w:rsidRPr="006D3BBC">
              <w:t>15,5</w:t>
            </w:r>
          </w:p>
        </w:tc>
      </w:tr>
      <w:tr w:rsidR="00BC31F6" w:rsidRPr="006D3BBC" w:rsidTr="00955101">
        <w:trPr>
          <w:jc w:val="center"/>
        </w:trPr>
        <w:tc>
          <w:tcPr>
            <w:tcW w:w="5044" w:type="dxa"/>
            <w:vAlign w:val="center"/>
          </w:tcPr>
          <w:p w:rsidR="00BC31F6" w:rsidRPr="006D3BBC" w:rsidRDefault="00BC31F6" w:rsidP="008E605E">
            <w:pPr>
              <w:pStyle w:val="Tablehead"/>
            </w:pPr>
            <w:r w:rsidRPr="006D3BBC">
              <w:t>Récepteur</w:t>
            </w:r>
          </w:p>
        </w:tc>
        <w:tc>
          <w:tcPr>
            <w:tcW w:w="1800" w:type="dxa"/>
            <w:vAlign w:val="center"/>
          </w:tcPr>
          <w:p w:rsidR="00BC31F6" w:rsidRPr="006D3BBC" w:rsidRDefault="00BC31F6" w:rsidP="008E605E">
            <w:pPr>
              <w:tabs>
                <w:tab w:val="clear" w:pos="794"/>
                <w:tab w:val="clear" w:pos="1191"/>
                <w:tab w:val="clear" w:pos="1588"/>
                <w:tab w:val="clear" w:pos="1985"/>
                <w:tab w:val="left" w:pos="1134"/>
                <w:tab w:val="left" w:pos="1871"/>
                <w:tab w:val="left" w:pos="2268"/>
              </w:tabs>
              <w:spacing w:before="40" w:after="40"/>
              <w:jc w:val="center"/>
              <w:rPr>
                <w:sz w:val="20"/>
              </w:rPr>
            </w:pPr>
          </w:p>
        </w:tc>
      </w:tr>
      <w:tr w:rsidR="00BC31F6" w:rsidRPr="006D3BBC" w:rsidTr="00955101">
        <w:trPr>
          <w:jc w:val="center"/>
        </w:trPr>
        <w:tc>
          <w:tcPr>
            <w:tcW w:w="5044" w:type="dxa"/>
            <w:vAlign w:val="center"/>
          </w:tcPr>
          <w:p w:rsidR="00BC31F6" w:rsidRPr="006D3BBC" w:rsidRDefault="00BC31F6" w:rsidP="008E605E">
            <w:pPr>
              <w:pStyle w:val="Tabletext"/>
              <w:jc w:val="left"/>
            </w:pPr>
            <w:r w:rsidRPr="006D3BBC">
              <w:t>Bande passante (MHz)</w:t>
            </w:r>
          </w:p>
        </w:tc>
        <w:tc>
          <w:tcPr>
            <w:tcW w:w="1800" w:type="dxa"/>
            <w:vAlign w:val="center"/>
          </w:tcPr>
          <w:p w:rsidR="00BC31F6" w:rsidRPr="006D3BBC" w:rsidRDefault="00BC31F6" w:rsidP="008E605E">
            <w:pPr>
              <w:pStyle w:val="Tabletext"/>
              <w:jc w:val="center"/>
            </w:pPr>
            <w:r w:rsidRPr="006D3BBC">
              <w:t>9</w:t>
            </w:r>
            <w:r w:rsidRPr="006D3BBC">
              <w:rPr>
                <w:rFonts w:ascii="Tms Rmn" w:hAnsi="Tms Rmn"/>
              </w:rPr>
              <w:t> </w:t>
            </w:r>
            <w:r w:rsidRPr="006D3BBC">
              <w:t>370 à 9</w:t>
            </w:r>
            <w:r w:rsidRPr="006D3BBC">
              <w:rPr>
                <w:rFonts w:ascii="Tms Rmn" w:hAnsi="Tms Rmn"/>
              </w:rPr>
              <w:t> </w:t>
            </w:r>
            <w:r w:rsidRPr="006D3BBC">
              <w:t>380</w:t>
            </w:r>
          </w:p>
        </w:tc>
      </w:tr>
      <w:tr w:rsidR="00BC31F6" w:rsidRPr="006D3BBC" w:rsidTr="00955101">
        <w:trPr>
          <w:jc w:val="center"/>
        </w:trPr>
        <w:tc>
          <w:tcPr>
            <w:tcW w:w="5044" w:type="dxa"/>
            <w:vAlign w:val="center"/>
          </w:tcPr>
          <w:p w:rsidR="00BC31F6" w:rsidRPr="006D3BBC" w:rsidRDefault="00BC31F6" w:rsidP="008E605E">
            <w:pPr>
              <w:pStyle w:val="Tabletext"/>
              <w:jc w:val="left"/>
            </w:pPr>
            <w:r w:rsidRPr="006D3BBC">
              <w:t>Sensibilité (dBm)</w:t>
            </w:r>
          </w:p>
        </w:tc>
        <w:tc>
          <w:tcPr>
            <w:tcW w:w="1800" w:type="dxa"/>
            <w:vAlign w:val="center"/>
          </w:tcPr>
          <w:p w:rsidR="00BC31F6" w:rsidRPr="006D3BBC" w:rsidRDefault="00BC31F6" w:rsidP="008E605E">
            <w:pPr>
              <w:pStyle w:val="Tabletext"/>
              <w:jc w:val="center"/>
            </w:pPr>
            <w:r w:rsidRPr="006D3BBC">
              <w:t>–55</w:t>
            </w:r>
          </w:p>
        </w:tc>
      </w:tr>
      <w:tr w:rsidR="00BC31F6" w:rsidRPr="006D3BBC" w:rsidTr="00955101">
        <w:trPr>
          <w:jc w:val="center"/>
        </w:trPr>
        <w:tc>
          <w:tcPr>
            <w:tcW w:w="5044" w:type="dxa"/>
            <w:vAlign w:val="center"/>
          </w:tcPr>
          <w:p w:rsidR="00BC31F6" w:rsidRPr="006D3BBC" w:rsidRDefault="00BC31F6" w:rsidP="008E605E">
            <w:pPr>
              <w:pStyle w:val="Tabletext"/>
              <w:jc w:val="left"/>
            </w:pPr>
            <w:r w:rsidRPr="006D3BBC">
              <w:t>Période maximale de blocage (</w:t>
            </w:r>
            <w:r w:rsidR="00A55489" w:rsidRPr="006D3BBC">
              <w:sym w:font="Symbol" w:char="F06D"/>
            </w:r>
            <w:r w:rsidRPr="006D3BBC">
              <w:t>s)</w:t>
            </w:r>
          </w:p>
        </w:tc>
        <w:tc>
          <w:tcPr>
            <w:tcW w:w="1800" w:type="dxa"/>
            <w:vAlign w:val="center"/>
          </w:tcPr>
          <w:p w:rsidR="00BC31F6" w:rsidRPr="006D3BBC" w:rsidRDefault="00BC31F6" w:rsidP="008E605E">
            <w:pPr>
              <w:pStyle w:val="Tabletext"/>
              <w:jc w:val="center"/>
            </w:pPr>
            <w:r w:rsidRPr="006D3BBC">
              <w:t>25</w:t>
            </w:r>
          </w:p>
        </w:tc>
      </w:tr>
      <w:tr w:rsidR="00BC31F6" w:rsidRPr="006D3BBC" w:rsidTr="00955101">
        <w:trPr>
          <w:jc w:val="center"/>
        </w:trPr>
        <w:tc>
          <w:tcPr>
            <w:tcW w:w="5044" w:type="dxa"/>
            <w:vAlign w:val="center"/>
          </w:tcPr>
          <w:p w:rsidR="00BC31F6" w:rsidRPr="006D3BBC" w:rsidRDefault="00BC31F6" w:rsidP="008E605E">
            <w:pPr>
              <w:pStyle w:val="Tabletext"/>
              <w:jc w:val="left"/>
            </w:pPr>
            <w:r w:rsidRPr="006D3BBC">
              <w:t>Discrimination selon la longueur des impulsions (</w:t>
            </w:r>
            <w:r w:rsidR="00A55489" w:rsidRPr="006D3BBC">
              <w:sym w:font="Symbol" w:char="F06D"/>
            </w:r>
            <w:r w:rsidRPr="006D3BBC">
              <w:t>s)</w:t>
            </w:r>
          </w:p>
        </w:tc>
        <w:tc>
          <w:tcPr>
            <w:tcW w:w="1800" w:type="dxa"/>
            <w:vAlign w:val="center"/>
          </w:tcPr>
          <w:p w:rsidR="00BC31F6" w:rsidRPr="006D3BBC" w:rsidRDefault="00BC31F6" w:rsidP="004F0060">
            <w:pPr>
              <w:pStyle w:val="Tabletext"/>
              <w:jc w:val="center"/>
            </w:pPr>
            <w:r w:rsidRPr="006D3BBC">
              <w:t xml:space="preserve">2,35 </w:t>
            </w:r>
            <w:r w:rsidR="004F0060" w:rsidRPr="006D3BBC">
              <w:sym w:font="Symbol" w:char="F0B1"/>
            </w:r>
            <w:r w:rsidRPr="006D3BBC">
              <w:t xml:space="preserve"> 0,3</w:t>
            </w:r>
          </w:p>
        </w:tc>
      </w:tr>
      <w:tr w:rsidR="00BC31F6" w:rsidRPr="006D3BBC" w:rsidTr="00955101">
        <w:trPr>
          <w:jc w:val="center"/>
        </w:trPr>
        <w:tc>
          <w:tcPr>
            <w:tcW w:w="5044" w:type="dxa"/>
            <w:vAlign w:val="center"/>
          </w:tcPr>
          <w:p w:rsidR="00BC31F6" w:rsidRPr="006D3BBC" w:rsidRDefault="00BC31F6" w:rsidP="008E605E">
            <w:pPr>
              <w:pStyle w:val="Tabletext"/>
              <w:jc w:val="left"/>
            </w:pPr>
            <w:r w:rsidRPr="006D3BBC">
              <w:t>Retard fixe dans la réponse (</w:t>
            </w:r>
            <w:r w:rsidR="00A55489" w:rsidRPr="006D3BBC">
              <w:sym w:font="Symbol" w:char="F06D"/>
            </w:r>
            <w:r w:rsidRPr="006D3BBC">
              <w:t>s)</w:t>
            </w:r>
          </w:p>
        </w:tc>
        <w:tc>
          <w:tcPr>
            <w:tcW w:w="1800" w:type="dxa"/>
            <w:vAlign w:val="center"/>
          </w:tcPr>
          <w:p w:rsidR="00BC31F6" w:rsidRPr="006D3BBC" w:rsidRDefault="00BC31F6" w:rsidP="00A55489">
            <w:pPr>
              <w:pStyle w:val="Tabletext"/>
              <w:jc w:val="center"/>
            </w:pPr>
            <w:r w:rsidRPr="006D3BBC">
              <w:t xml:space="preserve">4,7 </w:t>
            </w:r>
            <w:r w:rsidR="00A55489" w:rsidRPr="006D3BBC">
              <w:sym w:font="Symbol" w:char="F0B1"/>
            </w:r>
            <w:r w:rsidRPr="006D3BBC">
              <w:t xml:space="preserve"> 0,1</w:t>
            </w:r>
          </w:p>
        </w:tc>
      </w:tr>
      <w:tr w:rsidR="00BC31F6" w:rsidRPr="006D3BBC" w:rsidTr="00955101">
        <w:trPr>
          <w:jc w:val="center"/>
        </w:trPr>
        <w:tc>
          <w:tcPr>
            <w:tcW w:w="5044" w:type="dxa"/>
            <w:vAlign w:val="center"/>
          </w:tcPr>
          <w:p w:rsidR="00BC31F6" w:rsidRPr="006D3BBC" w:rsidRDefault="00BC31F6" w:rsidP="008E605E">
            <w:pPr>
              <w:pStyle w:val="Tablehead"/>
            </w:pPr>
            <w:r w:rsidRPr="006D3BBC">
              <w:t>Antenne</w:t>
            </w:r>
          </w:p>
        </w:tc>
        <w:tc>
          <w:tcPr>
            <w:tcW w:w="1800" w:type="dxa"/>
            <w:vAlign w:val="center"/>
          </w:tcPr>
          <w:p w:rsidR="00BC31F6" w:rsidRPr="006D3BBC" w:rsidRDefault="00BC31F6" w:rsidP="008E605E">
            <w:pPr>
              <w:tabs>
                <w:tab w:val="clear" w:pos="794"/>
                <w:tab w:val="clear" w:pos="1191"/>
                <w:tab w:val="clear" w:pos="1588"/>
                <w:tab w:val="clear" w:pos="1985"/>
                <w:tab w:val="left" w:pos="1134"/>
                <w:tab w:val="left" w:pos="1871"/>
                <w:tab w:val="left" w:pos="2268"/>
              </w:tabs>
              <w:spacing w:before="40" w:after="40"/>
              <w:jc w:val="center"/>
              <w:rPr>
                <w:sz w:val="20"/>
              </w:rPr>
            </w:pPr>
          </w:p>
        </w:tc>
      </w:tr>
      <w:tr w:rsidR="00BC31F6" w:rsidRPr="006D3BBC" w:rsidTr="00955101">
        <w:trPr>
          <w:jc w:val="center"/>
        </w:trPr>
        <w:tc>
          <w:tcPr>
            <w:tcW w:w="5044" w:type="dxa"/>
            <w:vAlign w:val="center"/>
          </w:tcPr>
          <w:p w:rsidR="00BC31F6" w:rsidRPr="006D3BBC" w:rsidRDefault="00BC31F6" w:rsidP="008E605E">
            <w:pPr>
              <w:pStyle w:val="Tabletext"/>
              <w:jc w:val="left"/>
            </w:pPr>
            <w:r w:rsidRPr="006D3BBC">
              <w:t>Gain (dBi)</w:t>
            </w:r>
          </w:p>
        </w:tc>
        <w:tc>
          <w:tcPr>
            <w:tcW w:w="1800" w:type="dxa"/>
            <w:vAlign w:val="center"/>
          </w:tcPr>
          <w:p w:rsidR="00BC31F6" w:rsidRPr="006D3BBC" w:rsidRDefault="00BC31F6" w:rsidP="008E605E">
            <w:pPr>
              <w:pStyle w:val="Tabletext"/>
              <w:jc w:val="center"/>
            </w:pPr>
            <w:r w:rsidRPr="006D3BBC">
              <w:t>Minimum 0</w:t>
            </w:r>
          </w:p>
        </w:tc>
      </w:tr>
      <w:tr w:rsidR="00BC31F6" w:rsidRPr="006D3BBC" w:rsidTr="00955101">
        <w:trPr>
          <w:jc w:val="center"/>
        </w:trPr>
        <w:tc>
          <w:tcPr>
            <w:tcW w:w="5044" w:type="dxa"/>
            <w:vAlign w:val="center"/>
          </w:tcPr>
          <w:p w:rsidR="00BC31F6" w:rsidRPr="006D3BBC" w:rsidRDefault="00BC31F6" w:rsidP="008E605E">
            <w:pPr>
              <w:pStyle w:val="Tabletext"/>
              <w:jc w:val="left"/>
            </w:pPr>
            <w:r w:rsidRPr="006D3BBC">
              <w:t>Ouverture du faisceau (degrés)</w:t>
            </w:r>
          </w:p>
        </w:tc>
        <w:tc>
          <w:tcPr>
            <w:tcW w:w="1800" w:type="dxa"/>
            <w:vAlign w:val="center"/>
          </w:tcPr>
          <w:p w:rsidR="00BC31F6" w:rsidRPr="006D3BBC" w:rsidRDefault="00BC31F6" w:rsidP="00A55489">
            <w:pPr>
              <w:pStyle w:val="Tabletext"/>
              <w:jc w:val="center"/>
            </w:pPr>
            <w:r w:rsidRPr="006D3BBC">
              <w:t>Azimut: 360</w:t>
            </w:r>
            <w:r w:rsidR="00A55489" w:rsidRPr="006D3BBC">
              <w:t>°</w:t>
            </w:r>
            <w:r w:rsidRPr="006D3BBC">
              <w:br/>
              <w:t>Elévation: 30</w:t>
            </w:r>
            <w:r w:rsidR="00A55489" w:rsidRPr="006D3BBC">
              <w:t>°</w:t>
            </w:r>
          </w:p>
        </w:tc>
      </w:tr>
      <w:tr w:rsidR="00BC31F6" w:rsidRPr="006D3BBC" w:rsidTr="00955101">
        <w:trPr>
          <w:jc w:val="center"/>
        </w:trPr>
        <w:tc>
          <w:tcPr>
            <w:tcW w:w="5044" w:type="dxa"/>
            <w:vAlign w:val="center"/>
          </w:tcPr>
          <w:p w:rsidR="00BC31F6" w:rsidRPr="006D3BBC" w:rsidRDefault="00BC31F6" w:rsidP="008E605E">
            <w:pPr>
              <w:pStyle w:val="Tabletext"/>
              <w:jc w:val="left"/>
            </w:pPr>
            <w:r w:rsidRPr="006D3BBC">
              <w:t>Polarisation</w:t>
            </w:r>
          </w:p>
        </w:tc>
        <w:tc>
          <w:tcPr>
            <w:tcW w:w="1800" w:type="dxa"/>
            <w:vAlign w:val="center"/>
          </w:tcPr>
          <w:p w:rsidR="00BC31F6" w:rsidRPr="006D3BBC" w:rsidRDefault="00BC31F6" w:rsidP="008E605E">
            <w:pPr>
              <w:pStyle w:val="Tabletext"/>
              <w:jc w:val="center"/>
            </w:pPr>
            <w:r w:rsidRPr="006D3BBC">
              <w:t>Horizontale</w:t>
            </w:r>
          </w:p>
        </w:tc>
      </w:tr>
    </w:tbl>
    <w:p w:rsidR="00BC31F6" w:rsidRPr="006D3BBC" w:rsidRDefault="00BC31F6" w:rsidP="00DD5987">
      <w:pPr>
        <w:pStyle w:val="Tablefin"/>
        <w:rPr>
          <w:lang w:val="fr-FR"/>
        </w:rPr>
      </w:pPr>
    </w:p>
    <w:p w:rsidR="00BC31F6" w:rsidRDefault="00BC31F6" w:rsidP="00BC31F6"/>
    <w:p w:rsidR="00A55489" w:rsidRPr="006D3BBC" w:rsidRDefault="00A55489" w:rsidP="00BC31F6">
      <w:bookmarkStart w:id="3" w:name="_GoBack"/>
      <w:bookmarkEnd w:id="3"/>
    </w:p>
    <w:p w:rsidR="00BC31F6" w:rsidRPr="006D3BBC" w:rsidRDefault="00BC31F6" w:rsidP="00DD5987">
      <w:pPr>
        <w:pStyle w:val="Line"/>
        <w:rPr>
          <w:lang w:val="fr-FR"/>
        </w:rPr>
      </w:pPr>
    </w:p>
    <w:sectPr w:rsidR="00BC31F6" w:rsidRPr="006D3BBC" w:rsidSect="00BC31F6">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1F6" w:rsidRDefault="00BC31F6">
      <w:r>
        <w:separator/>
      </w:r>
    </w:p>
  </w:endnote>
  <w:endnote w:type="continuationSeparator" w:id="0">
    <w:p w:rsidR="00BC31F6" w:rsidRDefault="00BC3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1F6" w:rsidRDefault="00BC31F6">
      <w:r>
        <w:separator/>
      </w:r>
    </w:p>
  </w:footnote>
  <w:footnote w:type="continuationSeparator" w:id="0">
    <w:p w:rsidR="00BC31F6" w:rsidRDefault="00BC31F6">
      <w:r>
        <w:continuationSeparator/>
      </w:r>
    </w:p>
  </w:footnote>
  <w:footnote w:id="1">
    <w:p w:rsidR="00DD5987" w:rsidRPr="000D1C3F" w:rsidRDefault="00DD5987" w:rsidP="00DD5987">
      <w:pPr>
        <w:pStyle w:val="FootnoteText"/>
      </w:pPr>
      <w:r>
        <w:rPr>
          <w:rStyle w:val="FootnoteReference"/>
        </w:rPr>
        <w:t>*</w:t>
      </w:r>
      <w:r>
        <w:t xml:space="preserve"> </w:t>
      </w:r>
      <w:r w:rsidRPr="000D1C3F">
        <w:tab/>
        <w:t>Cette Recommandation doit être portée à l</w:t>
      </w:r>
      <w:r>
        <w:t>'attention de l'Organisation de l'aviation civile internationale (OACI), de l'Organisation maritime internationale (OMI), de l'Organisation météorologique mondiale (OMM), de l'Association internationale de signalisation maritime (AISM) et de la Commission électrotechnique internationale (CEI).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1F6" w:rsidRDefault="00BC31F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1F6" w:rsidRDefault="00BC31F6" w:rsidP="00C668C8">
    <w:pPr>
      <w:pStyle w:val="Header"/>
      <w:ind w:right="360" w:firstLine="360"/>
    </w:pPr>
    <w:r>
      <w:rPr>
        <w:noProof/>
        <w:lang w:val="en-US" w:eastAsia="zh-CN"/>
      </w:rPr>
      <w:drawing>
        <wp:anchor distT="0" distB="0" distL="114300" distR="114300" simplePos="0" relativeHeight="251659264" behindDoc="1" locked="0" layoutInCell="1" allowOverlap="1" wp14:anchorId="338CC360" wp14:editId="3A30044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1F6" w:rsidRPr="00837CB5" w:rsidRDefault="00BC31F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645B2">
      <w:rPr>
        <w:rStyle w:val="PageNumber"/>
        <w:b/>
        <w:bCs/>
        <w:noProof/>
      </w:rPr>
      <w:t>ii</w:t>
    </w:r>
    <w:r>
      <w:rPr>
        <w:rStyle w:val="PageNumber"/>
        <w:b/>
        <w:bCs/>
      </w:rPr>
      <w:fldChar w:fldCharType="end"/>
    </w:r>
    <w:r w:rsidRPr="00837CB5">
      <w:tab/>
    </w:r>
    <w:r w:rsidR="006645B2">
      <w:fldChar w:fldCharType="begin"/>
    </w:r>
    <w:r w:rsidR="006645B2">
      <w:instrText xml:space="preserve"> DOCPROPERTY "Header" \* MERGEFORMAT </w:instrText>
    </w:r>
    <w:r w:rsidR="006645B2">
      <w:fldChar w:fldCharType="separate"/>
    </w:r>
    <w:r w:rsidR="00872FAC" w:rsidRPr="00872FAC">
      <w:rPr>
        <w:b/>
        <w:bCs/>
      </w:rPr>
      <w:t xml:space="preserve">Rec. </w:t>
    </w:r>
    <w:r w:rsidR="006645B2">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6645B2">
      <w:rPr>
        <w:b/>
        <w:bCs/>
        <w:noProof/>
      </w:rPr>
      <w:t>UIT-R  M.824-4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1F6" w:rsidRDefault="00BC31F6">
    <w:pPr>
      <w:pStyle w:val="Header"/>
    </w:pPr>
    <w:r>
      <w:tab/>
    </w:r>
    <w:r w:rsidR="006645B2">
      <w:fldChar w:fldCharType="begin"/>
    </w:r>
    <w:r w:rsidR="006645B2">
      <w:instrText xml:space="preserve"> DOCPROPERTY "Header" \* MERGEFORMAT </w:instrText>
    </w:r>
    <w:r w:rsidR="006645B2">
      <w:fldChar w:fldCharType="separate"/>
    </w:r>
    <w:r w:rsidR="00872FAC" w:rsidRPr="00872FAC">
      <w:rPr>
        <w:b/>
        <w:bCs/>
      </w:rPr>
      <w:t xml:space="preserve">Rec. </w:t>
    </w:r>
    <w:r w:rsidR="006645B2">
      <w:rPr>
        <w:b/>
        <w:bCs/>
      </w:rPr>
      <w:fldChar w:fldCharType="end"/>
    </w:r>
    <w:r>
      <w:rPr>
        <w:b/>
        <w:bCs/>
      </w:rPr>
      <w:t xml:space="preserve"> </w:t>
    </w:r>
    <w:r>
      <w:rPr>
        <w:b/>
        <w:bCs/>
      </w:rPr>
      <w:fldChar w:fldCharType="begin"/>
    </w:r>
    <w:r>
      <w:rPr>
        <w:b/>
        <w:bCs/>
      </w:rPr>
      <w:instrText>styleref href</w:instrText>
    </w:r>
    <w:r>
      <w:rPr>
        <w:b/>
        <w:bCs/>
      </w:rPr>
      <w:fldChar w:fldCharType="separate"/>
    </w:r>
    <w:r w:rsidR="00872FAC">
      <w:rPr>
        <w:b/>
        <w:bCs/>
        <w:noProof/>
      </w:rPr>
      <w:t>UIT-R  M.824-4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645B2">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72FAC" w:rsidRPr="00872FA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645B2">
      <w:rPr>
        <w:b/>
        <w:bCs/>
        <w:noProof/>
      </w:rPr>
      <w:t>UIT-R  M.824-4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872FAC" w:rsidRPr="00872F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645B2">
      <w:rPr>
        <w:b/>
        <w:bCs/>
        <w:noProof/>
      </w:rPr>
      <w:t>UIT-R  M.824-4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645B2">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1F6"/>
    <w:rsid w:val="00217EBF"/>
    <w:rsid w:val="00242AEE"/>
    <w:rsid w:val="002615A4"/>
    <w:rsid w:val="002D76C4"/>
    <w:rsid w:val="004F0060"/>
    <w:rsid w:val="0052529D"/>
    <w:rsid w:val="00607D68"/>
    <w:rsid w:val="006645B2"/>
    <w:rsid w:val="006D3BBC"/>
    <w:rsid w:val="007468DA"/>
    <w:rsid w:val="00872FAC"/>
    <w:rsid w:val="00955101"/>
    <w:rsid w:val="009E00A8"/>
    <w:rsid w:val="00A55489"/>
    <w:rsid w:val="00A6617B"/>
    <w:rsid w:val="00AB0DC8"/>
    <w:rsid w:val="00B0112D"/>
    <w:rsid w:val="00B44E24"/>
    <w:rsid w:val="00BC31F6"/>
    <w:rsid w:val="00C6298A"/>
    <w:rsid w:val="00CE35AC"/>
    <w:rsid w:val="00CE390D"/>
    <w:rsid w:val="00D04669"/>
    <w:rsid w:val="00DD5987"/>
    <w:rsid w:val="00DF4176"/>
    <w:rsid w:val="00E321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CE35AC"/>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C31F6"/>
    <w:rPr>
      <w:color w:val="0000FF"/>
      <w:u w:val="single"/>
    </w:rPr>
  </w:style>
  <w:style w:type="character" w:customStyle="1" w:styleId="TableheadChar">
    <w:name w:val="Table_head Char"/>
    <w:basedOn w:val="DefaultParagraphFont"/>
    <w:link w:val="Tablehead"/>
    <w:locked/>
    <w:rsid w:val="00BC31F6"/>
    <w:rPr>
      <w:b/>
      <w:sz w:val="22"/>
      <w:lang w:val="fr-FR" w:eastAsia="en-US"/>
    </w:rPr>
  </w:style>
  <w:style w:type="character" w:customStyle="1" w:styleId="TabletextChar">
    <w:name w:val="Table_text Char"/>
    <w:basedOn w:val="DefaultParagraphFont"/>
    <w:link w:val="Tabletext"/>
    <w:locked/>
    <w:rsid w:val="00BC31F6"/>
    <w:rPr>
      <w:sz w:val="22"/>
      <w:lang w:val="fr-FR" w:eastAsia="en-US"/>
    </w:rPr>
  </w:style>
  <w:style w:type="character" w:customStyle="1" w:styleId="FootnoteTextChar">
    <w:name w:val="Footnote Text Char"/>
    <w:basedOn w:val="DefaultParagraphFont"/>
    <w:link w:val="FootnoteText"/>
    <w:rsid w:val="00DD5987"/>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CE35AC"/>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C31F6"/>
    <w:rPr>
      <w:color w:val="0000FF"/>
      <w:u w:val="single"/>
    </w:rPr>
  </w:style>
  <w:style w:type="character" w:customStyle="1" w:styleId="TableheadChar">
    <w:name w:val="Table_head Char"/>
    <w:basedOn w:val="DefaultParagraphFont"/>
    <w:link w:val="Tablehead"/>
    <w:locked/>
    <w:rsid w:val="00BC31F6"/>
    <w:rPr>
      <w:b/>
      <w:sz w:val="22"/>
      <w:lang w:val="fr-FR" w:eastAsia="en-US"/>
    </w:rPr>
  </w:style>
  <w:style w:type="character" w:customStyle="1" w:styleId="TabletextChar">
    <w:name w:val="Table_text Char"/>
    <w:basedOn w:val="DefaultParagraphFont"/>
    <w:link w:val="Tabletext"/>
    <w:locked/>
    <w:rsid w:val="00BC31F6"/>
    <w:rPr>
      <w:sz w:val="22"/>
      <w:lang w:val="fr-FR" w:eastAsia="en-US"/>
    </w:rPr>
  </w:style>
  <w:style w:type="character" w:customStyle="1" w:styleId="FootnoteTextChar">
    <w:name w:val="Footnote Text Char"/>
    <w:basedOn w:val="DefaultParagraphFont"/>
    <w:link w:val="FootnoteText"/>
    <w:rsid w:val="00DD598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B15B3-46A1-48A6-8A66-68AB28234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46</TotalTime>
  <Pages>5</Pages>
  <Words>1152</Words>
  <Characters>6569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7706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Delaroque, Marceline</cp:lastModifiedBy>
  <cp:revision>14</cp:revision>
  <cp:lastPrinted>2005-02-10T15:54:00Z</cp:lastPrinted>
  <dcterms:created xsi:type="dcterms:W3CDTF">2014-01-28T14:12:00Z</dcterms:created>
  <dcterms:modified xsi:type="dcterms:W3CDTF">2014-01-29T09:00:00Z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