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5DB" w:rsidRPr="00C64D72" w:rsidRDefault="00B755DB" w:rsidP="00B755DB">
      <w:pPr>
        <w:rPr>
          <w:lang w:val="es-ES_tradnl"/>
        </w:rPr>
      </w:pPr>
      <w:bookmarkStart w:id="0" w:name="dbreak"/>
      <w:bookmarkEnd w:id="0"/>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rPr>
          <w:lang w:val="es-ES_tradnl"/>
        </w:rPr>
      </w:pPr>
    </w:p>
    <w:tbl>
      <w:tblPr>
        <w:tblW w:w="10089" w:type="dxa"/>
        <w:tblLook w:val="01E0" w:firstRow="1" w:lastRow="1" w:firstColumn="1" w:lastColumn="1" w:noHBand="0" w:noVBand="0"/>
      </w:tblPr>
      <w:tblGrid>
        <w:gridCol w:w="10089"/>
      </w:tblGrid>
      <w:tr w:rsidR="00B755DB" w:rsidRPr="00C64D72" w:rsidTr="00202646">
        <w:tc>
          <w:tcPr>
            <w:tcW w:w="10089" w:type="dxa"/>
          </w:tcPr>
          <w:p w:rsidR="00B755DB" w:rsidRPr="00C64D72" w:rsidRDefault="00B755DB" w:rsidP="00202646">
            <w:pPr>
              <w:spacing w:before="380" w:line="280" w:lineRule="exact"/>
              <w:jc w:val="right"/>
              <w:rPr>
                <w:rFonts w:ascii="Tahoma" w:hAnsi="Tahoma" w:cs="Tahoma"/>
                <w:b/>
                <w:bCs/>
                <w:iCs/>
                <w:color w:val="243285"/>
                <w:sz w:val="32"/>
                <w:szCs w:val="32"/>
                <w:lang w:val="es-ES_tradnl"/>
              </w:rPr>
            </w:pPr>
          </w:p>
          <w:p w:rsidR="00B755DB" w:rsidRPr="00C64D72" w:rsidRDefault="00B755DB" w:rsidP="00B755DB">
            <w:pPr>
              <w:spacing w:before="380" w:line="280" w:lineRule="exact"/>
              <w:ind w:right="-57"/>
              <w:jc w:val="right"/>
              <w:rPr>
                <w:rFonts w:ascii="Tahoma" w:hAnsi="Tahoma" w:cs="Tahoma"/>
                <w:b/>
                <w:bCs/>
                <w:iCs/>
                <w:color w:val="243285"/>
                <w:sz w:val="36"/>
                <w:szCs w:val="36"/>
                <w:lang w:val="es-ES_tradnl"/>
              </w:rPr>
            </w:pPr>
            <w:r w:rsidRPr="00C64D72">
              <w:rPr>
                <w:rFonts w:ascii="Tahoma" w:hAnsi="Tahoma" w:cs="Tahoma"/>
                <w:b/>
                <w:bCs/>
                <w:iCs/>
                <w:color w:val="243285"/>
                <w:sz w:val="36"/>
                <w:szCs w:val="36"/>
                <w:lang w:val="es-ES_tradnl"/>
              </w:rPr>
              <w:t>Recomendación  UIT-R  P.1321-5</w:t>
            </w:r>
          </w:p>
          <w:p w:rsidR="00B755DB" w:rsidRPr="00C64D72" w:rsidRDefault="00B755DB" w:rsidP="00B755DB">
            <w:pPr>
              <w:spacing w:before="80" w:line="280" w:lineRule="exact"/>
              <w:ind w:right="-57"/>
              <w:jc w:val="right"/>
              <w:rPr>
                <w:rFonts w:ascii="Tahoma" w:hAnsi="Tahoma" w:cs="Tahoma"/>
                <w:b/>
                <w:bCs/>
                <w:iCs/>
                <w:color w:val="243285"/>
                <w:szCs w:val="24"/>
                <w:lang w:val="es-ES_tradnl"/>
              </w:rPr>
            </w:pPr>
            <w:r w:rsidRPr="00C64D72">
              <w:rPr>
                <w:rFonts w:ascii="Tahoma" w:hAnsi="Tahoma" w:cs="Tahoma"/>
                <w:b/>
                <w:bCs/>
                <w:iCs/>
                <w:color w:val="243285"/>
                <w:szCs w:val="24"/>
                <w:lang w:val="es-ES_tradnl"/>
              </w:rPr>
              <w:t>(07/2015)</w:t>
            </w:r>
          </w:p>
        </w:tc>
      </w:tr>
      <w:tr w:rsidR="00B755DB" w:rsidRPr="00F12511" w:rsidTr="00202646">
        <w:tc>
          <w:tcPr>
            <w:tcW w:w="10089" w:type="dxa"/>
          </w:tcPr>
          <w:p w:rsidR="00B755DB" w:rsidRPr="00C64D72" w:rsidRDefault="00B755DB" w:rsidP="00202646">
            <w:pPr>
              <w:spacing w:before="80" w:line="500" w:lineRule="exact"/>
              <w:jc w:val="right"/>
              <w:rPr>
                <w:rFonts w:ascii="Tahoma" w:hAnsi="Tahoma" w:cs="Tahoma"/>
                <w:b/>
                <w:bCs/>
                <w:iCs/>
                <w:color w:val="243285"/>
                <w:sz w:val="44"/>
                <w:szCs w:val="44"/>
                <w:lang w:val="es-ES_tradnl"/>
              </w:rPr>
            </w:pPr>
          </w:p>
          <w:p w:rsidR="00B755DB" w:rsidRPr="00C64D72" w:rsidRDefault="00B755DB" w:rsidP="00B755DB">
            <w:pPr>
              <w:spacing w:before="80" w:line="500" w:lineRule="exact"/>
              <w:ind w:left="-113" w:right="-57"/>
              <w:jc w:val="right"/>
              <w:rPr>
                <w:rFonts w:ascii="Tahoma" w:hAnsi="Tahoma" w:cs="Tahoma"/>
                <w:b/>
                <w:bCs/>
                <w:color w:val="243285"/>
                <w:sz w:val="44"/>
                <w:szCs w:val="44"/>
                <w:lang w:val="es-ES_tradnl"/>
              </w:rPr>
            </w:pPr>
            <w:r w:rsidRPr="00C64D72">
              <w:rPr>
                <w:rFonts w:ascii="Tahoma" w:hAnsi="Tahoma" w:cs="Tahoma"/>
                <w:b/>
                <w:bCs/>
                <w:iCs/>
                <w:color w:val="243285"/>
                <w:sz w:val="44"/>
                <w:szCs w:val="44"/>
                <w:lang w:val="es-ES_tradnl"/>
              </w:rPr>
              <w:t>Factores de propagación que afectan</w:t>
            </w:r>
            <w:r w:rsidRPr="00C64D72">
              <w:rPr>
                <w:rFonts w:ascii="Tahoma" w:hAnsi="Tahoma" w:cs="Tahoma"/>
                <w:b/>
                <w:bCs/>
                <w:iCs/>
                <w:color w:val="243285"/>
                <w:sz w:val="44"/>
                <w:szCs w:val="44"/>
                <w:lang w:val="es-ES_tradnl"/>
              </w:rPr>
              <w:br/>
              <w:t>a los sistemas con técnicas demodulación digital en ondas kilométricas y hectométrica</w:t>
            </w:r>
            <w:r w:rsidRPr="00C64D72">
              <w:rPr>
                <w:rFonts w:ascii="Tahoma" w:hAnsi="Tahoma" w:cs="Tahoma"/>
                <w:b/>
                <w:bCs/>
                <w:color w:val="243285"/>
                <w:sz w:val="44"/>
                <w:szCs w:val="44"/>
                <w:lang w:val="es-ES_tradnl"/>
              </w:rPr>
              <w:t>s</w:t>
            </w:r>
          </w:p>
          <w:p w:rsidR="00B755DB" w:rsidRPr="00C64D72" w:rsidRDefault="00B755DB" w:rsidP="00202646">
            <w:pPr>
              <w:spacing w:before="80" w:line="500" w:lineRule="exact"/>
              <w:jc w:val="right"/>
              <w:rPr>
                <w:rFonts w:ascii="Tahoma" w:hAnsi="Tahoma" w:cs="Tahoma"/>
                <w:b/>
                <w:bCs/>
                <w:iCs/>
                <w:color w:val="243285"/>
                <w:sz w:val="44"/>
                <w:szCs w:val="44"/>
                <w:lang w:val="es-ES_tradnl"/>
              </w:rPr>
            </w:pPr>
          </w:p>
        </w:tc>
      </w:tr>
      <w:tr w:rsidR="00B755DB" w:rsidRPr="00F12511" w:rsidTr="00202646">
        <w:tc>
          <w:tcPr>
            <w:tcW w:w="10089" w:type="dxa"/>
          </w:tcPr>
          <w:p w:rsidR="00B755DB" w:rsidRPr="00C64D72" w:rsidRDefault="00B755DB" w:rsidP="00202646">
            <w:pPr>
              <w:spacing w:before="80" w:line="280" w:lineRule="exact"/>
              <w:ind w:right="640"/>
              <w:rPr>
                <w:rFonts w:ascii="Tahoma" w:hAnsi="Tahoma" w:cs="Tahoma"/>
                <w:b/>
                <w:bCs/>
                <w:iCs/>
                <w:color w:val="243285"/>
                <w:sz w:val="32"/>
                <w:szCs w:val="32"/>
                <w:lang w:val="es-ES_tradnl"/>
              </w:rPr>
            </w:pPr>
          </w:p>
          <w:p w:rsidR="00B755DB" w:rsidRPr="00C64D72" w:rsidRDefault="00B755DB" w:rsidP="00202646">
            <w:pPr>
              <w:spacing w:before="80" w:line="280" w:lineRule="exact"/>
              <w:ind w:right="640"/>
              <w:rPr>
                <w:rFonts w:ascii="Tahoma" w:hAnsi="Tahoma" w:cs="Tahoma"/>
                <w:b/>
                <w:bCs/>
                <w:iCs/>
                <w:color w:val="243285"/>
                <w:sz w:val="32"/>
                <w:szCs w:val="32"/>
                <w:lang w:val="es-ES_tradnl"/>
              </w:rPr>
            </w:pPr>
          </w:p>
          <w:p w:rsidR="00B755DB" w:rsidRPr="00C64D72" w:rsidRDefault="00B755DB" w:rsidP="00202646">
            <w:pPr>
              <w:spacing w:before="80" w:line="280" w:lineRule="exact"/>
              <w:ind w:right="640"/>
              <w:rPr>
                <w:rFonts w:ascii="Tahoma" w:hAnsi="Tahoma" w:cs="Tahoma"/>
                <w:b/>
                <w:bCs/>
                <w:iCs/>
                <w:color w:val="243285"/>
                <w:sz w:val="32"/>
                <w:szCs w:val="32"/>
                <w:lang w:val="es-ES_tradnl"/>
              </w:rPr>
            </w:pPr>
          </w:p>
          <w:p w:rsidR="00B755DB" w:rsidRPr="00C64D72" w:rsidRDefault="00B755DB" w:rsidP="00202646">
            <w:pPr>
              <w:spacing w:before="80" w:line="280" w:lineRule="exact"/>
              <w:ind w:right="640"/>
              <w:rPr>
                <w:rFonts w:ascii="Tahoma" w:hAnsi="Tahoma" w:cs="Tahoma"/>
                <w:b/>
                <w:bCs/>
                <w:iCs/>
                <w:color w:val="243285"/>
                <w:sz w:val="32"/>
                <w:szCs w:val="32"/>
                <w:lang w:val="es-ES_tradnl"/>
              </w:rPr>
            </w:pPr>
          </w:p>
          <w:p w:rsidR="00B755DB" w:rsidRPr="00C64D72" w:rsidRDefault="00B755DB" w:rsidP="00202646">
            <w:pPr>
              <w:spacing w:before="80" w:after="180" w:line="360" w:lineRule="exact"/>
              <w:ind w:right="720"/>
              <w:rPr>
                <w:rFonts w:ascii="Tahoma" w:hAnsi="Tahoma" w:cs="Tahoma"/>
                <w:b/>
                <w:bCs/>
                <w:iCs/>
                <w:color w:val="243285"/>
                <w:sz w:val="36"/>
                <w:szCs w:val="36"/>
                <w:lang w:val="es-ES_tradnl"/>
              </w:rPr>
            </w:pPr>
          </w:p>
          <w:p w:rsidR="00B755DB" w:rsidRPr="00C64D72" w:rsidRDefault="00B755DB" w:rsidP="00B755DB">
            <w:pPr>
              <w:spacing w:before="80" w:after="180" w:line="360" w:lineRule="exact"/>
              <w:ind w:right="-57"/>
              <w:jc w:val="right"/>
              <w:rPr>
                <w:rFonts w:ascii="Tahoma" w:hAnsi="Tahoma" w:cs="Tahoma"/>
                <w:b/>
                <w:bCs/>
                <w:iCs/>
                <w:color w:val="243285"/>
                <w:sz w:val="36"/>
                <w:szCs w:val="36"/>
                <w:lang w:val="es-ES_tradnl"/>
              </w:rPr>
            </w:pPr>
            <w:r w:rsidRPr="00C64D72">
              <w:rPr>
                <w:rFonts w:ascii="Tahoma" w:hAnsi="Tahoma" w:cs="Tahoma"/>
                <w:b/>
                <w:bCs/>
                <w:iCs/>
                <w:color w:val="243285"/>
                <w:sz w:val="36"/>
                <w:szCs w:val="36"/>
                <w:lang w:val="es-ES_tradnl"/>
              </w:rPr>
              <w:t>Serie P</w:t>
            </w:r>
          </w:p>
          <w:p w:rsidR="00B755DB" w:rsidRPr="00C64D72" w:rsidRDefault="00B755DB" w:rsidP="00B755DB">
            <w:pPr>
              <w:spacing w:before="80" w:line="420" w:lineRule="exact"/>
              <w:ind w:right="-57"/>
              <w:jc w:val="right"/>
              <w:rPr>
                <w:rFonts w:ascii="Tahoma" w:hAnsi="Tahoma" w:cs="Tahoma"/>
                <w:b/>
                <w:bCs/>
                <w:iCs/>
                <w:color w:val="243285"/>
                <w:sz w:val="36"/>
                <w:szCs w:val="36"/>
                <w:lang w:val="es-ES_tradnl"/>
              </w:rPr>
            </w:pPr>
            <w:r w:rsidRPr="00C64D72">
              <w:rPr>
                <w:rFonts w:ascii="Tahoma" w:hAnsi="Tahoma" w:cs="Tahoma"/>
                <w:b/>
                <w:bCs/>
                <w:iCs/>
                <w:color w:val="243285"/>
                <w:sz w:val="36"/>
                <w:szCs w:val="36"/>
                <w:lang w:val="es-ES_tradnl"/>
              </w:rPr>
              <w:t>Propagación de las ondas radioeléctricas</w:t>
            </w:r>
          </w:p>
        </w:tc>
      </w:tr>
    </w:tbl>
    <w:p w:rsidR="00B755DB" w:rsidRPr="00C64D72" w:rsidRDefault="00B755DB" w:rsidP="00B755DB">
      <w:pPr>
        <w:spacing w:before="80"/>
        <w:rPr>
          <w:i/>
          <w:sz w:val="22"/>
          <w:lang w:val="es-ES_tradnl"/>
        </w:rPr>
      </w:pPr>
    </w:p>
    <w:p w:rsidR="00B755DB" w:rsidRPr="00C64D72" w:rsidRDefault="00B755DB" w:rsidP="00B755DB">
      <w:pPr>
        <w:spacing w:before="80"/>
        <w:rPr>
          <w:i/>
          <w:sz w:val="22"/>
          <w:lang w:val="es-ES_tradnl"/>
        </w:rPr>
      </w:pPr>
    </w:p>
    <w:p w:rsidR="00B755DB" w:rsidRPr="00C64D72" w:rsidRDefault="00B755DB" w:rsidP="00B755DB">
      <w:pPr>
        <w:spacing w:before="80"/>
        <w:rPr>
          <w:i/>
          <w:sz w:val="22"/>
          <w:lang w:val="es-ES_tradnl"/>
        </w:rPr>
      </w:pPr>
    </w:p>
    <w:p w:rsidR="00B755DB" w:rsidRPr="00C64D72" w:rsidRDefault="00B755DB" w:rsidP="00B755DB">
      <w:pPr>
        <w:spacing w:before="80"/>
        <w:rPr>
          <w:i/>
          <w:sz w:val="22"/>
          <w:lang w:val="es-ES_tradnl"/>
        </w:rPr>
      </w:pPr>
    </w:p>
    <w:p w:rsidR="00B755DB" w:rsidRPr="00C64D72" w:rsidRDefault="00B755DB" w:rsidP="00B755DB">
      <w:pPr>
        <w:spacing w:before="80"/>
        <w:rPr>
          <w:i/>
          <w:sz w:val="22"/>
          <w:lang w:val="es-ES_tradnl"/>
        </w:rPr>
      </w:pPr>
    </w:p>
    <w:p w:rsidR="00B755DB" w:rsidRPr="00C64D72" w:rsidRDefault="00B755DB" w:rsidP="00B755DB">
      <w:pPr>
        <w:spacing w:before="80"/>
        <w:rPr>
          <w:i/>
          <w:sz w:val="22"/>
          <w:lang w:val="es-ES_tradnl"/>
        </w:rPr>
      </w:pPr>
    </w:p>
    <w:p w:rsidR="00B755DB" w:rsidRPr="00C64D72" w:rsidRDefault="00B755DB" w:rsidP="00B755DB">
      <w:pPr>
        <w:pStyle w:val="Equation"/>
        <w:tabs>
          <w:tab w:val="clear" w:pos="4820"/>
          <w:tab w:val="clear" w:pos="9639"/>
          <w:tab w:val="left" w:pos="1191"/>
          <w:tab w:val="left" w:pos="1588"/>
          <w:tab w:val="left" w:pos="1985"/>
        </w:tabs>
        <w:rPr>
          <w:rFonts w:ascii="Palatino Linotype" w:hAnsi="Palatino Linotype"/>
          <w:lang w:val="es-ES_tradnl"/>
        </w:rPr>
        <w:sectPr w:rsidR="00B755DB" w:rsidRPr="00C64D72">
          <w:headerReference w:type="even" r:id="rId7"/>
          <w:headerReference w:type="default" r:id="rId8"/>
          <w:pgSz w:w="11907" w:h="16840" w:code="9"/>
          <w:pgMar w:top="1089" w:right="1089" w:bottom="284" w:left="1089" w:header="567" w:footer="284" w:gutter="0"/>
          <w:pgNumType w:start="1"/>
          <w:cols w:space="720"/>
        </w:sectPr>
      </w:pPr>
    </w:p>
    <w:p w:rsidR="00B755DB" w:rsidRPr="00C64D72" w:rsidRDefault="00B755DB" w:rsidP="00B755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C64D72">
        <w:rPr>
          <w:bCs/>
          <w:sz w:val="24"/>
          <w:szCs w:val="24"/>
          <w:lang w:val="es-ES_tradnl"/>
        </w:rPr>
        <w:lastRenderedPageBreak/>
        <w:t>Prólogo</w:t>
      </w:r>
    </w:p>
    <w:p w:rsidR="00B755DB" w:rsidRPr="00C64D72" w:rsidRDefault="00B755DB" w:rsidP="00B755DB">
      <w:pPr>
        <w:spacing w:before="180"/>
        <w:rPr>
          <w:sz w:val="20"/>
          <w:lang w:val="es-ES_tradnl"/>
        </w:rPr>
      </w:pPr>
      <w:r w:rsidRPr="00C64D7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755DB" w:rsidRPr="00C64D72" w:rsidRDefault="00B755DB" w:rsidP="00B755DB">
      <w:pPr>
        <w:rPr>
          <w:sz w:val="20"/>
          <w:lang w:val="es-ES_tradnl"/>
        </w:rPr>
      </w:pPr>
      <w:r w:rsidRPr="00C64D7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B755DB" w:rsidRPr="00C64D72" w:rsidRDefault="00B755DB" w:rsidP="00B755DB">
      <w:pPr>
        <w:pStyle w:val="Heading1"/>
        <w:spacing w:before="340"/>
        <w:jc w:val="center"/>
        <w:rPr>
          <w:szCs w:val="24"/>
          <w:lang w:val="es-ES_tradnl"/>
        </w:rPr>
      </w:pPr>
      <w:r w:rsidRPr="00C64D72">
        <w:rPr>
          <w:lang w:val="es-ES_tradnl"/>
        </w:rPr>
        <w:t>Política sobre Derechos de Propiedad Intelectual</w:t>
      </w:r>
      <w:r w:rsidRPr="00C64D72">
        <w:rPr>
          <w:szCs w:val="24"/>
          <w:lang w:val="es-ES_tradnl"/>
        </w:rPr>
        <w:t xml:space="preserve"> (IPR)</w:t>
      </w:r>
    </w:p>
    <w:p w:rsidR="00B755DB" w:rsidRPr="00C64D72" w:rsidRDefault="00B755DB" w:rsidP="00B755DB">
      <w:pPr>
        <w:spacing w:before="180"/>
        <w:rPr>
          <w:sz w:val="20"/>
          <w:lang w:val="es-ES_tradnl"/>
        </w:rPr>
      </w:pPr>
      <w:r w:rsidRPr="00C64D72">
        <w:rPr>
          <w:sz w:val="20"/>
          <w:lang w:val="es-ES_tradnl"/>
        </w:rPr>
        <w:t>La política del UIT</w:t>
      </w:r>
      <w:r w:rsidRPr="00C64D72">
        <w:rPr>
          <w:sz w:val="20"/>
          <w:lang w:val="es-ES_tradnl"/>
        </w:rPr>
        <w:noBreakHyphen/>
        <w:t>R sobre Derechos de Propiedad Intelectual se describe en la Política Común de Patentes UIT</w:t>
      </w:r>
      <w:r w:rsidRPr="00C64D72">
        <w:rPr>
          <w:sz w:val="20"/>
          <w:lang w:val="es-ES_tradnl"/>
        </w:rPr>
        <w:noBreakHyphen/>
        <w:t>T/UIT</w:t>
      </w:r>
      <w:r w:rsidRPr="00C64D72">
        <w:rPr>
          <w:sz w:val="20"/>
          <w:lang w:val="es-ES_tradnl"/>
        </w:rPr>
        <w:noBreakHyphen/>
        <w:t>R/ISO/CEI a la que se hace referencia en el Anexo 1 a la Resolución UIT</w:t>
      </w:r>
      <w:r w:rsidRPr="00C64D7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C64D72">
          <w:rPr>
            <w:rStyle w:val="Hyperlink"/>
            <w:sz w:val="20"/>
            <w:lang w:val="es-ES_tradnl"/>
          </w:rPr>
          <w:t>http://www.itu.int/ITU-R/go/patents/es</w:t>
        </w:r>
      </w:hyperlink>
      <w:r w:rsidRPr="00C64D72">
        <w:rPr>
          <w:sz w:val="20"/>
          <w:lang w:val="es-ES_tradnl"/>
        </w:rPr>
        <w:t>, donde también aparecen las Directrices para la implementación de la Política Común de Patentes UIT</w:t>
      </w:r>
      <w:r w:rsidRPr="00C64D72">
        <w:rPr>
          <w:sz w:val="20"/>
          <w:lang w:val="es-ES_tradnl"/>
        </w:rPr>
        <w:noBreakHyphen/>
        <w:t>T/UIT</w:t>
      </w:r>
      <w:r w:rsidRPr="00C64D72">
        <w:rPr>
          <w:sz w:val="20"/>
          <w:lang w:val="es-ES_tradnl"/>
        </w:rPr>
        <w:noBreakHyphen/>
        <w:t>R/ISO/CEI y la base de datos sobre información de patentes del UIT</w:t>
      </w:r>
      <w:r w:rsidRPr="00C64D72">
        <w:rPr>
          <w:sz w:val="20"/>
          <w:lang w:val="es-ES_tradnl"/>
        </w:rPr>
        <w:noBreakHyphen/>
        <w:t>R sobre este asunto.</w:t>
      </w:r>
    </w:p>
    <w:p w:rsidR="00B755DB" w:rsidRPr="00C64D72" w:rsidRDefault="00B755DB" w:rsidP="00B755DB">
      <w:pPr>
        <w:spacing w:before="0"/>
        <w:jc w:val="center"/>
        <w:rPr>
          <w:sz w:val="22"/>
          <w:lang w:val="es-ES_tradnl"/>
        </w:rPr>
      </w:pPr>
    </w:p>
    <w:p w:rsidR="00B755DB" w:rsidRPr="00C64D72" w:rsidRDefault="00B755DB" w:rsidP="00B755D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755DB" w:rsidRPr="00F12511" w:rsidTr="00202646">
        <w:tc>
          <w:tcPr>
            <w:tcW w:w="9360" w:type="dxa"/>
            <w:gridSpan w:val="2"/>
          </w:tcPr>
          <w:p w:rsidR="00B755DB" w:rsidRPr="00C64D72" w:rsidRDefault="00B755DB" w:rsidP="0020264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64D72">
              <w:rPr>
                <w:sz w:val="22"/>
                <w:szCs w:val="22"/>
                <w:lang w:val="es-ES_tradnl"/>
              </w:rPr>
              <w:t xml:space="preserve">Series de las Recomendaciones UIT-R </w:t>
            </w:r>
          </w:p>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64D72">
              <w:rPr>
                <w:b w:val="0"/>
                <w:sz w:val="18"/>
                <w:szCs w:val="18"/>
                <w:lang w:val="es-ES_tradnl"/>
              </w:rPr>
              <w:t xml:space="preserve">(También disponible en línea en </w:t>
            </w:r>
            <w:hyperlink r:id="rId10" w:history="1">
              <w:r w:rsidRPr="00C64D72">
                <w:rPr>
                  <w:rStyle w:val="Hyperlink"/>
                  <w:b w:val="0"/>
                  <w:bCs/>
                  <w:sz w:val="18"/>
                  <w:szCs w:val="18"/>
                  <w:lang w:val="es-ES_tradnl"/>
                </w:rPr>
                <w:t>http://www.itu.int/publ/R-REC/es</w:t>
              </w:r>
            </w:hyperlink>
            <w:r w:rsidRPr="00C64D72">
              <w:rPr>
                <w:b w:val="0"/>
                <w:bCs/>
                <w:sz w:val="18"/>
                <w:szCs w:val="18"/>
                <w:lang w:val="es-ES_tradnl"/>
              </w:rPr>
              <w:t>)</w:t>
            </w:r>
          </w:p>
        </w:tc>
      </w:tr>
      <w:tr w:rsidR="00B755DB" w:rsidRPr="00C64D72" w:rsidTr="00202646">
        <w:tc>
          <w:tcPr>
            <w:tcW w:w="1140" w:type="dxa"/>
            <w:tcBorders>
              <w:bottom w:val="nil"/>
            </w:tcBorders>
          </w:tcPr>
          <w:p w:rsidR="00B755DB" w:rsidRPr="00C64D72" w:rsidRDefault="00B755DB" w:rsidP="00202646">
            <w:pPr>
              <w:spacing w:before="180" w:after="100"/>
              <w:ind w:left="57"/>
              <w:rPr>
                <w:b/>
                <w:bCs/>
                <w:sz w:val="20"/>
                <w:lang w:val="es-ES_tradnl"/>
              </w:rPr>
            </w:pPr>
            <w:r w:rsidRPr="00C64D72">
              <w:rPr>
                <w:b/>
                <w:bCs/>
                <w:sz w:val="20"/>
                <w:lang w:val="es-ES_tradnl"/>
              </w:rPr>
              <w:t>Series</w:t>
            </w:r>
          </w:p>
        </w:tc>
        <w:tc>
          <w:tcPr>
            <w:tcW w:w="8220" w:type="dxa"/>
            <w:tcBorders>
              <w:bottom w:val="nil"/>
            </w:tcBorders>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64D72">
              <w:rPr>
                <w:bCs/>
                <w:sz w:val="20"/>
                <w:lang w:val="es-ES_tradnl"/>
              </w:rPr>
              <w:t>Título</w:t>
            </w:r>
          </w:p>
        </w:tc>
      </w:tr>
      <w:tr w:rsidR="00B755DB" w:rsidRPr="00C64D72" w:rsidTr="00202646">
        <w:tc>
          <w:tcPr>
            <w:tcW w:w="1140" w:type="dxa"/>
            <w:tcBorders>
              <w:top w:val="nil"/>
              <w:bottom w:val="nil"/>
            </w:tcBorders>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BO</w:t>
            </w:r>
          </w:p>
        </w:tc>
        <w:tc>
          <w:tcPr>
            <w:tcW w:w="8220" w:type="dxa"/>
            <w:tcBorders>
              <w:top w:val="nil"/>
              <w:bottom w:val="nil"/>
            </w:tcBorders>
            <w:shd w:val="clear" w:color="auto" w:fill="auto"/>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64D72">
              <w:rPr>
                <w:b w:val="0"/>
                <w:sz w:val="20"/>
                <w:lang w:val="es-ES_tradnl"/>
              </w:rPr>
              <w:t>Distribución por satélite</w:t>
            </w:r>
          </w:p>
        </w:tc>
      </w:tr>
      <w:tr w:rsidR="00B755DB" w:rsidRPr="00F12511" w:rsidTr="00202646">
        <w:tc>
          <w:tcPr>
            <w:tcW w:w="1140" w:type="dxa"/>
            <w:tcBorders>
              <w:top w:val="nil"/>
              <w:bottom w:val="nil"/>
            </w:tcBorders>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BR</w:t>
            </w:r>
          </w:p>
        </w:tc>
        <w:tc>
          <w:tcPr>
            <w:tcW w:w="8220" w:type="dxa"/>
            <w:tcBorders>
              <w:top w:val="nil"/>
              <w:bottom w:val="nil"/>
            </w:tcBorders>
            <w:shd w:val="clear" w:color="auto" w:fill="auto"/>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64D72">
              <w:rPr>
                <w:b w:val="0"/>
                <w:sz w:val="20"/>
                <w:lang w:val="es-ES_tradnl"/>
              </w:rPr>
              <w:t>Registro para producción, archivo y reproducción; películas en televisión</w:t>
            </w:r>
          </w:p>
        </w:tc>
      </w:tr>
      <w:tr w:rsidR="00B755DB" w:rsidRPr="00C64D72" w:rsidTr="00202646">
        <w:tc>
          <w:tcPr>
            <w:tcW w:w="1140" w:type="dxa"/>
            <w:tcBorders>
              <w:top w:val="nil"/>
              <w:bottom w:val="nil"/>
            </w:tcBorders>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BS</w:t>
            </w:r>
          </w:p>
        </w:tc>
        <w:tc>
          <w:tcPr>
            <w:tcW w:w="8220" w:type="dxa"/>
            <w:tcBorders>
              <w:top w:val="nil"/>
              <w:bottom w:val="nil"/>
            </w:tcBorders>
            <w:shd w:val="clear" w:color="auto" w:fill="auto"/>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64D72">
              <w:rPr>
                <w:b w:val="0"/>
                <w:bCs/>
                <w:sz w:val="20"/>
                <w:lang w:val="es-ES_tradnl"/>
              </w:rPr>
              <w:t>Servicio de radiodifusión (sonora)</w:t>
            </w:r>
          </w:p>
        </w:tc>
      </w:tr>
      <w:tr w:rsidR="00B755DB" w:rsidRPr="00C64D72" w:rsidTr="00202646">
        <w:tc>
          <w:tcPr>
            <w:tcW w:w="1140" w:type="dxa"/>
            <w:tcBorders>
              <w:top w:val="nil"/>
              <w:bottom w:val="nil"/>
            </w:tcBorders>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BT</w:t>
            </w:r>
          </w:p>
        </w:tc>
        <w:tc>
          <w:tcPr>
            <w:tcW w:w="8220" w:type="dxa"/>
            <w:tcBorders>
              <w:top w:val="nil"/>
              <w:bottom w:val="nil"/>
            </w:tcBorders>
            <w:shd w:val="clear" w:color="auto" w:fill="auto"/>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64D72">
              <w:rPr>
                <w:b w:val="0"/>
                <w:bCs/>
                <w:sz w:val="20"/>
                <w:lang w:val="es-ES_tradnl"/>
              </w:rPr>
              <w:t>Servicio de radiodifusión (televisión)</w:t>
            </w:r>
          </w:p>
        </w:tc>
      </w:tr>
      <w:tr w:rsidR="00B755DB" w:rsidRPr="00C64D72" w:rsidTr="00202646">
        <w:tc>
          <w:tcPr>
            <w:tcW w:w="1140" w:type="dxa"/>
            <w:tcBorders>
              <w:top w:val="nil"/>
              <w:bottom w:val="nil"/>
            </w:tcBorders>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F</w:t>
            </w:r>
          </w:p>
        </w:tc>
        <w:tc>
          <w:tcPr>
            <w:tcW w:w="8220" w:type="dxa"/>
            <w:tcBorders>
              <w:top w:val="nil"/>
              <w:bottom w:val="nil"/>
            </w:tcBorders>
            <w:shd w:val="clear" w:color="auto" w:fill="auto"/>
          </w:tcPr>
          <w:p w:rsidR="00B755DB" w:rsidRPr="00C64D72" w:rsidRDefault="00B755DB" w:rsidP="00202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C64D72">
              <w:rPr>
                <w:sz w:val="20"/>
                <w:lang w:val="es-ES_tradnl"/>
              </w:rPr>
              <w:t>Servicio fijo</w:t>
            </w:r>
          </w:p>
        </w:tc>
      </w:tr>
      <w:tr w:rsidR="00B755DB" w:rsidRPr="00F12511" w:rsidTr="00202646">
        <w:tc>
          <w:tcPr>
            <w:tcW w:w="1140" w:type="dxa"/>
            <w:tcBorders>
              <w:top w:val="nil"/>
              <w:bottom w:val="nil"/>
            </w:tcBorders>
            <w:shd w:val="clear" w:color="auto" w:fill="auto"/>
          </w:tcPr>
          <w:p w:rsidR="00B755DB" w:rsidRPr="00C64D72" w:rsidRDefault="00B755DB" w:rsidP="00202646">
            <w:pPr>
              <w:spacing w:before="30" w:after="30"/>
              <w:ind w:left="57"/>
              <w:jc w:val="left"/>
              <w:rPr>
                <w:rFonts w:hAnsi="Times New Roman Bold"/>
                <w:b/>
                <w:bCs/>
                <w:sz w:val="20"/>
                <w:lang w:val="es-ES_tradnl"/>
              </w:rPr>
            </w:pPr>
            <w:r w:rsidRPr="00C64D72">
              <w:rPr>
                <w:rFonts w:hAnsi="Times New Roman Bold"/>
                <w:b/>
                <w:bCs/>
                <w:sz w:val="20"/>
                <w:lang w:val="es-ES_tradnl"/>
              </w:rPr>
              <w:t>M</w:t>
            </w:r>
          </w:p>
        </w:tc>
        <w:tc>
          <w:tcPr>
            <w:tcW w:w="8220" w:type="dxa"/>
            <w:tcBorders>
              <w:top w:val="nil"/>
              <w:bottom w:val="nil"/>
            </w:tcBorders>
            <w:shd w:val="clear" w:color="auto" w:fill="auto"/>
          </w:tcPr>
          <w:p w:rsidR="00B755DB" w:rsidRPr="00C64D72" w:rsidRDefault="00B755DB" w:rsidP="00202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C64D72">
              <w:rPr>
                <w:rFonts w:hAnsi="Times New Roman Bold"/>
                <w:b w:val="0"/>
                <w:sz w:val="20"/>
                <w:lang w:val="es-ES_tradnl"/>
              </w:rPr>
              <w:t>Servicios m</w:t>
            </w:r>
            <w:r w:rsidRPr="00C64D72">
              <w:rPr>
                <w:rFonts w:hAnsi="Times New Roman Bold"/>
                <w:b w:val="0"/>
                <w:sz w:val="20"/>
                <w:lang w:val="es-ES_tradnl"/>
              </w:rPr>
              <w:t>ó</w:t>
            </w:r>
            <w:r w:rsidRPr="00C64D72">
              <w:rPr>
                <w:rFonts w:hAnsi="Times New Roman Bold"/>
                <w:b w:val="0"/>
                <w:sz w:val="20"/>
                <w:lang w:val="es-ES_tradnl"/>
              </w:rPr>
              <w:t>viles, de radiodeterminaci</w:t>
            </w:r>
            <w:r w:rsidRPr="00C64D72">
              <w:rPr>
                <w:rFonts w:hAnsi="Times New Roman Bold"/>
                <w:b w:val="0"/>
                <w:sz w:val="20"/>
                <w:lang w:val="es-ES_tradnl"/>
              </w:rPr>
              <w:t>ó</w:t>
            </w:r>
            <w:r w:rsidRPr="00C64D72">
              <w:rPr>
                <w:rFonts w:hAnsi="Times New Roman Bold"/>
                <w:b w:val="0"/>
                <w:sz w:val="20"/>
                <w:lang w:val="es-ES_tradnl"/>
              </w:rPr>
              <w:t>n, de aficionados y otros servicios por sat</w:t>
            </w:r>
            <w:r w:rsidRPr="00C64D72">
              <w:rPr>
                <w:rFonts w:hAnsi="Times New Roman Bold"/>
                <w:b w:val="0"/>
                <w:sz w:val="20"/>
                <w:lang w:val="es-ES_tradnl"/>
              </w:rPr>
              <w:t>é</w:t>
            </w:r>
            <w:r w:rsidRPr="00C64D72">
              <w:rPr>
                <w:rFonts w:hAnsi="Times New Roman Bold"/>
                <w:b w:val="0"/>
                <w:sz w:val="20"/>
                <w:lang w:val="es-ES_tradnl"/>
              </w:rPr>
              <w:t>lite conexos</w:t>
            </w:r>
          </w:p>
        </w:tc>
      </w:tr>
      <w:tr w:rsidR="00B755DB" w:rsidRPr="00F12511" w:rsidTr="00202646">
        <w:tc>
          <w:tcPr>
            <w:tcW w:w="1140" w:type="dxa"/>
            <w:tcBorders>
              <w:top w:val="nil"/>
              <w:bottom w:val="nil"/>
            </w:tcBorders>
            <w:shd w:val="clear" w:color="auto" w:fill="F3F3F3"/>
          </w:tcPr>
          <w:p w:rsidR="00B755DB" w:rsidRPr="00C64D72" w:rsidRDefault="00B755DB" w:rsidP="00202646">
            <w:pPr>
              <w:spacing w:before="30" w:after="30"/>
              <w:ind w:left="57"/>
              <w:jc w:val="left"/>
              <w:rPr>
                <w:b/>
                <w:bCs/>
                <w:color w:val="000080"/>
                <w:sz w:val="20"/>
                <w:lang w:val="es-ES_tradnl"/>
              </w:rPr>
            </w:pPr>
            <w:r w:rsidRPr="00C64D72">
              <w:rPr>
                <w:b/>
                <w:bCs/>
                <w:color w:val="000080"/>
                <w:sz w:val="20"/>
                <w:lang w:val="es-ES_tradnl"/>
              </w:rPr>
              <w:t>P</w:t>
            </w:r>
          </w:p>
        </w:tc>
        <w:tc>
          <w:tcPr>
            <w:tcW w:w="8220" w:type="dxa"/>
            <w:tcBorders>
              <w:top w:val="nil"/>
              <w:bottom w:val="nil"/>
            </w:tcBorders>
            <w:shd w:val="clear" w:color="auto" w:fill="F3F3F3"/>
          </w:tcPr>
          <w:p w:rsidR="00B755DB" w:rsidRPr="00C64D72" w:rsidRDefault="00B755DB" w:rsidP="00202646">
            <w:pPr>
              <w:spacing w:before="30" w:after="30"/>
              <w:jc w:val="left"/>
              <w:rPr>
                <w:b/>
                <w:bCs/>
                <w:color w:val="000080"/>
                <w:sz w:val="20"/>
                <w:lang w:val="es-ES_tradnl"/>
              </w:rPr>
            </w:pPr>
            <w:r w:rsidRPr="00C64D72">
              <w:rPr>
                <w:b/>
                <w:bCs/>
                <w:color w:val="000080"/>
                <w:sz w:val="20"/>
                <w:lang w:val="es-ES_tradnl"/>
              </w:rPr>
              <w:t>Propagación de las ondas radioeléctricas</w:t>
            </w:r>
          </w:p>
        </w:tc>
      </w:tr>
      <w:tr w:rsidR="00B755DB" w:rsidRPr="00C64D72" w:rsidTr="00202646">
        <w:tc>
          <w:tcPr>
            <w:tcW w:w="1140" w:type="dxa"/>
            <w:tcBorders>
              <w:top w:val="nil"/>
            </w:tcBorders>
          </w:tcPr>
          <w:p w:rsidR="00B755DB" w:rsidRPr="00C64D72" w:rsidRDefault="00B755DB" w:rsidP="00202646">
            <w:pPr>
              <w:spacing w:before="30" w:after="30"/>
              <w:ind w:left="57"/>
              <w:jc w:val="left"/>
              <w:rPr>
                <w:b/>
                <w:bCs/>
                <w:sz w:val="20"/>
                <w:lang w:val="es-ES_tradnl"/>
              </w:rPr>
            </w:pPr>
            <w:r w:rsidRPr="00C64D72">
              <w:rPr>
                <w:b/>
                <w:bCs/>
                <w:sz w:val="20"/>
                <w:lang w:val="es-ES_tradnl"/>
              </w:rPr>
              <w:t>RA</w:t>
            </w:r>
          </w:p>
        </w:tc>
        <w:tc>
          <w:tcPr>
            <w:tcW w:w="8220" w:type="dxa"/>
            <w:tcBorders>
              <w:top w:val="nil"/>
            </w:tcBorders>
          </w:tcPr>
          <w:p w:rsidR="00B755DB" w:rsidRPr="00C64D72" w:rsidRDefault="00B755DB" w:rsidP="00202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64D72">
              <w:rPr>
                <w:bCs/>
                <w:sz w:val="20"/>
                <w:lang w:val="es-ES_tradnl"/>
              </w:rPr>
              <w:t>Radioastronomía</w:t>
            </w:r>
          </w:p>
        </w:tc>
      </w:tr>
      <w:tr w:rsidR="00B755DB" w:rsidRPr="00F12511"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RS</w:t>
            </w:r>
          </w:p>
        </w:tc>
        <w:tc>
          <w:tcPr>
            <w:tcW w:w="8220" w:type="dxa"/>
          </w:tcPr>
          <w:p w:rsidR="00B755DB" w:rsidRPr="00C64D72" w:rsidRDefault="00B755DB" w:rsidP="00202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64D72">
              <w:rPr>
                <w:bCs/>
                <w:sz w:val="20"/>
                <w:lang w:val="es-ES_tradnl"/>
              </w:rPr>
              <w:t>Sistemas de detección a distancia</w:t>
            </w:r>
          </w:p>
        </w:tc>
      </w:tr>
      <w:tr w:rsidR="00B755DB" w:rsidRPr="00C64D72"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S</w:t>
            </w:r>
          </w:p>
        </w:tc>
        <w:tc>
          <w:tcPr>
            <w:tcW w:w="8220" w:type="dxa"/>
          </w:tcPr>
          <w:p w:rsidR="00B755DB" w:rsidRPr="00C64D72" w:rsidRDefault="00B755DB" w:rsidP="00202646">
            <w:pPr>
              <w:spacing w:before="30" w:after="30"/>
              <w:jc w:val="left"/>
              <w:rPr>
                <w:bCs/>
                <w:sz w:val="20"/>
                <w:lang w:val="es-ES_tradnl"/>
              </w:rPr>
            </w:pPr>
            <w:r w:rsidRPr="00C64D72">
              <w:rPr>
                <w:bCs/>
                <w:sz w:val="20"/>
                <w:lang w:val="es-ES_tradnl"/>
              </w:rPr>
              <w:t>Servicio fijo por satélite</w:t>
            </w:r>
          </w:p>
        </w:tc>
      </w:tr>
      <w:tr w:rsidR="00B755DB" w:rsidRPr="00C64D72"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SA</w:t>
            </w:r>
          </w:p>
        </w:tc>
        <w:tc>
          <w:tcPr>
            <w:tcW w:w="8220" w:type="dxa"/>
          </w:tcPr>
          <w:p w:rsidR="00B755DB" w:rsidRPr="00C64D72" w:rsidRDefault="00B755DB" w:rsidP="00202646">
            <w:pPr>
              <w:spacing w:before="30" w:after="30"/>
              <w:jc w:val="left"/>
              <w:rPr>
                <w:bCs/>
                <w:sz w:val="20"/>
                <w:lang w:val="es-ES_tradnl"/>
              </w:rPr>
            </w:pPr>
            <w:r w:rsidRPr="00C64D72">
              <w:rPr>
                <w:bCs/>
                <w:sz w:val="20"/>
                <w:lang w:val="es-ES_tradnl"/>
              </w:rPr>
              <w:t>Aplicaciones espaciales y meteorología</w:t>
            </w:r>
          </w:p>
        </w:tc>
      </w:tr>
      <w:tr w:rsidR="00B755DB" w:rsidRPr="00F12511"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SF</w:t>
            </w:r>
          </w:p>
        </w:tc>
        <w:tc>
          <w:tcPr>
            <w:tcW w:w="8220" w:type="dxa"/>
          </w:tcPr>
          <w:p w:rsidR="00B755DB" w:rsidRPr="00C64D72" w:rsidRDefault="00B755DB" w:rsidP="00202646">
            <w:pPr>
              <w:spacing w:before="30" w:after="30"/>
              <w:jc w:val="left"/>
              <w:rPr>
                <w:bCs/>
                <w:sz w:val="20"/>
                <w:lang w:val="es-ES_tradnl"/>
              </w:rPr>
            </w:pPr>
            <w:r w:rsidRPr="00C64D72">
              <w:rPr>
                <w:bCs/>
                <w:sz w:val="20"/>
                <w:lang w:val="es-ES_tradnl"/>
              </w:rPr>
              <w:t>Compartición de frecuencias y coordinación entre los sistemas del servicio fijo por satélite y del servicio fijo</w:t>
            </w:r>
          </w:p>
        </w:tc>
      </w:tr>
      <w:tr w:rsidR="00B755DB" w:rsidRPr="00C64D72" w:rsidTr="00202646">
        <w:tc>
          <w:tcPr>
            <w:tcW w:w="1140" w:type="dxa"/>
            <w:shd w:val="clear" w:color="auto" w:fill="auto"/>
          </w:tcPr>
          <w:p w:rsidR="00B755DB" w:rsidRPr="00C64D72" w:rsidRDefault="00B755DB" w:rsidP="00202646">
            <w:pPr>
              <w:spacing w:before="30" w:after="30"/>
              <w:ind w:left="57"/>
              <w:jc w:val="left"/>
              <w:rPr>
                <w:b/>
                <w:bCs/>
                <w:sz w:val="20"/>
                <w:lang w:val="es-ES_tradnl"/>
              </w:rPr>
            </w:pPr>
            <w:r w:rsidRPr="00C64D72">
              <w:rPr>
                <w:b/>
                <w:bCs/>
                <w:sz w:val="20"/>
                <w:lang w:val="es-ES_tradnl"/>
              </w:rPr>
              <w:t>SM</w:t>
            </w:r>
          </w:p>
        </w:tc>
        <w:tc>
          <w:tcPr>
            <w:tcW w:w="8220" w:type="dxa"/>
            <w:shd w:val="clear" w:color="auto" w:fill="auto"/>
          </w:tcPr>
          <w:p w:rsidR="00B755DB" w:rsidRPr="00C64D72" w:rsidRDefault="00B755DB" w:rsidP="00202646">
            <w:pPr>
              <w:spacing w:before="30" w:after="30"/>
              <w:jc w:val="left"/>
              <w:rPr>
                <w:sz w:val="20"/>
                <w:lang w:val="es-ES_tradnl"/>
              </w:rPr>
            </w:pPr>
            <w:r w:rsidRPr="00C64D72">
              <w:rPr>
                <w:sz w:val="20"/>
                <w:lang w:val="es-ES_tradnl"/>
              </w:rPr>
              <w:t>Gestión del espectro</w:t>
            </w:r>
          </w:p>
        </w:tc>
      </w:tr>
      <w:tr w:rsidR="00B755DB" w:rsidRPr="00C64D72"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SNG</w:t>
            </w:r>
          </w:p>
        </w:tc>
        <w:tc>
          <w:tcPr>
            <w:tcW w:w="8220" w:type="dxa"/>
          </w:tcPr>
          <w:p w:rsidR="00B755DB" w:rsidRPr="00C64D72" w:rsidRDefault="00B755DB" w:rsidP="00202646">
            <w:pPr>
              <w:spacing w:before="30" w:after="30"/>
              <w:jc w:val="left"/>
              <w:rPr>
                <w:bCs/>
                <w:sz w:val="20"/>
                <w:lang w:val="es-ES_tradnl"/>
              </w:rPr>
            </w:pPr>
            <w:r w:rsidRPr="00C64D72">
              <w:rPr>
                <w:bCs/>
                <w:sz w:val="20"/>
                <w:lang w:val="es-ES_tradnl"/>
              </w:rPr>
              <w:t>Periodismo electrónico por satélite</w:t>
            </w:r>
          </w:p>
        </w:tc>
      </w:tr>
      <w:tr w:rsidR="00B755DB" w:rsidRPr="00F12511"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TF</w:t>
            </w:r>
          </w:p>
        </w:tc>
        <w:tc>
          <w:tcPr>
            <w:tcW w:w="8220" w:type="dxa"/>
          </w:tcPr>
          <w:p w:rsidR="00B755DB" w:rsidRPr="00C64D72" w:rsidRDefault="00B755DB" w:rsidP="00202646">
            <w:pPr>
              <w:spacing w:before="30" w:after="30"/>
              <w:jc w:val="left"/>
              <w:rPr>
                <w:bCs/>
                <w:sz w:val="20"/>
                <w:lang w:val="es-ES_tradnl"/>
              </w:rPr>
            </w:pPr>
            <w:r w:rsidRPr="00C64D72">
              <w:rPr>
                <w:bCs/>
                <w:sz w:val="20"/>
                <w:lang w:val="es-ES_tradnl"/>
              </w:rPr>
              <w:t>Emisiones de frecuencias patrón y señales horarias</w:t>
            </w:r>
          </w:p>
        </w:tc>
      </w:tr>
      <w:tr w:rsidR="00B755DB" w:rsidRPr="00C64D72" w:rsidTr="00202646">
        <w:tc>
          <w:tcPr>
            <w:tcW w:w="1140" w:type="dxa"/>
          </w:tcPr>
          <w:p w:rsidR="00B755DB" w:rsidRPr="00C64D72" w:rsidRDefault="00B755DB" w:rsidP="00202646">
            <w:pPr>
              <w:spacing w:before="30" w:after="30"/>
              <w:ind w:left="57"/>
              <w:jc w:val="left"/>
              <w:rPr>
                <w:b/>
                <w:bCs/>
                <w:sz w:val="20"/>
                <w:lang w:val="es-ES_tradnl"/>
              </w:rPr>
            </w:pPr>
            <w:r w:rsidRPr="00C64D72">
              <w:rPr>
                <w:b/>
                <w:bCs/>
                <w:sz w:val="20"/>
                <w:lang w:val="es-ES_tradnl"/>
              </w:rPr>
              <w:t>V</w:t>
            </w:r>
          </w:p>
        </w:tc>
        <w:tc>
          <w:tcPr>
            <w:tcW w:w="8220" w:type="dxa"/>
          </w:tcPr>
          <w:p w:rsidR="00B755DB" w:rsidRPr="00C64D72" w:rsidRDefault="00B755DB" w:rsidP="00202646">
            <w:pPr>
              <w:spacing w:before="30" w:after="140"/>
              <w:jc w:val="left"/>
              <w:rPr>
                <w:bCs/>
                <w:sz w:val="20"/>
                <w:lang w:val="es-ES_tradnl"/>
              </w:rPr>
            </w:pPr>
            <w:r w:rsidRPr="00C64D72">
              <w:rPr>
                <w:bCs/>
                <w:sz w:val="20"/>
                <w:lang w:val="es-ES_tradnl"/>
              </w:rPr>
              <w:t>Vocabulario y cuestiones afines</w:t>
            </w:r>
          </w:p>
        </w:tc>
      </w:tr>
    </w:tbl>
    <w:p w:rsidR="00B755DB" w:rsidRPr="00C64D72" w:rsidRDefault="00B755DB" w:rsidP="00B755D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755DB" w:rsidRPr="00C64D72" w:rsidTr="00202646">
        <w:tc>
          <w:tcPr>
            <w:tcW w:w="720" w:type="dxa"/>
          </w:tcPr>
          <w:p w:rsidR="00B755DB" w:rsidRPr="00C64D72" w:rsidRDefault="00B755DB" w:rsidP="0020264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755DB" w:rsidRPr="00F12511" w:rsidTr="00202646">
        <w:tc>
          <w:tcPr>
            <w:tcW w:w="9360" w:type="dxa"/>
          </w:tcPr>
          <w:p w:rsidR="00B755DB" w:rsidRPr="00C64D72" w:rsidRDefault="00B755DB" w:rsidP="00202646">
            <w:pPr>
              <w:spacing w:before="92" w:after="92"/>
              <w:jc w:val="left"/>
              <w:rPr>
                <w:i/>
                <w:iCs/>
                <w:sz w:val="20"/>
                <w:lang w:val="es-ES_tradnl"/>
              </w:rPr>
            </w:pPr>
            <w:r w:rsidRPr="00C64D72">
              <w:rPr>
                <w:b/>
                <w:bCs/>
                <w:i/>
                <w:iCs/>
                <w:sz w:val="20"/>
                <w:lang w:val="es-ES_tradnl"/>
              </w:rPr>
              <w:t>Nota</w:t>
            </w:r>
            <w:r w:rsidRPr="00C64D72">
              <w:rPr>
                <w:i/>
                <w:iCs/>
                <w:sz w:val="20"/>
                <w:lang w:val="es-ES_tradnl"/>
              </w:rPr>
              <w:t xml:space="preserve">: Esta Recomendación UIT-R fue aprobada en inglés conforme al procedimiento detallado en la </w:t>
            </w:r>
            <w:r w:rsidRPr="00C64D72">
              <w:rPr>
                <w:i/>
                <w:iCs/>
                <w:sz w:val="20"/>
                <w:lang w:val="es-ES_tradnl"/>
              </w:rPr>
              <w:br/>
              <w:t>Resolución UIT-R 1.</w:t>
            </w:r>
          </w:p>
        </w:tc>
      </w:tr>
    </w:tbl>
    <w:p w:rsidR="00B755DB" w:rsidRPr="00C64D72" w:rsidRDefault="00B755DB" w:rsidP="00B755DB">
      <w:pPr>
        <w:spacing w:before="0"/>
        <w:jc w:val="center"/>
        <w:rPr>
          <w:sz w:val="22"/>
          <w:lang w:val="es-ES_tradnl"/>
        </w:rPr>
      </w:pPr>
    </w:p>
    <w:p w:rsidR="00B755DB" w:rsidRPr="00C64D72" w:rsidRDefault="00B755DB" w:rsidP="00B755DB">
      <w:pPr>
        <w:spacing w:before="60"/>
        <w:jc w:val="right"/>
        <w:rPr>
          <w:i/>
          <w:iCs/>
          <w:sz w:val="20"/>
          <w:lang w:val="es-ES_tradnl"/>
        </w:rPr>
      </w:pPr>
      <w:r w:rsidRPr="00C64D72">
        <w:rPr>
          <w:i/>
          <w:iCs/>
          <w:sz w:val="20"/>
          <w:lang w:val="es-ES_tradnl"/>
        </w:rPr>
        <w:t>Publicación electrónica</w:t>
      </w:r>
    </w:p>
    <w:p w:rsidR="00B755DB" w:rsidRPr="00C64D72" w:rsidRDefault="00B755DB" w:rsidP="00B755DB">
      <w:pPr>
        <w:spacing w:before="0" w:after="40"/>
        <w:jc w:val="right"/>
        <w:rPr>
          <w:sz w:val="20"/>
          <w:lang w:val="es-ES_tradnl"/>
        </w:rPr>
      </w:pPr>
      <w:r w:rsidRPr="00C64D72">
        <w:rPr>
          <w:sz w:val="20"/>
          <w:lang w:val="es-ES_tradnl"/>
        </w:rPr>
        <w:t>Ginebra, 2016</w:t>
      </w:r>
    </w:p>
    <w:p w:rsidR="00B755DB" w:rsidRPr="00C64D72" w:rsidRDefault="00B755DB" w:rsidP="00B755DB">
      <w:pPr>
        <w:spacing w:before="0"/>
        <w:jc w:val="center"/>
        <w:rPr>
          <w:sz w:val="22"/>
          <w:lang w:val="es-ES_tradnl"/>
        </w:rPr>
      </w:pPr>
    </w:p>
    <w:p w:rsidR="00B755DB" w:rsidRPr="00C64D72" w:rsidRDefault="00B755DB" w:rsidP="00B755DB">
      <w:pPr>
        <w:spacing w:before="0"/>
        <w:jc w:val="center"/>
        <w:rPr>
          <w:sz w:val="20"/>
          <w:lang w:val="es-ES_tradnl"/>
        </w:rPr>
      </w:pPr>
      <w:r w:rsidRPr="00C64D72">
        <w:rPr>
          <w:sz w:val="20"/>
          <w:lang w:val="es-ES_tradnl"/>
        </w:rPr>
        <w:sym w:font="Symbol" w:char="F0E3"/>
      </w:r>
      <w:r w:rsidRPr="00C64D72">
        <w:rPr>
          <w:sz w:val="20"/>
          <w:lang w:val="es-ES_tradnl"/>
        </w:rPr>
        <w:t xml:space="preserve"> UIT </w:t>
      </w:r>
      <w:bookmarkStart w:id="2" w:name="iiannee"/>
      <w:bookmarkEnd w:id="2"/>
      <w:r w:rsidRPr="00C64D72">
        <w:rPr>
          <w:sz w:val="20"/>
          <w:lang w:val="es-ES_tradnl"/>
        </w:rPr>
        <w:t>2016</w:t>
      </w:r>
    </w:p>
    <w:p w:rsidR="00B755DB" w:rsidRPr="00C64D72" w:rsidRDefault="00B755DB" w:rsidP="00B755DB">
      <w:pPr>
        <w:spacing w:before="80"/>
        <w:rPr>
          <w:sz w:val="18"/>
          <w:szCs w:val="18"/>
          <w:lang w:val="es-ES_tradnl"/>
        </w:rPr>
      </w:pPr>
      <w:r w:rsidRPr="00C64D72">
        <w:rPr>
          <w:sz w:val="18"/>
          <w:szCs w:val="18"/>
          <w:lang w:val="es-ES_tradnl"/>
        </w:rPr>
        <w:t>Reservados todos los derechos. Ninguna parte de esta publicación puede reproducirse por ningún procedimiento sin previa autorización escrita por parte de la UIT.</w:t>
      </w:r>
    </w:p>
    <w:p w:rsidR="00B755DB" w:rsidRPr="00C64D72" w:rsidRDefault="00B755DB" w:rsidP="00B755DB">
      <w:pPr>
        <w:spacing w:before="160"/>
        <w:rPr>
          <w:i/>
          <w:sz w:val="20"/>
          <w:highlight w:val="yellow"/>
          <w:lang w:val="es-ES_tradnl"/>
        </w:rPr>
        <w:sectPr w:rsidR="00B755DB" w:rsidRPr="00C64D72" w:rsidSect="00202646">
          <w:headerReference w:type="even" r:id="rId11"/>
          <w:headerReference w:type="default" r:id="rId12"/>
          <w:pgSz w:w="11907" w:h="16834" w:code="9"/>
          <w:pgMar w:top="1418" w:right="1134" w:bottom="1134" w:left="1134" w:header="720" w:footer="482" w:gutter="0"/>
          <w:pgNumType w:fmt="lowerRoman" w:start="2"/>
          <w:cols w:space="720"/>
        </w:sectPr>
      </w:pPr>
    </w:p>
    <w:p w:rsidR="00B755DB" w:rsidRPr="00C64D72" w:rsidRDefault="00B755DB" w:rsidP="00B755DB">
      <w:pPr>
        <w:pStyle w:val="RecNo"/>
        <w:spacing w:before="0"/>
        <w:rPr>
          <w:lang w:val="es-ES_tradnl"/>
        </w:rPr>
      </w:pPr>
      <w:bookmarkStart w:id="3" w:name="irecnoe"/>
      <w:bookmarkEnd w:id="3"/>
      <w:r w:rsidRPr="00C64D72">
        <w:rPr>
          <w:lang w:val="es-ES_tradnl"/>
        </w:rPr>
        <w:t xml:space="preserve">RECOMENDACIÓN  </w:t>
      </w:r>
      <w:r w:rsidRPr="00C64D72">
        <w:rPr>
          <w:rStyle w:val="href"/>
          <w:lang w:val="es-ES_tradnl"/>
        </w:rPr>
        <w:t>UIT-R  P.1321-5</w:t>
      </w:r>
    </w:p>
    <w:p w:rsidR="00B755DB" w:rsidRPr="00C64D72" w:rsidRDefault="00B755DB" w:rsidP="00B755DB">
      <w:pPr>
        <w:pStyle w:val="Rectitle"/>
        <w:rPr>
          <w:lang w:val="es-ES_tradnl"/>
        </w:rPr>
      </w:pPr>
      <w:r w:rsidRPr="00C64D72">
        <w:rPr>
          <w:lang w:val="es-ES_tradnl"/>
        </w:rPr>
        <w:t>Factores de propagación que afectan a los sistemas con técnicas</w:t>
      </w:r>
      <w:r w:rsidRPr="00C64D72">
        <w:rPr>
          <w:lang w:val="es-ES_tradnl"/>
        </w:rPr>
        <w:br/>
        <w:t>de modulación digital en ondas kilométricas y hectométricas</w:t>
      </w:r>
    </w:p>
    <w:p w:rsidR="00B755DB" w:rsidRPr="00C64D72" w:rsidRDefault="00B755DB" w:rsidP="00B755DB">
      <w:pPr>
        <w:pStyle w:val="Recref"/>
        <w:rPr>
          <w:lang w:val="es-ES_tradnl"/>
        </w:rPr>
      </w:pPr>
      <w:r w:rsidRPr="00C64D72">
        <w:rPr>
          <w:lang w:val="es-ES_tradnl"/>
        </w:rPr>
        <w:t>(Cuestión UIT-R 225/3)</w:t>
      </w:r>
    </w:p>
    <w:p w:rsidR="00B755DB" w:rsidRPr="00C64D72" w:rsidRDefault="00B755DB" w:rsidP="00B755DB">
      <w:pPr>
        <w:pStyle w:val="Recdate"/>
        <w:rPr>
          <w:lang w:val="es-ES_tradnl"/>
        </w:rPr>
      </w:pPr>
      <w:r w:rsidRPr="00C64D72">
        <w:rPr>
          <w:lang w:val="es-ES_tradnl"/>
        </w:rPr>
        <w:t>(1997-2005-2007-2009-2013-2015)</w:t>
      </w:r>
    </w:p>
    <w:p w:rsidR="00B755DB" w:rsidRPr="00C64D72" w:rsidRDefault="00B755DB" w:rsidP="00B755DB">
      <w:pPr>
        <w:pStyle w:val="HeadingSum"/>
      </w:pPr>
      <w:r w:rsidRPr="00C64D72">
        <w:t>Cometido</w:t>
      </w:r>
    </w:p>
    <w:p w:rsidR="00B755DB" w:rsidRPr="00C64D72" w:rsidRDefault="00B755DB" w:rsidP="00B755DB">
      <w:pPr>
        <w:pStyle w:val="Summary"/>
      </w:pPr>
      <w:r w:rsidRPr="00C64D72">
        <w:t>La presente Recomendación facilita información sobre las características de propagación de las ondas de superficie y las ondas ionosféricas en bandas de ondas kilométricas y hectométricas que pueden afectar la utilización de métodos de modulación digital en esas bandas.</w:t>
      </w:r>
    </w:p>
    <w:p w:rsidR="00B755DB" w:rsidRPr="00C64D72" w:rsidRDefault="00B755DB" w:rsidP="00B755DB">
      <w:pPr>
        <w:pStyle w:val="Headingb"/>
        <w:rPr>
          <w:lang w:val="es-ES_tradnl"/>
        </w:rPr>
      </w:pPr>
      <w:r w:rsidRPr="00C64D72">
        <w:rPr>
          <w:lang w:val="es-ES_tradnl"/>
        </w:rPr>
        <w:t>Palabras clave</w:t>
      </w:r>
    </w:p>
    <w:p w:rsidR="00B755DB" w:rsidRPr="00C64D72" w:rsidRDefault="00B755DB" w:rsidP="00B755DB">
      <w:pPr>
        <w:spacing w:after="480"/>
        <w:rPr>
          <w:lang w:val="es-ES_tradnl"/>
        </w:rPr>
      </w:pPr>
      <w:r w:rsidRPr="00C64D72">
        <w:rPr>
          <w:lang w:val="es-ES_tradnl"/>
        </w:rPr>
        <w:t>Propagación en ondas kilométricas; variación estacional</w:t>
      </w:r>
    </w:p>
    <w:p w:rsidR="00B755DB" w:rsidRPr="00C64D72" w:rsidRDefault="00B755DB" w:rsidP="00B755DB">
      <w:pPr>
        <w:pStyle w:val="Normalaftertitle"/>
        <w:rPr>
          <w:lang w:val="es-ES_tradnl"/>
        </w:rPr>
      </w:pPr>
      <w:r w:rsidRPr="00C64D72">
        <w:rPr>
          <w:lang w:val="es-ES_tradnl"/>
        </w:rPr>
        <w:t>La Asamblea de Radiocomunicaciones de la UIT,</w:t>
      </w:r>
    </w:p>
    <w:p w:rsidR="00B755DB" w:rsidRPr="00C64D72" w:rsidRDefault="00B755DB" w:rsidP="00B755DB">
      <w:pPr>
        <w:pStyle w:val="Call"/>
        <w:rPr>
          <w:lang w:val="es-ES_tradnl"/>
        </w:rPr>
      </w:pPr>
      <w:r w:rsidRPr="00C64D72">
        <w:rPr>
          <w:lang w:val="es-ES_tradnl"/>
        </w:rPr>
        <w:t>considerando</w:t>
      </w:r>
    </w:p>
    <w:p w:rsidR="00B755DB" w:rsidRPr="00C64D72" w:rsidRDefault="00B755DB" w:rsidP="00B755DB">
      <w:pPr>
        <w:rPr>
          <w:lang w:val="es-ES_tradnl"/>
        </w:rPr>
      </w:pPr>
      <w:r w:rsidRPr="00C64D72">
        <w:rPr>
          <w:i/>
          <w:iCs/>
          <w:lang w:val="es-ES_tradnl"/>
        </w:rPr>
        <w:t>a)</w:t>
      </w:r>
      <w:r w:rsidRPr="00C64D72">
        <w:rPr>
          <w:lang w:val="es-ES_tradnl"/>
        </w:rPr>
        <w:tab/>
        <w:t>que los métodos de modulación digital en ondas kilométricas y hectométricas se estudian actualmente;</w:t>
      </w:r>
    </w:p>
    <w:p w:rsidR="00B755DB" w:rsidRPr="00C64D72" w:rsidRDefault="00B755DB" w:rsidP="00B755DB">
      <w:pPr>
        <w:rPr>
          <w:lang w:val="es-ES_tradnl"/>
        </w:rPr>
      </w:pPr>
      <w:r w:rsidRPr="00C64D72">
        <w:rPr>
          <w:i/>
          <w:iCs/>
          <w:lang w:val="es-ES_tradnl"/>
        </w:rPr>
        <w:t>b)</w:t>
      </w:r>
      <w:r w:rsidRPr="00C64D72">
        <w:rPr>
          <w:lang w:val="es-ES_tradnl"/>
        </w:rPr>
        <w:tab/>
        <w:t>que se requiere información sobre las características de propagación en dichas frecuencias al elaborar métodos de modulación,</w:t>
      </w:r>
    </w:p>
    <w:p w:rsidR="00B755DB" w:rsidRPr="00C64D72" w:rsidRDefault="00B755DB" w:rsidP="00B755DB">
      <w:pPr>
        <w:pStyle w:val="Call"/>
        <w:rPr>
          <w:lang w:val="es-ES_tradnl"/>
        </w:rPr>
      </w:pPr>
      <w:r w:rsidRPr="00C64D72">
        <w:rPr>
          <w:lang w:val="es-ES_tradnl"/>
        </w:rPr>
        <w:t>recomienda</w:t>
      </w:r>
    </w:p>
    <w:p w:rsidR="00B755DB" w:rsidRPr="00C64D72" w:rsidRDefault="00B755DB" w:rsidP="00B755DB">
      <w:pPr>
        <w:rPr>
          <w:lang w:val="es-ES_tradnl"/>
        </w:rPr>
      </w:pPr>
      <w:r w:rsidRPr="00C64D72">
        <w:rPr>
          <w:lang w:val="es-ES_tradnl"/>
        </w:rPr>
        <w:t>tomar en consideración la información presentada en el Anexo 1 al elaborar métodos de modulación digital para la radiodifusión en ondas kilométricas y hectométricas.</w:t>
      </w:r>
    </w:p>
    <w:p w:rsidR="00B755DB" w:rsidRPr="00C64D72" w:rsidRDefault="00B755DB" w:rsidP="00B755DB">
      <w:pPr>
        <w:rPr>
          <w:lang w:val="es-ES_tradnl"/>
        </w:rPr>
      </w:pPr>
    </w:p>
    <w:p w:rsidR="00B755DB" w:rsidRPr="00C64D72" w:rsidRDefault="00B755DB" w:rsidP="00B755DB">
      <w:pPr>
        <w:rPr>
          <w:lang w:val="es-ES_tradnl"/>
        </w:rPr>
      </w:pPr>
    </w:p>
    <w:p w:rsidR="00B755DB" w:rsidRPr="00C64D72" w:rsidRDefault="00B755DB" w:rsidP="00B755DB">
      <w:pPr>
        <w:pStyle w:val="AnnexNoTitle"/>
        <w:rPr>
          <w:lang w:val="es-ES_tradnl"/>
        </w:rPr>
      </w:pPr>
      <w:bookmarkStart w:id="4" w:name="_Toc107989865"/>
      <w:r w:rsidRPr="00C64D72">
        <w:rPr>
          <w:lang w:val="es-ES_tradnl"/>
        </w:rPr>
        <w:t>Anexo 1</w:t>
      </w:r>
      <w:bookmarkEnd w:id="4"/>
    </w:p>
    <w:p w:rsidR="00B755DB" w:rsidRPr="00C64D72" w:rsidRDefault="00B755DB" w:rsidP="00B755DB">
      <w:pPr>
        <w:pStyle w:val="Heading1"/>
        <w:rPr>
          <w:lang w:val="es-ES_tradnl"/>
        </w:rPr>
      </w:pPr>
      <w:bookmarkStart w:id="5" w:name="_Toc398369176"/>
      <w:bookmarkStart w:id="6" w:name="_Toc107989866"/>
      <w:r w:rsidRPr="00C64D72">
        <w:rPr>
          <w:lang w:val="es-ES_tradnl"/>
        </w:rPr>
        <w:t>1</w:t>
      </w:r>
      <w:r w:rsidRPr="00C64D72">
        <w:rPr>
          <w:lang w:val="es-ES_tradnl"/>
        </w:rPr>
        <w:tab/>
        <w:t>Introducción</w:t>
      </w:r>
      <w:bookmarkEnd w:id="5"/>
      <w:bookmarkEnd w:id="6"/>
    </w:p>
    <w:p w:rsidR="00B755DB" w:rsidRPr="00C64D72" w:rsidRDefault="00B755DB" w:rsidP="00A97800">
      <w:pPr>
        <w:rPr>
          <w:lang w:val="es-ES_tradnl"/>
        </w:rPr>
      </w:pPr>
      <w:r w:rsidRPr="00C64D72">
        <w:rPr>
          <w:lang w:val="es-ES_tradnl"/>
        </w:rPr>
        <w:t>La mayoría de los servicios de radiodifusión que utilizan bandas de ondas kilométricas y hectométricas se basan en las características del modo de propagación de las ondas de superficie (véase la Recomendación UIT-R P.368). El margen de cobertura, en horario diurno y sin interferencias, está limitado por la intensidad de ruido radioeléctrico, descargas atmosféricas y actividades humanas (véase la Recomendación UIT-R</w:t>
      </w:r>
      <w:r w:rsidR="00A97800">
        <w:rPr>
          <w:lang w:val="es-ES_tradnl"/>
        </w:rPr>
        <w:t> </w:t>
      </w:r>
      <w:r w:rsidRPr="00C64D72">
        <w:rPr>
          <w:lang w:val="es-ES_tradnl"/>
        </w:rPr>
        <w:t>P.372), así como por la relación señal/ruido requerida. En horario vespertino y nocturno, adquieren importancia los modos de onda ionosférica (véase la Recomendación UIT</w:t>
      </w:r>
      <w:r w:rsidRPr="00C64D72">
        <w:rPr>
          <w:lang w:val="es-ES_tradnl"/>
        </w:rPr>
        <w:noBreakHyphen/>
        <w:t>R P.1147). Para la modulación de amplitud analógica dichos modos limitan la cobertura, ya que la interferencia de onda entre la onda de superficie y los modos de onda ionosférica, que son variables y sufren retardos de fase, da por resultado una calidad de señal insatisfactoria. Las señales de onda ionosférica que provienen de otras transmisiones distantes pueden agregar también importantes interferencias nocturnas, limitando probablemente la cobertura del servicio a las bandas en las que la onda de superficie proporciona una señal suficientemente intensa. No se consideran en el presente Anexo los aspectos de interferencia producida por otras señales.</w:t>
      </w:r>
    </w:p>
    <w:p w:rsidR="00B755DB" w:rsidRPr="00C64D72" w:rsidRDefault="00B755DB" w:rsidP="00B755DB">
      <w:pPr>
        <w:rPr>
          <w:lang w:val="es-ES_tradnl"/>
        </w:rPr>
      </w:pPr>
      <w:r w:rsidRPr="00C64D72">
        <w:rPr>
          <w:lang w:val="es-ES_tradnl"/>
        </w:rPr>
        <w:t>Los métodos de modulación digital pueden verse afectados también por la presencia de modos de señal con retardo, pero un diagrama de modulación adecuado puede neutralizar o incluso aprovechar dicho efecto. Este Anexo presenta algunos modelos sumamente sencillos para este ámbito de trayectos múltiples y que, según se espera, convendrán al diseño de métodos de modulación. Según qué método de modulación se escoja, pueden requerirse métodos de predicción más detallados para cumplir con las tareas de planificación del servicio.</w:t>
      </w:r>
    </w:p>
    <w:p w:rsidR="00B755DB" w:rsidRPr="00C64D72" w:rsidRDefault="00B755DB" w:rsidP="00B755DB">
      <w:pPr>
        <w:pStyle w:val="Heading1"/>
        <w:rPr>
          <w:lang w:val="es-ES_tradnl"/>
        </w:rPr>
      </w:pPr>
      <w:bookmarkStart w:id="7" w:name="_Toc398369177"/>
      <w:bookmarkStart w:id="8" w:name="_Toc107989867"/>
      <w:bookmarkStart w:id="9" w:name="_Toc398369179"/>
      <w:r w:rsidRPr="00C64D72">
        <w:rPr>
          <w:lang w:val="es-ES_tradnl"/>
        </w:rPr>
        <w:t>2</w:t>
      </w:r>
      <w:r w:rsidRPr="00C64D72">
        <w:rPr>
          <w:lang w:val="es-ES_tradnl"/>
        </w:rPr>
        <w:tab/>
        <w:t>Modos de propagación</w:t>
      </w:r>
      <w:bookmarkEnd w:id="7"/>
      <w:bookmarkEnd w:id="8"/>
    </w:p>
    <w:p w:rsidR="00B755DB" w:rsidRPr="00C64D72" w:rsidRDefault="00B755DB" w:rsidP="00B755DB">
      <w:pPr>
        <w:pStyle w:val="Heading2"/>
        <w:rPr>
          <w:lang w:val="es-ES_tradnl"/>
        </w:rPr>
      </w:pPr>
      <w:bookmarkStart w:id="10" w:name="_Toc398369178"/>
      <w:bookmarkStart w:id="11" w:name="_Toc107989868"/>
      <w:r w:rsidRPr="00C64D72">
        <w:rPr>
          <w:lang w:val="es-ES_tradnl"/>
        </w:rPr>
        <w:t>2.1</w:t>
      </w:r>
      <w:r w:rsidRPr="00C64D72">
        <w:rPr>
          <w:lang w:val="es-ES_tradnl"/>
        </w:rPr>
        <w:tab/>
        <w:t>Modo de onda de superficie</w:t>
      </w:r>
      <w:bookmarkEnd w:id="10"/>
      <w:bookmarkEnd w:id="11"/>
    </w:p>
    <w:p w:rsidR="00B755DB" w:rsidRPr="00C64D72" w:rsidRDefault="00B755DB" w:rsidP="00B755DB">
      <w:pPr>
        <w:rPr>
          <w:lang w:val="es-ES_tradnl"/>
        </w:rPr>
      </w:pPr>
      <w:r w:rsidRPr="00C64D72">
        <w:rPr>
          <w:lang w:val="es-ES_tradnl"/>
        </w:rPr>
        <w:t>Es posible que la onda de superficie no siempre sea constante (véase el § 4). Como se indica en la Recomendación UIT</w:t>
      </w:r>
      <w:r w:rsidRPr="00C64D72">
        <w:rPr>
          <w:lang w:val="es-ES_tradnl"/>
        </w:rPr>
        <w:noBreakHyphen/>
        <w:t>R P.368, la amplitud de la señal depende de la distancia y las características eléctricas de la superficie. Además, la amplitud de la señal tampoco se mantiene constante ante pequeños cambios de ubicación (desde varios centenares de metros).</w:t>
      </w:r>
    </w:p>
    <w:p w:rsidR="00B755DB" w:rsidRPr="00C64D72" w:rsidRDefault="00B755DB" w:rsidP="00B755DB">
      <w:pPr>
        <w:pStyle w:val="Heading2"/>
        <w:rPr>
          <w:lang w:val="es-ES_tradnl"/>
        </w:rPr>
      </w:pPr>
      <w:bookmarkStart w:id="12" w:name="_Toc107989869"/>
      <w:r w:rsidRPr="00C64D72">
        <w:rPr>
          <w:lang w:val="es-ES_tradnl"/>
        </w:rPr>
        <w:t>2.2</w:t>
      </w:r>
      <w:r w:rsidRPr="00C64D72">
        <w:rPr>
          <w:lang w:val="es-ES_tradnl"/>
        </w:rPr>
        <w:tab/>
        <w:t>Modos de onda ionosférica</w:t>
      </w:r>
      <w:bookmarkEnd w:id="9"/>
      <w:bookmarkEnd w:id="12"/>
    </w:p>
    <w:p w:rsidR="00B755DB" w:rsidRPr="00C64D72" w:rsidRDefault="00B755DB" w:rsidP="00A97800">
      <w:pPr>
        <w:rPr>
          <w:lang w:val="es-ES_tradnl"/>
        </w:rPr>
      </w:pPr>
      <w:r w:rsidRPr="00C64D72">
        <w:rPr>
          <w:lang w:val="es-ES_tradnl"/>
        </w:rPr>
        <w:t>En horario diurno, la atenuación de la señal en la parte inferior o región</w:t>
      </w:r>
      <w:r w:rsidR="00A97800">
        <w:rPr>
          <w:lang w:val="es-ES_tradnl"/>
        </w:rPr>
        <w:t> </w:t>
      </w:r>
      <w:r w:rsidRPr="00C64D72">
        <w:rPr>
          <w:lang w:val="es-ES_tradnl"/>
        </w:rPr>
        <w:t>D de la ionosfera impide efectivamente la propagación de las ondas ionosféricas. En este Anexo, la atención se concentra en las condiciones nocturnas, en que la propagación de ondas ionosféricas puede ser importante.</w:t>
      </w:r>
    </w:p>
    <w:p w:rsidR="00B755DB" w:rsidRPr="00C64D72" w:rsidRDefault="00B755DB" w:rsidP="00B755DB">
      <w:pPr>
        <w:rPr>
          <w:lang w:val="es-ES_tradnl"/>
        </w:rPr>
      </w:pPr>
      <w:r w:rsidRPr="00C64D72">
        <w:rPr>
          <w:lang w:val="es-ES_tradnl"/>
        </w:rPr>
        <w:t xml:space="preserve">La </w:t>
      </w:r>
      <w:r w:rsidR="00A97800">
        <w:rPr>
          <w:lang w:val="es-ES_tradnl"/>
        </w:rPr>
        <w:t>capa E</w:t>
      </w:r>
      <w:r w:rsidRPr="00C64D72">
        <w:rPr>
          <w:lang w:val="es-ES_tradnl"/>
        </w:rPr>
        <w:t xml:space="preserve"> de la ionosfera se desintegra después de la puesta del sol, pero la frecuencia crítica, foE, se encontrará en la banda de radiodifusión de ondas hectométricas al menos durante cierto tiempo en las primeras horas de la noche. Las señales en frecuencias inferiores a la frecuencia crítica serán reflejadas siempre por la </w:t>
      </w:r>
      <w:r w:rsidR="00A97800">
        <w:rPr>
          <w:lang w:val="es-ES_tradnl"/>
        </w:rPr>
        <w:t>capa E</w:t>
      </w:r>
      <w:r w:rsidRPr="00C64D72">
        <w:rPr>
          <w:lang w:val="es-ES_tradnl"/>
        </w:rPr>
        <w:t xml:space="preserve"> y se admitirán también reflexiones múltiples. Las señales en frecuencias mayores quizás continúen reflejándose en la </w:t>
      </w:r>
      <w:r w:rsidR="00A97800">
        <w:rPr>
          <w:lang w:val="es-ES_tradnl"/>
        </w:rPr>
        <w:t>capa E</w:t>
      </w:r>
      <w:r w:rsidRPr="00C64D72">
        <w:rPr>
          <w:lang w:val="es-ES_tradnl"/>
        </w:rPr>
        <w:t xml:space="preserve">, alcanzando particularmente distancias mayores, pero algunas señales atravesarán la </w:t>
      </w:r>
      <w:r w:rsidR="00A97800">
        <w:rPr>
          <w:lang w:val="es-ES_tradnl"/>
        </w:rPr>
        <w:t>capa E</w:t>
      </w:r>
      <w:r w:rsidRPr="00C64D72">
        <w:rPr>
          <w:lang w:val="es-ES_tradnl"/>
        </w:rPr>
        <w:t xml:space="preserve"> para reflejarse en la región F superior. Aplicando un modelo sencillo para la </w:t>
      </w:r>
      <w:r w:rsidR="00A97800">
        <w:rPr>
          <w:lang w:val="es-ES_tradnl"/>
        </w:rPr>
        <w:t>capa E</w:t>
      </w:r>
      <w:r w:rsidRPr="00C64D72">
        <w:rPr>
          <w:lang w:val="es-ES_tradnl"/>
        </w:rPr>
        <w:t>, la Fig. 1 ilustra los modos disponibles de señal para tres frecuencias en la banda de ondas hectométricas, indicando cómo la disponibilidad de modos varía con la extensión de la superficie y a lo largo del tiempo después de la puesta del sol. Estos modos sufrirán retardos temporales respecto del modo de onda de superficie.</w:t>
      </w:r>
    </w:p>
    <w:p w:rsidR="00B755DB" w:rsidRPr="00C64D72" w:rsidRDefault="00B755DB" w:rsidP="00A97800">
      <w:pPr>
        <w:rPr>
          <w:lang w:val="es-ES_tradnl"/>
        </w:rPr>
      </w:pPr>
      <w:r w:rsidRPr="00C64D72">
        <w:rPr>
          <w:lang w:val="es-ES_tradnl"/>
        </w:rPr>
        <w:t>La Recomendación UIT-R</w:t>
      </w:r>
      <w:r w:rsidR="00A97800">
        <w:rPr>
          <w:lang w:val="es-ES_tradnl"/>
        </w:rPr>
        <w:t> </w:t>
      </w:r>
      <w:r w:rsidRPr="00C64D72">
        <w:rPr>
          <w:lang w:val="es-ES_tradnl"/>
        </w:rPr>
        <w:t>P.1147 proporciona predicciones relativas a la potencia de señal compuesta para los modos disponibles de ondas ionosféricas, por lo que no contiene la información necesaria sobre las amplitudes relativas de los distintos modos. En cambio, la Recomendación UIT R P.684 sí suministra la información, aunque en primera instancia concebida para frecuencias inferiores a 500 kHz. Indica en particular valores del coeficiente de reflexión ionosférica bajo condiciones de manchas solares mínimas según resultados experimentales y aplicando determinadas hipótesis contenidas en dicha Recomendación.</w:t>
      </w:r>
    </w:p>
    <w:p w:rsidR="00B755DB" w:rsidRPr="00C64D72" w:rsidRDefault="00B755DB" w:rsidP="00B755DB">
      <w:pPr>
        <w:pStyle w:val="Heading1"/>
        <w:rPr>
          <w:lang w:val="es-ES_tradnl"/>
        </w:rPr>
      </w:pPr>
      <w:bookmarkStart w:id="13" w:name="_Toc398369180"/>
      <w:bookmarkStart w:id="14" w:name="_Toc107989870"/>
      <w:r w:rsidRPr="00C64D72">
        <w:rPr>
          <w:lang w:val="es-ES_tradnl"/>
        </w:rPr>
        <w:t>3</w:t>
      </w:r>
      <w:r w:rsidRPr="00C64D72">
        <w:rPr>
          <w:lang w:val="es-ES_tradnl"/>
        </w:rPr>
        <w:tab/>
        <w:t>Dispersión en el tiempo por trayectos múltiples</w:t>
      </w:r>
      <w:bookmarkEnd w:id="13"/>
      <w:bookmarkEnd w:id="14"/>
    </w:p>
    <w:p w:rsidR="00B755DB" w:rsidRPr="00C64D72" w:rsidRDefault="00B755DB" w:rsidP="00B755DB">
      <w:pPr>
        <w:rPr>
          <w:lang w:val="es-ES_tradnl"/>
        </w:rPr>
      </w:pPr>
      <w:r w:rsidRPr="00C64D72">
        <w:rPr>
          <w:lang w:val="es-ES_tradnl"/>
        </w:rPr>
        <w:t>Aplicando los sencillos modelos de propagación arriba mencionados, la Fig. 2 indica los valores medios esperados de intensidad de campo y los retardos relativos en el tiempo correspondientes a tres extensiones, 100, 200 y 500</w:t>
      </w:r>
      <w:r w:rsidR="006B4369" w:rsidRPr="00C64D72">
        <w:rPr>
          <w:lang w:val="es-ES_tradnl"/>
        </w:rPr>
        <w:t> km</w:t>
      </w:r>
      <w:r w:rsidRPr="00C64D72">
        <w:rPr>
          <w:lang w:val="es-ES_tradnl"/>
        </w:rPr>
        <w:t>, y a dos frecuencias, 700 kHz y 1 MHz. Las intensidades de campo corresponden a 1 kW p.i.r.e. y no consideran el efecto del diagrama de radiación vertical de la antena transmisora, el cual podría reducir el nivel de las señales de las ondas ionosféricas a distancias más cortas.</w:t>
      </w:r>
    </w:p>
    <w:p w:rsidR="00B755DB" w:rsidRPr="00C64D72" w:rsidRDefault="00B755DB" w:rsidP="00B755DB">
      <w:pPr>
        <w:rPr>
          <w:lang w:val="es-ES_tradnl"/>
        </w:rPr>
      </w:pPr>
      <w:r w:rsidRPr="00C64D72">
        <w:rPr>
          <w:lang w:val="es-ES_tradnl"/>
        </w:rPr>
        <w:t>El modo que se muestra a 0 ms corresponde a la onda de superficie y se presentan intensidades de campo para tres valores de conductividad de la superficie, 5 S/m (mares), 10</w:t>
      </w:r>
      <w:r w:rsidRPr="00C64D72">
        <w:rPr>
          <w:vertAlign w:val="superscript"/>
          <w:lang w:val="es-ES_tradnl"/>
        </w:rPr>
        <w:t>–2</w:t>
      </w:r>
      <w:r w:rsidRPr="00C64D72">
        <w:rPr>
          <w:lang w:val="es-ES_tradnl"/>
        </w:rPr>
        <w:t xml:space="preserve"> (superficie de buena calidad) y 10</w:t>
      </w:r>
      <w:r w:rsidRPr="00C64D72">
        <w:rPr>
          <w:vertAlign w:val="superscript"/>
          <w:lang w:val="es-ES_tradnl"/>
        </w:rPr>
        <w:t>–3</w:t>
      </w:r>
      <w:r w:rsidRPr="00C64D72">
        <w:rPr>
          <w:lang w:val="es-ES_tradnl"/>
        </w:rPr>
        <w:t xml:space="preserve"> (superficie de baja calidad).</w:t>
      </w:r>
    </w:p>
    <w:p w:rsidR="00B755DB" w:rsidRPr="00C64D72" w:rsidRDefault="00B755DB" w:rsidP="00B755DB">
      <w:pPr>
        <w:rPr>
          <w:lang w:val="es-ES_tradnl"/>
        </w:rPr>
      </w:pPr>
      <w:r w:rsidRPr="00C64D72">
        <w:rPr>
          <w:lang w:val="es-ES_tradnl"/>
        </w:rPr>
        <w:t>Los componentes correspondientes a las ondas ionosféricas están marcados con el modo correspondiente y los niveles representan aproximadamente las intensidades medianas de campo registradas cuatro horas después de la puesta del sol bajo condiciones de manchas solares mínimas.</w:t>
      </w:r>
    </w:p>
    <w:p w:rsidR="00B755DB" w:rsidRPr="00C64D72" w:rsidRDefault="00B755DB" w:rsidP="00B755DB">
      <w:pPr>
        <w:pStyle w:val="FigureNo"/>
        <w:rPr>
          <w:lang w:val="es-ES_tradnl"/>
        </w:rPr>
      </w:pPr>
      <w:r w:rsidRPr="00C64D72">
        <w:rPr>
          <w:lang w:val="es-ES_tradnl"/>
        </w:rPr>
        <w:t>FIGURA 1</w:t>
      </w:r>
    </w:p>
    <w:p w:rsidR="00B755DB" w:rsidRPr="00C64D72" w:rsidRDefault="00B755DB" w:rsidP="00B755DB">
      <w:pPr>
        <w:pStyle w:val="Figuretitle"/>
        <w:rPr>
          <w:lang w:val="es-ES_tradnl"/>
        </w:rPr>
      </w:pPr>
      <w:r w:rsidRPr="00C64D72">
        <w:rPr>
          <w:lang w:val="es-ES_tradnl"/>
        </w:rPr>
        <w:t>Modos de propagación disponibles</w:t>
      </w:r>
    </w:p>
    <w:p w:rsidR="00B755DB" w:rsidRPr="00C64D72" w:rsidRDefault="005D31B0" w:rsidP="00B755DB">
      <w:pPr>
        <w:pStyle w:val="Figure"/>
        <w:rPr>
          <w:lang w:val="es-ES_tradnl"/>
        </w:rPr>
      </w:pPr>
      <w:r w:rsidRPr="00C64D72">
        <w:rPr>
          <w:lang w:val="es-ES_tradnl"/>
        </w:rPr>
        <w:object w:dxaOrig="4680" w:dyaOrig="7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5pt;height:615.7pt" o:ole="">
            <v:imagedata r:id="rId13" o:title=""/>
          </v:shape>
          <o:OLEObject Type="Embed" ProgID="CorelDRAW.Graphic.14" ShapeID="_x0000_i1025" DrawAspect="Content" ObjectID="_1528206072" r:id="rId14"/>
        </w:object>
      </w:r>
    </w:p>
    <w:p w:rsidR="00B755DB" w:rsidRPr="00C64D72" w:rsidRDefault="00B755DB" w:rsidP="00B755DB">
      <w:pPr>
        <w:pStyle w:val="FigureNo"/>
        <w:rPr>
          <w:lang w:val="es-ES_tradnl"/>
        </w:rPr>
      </w:pPr>
      <w:r w:rsidRPr="00C64D72">
        <w:rPr>
          <w:lang w:val="es-ES_tradnl"/>
        </w:rPr>
        <w:t>FIGURA 2</w:t>
      </w:r>
    </w:p>
    <w:p w:rsidR="00B755DB" w:rsidRPr="00C64D72" w:rsidRDefault="00B755DB" w:rsidP="00B755DB">
      <w:pPr>
        <w:pStyle w:val="Figuretitle"/>
        <w:rPr>
          <w:lang w:val="es-ES_tradnl"/>
        </w:rPr>
      </w:pPr>
      <w:r w:rsidRPr="00C64D72">
        <w:rPr>
          <w:lang w:val="es-ES_tradnl"/>
        </w:rPr>
        <w:t>Ejemplos de dispersión del retardo en el tiempo</w:t>
      </w:r>
    </w:p>
    <w:p w:rsidR="00B755DB" w:rsidRPr="00C64D72" w:rsidRDefault="00B755DB" w:rsidP="00B755DB">
      <w:pPr>
        <w:pStyle w:val="Figure"/>
        <w:rPr>
          <w:lang w:val="es-ES_tradnl"/>
        </w:rPr>
      </w:pPr>
      <w:r w:rsidRPr="00C64D72">
        <w:rPr>
          <w:lang w:val="es-ES_tradnl"/>
        </w:rPr>
        <w:object w:dxaOrig="5644" w:dyaOrig="7999">
          <v:shape id="_x0000_i1026" type="#_x0000_t75" style="width:473.1pt;height:670.6pt" o:ole="">
            <v:imagedata r:id="rId15" o:title=""/>
          </v:shape>
          <o:OLEObject Type="Embed" ProgID="CorelDRAW.Graphic.14" ShapeID="_x0000_i1026" DrawAspect="Content" ObjectID="_1528206073" r:id="rId16"/>
        </w:object>
      </w:r>
    </w:p>
    <w:p w:rsidR="00B755DB" w:rsidRPr="00C64D72" w:rsidRDefault="00B755DB" w:rsidP="00B755DB">
      <w:pPr>
        <w:pStyle w:val="Normalaftertitle"/>
        <w:rPr>
          <w:lang w:val="es-ES_tradnl"/>
        </w:rPr>
      </w:pPr>
      <w:r w:rsidRPr="00C64D72">
        <w:rPr>
          <w:lang w:val="es-ES_tradnl"/>
        </w:rPr>
        <w:t>La Fig. 3 indica el retardo de los modos de propagación de ondas ionosféricas con un solo salto en las regiones E y F respecto de la onda de superficie para distancias mayores de 1 000</w:t>
      </w:r>
      <w:r w:rsidR="006B4369" w:rsidRPr="00C64D72">
        <w:rPr>
          <w:lang w:val="es-ES_tradnl"/>
        </w:rPr>
        <w:t> km</w:t>
      </w:r>
      <w:r w:rsidRPr="00C64D72">
        <w:rPr>
          <w:lang w:val="es-ES_tradnl"/>
        </w:rPr>
        <w:t>, mientras que la Fig. 4 proporciona los retardos relativos entre los modos de onda ionosférica con una reflexión o con reflexiones múltiples.</w:t>
      </w:r>
    </w:p>
    <w:p w:rsidR="00B755DB" w:rsidRPr="00C64D72" w:rsidRDefault="00B755DB" w:rsidP="00B755DB">
      <w:pPr>
        <w:pStyle w:val="FigureNo"/>
        <w:rPr>
          <w:lang w:val="es-ES_tradnl"/>
        </w:rPr>
      </w:pPr>
      <w:r w:rsidRPr="00C64D72">
        <w:rPr>
          <w:lang w:val="es-ES_tradnl"/>
        </w:rPr>
        <w:t>FIGURA 3</w:t>
      </w:r>
    </w:p>
    <w:p w:rsidR="00B755DB" w:rsidRPr="00C64D72" w:rsidRDefault="00B755DB" w:rsidP="00B755DB">
      <w:pPr>
        <w:pStyle w:val="Figuretitle"/>
        <w:rPr>
          <w:lang w:val="es-ES_tradnl"/>
        </w:rPr>
      </w:pPr>
      <w:r w:rsidRPr="00C64D72">
        <w:rPr>
          <w:lang w:val="es-ES_tradnl"/>
        </w:rPr>
        <w:t>Retardo relativo de una señal de onda ionosférica</w:t>
      </w:r>
      <w:r w:rsidRPr="00C64D72">
        <w:rPr>
          <w:lang w:val="es-ES_tradnl"/>
        </w:rPr>
        <w:br/>
        <w:t>respecto de una señal de onda de superficie</w:t>
      </w:r>
    </w:p>
    <w:p w:rsidR="00B755DB" w:rsidRPr="00C64D72" w:rsidRDefault="00B755DB" w:rsidP="00B755DB">
      <w:pPr>
        <w:pStyle w:val="Figure"/>
        <w:rPr>
          <w:lang w:val="es-ES_tradnl"/>
        </w:rPr>
      </w:pPr>
      <w:r w:rsidRPr="00C64D72">
        <w:rPr>
          <w:lang w:val="es-ES_tradnl"/>
        </w:rPr>
        <w:t>º</w:t>
      </w:r>
      <w:r w:rsidRPr="00C64D72">
        <w:rPr>
          <w:lang w:val="es-ES_tradnl"/>
        </w:rPr>
        <w:object w:dxaOrig="3719" w:dyaOrig="4605">
          <v:shape id="_x0000_i1027" type="#_x0000_t75" style="width:186pt;height:230.3pt" o:ole="">
            <v:imagedata r:id="rId17" o:title=""/>
          </v:shape>
          <o:OLEObject Type="Embed" ProgID="CorelDRAW.Graphic.14" ShapeID="_x0000_i1027" DrawAspect="Content" ObjectID="_1528206074" r:id="rId18"/>
        </w:object>
      </w:r>
    </w:p>
    <w:p w:rsidR="00B755DB" w:rsidRPr="00C64D72" w:rsidRDefault="00B755DB" w:rsidP="00B755DB">
      <w:pPr>
        <w:pStyle w:val="FigureNo"/>
        <w:rPr>
          <w:lang w:val="es-ES_tradnl"/>
        </w:rPr>
      </w:pPr>
      <w:r w:rsidRPr="00C64D72">
        <w:rPr>
          <w:lang w:val="es-ES_tradnl"/>
        </w:rPr>
        <w:t>FIGURA 4</w:t>
      </w:r>
    </w:p>
    <w:p w:rsidR="00B755DB" w:rsidRPr="00C64D72" w:rsidRDefault="00B755DB" w:rsidP="00B755DB">
      <w:pPr>
        <w:pStyle w:val="Figuretitle"/>
        <w:rPr>
          <w:lang w:val="es-ES_tradnl"/>
        </w:rPr>
      </w:pPr>
      <w:r w:rsidRPr="00C64D72">
        <w:rPr>
          <w:lang w:val="es-ES_tradnl"/>
        </w:rPr>
        <w:t xml:space="preserve">Retardo recíproco de señales de onda ionosférica para </w:t>
      </w:r>
      <w:r w:rsidRPr="00C64D72">
        <w:rPr>
          <w:lang w:val="es-ES_tradnl"/>
        </w:rPr>
        <w:br/>
        <w:t>diferentes números de reflexiones en la ionosfera</w:t>
      </w:r>
    </w:p>
    <w:p w:rsidR="00B755DB" w:rsidRPr="00C64D72" w:rsidRDefault="00B755DB" w:rsidP="00B755DB">
      <w:pPr>
        <w:pStyle w:val="Figure"/>
        <w:rPr>
          <w:lang w:val="es-ES_tradnl"/>
        </w:rPr>
      </w:pPr>
      <w:r w:rsidRPr="00C64D72">
        <w:rPr>
          <w:lang w:val="es-ES_tradnl"/>
        </w:rPr>
        <w:object w:dxaOrig="3591" w:dyaOrig="4301">
          <v:shape id="_x0000_i1028" type="#_x0000_t75" style="width:179.1pt;height:215.1pt" o:ole="">
            <v:imagedata r:id="rId19" o:title=""/>
          </v:shape>
          <o:OLEObject Type="Embed" ProgID="CorelDRAW.Graphic.14" ShapeID="_x0000_i1028" DrawAspect="Content" ObjectID="_1528206075" r:id="rId20"/>
        </w:object>
      </w:r>
    </w:p>
    <w:p w:rsidR="00B755DB" w:rsidRPr="00C64D72" w:rsidRDefault="00B755DB" w:rsidP="00B755DB">
      <w:pPr>
        <w:rPr>
          <w:lang w:val="es-ES_tradnl"/>
        </w:rPr>
      </w:pPr>
      <w:r w:rsidRPr="00C64D72">
        <w:rPr>
          <w:lang w:val="es-ES_tradnl"/>
        </w:rPr>
        <w:t>La gama de las distancias para las cuales las amplitudes relativas a la señal de onda de superficie y de onda ionosférica son similares es de especial interés, puesto que el desvanecimiento presente en dicha zona es particularmente severo. Se ha denominado «zona de desvanecimiento oscuro» y suele indicar el límite del alcance de una radiodifusión de buena calidad en ondas hectométricas.</w:t>
      </w:r>
    </w:p>
    <w:p w:rsidR="00B755DB" w:rsidRPr="00C64D72" w:rsidRDefault="00B755DB" w:rsidP="00B755DB">
      <w:pPr>
        <w:pStyle w:val="Heading1"/>
        <w:rPr>
          <w:lang w:val="es-ES_tradnl"/>
        </w:rPr>
      </w:pPr>
      <w:bookmarkStart w:id="15" w:name="_Toc107989871"/>
      <w:r w:rsidRPr="00C64D72">
        <w:rPr>
          <w:lang w:val="es-ES_tradnl"/>
        </w:rPr>
        <w:t>4</w:t>
      </w:r>
      <w:r w:rsidRPr="00C64D72">
        <w:rPr>
          <w:lang w:val="es-ES_tradnl"/>
        </w:rPr>
        <w:tab/>
        <w:t>Variabilidad</w:t>
      </w:r>
      <w:bookmarkEnd w:id="15"/>
    </w:p>
    <w:p w:rsidR="00B755DB" w:rsidRPr="00C64D72" w:rsidRDefault="00B755DB" w:rsidP="00B755DB">
      <w:pPr>
        <w:pStyle w:val="Heading2"/>
        <w:rPr>
          <w:lang w:val="es-ES_tradnl"/>
        </w:rPr>
      </w:pPr>
      <w:r w:rsidRPr="00C64D72">
        <w:rPr>
          <w:lang w:val="es-ES_tradnl"/>
        </w:rPr>
        <w:t>4.1</w:t>
      </w:r>
      <w:r w:rsidRPr="00C64D72">
        <w:rPr>
          <w:lang w:val="es-ES_tradnl"/>
        </w:rPr>
        <w:tab/>
        <w:t>Variaciones temporales de la señal durante el día</w:t>
      </w:r>
    </w:p>
    <w:p w:rsidR="00B755DB" w:rsidRPr="00C64D72" w:rsidRDefault="00B755DB" w:rsidP="00B755DB">
      <w:pPr>
        <w:pStyle w:val="Heading3"/>
        <w:rPr>
          <w:lang w:val="es-ES_tradnl"/>
        </w:rPr>
      </w:pPr>
      <w:r w:rsidRPr="00C64D72">
        <w:rPr>
          <w:lang w:val="es-ES_tradnl"/>
        </w:rPr>
        <w:t>4.1.1</w:t>
      </w:r>
      <w:r w:rsidRPr="00C64D72">
        <w:rPr>
          <w:lang w:val="es-ES_tradnl"/>
        </w:rPr>
        <w:tab/>
        <w:t>Variaciones estacionales</w:t>
      </w:r>
    </w:p>
    <w:p w:rsidR="00B755DB" w:rsidRPr="00C64D72" w:rsidRDefault="00B755DB" w:rsidP="00B755DB">
      <w:pPr>
        <w:rPr>
          <w:lang w:val="es-ES_tradnl"/>
        </w:rPr>
      </w:pPr>
      <w:r w:rsidRPr="00C64D72">
        <w:rPr>
          <w:lang w:val="es-ES_tradnl"/>
        </w:rPr>
        <w:t>La intensidad de campo de las ondas terrenales puede variar con la temperatura estacional.</w:t>
      </w:r>
    </w:p>
    <w:p w:rsidR="00B755DB" w:rsidRPr="00C64D72" w:rsidRDefault="00B755DB" w:rsidP="00B755DB">
      <w:pPr>
        <w:rPr>
          <w:lang w:val="es-ES_tradnl"/>
        </w:rPr>
      </w:pPr>
      <w:r w:rsidRPr="00C64D72">
        <w:rPr>
          <w:lang w:val="es-ES_tradnl"/>
        </w:rPr>
        <w:t>Para las ondas kilométricas en latitudes medias con un clima continental y una importante densidad de zonas arboladas, la gama de cambios estacionales de la intensidad del campo de las ondas de superficie en enlaces de hasta 100</w:t>
      </w:r>
      <w:r w:rsidR="006B4369" w:rsidRPr="00C64D72">
        <w:rPr>
          <w:lang w:val="es-ES_tradnl"/>
        </w:rPr>
        <w:t> km</w:t>
      </w:r>
      <w:r w:rsidRPr="00C64D72">
        <w:rPr>
          <w:lang w:val="es-ES_tradnl"/>
        </w:rPr>
        <w:t xml:space="preserve"> aproximadamente se sitúa en promedio entre 10 y18 dB. Las gamas menores se relacionan con enlaces que comienzan en una gran ciudad (10 dB) o cruzando una ciudad (hasta 15 dB). La gama mayor tiene enlaces que se sitúan en zonas rurales (15-18 dB). Cabe esperar resultados similares en otras regiones con condiciones climáticas y naturales parecidas.</w:t>
      </w:r>
    </w:p>
    <w:p w:rsidR="00B755DB" w:rsidRPr="00C64D72" w:rsidRDefault="00B755DB" w:rsidP="006B4369">
      <w:pPr>
        <w:rPr>
          <w:lang w:val="es-ES_tradnl"/>
        </w:rPr>
      </w:pPr>
      <w:r w:rsidRPr="00C64D72">
        <w:rPr>
          <w:lang w:val="es-ES_tradnl"/>
        </w:rPr>
        <w:t>El párrafo anterior se refiere al área de Europa del este donde la temperatura media del mes de enero es de −10°C. Para otras zonas geográficas, la gama media de cambios estacionales depende de la temperatura media del mes de enero, según se muestra en el Cuadro 1, puesto que para enlaces con condiciones de suelo/vegetación similares, la variación sólo se distingue por la temperatura media del mes de enero. Es conveniente realizar una estimación aproximada del cambio estacional en función de la gama de temperaturas, teniendo en cuenta las diferencias de condiciones climáticas de las distintas zonas geográficas. Por ejemplo, para un enlace que comienza en una ciudad donde la temperatura del mes de enero es de +4°C, la gama de la intensidad del campo sería aproximadamente 10 </w:t>
      </w:r>
      <w:r w:rsidR="006B4369" w:rsidRPr="00C64D72">
        <w:rPr>
          <w:lang w:val="es-ES_tradnl"/>
        </w:rPr>
        <w:t>×</w:t>
      </w:r>
      <w:r w:rsidRPr="00C64D72">
        <w:rPr>
          <w:lang w:val="es-ES_tradnl"/>
        </w:rPr>
        <w:t> (4/13) ≈ 3 dB, y para los enlaces rurales sería aproximadamente (15…18) </w:t>
      </w:r>
      <w:r w:rsidR="006B4369" w:rsidRPr="00C64D72">
        <w:rPr>
          <w:lang w:val="es-ES_tradnl"/>
        </w:rPr>
        <w:t>×</w:t>
      </w:r>
      <w:r w:rsidRPr="00C64D72">
        <w:rPr>
          <w:lang w:val="es-ES_tradnl"/>
        </w:rPr>
        <w:t> (4/13) ≈ (4,6...5,5) dB, utilizando los datos del párrafo anterior y del Cuadro 1.</w:t>
      </w:r>
    </w:p>
    <w:p w:rsidR="00B755DB" w:rsidRPr="00C64D72" w:rsidRDefault="00B755DB" w:rsidP="00B755DB">
      <w:pPr>
        <w:pStyle w:val="TableNo"/>
        <w:rPr>
          <w:lang w:val="es-ES_tradnl"/>
        </w:rPr>
      </w:pPr>
      <w:r w:rsidRPr="00C64D72">
        <w:rPr>
          <w:lang w:val="es-ES_tradnl"/>
        </w:rPr>
        <w:t>CUADRO 1</w:t>
      </w:r>
    </w:p>
    <w:tbl>
      <w:tblPr>
        <w:tblW w:w="95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73"/>
        <w:gridCol w:w="652"/>
        <w:gridCol w:w="652"/>
        <w:gridCol w:w="652"/>
        <w:gridCol w:w="652"/>
      </w:tblGrid>
      <w:tr w:rsidR="00B755DB" w:rsidRPr="00C64D72" w:rsidTr="00202646">
        <w:trPr>
          <w:jc w:val="center"/>
        </w:trPr>
        <w:tc>
          <w:tcPr>
            <w:tcW w:w="6973" w:type="dxa"/>
          </w:tcPr>
          <w:p w:rsidR="00B755DB" w:rsidRPr="00C64D72" w:rsidRDefault="00B755DB" w:rsidP="00202646">
            <w:pPr>
              <w:pStyle w:val="Tabletext"/>
              <w:jc w:val="left"/>
              <w:rPr>
                <w:lang w:val="es-ES_tradnl"/>
              </w:rPr>
            </w:pPr>
            <w:r w:rsidRPr="00C64D72">
              <w:rPr>
                <w:lang w:val="es-ES_tradnl"/>
              </w:rPr>
              <w:t>Temperatura media en el mes de enero en el hemisferio norte (°C)</w:t>
            </w:r>
          </w:p>
        </w:tc>
        <w:tc>
          <w:tcPr>
            <w:tcW w:w="652" w:type="dxa"/>
          </w:tcPr>
          <w:p w:rsidR="00B755DB" w:rsidRPr="00C64D72" w:rsidRDefault="00B755DB" w:rsidP="00202646">
            <w:pPr>
              <w:pStyle w:val="Tabletext"/>
              <w:jc w:val="center"/>
              <w:rPr>
                <w:lang w:val="es-ES_tradnl"/>
              </w:rPr>
            </w:pPr>
            <w:r w:rsidRPr="00C64D72">
              <w:rPr>
                <w:lang w:val="es-ES_tradnl"/>
              </w:rPr>
              <w:t>4</w:t>
            </w:r>
          </w:p>
        </w:tc>
        <w:tc>
          <w:tcPr>
            <w:tcW w:w="652" w:type="dxa"/>
          </w:tcPr>
          <w:p w:rsidR="00B755DB" w:rsidRPr="00C64D72" w:rsidRDefault="00B755DB" w:rsidP="00202646">
            <w:pPr>
              <w:pStyle w:val="Tabletext"/>
              <w:jc w:val="center"/>
              <w:rPr>
                <w:lang w:val="es-ES_tradnl"/>
              </w:rPr>
            </w:pPr>
            <w:r w:rsidRPr="00C64D72">
              <w:rPr>
                <w:lang w:val="es-ES_tradnl"/>
              </w:rPr>
              <w:t>0</w:t>
            </w:r>
          </w:p>
        </w:tc>
        <w:tc>
          <w:tcPr>
            <w:tcW w:w="652" w:type="dxa"/>
          </w:tcPr>
          <w:p w:rsidR="00B755DB" w:rsidRPr="00C64D72" w:rsidRDefault="00B755DB" w:rsidP="00202646">
            <w:pPr>
              <w:pStyle w:val="Tabletext"/>
              <w:jc w:val="center"/>
              <w:rPr>
                <w:lang w:val="es-ES_tradnl"/>
              </w:rPr>
            </w:pPr>
            <w:r w:rsidRPr="00C64D72">
              <w:rPr>
                <w:lang w:val="es-ES_tradnl"/>
              </w:rPr>
              <w:t>–10</w:t>
            </w:r>
          </w:p>
        </w:tc>
        <w:tc>
          <w:tcPr>
            <w:tcW w:w="652" w:type="dxa"/>
          </w:tcPr>
          <w:p w:rsidR="00B755DB" w:rsidRPr="00C64D72" w:rsidRDefault="00B755DB" w:rsidP="00202646">
            <w:pPr>
              <w:pStyle w:val="Tabletext"/>
              <w:jc w:val="center"/>
              <w:rPr>
                <w:lang w:val="es-ES_tradnl"/>
              </w:rPr>
            </w:pPr>
            <w:r w:rsidRPr="00C64D72">
              <w:rPr>
                <w:lang w:val="es-ES_tradnl"/>
              </w:rPr>
              <w:t>–16</w:t>
            </w:r>
          </w:p>
        </w:tc>
      </w:tr>
      <w:tr w:rsidR="00B755DB" w:rsidRPr="00C64D72" w:rsidTr="00202646">
        <w:trPr>
          <w:jc w:val="center"/>
        </w:trPr>
        <w:tc>
          <w:tcPr>
            <w:tcW w:w="6973" w:type="dxa"/>
          </w:tcPr>
          <w:p w:rsidR="00B755DB" w:rsidRPr="00C64D72" w:rsidRDefault="00B755DB" w:rsidP="00202646">
            <w:pPr>
              <w:pStyle w:val="Tabletext"/>
              <w:jc w:val="left"/>
              <w:rPr>
                <w:lang w:val="es-ES_tradnl"/>
              </w:rPr>
            </w:pPr>
            <w:r w:rsidRPr="00C64D72">
              <w:rPr>
                <w:lang w:val="es-ES_tradnl"/>
              </w:rPr>
              <w:t>Variación de la intensidad de campo en los meses de invierno y verano (dB)</w:t>
            </w:r>
          </w:p>
        </w:tc>
        <w:tc>
          <w:tcPr>
            <w:tcW w:w="652" w:type="dxa"/>
          </w:tcPr>
          <w:p w:rsidR="00B755DB" w:rsidRPr="00C64D72" w:rsidRDefault="00B755DB" w:rsidP="00202646">
            <w:pPr>
              <w:pStyle w:val="Tabletext"/>
              <w:jc w:val="center"/>
              <w:rPr>
                <w:lang w:val="es-ES_tradnl"/>
              </w:rPr>
            </w:pPr>
            <w:r w:rsidRPr="00C64D72">
              <w:rPr>
                <w:lang w:val="es-ES_tradnl"/>
              </w:rPr>
              <w:t>4</w:t>
            </w:r>
          </w:p>
        </w:tc>
        <w:tc>
          <w:tcPr>
            <w:tcW w:w="652" w:type="dxa"/>
          </w:tcPr>
          <w:p w:rsidR="00B755DB" w:rsidRPr="00C64D72" w:rsidRDefault="00B755DB" w:rsidP="00202646">
            <w:pPr>
              <w:pStyle w:val="Tabletext"/>
              <w:jc w:val="center"/>
              <w:rPr>
                <w:lang w:val="es-ES_tradnl"/>
              </w:rPr>
            </w:pPr>
            <w:r w:rsidRPr="00C64D72">
              <w:rPr>
                <w:lang w:val="es-ES_tradnl"/>
              </w:rPr>
              <w:t>8</w:t>
            </w:r>
          </w:p>
        </w:tc>
        <w:tc>
          <w:tcPr>
            <w:tcW w:w="652" w:type="dxa"/>
          </w:tcPr>
          <w:p w:rsidR="00B755DB" w:rsidRPr="00C64D72" w:rsidRDefault="00B755DB" w:rsidP="00202646">
            <w:pPr>
              <w:pStyle w:val="Tabletext"/>
              <w:jc w:val="center"/>
              <w:rPr>
                <w:lang w:val="es-ES_tradnl"/>
              </w:rPr>
            </w:pPr>
            <w:r w:rsidRPr="00C64D72">
              <w:rPr>
                <w:lang w:val="es-ES_tradnl"/>
              </w:rPr>
              <w:t>13</w:t>
            </w:r>
          </w:p>
        </w:tc>
        <w:tc>
          <w:tcPr>
            <w:tcW w:w="652" w:type="dxa"/>
          </w:tcPr>
          <w:p w:rsidR="00B755DB" w:rsidRPr="00C64D72" w:rsidRDefault="00B755DB" w:rsidP="00202646">
            <w:pPr>
              <w:pStyle w:val="Tabletext"/>
              <w:jc w:val="center"/>
              <w:rPr>
                <w:lang w:val="es-ES_tradnl"/>
              </w:rPr>
            </w:pPr>
            <w:r w:rsidRPr="00C64D72">
              <w:rPr>
                <w:lang w:val="es-ES_tradnl"/>
              </w:rPr>
              <w:t>15</w:t>
            </w:r>
          </w:p>
        </w:tc>
      </w:tr>
    </w:tbl>
    <w:p w:rsidR="00B755DB" w:rsidRPr="00C64D72" w:rsidRDefault="00B755DB" w:rsidP="00B755DB">
      <w:pPr>
        <w:pStyle w:val="Tablefin"/>
        <w:rPr>
          <w:lang w:val="es-ES_tradnl"/>
        </w:rPr>
      </w:pPr>
    </w:p>
    <w:p w:rsidR="00B755DB" w:rsidRPr="00C64D72" w:rsidRDefault="00B755DB" w:rsidP="00B755DB">
      <w:pPr>
        <w:rPr>
          <w:lang w:val="es-ES_tradnl"/>
        </w:rPr>
      </w:pPr>
      <w:r w:rsidRPr="00C64D72">
        <w:rPr>
          <w:lang w:val="es-ES_tradnl"/>
        </w:rPr>
        <w:t xml:space="preserve">Para las ondas kilométricas, la gama de variación de la intensidad de campo en latitudes medias con clima continental (mediciones efectuadas en Europa continental y la región Siberiana) depende de la distancia y la frecuencia, según el parámetro </w:t>
      </w:r>
      <w:r w:rsidRPr="00C64D72">
        <w:rPr>
          <w:i/>
          <w:iCs/>
          <w:lang w:val="es-ES_tradnl"/>
        </w:rPr>
        <w:t>q</w:t>
      </w:r>
      <w:r w:rsidRPr="00C64D72">
        <w:rPr>
          <w:lang w:val="es-ES_tradnl"/>
        </w:rPr>
        <w:t> = </w:t>
      </w:r>
      <w:r w:rsidRPr="00C64D72">
        <w:rPr>
          <w:i/>
          <w:iCs/>
          <w:lang w:val="es-ES_tradnl"/>
        </w:rPr>
        <w:t>d</w:t>
      </w:r>
      <w:r w:rsidRPr="00C64D72">
        <w:rPr>
          <w:iCs/>
          <w:lang w:val="es-ES_tradnl"/>
        </w:rPr>
        <w:t> </w:t>
      </w:r>
      <w:r w:rsidRPr="00C64D72">
        <w:rPr>
          <w:lang w:val="es-ES_tradnl"/>
        </w:rPr>
        <w:t>· </w:t>
      </w:r>
      <w:r w:rsidRPr="00C64D72">
        <w:rPr>
          <w:i/>
          <w:iCs/>
          <w:lang w:val="es-ES_tradnl"/>
        </w:rPr>
        <w:t>f</w:t>
      </w:r>
      <w:r w:rsidRPr="00C64D72">
        <w:rPr>
          <w:vertAlign w:val="superscript"/>
          <w:lang w:val="es-ES_tradnl"/>
        </w:rPr>
        <w:t>1/2</w:t>
      </w:r>
      <w:r w:rsidRPr="00C64D72">
        <w:rPr>
          <w:lang w:val="es-ES_tradnl"/>
        </w:rPr>
        <w:t xml:space="preserve">, donde </w:t>
      </w:r>
      <w:r w:rsidRPr="00C64D72">
        <w:rPr>
          <w:i/>
          <w:iCs/>
          <w:lang w:val="es-ES_tradnl"/>
        </w:rPr>
        <w:t>d</w:t>
      </w:r>
      <w:r w:rsidRPr="00C64D72">
        <w:rPr>
          <w:lang w:val="es-ES_tradnl"/>
        </w:rPr>
        <w:t xml:space="preserve"> es la distancia (km) y </w:t>
      </w:r>
      <w:r w:rsidRPr="00C64D72">
        <w:rPr>
          <w:i/>
          <w:iCs/>
          <w:lang w:val="es-ES_tradnl"/>
        </w:rPr>
        <w:t>f</w:t>
      </w:r>
      <w:r w:rsidRPr="00C64D72">
        <w:rPr>
          <w:lang w:val="es-ES_tradnl"/>
        </w:rPr>
        <w:t xml:space="preserve"> es la frecuencia (MHz). Los valores de </w:t>
      </w:r>
      <w:r w:rsidRPr="00C64D72">
        <w:rPr>
          <w:i/>
          <w:iCs/>
          <w:lang w:val="es-ES_tradnl"/>
        </w:rPr>
        <w:t>q</w:t>
      </w:r>
      <w:r w:rsidRPr="00C64D72">
        <w:rPr>
          <w:lang w:val="es-ES_tradnl"/>
        </w:rPr>
        <w:t xml:space="preserve"> &lt; 500, aproximadamente, indican la variación de las ondas de superficie, y los valores superiores, </w:t>
      </w:r>
      <w:r w:rsidRPr="00C64D72">
        <w:rPr>
          <w:i/>
          <w:iCs/>
          <w:lang w:val="es-ES_tradnl"/>
        </w:rPr>
        <w:t>q</w:t>
      </w:r>
      <w:r w:rsidRPr="00C64D72">
        <w:rPr>
          <w:lang w:val="es-ES_tradnl"/>
        </w:rPr>
        <w:t> &gt; 500, se refieren a las ondas ionosféricas.</w:t>
      </w:r>
    </w:p>
    <w:p w:rsidR="00B755DB" w:rsidRPr="00C64D72" w:rsidRDefault="00B755DB" w:rsidP="00B755DB">
      <w:pPr>
        <w:rPr>
          <w:lang w:val="es-ES_tradnl"/>
        </w:rPr>
      </w:pPr>
      <w:r w:rsidRPr="00C64D72">
        <w:rPr>
          <w:lang w:val="es-ES_tradnl"/>
        </w:rPr>
        <w:t>Figuran a continuación las fórmulas correspondientes a las gamas de variación:</w:t>
      </w:r>
    </w:p>
    <w:p w:rsidR="00B755DB" w:rsidRPr="00C64D72" w:rsidRDefault="00B755DB" w:rsidP="00B755DB">
      <w:pPr>
        <w:pStyle w:val="enumlev1"/>
        <w:rPr>
          <w:lang w:val="es-ES_tradnl"/>
        </w:rPr>
      </w:pPr>
      <w:r w:rsidRPr="00C64D72">
        <w:rPr>
          <w:lang w:val="es-ES_tradnl"/>
        </w:rPr>
        <w:t>–</w:t>
      </w:r>
      <w:r w:rsidRPr="00C64D72">
        <w:rPr>
          <w:lang w:val="es-ES_tradnl"/>
        </w:rPr>
        <w:tab/>
        <w:t>para trayectos con pequeña proporción de zona boscosa:</w:t>
      </w:r>
    </w:p>
    <w:p w:rsidR="00B755DB" w:rsidRPr="00C64D72" w:rsidRDefault="00B755DB" w:rsidP="00B755DB">
      <w:pPr>
        <w:pStyle w:val="Blanc"/>
        <w:rPr>
          <w:lang w:val="es-ES_tradnl"/>
        </w:rPr>
      </w:pPr>
    </w:p>
    <w:p w:rsidR="00B755DB" w:rsidRPr="00C64D72" w:rsidRDefault="00B755DB" w:rsidP="00B755DB">
      <w:pPr>
        <w:pStyle w:val="Equation"/>
        <w:rPr>
          <w:lang w:val="es-ES_tradnl"/>
        </w:rPr>
      </w:pPr>
      <w:r w:rsidRPr="00C64D72">
        <w:rPr>
          <w:lang w:val="es-ES_tradnl"/>
        </w:rPr>
        <w:tab/>
      </w:r>
      <w:r w:rsidRPr="00C64D72">
        <w:rPr>
          <w:lang w:val="es-ES_tradnl"/>
        </w:rPr>
        <w:tab/>
      </w:r>
      <w:r w:rsidRPr="00C64D72">
        <w:rPr>
          <w:position w:val="-12"/>
          <w:lang w:val="es-ES_tradnl"/>
        </w:rPr>
        <w:object w:dxaOrig="4540" w:dyaOrig="420">
          <v:shape id="_x0000_i1029" type="#_x0000_t75" style="width:226.6pt;height:20.75pt" o:ole="">
            <v:imagedata r:id="rId21" o:title=""/>
          </v:shape>
          <o:OLEObject Type="Embed" ProgID="Equation.3" ShapeID="_x0000_i1029" DrawAspect="Content" ObjectID="_1528206076" r:id="rId22"/>
        </w:object>
      </w:r>
    </w:p>
    <w:p w:rsidR="00B755DB" w:rsidRPr="00C64D72" w:rsidRDefault="00B755DB" w:rsidP="00B755DB">
      <w:pPr>
        <w:pStyle w:val="Blanc"/>
        <w:rPr>
          <w:lang w:val="es-ES_tradnl"/>
        </w:rPr>
      </w:pPr>
    </w:p>
    <w:p w:rsidR="00B755DB" w:rsidRPr="00C64D72" w:rsidRDefault="00B755DB" w:rsidP="00B755DB">
      <w:pPr>
        <w:pStyle w:val="enumlev1"/>
        <w:rPr>
          <w:lang w:val="es-ES_tradnl"/>
        </w:rPr>
      </w:pPr>
      <w:r w:rsidRPr="00C64D72">
        <w:rPr>
          <w:lang w:val="es-ES_tradnl"/>
        </w:rPr>
        <w:t>–</w:t>
      </w:r>
      <w:r w:rsidRPr="00C64D72">
        <w:rPr>
          <w:lang w:val="es-ES_tradnl"/>
        </w:rPr>
        <w:tab/>
        <w:t>para trayectos con gran proporción de zona boscosa:</w:t>
      </w:r>
    </w:p>
    <w:p w:rsidR="00B755DB" w:rsidRPr="00C64D72" w:rsidRDefault="00B755DB" w:rsidP="00B755DB">
      <w:pPr>
        <w:pStyle w:val="Blanc"/>
        <w:rPr>
          <w:lang w:val="es-ES_tradnl"/>
        </w:rPr>
      </w:pPr>
    </w:p>
    <w:p w:rsidR="00B755DB" w:rsidRPr="00C64D72" w:rsidRDefault="00B755DB" w:rsidP="00B755DB">
      <w:pPr>
        <w:pStyle w:val="Equation"/>
        <w:rPr>
          <w:lang w:val="es-ES_tradnl"/>
        </w:rPr>
      </w:pPr>
      <w:r w:rsidRPr="00C64D72">
        <w:rPr>
          <w:lang w:val="es-ES_tradnl"/>
        </w:rPr>
        <w:tab/>
      </w:r>
      <w:r w:rsidRPr="00C64D72">
        <w:rPr>
          <w:lang w:val="es-ES_tradnl"/>
        </w:rPr>
        <w:tab/>
      </w:r>
      <w:r w:rsidRPr="00C64D72">
        <w:rPr>
          <w:position w:val="-12"/>
          <w:lang w:val="es-ES_tradnl"/>
        </w:rPr>
        <w:object w:dxaOrig="4260" w:dyaOrig="360">
          <v:shape id="_x0000_i1030" type="#_x0000_t75" style="width:213.25pt;height:18.45pt" o:ole="">
            <v:imagedata r:id="rId23" o:title=""/>
          </v:shape>
          <o:OLEObject Type="Embed" ProgID="Equation.3" ShapeID="_x0000_i1030" DrawAspect="Content" ObjectID="_1528206077" r:id="rId24"/>
        </w:object>
      </w:r>
    </w:p>
    <w:p w:rsidR="00B755DB" w:rsidRPr="00C64D72" w:rsidRDefault="00B755DB" w:rsidP="00B755DB">
      <w:pPr>
        <w:pStyle w:val="Equation"/>
        <w:rPr>
          <w:lang w:val="es-ES_tradnl"/>
        </w:rPr>
      </w:pPr>
      <w:r w:rsidRPr="00C64D72">
        <w:rPr>
          <w:lang w:val="es-ES_tradnl"/>
        </w:rPr>
        <w:t xml:space="preserve">Aquí, los índices </w:t>
      </w:r>
      <w:r w:rsidRPr="00C64D72">
        <w:rPr>
          <w:rFonts w:eastAsia="Calibri"/>
          <w:i/>
          <w:iCs/>
          <w:lang w:val="es-ES_tradnl"/>
        </w:rPr>
        <w:t>s</w:t>
      </w:r>
      <w:r w:rsidRPr="00C64D72">
        <w:rPr>
          <w:rFonts w:eastAsia="Calibri"/>
          <w:lang w:val="es-ES_tradnl"/>
        </w:rPr>
        <w:t>/</w:t>
      </w:r>
      <w:r w:rsidRPr="00C64D72">
        <w:rPr>
          <w:rFonts w:eastAsia="Calibri"/>
          <w:i/>
          <w:iCs/>
          <w:lang w:val="es-ES_tradnl"/>
        </w:rPr>
        <w:t>w</w:t>
      </w:r>
      <w:r w:rsidRPr="00C64D72">
        <w:rPr>
          <w:rFonts w:eastAsia="Calibri"/>
          <w:lang w:val="es-ES_tradnl"/>
        </w:rPr>
        <w:t xml:space="preserve"> y </w:t>
      </w:r>
      <w:r w:rsidRPr="00C64D72">
        <w:rPr>
          <w:rFonts w:eastAsia="Calibri"/>
          <w:i/>
          <w:iCs/>
          <w:lang w:val="es-ES_tradnl"/>
        </w:rPr>
        <w:t>L</w:t>
      </w:r>
      <w:r w:rsidRPr="00C64D72">
        <w:rPr>
          <w:rFonts w:eastAsia="Calibri"/>
          <w:lang w:val="es-ES_tradnl"/>
        </w:rPr>
        <w:t>/</w:t>
      </w:r>
      <w:r w:rsidRPr="00C64D72">
        <w:rPr>
          <w:rFonts w:eastAsia="Calibri"/>
          <w:i/>
          <w:iCs/>
          <w:lang w:val="es-ES_tradnl"/>
        </w:rPr>
        <w:t>w</w:t>
      </w:r>
      <w:r w:rsidRPr="00C64D72">
        <w:rPr>
          <w:rFonts w:eastAsia="Calibri"/>
          <w:lang w:val="es-ES_tradnl"/>
        </w:rPr>
        <w:t xml:space="preserve"> representan una pequeña proporción de zona boscosa (</w:t>
      </w:r>
      <w:r w:rsidRPr="00C64D72">
        <w:rPr>
          <w:lang w:val="es-ES_tradnl"/>
        </w:rPr>
        <w:t xml:space="preserve">aproximadamente hasta el </w:t>
      </w:r>
      <w:r w:rsidRPr="00C64D72">
        <w:rPr>
          <w:rFonts w:eastAsia="Calibri"/>
          <w:lang w:val="es-ES_tradnl"/>
        </w:rPr>
        <w:t xml:space="preserve">30%) y una gran proporción de zona boscosa (más del </w:t>
      </w:r>
      <w:r w:rsidRPr="00C64D72">
        <w:rPr>
          <w:lang w:val="es-ES_tradnl"/>
        </w:rPr>
        <w:t>5</w:t>
      </w:r>
      <w:r w:rsidRPr="00C64D72">
        <w:rPr>
          <w:rFonts w:eastAsia="Calibri"/>
          <w:lang w:val="es-ES_tradnl"/>
        </w:rPr>
        <w:t>0%), respectivamente.</w:t>
      </w:r>
    </w:p>
    <w:p w:rsidR="00B755DB" w:rsidRPr="00C64D72" w:rsidRDefault="00B755DB" w:rsidP="00B755DB">
      <w:pPr>
        <w:pStyle w:val="Heading3"/>
        <w:rPr>
          <w:lang w:val="es-ES_tradnl"/>
        </w:rPr>
      </w:pPr>
      <w:r w:rsidRPr="00C64D72">
        <w:rPr>
          <w:lang w:val="es-ES_tradnl"/>
        </w:rPr>
        <w:t>4.1.2</w:t>
      </w:r>
      <w:r w:rsidRPr="00C64D72">
        <w:rPr>
          <w:lang w:val="es-ES_tradnl"/>
        </w:rPr>
        <w:tab/>
        <w:t>Variación del valor mediano de la hora de una día a otros</w:t>
      </w:r>
    </w:p>
    <w:p w:rsidR="00B755DB" w:rsidRPr="00C64D72" w:rsidRDefault="00B755DB" w:rsidP="00B755DB">
      <w:pPr>
        <w:rPr>
          <w:lang w:val="es-ES_tradnl"/>
        </w:rPr>
      </w:pPr>
      <w:r w:rsidRPr="00C64D72">
        <w:rPr>
          <w:lang w:val="es-ES_tradnl"/>
        </w:rPr>
        <w:t>La desviación cuadrática media (σ</w:t>
      </w:r>
      <w:r w:rsidRPr="00C64D72">
        <w:rPr>
          <w:i/>
          <w:iCs/>
          <w:vertAlign w:val="subscript"/>
          <w:lang w:val="es-ES_tradnl"/>
        </w:rPr>
        <w:t>L</w:t>
      </w:r>
      <w:r w:rsidRPr="00C64D72">
        <w:rPr>
          <w:vertAlign w:val="subscript"/>
          <w:lang w:val="es-ES_tradnl"/>
        </w:rPr>
        <w:t xml:space="preserve"> </w:t>
      </w:r>
      <w:r w:rsidRPr="00C64D72">
        <w:rPr>
          <w:rFonts w:eastAsia="Calibri"/>
          <w:lang w:val="es-ES_tradnl"/>
        </w:rPr>
        <w:t xml:space="preserve">para </w:t>
      </w:r>
      <w:r w:rsidRPr="00C64D72">
        <w:rPr>
          <w:lang w:val="es-ES_tradnl"/>
        </w:rPr>
        <w:t xml:space="preserve">ondas kilométricas </w:t>
      </w:r>
      <w:r w:rsidRPr="00C64D72">
        <w:rPr>
          <w:rFonts w:eastAsia="Calibri"/>
          <w:lang w:val="es-ES_tradnl"/>
        </w:rPr>
        <w:t xml:space="preserve">y </w:t>
      </w:r>
      <w:r w:rsidRPr="00C64D72">
        <w:rPr>
          <w:lang w:val="es-ES_tradnl"/>
        </w:rPr>
        <w:t>σ</w:t>
      </w:r>
      <w:r w:rsidRPr="00C64D72">
        <w:rPr>
          <w:i/>
          <w:iCs/>
          <w:vertAlign w:val="subscript"/>
          <w:lang w:val="es-ES_tradnl"/>
        </w:rPr>
        <w:t>M</w:t>
      </w:r>
      <w:r w:rsidRPr="00C64D72">
        <w:rPr>
          <w:rFonts w:eastAsia="Calibri"/>
          <w:lang w:val="es-ES_tradnl"/>
        </w:rPr>
        <w:t xml:space="preserve"> para </w:t>
      </w:r>
      <w:r w:rsidRPr="00C64D72">
        <w:rPr>
          <w:lang w:val="es-ES_tradnl"/>
        </w:rPr>
        <w:t>ondas hectométricas</w:t>
      </w:r>
      <w:r w:rsidRPr="00C64D72">
        <w:rPr>
          <w:rFonts w:eastAsia="Calibri"/>
          <w:lang w:val="es-ES_tradnl"/>
        </w:rPr>
        <w:t xml:space="preserve">) </w:t>
      </w:r>
      <w:r w:rsidRPr="00C64D72">
        <w:rPr>
          <w:lang w:val="es-ES_tradnl"/>
        </w:rPr>
        <w:t>de los valores medianos horarios de la intensidad de campo respecto a los valores medianos mensuales en ondas kilométricas depende de la longitud del trayecto, mientras que en ondas hectométricas depende de la frecuencia.</w:t>
      </w:r>
    </w:p>
    <w:p w:rsidR="00B755DB" w:rsidRPr="00C64D72" w:rsidRDefault="00B755DB" w:rsidP="00B755DB">
      <w:pPr>
        <w:rPr>
          <w:lang w:val="es-ES_tradnl"/>
        </w:rPr>
      </w:pPr>
      <w:r w:rsidRPr="00C64D72">
        <w:rPr>
          <w:lang w:val="es-ES_tradnl"/>
        </w:rPr>
        <w:t>En ondas kilométricas, en latitudes medias con una proporción media de zona boscosa, la dependencia es:</w:t>
      </w:r>
    </w:p>
    <w:p w:rsidR="00B755DB" w:rsidRPr="00C64D72" w:rsidRDefault="00B755DB" w:rsidP="00B755DB">
      <w:pPr>
        <w:pStyle w:val="Blanc"/>
        <w:rPr>
          <w:lang w:val="es-ES_tradnl"/>
        </w:rPr>
      </w:pPr>
    </w:p>
    <w:p w:rsidR="00B755DB" w:rsidRPr="00C64D72" w:rsidRDefault="00B755DB" w:rsidP="00B755DB">
      <w:pPr>
        <w:pStyle w:val="Equation"/>
        <w:rPr>
          <w:color w:val="000000"/>
          <w:lang w:val="es-ES_tradnl"/>
        </w:rPr>
      </w:pPr>
      <w:r w:rsidRPr="00C64D72">
        <w:rPr>
          <w:lang w:val="es-ES_tradnl"/>
        </w:rPr>
        <w:tab/>
      </w:r>
      <w:r w:rsidRPr="00C64D72">
        <w:rPr>
          <w:lang w:val="es-ES_tradnl"/>
        </w:rPr>
        <w:tab/>
      </w:r>
      <w:r w:rsidRPr="00C64D72">
        <w:rPr>
          <w:lang w:val="es-ES_tradnl"/>
        </w:rPr>
        <w:sym w:font="Symbol" w:char="F073"/>
      </w:r>
      <w:r w:rsidRPr="00C64D72">
        <w:rPr>
          <w:i/>
          <w:iCs/>
          <w:vertAlign w:val="subscript"/>
          <w:lang w:val="es-ES_tradnl"/>
        </w:rPr>
        <w:t>L</w:t>
      </w:r>
      <w:r w:rsidRPr="00C64D72">
        <w:rPr>
          <w:lang w:val="es-ES_tradnl"/>
        </w:rPr>
        <w:t xml:space="preserve"> = 0,073 </w:t>
      </w:r>
      <w:r w:rsidRPr="00C64D72">
        <w:rPr>
          <w:i/>
          <w:lang w:val="es-ES_tradnl"/>
        </w:rPr>
        <w:t>d</w:t>
      </w:r>
      <w:r w:rsidRPr="00C64D72">
        <w:rPr>
          <w:vertAlign w:val="superscript"/>
          <w:lang w:val="es-ES_tradnl"/>
        </w:rPr>
        <w:t>0,5</w:t>
      </w:r>
      <w:r w:rsidRPr="00C64D72">
        <w:rPr>
          <w:lang w:val="es-ES_tradnl"/>
        </w:rPr>
        <w:t xml:space="preserve"> + 0,00122 </w:t>
      </w:r>
      <w:r w:rsidRPr="00C64D72">
        <w:rPr>
          <w:i/>
          <w:lang w:val="es-ES_tradnl"/>
        </w:rPr>
        <w:t>d</w:t>
      </w:r>
      <w:r w:rsidRPr="00C64D72">
        <w:rPr>
          <w:color w:val="000000"/>
          <w:lang w:val="es-ES_tradnl"/>
        </w:rPr>
        <w:t>                dB</w:t>
      </w:r>
    </w:p>
    <w:p w:rsidR="00B755DB" w:rsidRPr="00C64D72" w:rsidRDefault="00B755DB" w:rsidP="00B755DB">
      <w:pPr>
        <w:pStyle w:val="Blanc"/>
        <w:rPr>
          <w:lang w:val="es-ES_tradnl"/>
        </w:rPr>
      </w:pPr>
    </w:p>
    <w:p w:rsidR="00B755DB" w:rsidRPr="00C64D72" w:rsidRDefault="00B755DB" w:rsidP="00B755DB">
      <w:pPr>
        <w:keepNext/>
        <w:keepLines/>
        <w:rPr>
          <w:lang w:val="es-ES_tradnl"/>
        </w:rPr>
      </w:pPr>
      <w:r w:rsidRPr="00C64D72">
        <w:rPr>
          <w:rFonts w:eastAsia="Calibri"/>
          <w:lang w:val="es-ES_tradnl"/>
        </w:rPr>
        <w:t>En ondas hectométricas, el error cuadrático medio (ECM) con frecuencia para trayectos de 20</w:t>
      </w:r>
      <w:r w:rsidR="006B4369" w:rsidRPr="00C64D72">
        <w:rPr>
          <w:rFonts w:eastAsia="Calibri"/>
          <w:lang w:val="es-ES_tradnl"/>
        </w:rPr>
        <w:t> km</w:t>
      </w:r>
      <w:r w:rsidRPr="00C64D72">
        <w:rPr>
          <w:rFonts w:eastAsia="Calibri"/>
          <w:lang w:val="es-ES_tradnl"/>
        </w:rPr>
        <w:t xml:space="preserve"> y 120</w:t>
      </w:r>
      <w:r w:rsidR="006B4369" w:rsidRPr="00C64D72">
        <w:rPr>
          <w:rFonts w:eastAsia="Calibri"/>
          <w:lang w:val="es-ES_tradnl"/>
        </w:rPr>
        <w:t> km</w:t>
      </w:r>
      <w:r w:rsidRPr="00C64D72">
        <w:rPr>
          <w:rFonts w:eastAsia="Calibri"/>
          <w:lang w:val="es-ES_tradnl"/>
        </w:rPr>
        <w:t xml:space="preserve"> sin división en estaciones, es:</w:t>
      </w:r>
    </w:p>
    <w:p w:rsidR="00B755DB" w:rsidRPr="00C64D72" w:rsidRDefault="00B755DB" w:rsidP="00B755DB">
      <w:pPr>
        <w:pStyle w:val="Blanc"/>
        <w:rPr>
          <w:lang w:val="es-ES_tradnl"/>
        </w:rPr>
      </w:pPr>
    </w:p>
    <w:p w:rsidR="00B755DB" w:rsidRPr="00C64D72" w:rsidRDefault="00B755DB" w:rsidP="00B755DB">
      <w:pPr>
        <w:pStyle w:val="Equation"/>
        <w:rPr>
          <w:color w:val="000000"/>
          <w:lang w:val="es-ES_tradnl"/>
        </w:rPr>
      </w:pPr>
      <w:r w:rsidRPr="00C64D72">
        <w:rPr>
          <w:lang w:val="es-ES_tradnl"/>
        </w:rPr>
        <w:tab/>
      </w:r>
      <w:r w:rsidRPr="00C64D72">
        <w:rPr>
          <w:lang w:val="es-ES_tradnl"/>
        </w:rPr>
        <w:tab/>
        <w:t>σ</w:t>
      </w:r>
      <w:r w:rsidRPr="00C64D72">
        <w:rPr>
          <w:i/>
          <w:iCs/>
          <w:vertAlign w:val="subscript"/>
          <w:lang w:val="es-ES_tradnl"/>
        </w:rPr>
        <w:t>M</w:t>
      </w:r>
      <w:r w:rsidRPr="00C64D72">
        <w:rPr>
          <w:lang w:val="es-ES_tradnl"/>
        </w:rPr>
        <w:t xml:space="preserve"> = 0,0018</w:t>
      </w:r>
      <w:r w:rsidRPr="00C64D72">
        <w:rPr>
          <w:i/>
          <w:iCs/>
          <w:lang w:val="es-ES_tradnl"/>
        </w:rPr>
        <w:t xml:space="preserve">f </w:t>
      </w:r>
      <w:r w:rsidRPr="00C64D72">
        <w:rPr>
          <w:lang w:val="es-ES_tradnl"/>
        </w:rPr>
        <w:t>+ 0,6</w:t>
      </w:r>
      <w:r w:rsidRPr="00C64D72">
        <w:rPr>
          <w:color w:val="000000"/>
          <w:lang w:val="es-ES_tradnl"/>
        </w:rPr>
        <w:t>                dB</w:t>
      </w:r>
    </w:p>
    <w:p w:rsidR="00B755DB" w:rsidRPr="00C64D72" w:rsidRDefault="00B755DB" w:rsidP="00B755DB">
      <w:pPr>
        <w:pStyle w:val="Blanc"/>
        <w:rPr>
          <w:lang w:val="es-ES_tradnl"/>
        </w:rPr>
      </w:pPr>
    </w:p>
    <w:p w:rsidR="00B755DB" w:rsidRPr="00C64D72" w:rsidRDefault="00B755DB" w:rsidP="00B755DB">
      <w:pPr>
        <w:rPr>
          <w:lang w:val="es-ES_tradnl"/>
        </w:rPr>
      </w:pPr>
      <w:r w:rsidRPr="00C64D72">
        <w:rPr>
          <w:lang w:val="es-ES_tradnl"/>
        </w:rPr>
        <w:t>En estas ecuaciones, σ</w:t>
      </w:r>
      <w:r w:rsidRPr="00C64D72">
        <w:rPr>
          <w:i/>
          <w:iCs/>
          <w:vertAlign w:val="subscript"/>
          <w:lang w:val="es-ES_tradnl"/>
        </w:rPr>
        <w:t>L</w:t>
      </w:r>
      <w:r w:rsidRPr="00C64D72">
        <w:rPr>
          <w:lang w:val="es-ES_tradnl"/>
        </w:rPr>
        <w:t>, σ</w:t>
      </w:r>
      <w:r w:rsidRPr="00C64D72">
        <w:rPr>
          <w:i/>
          <w:iCs/>
          <w:vertAlign w:val="subscript"/>
          <w:lang w:val="es-ES_tradnl"/>
        </w:rPr>
        <w:t>M</w:t>
      </w:r>
      <w:r w:rsidRPr="00C64D72" w:rsidDel="00DE2FBF">
        <w:rPr>
          <w:lang w:val="es-ES_tradnl"/>
        </w:rPr>
        <w:t xml:space="preserve"> </w:t>
      </w:r>
      <w:r w:rsidRPr="00C64D72">
        <w:rPr>
          <w:lang w:val="es-ES_tradnl"/>
        </w:rPr>
        <w:t xml:space="preserve">son el valor cuadrático medio en dB, </w:t>
      </w:r>
      <w:r w:rsidRPr="00C64D72">
        <w:rPr>
          <w:i/>
          <w:lang w:val="es-ES_tradnl"/>
        </w:rPr>
        <w:t>d</w:t>
      </w:r>
      <w:r w:rsidRPr="00C64D72">
        <w:rPr>
          <w:lang w:val="es-ES_tradnl"/>
        </w:rPr>
        <w:t xml:space="preserve"> es la distancia en</w:t>
      </w:r>
      <w:r w:rsidR="006B4369" w:rsidRPr="00C64D72">
        <w:rPr>
          <w:lang w:val="es-ES_tradnl"/>
        </w:rPr>
        <w:t> km</w:t>
      </w:r>
      <w:r w:rsidRPr="00C64D72">
        <w:rPr>
          <w:lang w:val="es-ES_tradnl"/>
        </w:rPr>
        <w:t xml:space="preserve">, </w:t>
      </w:r>
      <w:r w:rsidRPr="00C64D72">
        <w:rPr>
          <w:i/>
          <w:iCs/>
          <w:lang w:val="es-ES_tradnl"/>
        </w:rPr>
        <w:t>f</w:t>
      </w:r>
      <w:r w:rsidRPr="00C64D72">
        <w:rPr>
          <w:lang w:val="es-ES_tradnl"/>
        </w:rPr>
        <w:t xml:space="preserve"> es la frecuencia en kHz.</w:t>
      </w:r>
    </w:p>
    <w:p w:rsidR="00B755DB" w:rsidRPr="00C64D72" w:rsidRDefault="00B755DB" w:rsidP="00B755DB">
      <w:pPr>
        <w:pStyle w:val="Heading2"/>
        <w:rPr>
          <w:lang w:val="es-ES_tradnl"/>
        </w:rPr>
      </w:pPr>
      <w:r w:rsidRPr="00C64D72">
        <w:rPr>
          <w:lang w:val="es-ES_tradnl"/>
        </w:rPr>
        <w:t>4.2</w:t>
      </w:r>
      <w:r w:rsidRPr="00C64D72">
        <w:rPr>
          <w:lang w:val="es-ES_tradnl"/>
        </w:rPr>
        <w:tab/>
        <w:t>Variaciones de una señal durante el día de un lugar a otro</w:t>
      </w:r>
    </w:p>
    <w:p w:rsidR="00B755DB" w:rsidRPr="00C64D72" w:rsidRDefault="00B755DB" w:rsidP="00B755DB">
      <w:pPr>
        <w:rPr>
          <w:lang w:val="es-ES_tradnl"/>
        </w:rPr>
      </w:pPr>
      <w:r w:rsidRPr="00C64D72">
        <w:rPr>
          <w:lang w:val="es-ES_tradnl"/>
        </w:rPr>
        <w:t>En ondas hectométricas, los cambios de nivel de una señal entre localizaciones separadas por distancias del orden de 1</w:t>
      </w:r>
      <w:r w:rsidR="006B4369" w:rsidRPr="00C64D72">
        <w:rPr>
          <w:lang w:val="es-ES_tradnl"/>
        </w:rPr>
        <w:t> km</w:t>
      </w:r>
      <w:r w:rsidRPr="00C64D72">
        <w:rPr>
          <w:lang w:val="es-ES_tradnl"/>
        </w:rPr>
        <w:t xml:space="preserve"> alcanzan valores de desviación típica similares en diferentes partes del mundo. La distribución de probabilidad coincide prácticamente con una ley log</w:t>
      </w:r>
      <w:r w:rsidRPr="00C64D72">
        <w:rPr>
          <w:lang w:val="es-ES_tradnl"/>
        </w:rPr>
        <w:noBreakHyphen/>
        <w:t xml:space="preserve">normal con desviación cuadrática media </w:t>
      </w:r>
      <w:r w:rsidRPr="00C64D72">
        <w:rPr>
          <w:lang w:val="es-ES_tradnl"/>
        </w:rPr>
        <w:sym w:font="Symbol" w:char="F073"/>
      </w:r>
      <w:r w:rsidRPr="00C64D72">
        <w:rPr>
          <w:lang w:val="es-ES_tradnl"/>
        </w:rPr>
        <w:t> = 3,7 dB, como se indica en la Fig. 5.</w:t>
      </w:r>
    </w:p>
    <w:p w:rsidR="00B755DB" w:rsidRPr="00C64D72" w:rsidRDefault="00B755DB" w:rsidP="00B755DB">
      <w:pPr>
        <w:rPr>
          <w:lang w:val="es-ES_tradnl"/>
        </w:rPr>
      </w:pPr>
      <w:r w:rsidRPr="00C64D72">
        <w:rPr>
          <w:lang w:val="es-ES_tradnl"/>
        </w:rPr>
        <w:t>En calles y zonas bajo condiciones urbanas, la desviación típica también alcanza valores próximos a 4 dB. En partes de la ciudad con elevado índice de construcción, especialmente a pequeñas distancias del transmisor (hasta 1</w:t>
      </w:r>
      <w:r w:rsidR="006B4369" w:rsidRPr="00C64D72">
        <w:rPr>
          <w:lang w:val="es-ES_tradnl"/>
        </w:rPr>
        <w:t> km</w:t>
      </w:r>
      <w:r w:rsidRPr="00C64D72">
        <w:rPr>
          <w:lang w:val="es-ES_tradnl"/>
        </w:rPr>
        <w:t>), la desviación típica aumenta y llega hasta 7</w:t>
      </w:r>
      <w:r w:rsidRPr="00C64D72">
        <w:rPr>
          <w:lang w:val="es-ES_tradnl"/>
        </w:rPr>
        <w:noBreakHyphen/>
        <w:t>8 dB. En el interior de los edificios, y sólo excepcionalmente, la absorción adicional puede llegar a 20 dB.</w:t>
      </w:r>
    </w:p>
    <w:p w:rsidR="00B755DB" w:rsidRPr="00C64D72" w:rsidRDefault="00B755DB" w:rsidP="00B755DB">
      <w:pPr>
        <w:pStyle w:val="Heading2"/>
        <w:rPr>
          <w:lang w:val="es-ES_tradnl"/>
        </w:rPr>
      </w:pPr>
      <w:r w:rsidRPr="00C64D72">
        <w:rPr>
          <w:lang w:val="es-ES_tradnl"/>
        </w:rPr>
        <w:t>4.3</w:t>
      </w:r>
      <w:r w:rsidRPr="00C64D72">
        <w:rPr>
          <w:lang w:val="es-ES_tradnl"/>
        </w:rPr>
        <w:tab/>
        <w:t>Variaciones de una señal durante la noche</w:t>
      </w:r>
    </w:p>
    <w:p w:rsidR="00B755DB" w:rsidRPr="00C64D72" w:rsidRDefault="00B755DB" w:rsidP="00B755DB">
      <w:pPr>
        <w:rPr>
          <w:lang w:val="es-ES_tradnl"/>
        </w:rPr>
      </w:pPr>
      <w:r w:rsidRPr="00C64D72">
        <w:rPr>
          <w:lang w:val="es-ES_tradnl"/>
        </w:rPr>
        <w:t>Los modos de ondas ionosféricas registrarán a largo plazo variaciones de unas noches a otras, donde los valores medianos horarios presentan una distribución logarítmica normal con un margen semi-interdecilo que va de 3,5 a 9 dB. En el curso de una hora, el desvanecimiento de los distintos modos presenta también una distribución logarítmica normal; se conocen pocos datos de mediciones, pero cabe suponer un valor típico de la desviación en cerca de 3 dB. La frecuencia de desvanecimiento se cifra entre 10 y 30 desvanecimientos/hora.</w:t>
      </w:r>
    </w:p>
    <w:p w:rsidR="00B755DB" w:rsidRPr="00C64D72" w:rsidRDefault="00B755DB" w:rsidP="00B755DB">
      <w:pPr>
        <w:rPr>
          <w:lang w:val="es-ES_tradnl"/>
        </w:rPr>
      </w:pPr>
      <w:r w:rsidRPr="00C64D72">
        <w:rPr>
          <w:lang w:val="es-ES_tradnl"/>
        </w:rPr>
        <w:t>El Apéndice 1 al Anexo 1 desarrolla la distribución de desvanecimientos de la señal para los casos en que se requiere conocer la amplitud compuesta de los modos de onda de superficie y de onda ionosférica, es decir, cuando los modos no pueden separarse en el sistema receptor.</w:t>
      </w:r>
    </w:p>
    <w:p w:rsidR="00B755DB" w:rsidRPr="00C64D72" w:rsidRDefault="00B755DB" w:rsidP="00B755DB">
      <w:pPr>
        <w:rPr>
          <w:lang w:val="es-ES_tradnl"/>
        </w:rPr>
      </w:pPr>
      <w:r w:rsidRPr="00C64D72">
        <w:rPr>
          <w:lang w:val="es-ES_tradnl"/>
        </w:rPr>
        <w:t>El desplazamiento de frecuencia que se produce con los modos de propagación por onda ionosférica, debido al efecto Doppler sobre la reflexión en las capas ionosféricas en movimiento, será reducido.</w:t>
      </w:r>
    </w:p>
    <w:p w:rsidR="00B755DB" w:rsidRPr="00C64D72" w:rsidRDefault="00B755DB" w:rsidP="00B755DB">
      <w:pPr>
        <w:pStyle w:val="FigureNo"/>
        <w:rPr>
          <w:lang w:val="es-ES_tradnl"/>
        </w:rPr>
      </w:pPr>
      <w:r w:rsidRPr="00C64D72">
        <w:rPr>
          <w:lang w:val="es-ES_tradnl"/>
        </w:rPr>
        <w:t>FIGURA 5</w:t>
      </w:r>
    </w:p>
    <w:p w:rsidR="00B755DB" w:rsidRPr="00C64D72" w:rsidRDefault="00B755DB" w:rsidP="00B755DB">
      <w:pPr>
        <w:pStyle w:val="Figuretitle"/>
        <w:rPr>
          <w:lang w:val="es-ES_tradnl"/>
        </w:rPr>
      </w:pPr>
      <w:r w:rsidRPr="00C64D72">
        <w:rPr>
          <w:lang w:val="es-ES_tradnl"/>
        </w:rPr>
        <w:t>Ley de distribución de las desviaciones</w:t>
      </w:r>
    </w:p>
    <w:p w:rsidR="00B755DB" w:rsidRPr="00C64D72" w:rsidRDefault="00B755DB" w:rsidP="00B755DB">
      <w:pPr>
        <w:pStyle w:val="Figure"/>
        <w:rPr>
          <w:lang w:val="es-ES_tradnl"/>
        </w:rPr>
      </w:pPr>
      <w:r w:rsidRPr="00C64D72">
        <w:rPr>
          <w:lang w:val="es-ES_tradnl"/>
        </w:rPr>
        <w:object w:dxaOrig="3581" w:dyaOrig="2426">
          <v:shape id="_x0000_i1031" type="#_x0000_t75" style="width:297.25pt;height:200.3pt" o:ole="">
            <v:imagedata r:id="rId25" o:title=""/>
          </v:shape>
          <o:OLEObject Type="Embed" ProgID="CorelDRAW.Graphic.14" ShapeID="_x0000_i1031" DrawAspect="Content" ObjectID="_1528206078" r:id="rId26"/>
        </w:object>
      </w:r>
    </w:p>
    <w:p w:rsidR="00B755DB" w:rsidRPr="00C64D72" w:rsidRDefault="00B755DB" w:rsidP="00B755DB">
      <w:pPr>
        <w:pStyle w:val="Heading2"/>
        <w:rPr>
          <w:lang w:val="es-ES_tradnl"/>
        </w:rPr>
      </w:pPr>
      <w:r w:rsidRPr="00C64D72">
        <w:rPr>
          <w:lang w:val="es-ES_tradnl"/>
        </w:rPr>
        <w:t>4.4</w:t>
      </w:r>
      <w:r w:rsidRPr="00C64D72">
        <w:rPr>
          <w:lang w:val="es-ES_tradnl"/>
        </w:rPr>
        <w:tab/>
        <w:t>Características de excesos y desvanecimientos en los canales ionosféricos en ondas kilométricas y hectométricas</w:t>
      </w:r>
    </w:p>
    <w:p w:rsidR="00B755DB" w:rsidRPr="00C64D72" w:rsidRDefault="00B755DB" w:rsidP="00B755DB">
      <w:pPr>
        <w:rPr>
          <w:lang w:val="es-ES_tradnl"/>
        </w:rPr>
      </w:pPr>
      <w:r w:rsidRPr="00C64D72">
        <w:rPr>
          <w:lang w:val="es-ES_tradnl"/>
        </w:rPr>
        <w:t>Para el análisis y la planificación de los sistemas de radiocomunicaciones con modulación digital en las bandas de ondas kilométricas y hectométricas, las características de los valores medios y la dispersión de la señal parecen estar insuficientemente descritas. Es necesario tener en cuenta propiedades más detalladas de los excesos y desvanecimientos y, en particular, debe conocerse la distribución de probabilidad de las duraciones de los excesos y desvanecimientos para diversos niveles de la relación señal/interferencia. Las características estadísticas de los excesos y desvanecimientos se obtuvieron para un periodo de dos años en dos enlaces, uno de ondas kilométricas (1 550</w:t>
      </w:r>
      <w:r w:rsidR="006B4369" w:rsidRPr="00C64D72">
        <w:rPr>
          <w:lang w:val="es-ES_tradnl"/>
        </w:rPr>
        <w:t> km</w:t>
      </w:r>
      <w:r w:rsidRPr="00C64D72">
        <w:rPr>
          <w:lang w:val="es-ES_tradnl"/>
        </w:rPr>
        <w:t xml:space="preserve"> a 155 kHz) y uno de ondas hectométricas (860</w:t>
      </w:r>
      <w:r w:rsidR="006B4369" w:rsidRPr="00C64D72">
        <w:rPr>
          <w:lang w:val="es-ES_tradnl"/>
        </w:rPr>
        <w:t> km</w:t>
      </w:r>
      <w:r w:rsidRPr="00C64D72">
        <w:rPr>
          <w:lang w:val="es-ES_tradnl"/>
        </w:rPr>
        <w:t xml:space="preserve"> a 539 kHz), y se indican en el siguiente Apéndice 2. Los resultados se refieren a latitudes geográficas medias del hemisferio oriental y a una actividad solar (número de manchas solares) moderada (SSN </w:t>
      </w:r>
      <w:r w:rsidRPr="00C64D72">
        <w:rPr>
          <w:lang w:val="es-ES_tradnl"/>
        </w:rPr>
        <w:sym w:font="Mathematica1" w:char="00BB"/>
      </w:r>
      <w:r w:rsidRPr="00C64D72">
        <w:rPr>
          <w:lang w:val="es-ES_tradnl"/>
        </w:rPr>
        <w:t xml:space="preserve"> 40).</w:t>
      </w:r>
    </w:p>
    <w:p w:rsidR="00B755DB" w:rsidRPr="00C64D72" w:rsidRDefault="00B755DB" w:rsidP="00F12511">
      <w:pPr>
        <w:rPr>
          <w:lang w:val="es-ES_tradnl"/>
        </w:rPr>
      </w:pPr>
      <w:r w:rsidRPr="00C64D72">
        <w:rPr>
          <w:lang w:val="es-ES_tradnl"/>
        </w:rPr>
        <w:t>En el Apéndice 2 aparecen en los Cuadros 3 y 4 el número de excesos y desvanecimientos por hora en cada enlace. Las Figs</w:t>
      </w:r>
      <w:r w:rsidR="00F12511">
        <w:rPr>
          <w:lang w:val="es-ES_tradnl"/>
        </w:rPr>
        <w:t>.</w:t>
      </w:r>
      <w:r w:rsidRPr="00C64D72">
        <w:rPr>
          <w:lang w:val="es-ES_tradnl"/>
        </w:rPr>
        <w:t> 6 y 7 representan los diagramas de dispersión del número de duraciones en exceso (%) para el umbral mediano en cada enlace.</w:t>
      </w:r>
    </w:p>
    <w:p w:rsidR="00B755DB" w:rsidRPr="00C64D72" w:rsidRDefault="00B755DB" w:rsidP="00B755DB">
      <w:pPr>
        <w:pStyle w:val="Heading1"/>
        <w:rPr>
          <w:lang w:val="es-ES_tradnl"/>
        </w:rPr>
      </w:pPr>
      <w:bookmarkStart w:id="16" w:name="_Toc107989872"/>
      <w:r w:rsidRPr="00C64D72">
        <w:rPr>
          <w:lang w:val="es-ES_tradnl"/>
        </w:rPr>
        <w:t>5</w:t>
      </w:r>
      <w:r w:rsidRPr="00C64D72">
        <w:rPr>
          <w:lang w:val="es-ES_tradnl"/>
        </w:rPr>
        <w:tab/>
        <w:t>Conclusiones</w:t>
      </w:r>
      <w:bookmarkEnd w:id="16"/>
    </w:p>
    <w:p w:rsidR="00B755DB" w:rsidRPr="00C64D72" w:rsidRDefault="00B755DB" w:rsidP="00B755DB">
      <w:pPr>
        <w:rPr>
          <w:lang w:val="es-ES_tradnl"/>
        </w:rPr>
      </w:pPr>
      <w:r w:rsidRPr="00C64D72">
        <w:rPr>
          <w:lang w:val="es-ES_tradnl"/>
        </w:rPr>
        <w:t>La Recomendación UIT-R P.1407 define un conjunto de parámetros que sirven para la descripción de los efectos de la propagación por trayectos múltiples. Observando atentamente la Fig. 2 podrá determinarse que la «ventana de retardo», que contiene digamos más del 98% de la energía total, es inferior a 3 ms. Puede observarse que, bajo ciertas circunstancias, la componente inicial de propagación por trayectos múltiples no será la de mayor amplitud.</w:t>
      </w:r>
    </w:p>
    <w:p w:rsidR="00B755DB" w:rsidRPr="00C64D72" w:rsidRDefault="00B755DB" w:rsidP="00B755DB">
      <w:pPr>
        <w:pStyle w:val="AppendixNoTitle"/>
        <w:rPr>
          <w:lang w:val="es-ES_tradnl"/>
        </w:rPr>
      </w:pPr>
      <w:bookmarkStart w:id="17" w:name="_Toc107989873"/>
      <w:r w:rsidRPr="00C64D72">
        <w:rPr>
          <w:lang w:val="es-ES_tradnl"/>
        </w:rPr>
        <w:t>Apéndice 1</w:t>
      </w:r>
      <w:r w:rsidRPr="00C64D72">
        <w:rPr>
          <w:lang w:val="es-ES_tradnl"/>
        </w:rPr>
        <w:br/>
        <w:t>al Anexo 1</w:t>
      </w:r>
      <w:bookmarkEnd w:id="17"/>
    </w:p>
    <w:p w:rsidR="00B755DB" w:rsidRPr="00C64D72" w:rsidRDefault="00B755DB" w:rsidP="00B755DB">
      <w:pPr>
        <w:pStyle w:val="Normalaftertitle"/>
        <w:keepNext/>
        <w:keepLines/>
        <w:rPr>
          <w:lang w:val="es-ES_tradnl"/>
        </w:rPr>
      </w:pPr>
      <w:r w:rsidRPr="00C64D72">
        <w:rPr>
          <w:lang w:val="es-ES_tradnl"/>
        </w:rPr>
        <w:t xml:space="preserve">La amplitud de señal compuesta </w:t>
      </w:r>
      <w:r w:rsidRPr="00C64D72">
        <w:rPr>
          <w:i/>
          <w:lang w:val="es-ES_tradnl"/>
        </w:rPr>
        <w:t>e</w:t>
      </w:r>
      <w:r w:rsidRPr="00C64D72">
        <w:rPr>
          <w:lang w:val="es-ES_tradnl"/>
        </w:rPr>
        <w:t>, correspondiente a la combinación de una señal constante de onda de superficie y una señal de onda ionosférica de distribución logarítmica normal, se obtiene mediante la suma de potencias, tal como sigue:</w:t>
      </w:r>
    </w:p>
    <w:p w:rsidR="006B4369" w:rsidRPr="00C64D72" w:rsidRDefault="006B4369" w:rsidP="006B4369">
      <w:pPr>
        <w:pStyle w:val="Blanc"/>
        <w:rPr>
          <w:lang w:val="es-ES_tradnl"/>
        </w:rPr>
      </w:pPr>
    </w:p>
    <w:p w:rsidR="00B755DB" w:rsidRPr="00C64D72" w:rsidRDefault="00B755DB" w:rsidP="00B755DB">
      <w:pPr>
        <w:pStyle w:val="Equation"/>
        <w:rPr>
          <w:lang w:val="es-ES_tradnl"/>
        </w:rPr>
      </w:pPr>
      <w:r w:rsidRPr="00C64D72">
        <w:rPr>
          <w:lang w:val="es-ES_tradnl"/>
        </w:rPr>
        <w:tab/>
      </w:r>
      <w:r w:rsidRPr="00C64D72">
        <w:rPr>
          <w:lang w:val="es-ES_tradnl"/>
        </w:rPr>
        <w:tab/>
      </w:r>
      <w:r w:rsidRPr="00C64D72">
        <w:rPr>
          <w:position w:val="-14"/>
          <w:lang w:val="es-ES_tradnl"/>
        </w:rPr>
        <w:object w:dxaOrig="1100" w:dyaOrig="480">
          <v:shape id="_x0000_i1032" type="#_x0000_t75" style="width:55.4pt;height:24pt" o:ole="">
            <v:imagedata r:id="rId27" o:title=""/>
          </v:shape>
          <o:OLEObject Type="Embed" ProgID="Equation.3" ShapeID="_x0000_i1032" DrawAspect="Content" ObjectID="_1528206079" r:id="rId28"/>
        </w:object>
      </w:r>
    </w:p>
    <w:p w:rsidR="006B4369" w:rsidRPr="00C64D72" w:rsidRDefault="006B4369" w:rsidP="006B4369">
      <w:pPr>
        <w:pStyle w:val="Blanc"/>
        <w:rPr>
          <w:lang w:val="es-ES_tradnl"/>
        </w:rPr>
      </w:pPr>
    </w:p>
    <w:p w:rsidR="00B755DB" w:rsidRPr="00C64D72" w:rsidRDefault="00B755DB" w:rsidP="00B755DB">
      <w:pPr>
        <w:rPr>
          <w:lang w:val="es-ES_tradnl"/>
        </w:rPr>
      </w:pPr>
      <w:r w:rsidRPr="00C64D72">
        <w:rPr>
          <w:lang w:val="es-ES_tradnl"/>
        </w:rPr>
        <w:t xml:space="preserve">en que </w:t>
      </w:r>
      <w:r w:rsidRPr="00C64D72">
        <w:rPr>
          <w:i/>
          <w:lang w:val="es-ES_tradnl"/>
        </w:rPr>
        <w:t>e</w:t>
      </w:r>
      <w:r w:rsidRPr="00C64D72">
        <w:rPr>
          <w:i/>
          <w:iCs/>
          <w:vertAlign w:val="subscript"/>
          <w:lang w:val="es-ES_tradnl"/>
        </w:rPr>
        <w:t>e</w:t>
      </w:r>
      <w:r w:rsidRPr="00C64D72">
        <w:rPr>
          <w:lang w:val="es-ES_tradnl"/>
        </w:rPr>
        <w:t xml:space="preserve"> y </w:t>
      </w:r>
      <w:r w:rsidRPr="00C64D72">
        <w:rPr>
          <w:i/>
          <w:lang w:val="es-ES_tradnl"/>
        </w:rPr>
        <w:t>e</w:t>
      </w:r>
      <w:r w:rsidRPr="00C64D72">
        <w:rPr>
          <w:i/>
          <w:iCs/>
          <w:vertAlign w:val="subscript"/>
          <w:lang w:val="es-ES_tradnl"/>
        </w:rPr>
        <w:t>i</w:t>
      </w:r>
      <w:r w:rsidRPr="00C64D72">
        <w:rPr>
          <w:lang w:val="es-ES_tradnl"/>
        </w:rPr>
        <w:t xml:space="preserve"> representan, respectivamente, los niveles de los componentes de onda de superficie y de onda ionosférica, generalmente expresados en </w:t>
      </w:r>
      <w:r w:rsidRPr="00C64D72">
        <w:rPr>
          <w:lang w:val="es-ES_tradnl"/>
        </w:rPr>
        <w:sym w:font="Symbol" w:char="F06D"/>
      </w:r>
      <w:r w:rsidRPr="00C64D72">
        <w:rPr>
          <w:lang w:val="es-ES_tradnl"/>
        </w:rPr>
        <w:t>V/m.</w:t>
      </w:r>
    </w:p>
    <w:p w:rsidR="00B755DB" w:rsidRPr="00C64D72" w:rsidRDefault="00B755DB" w:rsidP="00B755DB">
      <w:pPr>
        <w:rPr>
          <w:lang w:val="es-ES_tradnl"/>
        </w:rPr>
      </w:pPr>
      <w:r w:rsidRPr="00C64D72">
        <w:rPr>
          <w:lang w:val="es-ES_tradnl"/>
        </w:rPr>
        <w:t xml:space="preserve">La componente de onda ionosférica, </w:t>
      </w:r>
      <w:r w:rsidRPr="00C64D72">
        <w:rPr>
          <w:i/>
          <w:lang w:val="es-ES_tradnl"/>
        </w:rPr>
        <w:t>e</w:t>
      </w:r>
      <w:r w:rsidRPr="00C64D72">
        <w:rPr>
          <w:i/>
          <w:iCs/>
          <w:vertAlign w:val="subscript"/>
          <w:lang w:val="es-ES_tradnl"/>
        </w:rPr>
        <w:t>i</w:t>
      </w:r>
      <w:r w:rsidRPr="00C64D72">
        <w:rPr>
          <w:lang w:val="es-ES_tradnl"/>
        </w:rPr>
        <w:t>, presenta una distribución logarítmica normal, tal como se describe en la Recomendación UIT</w:t>
      </w:r>
      <w:r w:rsidRPr="00C64D72">
        <w:rPr>
          <w:lang w:val="es-ES_tradnl"/>
        </w:rPr>
        <w:noBreakHyphen/>
        <w:t>R P.1057, ecuación (6). Para mayor comodidad se simula también la componente de onda de superficie con distribución logarítmica normal, y el resultado final se obtiene colocando su desviación típica en 0 dB.</w:t>
      </w:r>
    </w:p>
    <w:p w:rsidR="00B755DB" w:rsidRPr="00C64D72" w:rsidRDefault="00B755DB" w:rsidP="00B755DB">
      <w:pPr>
        <w:rPr>
          <w:lang w:val="es-ES_tradnl"/>
        </w:rPr>
      </w:pPr>
      <w:r w:rsidRPr="00C64D72">
        <w:rPr>
          <w:lang w:val="es-ES_tradnl"/>
        </w:rPr>
        <w:t>La combinación de dos distribuciones logarítmicas normales resulta en otra distribución logarítmica normal en la que el nivel medio es la suma de los respectivos niveles medios (medidos en amplitud, no en decibelios) y la varianza es la suma de ambas varianzas.</w:t>
      </w:r>
    </w:p>
    <w:p w:rsidR="00B755DB" w:rsidRPr="00C64D72" w:rsidRDefault="00B755DB" w:rsidP="00B755DB">
      <w:pPr>
        <w:rPr>
          <w:lang w:val="es-ES_tradnl"/>
        </w:rPr>
      </w:pPr>
      <w:r w:rsidRPr="00C64D72">
        <w:rPr>
          <w:lang w:val="es-ES_tradnl"/>
        </w:rPr>
        <w:t>Para una distribución logarítmica normal (véase la Recomendación UIT-R P.1057), las desviaciones media y típica de los niveles de señal (</w:t>
      </w:r>
      <w:r w:rsidRPr="00C64D72">
        <w:rPr>
          <w:lang w:val="es-ES_tradnl"/>
        </w:rPr>
        <w:sym w:font="Symbol" w:char="F06D"/>
      </w:r>
      <w:r w:rsidRPr="00C64D72">
        <w:rPr>
          <w:lang w:val="es-ES_tradnl"/>
        </w:rPr>
        <w:t>V/m) están dadas por:</w:t>
      </w:r>
    </w:p>
    <w:p w:rsidR="00B755DB" w:rsidRPr="00C64D72" w:rsidRDefault="00B755DB" w:rsidP="00B755DB">
      <w:pPr>
        <w:pStyle w:val="Blanc"/>
        <w:rPr>
          <w:lang w:val="es-ES_tradnl"/>
        </w:rPr>
      </w:pPr>
    </w:p>
    <w:p w:rsidR="00B755DB" w:rsidRPr="00C64D72" w:rsidRDefault="00B755DB" w:rsidP="00B755DB">
      <w:pPr>
        <w:pStyle w:val="Equation"/>
        <w:keepNext/>
        <w:keepLines/>
        <w:rPr>
          <w:lang w:val="es-ES_tradnl"/>
        </w:rPr>
      </w:pPr>
      <w:r w:rsidRPr="00C64D72">
        <w:rPr>
          <w:lang w:val="es-ES_tradnl"/>
        </w:rPr>
        <w:tab/>
      </w:r>
      <w:r w:rsidRPr="00C64D72">
        <w:rPr>
          <w:lang w:val="es-ES_tradnl"/>
        </w:rPr>
        <w:tab/>
      </w:r>
      <w:r w:rsidRPr="00C64D72">
        <w:rPr>
          <w:position w:val="-10"/>
          <w:lang w:val="es-ES_tradnl"/>
        </w:rPr>
        <w:object w:dxaOrig="2020" w:dyaOrig="440">
          <v:shape id="_x0000_i1033" type="#_x0000_t75" style="width:101.1pt;height:22.15pt" o:ole="">
            <v:imagedata r:id="rId29" o:title=""/>
          </v:shape>
          <o:OLEObject Type="Embed" ProgID="Equation.3" ShapeID="_x0000_i1033" DrawAspect="Content" ObjectID="_1528206080" r:id="rId30"/>
        </w:object>
      </w:r>
    </w:p>
    <w:p w:rsidR="00B755DB" w:rsidRPr="00C64D72" w:rsidRDefault="00B755DB" w:rsidP="00B755DB">
      <w:pPr>
        <w:pStyle w:val="Blanc"/>
        <w:rPr>
          <w:lang w:val="es-ES_tradnl"/>
        </w:rPr>
      </w:pPr>
    </w:p>
    <w:p w:rsidR="00B755DB" w:rsidRPr="00C64D72" w:rsidRDefault="00B755DB" w:rsidP="00B755DB">
      <w:pPr>
        <w:pStyle w:val="Equation"/>
        <w:rPr>
          <w:lang w:val="es-ES_tradnl"/>
        </w:rPr>
      </w:pPr>
      <w:r w:rsidRPr="00C64D72">
        <w:rPr>
          <w:lang w:val="es-ES_tradnl"/>
        </w:rPr>
        <w:tab/>
      </w:r>
      <w:r w:rsidRPr="00C64D72">
        <w:rPr>
          <w:lang w:val="es-ES_tradnl"/>
        </w:rPr>
        <w:tab/>
      </w:r>
      <w:r w:rsidRPr="00C64D72">
        <w:rPr>
          <w:position w:val="-26"/>
          <w:lang w:val="es-ES_tradnl"/>
        </w:rPr>
        <w:object w:dxaOrig="3820" w:dyaOrig="680">
          <v:shape id="_x0000_i1034" type="#_x0000_t75" style="width:191.55pt;height:34.6pt" o:ole="">
            <v:imagedata r:id="rId31" o:title=""/>
          </v:shape>
          <o:OLEObject Type="Embed" ProgID="Equation.3" ShapeID="_x0000_i1034" DrawAspect="Content" ObjectID="_1528206081" r:id="rId32"/>
        </w:object>
      </w:r>
    </w:p>
    <w:p w:rsidR="006B4369" w:rsidRPr="00C64D72" w:rsidRDefault="006B4369" w:rsidP="006B4369">
      <w:pPr>
        <w:pStyle w:val="Blanc"/>
        <w:rPr>
          <w:lang w:val="es-ES_tradnl"/>
        </w:rPr>
      </w:pPr>
    </w:p>
    <w:p w:rsidR="00B755DB" w:rsidRPr="00C64D72" w:rsidRDefault="00B755DB" w:rsidP="00B755DB">
      <w:pPr>
        <w:rPr>
          <w:lang w:val="es-ES_tradnl"/>
        </w:rPr>
      </w:pPr>
      <w:r w:rsidRPr="00C64D72">
        <w:rPr>
          <w:lang w:val="es-ES_tradnl"/>
        </w:rPr>
        <w:t xml:space="preserve">donde </w:t>
      </w:r>
      <w:r w:rsidRPr="00C64D72">
        <w:rPr>
          <w:i/>
          <w:lang w:val="es-ES_tradnl"/>
        </w:rPr>
        <w:t>m</w:t>
      </w:r>
      <w:r w:rsidRPr="00C64D72">
        <w:rPr>
          <w:lang w:val="es-ES_tradnl"/>
        </w:rPr>
        <w:t xml:space="preserve"> representa el valor medio y </w:t>
      </w:r>
      <w:r w:rsidRPr="00C64D72">
        <w:rPr>
          <w:lang w:val="es-ES_tradnl"/>
        </w:rPr>
        <w:sym w:font="Symbol" w:char="F073"/>
      </w:r>
      <w:r w:rsidRPr="00C64D72">
        <w:rPr>
          <w:lang w:val="es-ES_tradnl"/>
        </w:rPr>
        <w:t xml:space="preserve"> el valor típico de la desviación de la distribución logarítmica normal.</w:t>
      </w:r>
    </w:p>
    <w:p w:rsidR="00B755DB" w:rsidRPr="00C64D72" w:rsidRDefault="00B755DB" w:rsidP="00B755DB">
      <w:pPr>
        <w:rPr>
          <w:lang w:val="es-ES_tradnl"/>
        </w:rPr>
      </w:pPr>
      <w:r w:rsidRPr="00C64D72">
        <w:rPr>
          <w:lang w:val="es-ES_tradnl"/>
        </w:rPr>
        <w:t>Aplicando estas consideraciones es posible evaluar los parámetros correspondientes a una distribución combinada. El Cuadro 2 contiene ejemplos de resultados para los cuales la desviación típica del componente de onda ionosférica de distribución logarítmica normal se fija en 3 dB.</w:t>
      </w:r>
    </w:p>
    <w:p w:rsidR="00B755DB" w:rsidRPr="00C64D72" w:rsidRDefault="00B755DB" w:rsidP="00B755DB">
      <w:pPr>
        <w:pStyle w:val="TableNo"/>
        <w:rPr>
          <w:lang w:val="es-ES_tradnl"/>
        </w:rPr>
      </w:pPr>
      <w:r w:rsidRPr="00C64D72">
        <w:rPr>
          <w:lang w:val="es-ES_tradnl"/>
        </w:rPr>
        <w:t>CUADRO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969"/>
        <w:gridCol w:w="2268"/>
      </w:tblGrid>
      <w:tr w:rsidR="00B755DB" w:rsidRPr="00C64D72" w:rsidTr="006B4369">
        <w:trPr>
          <w:jc w:val="center"/>
        </w:trPr>
        <w:tc>
          <w:tcPr>
            <w:tcW w:w="2268" w:type="dxa"/>
            <w:vAlign w:val="center"/>
          </w:tcPr>
          <w:p w:rsidR="00B755DB" w:rsidRPr="00C64D72" w:rsidRDefault="00B755DB" w:rsidP="00202646">
            <w:pPr>
              <w:pStyle w:val="Tablehead"/>
              <w:rPr>
                <w:lang w:val="es-ES_tradnl"/>
              </w:rPr>
            </w:pPr>
            <w:r w:rsidRPr="00C64D72">
              <w:rPr>
                <w:i/>
                <w:iCs/>
                <w:lang w:val="es-ES_tradnl"/>
              </w:rPr>
              <w:t>e</w:t>
            </w:r>
            <w:r w:rsidRPr="00C64D72">
              <w:rPr>
                <w:i/>
                <w:iCs/>
                <w:position w:val="-4"/>
                <w:sz w:val="14"/>
                <w:lang w:val="es-ES_tradnl"/>
              </w:rPr>
              <w:t xml:space="preserve">i </w:t>
            </w:r>
            <w:r w:rsidRPr="00C64D72">
              <w:rPr>
                <w:lang w:val="es-ES_tradnl"/>
              </w:rPr>
              <w:t>/</w:t>
            </w:r>
            <w:r w:rsidRPr="00C64D72">
              <w:rPr>
                <w:i/>
                <w:iCs/>
                <w:lang w:val="es-ES_tradnl"/>
              </w:rPr>
              <w:t>e</w:t>
            </w:r>
            <w:r w:rsidRPr="00C64D72">
              <w:rPr>
                <w:i/>
                <w:iCs/>
                <w:position w:val="-4"/>
                <w:sz w:val="14"/>
                <w:lang w:val="es-ES_tradnl"/>
              </w:rPr>
              <w:t>e</w:t>
            </w:r>
          </w:p>
        </w:tc>
        <w:tc>
          <w:tcPr>
            <w:tcW w:w="3969" w:type="dxa"/>
            <w:vAlign w:val="center"/>
          </w:tcPr>
          <w:p w:rsidR="00B755DB" w:rsidRPr="00C64D72" w:rsidRDefault="00B755DB" w:rsidP="006B4369">
            <w:pPr>
              <w:pStyle w:val="Tablehead"/>
              <w:rPr>
                <w:lang w:val="es-ES_tradnl"/>
              </w:rPr>
            </w:pPr>
            <w:r w:rsidRPr="00C64D72">
              <w:rPr>
                <w:lang w:val="es-ES_tradnl"/>
              </w:rPr>
              <w:t>Nivel medio relativo a la media</w:t>
            </w:r>
            <w:r w:rsidR="006B4369" w:rsidRPr="00C64D72">
              <w:rPr>
                <w:lang w:val="es-ES_tradnl"/>
              </w:rPr>
              <w:br/>
            </w:r>
            <w:r w:rsidRPr="00C64D72">
              <w:rPr>
                <w:lang w:val="es-ES_tradnl"/>
              </w:rPr>
              <w:t>del componente de onda</w:t>
            </w:r>
            <w:r w:rsidR="006B4369" w:rsidRPr="00C64D72">
              <w:rPr>
                <w:lang w:val="es-ES_tradnl"/>
              </w:rPr>
              <w:br/>
            </w:r>
            <w:r w:rsidRPr="00C64D72">
              <w:rPr>
                <w:lang w:val="es-ES_tradnl"/>
              </w:rPr>
              <w:t>de superficie</w:t>
            </w:r>
          </w:p>
        </w:tc>
        <w:tc>
          <w:tcPr>
            <w:tcW w:w="2268" w:type="dxa"/>
            <w:vAlign w:val="center"/>
          </w:tcPr>
          <w:p w:rsidR="00B755DB" w:rsidRPr="00C64D72" w:rsidRDefault="00B755DB" w:rsidP="00202646">
            <w:pPr>
              <w:pStyle w:val="Tablehead"/>
              <w:rPr>
                <w:lang w:val="es-ES_tradnl"/>
              </w:rPr>
            </w:pPr>
            <w:r w:rsidRPr="00C64D72">
              <w:rPr>
                <w:lang w:val="es-ES_tradnl"/>
              </w:rPr>
              <w:t>Desviación típica</w:t>
            </w:r>
          </w:p>
        </w:tc>
      </w:tr>
      <w:tr w:rsidR="00B755DB" w:rsidRPr="00C64D72" w:rsidTr="006B4369">
        <w:trPr>
          <w:jc w:val="center"/>
        </w:trPr>
        <w:tc>
          <w:tcPr>
            <w:tcW w:w="2268" w:type="dxa"/>
            <w:vAlign w:val="center"/>
          </w:tcPr>
          <w:p w:rsidR="00B755DB" w:rsidRPr="00C64D72" w:rsidRDefault="00DC7057" w:rsidP="00202646">
            <w:pPr>
              <w:pStyle w:val="Tabletext"/>
              <w:jc w:val="center"/>
              <w:rPr>
                <w:lang w:val="es-ES_tradnl"/>
              </w:rPr>
            </w:pPr>
            <w:r>
              <w:rPr>
                <w:lang w:val="es-ES_tradnl"/>
              </w:rPr>
              <w:t>0,5 (–</w:t>
            </w:r>
            <w:bookmarkStart w:id="18" w:name="_GoBack"/>
            <w:bookmarkEnd w:id="18"/>
            <w:r w:rsidR="00B755DB" w:rsidRPr="00C64D72">
              <w:rPr>
                <w:lang w:val="es-ES_tradnl"/>
              </w:rPr>
              <w:t>6 dB)</w:t>
            </w:r>
          </w:p>
        </w:tc>
        <w:tc>
          <w:tcPr>
            <w:tcW w:w="3969" w:type="dxa"/>
            <w:vAlign w:val="center"/>
          </w:tcPr>
          <w:p w:rsidR="00B755DB" w:rsidRPr="00C64D72" w:rsidRDefault="00B755DB" w:rsidP="00202646">
            <w:pPr>
              <w:pStyle w:val="Tabletext"/>
              <w:jc w:val="center"/>
              <w:rPr>
                <w:lang w:val="es-ES_tradnl"/>
              </w:rPr>
            </w:pPr>
            <w:r w:rsidRPr="00C64D72">
              <w:rPr>
                <w:lang w:val="es-ES_tradnl"/>
              </w:rPr>
              <w:t>+1,3 dB</w:t>
            </w:r>
          </w:p>
        </w:tc>
        <w:tc>
          <w:tcPr>
            <w:tcW w:w="2268" w:type="dxa"/>
            <w:vAlign w:val="center"/>
          </w:tcPr>
          <w:p w:rsidR="00B755DB" w:rsidRPr="00C64D72" w:rsidRDefault="00B755DB" w:rsidP="00202646">
            <w:pPr>
              <w:pStyle w:val="Tabletext"/>
              <w:jc w:val="center"/>
              <w:rPr>
                <w:lang w:val="es-ES_tradnl"/>
              </w:rPr>
            </w:pPr>
            <w:r w:rsidRPr="00C64D72">
              <w:rPr>
                <w:lang w:val="es-ES_tradnl"/>
              </w:rPr>
              <w:t>0,72 dB</w:t>
            </w:r>
          </w:p>
        </w:tc>
      </w:tr>
      <w:tr w:rsidR="00B755DB" w:rsidRPr="00C64D72" w:rsidTr="006B4369">
        <w:trPr>
          <w:jc w:val="center"/>
        </w:trPr>
        <w:tc>
          <w:tcPr>
            <w:tcW w:w="2268" w:type="dxa"/>
            <w:vAlign w:val="center"/>
          </w:tcPr>
          <w:p w:rsidR="00B755DB" w:rsidRPr="00C64D72" w:rsidRDefault="00B755DB" w:rsidP="00202646">
            <w:pPr>
              <w:pStyle w:val="Tabletext"/>
              <w:jc w:val="center"/>
              <w:rPr>
                <w:lang w:val="es-ES_tradnl"/>
              </w:rPr>
            </w:pPr>
            <w:r w:rsidRPr="00C64D72">
              <w:rPr>
                <w:lang w:val="es-ES_tradnl"/>
              </w:rPr>
              <w:t>1 (0 dB)</w:t>
            </w:r>
          </w:p>
        </w:tc>
        <w:tc>
          <w:tcPr>
            <w:tcW w:w="3969" w:type="dxa"/>
            <w:vAlign w:val="center"/>
          </w:tcPr>
          <w:p w:rsidR="00B755DB" w:rsidRPr="00C64D72" w:rsidRDefault="00B755DB" w:rsidP="00202646">
            <w:pPr>
              <w:pStyle w:val="Tabletext"/>
              <w:jc w:val="center"/>
              <w:rPr>
                <w:lang w:val="es-ES_tradnl"/>
              </w:rPr>
            </w:pPr>
            <w:r w:rsidRPr="00C64D72">
              <w:rPr>
                <w:lang w:val="es-ES_tradnl"/>
              </w:rPr>
              <w:t>+4,4</w:t>
            </w:r>
          </w:p>
        </w:tc>
        <w:tc>
          <w:tcPr>
            <w:tcW w:w="2268" w:type="dxa"/>
            <w:vAlign w:val="center"/>
          </w:tcPr>
          <w:p w:rsidR="00B755DB" w:rsidRPr="00C64D72" w:rsidRDefault="00B755DB" w:rsidP="00202646">
            <w:pPr>
              <w:pStyle w:val="Tabletext"/>
              <w:jc w:val="center"/>
              <w:rPr>
                <w:lang w:val="es-ES_tradnl"/>
              </w:rPr>
            </w:pPr>
            <w:r w:rsidRPr="00C64D72">
              <w:rPr>
                <w:lang w:val="es-ES_tradnl"/>
              </w:rPr>
              <w:t>1,35</w:t>
            </w:r>
          </w:p>
        </w:tc>
      </w:tr>
      <w:tr w:rsidR="00B755DB" w:rsidRPr="00C64D72" w:rsidTr="006B4369">
        <w:trPr>
          <w:jc w:val="center"/>
        </w:trPr>
        <w:tc>
          <w:tcPr>
            <w:tcW w:w="2268" w:type="dxa"/>
            <w:vAlign w:val="center"/>
          </w:tcPr>
          <w:p w:rsidR="00B755DB" w:rsidRPr="00C64D72" w:rsidRDefault="00B755DB" w:rsidP="00202646">
            <w:pPr>
              <w:pStyle w:val="Tabletext"/>
              <w:jc w:val="center"/>
              <w:rPr>
                <w:lang w:val="es-ES_tradnl"/>
              </w:rPr>
            </w:pPr>
            <w:r w:rsidRPr="00C64D72">
              <w:rPr>
                <w:lang w:val="es-ES_tradnl"/>
              </w:rPr>
              <w:t>2 (+6 dB)</w:t>
            </w:r>
          </w:p>
        </w:tc>
        <w:tc>
          <w:tcPr>
            <w:tcW w:w="3969" w:type="dxa"/>
            <w:vAlign w:val="center"/>
          </w:tcPr>
          <w:p w:rsidR="00B755DB" w:rsidRPr="00C64D72" w:rsidRDefault="00B755DB" w:rsidP="00202646">
            <w:pPr>
              <w:pStyle w:val="Tabletext"/>
              <w:jc w:val="center"/>
              <w:rPr>
                <w:lang w:val="es-ES_tradnl"/>
              </w:rPr>
            </w:pPr>
            <w:r w:rsidRPr="00C64D72">
              <w:rPr>
                <w:lang w:val="es-ES_tradnl"/>
              </w:rPr>
              <w:t>+5,7</w:t>
            </w:r>
          </w:p>
        </w:tc>
        <w:tc>
          <w:tcPr>
            <w:tcW w:w="2268" w:type="dxa"/>
            <w:vAlign w:val="center"/>
          </w:tcPr>
          <w:p w:rsidR="00B755DB" w:rsidRPr="00C64D72" w:rsidRDefault="00B755DB" w:rsidP="00202646">
            <w:pPr>
              <w:pStyle w:val="Tabletext"/>
              <w:jc w:val="center"/>
              <w:rPr>
                <w:lang w:val="es-ES_tradnl"/>
              </w:rPr>
            </w:pPr>
            <w:r w:rsidRPr="00C64D72">
              <w:rPr>
                <w:lang w:val="es-ES_tradnl"/>
              </w:rPr>
              <w:t>2,0</w:t>
            </w:r>
          </w:p>
        </w:tc>
      </w:tr>
    </w:tbl>
    <w:p w:rsidR="00B755DB" w:rsidRPr="00C64D72" w:rsidRDefault="00B755DB" w:rsidP="00A40CF9">
      <w:pPr>
        <w:pStyle w:val="Tablefin"/>
        <w:rPr>
          <w:lang w:val="es-ES_tradnl"/>
        </w:rPr>
      </w:pPr>
    </w:p>
    <w:p w:rsidR="00B755DB" w:rsidRPr="00C64D72" w:rsidRDefault="00B755DB" w:rsidP="00B755DB">
      <w:pPr>
        <w:pStyle w:val="AppendixNoTitle"/>
        <w:rPr>
          <w:lang w:val="es-ES_tradnl"/>
        </w:rPr>
      </w:pPr>
      <w:r w:rsidRPr="00C64D72">
        <w:rPr>
          <w:lang w:val="es-ES_tradnl"/>
        </w:rPr>
        <w:t xml:space="preserve">Apéndice 2 </w:t>
      </w:r>
      <w:r w:rsidRPr="00C64D72">
        <w:rPr>
          <w:lang w:val="es-ES_tradnl"/>
        </w:rPr>
        <w:br/>
        <w:t>al Anexo 1</w:t>
      </w:r>
    </w:p>
    <w:p w:rsidR="00B755DB" w:rsidRPr="00C64D72" w:rsidRDefault="00B755DB" w:rsidP="00B755DB">
      <w:pPr>
        <w:pStyle w:val="TableNo"/>
        <w:rPr>
          <w:lang w:val="es-ES_tradnl"/>
        </w:rPr>
      </w:pPr>
      <w:r w:rsidRPr="00C64D72">
        <w:rPr>
          <w:lang w:val="es-ES_tradnl"/>
        </w:rPr>
        <w:t>CUADRO 3</w:t>
      </w:r>
    </w:p>
    <w:p w:rsidR="00B755DB" w:rsidRPr="00C64D72" w:rsidRDefault="00B755DB" w:rsidP="00A40CF9">
      <w:pPr>
        <w:pStyle w:val="Tabletitle"/>
        <w:rPr>
          <w:lang w:val="es-ES_tradnl"/>
        </w:rPr>
      </w:pPr>
      <w:r w:rsidRPr="00C64D72">
        <w:rPr>
          <w:lang w:val="es-ES_tradnl"/>
        </w:rPr>
        <w:t>Número de excesos y desvanecimientos por hora</w:t>
      </w:r>
      <w:r w:rsidR="00A40CF9" w:rsidRPr="00C64D72">
        <w:rPr>
          <w:lang w:val="es-ES_tradnl"/>
        </w:rPr>
        <w:t xml:space="preserve"> </w:t>
      </w:r>
      <w:r w:rsidRPr="00C64D72">
        <w:rPr>
          <w:lang w:val="es-ES_tradnl"/>
        </w:rPr>
        <w:t>de un enlace en ondas kilométricas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680"/>
        <w:gridCol w:w="680"/>
        <w:gridCol w:w="680"/>
        <w:gridCol w:w="680"/>
        <w:gridCol w:w="680"/>
        <w:gridCol w:w="680"/>
        <w:gridCol w:w="680"/>
        <w:gridCol w:w="680"/>
        <w:gridCol w:w="680"/>
      </w:tblGrid>
      <w:tr w:rsidR="00B755DB" w:rsidRPr="00C64D72" w:rsidTr="00202646">
        <w:trPr>
          <w:jc w:val="center"/>
        </w:trPr>
        <w:tc>
          <w:tcPr>
            <w:tcW w:w="3515" w:type="dxa"/>
            <w:tcBorders>
              <w:top w:val="single" w:sz="4" w:space="0" w:color="auto"/>
              <w:left w:val="single" w:sz="4" w:space="0" w:color="auto"/>
              <w:bottom w:val="single" w:sz="4" w:space="0" w:color="auto"/>
              <w:right w:val="single" w:sz="4" w:space="0" w:color="auto"/>
            </w:tcBorders>
            <w:shd w:val="clear" w:color="auto" w:fill="auto"/>
          </w:tcPr>
          <w:p w:rsidR="00B755DB" w:rsidRPr="00C64D72" w:rsidRDefault="00B755DB" w:rsidP="00202646">
            <w:pPr>
              <w:pStyle w:val="Tablehead"/>
              <w:rPr>
                <w:lang w:val="es-ES_tradnl"/>
              </w:rPr>
            </w:pPr>
          </w:p>
        </w:tc>
        <w:tc>
          <w:tcPr>
            <w:tcW w:w="61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B755DB" w:rsidRPr="00C64D72" w:rsidRDefault="00B755DB" w:rsidP="00202646">
            <w:pPr>
              <w:pStyle w:val="Tablehead"/>
              <w:rPr>
                <w:lang w:val="es-ES_tradnl"/>
              </w:rPr>
            </w:pPr>
            <w:r w:rsidRPr="00C64D72">
              <w:rPr>
                <w:color w:val="000000"/>
                <w:lang w:val="es-ES_tradnl"/>
              </w:rPr>
              <w:t>Hora del día (hora)</w:t>
            </w:r>
          </w:p>
        </w:tc>
      </w:tr>
      <w:tr w:rsidR="00B755DB" w:rsidRPr="00C64D72" w:rsidTr="00202646">
        <w:trPr>
          <w:jc w:val="center"/>
        </w:trPr>
        <w:tc>
          <w:tcPr>
            <w:tcW w:w="3515" w:type="dxa"/>
            <w:shd w:val="clear" w:color="auto" w:fill="auto"/>
          </w:tcPr>
          <w:p w:rsidR="00B755DB" w:rsidRPr="00C64D72" w:rsidRDefault="00B755DB" w:rsidP="00202646">
            <w:pPr>
              <w:pStyle w:val="Tabletext"/>
              <w:rPr>
                <w:color w:val="000000"/>
                <w:lang w:val="es-ES_tradnl"/>
              </w:rPr>
            </w:pPr>
            <w:r w:rsidRPr="00C64D72">
              <w:rPr>
                <w:color w:val="000000"/>
                <w:lang w:val="es-ES_tradnl"/>
              </w:rPr>
              <w:t>Nivel de umbral</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18</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19</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20</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21</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22</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23</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24</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01</w:t>
            </w:r>
          </w:p>
        </w:tc>
        <w:tc>
          <w:tcPr>
            <w:tcW w:w="680" w:type="dxa"/>
            <w:shd w:val="clear" w:color="auto" w:fill="auto"/>
            <w:vAlign w:val="center"/>
          </w:tcPr>
          <w:p w:rsidR="00B755DB" w:rsidRPr="00C64D72" w:rsidRDefault="00B755DB" w:rsidP="00202646">
            <w:pPr>
              <w:pStyle w:val="Tabletext"/>
              <w:jc w:val="center"/>
              <w:rPr>
                <w:color w:val="000000"/>
                <w:lang w:val="es-ES_tradnl"/>
              </w:rPr>
            </w:pPr>
            <w:r w:rsidRPr="00C64D72">
              <w:rPr>
                <w:color w:val="000000"/>
                <w:lang w:val="es-ES_tradnl"/>
              </w:rPr>
              <w:t>02</w:t>
            </w:r>
          </w:p>
        </w:tc>
      </w:tr>
      <w:tr w:rsidR="00B755DB" w:rsidRPr="00C64D72" w:rsidTr="00202646">
        <w:trPr>
          <w:jc w:val="center"/>
        </w:trPr>
        <w:tc>
          <w:tcPr>
            <w:tcW w:w="3515"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Valor mediano (exceso)</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w:t>
            </w:r>
            <w:r w:rsidRPr="00C64D72">
              <w:rPr>
                <w:color w:val="000000"/>
                <w:lang w:val="es-ES_tradnl"/>
              </w:rPr>
              <w:t>,</w:t>
            </w:r>
            <w:r w:rsidRPr="00C64D72">
              <w:rPr>
                <w:rFonts w:ascii="Times New Roman CYR" w:hAnsi="Times New Roman CYR" w:cs="Times New Roman CYR"/>
                <w:color w:val="000000"/>
                <w:lang w:val="es-ES_tradnl"/>
              </w:rPr>
              <w:t>3</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w:t>
            </w:r>
            <w:r w:rsidRPr="00C64D72">
              <w:rPr>
                <w:color w:val="000000"/>
                <w:lang w:val="es-ES_tradnl"/>
              </w:rPr>
              <w:t>,</w:t>
            </w:r>
            <w:r w:rsidRPr="00C64D72">
              <w:rPr>
                <w:rFonts w:ascii="Times New Roman CYR" w:hAnsi="Times New Roman CYR" w:cs="Times New Roman CYR"/>
                <w:color w:val="000000"/>
                <w:lang w:val="es-ES_tradnl"/>
              </w:rPr>
              <w:t>7</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3</w:t>
            </w:r>
            <w:r w:rsidRPr="00C64D72">
              <w:rPr>
                <w:color w:val="000000"/>
                <w:lang w:val="es-ES_tradnl"/>
              </w:rPr>
              <w:t>,</w:t>
            </w:r>
            <w:r w:rsidRPr="00C64D72">
              <w:rPr>
                <w:rFonts w:ascii="Times New Roman CYR" w:hAnsi="Times New Roman CYR" w:cs="Times New Roman CYR"/>
                <w:color w:val="000000"/>
                <w:lang w:val="es-ES_tradnl"/>
              </w:rPr>
              <w:t>1</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3</w:t>
            </w:r>
            <w:r w:rsidRPr="00C64D72">
              <w:rPr>
                <w:color w:val="000000"/>
                <w:lang w:val="es-ES_tradnl"/>
              </w:rPr>
              <w:t>,</w:t>
            </w:r>
            <w:r w:rsidRPr="00C64D72">
              <w:rPr>
                <w:rFonts w:ascii="Times New Roman CYR" w:hAnsi="Times New Roman CYR" w:cs="Times New Roman CYR"/>
                <w:color w:val="000000"/>
                <w:lang w:val="es-ES_tradnl"/>
              </w:rPr>
              <w:t>7</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4</w:t>
            </w:r>
            <w:r w:rsidRPr="00C64D72">
              <w:rPr>
                <w:color w:val="000000"/>
                <w:lang w:val="es-ES_tradnl"/>
              </w:rPr>
              <w:t>,</w:t>
            </w:r>
            <w:r w:rsidRPr="00C64D72">
              <w:rPr>
                <w:rFonts w:ascii="Times New Roman CYR" w:hAnsi="Times New Roman CYR" w:cs="Times New Roman CYR"/>
                <w:color w:val="000000"/>
                <w:lang w:val="es-ES_tradnl"/>
              </w:rPr>
              <w:t>1</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4</w:t>
            </w:r>
            <w:r w:rsidRPr="00C64D72">
              <w:rPr>
                <w:color w:val="000000"/>
                <w:lang w:val="es-ES_tradnl"/>
              </w:rPr>
              <w:t>,</w:t>
            </w:r>
            <w:r w:rsidRPr="00C64D72">
              <w:rPr>
                <w:rFonts w:ascii="Times New Roman CYR" w:hAnsi="Times New Roman CYR" w:cs="Times New Roman CYR"/>
                <w:color w:val="000000"/>
                <w:lang w:val="es-ES_tradnl"/>
              </w:rPr>
              <w:t>6</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4</w:t>
            </w:r>
            <w:r w:rsidRPr="00C64D72">
              <w:rPr>
                <w:color w:val="000000"/>
                <w:lang w:val="es-ES_tradnl"/>
              </w:rPr>
              <w:t>,</w:t>
            </w:r>
            <w:r w:rsidRPr="00C64D72">
              <w:rPr>
                <w:rFonts w:ascii="Times New Roman CYR" w:hAnsi="Times New Roman CYR" w:cs="Times New Roman CYR"/>
                <w:color w:val="000000"/>
                <w:lang w:val="es-ES_tradnl"/>
              </w:rPr>
              <w:t>4</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3</w:t>
            </w:r>
            <w:r w:rsidRPr="00C64D72">
              <w:rPr>
                <w:color w:val="000000"/>
                <w:lang w:val="es-ES_tradnl"/>
              </w:rPr>
              <w:t>,</w:t>
            </w:r>
            <w:r w:rsidRPr="00C64D72">
              <w:rPr>
                <w:rFonts w:ascii="Times New Roman CYR" w:hAnsi="Times New Roman CYR" w:cs="Times New Roman CYR"/>
                <w:color w:val="000000"/>
                <w:lang w:val="es-ES_tradnl"/>
              </w:rPr>
              <w:t>9</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3</w:t>
            </w:r>
            <w:r w:rsidRPr="00C64D72">
              <w:rPr>
                <w:color w:val="000000"/>
                <w:lang w:val="es-ES_tradnl"/>
              </w:rPr>
              <w:t>,</w:t>
            </w:r>
            <w:r w:rsidRPr="00C64D72">
              <w:rPr>
                <w:rFonts w:ascii="Times New Roman CYR" w:hAnsi="Times New Roman CYR" w:cs="Times New Roman CYR"/>
                <w:color w:val="000000"/>
                <w:lang w:val="es-ES_tradnl"/>
              </w:rPr>
              <w:t>5</w:t>
            </w:r>
          </w:p>
        </w:tc>
      </w:tr>
      <w:tr w:rsidR="00B755DB" w:rsidRPr="00C64D72" w:rsidTr="00202646">
        <w:trPr>
          <w:jc w:val="center"/>
        </w:trPr>
        <w:tc>
          <w:tcPr>
            <w:tcW w:w="3515"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Decilo inferior (desvanecimiento)</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1,5</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1,75</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2,3</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2,6</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2,6</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2,3</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1,7</w:t>
            </w:r>
          </w:p>
        </w:tc>
      </w:tr>
      <w:tr w:rsidR="00B755DB" w:rsidRPr="00C64D72" w:rsidTr="00202646">
        <w:trPr>
          <w:jc w:val="center"/>
        </w:trPr>
        <w:tc>
          <w:tcPr>
            <w:tcW w:w="3515"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Decilo superior (exceso)</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1,6</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1,8</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1,9</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2,1</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2,25</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2,4</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2,4</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2,3</w:t>
            </w:r>
          </w:p>
        </w:tc>
        <w:tc>
          <w:tcPr>
            <w:tcW w:w="680" w:type="dxa"/>
            <w:shd w:val="clear" w:color="auto" w:fill="auto"/>
            <w:vAlign w:val="center"/>
          </w:tcPr>
          <w:p w:rsidR="00B755DB" w:rsidRPr="00C64D72" w:rsidRDefault="00B755DB" w:rsidP="00202646">
            <w:pPr>
              <w:pStyle w:val="Tabletext"/>
              <w:jc w:val="center"/>
              <w:rPr>
                <w:rFonts w:ascii="Times New Roman CYR" w:hAnsi="Times New Roman CYR" w:cs="Times New Roman CYR"/>
                <w:color w:val="000000"/>
                <w:lang w:val="es-ES_tradnl"/>
              </w:rPr>
            </w:pPr>
            <w:r w:rsidRPr="00C64D72">
              <w:rPr>
                <w:rFonts w:ascii="Times New Roman CYR" w:hAnsi="Times New Roman CYR" w:cs="Times New Roman CYR"/>
                <w:color w:val="000000"/>
                <w:lang w:val="es-ES_tradnl"/>
              </w:rPr>
              <w:t>2,2</w:t>
            </w:r>
          </w:p>
        </w:tc>
      </w:tr>
    </w:tbl>
    <w:p w:rsidR="00B755DB" w:rsidRPr="00C64D72" w:rsidRDefault="00B755DB" w:rsidP="00B755DB">
      <w:pPr>
        <w:pStyle w:val="Tablefin"/>
        <w:rPr>
          <w:lang w:val="es-ES_tradnl"/>
        </w:rPr>
      </w:pPr>
    </w:p>
    <w:p w:rsidR="00B755DB" w:rsidRPr="00C64D72" w:rsidRDefault="00B755DB" w:rsidP="00B755DB">
      <w:pPr>
        <w:pStyle w:val="TableNo"/>
        <w:rPr>
          <w:lang w:val="es-ES_tradnl"/>
        </w:rPr>
      </w:pPr>
      <w:r w:rsidRPr="00C64D72">
        <w:rPr>
          <w:lang w:val="es-ES_tradnl"/>
        </w:rPr>
        <w:t>CUADRO 4</w:t>
      </w:r>
    </w:p>
    <w:p w:rsidR="00B755DB" w:rsidRPr="00C64D72" w:rsidRDefault="00B755DB" w:rsidP="00A40CF9">
      <w:pPr>
        <w:pStyle w:val="Tabletitle"/>
        <w:rPr>
          <w:lang w:val="es-ES_tradnl"/>
        </w:rPr>
      </w:pPr>
      <w:r w:rsidRPr="00C64D72">
        <w:rPr>
          <w:lang w:val="es-ES_tradnl"/>
        </w:rPr>
        <w:t>Número de excesos o desvanecimientos por hora</w:t>
      </w:r>
      <w:r w:rsidR="00A40CF9" w:rsidRPr="00C64D72">
        <w:rPr>
          <w:lang w:val="es-ES_tradnl"/>
        </w:rPr>
        <w:t xml:space="preserve"> </w:t>
      </w:r>
      <w:r w:rsidRPr="00C64D72">
        <w:rPr>
          <w:lang w:val="es-ES_tradnl"/>
        </w:rPr>
        <w:t>en un enlace en ondas hectométricas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623"/>
        <w:gridCol w:w="624"/>
        <w:gridCol w:w="624"/>
        <w:gridCol w:w="624"/>
        <w:gridCol w:w="624"/>
        <w:gridCol w:w="624"/>
        <w:gridCol w:w="624"/>
        <w:gridCol w:w="624"/>
        <w:gridCol w:w="624"/>
        <w:gridCol w:w="624"/>
      </w:tblGrid>
      <w:tr w:rsidR="00B755DB" w:rsidRPr="00C64D72" w:rsidTr="00202646">
        <w:trPr>
          <w:jc w:val="center"/>
        </w:trPr>
        <w:tc>
          <w:tcPr>
            <w:tcW w:w="3402" w:type="dxa"/>
            <w:shd w:val="clear" w:color="auto" w:fill="auto"/>
          </w:tcPr>
          <w:p w:rsidR="00B755DB" w:rsidRPr="00C64D72" w:rsidRDefault="00B755DB" w:rsidP="00202646">
            <w:pPr>
              <w:pStyle w:val="Tablehead"/>
              <w:rPr>
                <w:lang w:val="es-ES_tradnl"/>
              </w:rPr>
            </w:pPr>
          </w:p>
        </w:tc>
        <w:tc>
          <w:tcPr>
            <w:tcW w:w="6240" w:type="dxa"/>
            <w:gridSpan w:val="10"/>
            <w:shd w:val="clear" w:color="auto" w:fill="auto"/>
          </w:tcPr>
          <w:p w:rsidR="00B755DB" w:rsidRPr="00C64D72" w:rsidRDefault="00B755DB" w:rsidP="00202646">
            <w:pPr>
              <w:pStyle w:val="Tablehead"/>
              <w:rPr>
                <w:lang w:val="es-ES_tradnl"/>
              </w:rPr>
            </w:pPr>
            <w:r w:rsidRPr="00C64D72">
              <w:rPr>
                <w:color w:val="000000"/>
                <w:lang w:val="es-ES_tradnl"/>
              </w:rPr>
              <w:t>Hora del día (hora)</w:t>
            </w:r>
          </w:p>
        </w:tc>
      </w:tr>
      <w:tr w:rsidR="00B755DB" w:rsidRPr="00C64D72" w:rsidTr="00202646">
        <w:trPr>
          <w:jc w:val="center"/>
        </w:trPr>
        <w:tc>
          <w:tcPr>
            <w:tcW w:w="3402" w:type="dxa"/>
            <w:shd w:val="clear" w:color="auto" w:fill="auto"/>
          </w:tcPr>
          <w:p w:rsidR="00B755DB" w:rsidRPr="00C64D72" w:rsidRDefault="00B755DB" w:rsidP="00202646">
            <w:pPr>
              <w:pStyle w:val="Tabletext"/>
              <w:rPr>
                <w:color w:val="000000"/>
                <w:lang w:val="es-ES_tradnl"/>
              </w:rPr>
            </w:pPr>
            <w:r w:rsidRPr="00C64D72">
              <w:rPr>
                <w:color w:val="000000"/>
                <w:lang w:val="es-ES_tradnl"/>
              </w:rPr>
              <w:t>Nivel de umbral</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18</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19</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20</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21</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22</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23</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24</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01</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02</w:t>
            </w:r>
          </w:p>
        </w:tc>
        <w:tc>
          <w:tcPr>
            <w:tcW w:w="624" w:type="dxa"/>
          </w:tcPr>
          <w:p w:rsidR="00B755DB" w:rsidRPr="00C64D72" w:rsidRDefault="00B755DB" w:rsidP="00202646">
            <w:pPr>
              <w:pStyle w:val="Tabletext"/>
              <w:jc w:val="center"/>
              <w:rPr>
                <w:lang w:val="es-ES_tradnl"/>
              </w:rPr>
            </w:pPr>
            <w:r w:rsidRPr="00C64D72">
              <w:rPr>
                <w:lang w:val="es-ES_tradnl"/>
              </w:rPr>
              <w:t>03</w:t>
            </w:r>
          </w:p>
        </w:tc>
      </w:tr>
      <w:tr w:rsidR="00B755DB" w:rsidRPr="00C64D72" w:rsidTr="00202646">
        <w:trPr>
          <w:jc w:val="center"/>
        </w:trPr>
        <w:tc>
          <w:tcPr>
            <w:tcW w:w="3402"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Valor mediano (exceso)</w:t>
            </w:r>
          </w:p>
        </w:tc>
        <w:tc>
          <w:tcPr>
            <w:tcW w:w="624" w:type="dxa"/>
            <w:shd w:val="clear" w:color="auto" w:fill="auto"/>
          </w:tcPr>
          <w:p w:rsidR="00B755DB" w:rsidRPr="00C64D72" w:rsidRDefault="00B755DB" w:rsidP="00202646">
            <w:pPr>
              <w:pStyle w:val="Tabletext"/>
              <w:jc w:val="center"/>
              <w:rPr>
                <w:rFonts w:ascii="Times New Roman CYR" w:hAnsi="Times New Roman CYR" w:cs="Times New Roman CYR"/>
                <w:lang w:val="es-ES_tradnl"/>
              </w:rPr>
            </w:pPr>
            <w:r w:rsidRPr="00C64D72">
              <w:rPr>
                <w:rFonts w:ascii="Times New Roman CYR" w:hAnsi="Times New Roman CYR" w:cs="Times New Roman CYR"/>
                <w:lang w:val="es-ES_tradnl"/>
              </w:rPr>
              <w:t>1,8</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2,3</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2,7</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2,9</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3,2</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3,5</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3,5</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3</w:t>
            </w:r>
          </w:p>
        </w:tc>
        <w:tc>
          <w:tcPr>
            <w:tcW w:w="624" w:type="dxa"/>
          </w:tcPr>
          <w:p w:rsidR="00B755DB" w:rsidRPr="00C64D72" w:rsidRDefault="00B755DB" w:rsidP="00202646">
            <w:pPr>
              <w:pStyle w:val="Tabletext"/>
              <w:jc w:val="center"/>
              <w:rPr>
                <w:lang w:val="es-ES_tradnl"/>
              </w:rPr>
            </w:pPr>
            <w:r w:rsidRPr="00C64D72">
              <w:rPr>
                <w:lang w:val="es-ES_tradnl"/>
              </w:rPr>
              <w:t>2,7</w:t>
            </w:r>
          </w:p>
        </w:tc>
      </w:tr>
      <w:tr w:rsidR="00B755DB" w:rsidRPr="00C64D72" w:rsidTr="00202646">
        <w:trPr>
          <w:jc w:val="center"/>
        </w:trPr>
        <w:tc>
          <w:tcPr>
            <w:tcW w:w="3402"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Decilo inferior (desvanecimiento)</w:t>
            </w:r>
          </w:p>
        </w:tc>
        <w:tc>
          <w:tcPr>
            <w:tcW w:w="624" w:type="dxa"/>
            <w:shd w:val="clear" w:color="auto" w:fill="auto"/>
          </w:tcPr>
          <w:p w:rsidR="00B755DB" w:rsidRPr="00C64D72" w:rsidRDefault="00B755DB" w:rsidP="00202646">
            <w:pPr>
              <w:pStyle w:val="Tabletext"/>
              <w:jc w:val="center"/>
              <w:rPr>
                <w:rFonts w:ascii="Times New Roman CYR" w:hAnsi="Times New Roman CYR" w:cs="Times New Roman CYR"/>
                <w:lang w:val="es-ES_tradnl"/>
              </w:rPr>
            </w:pPr>
            <w:r w:rsidRPr="00C64D72">
              <w:rPr>
                <w:rFonts w:ascii="Times New Roman CYR" w:hAnsi="Times New Roman CYR" w:cs="Times New Roman CYR"/>
                <w:lang w:val="es-ES_tradnl"/>
              </w:rPr>
              <w:t>1,5</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1,7</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1,9</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2,1</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2,2</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2,4</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2,5</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2,4</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2,3</w:t>
            </w:r>
          </w:p>
        </w:tc>
        <w:tc>
          <w:tcPr>
            <w:tcW w:w="624" w:type="dxa"/>
          </w:tcPr>
          <w:p w:rsidR="00B755DB" w:rsidRPr="00C64D72" w:rsidRDefault="00B755DB" w:rsidP="00202646">
            <w:pPr>
              <w:pStyle w:val="Tabletext"/>
              <w:jc w:val="center"/>
              <w:rPr>
                <w:lang w:val="es-ES_tradnl"/>
              </w:rPr>
            </w:pPr>
            <w:r w:rsidRPr="00C64D72">
              <w:rPr>
                <w:lang w:val="es-ES_tradnl"/>
              </w:rPr>
              <w:t>2,1</w:t>
            </w:r>
          </w:p>
        </w:tc>
      </w:tr>
      <w:tr w:rsidR="00B755DB" w:rsidRPr="00C64D72" w:rsidTr="00202646">
        <w:trPr>
          <w:jc w:val="center"/>
        </w:trPr>
        <w:tc>
          <w:tcPr>
            <w:tcW w:w="3402" w:type="dxa"/>
            <w:shd w:val="clear" w:color="auto" w:fill="auto"/>
          </w:tcPr>
          <w:p w:rsidR="00B755DB" w:rsidRPr="00C64D72" w:rsidRDefault="00B755DB" w:rsidP="00202646">
            <w:pPr>
              <w:pStyle w:val="Tabletext"/>
              <w:rPr>
                <w:rFonts w:ascii="Times New Roman CYR" w:hAnsi="Times New Roman CYR" w:cs="Times New Roman CYR"/>
                <w:color w:val="000000"/>
                <w:lang w:val="es-ES_tradnl"/>
              </w:rPr>
            </w:pPr>
            <w:r w:rsidRPr="00C64D72">
              <w:rPr>
                <w:color w:val="000000"/>
                <w:lang w:val="es-ES_tradnl"/>
              </w:rPr>
              <w:t>Decilo superior (exceso)</w:t>
            </w:r>
          </w:p>
        </w:tc>
        <w:tc>
          <w:tcPr>
            <w:tcW w:w="624" w:type="dxa"/>
            <w:shd w:val="clear" w:color="auto" w:fill="auto"/>
          </w:tcPr>
          <w:p w:rsidR="00B755DB" w:rsidRPr="00C64D72" w:rsidRDefault="00B755DB" w:rsidP="00202646">
            <w:pPr>
              <w:pStyle w:val="Tabletext"/>
              <w:jc w:val="center"/>
              <w:rPr>
                <w:rFonts w:ascii="Times New Roman CYR" w:hAnsi="Times New Roman CYR" w:cs="Times New Roman CYR"/>
                <w:lang w:val="es-ES_tradnl"/>
              </w:rPr>
            </w:pPr>
            <w:r w:rsidRPr="00C64D72">
              <w:rPr>
                <w:rFonts w:ascii="Times New Roman CYR" w:hAnsi="Times New Roman CYR" w:cs="Times New Roman CYR"/>
                <w:lang w:val="es-ES_tradnl"/>
              </w:rPr>
              <w:t>1,4</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1,5</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1,7</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1,8</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1,9</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2,1</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2,1</w:t>
            </w:r>
          </w:p>
        </w:tc>
        <w:tc>
          <w:tcPr>
            <w:tcW w:w="624" w:type="dxa"/>
            <w:shd w:val="clear" w:color="auto" w:fill="auto"/>
          </w:tcPr>
          <w:p w:rsidR="00B755DB" w:rsidRPr="00C64D72" w:rsidRDefault="00B755DB" w:rsidP="00202646">
            <w:pPr>
              <w:pStyle w:val="Tabletext"/>
              <w:jc w:val="center"/>
              <w:rPr>
                <w:lang w:val="es-ES_tradnl"/>
              </w:rPr>
            </w:pPr>
            <w:r w:rsidRPr="00C64D72">
              <w:rPr>
                <w:lang w:val="es-ES_tradnl"/>
              </w:rPr>
              <w:t>2</w:t>
            </w:r>
          </w:p>
        </w:tc>
        <w:tc>
          <w:tcPr>
            <w:tcW w:w="624" w:type="dxa"/>
          </w:tcPr>
          <w:p w:rsidR="00B755DB" w:rsidRPr="00C64D72" w:rsidRDefault="00B755DB" w:rsidP="00202646">
            <w:pPr>
              <w:pStyle w:val="Tabletext"/>
              <w:jc w:val="center"/>
              <w:rPr>
                <w:lang w:val="es-ES_tradnl"/>
              </w:rPr>
            </w:pPr>
            <w:r w:rsidRPr="00C64D72">
              <w:rPr>
                <w:lang w:val="es-ES_tradnl"/>
              </w:rPr>
              <w:t>1,8</w:t>
            </w:r>
          </w:p>
        </w:tc>
      </w:tr>
    </w:tbl>
    <w:p w:rsidR="00B755DB" w:rsidRPr="00C64D72" w:rsidRDefault="00B755DB" w:rsidP="00B755DB">
      <w:pPr>
        <w:pStyle w:val="Tablefin"/>
        <w:rPr>
          <w:lang w:val="es-ES_tradnl"/>
        </w:rPr>
      </w:pPr>
    </w:p>
    <w:p w:rsidR="00B755DB" w:rsidRPr="00C64D72" w:rsidRDefault="00B755DB" w:rsidP="00B755DB">
      <w:pPr>
        <w:pStyle w:val="Headingb"/>
        <w:rPr>
          <w:lang w:val="es-ES_tradnl"/>
        </w:rPr>
      </w:pPr>
      <w:r w:rsidRPr="00C64D72">
        <w:rPr>
          <w:lang w:val="es-ES_tradnl"/>
        </w:rPr>
        <w:t>Distribución del valor mediano de la duración en exceso en las bandas de ondas kilométricas y hectométricas</w:t>
      </w:r>
    </w:p>
    <w:p w:rsidR="00B755DB" w:rsidRPr="00C64D72" w:rsidRDefault="00B755DB" w:rsidP="00B755DB">
      <w:pPr>
        <w:keepNext/>
        <w:keepLines/>
        <w:rPr>
          <w:lang w:val="es-ES_tradnl"/>
        </w:rPr>
      </w:pPr>
      <w:r w:rsidRPr="00C64D72">
        <w:rPr>
          <w:lang w:val="es-ES_tradnl"/>
        </w:rPr>
        <w:t>Para aproximar las características estadísticas del valor mediano de las duraciones de nivel en exceso en las bandas de ondas kilométricas y hectométricas puede utilizarse la siguiente distribución:</w:t>
      </w:r>
    </w:p>
    <w:p w:rsidR="00B755DB" w:rsidRPr="00C64D72" w:rsidRDefault="00B755DB" w:rsidP="00B755DB">
      <w:pPr>
        <w:pStyle w:val="Equation"/>
        <w:spacing w:before="200"/>
        <w:jc w:val="left"/>
        <w:rPr>
          <w:lang w:val="es-ES_tradnl"/>
        </w:rPr>
      </w:pPr>
      <w:r w:rsidRPr="00C64D72">
        <w:rPr>
          <w:lang w:val="es-ES_tradnl"/>
        </w:rPr>
        <w:tab/>
      </w:r>
      <w:r w:rsidRPr="00C64D72">
        <w:rPr>
          <w:lang w:val="es-ES_tradnl"/>
        </w:rPr>
        <w:tab/>
      </w:r>
      <w:r w:rsidRPr="00C64D72">
        <w:rPr>
          <w:position w:val="-26"/>
          <w:lang w:val="es-ES_tradnl"/>
        </w:rPr>
        <w:object w:dxaOrig="6740" w:dyaOrig="639">
          <v:shape id="_x0000_i1035" type="#_x0000_t75" style="width:336.9pt;height:32.3pt" o:ole="">
            <v:imagedata r:id="rId33" o:title=""/>
          </v:shape>
          <o:OLEObject Type="Embed" ProgID="Equation.3" ShapeID="_x0000_i1035" DrawAspect="Content" ObjectID="_1528206082" r:id="rId34"/>
        </w:object>
      </w:r>
      <w:r w:rsidRPr="00C64D72">
        <w:rPr>
          <w:lang w:val="es-ES_tradnl"/>
        </w:rPr>
        <w:tab/>
        <w:t>(1)</w:t>
      </w:r>
    </w:p>
    <w:p w:rsidR="00B755DB" w:rsidRPr="00C64D72" w:rsidRDefault="00B755DB" w:rsidP="00B755DB">
      <w:pPr>
        <w:rPr>
          <w:lang w:val="es-ES_tradnl"/>
        </w:rPr>
      </w:pPr>
      <w:r w:rsidRPr="00C64D72">
        <w:rPr>
          <w:lang w:val="es-ES_tradnl"/>
        </w:rPr>
        <w:t xml:space="preserve">donde </w:t>
      </w:r>
      <w:r w:rsidRPr="00C64D72">
        <w:rPr>
          <w:i/>
          <w:lang w:val="es-ES_tradnl"/>
        </w:rPr>
        <w:t>t</w:t>
      </w:r>
      <w:r w:rsidRPr="00C64D72">
        <w:rPr>
          <w:lang w:val="es-ES_tradnl"/>
        </w:rPr>
        <w:t xml:space="preserve"> (min) es mayor o igual a 0 y </w:t>
      </w:r>
      <w:r w:rsidRPr="00C64D72">
        <w:rPr>
          <w:i/>
          <w:lang w:val="es-ES_tradnl"/>
        </w:rPr>
        <w:t>d</w:t>
      </w:r>
      <w:r w:rsidRPr="00C64D72">
        <w:rPr>
          <w:lang w:val="es-ES_tradnl"/>
        </w:rPr>
        <w:t xml:space="preserve">, </w:t>
      </w:r>
      <w:r w:rsidRPr="00C64D72">
        <w:rPr>
          <w:i/>
          <w:lang w:val="es-ES_tradnl"/>
        </w:rPr>
        <w:t>b</w:t>
      </w:r>
      <w:r w:rsidRPr="00C64D72">
        <w:rPr>
          <w:lang w:val="es-ES_tradnl"/>
        </w:rPr>
        <w:t xml:space="preserve">, </w:t>
      </w:r>
      <w:r w:rsidRPr="00C64D72">
        <w:rPr>
          <w:i/>
          <w:lang w:val="es-ES_tradnl"/>
        </w:rPr>
        <w:t>q</w:t>
      </w:r>
      <w:r w:rsidRPr="00C64D72">
        <w:rPr>
          <w:lang w:val="es-ES_tradnl"/>
        </w:rPr>
        <w:t xml:space="preserve"> y </w:t>
      </w:r>
      <w:r w:rsidRPr="00C64D72">
        <w:rPr>
          <w:i/>
          <w:lang w:val="es-ES_tradnl"/>
        </w:rPr>
        <w:t>r</w:t>
      </w:r>
      <w:r w:rsidRPr="00C64D72">
        <w:rPr>
          <w:lang w:val="es-ES_tradnl"/>
        </w:rPr>
        <w:t xml:space="preserve"> son parámetros seleccionados.</w:t>
      </w:r>
    </w:p>
    <w:p w:rsidR="00B755DB" w:rsidRPr="00C64D72" w:rsidRDefault="00B755DB" w:rsidP="00B755DB">
      <w:pPr>
        <w:pStyle w:val="Headingb"/>
        <w:rPr>
          <w:lang w:val="es-ES_tradnl"/>
        </w:rPr>
      </w:pPr>
      <w:r w:rsidRPr="00C64D72">
        <w:rPr>
          <w:lang w:val="es-ES_tradnl"/>
        </w:rPr>
        <w:t>Distribución para la duración en exceso del decilo superior y las duraciones del desvanecimiento del decilo inferior en las bandas de ondas kilométricas y hectométricas</w:t>
      </w:r>
    </w:p>
    <w:p w:rsidR="00B755DB" w:rsidRPr="00C64D72" w:rsidRDefault="00B755DB" w:rsidP="00B755DB">
      <w:pPr>
        <w:rPr>
          <w:lang w:val="es-ES_tradnl"/>
        </w:rPr>
      </w:pPr>
      <w:r w:rsidRPr="00C64D72">
        <w:rPr>
          <w:lang w:val="es-ES_tradnl"/>
        </w:rPr>
        <w:t>La distribución de probabilidad de la duración del desvanecimiento para los umbrales del decilo superior e inferior queda bien descrita mediante una distribución Gamma:</w:t>
      </w:r>
      <w:r w:rsidRPr="00C64D72">
        <w:rPr>
          <w:rFonts w:ascii="Tahoma" w:hAnsi="Tahoma" w:cs="Tahoma"/>
          <w:b/>
          <w:bCs/>
          <w:i/>
          <w:iCs/>
          <w:lang w:val="es-ES_tradnl"/>
        </w:rPr>
        <w:t xml:space="preserve"> </w:t>
      </w:r>
    </w:p>
    <w:p w:rsidR="00B755DB" w:rsidRPr="00C64D72" w:rsidRDefault="00B755DB" w:rsidP="00B755DB">
      <w:pPr>
        <w:pStyle w:val="Equation"/>
        <w:jc w:val="left"/>
        <w:rPr>
          <w:lang w:val="es-ES_tradnl"/>
        </w:rPr>
      </w:pPr>
      <w:r w:rsidRPr="00C64D72">
        <w:rPr>
          <w:lang w:val="es-ES_tradnl"/>
        </w:rPr>
        <w:tab/>
      </w:r>
      <w:r w:rsidRPr="00C64D72">
        <w:rPr>
          <w:lang w:val="es-ES_tradnl"/>
        </w:rPr>
        <w:tab/>
      </w:r>
      <w:r w:rsidRPr="00C64D72">
        <w:rPr>
          <w:position w:val="-28"/>
          <w:lang w:val="es-ES_tradnl"/>
        </w:rPr>
        <w:object w:dxaOrig="5440" w:dyaOrig="720">
          <v:shape id="_x0000_i1036" type="#_x0000_t75" style="width:271.85pt;height:36.9pt" o:ole="">
            <v:imagedata r:id="rId35" o:title=""/>
          </v:shape>
          <o:OLEObject Type="Embed" ProgID="Equation.3" ShapeID="_x0000_i1036" DrawAspect="Content" ObjectID="_1528206083" r:id="rId36"/>
        </w:object>
      </w:r>
      <w:r w:rsidRPr="00C64D72">
        <w:rPr>
          <w:lang w:val="es-ES_tradnl"/>
        </w:rPr>
        <w:tab/>
        <w:t>(2)</w:t>
      </w:r>
    </w:p>
    <w:p w:rsidR="00B755DB" w:rsidRPr="00C64D72" w:rsidRDefault="00B755DB" w:rsidP="00B755DB">
      <w:pPr>
        <w:jc w:val="left"/>
        <w:rPr>
          <w:lang w:val="es-ES_tradnl"/>
        </w:rPr>
      </w:pPr>
      <w:r w:rsidRPr="00C64D72">
        <w:rPr>
          <w:lang w:val="es-ES_tradnl"/>
        </w:rPr>
        <w:t xml:space="preserve">siendo: </w:t>
      </w:r>
    </w:p>
    <w:p w:rsidR="00B755DB" w:rsidRPr="00C64D72" w:rsidRDefault="00B755DB" w:rsidP="006B4369">
      <w:pPr>
        <w:pStyle w:val="Equationlegend"/>
        <w:ind w:left="2880" w:hanging="2880"/>
        <w:jc w:val="left"/>
        <w:rPr>
          <w:lang w:val="es-ES_tradnl"/>
        </w:rPr>
      </w:pPr>
      <w:r w:rsidRPr="00C64D72">
        <w:rPr>
          <w:i/>
          <w:lang w:val="es-ES_tradnl"/>
        </w:rPr>
        <w:tab/>
        <w:t>p</w:t>
      </w:r>
      <w:r w:rsidRPr="00C64D72">
        <w:rPr>
          <w:i/>
          <w:vertAlign w:val="subscript"/>
          <w:lang w:val="es-ES_tradnl"/>
        </w:rPr>
        <w:t>G</w:t>
      </w:r>
      <w:r w:rsidRPr="00C64D72">
        <w:rPr>
          <w:iCs/>
          <w:vertAlign w:val="subscript"/>
          <w:lang w:val="es-ES_tradnl"/>
        </w:rPr>
        <w:t>:</w:t>
      </w:r>
      <w:r w:rsidRPr="00C64D72">
        <w:rPr>
          <w:iCs/>
          <w:vertAlign w:val="subscript"/>
          <w:lang w:val="es-ES_tradnl"/>
        </w:rPr>
        <w:tab/>
      </w:r>
      <w:r w:rsidRPr="00C64D72">
        <w:rPr>
          <w:lang w:val="es-ES_tradnl"/>
        </w:rPr>
        <w:t>distribución de probabilidad</w:t>
      </w:r>
    </w:p>
    <w:p w:rsidR="00B755DB" w:rsidRPr="00C64D72" w:rsidRDefault="00B755DB" w:rsidP="006B4369">
      <w:pPr>
        <w:pStyle w:val="Equationlegend"/>
        <w:ind w:left="2880" w:hanging="2880"/>
        <w:jc w:val="left"/>
        <w:rPr>
          <w:lang w:val="es-ES_tradnl"/>
        </w:rPr>
      </w:pPr>
      <w:r w:rsidRPr="00C64D72">
        <w:rPr>
          <w:lang w:val="es-ES_tradnl"/>
        </w:rPr>
        <w:tab/>
      </w:r>
      <w:r w:rsidRPr="00C64D72">
        <w:rPr>
          <w:i/>
          <w:lang w:val="es-ES_tradnl"/>
        </w:rPr>
        <w:t>P</w:t>
      </w:r>
      <w:r w:rsidRPr="00C64D72">
        <w:rPr>
          <w:i/>
          <w:szCs w:val="24"/>
          <w:vertAlign w:val="subscript"/>
          <w:lang w:val="es-ES_tradnl"/>
        </w:rPr>
        <w:t>G</w:t>
      </w:r>
      <w:r w:rsidRPr="00C64D72">
        <w:rPr>
          <w:iCs/>
          <w:szCs w:val="24"/>
          <w:vertAlign w:val="subscript"/>
          <w:lang w:val="es-ES_tradnl"/>
        </w:rPr>
        <w:t>:</w:t>
      </w:r>
      <w:r w:rsidRPr="00C64D72">
        <w:rPr>
          <w:iCs/>
          <w:szCs w:val="24"/>
          <w:vertAlign w:val="subscript"/>
          <w:lang w:val="es-ES_tradnl"/>
        </w:rPr>
        <w:tab/>
      </w:r>
      <w:r w:rsidRPr="00C64D72">
        <w:rPr>
          <w:iCs/>
          <w:szCs w:val="24"/>
          <w:lang w:val="es-ES_tradnl"/>
        </w:rPr>
        <w:t>distribución acumulativa</w:t>
      </w:r>
    </w:p>
    <w:p w:rsidR="00B755DB" w:rsidRPr="00C64D72" w:rsidRDefault="00B755DB" w:rsidP="006B4369">
      <w:pPr>
        <w:pStyle w:val="Equationlegend"/>
        <w:ind w:left="2880" w:hanging="2880"/>
        <w:jc w:val="left"/>
        <w:rPr>
          <w:lang w:val="es-ES_tradnl"/>
        </w:rPr>
      </w:pPr>
      <w:r w:rsidRPr="00C64D72">
        <w:rPr>
          <w:lang w:val="es-ES_tradnl"/>
        </w:rPr>
        <w:tab/>
      </w:r>
      <w:r w:rsidRPr="00C64D72">
        <w:rPr>
          <w:i/>
          <w:lang w:val="es-ES_tradnl"/>
        </w:rPr>
        <w:t>t</w:t>
      </w:r>
      <w:r w:rsidRPr="00C64D72">
        <w:rPr>
          <w:iCs/>
          <w:lang w:val="es-ES_tradnl"/>
        </w:rPr>
        <w:t>:</w:t>
      </w:r>
      <w:r w:rsidRPr="00C64D72">
        <w:rPr>
          <w:iCs/>
          <w:lang w:val="es-ES_tradnl"/>
        </w:rPr>
        <w:tab/>
      </w:r>
      <w:r w:rsidRPr="00C64D72">
        <w:rPr>
          <w:lang w:val="es-ES_tradnl"/>
        </w:rPr>
        <w:t>duración (min)</w:t>
      </w:r>
    </w:p>
    <w:p w:rsidR="00B755DB" w:rsidRPr="00C64D72" w:rsidRDefault="00B755DB" w:rsidP="006B4369">
      <w:pPr>
        <w:pStyle w:val="Equationlegend"/>
        <w:ind w:left="2880" w:hanging="2880"/>
        <w:jc w:val="left"/>
        <w:rPr>
          <w:lang w:val="es-ES_tradnl"/>
        </w:rPr>
      </w:pPr>
      <w:r w:rsidRPr="00C64D72">
        <w:rPr>
          <w:lang w:val="es-ES_tradnl"/>
        </w:rPr>
        <w:tab/>
        <w:t>λ y α:</w:t>
      </w:r>
      <w:r w:rsidRPr="00C64D72">
        <w:rPr>
          <w:lang w:val="es-ES_tradnl"/>
        </w:rPr>
        <w:tab/>
        <w:t>parámetros seleccionados.</w:t>
      </w:r>
    </w:p>
    <w:p w:rsidR="00B755DB" w:rsidRPr="00C64D72" w:rsidRDefault="00B755DB" w:rsidP="00B755DB">
      <w:pPr>
        <w:rPr>
          <w:lang w:val="es-ES_tradnl"/>
        </w:rPr>
      </w:pPr>
      <w:r w:rsidRPr="00C64D72">
        <w:rPr>
          <w:lang w:val="es-ES_tradnl"/>
        </w:rPr>
        <w:t>El Cuadro 5 indica la distribución y los valores de los parámetros para diversos niveles umbral.</w:t>
      </w:r>
    </w:p>
    <w:p w:rsidR="00B755DB" w:rsidRPr="00C64D72" w:rsidRDefault="00B755DB" w:rsidP="00B755DB">
      <w:pPr>
        <w:pStyle w:val="TableNo"/>
        <w:rPr>
          <w:lang w:val="es-ES_tradnl"/>
        </w:rPr>
      </w:pPr>
      <w:r w:rsidRPr="00C64D72">
        <w:rPr>
          <w:lang w:val="es-ES_tradnl"/>
        </w:rPr>
        <w:t>CUADRO 5</w:t>
      </w:r>
    </w:p>
    <w:p w:rsidR="00B755DB" w:rsidRPr="00C64D72" w:rsidRDefault="00B755DB" w:rsidP="00B755DB">
      <w:pPr>
        <w:pStyle w:val="Tabletitle"/>
        <w:rPr>
          <w:lang w:val="es-ES_tradnl"/>
        </w:rPr>
      </w:pPr>
      <w:r w:rsidRPr="00C64D72">
        <w:rPr>
          <w:lang w:val="es-ES_tradnl"/>
        </w:rPr>
        <w:t>Distribución y parámetros para varios umbrales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57"/>
        <w:gridCol w:w="1928"/>
        <w:gridCol w:w="1531"/>
        <w:gridCol w:w="2154"/>
      </w:tblGrid>
      <w:tr w:rsidR="00B755DB" w:rsidRPr="00C64D72" w:rsidTr="006B4369">
        <w:trPr>
          <w:jc w:val="center"/>
        </w:trPr>
        <w:tc>
          <w:tcPr>
            <w:tcW w:w="2268" w:type="dxa"/>
            <w:vAlign w:val="center"/>
          </w:tcPr>
          <w:p w:rsidR="00B755DB" w:rsidRPr="00C64D72" w:rsidRDefault="00B755DB" w:rsidP="00202646">
            <w:pPr>
              <w:pStyle w:val="Tablehead"/>
              <w:rPr>
                <w:lang w:val="es-ES_tradnl"/>
              </w:rPr>
            </w:pPr>
            <w:r w:rsidRPr="00C64D72">
              <w:rPr>
                <w:lang w:val="es-ES_tradnl"/>
              </w:rPr>
              <w:t>Banda</w:t>
            </w:r>
          </w:p>
        </w:tc>
        <w:tc>
          <w:tcPr>
            <w:tcW w:w="1757" w:type="dxa"/>
            <w:vAlign w:val="center"/>
          </w:tcPr>
          <w:p w:rsidR="00B755DB" w:rsidRPr="00C64D72" w:rsidRDefault="00B755DB" w:rsidP="00202646">
            <w:pPr>
              <w:pStyle w:val="Tablehead"/>
              <w:rPr>
                <w:lang w:val="es-ES_tradnl"/>
              </w:rPr>
            </w:pPr>
            <w:r w:rsidRPr="00C64D72">
              <w:rPr>
                <w:lang w:val="es-ES_tradnl"/>
              </w:rPr>
              <w:t>Nivel umbral</w:t>
            </w:r>
          </w:p>
        </w:tc>
        <w:tc>
          <w:tcPr>
            <w:tcW w:w="1928" w:type="dxa"/>
            <w:vAlign w:val="center"/>
          </w:tcPr>
          <w:p w:rsidR="00B755DB" w:rsidRPr="00C64D72" w:rsidRDefault="00B755DB" w:rsidP="00202646">
            <w:pPr>
              <w:pStyle w:val="Tablehead"/>
              <w:rPr>
                <w:lang w:val="es-ES_tradnl"/>
              </w:rPr>
            </w:pPr>
            <w:r w:rsidRPr="00C64D72">
              <w:rPr>
                <w:lang w:val="es-ES_tradnl"/>
              </w:rPr>
              <w:t>Exceso o desvanecimiento</w:t>
            </w:r>
          </w:p>
        </w:tc>
        <w:tc>
          <w:tcPr>
            <w:tcW w:w="1531" w:type="dxa"/>
            <w:vAlign w:val="center"/>
          </w:tcPr>
          <w:p w:rsidR="00B755DB" w:rsidRPr="00C64D72" w:rsidRDefault="00B755DB" w:rsidP="00202646">
            <w:pPr>
              <w:pStyle w:val="Tablehead"/>
              <w:rPr>
                <w:lang w:val="es-ES_tradnl"/>
              </w:rPr>
            </w:pPr>
            <w:r w:rsidRPr="00C64D72">
              <w:rPr>
                <w:lang w:val="es-ES_tradnl"/>
              </w:rPr>
              <w:t>Distribución</w:t>
            </w:r>
          </w:p>
        </w:tc>
        <w:tc>
          <w:tcPr>
            <w:tcW w:w="2154" w:type="dxa"/>
            <w:vAlign w:val="center"/>
          </w:tcPr>
          <w:p w:rsidR="00B755DB" w:rsidRPr="00C64D72" w:rsidRDefault="00B755DB" w:rsidP="00202646">
            <w:pPr>
              <w:pStyle w:val="Tablehead"/>
              <w:rPr>
                <w:lang w:val="es-ES_tradnl"/>
              </w:rPr>
            </w:pPr>
            <w:r w:rsidRPr="00C64D72">
              <w:rPr>
                <w:lang w:val="es-ES_tradnl"/>
              </w:rPr>
              <w:t>Parámetros</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kilométricas</w:t>
            </w:r>
          </w:p>
        </w:tc>
        <w:tc>
          <w:tcPr>
            <w:tcW w:w="1757" w:type="dxa"/>
          </w:tcPr>
          <w:p w:rsidR="00B755DB" w:rsidRPr="00C64D72" w:rsidRDefault="00B755DB" w:rsidP="00202646">
            <w:pPr>
              <w:pStyle w:val="Tabletext"/>
              <w:jc w:val="center"/>
              <w:rPr>
                <w:lang w:val="es-ES_tradnl"/>
              </w:rPr>
            </w:pPr>
            <w:r w:rsidRPr="00C64D72">
              <w:rPr>
                <w:lang w:val="es-ES_tradnl"/>
              </w:rPr>
              <w:t>Nivel mediano</w:t>
            </w:r>
          </w:p>
        </w:tc>
        <w:tc>
          <w:tcPr>
            <w:tcW w:w="1928" w:type="dxa"/>
          </w:tcPr>
          <w:p w:rsidR="00B755DB" w:rsidRPr="00C64D72" w:rsidRDefault="00B755DB" w:rsidP="00202646">
            <w:pPr>
              <w:pStyle w:val="Tabletext"/>
              <w:jc w:val="center"/>
              <w:rPr>
                <w:lang w:val="es-ES_tradnl"/>
              </w:rPr>
            </w:pPr>
            <w:r w:rsidRPr="00C64D72">
              <w:rPr>
                <w:lang w:val="es-ES_tradnl"/>
              </w:rPr>
              <w:t>Exceso</w:t>
            </w:r>
          </w:p>
        </w:tc>
        <w:tc>
          <w:tcPr>
            <w:tcW w:w="1531" w:type="dxa"/>
          </w:tcPr>
          <w:p w:rsidR="00B755DB" w:rsidRPr="00C64D72" w:rsidRDefault="00B755DB" w:rsidP="00202646">
            <w:pPr>
              <w:pStyle w:val="Tabletext"/>
              <w:jc w:val="center"/>
              <w:rPr>
                <w:lang w:val="es-ES_tradnl"/>
              </w:rPr>
            </w:pPr>
            <w:r w:rsidRPr="00C64D72">
              <w:rPr>
                <w:lang w:val="es-ES_tradnl"/>
              </w:rPr>
              <w:t>Ecuación (1)</w:t>
            </w:r>
          </w:p>
        </w:tc>
        <w:tc>
          <w:tcPr>
            <w:tcW w:w="2154" w:type="dxa"/>
          </w:tcPr>
          <w:p w:rsidR="00B755DB" w:rsidRPr="00C64D72" w:rsidRDefault="00B755DB" w:rsidP="00202646">
            <w:pPr>
              <w:pStyle w:val="Tabletext"/>
              <w:jc w:val="center"/>
              <w:rPr>
                <w:lang w:val="es-ES_tradnl"/>
              </w:rPr>
            </w:pPr>
            <w:r w:rsidRPr="00C64D72">
              <w:rPr>
                <w:i/>
                <w:lang w:val="es-ES_tradnl"/>
              </w:rPr>
              <w:t xml:space="preserve">b </w:t>
            </w:r>
            <w:r w:rsidRPr="00C64D72">
              <w:rPr>
                <w:lang w:val="es-ES_tradnl"/>
              </w:rPr>
              <w:t xml:space="preserve">= 0,32, </w:t>
            </w:r>
            <w:r w:rsidRPr="00C64D72">
              <w:rPr>
                <w:i/>
                <w:lang w:val="es-ES_tradnl"/>
              </w:rPr>
              <w:t>d</w:t>
            </w:r>
            <w:r w:rsidRPr="00C64D72">
              <w:rPr>
                <w:lang w:val="es-ES_tradnl"/>
              </w:rPr>
              <w:t xml:space="preserve"> = 3,0,</w:t>
            </w:r>
            <w:r w:rsidRPr="00C64D72">
              <w:rPr>
                <w:lang w:val="es-ES_tradnl"/>
              </w:rPr>
              <w:br/>
            </w:r>
            <w:r w:rsidRPr="00C64D72">
              <w:rPr>
                <w:i/>
                <w:lang w:val="es-ES_tradnl"/>
              </w:rPr>
              <w:t>q</w:t>
            </w:r>
            <w:r w:rsidRPr="00C64D72">
              <w:rPr>
                <w:lang w:val="es-ES_tradnl"/>
              </w:rPr>
              <w:t xml:space="preserve"> = 4,0, </w:t>
            </w:r>
            <w:r w:rsidRPr="00C64D72">
              <w:rPr>
                <w:i/>
                <w:lang w:val="es-ES_tradnl"/>
              </w:rPr>
              <w:t>r </w:t>
            </w:r>
            <w:r w:rsidRPr="00C64D72">
              <w:rPr>
                <w:lang w:val="es-ES_tradnl"/>
              </w:rPr>
              <w:t>= 3,8</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kilométricas</w:t>
            </w:r>
          </w:p>
        </w:tc>
        <w:tc>
          <w:tcPr>
            <w:tcW w:w="1757" w:type="dxa"/>
          </w:tcPr>
          <w:p w:rsidR="00B755DB" w:rsidRPr="00C64D72" w:rsidRDefault="00B755DB" w:rsidP="00202646">
            <w:pPr>
              <w:pStyle w:val="Tabletext"/>
              <w:jc w:val="center"/>
              <w:rPr>
                <w:lang w:val="es-ES_tradnl"/>
              </w:rPr>
            </w:pPr>
            <w:r w:rsidRPr="00C64D72">
              <w:rPr>
                <w:lang w:val="es-ES_tradnl"/>
              </w:rPr>
              <w:t>Decilo inferior</w:t>
            </w:r>
          </w:p>
        </w:tc>
        <w:tc>
          <w:tcPr>
            <w:tcW w:w="1928" w:type="dxa"/>
          </w:tcPr>
          <w:p w:rsidR="00B755DB" w:rsidRPr="00C64D72" w:rsidRDefault="00B755DB" w:rsidP="00202646">
            <w:pPr>
              <w:pStyle w:val="Tabletext"/>
              <w:jc w:val="center"/>
              <w:rPr>
                <w:lang w:val="es-ES_tradnl"/>
              </w:rPr>
            </w:pPr>
            <w:r w:rsidRPr="00C64D72">
              <w:rPr>
                <w:lang w:val="es-ES_tradnl"/>
              </w:rPr>
              <w:t>Desvanecimiento</w:t>
            </w:r>
          </w:p>
        </w:tc>
        <w:tc>
          <w:tcPr>
            <w:tcW w:w="1531" w:type="dxa"/>
          </w:tcPr>
          <w:p w:rsidR="00B755DB" w:rsidRPr="00C64D72" w:rsidRDefault="00B755DB" w:rsidP="00202646">
            <w:pPr>
              <w:pStyle w:val="Tabletext"/>
              <w:jc w:val="center"/>
              <w:rPr>
                <w:lang w:val="es-ES_tradnl"/>
              </w:rPr>
            </w:pPr>
            <w:r w:rsidRPr="00C64D72">
              <w:rPr>
                <w:lang w:val="es-ES_tradnl"/>
              </w:rPr>
              <w:t>Ecuación (2)</w:t>
            </w:r>
          </w:p>
        </w:tc>
        <w:tc>
          <w:tcPr>
            <w:tcW w:w="2154" w:type="dxa"/>
          </w:tcPr>
          <w:p w:rsidR="00B755DB" w:rsidRPr="00C64D72" w:rsidRDefault="00B755DB" w:rsidP="00202646">
            <w:pPr>
              <w:pStyle w:val="Tabletext"/>
              <w:jc w:val="center"/>
              <w:rPr>
                <w:lang w:val="es-ES_tradnl"/>
              </w:rPr>
            </w:pPr>
            <w:r w:rsidRPr="00C64D72">
              <w:rPr>
                <w:lang w:val="es-ES_tradnl"/>
              </w:rPr>
              <w:t>α = 2,00, λ = 0,67</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kilométricas</w:t>
            </w:r>
          </w:p>
        </w:tc>
        <w:tc>
          <w:tcPr>
            <w:tcW w:w="1757" w:type="dxa"/>
          </w:tcPr>
          <w:p w:rsidR="00B755DB" w:rsidRPr="00C64D72" w:rsidRDefault="00B755DB" w:rsidP="00202646">
            <w:pPr>
              <w:pStyle w:val="Tabletext"/>
              <w:jc w:val="center"/>
              <w:rPr>
                <w:lang w:val="es-ES_tradnl"/>
              </w:rPr>
            </w:pPr>
            <w:r w:rsidRPr="00C64D72">
              <w:rPr>
                <w:lang w:val="es-ES_tradnl"/>
              </w:rPr>
              <w:t>Decilo superior</w:t>
            </w:r>
          </w:p>
        </w:tc>
        <w:tc>
          <w:tcPr>
            <w:tcW w:w="1928" w:type="dxa"/>
          </w:tcPr>
          <w:p w:rsidR="00B755DB" w:rsidRPr="00C64D72" w:rsidRDefault="00B755DB" w:rsidP="00202646">
            <w:pPr>
              <w:pStyle w:val="Tabletext"/>
              <w:jc w:val="center"/>
              <w:rPr>
                <w:lang w:val="es-ES_tradnl"/>
              </w:rPr>
            </w:pPr>
            <w:r w:rsidRPr="00C64D72">
              <w:rPr>
                <w:lang w:val="es-ES_tradnl"/>
              </w:rPr>
              <w:t>Exceso</w:t>
            </w:r>
          </w:p>
        </w:tc>
        <w:tc>
          <w:tcPr>
            <w:tcW w:w="1531" w:type="dxa"/>
          </w:tcPr>
          <w:p w:rsidR="00B755DB" w:rsidRPr="00C64D72" w:rsidRDefault="00B755DB" w:rsidP="00202646">
            <w:pPr>
              <w:pStyle w:val="Tabletext"/>
              <w:jc w:val="center"/>
              <w:rPr>
                <w:lang w:val="es-ES_tradnl"/>
              </w:rPr>
            </w:pPr>
            <w:r w:rsidRPr="00C64D72">
              <w:rPr>
                <w:lang w:val="es-ES_tradnl"/>
              </w:rPr>
              <w:t>Ecuación (2)</w:t>
            </w:r>
          </w:p>
        </w:tc>
        <w:tc>
          <w:tcPr>
            <w:tcW w:w="2154" w:type="dxa"/>
          </w:tcPr>
          <w:p w:rsidR="00B755DB" w:rsidRPr="00C64D72" w:rsidRDefault="00B755DB" w:rsidP="00202646">
            <w:pPr>
              <w:pStyle w:val="Tabletext"/>
              <w:jc w:val="center"/>
              <w:rPr>
                <w:lang w:val="es-ES_tradnl"/>
              </w:rPr>
            </w:pPr>
            <w:r w:rsidRPr="00C64D72">
              <w:rPr>
                <w:lang w:val="es-ES_tradnl"/>
              </w:rPr>
              <w:t>α = 2,20, λ = 0,67</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hectométricas</w:t>
            </w:r>
          </w:p>
        </w:tc>
        <w:tc>
          <w:tcPr>
            <w:tcW w:w="1757" w:type="dxa"/>
          </w:tcPr>
          <w:p w:rsidR="00B755DB" w:rsidRPr="00C64D72" w:rsidRDefault="00B755DB" w:rsidP="00202646">
            <w:pPr>
              <w:pStyle w:val="Tabletext"/>
              <w:jc w:val="center"/>
              <w:rPr>
                <w:lang w:val="es-ES_tradnl"/>
              </w:rPr>
            </w:pPr>
            <w:r w:rsidRPr="00C64D72">
              <w:rPr>
                <w:lang w:val="es-ES_tradnl"/>
              </w:rPr>
              <w:t>Nivel mediano</w:t>
            </w:r>
          </w:p>
        </w:tc>
        <w:tc>
          <w:tcPr>
            <w:tcW w:w="1928" w:type="dxa"/>
          </w:tcPr>
          <w:p w:rsidR="00B755DB" w:rsidRPr="00C64D72" w:rsidRDefault="00B755DB" w:rsidP="00202646">
            <w:pPr>
              <w:pStyle w:val="Tabletext"/>
              <w:jc w:val="center"/>
              <w:rPr>
                <w:lang w:val="es-ES_tradnl"/>
              </w:rPr>
            </w:pPr>
            <w:r w:rsidRPr="00C64D72">
              <w:rPr>
                <w:lang w:val="es-ES_tradnl"/>
              </w:rPr>
              <w:t>Exceso</w:t>
            </w:r>
          </w:p>
        </w:tc>
        <w:tc>
          <w:tcPr>
            <w:tcW w:w="1531" w:type="dxa"/>
          </w:tcPr>
          <w:p w:rsidR="00B755DB" w:rsidRPr="00C64D72" w:rsidRDefault="00B755DB" w:rsidP="00202646">
            <w:pPr>
              <w:pStyle w:val="Tabletext"/>
              <w:jc w:val="center"/>
              <w:rPr>
                <w:lang w:val="es-ES_tradnl"/>
              </w:rPr>
            </w:pPr>
            <w:r w:rsidRPr="00C64D72">
              <w:rPr>
                <w:lang w:val="es-ES_tradnl"/>
              </w:rPr>
              <w:t>Ecuación (1)</w:t>
            </w:r>
          </w:p>
        </w:tc>
        <w:tc>
          <w:tcPr>
            <w:tcW w:w="2154" w:type="dxa"/>
          </w:tcPr>
          <w:p w:rsidR="00B755DB" w:rsidRPr="00C64D72" w:rsidRDefault="00B755DB" w:rsidP="00202646">
            <w:pPr>
              <w:pStyle w:val="Tabletext"/>
              <w:jc w:val="center"/>
              <w:rPr>
                <w:lang w:val="es-ES_tradnl"/>
              </w:rPr>
            </w:pPr>
            <w:r w:rsidRPr="00C64D72">
              <w:rPr>
                <w:i/>
                <w:lang w:val="es-ES_tradnl"/>
              </w:rPr>
              <w:t>b</w:t>
            </w:r>
            <w:r w:rsidRPr="00C64D72">
              <w:rPr>
                <w:lang w:val="es-ES_tradnl"/>
              </w:rPr>
              <w:t xml:space="preserve"> = 0,3, </w:t>
            </w:r>
            <w:r w:rsidRPr="00C64D72">
              <w:rPr>
                <w:i/>
                <w:lang w:val="es-ES_tradnl"/>
              </w:rPr>
              <w:t>d</w:t>
            </w:r>
            <w:r w:rsidRPr="00C64D72">
              <w:rPr>
                <w:lang w:val="es-ES_tradnl"/>
              </w:rPr>
              <w:t xml:space="preserve"> = 0,8,</w:t>
            </w:r>
            <w:r w:rsidRPr="00C64D72">
              <w:rPr>
                <w:lang w:val="es-ES_tradnl"/>
              </w:rPr>
              <w:br/>
            </w:r>
            <w:r w:rsidRPr="00C64D72">
              <w:rPr>
                <w:i/>
                <w:lang w:val="es-ES_tradnl"/>
              </w:rPr>
              <w:t>q</w:t>
            </w:r>
            <w:r w:rsidRPr="00C64D72">
              <w:rPr>
                <w:lang w:val="es-ES_tradnl"/>
              </w:rPr>
              <w:t xml:space="preserve"> = 1,8, </w:t>
            </w:r>
            <w:r w:rsidRPr="00C64D72">
              <w:rPr>
                <w:i/>
                <w:lang w:val="es-ES_tradnl"/>
              </w:rPr>
              <w:t>r</w:t>
            </w:r>
            <w:r w:rsidRPr="00C64D72">
              <w:rPr>
                <w:lang w:val="es-ES_tradnl"/>
              </w:rPr>
              <w:t xml:space="preserve"> = 2,2</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hectométricas</w:t>
            </w:r>
          </w:p>
        </w:tc>
        <w:tc>
          <w:tcPr>
            <w:tcW w:w="1757" w:type="dxa"/>
          </w:tcPr>
          <w:p w:rsidR="00B755DB" w:rsidRPr="00C64D72" w:rsidRDefault="00B755DB" w:rsidP="00202646">
            <w:pPr>
              <w:pStyle w:val="Tabletext"/>
              <w:jc w:val="center"/>
              <w:rPr>
                <w:lang w:val="es-ES_tradnl"/>
              </w:rPr>
            </w:pPr>
            <w:r w:rsidRPr="00C64D72">
              <w:rPr>
                <w:lang w:val="es-ES_tradnl"/>
              </w:rPr>
              <w:t>Decilo inferior</w:t>
            </w:r>
          </w:p>
        </w:tc>
        <w:tc>
          <w:tcPr>
            <w:tcW w:w="1928" w:type="dxa"/>
          </w:tcPr>
          <w:p w:rsidR="00B755DB" w:rsidRPr="00C64D72" w:rsidRDefault="00B755DB" w:rsidP="00202646">
            <w:pPr>
              <w:pStyle w:val="Tabletext"/>
              <w:jc w:val="center"/>
              <w:rPr>
                <w:lang w:val="es-ES_tradnl"/>
              </w:rPr>
            </w:pPr>
            <w:r w:rsidRPr="00C64D72">
              <w:rPr>
                <w:lang w:val="es-ES_tradnl"/>
              </w:rPr>
              <w:t>Desvanecimiento</w:t>
            </w:r>
          </w:p>
        </w:tc>
        <w:tc>
          <w:tcPr>
            <w:tcW w:w="1531" w:type="dxa"/>
          </w:tcPr>
          <w:p w:rsidR="00B755DB" w:rsidRPr="00C64D72" w:rsidRDefault="00B755DB" w:rsidP="00202646">
            <w:pPr>
              <w:pStyle w:val="Tabletext"/>
              <w:jc w:val="center"/>
              <w:rPr>
                <w:lang w:val="es-ES_tradnl"/>
              </w:rPr>
            </w:pPr>
            <w:r w:rsidRPr="00C64D72">
              <w:rPr>
                <w:lang w:val="es-ES_tradnl"/>
              </w:rPr>
              <w:t>Ecuación (2)</w:t>
            </w:r>
          </w:p>
        </w:tc>
        <w:tc>
          <w:tcPr>
            <w:tcW w:w="2154" w:type="dxa"/>
          </w:tcPr>
          <w:p w:rsidR="00B755DB" w:rsidRPr="00C64D72" w:rsidRDefault="00B755DB" w:rsidP="00202646">
            <w:pPr>
              <w:pStyle w:val="Tabletext"/>
              <w:jc w:val="center"/>
              <w:rPr>
                <w:lang w:val="es-ES_tradnl"/>
              </w:rPr>
            </w:pPr>
            <w:r w:rsidRPr="00C64D72">
              <w:rPr>
                <w:lang w:val="es-ES_tradnl"/>
              </w:rPr>
              <w:t>α = 3,30, λ = 1,13</w:t>
            </w:r>
          </w:p>
        </w:tc>
      </w:tr>
      <w:tr w:rsidR="00B755DB" w:rsidRPr="00C64D72" w:rsidTr="006B4369">
        <w:trPr>
          <w:jc w:val="center"/>
        </w:trPr>
        <w:tc>
          <w:tcPr>
            <w:tcW w:w="2268" w:type="dxa"/>
          </w:tcPr>
          <w:p w:rsidR="00B755DB" w:rsidRPr="00C64D72" w:rsidRDefault="00B755DB" w:rsidP="00202646">
            <w:pPr>
              <w:pStyle w:val="Tabletext"/>
              <w:jc w:val="center"/>
              <w:rPr>
                <w:lang w:val="es-ES_tradnl"/>
              </w:rPr>
            </w:pPr>
            <w:r w:rsidRPr="00C64D72">
              <w:rPr>
                <w:lang w:val="es-ES_tradnl"/>
              </w:rPr>
              <w:t>Ondas hectométricas</w:t>
            </w:r>
          </w:p>
        </w:tc>
        <w:tc>
          <w:tcPr>
            <w:tcW w:w="1757" w:type="dxa"/>
          </w:tcPr>
          <w:p w:rsidR="00B755DB" w:rsidRPr="00C64D72" w:rsidRDefault="00B755DB" w:rsidP="00202646">
            <w:pPr>
              <w:pStyle w:val="Tabletext"/>
              <w:jc w:val="center"/>
              <w:rPr>
                <w:lang w:val="es-ES_tradnl"/>
              </w:rPr>
            </w:pPr>
            <w:r w:rsidRPr="00C64D72">
              <w:rPr>
                <w:lang w:val="es-ES_tradnl"/>
              </w:rPr>
              <w:t>Decilo superior</w:t>
            </w:r>
          </w:p>
        </w:tc>
        <w:tc>
          <w:tcPr>
            <w:tcW w:w="1928" w:type="dxa"/>
          </w:tcPr>
          <w:p w:rsidR="00B755DB" w:rsidRPr="00C64D72" w:rsidRDefault="00B755DB" w:rsidP="00202646">
            <w:pPr>
              <w:pStyle w:val="Tabletext"/>
              <w:jc w:val="center"/>
              <w:rPr>
                <w:lang w:val="es-ES_tradnl"/>
              </w:rPr>
            </w:pPr>
            <w:r w:rsidRPr="00C64D72">
              <w:rPr>
                <w:lang w:val="es-ES_tradnl"/>
              </w:rPr>
              <w:t>Exceso</w:t>
            </w:r>
          </w:p>
        </w:tc>
        <w:tc>
          <w:tcPr>
            <w:tcW w:w="1531" w:type="dxa"/>
          </w:tcPr>
          <w:p w:rsidR="00B755DB" w:rsidRPr="00C64D72" w:rsidRDefault="00B755DB" w:rsidP="00202646">
            <w:pPr>
              <w:pStyle w:val="Tabletext"/>
              <w:jc w:val="center"/>
              <w:rPr>
                <w:lang w:val="es-ES_tradnl"/>
              </w:rPr>
            </w:pPr>
            <w:r w:rsidRPr="00C64D72">
              <w:rPr>
                <w:lang w:val="es-ES_tradnl"/>
              </w:rPr>
              <w:t>Ecuación (2)</w:t>
            </w:r>
          </w:p>
        </w:tc>
        <w:tc>
          <w:tcPr>
            <w:tcW w:w="2154" w:type="dxa"/>
          </w:tcPr>
          <w:p w:rsidR="00B755DB" w:rsidRPr="00C64D72" w:rsidRDefault="00B755DB" w:rsidP="00202646">
            <w:pPr>
              <w:pStyle w:val="Tabletext"/>
              <w:jc w:val="center"/>
              <w:rPr>
                <w:lang w:val="es-ES_tradnl"/>
              </w:rPr>
            </w:pPr>
            <w:r w:rsidRPr="00C64D72">
              <w:rPr>
                <w:lang w:val="es-ES_tradnl"/>
              </w:rPr>
              <w:t>α = 2,95, λ = 0,7</w:t>
            </w:r>
          </w:p>
        </w:tc>
      </w:tr>
    </w:tbl>
    <w:p w:rsidR="00B755DB" w:rsidRPr="00C64D72" w:rsidRDefault="00B755DB" w:rsidP="00B755DB">
      <w:pPr>
        <w:pStyle w:val="Tablefin"/>
        <w:rPr>
          <w:lang w:val="es-ES_tradnl"/>
        </w:rPr>
      </w:pPr>
    </w:p>
    <w:p w:rsidR="00B755DB" w:rsidRPr="00C64D72" w:rsidRDefault="00B755DB" w:rsidP="00B755DB">
      <w:pPr>
        <w:rPr>
          <w:lang w:val="es-ES_tradnl"/>
        </w:rPr>
      </w:pPr>
      <w:r w:rsidRPr="00C64D72">
        <w:rPr>
          <w:lang w:val="es-ES_tradnl"/>
        </w:rPr>
        <w:t>Los datos experimentales para valores medianos de la duración en exceso en ondas kilométricas y hectométricas difieren de manera insignificante en aproximadamente 1 minuto (5 minutos para las ondas kilométricas y 4 minutos para las ondas hectométricas).</w:t>
      </w:r>
    </w:p>
    <w:p w:rsidR="00B755DB" w:rsidRPr="00C64D72" w:rsidRDefault="00B755DB" w:rsidP="00B755DB">
      <w:pPr>
        <w:pStyle w:val="FigureNo"/>
        <w:rPr>
          <w:lang w:val="es-ES_tradnl"/>
        </w:rPr>
      </w:pPr>
      <w:r w:rsidRPr="00C64D72">
        <w:rPr>
          <w:lang w:val="es-ES_tradnl"/>
        </w:rPr>
        <w:t>FigurA 6</w:t>
      </w:r>
    </w:p>
    <w:p w:rsidR="00B755DB" w:rsidRPr="00C64D72" w:rsidRDefault="00B755DB" w:rsidP="00B755DB">
      <w:pPr>
        <w:pStyle w:val="Figuretitle"/>
        <w:rPr>
          <w:lang w:val="es-ES_tradnl"/>
        </w:rPr>
      </w:pPr>
      <w:r w:rsidRPr="00C64D72">
        <w:rPr>
          <w:lang w:val="es-ES_tradnl"/>
        </w:rPr>
        <w:t>Número de duraciones en exceso (%) por hora para el umbral mediano</w:t>
      </w:r>
      <w:r w:rsidRPr="00C64D72">
        <w:rPr>
          <w:lang w:val="es-ES_tradnl"/>
        </w:rPr>
        <w:br/>
        <w:t>en un enlace en ondas kilométricas y distribución integral</w:t>
      </w:r>
    </w:p>
    <w:p w:rsidR="00B755DB" w:rsidRPr="00C64D72" w:rsidRDefault="006B4369" w:rsidP="00B755DB">
      <w:pPr>
        <w:pStyle w:val="Figure"/>
        <w:rPr>
          <w:lang w:val="es-ES_tradnl"/>
        </w:rPr>
      </w:pPr>
      <w:r w:rsidRPr="00C64D72">
        <w:rPr>
          <w:lang w:val="es-ES_tradnl"/>
        </w:rPr>
        <w:object w:dxaOrig="3553" w:dyaOrig="2912">
          <v:shape id="_x0000_i1037" type="#_x0000_t75" style="width:297.25pt;height:243.7pt" o:ole="">
            <v:imagedata r:id="rId37" o:title=""/>
          </v:shape>
          <o:OLEObject Type="Embed" ProgID="CorelDRAW.Graphic.14" ShapeID="_x0000_i1037" DrawAspect="Content" ObjectID="_1528206084" r:id="rId38"/>
        </w:object>
      </w:r>
    </w:p>
    <w:p w:rsidR="00B755DB" w:rsidRPr="00C64D72" w:rsidRDefault="00B755DB" w:rsidP="00B755DB">
      <w:pPr>
        <w:rPr>
          <w:lang w:val="es-ES_tradnl"/>
        </w:rPr>
      </w:pPr>
    </w:p>
    <w:p w:rsidR="00B755DB" w:rsidRPr="00C64D72" w:rsidRDefault="00B755DB" w:rsidP="00B755DB">
      <w:pPr>
        <w:pStyle w:val="FigureNo"/>
        <w:rPr>
          <w:lang w:val="es-ES_tradnl"/>
        </w:rPr>
      </w:pPr>
      <w:r w:rsidRPr="00C64D72">
        <w:rPr>
          <w:lang w:val="es-ES_tradnl"/>
        </w:rPr>
        <w:t>Figura 7</w:t>
      </w:r>
    </w:p>
    <w:p w:rsidR="00B755DB" w:rsidRPr="00C64D72" w:rsidRDefault="00B755DB" w:rsidP="00B755DB">
      <w:pPr>
        <w:pStyle w:val="Figuretitle"/>
        <w:rPr>
          <w:lang w:val="es-ES_tradnl"/>
        </w:rPr>
      </w:pPr>
      <w:r w:rsidRPr="00C64D72">
        <w:rPr>
          <w:lang w:val="es-ES_tradnl"/>
        </w:rPr>
        <w:t>Número de duraciones en exceso (%) por hora para el umbral mediano</w:t>
      </w:r>
      <w:r w:rsidRPr="00C64D72">
        <w:rPr>
          <w:lang w:val="es-ES_tradnl"/>
        </w:rPr>
        <w:br/>
        <w:t>en un enlace en ondas hectométricas y distribución integral</w:t>
      </w:r>
    </w:p>
    <w:p w:rsidR="00B755DB" w:rsidRPr="00C64D72" w:rsidRDefault="004D70EB" w:rsidP="00B755DB">
      <w:pPr>
        <w:pStyle w:val="Figure"/>
        <w:rPr>
          <w:lang w:val="es-ES_tradnl"/>
        </w:rPr>
      </w:pPr>
      <w:r w:rsidRPr="00C64D72">
        <w:rPr>
          <w:lang w:val="es-ES_tradnl"/>
        </w:rPr>
        <w:object w:dxaOrig="3552" w:dyaOrig="2912">
          <v:shape id="_x0000_i1038" type="#_x0000_t75" style="width:297.7pt;height:244.15pt" o:ole="">
            <v:imagedata r:id="rId39" o:title=""/>
          </v:shape>
          <o:OLEObject Type="Embed" ProgID="CorelDRAW.Graphic.14" ShapeID="_x0000_i1038" DrawAspect="Content" ObjectID="_1528206085" r:id="rId40"/>
        </w:object>
      </w:r>
    </w:p>
    <w:p w:rsidR="00B755DB" w:rsidRPr="00C64D72" w:rsidRDefault="00B755DB" w:rsidP="00B755DB">
      <w:pPr>
        <w:rPr>
          <w:lang w:val="es-ES_tradnl"/>
        </w:rPr>
      </w:pPr>
    </w:p>
    <w:p w:rsidR="00B755DB" w:rsidRPr="00C64D72" w:rsidRDefault="00B755DB" w:rsidP="00A40CF9">
      <w:pPr>
        <w:rPr>
          <w:lang w:val="es-ES_tradnl"/>
        </w:rPr>
      </w:pPr>
    </w:p>
    <w:p w:rsidR="00B755DB" w:rsidRPr="00C64D72" w:rsidRDefault="00B755DB">
      <w:pPr>
        <w:jc w:val="center"/>
        <w:rPr>
          <w:lang w:val="es-ES_tradnl"/>
        </w:rPr>
      </w:pPr>
      <w:r w:rsidRPr="00C64D72">
        <w:rPr>
          <w:lang w:val="es-ES_tradnl"/>
        </w:rPr>
        <w:t>______________</w:t>
      </w:r>
    </w:p>
    <w:p w:rsidR="00B755DB" w:rsidRPr="00C64D72" w:rsidRDefault="00B755DB" w:rsidP="00B755DB">
      <w:pPr>
        <w:rPr>
          <w:lang w:val="es-ES_tradnl"/>
        </w:rPr>
      </w:pPr>
    </w:p>
    <w:sectPr w:rsidR="00B755DB" w:rsidRPr="00C64D72" w:rsidSect="00B755DB">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646" w:rsidRDefault="00202646">
      <w:r>
        <w:separator/>
      </w:r>
    </w:p>
  </w:endnote>
  <w:endnote w:type="continuationSeparator" w:id="0">
    <w:p w:rsidR="00202646" w:rsidRDefault="0020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646" w:rsidRDefault="00202646">
      <w:r>
        <w:separator/>
      </w:r>
    </w:p>
  </w:footnote>
  <w:footnote w:type="continuationSeparator" w:id="0">
    <w:p w:rsidR="00202646" w:rsidRDefault="00202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rsidP="00202646">
    <w:pPr>
      <w:pStyle w:val="Header"/>
      <w:ind w:right="360" w:firstLine="360"/>
    </w:pPr>
    <w:r>
      <w:rPr>
        <w:noProof/>
        <w:lang w:val="es-ES_tradnl" w:eastAsia="zh-CN"/>
      </w:rPr>
      <w:drawing>
        <wp:anchor distT="0" distB="0" distL="114300" distR="114300" simplePos="0" relativeHeight="251657728" behindDoc="1" locked="0" layoutInCell="1" allowOverlap="1" wp14:anchorId="6DDCA747" wp14:editId="450A30A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rsidP="0020264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86066">
      <w:rPr>
        <w:rStyle w:val="PageNumber"/>
        <w:b/>
        <w:bCs/>
        <w:noProof/>
      </w:rPr>
      <w:t>ii</w:t>
    </w:r>
    <w:r>
      <w:rPr>
        <w:rStyle w:val="PageNumber"/>
        <w:b/>
        <w:bCs/>
      </w:rPr>
      <w:fldChar w:fldCharType="end"/>
    </w:r>
    <w:r>
      <w:tab/>
    </w:r>
    <w:fldSimple w:instr=" DOCPROPERTY &quot;Header&quot; \* MERGEFORMAT ">
      <w:r w:rsidR="00986066" w:rsidRPr="00986066">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6066">
      <w:rPr>
        <w:b/>
        <w:bCs/>
        <w:noProof/>
      </w:rPr>
      <w:t>UIT-R  P.1321-5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pPr>
      <w:pStyle w:val="Header"/>
    </w:pPr>
    <w:r>
      <w:tab/>
    </w:r>
    <w:fldSimple w:instr=" DOCPROPERTY &quot;Header&quot; \* MERGEFORMAT ">
      <w:r w:rsidR="00986066" w:rsidRPr="00986066">
        <w:rPr>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6066">
      <w:rPr>
        <w:b/>
        <w:bCs/>
        <w:noProof/>
      </w:rPr>
      <w:t>UIT-R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606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86066" w:rsidRPr="009860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86066">
      <w:rPr>
        <w:b/>
        <w:bCs/>
        <w:noProof/>
      </w:rPr>
      <w:t>UIT-R  P.1321-5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46" w:rsidRDefault="00202646">
    <w:pPr>
      <w:pStyle w:val="Header"/>
    </w:pPr>
    <w:r>
      <w:tab/>
    </w:r>
    <w:fldSimple w:instr=" DOCPROPERTY &quot;Header&quot; \* MERGEFORMAT ">
      <w:r w:rsidR="00986066" w:rsidRPr="009860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6066">
      <w:rPr>
        <w:b/>
        <w:bCs/>
        <w:noProof/>
      </w:rPr>
      <w:t>UIT-R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606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68A1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8E8D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1E66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24EE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E0F7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A15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08F5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C4F7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02D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74CE6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DB"/>
    <w:rsid w:val="00201F13"/>
    <w:rsid w:val="00202646"/>
    <w:rsid w:val="00217EBF"/>
    <w:rsid w:val="00242AEE"/>
    <w:rsid w:val="002D76C4"/>
    <w:rsid w:val="004D70EB"/>
    <w:rsid w:val="004E4518"/>
    <w:rsid w:val="0052529D"/>
    <w:rsid w:val="005D31B0"/>
    <w:rsid w:val="00607D68"/>
    <w:rsid w:val="006B4369"/>
    <w:rsid w:val="006E65F3"/>
    <w:rsid w:val="007468DA"/>
    <w:rsid w:val="00986066"/>
    <w:rsid w:val="009E00A8"/>
    <w:rsid w:val="00A40CF9"/>
    <w:rsid w:val="00A6617B"/>
    <w:rsid w:val="00A97800"/>
    <w:rsid w:val="00AB0DC8"/>
    <w:rsid w:val="00B41B2A"/>
    <w:rsid w:val="00B44E24"/>
    <w:rsid w:val="00B755DB"/>
    <w:rsid w:val="00C64D72"/>
    <w:rsid w:val="00CC6D58"/>
    <w:rsid w:val="00DC7057"/>
    <w:rsid w:val="00DF4176"/>
    <w:rsid w:val="00F125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7F7230C4-1559-4AD6-828E-16C3821D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5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755D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755DB"/>
    <w:rPr>
      <w:color w:val="0000FF"/>
      <w:u w:val="single"/>
    </w:rPr>
  </w:style>
  <w:style w:type="character" w:customStyle="1" w:styleId="Heading1Char">
    <w:name w:val="Heading 1 Char"/>
    <w:basedOn w:val="DefaultParagraphFont"/>
    <w:link w:val="Heading1"/>
    <w:rsid w:val="00B755DB"/>
    <w:rPr>
      <w:b/>
      <w:sz w:val="24"/>
      <w:lang w:val="fr-FR" w:eastAsia="en-US"/>
    </w:rPr>
  </w:style>
  <w:style w:type="character" w:customStyle="1" w:styleId="FigureNoChar">
    <w:name w:val="Figure_No Char"/>
    <w:basedOn w:val="DefaultParagraphFont"/>
    <w:link w:val="FigureNo"/>
    <w:rsid w:val="00B755DB"/>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125</TotalTime>
  <Pages>14</Pages>
  <Words>3560</Words>
  <Characters>18766</Characters>
  <Application>Microsoft Office Word</Application>
  <DocSecurity>0</DocSecurity>
  <Lines>695</Lines>
  <Paragraphs>86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Política sobre Derechos de Propiedad Intelectual (IPR)</vt:lpstr>
      <vt:lpstr>1	Introducción</vt:lpstr>
      <vt:lpstr>2	Modos de propagación</vt:lpstr>
      <vt:lpstr>    2.1	Modo de onda de superficie</vt:lpstr>
      <vt:lpstr>    2.2	Modos de onda ionosférica</vt:lpstr>
      <vt:lpstr>3	Dispersión en el tiempo por trayectos múltiples</vt:lpstr>
      <vt:lpstr>4	Variabilidad</vt:lpstr>
      <vt:lpstr>    4.1	Variaciones temporales de la señal durante el día</vt:lpstr>
      <vt:lpstr>        4.1.1	Variaciones estacionales</vt:lpstr>
      <vt:lpstr>        4.1.2	Variación del valor mediano de la hora de una día a otros</vt:lpstr>
      <vt:lpstr>    4.2	Variaciones de una señal durante el día de un lugar a otro</vt:lpstr>
      <vt:lpstr>    4.3	Variaciones de una señal durante la noche</vt:lpstr>
      <vt:lpstr>    4.4	Características de excesos y desvanecimientos en los canales ionosféricos en</vt:lpstr>
      <vt:lpstr>5	Conclusiones</vt:lpstr>
    </vt:vector>
  </TitlesOfParts>
  <Manager/>
  <Company>ITU</Company>
  <LinksUpToDate>false</LinksUpToDate>
  <CharactersWithSpaces>22240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12</cp:revision>
  <cp:lastPrinted>2016-06-23T14:49:00Z</cp:lastPrinted>
  <dcterms:created xsi:type="dcterms:W3CDTF">2016-06-23T09:37:00Z</dcterms:created>
  <dcterms:modified xsi:type="dcterms:W3CDTF">2016-06-23T14:50:00Z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