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F4638D">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F4638D">
              <w:rPr>
                <w:rFonts w:ascii="Tahoma" w:hAnsi="Tahoma" w:cs="Tahoma"/>
                <w:b/>
                <w:bCs/>
                <w:iCs/>
                <w:color w:val="243285"/>
                <w:sz w:val="36"/>
                <w:szCs w:val="36"/>
              </w:rPr>
              <w:t>1817-1</w:t>
            </w:r>
          </w:p>
          <w:p w:rsidR="00FE79FE" w:rsidRPr="004F65E4" w:rsidRDefault="00FE79FE" w:rsidP="00F4638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4638D">
              <w:rPr>
                <w:rFonts w:ascii="Tahoma" w:hAnsi="Tahoma" w:cs="Tahoma"/>
                <w:b/>
                <w:bCs/>
                <w:iCs/>
                <w:color w:val="243285"/>
                <w:szCs w:val="24"/>
              </w:rPr>
              <w:t>02</w:t>
            </w:r>
            <w:r w:rsidRPr="004F65E4">
              <w:rPr>
                <w:rFonts w:ascii="Tahoma" w:hAnsi="Tahoma" w:cs="Tahoma"/>
                <w:b/>
                <w:bCs/>
                <w:iCs/>
                <w:color w:val="243285"/>
                <w:szCs w:val="24"/>
              </w:rPr>
              <w:t>/</w:t>
            </w:r>
            <w:r w:rsidR="00F4638D">
              <w:rPr>
                <w:rFonts w:ascii="Tahoma" w:hAnsi="Tahoma" w:cs="Tahoma"/>
                <w:b/>
                <w:bCs/>
                <w:iCs/>
                <w:color w:val="243285"/>
                <w:szCs w:val="24"/>
              </w:rPr>
              <w:t>2012</w:t>
            </w:r>
            <w:r w:rsidRPr="004F65E4">
              <w:rPr>
                <w:rFonts w:ascii="Tahoma" w:hAnsi="Tahoma" w:cs="Tahoma"/>
                <w:b/>
                <w:bCs/>
                <w:iCs/>
                <w:color w:val="243285"/>
                <w:szCs w:val="24"/>
              </w:rPr>
              <w:t>)</w:t>
            </w:r>
          </w:p>
        </w:tc>
      </w:tr>
      <w:tr w:rsidR="00FE79FE" w:rsidRPr="00456E6A">
        <w:tc>
          <w:tcPr>
            <w:tcW w:w="10089" w:type="dxa"/>
          </w:tcPr>
          <w:p w:rsidR="00013002" w:rsidRPr="00F4638D"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F4638D" w:rsidP="00F4638D">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Propagation data required for the design</w:t>
            </w:r>
            <w:r>
              <w:rPr>
                <w:rFonts w:ascii="Tahoma" w:hAnsi="Tahoma" w:cs="Tahoma"/>
                <w:b/>
                <w:bCs/>
                <w:iCs/>
                <w:color w:val="243285"/>
                <w:sz w:val="44"/>
                <w:szCs w:val="44"/>
                <w:lang w:val="en-US"/>
              </w:rPr>
              <w:br/>
              <w:t>of terrestrial free-space optical links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F4638D" w:rsidRDefault="00BF5114" w:rsidP="00BF5114">
            <w:pPr>
              <w:spacing w:before="80" w:line="280" w:lineRule="exact"/>
              <w:ind w:right="640"/>
              <w:rPr>
                <w:rFonts w:ascii="Tahoma" w:hAnsi="Tahoma" w:cs="Tahoma"/>
                <w:b/>
                <w:bCs/>
                <w:iCs/>
                <w:color w:val="243285"/>
                <w:sz w:val="32"/>
                <w:szCs w:val="32"/>
                <w:lang w:val="en-US"/>
              </w:rPr>
            </w:pPr>
          </w:p>
          <w:p w:rsidR="00BF5114" w:rsidRPr="00F4638D" w:rsidRDefault="00BF5114" w:rsidP="00BF5114">
            <w:pPr>
              <w:spacing w:before="80" w:line="280" w:lineRule="exact"/>
              <w:ind w:right="640"/>
              <w:rPr>
                <w:rFonts w:ascii="Tahoma" w:hAnsi="Tahoma" w:cs="Tahoma"/>
                <w:b/>
                <w:bCs/>
                <w:iCs/>
                <w:color w:val="243285"/>
                <w:sz w:val="32"/>
                <w:szCs w:val="32"/>
                <w:lang w:val="en-US"/>
              </w:rPr>
            </w:pPr>
          </w:p>
          <w:p w:rsidR="00BF5114" w:rsidRPr="00F4638D"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56E6A">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56E6A"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 xml:space="preserve">Mobile, </w:t>
            </w:r>
            <w:proofErr w:type="spellStart"/>
            <w:r w:rsidRPr="001A7DC3">
              <w:rPr>
                <w:rFonts w:hAnsi="Times New Roman Bold"/>
                <w:b w:val="0"/>
                <w:bCs/>
                <w:sz w:val="20"/>
                <w:lang w:val="en-US"/>
              </w:rPr>
              <w:t>radiodetermination</w:t>
            </w:r>
            <w:proofErr w:type="spellEnd"/>
            <w:r w:rsidRPr="001A7DC3">
              <w:rPr>
                <w:rFonts w:hAnsi="Times New Roman Bold"/>
                <w:b w:val="0"/>
                <w:bCs/>
                <w:sz w:val="20"/>
                <w:lang w:val="en-US"/>
              </w:rPr>
              <w:t>,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56E6A"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56E6A">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56E6A">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B3C7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327E0E">
        <w:rPr>
          <w:sz w:val="20"/>
          <w:lang w:val="en-US"/>
        </w:rPr>
        <w:t>2</w:t>
      </w:r>
    </w:p>
    <w:p w:rsidR="00470E28" w:rsidRDefault="00470E28" w:rsidP="00906589">
      <w:pPr>
        <w:jc w:val="center"/>
        <w:rPr>
          <w:sz w:val="22"/>
          <w:lang w:val="en-US"/>
        </w:rPr>
      </w:pPr>
    </w:p>
    <w:p w:rsidR="00586EF8" w:rsidRPr="00470E28" w:rsidRDefault="00586EF8" w:rsidP="002B3C7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327E0E">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F4638D" w:rsidP="004434A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1817-1</w:t>
      </w:r>
      <w:r w:rsidR="004434A3">
        <w:rPr>
          <w:rStyle w:val="FootnoteReference"/>
          <w:lang w:val="en-US"/>
        </w:rPr>
        <w:footnoteReference w:customMarkFollows="1" w:id="1"/>
        <w:t>*</w:t>
      </w:r>
    </w:p>
    <w:p w:rsidR="00F4638D" w:rsidRPr="00D03AF9" w:rsidRDefault="00F4638D" w:rsidP="00F4638D">
      <w:pPr>
        <w:pStyle w:val="Rectitle"/>
        <w:rPr>
          <w:lang w:val="en-US"/>
        </w:rPr>
      </w:pPr>
      <w:r w:rsidRPr="00D03AF9">
        <w:rPr>
          <w:lang w:val="en-US"/>
        </w:rPr>
        <w:t>Propagation data required for the design of terrestrial free-space optical links</w:t>
      </w:r>
    </w:p>
    <w:p w:rsidR="00F4638D" w:rsidRDefault="00F4638D" w:rsidP="00E645AC">
      <w:pPr>
        <w:pStyle w:val="Recref"/>
        <w:rPr>
          <w:lang w:val="en-US"/>
        </w:rPr>
      </w:pPr>
      <w:r w:rsidRPr="00D03AF9">
        <w:rPr>
          <w:lang w:val="en-US"/>
        </w:rPr>
        <w:t>(Question ITU-R 228/3)</w:t>
      </w:r>
    </w:p>
    <w:p w:rsidR="00E645AC" w:rsidRDefault="00E645AC" w:rsidP="00F4638D">
      <w:pPr>
        <w:pStyle w:val="Recdate"/>
        <w:rPr>
          <w:lang w:val="en-US"/>
        </w:rPr>
      </w:pPr>
    </w:p>
    <w:p w:rsidR="00F4638D" w:rsidRPr="00D03AF9" w:rsidRDefault="00F4638D" w:rsidP="00F4638D">
      <w:pPr>
        <w:pStyle w:val="Recdate"/>
        <w:rPr>
          <w:lang w:val="en-US"/>
        </w:rPr>
      </w:pPr>
      <w:r>
        <w:rPr>
          <w:lang w:val="en-US"/>
        </w:rPr>
        <w:t>(2007</w:t>
      </w:r>
      <w:r w:rsidR="00E645AC">
        <w:rPr>
          <w:lang w:val="en-US"/>
        </w:rPr>
        <w:t>-2012</w:t>
      </w:r>
      <w:r>
        <w:rPr>
          <w:lang w:val="en-US"/>
        </w:rPr>
        <w:t>)</w:t>
      </w:r>
    </w:p>
    <w:p w:rsidR="00E0074D" w:rsidRDefault="00E0074D" w:rsidP="00E0074D">
      <w:pPr>
        <w:rPr>
          <w:lang w:val="en-US" w:eastAsia="ja-JP"/>
        </w:rPr>
      </w:pPr>
    </w:p>
    <w:p w:rsidR="00F4638D" w:rsidRPr="00E645AC" w:rsidRDefault="00F4638D" w:rsidP="00F4638D">
      <w:pPr>
        <w:pStyle w:val="HeadingSum"/>
        <w:rPr>
          <w:sz w:val="22"/>
          <w:lang w:val="en-US" w:eastAsia="ja-JP"/>
        </w:rPr>
      </w:pPr>
      <w:r w:rsidRPr="00E645AC">
        <w:rPr>
          <w:sz w:val="22"/>
          <w:lang w:val="en-US" w:eastAsia="ja-JP"/>
        </w:rPr>
        <w:t>Scope</w:t>
      </w:r>
    </w:p>
    <w:p w:rsidR="00F4638D" w:rsidRPr="00E645AC" w:rsidRDefault="00F4638D" w:rsidP="00F4638D">
      <w:pPr>
        <w:pStyle w:val="Summary"/>
        <w:ind w:right="-142"/>
        <w:jc w:val="left"/>
        <w:rPr>
          <w:sz w:val="22"/>
          <w:lang w:val="en-US"/>
        </w:rPr>
      </w:pPr>
      <w:r w:rsidRPr="00E645AC">
        <w:rPr>
          <w:sz w:val="22"/>
          <w:szCs w:val="22"/>
          <w:lang w:val="en-US"/>
        </w:rPr>
        <w:t>This Recommendation provides propagation data required for the design of free-space optical (FSO) links and planning of free-space optical systems, in the respective ranges of validity indicated in the Recommendation.</w:t>
      </w:r>
    </w:p>
    <w:p w:rsidR="00E0074D" w:rsidRDefault="00E0074D" w:rsidP="00E0074D">
      <w:pPr>
        <w:rPr>
          <w:lang w:val="en-US"/>
        </w:rPr>
      </w:pPr>
    </w:p>
    <w:p w:rsidR="00F4638D" w:rsidRPr="00D03AF9" w:rsidRDefault="00F4638D" w:rsidP="00F4638D">
      <w:pPr>
        <w:pStyle w:val="Normalaftertitle"/>
        <w:rPr>
          <w:lang w:val="en-US"/>
        </w:rPr>
      </w:pPr>
      <w:r w:rsidRPr="00D03AF9">
        <w:rPr>
          <w:lang w:val="en-US"/>
        </w:rPr>
        <w:t xml:space="preserve">The ITU </w:t>
      </w:r>
      <w:proofErr w:type="spellStart"/>
      <w:r w:rsidRPr="00D03AF9">
        <w:rPr>
          <w:lang w:val="en-US"/>
        </w:rPr>
        <w:t>Radiocommunication</w:t>
      </w:r>
      <w:proofErr w:type="spellEnd"/>
      <w:r w:rsidRPr="00D03AF9">
        <w:rPr>
          <w:lang w:val="en-US"/>
        </w:rPr>
        <w:t xml:space="preserve"> Assembly,</w:t>
      </w:r>
    </w:p>
    <w:p w:rsidR="00F4638D" w:rsidRPr="00D03AF9" w:rsidRDefault="00F4638D" w:rsidP="00F4638D">
      <w:pPr>
        <w:pStyle w:val="Call"/>
        <w:rPr>
          <w:lang w:val="en-US"/>
        </w:rPr>
      </w:pPr>
      <w:r w:rsidRPr="00D03AF9">
        <w:rPr>
          <w:lang w:val="en-US"/>
        </w:rPr>
        <w:t>considering</w:t>
      </w:r>
    </w:p>
    <w:p w:rsidR="00F4638D" w:rsidRPr="00F4638D" w:rsidRDefault="00F4638D" w:rsidP="00F4638D">
      <w:pPr>
        <w:rPr>
          <w:lang w:val="en-US"/>
        </w:rPr>
      </w:pPr>
      <w:r w:rsidRPr="00F4638D">
        <w:rPr>
          <w:lang w:val="en-US"/>
        </w:rPr>
        <w:t>a)</w:t>
      </w:r>
      <w:r w:rsidRPr="00F4638D">
        <w:rPr>
          <w:lang w:val="en-US"/>
        </w:rPr>
        <w:tab/>
        <w:t xml:space="preserve">that the visible optical and infrared spectrum is available for </w:t>
      </w:r>
      <w:proofErr w:type="spellStart"/>
      <w:r w:rsidRPr="00F4638D">
        <w:rPr>
          <w:lang w:val="en-US"/>
        </w:rPr>
        <w:t>radiocommunications</w:t>
      </w:r>
      <w:proofErr w:type="spellEnd"/>
      <w:r w:rsidRPr="00F4638D">
        <w:rPr>
          <w:lang w:val="en-US"/>
        </w:rPr>
        <w:t xml:space="preserve"> in the Earth’s environments;</w:t>
      </w:r>
    </w:p>
    <w:p w:rsidR="00F4638D" w:rsidRPr="00F4638D" w:rsidRDefault="00F4638D" w:rsidP="00F4638D">
      <w:pPr>
        <w:rPr>
          <w:lang w:val="en-US"/>
        </w:rPr>
      </w:pPr>
      <w:r w:rsidRPr="00F4638D">
        <w:rPr>
          <w:lang w:val="en-US"/>
        </w:rPr>
        <w:t>b)</w:t>
      </w:r>
      <w:r w:rsidRPr="00F4638D">
        <w:rPr>
          <w:lang w:val="en-US"/>
        </w:rPr>
        <w:tab/>
        <w:t xml:space="preserve">that for the proper planning of free-space optic (FSO) </w:t>
      </w:r>
      <w:proofErr w:type="spellStart"/>
      <w:r w:rsidRPr="00F4638D">
        <w:rPr>
          <w:lang w:val="en-US"/>
        </w:rPr>
        <w:t>radiocommunication</w:t>
      </w:r>
      <w:proofErr w:type="spellEnd"/>
      <w:r w:rsidRPr="00F4638D">
        <w:rPr>
          <w:lang w:val="en-US"/>
        </w:rPr>
        <w:t xml:space="preserve"> systems operating in visible optical and infrared spectrum, it is necessary to have appropriate propagation data;</w:t>
      </w:r>
    </w:p>
    <w:p w:rsidR="00F4638D" w:rsidRPr="00F4638D" w:rsidRDefault="00F4638D" w:rsidP="00F4638D">
      <w:pPr>
        <w:rPr>
          <w:lang w:val="en-US"/>
        </w:rPr>
      </w:pPr>
      <w:r w:rsidRPr="00F4638D">
        <w:rPr>
          <w:lang w:val="en-US"/>
        </w:rPr>
        <w:t>c)</w:t>
      </w:r>
      <w:r w:rsidRPr="00F4638D">
        <w:rPr>
          <w:lang w:val="en-US"/>
        </w:rPr>
        <w:tab/>
        <w:t>that methods have been developed that allow the calculation of the most important propagation parameters needed in planning free-space optical systems operating in visible optical and infrared spectrum;</w:t>
      </w:r>
    </w:p>
    <w:p w:rsidR="00F4638D" w:rsidRPr="00F4638D" w:rsidRDefault="00F4638D" w:rsidP="00F4638D">
      <w:pPr>
        <w:rPr>
          <w:lang w:val="en-US"/>
        </w:rPr>
      </w:pPr>
      <w:r w:rsidRPr="00F4638D">
        <w:rPr>
          <w:lang w:val="en-US"/>
        </w:rPr>
        <w:t>d)</w:t>
      </w:r>
      <w:r w:rsidRPr="00F4638D">
        <w:rPr>
          <w:lang w:val="en-US"/>
        </w:rPr>
        <w:tab/>
        <w:t>that, as far as possible, these methods have been tested against available data and have been shown to yield an accuracy that is both compatible with the natural variability of propagation phenomena and adequate for most present applications in the planning of systems operating in the visible optical and infrared spectrum,</w:t>
      </w:r>
    </w:p>
    <w:p w:rsidR="00F4638D" w:rsidRPr="00D03AF9" w:rsidRDefault="00F4638D" w:rsidP="00F4638D">
      <w:pPr>
        <w:pStyle w:val="Call"/>
        <w:rPr>
          <w:lang w:val="en-US"/>
        </w:rPr>
      </w:pPr>
      <w:r w:rsidRPr="00D03AF9">
        <w:rPr>
          <w:lang w:val="en-US"/>
        </w:rPr>
        <w:t>recognizing</w:t>
      </w:r>
    </w:p>
    <w:p w:rsidR="00F4638D" w:rsidRPr="00F4638D" w:rsidRDefault="00F4638D" w:rsidP="00F4638D">
      <w:pPr>
        <w:rPr>
          <w:lang w:val="en-US"/>
        </w:rPr>
      </w:pPr>
      <w:r w:rsidRPr="00F4638D">
        <w:rPr>
          <w:lang w:val="en-US"/>
        </w:rPr>
        <w:t>a)</w:t>
      </w:r>
      <w:r w:rsidRPr="00F4638D">
        <w:rPr>
          <w:lang w:val="en-US"/>
        </w:rPr>
        <w:tab/>
        <w:t xml:space="preserve">that No. 78 of Article 12 of the ITU Constitution states that a function of the </w:t>
      </w:r>
      <w:proofErr w:type="spellStart"/>
      <w:r w:rsidRPr="00F4638D">
        <w:rPr>
          <w:lang w:val="en-US"/>
        </w:rPr>
        <w:t>Radiocommunication</w:t>
      </w:r>
      <w:proofErr w:type="spellEnd"/>
      <w:r w:rsidRPr="00F4638D">
        <w:rPr>
          <w:lang w:val="en-US"/>
        </w:rPr>
        <w:t xml:space="preserve"> Sector includes, “... carrying out studies without limit of frequency range and adopting recommendations ...”,</w:t>
      </w:r>
    </w:p>
    <w:p w:rsidR="00F4638D" w:rsidRPr="00D03AF9" w:rsidRDefault="00F4638D" w:rsidP="00F4638D">
      <w:pPr>
        <w:pStyle w:val="Call"/>
        <w:rPr>
          <w:lang w:val="en-US"/>
        </w:rPr>
      </w:pPr>
      <w:r w:rsidRPr="00D03AF9">
        <w:rPr>
          <w:lang w:val="en-US"/>
        </w:rPr>
        <w:t>recommends</w:t>
      </w:r>
    </w:p>
    <w:p w:rsidR="00F4638D" w:rsidRPr="00F4638D" w:rsidRDefault="00F4638D" w:rsidP="00F4638D">
      <w:pPr>
        <w:rPr>
          <w:lang w:val="en-US"/>
        </w:rPr>
      </w:pPr>
      <w:r w:rsidRPr="00F4638D">
        <w:rPr>
          <w:b/>
          <w:lang w:val="en-US"/>
        </w:rPr>
        <w:t>1</w:t>
      </w:r>
      <w:r w:rsidRPr="00F4638D">
        <w:rPr>
          <w:lang w:val="en-US"/>
        </w:rPr>
        <w:tab/>
        <w:t>that the methods for predicting the propagation parameters given in Annex 1 should be adopted for planning free-space optical systems, in the respective ranges of validity indicated in the Annex.</w:t>
      </w:r>
    </w:p>
    <w:p w:rsidR="00F4638D" w:rsidRPr="00F4638D" w:rsidRDefault="00F4638D" w:rsidP="00E645AC">
      <w:pPr>
        <w:rPr>
          <w:lang w:val="en-US"/>
        </w:rPr>
      </w:pPr>
      <w:r w:rsidRPr="00F4638D">
        <w:rPr>
          <w:lang w:val="en-US"/>
        </w:rPr>
        <w:t>NOTE 1 – Supplementary information related to propagation prediction methods for frequencies in visible and infrared spectrum may be found in an ITU-R Recommendation on prediction methods required for the design of terrestrial free-space optical links.</w:t>
      </w:r>
    </w:p>
    <w:p w:rsidR="00F4638D" w:rsidRPr="00D03AF9" w:rsidRDefault="00F4638D" w:rsidP="004434A3">
      <w:pPr>
        <w:pStyle w:val="AnnexNoTitle"/>
        <w:rPr>
          <w:lang w:val="en-US"/>
        </w:rPr>
      </w:pPr>
      <w:bookmarkStart w:id="4" w:name="_Toc106178302"/>
      <w:bookmarkStart w:id="5" w:name="_Toc106178533"/>
      <w:bookmarkStart w:id="6" w:name="_Toc107995713"/>
      <w:bookmarkStart w:id="7" w:name="_Toc109031760"/>
      <w:r w:rsidRPr="00D03AF9">
        <w:rPr>
          <w:lang w:val="en-US"/>
        </w:rPr>
        <w:lastRenderedPageBreak/>
        <w:t>Annex</w:t>
      </w:r>
      <w:bookmarkEnd w:id="4"/>
      <w:bookmarkEnd w:id="5"/>
      <w:bookmarkEnd w:id="6"/>
      <w:bookmarkEnd w:id="7"/>
      <w:r w:rsidRPr="00D03AF9">
        <w:rPr>
          <w:lang w:val="en-US"/>
        </w:rPr>
        <w:t xml:space="preserve"> 1</w:t>
      </w:r>
    </w:p>
    <w:p w:rsidR="00F4638D" w:rsidRDefault="00F4638D" w:rsidP="00F4638D">
      <w:pPr>
        <w:rPr>
          <w:lang w:val="en-US"/>
        </w:rPr>
      </w:pPr>
      <w:bookmarkStart w:id="8" w:name="_Toc85359489"/>
    </w:p>
    <w:p w:rsidR="00F4638D" w:rsidRPr="00D03AF9" w:rsidRDefault="00F4638D" w:rsidP="00F4638D">
      <w:pPr>
        <w:pStyle w:val="Heading1"/>
        <w:rPr>
          <w:lang w:val="en-US"/>
        </w:rPr>
      </w:pPr>
      <w:r w:rsidRPr="00D03AF9">
        <w:rPr>
          <w:lang w:val="en-US"/>
        </w:rPr>
        <w:t>1</w:t>
      </w:r>
      <w:r w:rsidRPr="00D03AF9">
        <w:rPr>
          <w:lang w:val="en-US"/>
        </w:rPr>
        <w:tab/>
        <w:t xml:space="preserve">Atmospheric </w:t>
      </w:r>
      <w:bookmarkEnd w:id="8"/>
      <w:r w:rsidRPr="00D03AF9">
        <w:rPr>
          <w:lang w:val="en-US"/>
        </w:rPr>
        <w:t>considerations</w:t>
      </w:r>
    </w:p>
    <w:p w:rsidR="00F4638D" w:rsidRPr="00F4638D" w:rsidRDefault="00F4638D" w:rsidP="00F4638D">
      <w:pPr>
        <w:rPr>
          <w:lang w:val="en-US"/>
        </w:rPr>
      </w:pPr>
      <w:r w:rsidRPr="00F4638D">
        <w:rPr>
          <w:lang w:val="en-US"/>
        </w:rPr>
        <w:t xml:space="preserve">FSO links are impaired by absorption and scattering of light by the Earth’s atmosphere. The atmosphere interacts with light due to the composition of the atmosphere, which normally consists of a variety of different molecular species and small suspended particles called aerosols. This interaction produces a wide variety of phenomena: frequency selective absorption, scattering, and scintillation. </w:t>
      </w:r>
    </w:p>
    <w:p w:rsidR="00F4638D" w:rsidRPr="00D03AF9" w:rsidRDefault="00F4638D" w:rsidP="00F4638D">
      <w:pPr>
        <w:pStyle w:val="enumlev1"/>
        <w:rPr>
          <w:lang w:val="en-US"/>
        </w:rPr>
      </w:pPr>
      <w:r w:rsidRPr="00D03AF9">
        <w:rPr>
          <w:lang w:val="en-US"/>
        </w:rPr>
        <w:t>–</w:t>
      </w:r>
      <w:r w:rsidRPr="00D03AF9">
        <w:rPr>
          <w:lang w:val="en-US"/>
        </w:rPr>
        <w:tab/>
        <w:t xml:space="preserve">Frequency selective absorption at specific optical wavelengths results from the interaction between the photons and atoms or molecules that leads to the extinction of the incident photons, elevation of the temperature, and </w:t>
      </w:r>
      <w:proofErr w:type="spellStart"/>
      <w:r w:rsidRPr="00D03AF9">
        <w:rPr>
          <w:lang w:val="en-US"/>
        </w:rPr>
        <w:t>radiative</w:t>
      </w:r>
      <w:proofErr w:type="spellEnd"/>
      <w:r w:rsidRPr="00D03AF9">
        <w:rPr>
          <w:lang w:val="en-US"/>
        </w:rPr>
        <w:t xml:space="preserve"> emission.</w:t>
      </w:r>
    </w:p>
    <w:p w:rsidR="00F4638D" w:rsidRPr="00D03AF9" w:rsidRDefault="00F4638D" w:rsidP="00F4638D">
      <w:pPr>
        <w:pStyle w:val="enumlev1"/>
        <w:rPr>
          <w:lang w:val="en-US"/>
        </w:rPr>
      </w:pPr>
      <w:r w:rsidRPr="00D03AF9">
        <w:rPr>
          <w:lang w:val="en-US"/>
        </w:rPr>
        <w:t>–</w:t>
      </w:r>
      <w:r w:rsidRPr="00D03AF9">
        <w:rPr>
          <w:lang w:val="en-US"/>
        </w:rPr>
        <w:tab/>
        <w:t>Atmospheric scattering results from the interaction between the photons and the atoms and molecules in the propagation medium. Scattering causes an angular redistribution of the radiation with or without modification of the wavelength.</w:t>
      </w:r>
    </w:p>
    <w:p w:rsidR="00F4638D" w:rsidRPr="00D03AF9" w:rsidRDefault="00F4638D" w:rsidP="00F4638D">
      <w:pPr>
        <w:pStyle w:val="enumlev1"/>
        <w:rPr>
          <w:lang w:val="en-US"/>
        </w:rPr>
      </w:pPr>
      <w:r w:rsidRPr="00D03AF9">
        <w:rPr>
          <w:lang w:val="en-US"/>
        </w:rPr>
        <w:t>–</w:t>
      </w:r>
      <w:r w:rsidRPr="00D03AF9">
        <w:rPr>
          <w:lang w:val="en-US"/>
        </w:rPr>
        <w:tab/>
        <w:t>Scintillation results from thermal turbulence within the propagation medium that results in randomly distributed cells. These cells have variable sizes (10 cm-1 km), temperatures, and refractive indices causing scattering, multipath and variation of the angles of arrival. As a result, the received signal amplitude fluctuates at frequencies ranging between 0.01 and 200 Hz. Scintillation also causes wave front distortion resulting in defocusing of the beam.</w:t>
      </w:r>
    </w:p>
    <w:p w:rsidR="00F4638D" w:rsidRPr="00F4638D" w:rsidRDefault="00F4638D" w:rsidP="00F4638D">
      <w:pPr>
        <w:rPr>
          <w:lang w:val="en-US"/>
        </w:rPr>
      </w:pPr>
      <w:r w:rsidRPr="00F4638D">
        <w:rPr>
          <w:lang w:val="en-US"/>
        </w:rPr>
        <w:t>In addition, sunlight can affect FSO performance when the sun is co-linear with the direction of the free-space optical link.</w:t>
      </w:r>
    </w:p>
    <w:p w:rsidR="00F4638D" w:rsidRPr="00D03AF9" w:rsidRDefault="00F4638D" w:rsidP="00F4638D">
      <w:pPr>
        <w:pStyle w:val="Heading1"/>
        <w:rPr>
          <w:lang w:val="en-US"/>
        </w:rPr>
      </w:pPr>
      <w:r w:rsidRPr="00D03AF9">
        <w:rPr>
          <w:lang w:val="en-US"/>
        </w:rPr>
        <w:t>2</w:t>
      </w:r>
      <w:r w:rsidRPr="00D03AF9">
        <w:rPr>
          <w:lang w:val="en-US"/>
        </w:rPr>
        <w:tab/>
        <w:t>Molecular absorption</w:t>
      </w:r>
    </w:p>
    <w:p w:rsidR="00F4638D" w:rsidRPr="00F4638D" w:rsidRDefault="00F4638D" w:rsidP="00F4638D">
      <w:pPr>
        <w:rPr>
          <w:lang w:val="en-US"/>
        </w:rPr>
      </w:pPr>
      <w:r w:rsidRPr="00F4638D">
        <w:rPr>
          <w:lang w:val="en-US"/>
        </w:rPr>
        <w:t>Molecular absorption results from an interaction between the optical radiation and the atoms and molecules of the medium (N</w:t>
      </w:r>
      <w:r w:rsidRPr="00F4638D">
        <w:rPr>
          <w:vertAlign w:val="subscript"/>
          <w:lang w:val="en-US"/>
        </w:rPr>
        <w:t>2</w:t>
      </w:r>
      <w:r w:rsidRPr="00F4638D">
        <w:rPr>
          <w:lang w:val="en-US"/>
        </w:rPr>
        <w:t>, O</w:t>
      </w:r>
      <w:r w:rsidRPr="00F4638D">
        <w:rPr>
          <w:vertAlign w:val="subscript"/>
          <w:lang w:val="en-US"/>
        </w:rPr>
        <w:t>2</w:t>
      </w:r>
      <w:r w:rsidRPr="00F4638D">
        <w:rPr>
          <w:lang w:val="en-US"/>
        </w:rPr>
        <w:t>, H</w:t>
      </w:r>
      <w:r w:rsidRPr="00F4638D">
        <w:rPr>
          <w:vertAlign w:val="subscript"/>
          <w:lang w:val="en-US"/>
        </w:rPr>
        <w:t>2</w:t>
      </w:r>
      <w:r w:rsidRPr="00F4638D">
        <w:rPr>
          <w:lang w:val="en-US"/>
        </w:rPr>
        <w:t>, H</w:t>
      </w:r>
      <w:r w:rsidRPr="00F4638D">
        <w:rPr>
          <w:vertAlign w:val="subscript"/>
          <w:lang w:val="en-US"/>
        </w:rPr>
        <w:t>2</w:t>
      </w:r>
      <w:r w:rsidRPr="00F4638D">
        <w:rPr>
          <w:lang w:val="en-US"/>
        </w:rPr>
        <w:t>O, CO</w:t>
      </w:r>
      <w:r w:rsidRPr="00F4638D">
        <w:rPr>
          <w:vertAlign w:val="subscript"/>
          <w:lang w:val="en-US"/>
        </w:rPr>
        <w:t>2</w:t>
      </w:r>
      <w:r w:rsidRPr="00F4638D">
        <w:rPr>
          <w:lang w:val="en-US"/>
        </w:rPr>
        <w:t>, O</w:t>
      </w:r>
      <w:r w:rsidRPr="00F4638D">
        <w:rPr>
          <w:vertAlign w:val="subscript"/>
          <w:lang w:val="en-US"/>
        </w:rPr>
        <w:t>3</w:t>
      </w:r>
      <w:r w:rsidRPr="00F4638D">
        <w:rPr>
          <w:lang w:val="en-US"/>
        </w:rPr>
        <w:t xml:space="preserve">, </w:t>
      </w:r>
      <w:proofErr w:type="spellStart"/>
      <w:r w:rsidRPr="00F4638D">
        <w:rPr>
          <w:lang w:val="en-US"/>
        </w:rPr>
        <w:t>Ar</w:t>
      </w:r>
      <w:proofErr w:type="spellEnd"/>
      <w:r w:rsidRPr="00F4638D">
        <w:rPr>
          <w:lang w:val="en-US"/>
        </w:rPr>
        <w:t>, etc.). The absorption coefficient depends on the type and concentration of gas molecules. The spectral variations of the absorption coefficient determine the absorption spectrum. The nature of this spectrum is due to the variations of possible energy levels of the gas generated essentially by the electronic transitions, vibrations of the atoms, and rotation of the molecules. An increase in the pressure or temperature tends to widen the spectral absorption lines by excitation of higher energy levels and by the Doppler effect. Molecular absorption is a selective phenomenon that results in relatively transparent atmospheric transmission windows, and relatively opaque atmospheric absorption bands.</w:t>
      </w:r>
    </w:p>
    <w:p w:rsidR="00F4638D" w:rsidRPr="00F4638D" w:rsidRDefault="00F4638D" w:rsidP="00F4638D">
      <w:pPr>
        <w:rPr>
          <w:lang w:val="en-US"/>
        </w:rPr>
      </w:pPr>
      <w:r w:rsidRPr="00F4638D">
        <w:rPr>
          <w:lang w:val="en-US"/>
        </w:rPr>
        <w:t>The transmission windows in the optical range are:</w:t>
      </w:r>
    </w:p>
    <w:p w:rsidR="00F4638D" w:rsidRPr="00D03AF9" w:rsidRDefault="00F4638D" w:rsidP="00F4638D">
      <w:pPr>
        <w:pStyle w:val="enumlev1"/>
        <w:rPr>
          <w:lang w:val="en-US"/>
        </w:rPr>
      </w:pPr>
      <w:r w:rsidRPr="00D03AF9">
        <w:rPr>
          <w:lang w:val="en-US"/>
        </w:rPr>
        <w:t>–</w:t>
      </w:r>
      <w:r w:rsidRPr="00D03AF9">
        <w:rPr>
          <w:lang w:val="en-US"/>
        </w:rPr>
        <w:tab/>
        <w:t>Visible and very-near IR:</w:t>
      </w:r>
      <w:r w:rsidRPr="00D03AF9">
        <w:rPr>
          <w:lang w:val="en-US"/>
        </w:rPr>
        <w:tab/>
        <w:t>from 0.4 to 1.4 </w:t>
      </w:r>
      <w:r w:rsidRPr="00295810">
        <w:t>μ</w:t>
      </w:r>
      <w:r w:rsidRPr="00D03AF9">
        <w:rPr>
          <w:lang w:val="en-US"/>
        </w:rPr>
        <w:t>m</w:t>
      </w:r>
    </w:p>
    <w:p w:rsidR="00F4638D" w:rsidRPr="00D03AF9" w:rsidRDefault="00F4638D" w:rsidP="00F4638D">
      <w:pPr>
        <w:pStyle w:val="enumlev1"/>
        <w:rPr>
          <w:lang w:val="en-US"/>
        </w:rPr>
      </w:pPr>
      <w:r w:rsidRPr="00D03AF9">
        <w:rPr>
          <w:lang w:val="en-US"/>
        </w:rPr>
        <w:t>–</w:t>
      </w:r>
      <w:r w:rsidRPr="00D03AF9">
        <w:rPr>
          <w:lang w:val="en-US"/>
        </w:rPr>
        <w:tab/>
        <w:t>Near IR or IR I:</w:t>
      </w:r>
      <w:r w:rsidRPr="00D03AF9">
        <w:rPr>
          <w:lang w:val="en-US"/>
        </w:rPr>
        <w:tab/>
      </w:r>
      <w:r w:rsidRPr="00D03AF9">
        <w:rPr>
          <w:lang w:val="en-US"/>
        </w:rPr>
        <w:tab/>
        <w:t>from 1.4 to 1.9 </w:t>
      </w:r>
      <w:r w:rsidRPr="00295810">
        <w:t>μ</w:t>
      </w:r>
      <w:r w:rsidRPr="00D03AF9">
        <w:rPr>
          <w:lang w:val="en-US"/>
        </w:rPr>
        <w:t>m and 1.9 to 2.7 </w:t>
      </w:r>
      <w:r w:rsidRPr="00295810">
        <w:t>μ</w:t>
      </w:r>
      <w:r w:rsidRPr="00D03AF9">
        <w:rPr>
          <w:lang w:val="en-US"/>
        </w:rPr>
        <w:t>m</w:t>
      </w:r>
    </w:p>
    <w:p w:rsidR="00F4638D" w:rsidRPr="00D03AF9" w:rsidRDefault="00F4638D" w:rsidP="00F4638D">
      <w:pPr>
        <w:pStyle w:val="enumlev1"/>
        <w:rPr>
          <w:lang w:val="en-US"/>
        </w:rPr>
      </w:pPr>
      <w:r w:rsidRPr="00D03AF9">
        <w:rPr>
          <w:lang w:val="en-US"/>
        </w:rPr>
        <w:t>–</w:t>
      </w:r>
      <w:r w:rsidRPr="00D03AF9">
        <w:rPr>
          <w:lang w:val="en-US"/>
        </w:rPr>
        <w:tab/>
        <w:t>Mean IR or IR II:</w:t>
      </w:r>
      <w:r w:rsidRPr="00D03AF9">
        <w:rPr>
          <w:lang w:val="en-US"/>
        </w:rPr>
        <w:tab/>
      </w:r>
      <w:r w:rsidRPr="00D03AF9">
        <w:rPr>
          <w:lang w:val="en-US"/>
        </w:rPr>
        <w:tab/>
        <w:t>from 2.7 to 4.3 </w:t>
      </w:r>
      <w:r w:rsidRPr="00295810">
        <w:t>μ</w:t>
      </w:r>
      <w:r w:rsidRPr="00D03AF9">
        <w:rPr>
          <w:lang w:val="en-US"/>
        </w:rPr>
        <w:t>m and 4.5 to 5.2 </w:t>
      </w:r>
      <w:r w:rsidRPr="00295810">
        <w:t>μ</w:t>
      </w:r>
      <w:r w:rsidRPr="00D03AF9">
        <w:rPr>
          <w:lang w:val="en-US"/>
        </w:rPr>
        <w:t>m</w:t>
      </w:r>
    </w:p>
    <w:p w:rsidR="00F4638D" w:rsidRPr="00D03AF9" w:rsidRDefault="00F4638D" w:rsidP="00F4638D">
      <w:pPr>
        <w:pStyle w:val="enumlev1"/>
        <w:rPr>
          <w:lang w:val="en-US"/>
        </w:rPr>
      </w:pPr>
      <w:r w:rsidRPr="00D03AF9">
        <w:rPr>
          <w:lang w:val="en-US"/>
        </w:rPr>
        <w:t>–</w:t>
      </w:r>
      <w:r w:rsidRPr="00D03AF9">
        <w:rPr>
          <w:lang w:val="en-US"/>
        </w:rPr>
        <w:tab/>
        <w:t>Far IR or IR III:</w:t>
      </w:r>
      <w:r w:rsidRPr="00D03AF9">
        <w:rPr>
          <w:lang w:val="en-US"/>
        </w:rPr>
        <w:tab/>
      </w:r>
      <w:r w:rsidRPr="00D03AF9">
        <w:rPr>
          <w:lang w:val="en-US"/>
        </w:rPr>
        <w:tab/>
        <w:t>from 8 to 14 </w:t>
      </w:r>
      <w:r w:rsidRPr="00295810">
        <w:t>μ</w:t>
      </w:r>
      <w:r w:rsidRPr="00D03AF9">
        <w:rPr>
          <w:lang w:val="en-US"/>
        </w:rPr>
        <w:t>m</w:t>
      </w:r>
    </w:p>
    <w:p w:rsidR="00F4638D" w:rsidRPr="00D03AF9" w:rsidRDefault="00F4638D" w:rsidP="00F4638D">
      <w:pPr>
        <w:pStyle w:val="enumlev1"/>
        <w:rPr>
          <w:lang w:val="en-US"/>
        </w:rPr>
      </w:pPr>
      <w:r w:rsidRPr="00D03AF9">
        <w:rPr>
          <w:lang w:val="en-US"/>
        </w:rPr>
        <w:t>–</w:t>
      </w:r>
      <w:r w:rsidRPr="00D03AF9">
        <w:rPr>
          <w:lang w:val="en-US"/>
        </w:rPr>
        <w:tab/>
        <w:t>Extreme IR or IR IV:</w:t>
      </w:r>
      <w:r w:rsidRPr="00D03AF9">
        <w:rPr>
          <w:lang w:val="en-US"/>
        </w:rPr>
        <w:tab/>
      </w:r>
      <w:r w:rsidRPr="00D03AF9">
        <w:rPr>
          <w:lang w:val="en-US"/>
        </w:rPr>
        <w:tab/>
        <w:t>from 16 to 28 </w:t>
      </w:r>
      <w:r w:rsidRPr="00295810">
        <w:t>μ</w:t>
      </w:r>
      <w:r w:rsidRPr="00D03AF9">
        <w:rPr>
          <w:lang w:val="en-US"/>
        </w:rPr>
        <w:t>m</w:t>
      </w:r>
      <w:r>
        <w:rPr>
          <w:lang w:val="en-US"/>
        </w:rPr>
        <w:t>.</w:t>
      </w:r>
    </w:p>
    <w:p w:rsidR="00F4638D" w:rsidRPr="00F4638D" w:rsidRDefault="00F4638D" w:rsidP="00F4638D">
      <w:pPr>
        <w:rPr>
          <w:snapToGrid w:val="0"/>
          <w:lang w:val="en-US"/>
        </w:rPr>
      </w:pPr>
      <w:r w:rsidRPr="00F4638D">
        <w:rPr>
          <w:snapToGrid w:val="0"/>
          <w:lang w:val="en-US"/>
        </w:rPr>
        <w:t xml:space="preserve">The gaseous molecules have quantified energy levels proper to each species, and can absorb energy (or photons) under the influence of an incident electromagnetic radiation and transition from an initial energy level, </w:t>
      </w:r>
      <w:proofErr w:type="spellStart"/>
      <w:r w:rsidRPr="00F4638D">
        <w:rPr>
          <w:i/>
          <w:snapToGrid w:val="0"/>
          <w:lang w:val="en-US"/>
        </w:rPr>
        <w:t>e</w:t>
      </w:r>
      <w:r w:rsidRPr="00F4638D">
        <w:rPr>
          <w:i/>
          <w:snapToGrid w:val="0"/>
          <w:vertAlign w:val="subscript"/>
          <w:lang w:val="en-US"/>
        </w:rPr>
        <w:t>i</w:t>
      </w:r>
      <w:proofErr w:type="spellEnd"/>
      <w:r w:rsidRPr="00F4638D">
        <w:rPr>
          <w:snapToGrid w:val="0"/>
          <w:lang w:val="en-US"/>
        </w:rPr>
        <w:t xml:space="preserve">, to a higher energy level, </w:t>
      </w:r>
      <w:proofErr w:type="spellStart"/>
      <w:r w:rsidRPr="00F4638D">
        <w:rPr>
          <w:i/>
          <w:snapToGrid w:val="0"/>
          <w:lang w:val="en-US"/>
        </w:rPr>
        <w:t>e</w:t>
      </w:r>
      <w:r w:rsidRPr="00F4638D">
        <w:rPr>
          <w:i/>
          <w:snapToGrid w:val="0"/>
          <w:vertAlign w:val="subscript"/>
          <w:lang w:val="en-US"/>
        </w:rPr>
        <w:t>f</w:t>
      </w:r>
      <w:proofErr w:type="spellEnd"/>
      <w:r w:rsidRPr="00F4638D">
        <w:rPr>
          <w:iCs/>
          <w:snapToGrid w:val="0"/>
          <w:lang w:val="en-US"/>
        </w:rPr>
        <w:t>.</w:t>
      </w:r>
      <w:r w:rsidRPr="00F4638D">
        <w:rPr>
          <w:i/>
          <w:snapToGrid w:val="0"/>
          <w:lang w:val="en-US"/>
        </w:rPr>
        <w:t xml:space="preserve"> </w:t>
      </w:r>
      <w:r w:rsidRPr="00F4638D">
        <w:rPr>
          <w:snapToGrid w:val="0"/>
          <w:lang w:val="en-US"/>
        </w:rPr>
        <w:t>The radiation energy is then attenuated by the loss of one or more photons.</w:t>
      </w:r>
    </w:p>
    <w:p w:rsidR="00F4638D" w:rsidRPr="00D03AF9" w:rsidRDefault="00F4638D" w:rsidP="00F4638D">
      <w:pPr>
        <w:rPr>
          <w:snapToGrid w:val="0"/>
          <w:lang w:val="en-US"/>
        </w:rPr>
      </w:pPr>
      <w:r w:rsidRPr="00D03AF9">
        <w:rPr>
          <w:snapToGrid w:val="0"/>
          <w:lang w:val="en-US"/>
        </w:rPr>
        <w:lastRenderedPageBreak/>
        <w:t>This process only occurs if the incident wave frequency corresponds exactly to one of the resonance frequencies of the considered molecule, given by:</w:t>
      </w:r>
    </w:p>
    <w:p w:rsidR="00183BED" w:rsidRDefault="00183BED" w:rsidP="00183BED">
      <w:pPr>
        <w:pStyle w:val="Blanc"/>
        <w:rPr>
          <w:snapToGrid w:val="0"/>
          <w:lang w:eastAsia="fr-FR"/>
        </w:rPr>
      </w:pPr>
    </w:p>
    <w:p w:rsidR="00F4638D" w:rsidRPr="00D03AF9" w:rsidRDefault="00F4638D" w:rsidP="00F4638D">
      <w:pPr>
        <w:pStyle w:val="Equation"/>
        <w:rPr>
          <w:snapToGrid w:val="0"/>
          <w:lang w:val="en-US" w:eastAsia="fr-FR"/>
        </w:rPr>
      </w:pPr>
      <w:r w:rsidRPr="00D03AF9">
        <w:rPr>
          <w:snapToGrid w:val="0"/>
          <w:lang w:val="en-US" w:eastAsia="fr-FR"/>
        </w:rPr>
        <w:tab/>
      </w:r>
      <w:r w:rsidRPr="00D03AF9">
        <w:rPr>
          <w:snapToGrid w:val="0"/>
          <w:lang w:val="en-US" w:eastAsia="fr-FR"/>
        </w:rPr>
        <w:tab/>
      </w:r>
      <w:r w:rsidRPr="00295810">
        <w:rPr>
          <w:position w:val="-24"/>
        </w:rPr>
        <w:object w:dxaOrig="12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3pt" o:ole="">
            <v:imagedata r:id="rId15" o:title=""/>
          </v:shape>
          <o:OLEObject Type="Embed" ProgID="Equation.3" ShapeID="_x0000_i1025" DrawAspect="Content" ObjectID="_1394025723" r:id="rId16"/>
        </w:object>
      </w:r>
      <w:r w:rsidRPr="00D03AF9">
        <w:rPr>
          <w:snapToGrid w:val="0"/>
          <w:lang w:val="en-US" w:eastAsia="fr-FR"/>
        </w:rPr>
        <w:tab/>
        <w:t>(1)</w:t>
      </w:r>
    </w:p>
    <w:p w:rsidR="00F4638D" w:rsidRPr="00F4638D" w:rsidRDefault="00F4638D" w:rsidP="00F4638D">
      <w:pPr>
        <w:rPr>
          <w:snapToGrid w:val="0"/>
          <w:lang w:val="en-US"/>
        </w:rPr>
      </w:pPr>
      <w:r w:rsidRPr="00F4638D">
        <w:rPr>
          <w:snapToGrid w:val="0"/>
          <w:lang w:val="en-US"/>
        </w:rPr>
        <w:t>where:</w:t>
      </w:r>
    </w:p>
    <w:p w:rsidR="00F4638D" w:rsidRPr="00295810" w:rsidRDefault="00F4638D" w:rsidP="00F4638D">
      <w:pPr>
        <w:pStyle w:val="Equationlegend"/>
        <w:rPr>
          <w:snapToGrid w:val="0"/>
        </w:rPr>
      </w:pPr>
      <w:r w:rsidRPr="00295810">
        <w:rPr>
          <w:snapToGrid w:val="0"/>
        </w:rPr>
        <w:tab/>
      </w:r>
      <w:r w:rsidRPr="00295810">
        <w:rPr>
          <w:rFonts w:ascii="Symbol" w:hAnsi="Symbol"/>
          <w:iCs/>
          <w:snapToGrid w:val="0"/>
        </w:rPr>
        <w:t></w:t>
      </w:r>
      <w:r w:rsidRPr="00295810">
        <w:rPr>
          <w:iCs/>
          <w:snapToGrid w:val="0"/>
          <w:vertAlign w:val="subscript"/>
        </w:rPr>
        <w:t>0</w:t>
      </w:r>
      <w:r w:rsidRPr="00295810">
        <w:rPr>
          <w:snapToGrid w:val="0"/>
        </w:rPr>
        <w:t>:</w:t>
      </w:r>
      <w:r w:rsidRPr="00295810">
        <w:rPr>
          <w:snapToGrid w:val="0"/>
        </w:rPr>
        <w:tab/>
        <w:t>incident wave frequency (Hz)</w:t>
      </w:r>
      <w:r>
        <w:rPr>
          <w:snapToGrid w:val="0"/>
        </w:rPr>
        <w:t>;</w:t>
      </w:r>
    </w:p>
    <w:p w:rsidR="00F4638D" w:rsidRPr="00295810" w:rsidRDefault="00F4638D" w:rsidP="00F4638D">
      <w:pPr>
        <w:pStyle w:val="Equationlegend"/>
        <w:rPr>
          <w:snapToGrid w:val="0"/>
        </w:rPr>
      </w:pPr>
      <w:r w:rsidRPr="00295810">
        <w:rPr>
          <w:snapToGrid w:val="0"/>
        </w:rPr>
        <w:tab/>
      </w:r>
      <w:r w:rsidRPr="00295810">
        <w:rPr>
          <w:i/>
          <w:snapToGrid w:val="0"/>
        </w:rPr>
        <w:t>h</w:t>
      </w:r>
      <w:r w:rsidRPr="00295810">
        <w:rPr>
          <w:snapToGrid w:val="0"/>
        </w:rPr>
        <w:t>:</w:t>
      </w:r>
      <w:r w:rsidRPr="00295810">
        <w:rPr>
          <w:snapToGrid w:val="0"/>
        </w:rPr>
        <w:tab/>
        <w:t xml:space="preserve">Planck’s constant, </w:t>
      </w:r>
      <w:r w:rsidRPr="00295810">
        <w:rPr>
          <w:i/>
          <w:iCs/>
          <w:snapToGrid w:val="0"/>
        </w:rPr>
        <w:t>h</w:t>
      </w:r>
      <w:r w:rsidRPr="00295810">
        <w:rPr>
          <w:snapToGrid w:val="0"/>
        </w:rPr>
        <w:t> = 6.6262 10</w:t>
      </w:r>
      <w:r w:rsidRPr="00295810">
        <w:rPr>
          <w:snapToGrid w:val="0"/>
          <w:vertAlign w:val="superscript"/>
        </w:rPr>
        <w:t>−34</w:t>
      </w:r>
      <w:r w:rsidRPr="00295810">
        <w:t> </w:t>
      </w:r>
      <w:r w:rsidRPr="00295810">
        <w:rPr>
          <w:snapToGrid w:val="0"/>
        </w:rPr>
        <w:t>J</w:t>
      </w:r>
      <w:r w:rsidRPr="00295810">
        <w:rPr>
          <w:snapToGrid w:val="0"/>
        </w:rPr>
        <w:noBreakHyphen/>
        <w:t>s.</w:t>
      </w:r>
    </w:p>
    <w:p w:rsidR="00F4638D" w:rsidRPr="00F4638D" w:rsidRDefault="00F4638D" w:rsidP="00F4638D">
      <w:pPr>
        <w:rPr>
          <w:snapToGrid w:val="0"/>
          <w:lang w:val="en-US"/>
        </w:rPr>
      </w:pPr>
      <w:r w:rsidRPr="00F4638D">
        <w:rPr>
          <w:snapToGrid w:val="0"/>
          <w:lang w:val="en-US"/>
        </w:rPr>
        <w:t xml:space="preserve">The fundamental parameters that determine the absorption generated by molecular resonance are: the possible energy levels for each molecular species the probability of transition from an energy level </w:t>
      </w:r>
      <w:proofErr w:type="spellStart"/>
      <w:r w:rsidRPr="00F4638D">
        <w:rPr>
          <w:i/>
          <w:snapToGrid w:val="0"/>
          <w:lang w:val="en-US"/>
        </w:rPr>
        <w:t>e</w:t>
      </w:r>
      <w:r w:rsidRPr="00F4638D">
        <w:rPr>
          <w:rFonts w:ascii="(Utiliser une police de caractè" w:hAnsi="(Utiliser une police de caractè"/>
          <w:i/>
          <w:snapToGrid w:val="0"/>
          <w:vertAlign w:val="subscript"/>
          <w:lang w:val="en-US"/>
        </w:rPr>
        <w:t>i</w:t>
      </w:r>
      <w:proofErr w:type="spellEnd"/>
      <w:r w:rsidRPr="00F4638D">
        <w:rPr>
          <w:lang w:val="en-US"/>
        </w:rPr>
        <w:t xml:space="preserve"> </w:t>
      </w:r>
      <w:r w:rsidRPr="00F4638D">
        <w:rPr>
          <w:rFonts w:ascii="(Utiliser une police de caractè" w:hAnsi="(Utiliser une police de caractè"/>
          <w:snapToGrid w:val="0"/>
          <w:lang w:val="en-US"/>
        </w:rPr>
        <w:t>to</w:t>
      </w:r>
      <w:r w:rsidRPr="00F4638D">
        <w:rPr>
          <w:snapToGrid w:val="0"/>
          <w:lang w:val="en-US"/>
        </w:rPr>
        <w:t xml:space="preserve"> an energy level </w:t>
      </w:r>
      <w:proofErr w:type="spellStart"/>
      <w:r w:rsidRPr="00F4638D">
        <w:rPr>
          <w:i/>
          <w:snapToGrid w:val="0"/>
          <w:lang w:val="en-US"/>
        </w:rPr>
        <w:t>e</w:t>
      </w:r>
      <w:r w:rsidRPr="00F4638D">
        <w:rPr>
          <w:i/>
          <w:snapToGrid w:val="0"/>
          <w:vertAlign w:val="subscript"/>
          <w:lang w:val="en-US"/>
        </w:rPr>
        <w:t>f</w:t>
      </w:r>
      <w:proofErr w:type="spellEnd"/>
      <w:r w:rsidRPr="00F4638D">
        <w:rPr>
          <w:snapToGrid w:val="0"/>
          <w:lang w:val="en-US"/>
        </w:rPr>
        <w:t>, the intensity of resonance lines, and the natural profile of each line.</w:t>
      </w:r>
    </w:p>
    <w:p w:rsidR="00F4638D" w:rsidRPr="00F4638D" w:rsidRDefault="00F4638D" w:rsidP="00F4638D">
      <w:pPr>
        <w:rPr>
          <w:lang w:val="en-US"/>
        </w:rPr>
      </w:pPr>
      <w:r w:rsidRPr="00F4638D">
        <w:rPr>
          <w:snapToGrid w:val="0"/>
          <w:lang w:val="en-US"/>
        </w:rPr>
        <w:t>Generally, the profile of each absorption line is modified by the Doppler effect when the molecules are moving relative to the incident wave, and by the collision effect due to the interaction of the molecules. These phenomena lead to a spectral widening of the natural line of each molecule. For certain molecules, such as in carbon dioxide (CO</w:t>
      </w:r>
      <w:r w:rsidRPr="00F4638D">
        <w:rPr>
          <w:snapToGrid w:val="0"/>
          <w:vertAlign w:val="subscript"/>
          <w:lang w:val="en-US"/>
        </w:rPr>
        <w:t>2</w:t>
      </w:r>
      <w:r w:rsidRPr="00F4638D">
        <w:rPr>
          <w:snapToGrid w:val="0"/>
          <w:lang w:val="en-US"/>
        </w:rPr>
        <w:t xml:space="preserve">), water </w:t>
      </w:r>
      <w:proofErr w:type="spellStart"/>
      <w:r w:rsidRPr="00F4638D">
        <w:rPr>
          <w:snapToGrid w:val="0"/>
          <w:lang w:val="en-US"/>
        </w:rPr>
        <w:t>vapour</w:t>
      </w:r>
      <w:proofErr w:type="spellEnd"/>
      <w:r w:rsidRPr="00F4638D">
        <w:rPr>
          <w:snapToGrid w:val="0"/>
          <w:lang w:val="en-US"/>
        </w:rPr>
        <w:t xml:space="preserve"> (H</w:t>
      </w:r>
      <w:r w:rsidRPr="00F4638D">
        <w:rPr>
          <w:snapToGrid w:val="0"/>
          <w:vertAlign w:val="subscript"/>
          <w:lang w:val="en-US"/>
        </w:rPr>
        <w:t>2</w:t>
      </w:r>
      <w:r w:rsidRPr="00F4638D">
        <w:rPr>
          <w:snapToGrid w:val="0"/>
          <w:lang w:val="en-US"/>
        </w:rPr>
        <w:t>O)</w:t>
      </w:r>
      <w:r w:rsidRPr="00F4638D">
        <w:rPr>
          <w:b/>
          <w:snapToGrid w:val="0"/>
          <w:lang w:val="en-US"/>
        </w:rPr>
        <w:t xml:space="preserve">, </w:t>
      </w:r>
      <w:r w:rsidRPr="00F4638D">
        <w:rPr>
          <w:snapToGrid w:val="0"/>
          <w:lang w:val="en-US"/>
        </w:rPr>
        <w:t>nitrogen (N</w:t>
      </w:r>
      <w:r w:rsidRPr="00F4638D">
        <w:rPr>
          <w:snapToGrid w:val="0"/>
          <w:vertAlign w:val="subscript"/>
          <w:lang w:val="en-US"/>
        </w:rPr>
        <w:t>2</w:t>
      </w:r>
      <w:r w:rsidRPr="00F4638D">
        <w:rPr>
          <w:snapToGrid w:val="0"/>
          <w:lang w:val="en-US"/>
        </w:rPr>
        <w:t>) and oxygen (</w:t>
      </w:r>
      <w:r w:rsidRPr="00F4638D">
        <w:rPr>
          <w:lang w:val="en-US"/>
        </w:rPr>
        <w:t>O</w:t>
      </w:r>
      <w:r w:rsidRPr="00F4638D">
        <w:rPr>
          <w:snapToGrid w:val="0"/>
          <w:vertAlign w:val="subscript"/>
          <w:lang w:val="en-US"/>
        </w:rPr>
        <w:t>2</w:t>
      </w:r>
      <w:r w:rsidRPr="00F4638D">
        <w:rPr>
          <w:lang w:val="en-US"/>
        </w:rPr>
        <w:t>), the absorption line profiles can extend sufficiently far from each central line. This property leads to an absorption continuum</w:t>
      </w:r>
      <w:r w:rsidRPr="00F4638D">
        <w:rPr>
          <w:i/>
          <w:snapToGrid w:val="0"/>
          <w:lang w:val="en-US"/>
        </w:rPr>
        <w:t xml:space="preserve">. </w:t>
      </w:r>
      <w:r w:rsidRPr="00F4638D">
        <w:rPr>
          <w:lang w:val="en-US"/>
        </w:rPr>
        <w:t>Figure 1 shows the nominal measured atmosphere transmittance due to molecular absorption on a 1 820 m horizontal link at sea level.</w:t>
      </w:r>
    </w:p>
    <w:p w:rsidR="00F4638D" w:rsidRPr="00D03AF9" w:rsidRDefault="00F4638D" w:rsidP="00F4638D">
      <w:pPr>
        <w:pStyle w:val="FigureNo"/>
        <w:keepNext w:val="0"/>
        <w:keepLines w:val="0"/>
        <w:rPr>
          <w:lang w:val="en-US"/>
        </w:rPr>
      </w:pPr>
      <w:r w:rsidRPr="00D03AF9">
        <w:rPr>
          <w:lang w:val="en-US"/>
        </w:rPr>
        <w:t>Figure 1</w:t>
      </w:r>
    </w:p>
    <w:p w:rsidR="00F4638D" w:rsidRPr="00D03AF9" w:rsidRDefault="00F4638D" w:rsidP="00F4638D">
      <w:pPr>
        <w:pStyle w:val="Figuretitle"/>
        <w:rPr>
          <w:lang w:val="en-US"/>
        </w:rPr>
      </w:pPr>
      <w:r w:rsidRPr="00D03AF9">
        <w:rPr>
          <w:lang w:val="en-US"/>
        </w:rPr>
        <w:t>Transmittance of the atmosphere due to molecular absorption</w:t>
      </w:r>
    </w:p>
    <w:p w:rsidR="00183BED" w:rsidRDefault="00183BED" w:rsidP="00183BED">
      <w:pPr>
        <w:pStyle w:val="Blanc"/>
        <w:rPr>
          <w:snapToGrid w:val="0"/>
          <w:lang w:eastAsia="fr-FR"/>
        </w:rPr>
      </w:pPr>
    </w:p>
    <w:p w:rsidR="00F4638D" w:rsidRDefault="004D3A39" w:rsidP="00F4638D">
      <w:pPr>
        <w:pStyle w:val="Figure"/>
        <w:keepLines w:val="0"/>
        <w:rPr>
          <w:snapToGrid w:val="0"/>
        </w:rPr>
      </w:pPr>
      <w:r>
        <w:rPr>
          <w:noProof/>
          <w:lang w:val="en-US" w:eastAsia="zh-CN"/>
        </w:rPr>
        <w:pict>
          <v:shape id="_x0000_i1026" type="#_x0000_t75" style="width:459pt;height:271.5pt">
            <v:imagedata r:id="rId17" o:title=""/>
          </v:shape>
        </w:pict>
      </w:r>
    </w:p>
    <w:p w:rsidR="00F4638D" w:rsidRPr="00D03AF9" w:rsidRDefault="00F4638D" w:rsidP="00F4638D">
      <w:pPr>
        <w:pStyle w:val="Heading1"/>
        <w:rPr>
          <w:lang w:val="en-US"/>
        </w:rPr>
      </w:pPr>
      <w:bookmarkStart w:id="9" w:name="_Toc85359494"/>
      <w:r w:rsidRPr="00D03AF9">
        <w:rPr>
          <w:lang w:val="en-US"/>
        </w:rPr>
        <w:t>3</w:t>
      </w:r>
      <w:r w:rsidRPr="00D03AF9">
        <w:rPr>
          <w:lang w:val="en-US"/>
        </w:rPr>
        <w:tab/>
        <w:t>Molecular scattering</w:t>
      </w:r>
      <w:bookmarkEnd w:id="9"/>
    </w:p>
    <w:p w:rsidR="00F4638D" w:rsidRPr="00F4638D" w:rsidRDefault="00F4638D" w:rsidP="00F4638D">
      <w:pPr>
        <w:rPr>
          <w:lang w:val="en-US"/>
        </w:rPr>
      </w:pPr>
      <w:r w:rsidRPr="00F4638D">
        <w:rPr>
          <w:lang w:val="en-US"/>
        </w:rPr>
        <w:t>Molecular scattering results from the interaction of light with atmospheric particles whose sizes are smaller than the wavelength of the incident light. Scattering by atmospheric gas molecules (Rayleigh scattering) contributes to the total attenuation of the electromagnetic radiation.</w:t>
      </w:r>
    </w:p>
    <w:p w:rsidR="00F4638D" w:rsidRPr="00F4638D" w:rsidRDefault="00F4638D" w:rsidP="00E0074D">
      <w:pPr>
        <w:keepNext/>
        <w:rPr>
          <w:lang w:val="en-US"/>
        </w:rPr>
      </w:pPr>
      <w:r w:rsidRPr="00F4638D">
        <w:rPr>
          <w:lang w:val="en-US"/>
        </w:rPr>
        <w:lastRenderedPageBreak/>
        <w:t xml:space="preserve">The extinction coefficient due to molecular scattering, </w:t>
      </w:r>
      <w:r w:rsidRPr="00295810">
        <w:t>β</w:t>
      </w:r>
      <w:r w:rsidRPr="00F4638D">
        <w:rPr>
          <w:i/>
          <w:iCs/>
          <w:vertAlign w:val="subscript"/>
          <w:lang w:val="en-US"/>
        </w:rPr>
        <w:t>m</w:t>
      </w:r>
      <w:r w:rsidRPr="00F4638D">
        <w:rPr>
          <w:lang w:val="en-US"/>
        </w:rPr>
        <w:t>(</w:t>
      </w:r>
      <w:r w:rsidRPr="00295810">
        <w:t>λ</w:t>
      </w:r>
      <w:r w:rsidRPr="00F4638D">
        <w:rPr>
          <w:lang w:val="en-US"/>
        </w:rPr>
        <w:t>), is:</w:t>
      </w:r>
    </w:p>
    <w:p w:rsidR="00183BED" w:rsidRDefault="00183BED" w:rsidP="00183BED">
      <w:pPr>
        <w:pStyle w:val="Blanc"/>
        <w:rPr>
          <w:snapToGrid w:val="0"/>
          <w:lang w:eastAsia="fr-FR"/>
        </w:rPr>
      </w:pPr>
    </w:p>
    <w:p w:rsidR="00F4638D" w:rsidRPr="00D03AF9" w:rsidRDefault="00F4638D" w:rsidP="00F4638D">
      <w:pPr>
        <w:pStyle w:val="Equation"/>
        <w:rPr>
          <w:lang w:val="en-US"/>
        </w:rPr>
      </w:pPr>
      <w:r w:rsidRPr="00D03AF9">
        <w:rPr>
          <w:lang w:val="en-US"/>
        </w:rPr>
        <w:tab/>
      </w:r>
      <w:r w:rsidRPr="00D03AF9">
        <w:rPr>
          <w:lang w:val="en-US"/>
        </w:rPr>
        <w:tab/>
      </w:r>
      <w:r w:rsidRPr="00295810">
        <w:rPr>
          <w:position w:val="-36"/>
        </w:rPr>
        <w:object w:dxaOrig="3800" w:dyaOrig="840">
          <v:shape id="_x0000_i1027" type="#_x0000_t75" style="width:189.75pt;height:42pt" o:ole="">
            <v:imagedata r:id="rId18" o:title=""/>
          </v:shape>
          <o:OLEObject Type="Embed" ProgID="Equation.3" ShapeID="_x0000_i1027" DrawAspect="Content" ObjectID="_1394025724" r:id="rId19"/>
        </w:object>
      </w:r>
      <w:r w:rsidRPr="00D03AF9">
        <w:rPr>
          <w:lang w:val="en-US"/>
        </w:rPr>
        <w:tab/>
      </w:r>
      <w:r w:rsidRPr="00D03AF9">
        <w:rPr>
          <w:snapToGrid w:val="0"/>
          <w:lang w:val="en-US" w:eastAsia="fr-FR"/>
        </w:rPr>
        <w:t>(2)</w:t>
      </w:r>
    </w:p>
    <w:p w:rsidR="00F4638D" w:rsidRPr="00F4638D" w:rsidRDefault="00F4638D" w:rsidP="00F4638D">
      <w:pPr>
        <w:rPr>
          <w:lang w:val="en-US"/>
        </w:rPr>
      </w:pPr>
      <w:r w:rsidRPr="00F4638D">
        <w:rPr>
          <w:lang w:val="en-US"/>
        </w:rPr>
        <w:t>where:</w:t>
      </w:r>
    </w:p>
    <w:p w:rsidR="00F4638D" w:rsidRPr="00295810" w:rsidRDefault="00F4638D" w:rsidP="00F4638D">
      <w:pPr>
        <w:pStyle w:val="Equationlegend"/>
      </w:pPr>
      <w:r w:rsidRPr="00295810">
        <w:tab/>
        <w:t>β</w:t>
      </w:r>
      <w:r w:rsidRPr="00295810">
        <w:rPr>
          <w:i/>
          <w:iCs/>
          <w:vertAlign w:val="subscript"/>
        </w:rPr>
        <w:t>m</w:t>
      </w:r>
      <w:r w:rsidRPr="00295810">
        <w:rPr>
          <w:iCs/>
        </w:rPr>
        <w:t>(</w:t>
      </w:r>
      <w:r w:rsidRPr="00295810">
        <w:rPr>
          <w:rFonts w:ascii="Symbol" w:hAnsi="Symbol"/>
          <w:iCs/>
        </w:rPr>
        <w:t></w:t>
      </w:r>
      <w:r w:rsidRPr="00295810">
        <w:rPr>
          <w:iCs/>
        </w:rPr>
        <w:t>)</w:t>
      </w:r>
      <w:r w:rsidRPr="00295810">
        <w:t>:</w:t>
      </w:r>
      <w:r w:rsidRPr="00295810">
        <w:tab/>
        <w:t>molecular scattering coefficient (km</w:t>
      </w:r>
      <w:r w:rsidRPr="00295810">
        <w:rPr>
          <w:vertAlign w:val="superscript"/>
        </w:rPr>
        <w:t>−1</w:t>
      </w:r>
      <w:r w:rsidRPr="00295810">
        <w:t>)</w:t>
      </w:r>
      <w:r>
        <w:t>;</w:t>
      </w:r>
    </w:p>
    <w:p w:rsidR="00F4638D" w:rsidRPr="00295810" w:rsidRDefault="00F4638D" w:rsidP="00F4638D">
      <w:pPr>
        <w:pStyle w:val="Equationlegend"/>
      </w:pPr>
      <w:r w:rsidRPr="00295810">
        <w:tab/>
      </w:r>
      <w:r w:rsidRPr="00295810">
        <w:rPr>
          <w:rFonts w:ascii="Symbol" w:hAnsi="Symbol"/>
          <w:iCs/>
        </w:rPr>
        <w:t></w:t>
      </w:r>
      <w:r w:rsidRPr="00295810">
        <w:t>:</w:t>
      </w:r>
      <w:r w:rsidRPr="00295810">
        <w:tab/>
        <w:t>wavelength (</w:t>
      </w:r>
      <w:r w:rsidRPr="00295810">
        <w:rPr>
          <w:rFonts w:ascii="Symbol" w:hAnsi="Symbol"/>
        </w:rPr>
        <w:t></w:t>
      </w:r>
      <w:r w:rsidRPr="00295810">
        <w:t>m)</w:t>
      </w:r>
      <w:r>
        <w:t>;</w:t>
      </w:r>
    </w:p>
    <w:p w:rsidR="00F4638D" w:rsidRPr="00295810" w:rsidRDefault="00F4638D" w:rsidP="00F4638D">
      <w:pPr>
        <w:pStyle w:val="Equationlegend"/>
      </w:pPr>
      <w:r w:rsidRPr="00295810">
        <w:tab/>
      </w:r>
      <w:r w:rsidRPr="00295810">
        <w:rPr>
          <w:rFonts w:ascii="Symbol" w:hAnsi="Symbol"/>
          <w:iCs/>
        </w:rPr>
        <w:t></w:t>
      </w:r>
      <w:r w:rsidRPr="00295810">
        <w:t>:</w:t>
      </w:r>
      <w:r w:rsidRPr="00295810">
        <w:tab/>
        <w:t>molecular density (m</w:t>
      </w:r>
      <w:r w:rsidRPr="00295810">
        <w:rPr>
          <w:vertAlign w:val="superscript"/>
        </w:rPr>
        <w:t>−3</w:t>
      </w:r>
      <w:r w:rsidRPr="00295810">
        <w:t>)</w:t>
      </w:r>
      <w:r>
        <w:t>;</w:t>
      </w:r>
    </w:p>
    <w:p w:rsidR="00F4638D" w:rsidRPr="00295810" w:rsidRDefault="00F4638D" w:rsidP="00F4638D">
      <w:pPr>
        <w:pStyle w:val="Equationlegend"/>
      </w:pPr>
      <w:r w:rsidRPr="00295810">
        <w:tab/>
      </w:r>
      <w:r w:rsidRPr="00295810">
        <w:rPr>
          <w:rFonts w:ascii="Symbol" w:hAnsi="Symbol"/>
          <w:iCs/>
        </w:rPr>
        <w:t></w:t>
      </w:r>
      <w:r w:rsidRPr="00295810">
        <w:t>:</w:t>
      </w:r>
      <w:r w:rsidRPr="00295810">
        <w:tab/>
        <w:t>depolarization factor of the air (</w:t>
      </w:r>
      <w:r w:rsidRPr="00295810">
        <w:sym w:font="Symbol" w:char="F040"/>
      </w:r>
      <w:r w:rsidRPr="00295810">
        <w:t> 0.03)</w:t>
      </w:r>
      <w:r>
        <w:t>;</w:t>
      </w:r>
    </w:p>
    <w:p w:rsidR="00F4638D" w:rsidRPr="00295810" w:rsidRDefault="00F4638D" w:rsidP="00F4638D">
      <w:pPr>
        <w:pStyle w:val="Equationlegend"/>
      </w:pPr>
      <w:r w:rsidRPr="00295810">
        <w:tab/>
      </w:r>
      <w:r w:rsidRPr="00295810">
        <w:rPr>
          <w:i/>
        </w:rPr>
        <w:t>n</w:t>
      </w:r>
      <w:r w:rsidRPr="00295810">
        <w:rPr>
          <w:iCs/>
        </w:rPr>
        <w:t>(</w:t>
      </w:r>
      <w:r w:rsidRPr="00295810">
        <w:rPr>
          <w:rFonts w:ascii="Symbol" w:hAnsi="Symbol"/>
          <w:iCs/>
        </w:rPr>
        <w:t></w:t>
      </w:r>
      <w:r w:rsidRPr="00295810">
        <w:rPr>
          <w:iCs/>
        </w:rPr>
        <w:t>)</w:t>
      </w:r>
      <w:r w:rsidRPr="00295810">
        <w:t>:</w:t>
      </w:r>
      <w:r w:rsidRPr="00295810">
        <w:tab/>
        <w:t>refractive index of air.</w:t>
      </w:r>
    </w:p>
    <w:p w:rsidR="00F4638D" w:rsidRPr="00F4638D" w:rsidRDefault="00F4638D" w:rsidP="00F4638D">
      <w:pPr>
        <w:rPr>
          <w:lang w:val="en-US"/>
        </w:rPr>
      </w:pPr>
      <w:r w:rsidRPr="00F4638D">
        <w:rPr>
          <w:lang w:val="en-US"/>
        </w:rPr>
        <w:t xml:space="preserve">An approximate value of </w:t>
      </w:r>
      <w:r w:rsidRPr="00295810">
        <w:t>β</w:t>
      </w:r>
      <w:r w:rsidRPr="00F4638D">
        <w:rPr>
          <w:i/>
          <w:iCs/>
          <w:vertAlign w:val="subscript"/>
          <w:lang w:val="en-US"/>
        </w:rPr>
        <w:t>m</w:t>
      </w:r>
      <w:r w:rsidRPr="00F4638D">
        <w:rPr>
          <w:iCs/>
          <w:lang w:val="en-US"/>
        </w:rPr>
        <w:t>(</w:t>
      </w:r>
      <w:r w:rsidRPr="00295810">
        <w:rPr>
          <w:rFonts w:ascii="Symbol" w:hAnsi="Symbol"/>
          <w:iCs/>
        </w:rPr>
        <w:t></w:t>
      </w:r>
      <w:r w:rsidRPr="00F4638D">
        <w:rPr>
          <w:iCs/>
          <w:lang w:val="en-US"/>
        </w:rPr>
        <w:t xml:space="preserve">) </w:t>
      </w:r>
      <w:r w:rsidRPr="00F4638D">
        <w:rPr>
          <w:lang w:val="en-US"/>
        </w:rPr>
        <w:t>is:</w:t>
      </w:r>
    </w:p>
    <w:p w:rsidR="00183BED" w:rsidRDefault="00183BED" w:rsidP="00183BED">
      <w:pPr>
        <w:pStyle w:val="Blanc"/>
        <w:rPr>
          <w:snapToGrid w:val="0"/>
          <w:lang w:eastAsia="fr-FR"/>
        </w:rPr>
      </w:pPr>
    </w:p>
    <w:p w:rsidR="00F4638D" w:rsidRPr="00D03AF9" w:rsidRDefault="00F4638D" w:rsidP="00F4638D">
      <w:pPr>
        <w:pStyle w:val="Equation"/>
        <w:rPr>
          <w:lang w:val="en-US"/>
        </w:rPr>
      </w:pPr>
      <w:r w:rsidRPr="00D03AF9">
        <w:rPr>
          <w:lang w:val="en-US"/>
        </w:rPr>
        <w:tab/>
      </w:r>
      <w:r w:rsidRPr="00D03AF9">
        <w:rPr>
          <w:lang w:val="en-US"/>
        </w:rPr>
        <w:tab/>
      </w:r>
      <w:r w:rsidRPr="00295810">
        <w:rPr>
          <w:position w:val="-12"/>
        </w:rPr>
        <w:object w:dxaOrig="1359" w:dyaOrig="440">
          <v:shape id="_x0000_i1028" type="#_x0000_t75" style="width:68.25pt;height:21.75pt" o:ole="">
            <v:imagedata r:id="rId20" o:title=""/>
          </v:shape>
          <o:OLEObject Type="Embed" ProgID="Equation.3" ShapeID="_x0000_i1028" DrawAspect="Content" ObjectID="_1394025725" r:id="rId21"/>
        </w:object>
      </w:r>
      <w:r w:rsidRPr="00D03AF9">
        <w:rPr>
          <w:lang w:val="en-US"/>
        </w:rPr>
        <w:tab/>
      </w:r>
      <w:r w:rsidRPr="00D03AF9">
        <w:rPr>
          <w:snapToGrid w:val="0"/>
          <w:lang w:val="en-US" w:eastAsia="fr-FR"/>
        </w:rPr>
        <w:t>(3)</w:t>
      </w:r>
    </w:p>
    <w:p w:rsidR="00F4638D" w:rsidRPr="00F4638D" w:rsidRDefault="00F4638D" w:rsidP="00F4638D">
      <w:pPr>
        <w:rPr>
          <w:lang w:val="en-US"/>
        </w:rPr>
      </w:pPr>
      <w:r w:rsidRPr="00F4638D">
        <w:rPr>
          <w:lang w:val="en-US"/>
        </w:rPr>
        <w:t>where:</w:t>
      </w:r>
    </w:p>
    <w:p w:rsidR="00183BED" w:rsidRDefault="00183BED" w:rsidP="00183BED">
      <w:pPr>
        <w:pStyle w:val="Blanc"/>
        <w:rPr>
          <w:snapToGrid w:val="0"/>
          <w:lang w:eastAsia="fr-FR"/>
        </w:rPr>
      </w:pPr>
    </w:p>
    <w:p w:rsidR="00F4638D" w:rsidRPr="00D03AF9" w:rsidRDefault="00F4638D" w:rsidP="00F4638D">
      <w:pPr>
        <w:pStyle w:val="Equation"/>
        <w:tabs>
          <w:tab w:val="left" w:pos="7655"/>
        </w:tabs>
        <w:jc w:val="center"/>
        <w:rPr>
          <w:lang w:val="en-US"/>
        </w:rPr>
      </w:pPr>
      <w:r w:rsidRPr="00D03AF9">
        <w:rPr>
          <w:lang w:val="en-US"/>
        </w:rPr>
        <w:tab/>
      </w:r>
      <w:r w:rsidRPr="00D03AF9">
        <w:rPr>
          <w:lang w:val="en-US"/>
        </w:rPr>
        <w:tab/>
      </w:r>
      <w:r w:rsidRPr="00295810">
        <w:rPr>
          <w:position w:val="-30"/>
        </w:rPr>
        <w:object w:dxaOrig="2160" w:dyaOrig="680">
          <v:shape id="_x0000_i1029" type="#_x0000_t75" style="width:108.75pt;height:33.75pt" o:ole="">
            <v:imagedata r:id="rId22" o:title=""/>
          </v:shape>
          <o:OLEObject Type="Embed" ProgID="Equation.3" ShapeID="_x0000_i1029" DrawAspect="Content" ObjectID="_1394025726" r:id="rId23"/>
        </w:object>
      </w:r>
      <w:r w:rsidRPr="00D03AF9">
        <w:rPr>
          <w:lang w:val="en-US"/>
        </w:rPr>
        <w:tab/>
        <w:t>km</w:t>
      </w:r>
      <w:r w:rsidRPr="00D03AF9">
        <w:rPr>
          <w:vertAlign w:val="superscript"/>
          <w:lang w:val="en-US"/>
        </w:rPr>
        <w:t>–1</w:t>
      </w:r>
      <w:r w:rsidRPr="00D03AF9">
        <w:rPr>
          <w:lang w:val="en-US"/>
        </w:rPr>
        <w:t xml:space="preserve"> m</w:t>
      </w:r>
      <w:r w:rsidRPr="00D03AF9">
        <w:rPr>
          <w:vertAlign w:val="superscript"/>
          <w:lang w:val="en-US"/>
        </w:rPr>
        <w:t>4</w:t>
      </w:r>
      <w:r w:rsidRPr="00D03AF9">
        <w:rPr>
          <w:lang w:val="en-US"/>
        </w:rPr>
        <w:tab/>
      </w:r>
      <w:r w:rsidRPr="00D03AF9">
        <w:rPr>
          <w:snapToGrid w:val="0"/>
          <w:lang w:val="en-US" w:eastAsia="fr-FR"/>
        </w:rPr>
        <w:t>(4)</w:t>
      </w:r>
    </w:p>
    <w:p w:rsidR="00F4638D" w:rsidRPr="00F4638D" w:rsidRDefault="00F4638D" w:rsidP="00F4638D">
      <w:pPr>
        <w:rPr>
          <w:lang w:val="en-US"/>
        </w:rPr>
      </w:pPr>
      <w:r w:rsidRPr="00F4638D">
        <w:rPr>
          <w:lang w:val="en-US"/>
        </w:rPr>
        <w:t>and</w:t>
      </w:r>
    </w:p>
    <w:p w:rsidR="00F4638D" w:rsidRPr="00295810" w:rsidRDefault="00F4638D" w:rsidP="00F4638D">
      <w:pPr>
        <w:pStyle w:val="Equationlegend"/>
      </w:pPr>
      <w:r w:rsidRPr="00295810">
        <w:tab/>
      </w:r>
      <w:r w:rsidRPr="00295810">
        <w:rPr>
          <w:i/>
        </w:rPr>
        <w:t>P</w:t>
      </w:r>
      <w:r w:rsidRPr="00295810">
        <w:t xml:space="preserve">: </w:t>
      </w:r>
      <w:r w:rsidRPr="00295810">
        <w:tab/>
        <w:t>atmospheric pressure (mbar)</w:t>
      </w:r>
      <w:r>
        <w:t>;</w:t>
      </w:r>
    </w:p>
    <w:p w:rsidR="00F4638D" w:rsidRPr="00295810" w:rsidRDefault="00F4638D" w:rsidP="00F4638D">
      <w:pPr>
        <w:pStyle w:val="Equationlegend"/>
      </w:pPr>
      <w:r w:rsidRPr="00295810">
        <w:tab/>
      </w:r>
      <w:r w:rsidRPr="00295810">
        <w:rPr>
          <w:i/>
        </w:rPr>
        <w:t>P</w:t>
      </w:r>
      <w:r w:rsidRPr="00295810">
        <w:rPr>
          <w:vertAlign w:val="subscript"/>
        </w:rPr>
        <w:t>0</w:t>
      </w:r>
      <w:r w:rsidRPr="00295810">
        <w:t xml:space="preserve">: </w:t>
      </w:r>
      <w:r w:rsidRPr="00295810">
        <w:tab/>
        <w:t>1 013 mbar</w:t>
      </w:r>
      <w:r>
        <w:t>;</w:t>
      </w:r>
    </w:p>
    <w:p w:rsidR="00F4638D" w:rsidRPr="00295810" w:rsidRDefault="00F4638D" w:rsidP="00F4638D">
      <w:pPr>
        <w:pStyle w:val="Equationlegend"/>
      </w:pPr>
      <w:r w:rsidRPr="00295810">
        <w:tab/>
      </w:r>
      <w:r w:rsidRPr="00295810">
        <w:rPr>
          <w:i/>
        </w:rPr>
        <w:t>T</w:t>
      </w:r>
      <w:r w:rsidRPr="00295810">
        <w:t xml:space="preserve">: </w:t>
      </w:r>
      <w:r w:rsidRPr="00295810">
        <w:tab/>
        <w:t>atmospheric temperature (K)</w:t>
      </w:r>
      <w:r>
        <w:t>;</w:t>
      </w:r>
      <w:r w:rsidRPr="00295810">
        <w:t xml:space="preserve"> and </w:t>
      </w:r>
    </w:p>
    <w:p w:rsidR="00F4638D" w:rsidRPr="00295810" w:rsidRDefault="00F4638D" w:rsidP="00F4638D">
      <w:pPr>
        <w:pStyle w:val="Equationlegend"/>
      </w:pPr>
      <w:r w:rsidRPr="00295810">
        <w:tab/>
      </w:r>
      <w:r w:rsidRPr="00295810">
        <w:rPr>
          <w:i/>
          <w:iCs/>
        </w:rPr>
        <w:t>T</w:t>
      </w:r>
      <w:r w:rsidRPr="00295810">
        <w:rPr>
          <w:vertAlign w:val="subscript"/>
        </w:rPr>
        <w:t>0</w:t>
      </w:r>
      <w:r w:rsidRPr="00295810">
        <w:t xml:space="preserve">: </w:t>
      </w:r>
      <w:r w:rsidRPr="00295810">
        <w:tab/>
        <w:t>273.15 K.</w:t>
      </w:r>
    </w:p>
    <w:p w:rsidR="00F4638D" w:rsidRPr="00E645AC" w:rsidRDefault="00F4638D" w:rsidP="00F4638D">
      <w:pPr>
        <w:rPr>
          <w:lang w:val="en-US"/>
        </w:rPr>
      </w:pPr>
      <w:r w:rsidRPr="00E645AC">
        <w:rPr>
          <w:lang w:val="en-US"/>
        </w:rPr>
        <w:t xml:space="preserve">Molecular scattering is negligible at infrared wavelengths, and Rayleigh scattering primarily affects ultraviolet wavelengths up to visible wavelengths. The blue </w:t>
      </w:r>
      <w:proofErr w:type="spellStart"/>
      <w:r w:rsidRPr="00E645AC">
        <w:rPr>
          <w:lang w:val="en-US"/>
        </w:rPr>
        <w:t>colour</w:t>
      </w:r>
      <w:proofErr w:type="spellEnd"/>
      <w:r w:rsidRPr="00E645AC">
        <w:rPr>
          <w:lang w:val="en-US"/>
        </w:rPr>
        <w:t xml:space="preserve"> of the clear-sky background is due to this type of scattering.</w:t>
      </w:r>
    </w:p>
    <w:p w:rsidR="00F4638D" w:rsidRPr="00D03AF9" w:rsidRDefault="00F4638D" w:rsidP="00F4638D">
      <w:pPr>
        <w:pStyle w:val="Heading1"/>
        <w:rPr>
          <w:lang w:val="en-US"/>
        </w:rPr>
      </w:pPr>
      <w:bookmarkStart w:id="10" w:name="_Toc85359492"/>
      <w:r w:rsidRPr="00D03AF9">
        <w:rPr>
          <w:lang w:val="en-US"/>
        </w:rPr>
        <w:t>4</w:t>
      </w:r>
      <w:r w:rsidRPr="00D03AF9">
        <w:rPr>
          <w:lang w:val="en-US"/>
        </w:rPr>
        <w:tab/>
        <w:t>Aerosol absorption</w:t>
      </w:r>
      <w:bookmarkEnd w:id="10"/>
    </w:p>
    <w:p w:rsidR="00F4638D" w:rsidRPr="00E645AC" w:rsidRDefault="00F4638D" w:rsidP="00F4638D">
      <w:pPr>
        <w:rPr>
          <w:lang w:val="en-US"/>
        </w:rPr>
      </w:pPr>
      <w:r w:rsidRPr="00E645AC">
        <w:rPr>
          <w:lang w:val="en-US"/>
        </w:rPr>
        <w:t xml:space="preserve">Aerosols are extremely fine solids or liquids particles suspended in the atmosphere with very low fall speed (ice, dust, smoke, </w:t>
      </w:r>
      <w:proofErr w:type="spellStart"/>
      <w:r w:rsidRPr="00E645AC">
        <w:rPr>
          <w:lang w:val="en-US"/>
        </w:rPr>
        <w:t>etc</w:t>
      </w:r>
      <w:proofErr w:type="spellEnd"/>
      <w:r w:rsidRPr="00E645AC">
        <w:rPr>
          <w:lang w:val="en-US"/>
        </w:rPr>
        <w:t>). Their size generally lies between 10</w:t>
      </w:r>
      <w:r w:rsidRPr="00E645AC">
        <w:rPr>
          <w:vertAlign w:val="superscript"/>
          <w:lang w:val="en-US"/>
        </w:rPr>
        <w:t>−2</w:t>
      </w:r>
      <w:r w:rsidRPr="00E645AC">
        <w:rPr>
          <w:lang w:val="en-US"/>
        </w:rPr>
        <w:t xml:space="preserve"> and 100 </w:t>
      </w:r>
      <w:r w:rsidRPr="00295810">
        <w:t>μ</w:t>
      </w:r>
      <w:r w:rsidRPr="00E645AC">
        <w:rPr>
          <w:lang w:val="en-US"/>
        </w:rPr>
        <w:t>m. Fog, dust and maritime spindrift particles are examples of aerosols.</w:t>
      </w:r>
    </w:p>
    <w:p w:rsidR="00F4638D" w:rsidRPr="00E645AC" w:rsidRDefault="00F4638D" w:rsidP="00F4638D">
      <w:pPr>
        <w:rPr>
          <w:lang w:val="en-US"/>
        </w:rPr>
      </w:pPr>
      <w:r w:rsidRPr="00E645AC">
        <w:rPr>
          <w:lang w:val="en-US"/>
        </w:rPr>
        <w:t>Aerosols influence the conditions of atmospheric attenuation due to their chemical nature, their size and their concentration. In maritime environments, the aerosols are primarily made up of droplets of water (foam, fog, drizzle, rain), salt crystals, and various particles of continental origin. The type and density of continental particles depend on the distance from, and characteristics of, the </w:t>
      </w:r>
      <w:proofErr w:type="spellStart"/>
      <w:r w:rsidRPr="00E645AC">
        <w:rPr>
          <w:lang w:val="en-US"/>
        </w:rPr>
        <w:t>neighbouring</w:t>
      </w:r>
      <w:proofErr w:type="spellEnd"/>
      <w:r w:rsidRPr="00E645AC">
        <w:rPr>
          <w:lang w:val="en-US"/>
        </w:rPr>
        <w:t xml:space="preserve"> coasts. </w:t>
      </w:r>
    </w:p>
    <w:p w:rsidR="00F4638D" w:rsidRPr="00D03AF9" w:rsidRDefault="00F4638D" w:rsidP="00F4638D">
      <w:pPr>
        <w:rPr>
          <w:lang w:val="en-US"/>
        </w:rPr>
      </w:pPr>
      <w:r w:rsidRPr="00D03AF9">
        <w:rPr>
          <w:lang w:val="en-US"/>
        </w:rPr>
        <w:t xml:space="preserve">The extinction coefficient due to aerosol absorption, </w:t>
      </w:r>
      <w:r w:rsidRPr="00295810">
        <w:t>α</w:t>
      </w:r>
      <w:r w:rsidRPr="00D03AF9">
        <w:rPr>
          <w:i/>
          <w:iCs/>
          <w:vertAlign w:val="subscript"/>
          <w:lang w:val="en-US"/>
        </w:rPr>
        <w:t>n</w:t>
      </w:r>
      <w:r w:rsidRPr="00D03AF9">
        <w:rPr>
          <w:lang w:val="en-US"/>
        </w:rPr>
        <w:t>(</w:t>
      </w:r>
      <w:r w:rsidRPr="00295810">
        <w:t>λ</w:t>
      </w:r>
      <w:r w:rsidRPr="00D03AF9">
        <w:rPr>
          <w:lang w:val="en-US"/>
        </w:rPr>
        <w:t>), is:</w:t>
      </w:r>
    </w:p>
    <w:p w:rsidR="00183BED" w:rsidRDefault="00183BED" w:rsidP="00183BED">
      <w:pPr>
        <w:pStyle w:val="Blanc"/>
        <w:rPr>
          <w:snapToGrid w:val="0"/>
          <w:lang w:eastAsia="fr-FR"/>
        </w:rPr>
      </w:pPr>
    </w:p>
    <w:p w:rsidR="00F4638D" w:rsidRPr="00D03AF9" w:rsidRDefault="00F4638D" w:rsidP="00F4638D">
      <w:pPr>
        <w:pStyle w:val="Equation"/>
        <w:tabs>
          <w:tab w:val="left" w:pos="7655"/>
        </w:tabs>
        <w:rPr>
          <w:lang w:val="en-US"/>
        </w:rPr>
      </w:pPr>
      <w:r w:rsidRPr="00D03AF9">
        <w:rPr>
          <w:lang w:val="en-US"/>
        </w:rPr>
        <w:tab/>
      </w:r>
      <w:r w:rsidRPr="00D03AF9">
        <w:rPr>
          <w:lang w:val="en-US"/>
        </w:rPr>
        <w:tab/>
      </w:r>
      <w:r w:rsidRPr="00295810">
        <w:rPr>
          <w:position w:val="-38"/>
        </w:rPr>
        <w:object w:dxaOrig="4040" w:dyaOrig="880">
          <v:shape id="_x0000_i1030" type="#_x0000_t75" style="width:201.75pt;height:44.25pt" o:ole="">
            <v:imagedata r:id="rId24" o:title=""/>
          </v:shape>
          <o:OLEObject Type="Embed" ProgID="Equation.3" ShapeID="_x0000_i1030" DrawAspect="Content" ObjectID="_1394025727" r:id="rId25"/>
        </w:object>
      </w:r>
      <w:r w:rsidRPr="00D03AF9">
        <w:rPr>
          <w:lang w:val="en-US"/>
        </w:rPr>
        <w:tab/>
        <w:t>km</w:t>
      </w:r>
      <w:r w:rsidRPr="00D03AF9">
        <w:rPr>
          <w:vertAlign w:val="superscript"/>
          <w:lang w:val="en-US"/>
        </w:rPr>
        <w:t>–1</w:t>
      </w:r>
      <w:r w:rsidRPr="00D03AF9">
        <w:rPr>
          <w:lang w:val="en-US"/>
        </w:rPr>
        <w:tab/>
      </w:r>
      <w:r w:rsidRPr="00D03AF9">
        <w:rPr>
          <w:snapToGrid w:val="0"/>
          <w:lang w:val="en-US" w:eastAsia="fr-FR"/>
        </w:rPr>
        <w:t>(5)</w:t>
      </w:r>
    </w:p>
    <w:p w:rsidR="00F4638D" w:rsidRPr="00E645AC" w:rsidRDefault="00F4638D" w:rsidP="00183BED">
      <w:pPr>
        <w:keepNext/>
        <w:rPr>
          <w:lang w:val="en-US"/>
        </w:rPr>
      </w:pPr>
      <w:r w:rsidRPr="00E645AC">
        <w:rPr>
          <w:lang w:val="en-US"/>
        </w:rPr>
        <w:lastRenderedPageBreak/>
        <w:t>where:</w:t>
      </w:r>
    </w:p>
    <w:p w:rsidR="00F4638D" w:rsidRPr="00295810" w:rsidRDefault="00F4638D" w:rsidP="00F4638D">
      <w:pPr>
        <w:pStyle w:val="Equationlegend"/>
      </w:pPr>
      <w:r w:rsidRPr="00295810">
        <w:tab/>
      </w:r>
      <w:r w:rsidRPr="00295810">
        <w:rPr>
          <w:rFonts w:ascii="Symbol" w:hAnsi="Symbol"/>
          <w:iCs/>
        </w:rPr>
        <w:t></w:t>
      </w:r>
      <w:r w:rsidRPr="00295810">
        <w:t>:</w:t>
      </w:r>
      <w:r w:rsidRPr="00295810">
        <w:tab/>
        <w:t>wavelength (</w:t>
      </w:r>
      <w:proofErr w:type="spellStart"/>
      <w:r w:rsidRPr="00295810">
        <w:t>μm</w:t>
      </w:r>
      <w:proofErr w:type="spellEnd"/>
      <w:r w:rsidRPr="00295810">
        <w:t>)</w:t>
      </w:r>
      <w:r>
        <w:t>;</w:t>
      </w:r>
    </w:p>
    <w:p w:rsidR="00F4638D" w:rsidRPr="00295810" w:rsidRDefault="00F4638D" w:rsidP="00F4638D">
      <w:pPr>
        <w:pStyle w:val="Equationlegend"/>
      </w:pPr>
      <w:r w:rsidRPr="00295810">
        <w:tab/>
      </w:r>
      <w:proofErr w:type="spellStart"/>
      <w:r w:rsidRPr="00295810">
        <w:rPr>
          <w:i/>
        </w:rPr>
        <w:t>dN</w:t>
      </w:r>
      <w:proofErr w:type="spellEnd"/>
      <w:r w:rsidRPr="00295810">
        <w:rPr>
          <w:iCs/>
        </w:rPr>
        <w:t>(</w:t>
      </w:r>
      <w:r w:rsidRPr="00295810">
        <w:rPr>
          <w:i/>
        </w:rPr>
        <w:t>r</w:t>
      </w:r>
      <w:r w:rsidRPr="00295810">
        <w:rPr>
          <w:iCs/>
        </w:rPr>
        <w:t>)/</w:t>
      </w:r>
      <w:proofErr w:type="spellStart"/>
      <w:r w:rsidRPr="00295810">
        <w:rPr>
          <w:i/>
        </w:rPr>
        <w:t>dr</w:t>
      </w:r>
      <w:proofErr w:type="spellEnd"/>
      <w:r w:rsidRPr="00295810">
        <w:t>:</w:t>
      </w:r>
      <w:r w:rsidRPr="00295810">
        <w:tab/>
        <w:t>particle size distribution per unit of volume (cm</w:t>
      </w:r>
      <w:r w:rsidRPr="00295810">
        <w:rPr>
          <w:vertAlign w:val="superscript"/>
        </w:rPr>
        <w:t>−4</w:t>
      </w:r>
      <w:r w:rsidRPr="00295810">
        <w:t>)</w:t>
      </w:r>
      <w:r>
        <w:t>;</w:t>
      </w:r>
    </w:p>
    <w:p w:rsidR="00F4638D" w:rsidRPr="00295810" w:rsidRDefault="00F4638D" w:rsidP="00F4638D">
      <w:pPr>
        <w:pStyle w:val="Equationlegend"/>
      </w:pPr>
      <w:r w:rsidRPr="00295810">
        <w:tab/>
      </w:r>
      <w:r w:rsidRPr="00295810">
        <w:rPr>
          <w:i/>
        </w:rPr>
        <w:t>n</w:t>
      </w:r>
      <w:r w:rsidRPr="00295810">
        <w:rPr>
          <w:iCs/>
        </w:rPr>
        <w:t>″</w:t>
      </w:r>
      <w:r w:rsidRPr="00295810">
        <w:t>:</w:t>
      </w:r>
      <w:r w:rsidRPr="00295810">
        <w:tab/>
        <w:t xml:space="preserve">imaginary part of the refractive index, </w:t>
      </w:r>
      <w:r w:rsidRPr="00295810">
        <w:rPr>
          <w:i/>
          <w:iCs/>
        </w:rPr>
        <w:t>n</w:t>
      </w:r>
      <w:r w:rsidRPr="00295810">
        <w:t>, of the considered aerosol</w:t>
      </w:r>
      <w:r>
        <w:t>;</w:t>
      </w:r>
    </w:p>
    <w:p w:rsidR="00F4638D" w:rsidRPr="00295810" w:rsidRDefault="00F4638D" w:rsidP="00F4638D">
      <w:pPr>
        <w:pStyle w:val="Equationlegend"/>
      </w:pPr>
      <w:r w:rsidRPr="00295810">
        <w:tab/>
      </w:r>
      <w:r w:rsidRPr="00295810">
        <w:rPr>
          <w:i/>
        </w:rPr>
        <w:t>r</w:t>
      </w:r>
      <w:r w:rsidRPr="00295810">
        <w:t>:</w:t>
      </w:r>
      <w:r w:rsidRPr="00295810">
        <w:tab/>
        <w:t>radius of the particles (cm)</w:t>
      </w:r>
      <w:r>
        <w:t>;</w:t>
      </w:r>
    </w:p>
    <w:p w:rsidR="00F4638D" w:rsidRPr="00295810" w:rsidRDefault="00F4638D" w:rsidP="00F4638D">
      <w:pPr>
        <w:pStyle w:val="Equationlegend"/>
      </w:pPr>
      <w:r w:rsidRPr="00295810">
        <w:tab/>
      </w:r>
      <w:proofErr w:type="spellStart"/>
      <w:r w:rsidRPr="00295810">
        <w:rPr>
          <w:i/>
        </w:rPr>
        <w:t>Q</w:t>
      </w:r>
      <w:r w:rsidRPr="00295810">
        <w:rPr>
          <w:i/>
          <w:vertAlign w:val="subscript"/>
        </w:rPr>
        <w:t>a</w:t>
      </w:r>
      <w:proofErr w:type="spellEnd"/>
      <w:r w:rsidRPr="00295810">
        <w:rPr>
          <w:iCs/>
        </w:rPr>
        <w:t>(2π</w:t>
      </w:r>
      <w:r w:rsidRPr="00295810">
        <w:rPr>
          <w:i/>
        </w:rPr>
        <w:t>r/</w:t>
      </w:r>
      <w:r w:rsidRPr="00295810">
        <w:t xml:space="preserve">λ, </w:t>
      </w:r>
      <w:r w:rsidRPr="00295810">
        <w:rPr>
          <w:i/>
        </w:rPr>
        <w:t>n</w:t>
      </w:r>
      <w:r w:rsidRPr="00295810">
        <w:rPr>
          <w:iCs/>
        </w:rPr>
        <w:t>″)</w:t>
      </w:r>
      <w:r w:rsidRPr="00295810">
        <w:t>:</w:t>
      </w:r>
      <w:r w:rsidRPr="00295810">
        <w:tab/>
        <w:t>absorption cross-section for a given type of aerosol.</w:t>
      </w:r>
    </w:p>
    <w:p w:rsidR="00F4638D" w:rsidRPr="00E645AC" w:rsidRDefault="00F4638D" w:rsidP="00F4638D">
      <w:pPr>
        <w:spacing w:before="240"/>
        <w:rPr>
          <w:lang w:val="en-US"/>
        </w:rPr>
      </w:pPr>
      <w:r w:rsidRPr="00E645AC">
        <w:rPr>
          <w:lang w:val="en-US"/>
        </w:rPr>
        <w:t>Mie theory predicts the electromagnetic field diffracted by homogeneous spherical particles. The absorption (</w:t>
      </w:r>
      <w:proofErr w:type="spellStart"/>
      <w:r w:rsidRPr="00E645AC">
        <w:rPr>
          <w:i/>
          <w:iCs/>
          <w:lang w:val="en-US"/>
        </w:rPr>
        <w:t>Q</w:t>
      </w:r>
      <w:r w:rsidRPr="00E645AC">
        <w:rPr>
          <w:i/>
          <w:iCs/>
          <w:vertAlign w:val="subscript"/>
          <w:lang w:val="en-US"/>
        </w:rPr>
        <w:t>a</w:t>
      </w:r>
      <w:proofErr w:type="spellEnd"/>
      <w:r w:rsidRPr="00E645AC">
        <w:rPr>
          <w:iCs/>
          <w:lang w:val="en-US"/>
        </w:rPr>
        <w:t>)</w:t>
      </w:r>
      <w:r w:rsidRPr="00E645AC">
        <w:rPr>
          <w:vertAlign w:val="subscript"/>
          <w:lang w:val="en-US"/>
        </w:rPr>
        <w:t xml:space="preserve"> </w:t>
      </w:r>
      <w:r w:rsidRPr="00E645AC">
        <w:rPr>
          <w:lang w:val="en-US"/>
        </w:rPr>
        <w:t>and scattering (</w:t>
      </w:r>
      <w:proofErr w:type="spellStart"/>
      <w:r w:rsidRPr="00E645AC">
        <w:rPr>
          <w:i/>
          <w:iCs/>
          <w:lang w:val="en-US"/>
        </w:rPr>
        <w:t>Q</w:t>
      </w:r>
      <w:r w:rsidRPr="00E645AC">
        <w:rPr>
          <w:i/>
          <w:iCs/>
          <w:vertAlign w:val="subscript"/>
          <w:lang w:val="en-US"/>
        </w:rPr>
        <w:t>d</w:t>
      </w:r>
      <w:proofErr w:type="spellEnd"/>
      <w:r w:rsidRPr="00E645AC">
        <w:rPr>
          <w:iCs/>
          <w:lang w:val="en-US"/>
        </w:rPr>
        <w:t>)</w:t>
      </w:r>
      <w:r w:rsidRPr="00E645AC">
        <w:rPr>
          <w:lang w:val="en-US"/>
        </w:rPr>
        <w:t xml:space="preserve"> cross-sections depend on the particle size, refractive index and incident wavelength. They represent the portion of an incident wave where the absorbed (scattered) power is equal to the incident power.</w:t>
      </w:r>
    </w:p>
    <w:p w:rsidR="00F4638D" w:rsidRPr="00D03AF9" w:rsidRDefault="00F4638D" w:rsidP="00F4638D">
      <w:pPr>
        <w:rPr>
          <w:lang w:val="en-US"/>
        </w:rPr>
      </w:pPr>
      <w:r w:rsidRPr="00E645AC">
        <w:rPr>
          <w:lang w:val="en-US"/>
        </w:rPr>
        <w:t xml:space="preserve">The refractive index of aerosols depends on their chemical composition and the wavelength. </w:t>
      </w:r>
      <w:r w:rsidRPr="00D03AF9">
        <w:rPr>
          <w:lang w:val="en-US"/>
        </w:rPr>
        <w:t xml:space="preserve">It is denoted as </w:t>
      </w:r>
      <w:r w:rsidRPr="00D03AF9">
        <w:rPr>
          <w:i/>
          <w:lang w:val="en-US"/>
        </w:rPr>
        <w:t>n</w:t>
      </w:r>
      <w:r w:rsidRPr="00D03AF9">
        <w:rPr>
          <w:lang w:val="en-US"/>
        </w:rPr>
        <w:t> = </w:t>
      </w:r>
      <w:r w:rsidRPr="00D03AF9">
        <w:rPr>
          <w:i/>
          <w:lang w:val="en-US"/>
        </w:rPr>
        <w:t>n</w:t>
      </w:r>
      <w:r w:rsidRPr="00D03AF9">
        <w:rPr>
          <w:iCs/>
        </w:rPr>
        <w:sym w:font="Symbol" w:char="F0A2"/>
      </w:r>
      <w:r w:rsidRPr="00D03AF9">
        <w:rPr>
          <w:lang w:val="en-US"/>
        </w:rPr>
        <w:t> + </w:t>
      </w:r>
      <w:r w:rsidRPr="00D03AF9">
        <w:rPr>
          <w:i/>
          <w:lang w:val="en-US"/>
        </w:rPr>
        <w:t>n</w:t>
      </w:r>
      <w:r w:rsidRPr="00D03AF9">
        <w:rPr>
          <w:iCs/>
          <w:lang w:val="en-US"/>
        </w:rPr>
        <w:t>″</w:t>
      </w:r>
      <w:r w:rsidRPr="00D03AF9">
        <w:rPr>
          <w:i/>
          <w:lang w:val="en-US"/>
        </w:rPr>
        <w:t xml:space="preserve"> </w:t>
      </w:r>
      <w:r w:rsidRPr="00D03AF9">
        <w:rPr>
          <w:lang w:val="en-US"/>
        </w:rPr>
        <w:t xml:space="preserve">where is </w:t>
      </w:r>
      <w:r w:rsidRPr="00D03AF9">
        <w:rPr>
          <w:i/>
          <w:lang w:val="en-US"/>
        </w:rPr>
        <w:t>n</w:t>
      </w:r>
      <w:r w:rsidRPr="00D03AF9">
        <w:rPr>
          <w:iCs/>
          <w:lang w:val="en-US"/>
        </w:rPr>
        <w:t>′</w:t>
      </w:r>
      <w:r w:rsidRPr="00D03AF9">
        <w:rPr>
          <w:lang w:val="en-US"/>
        </w:rPr>
        <w:t xml:space="preserve"> is a function of the scattering capacity of the particle, and </w:t>
      </w:r>
      <w:r w:rsidRPr="00D03AF9">
        <w:rPr>
          <w:i/>
          <w:lang w:val="en-US"/>
        </w:rPr>
        <w:t>n</w:t>
      </w:r>
      <w:r w:rsidRPr="00D03AF9">
        <w:rPr>
          <w:iCs/>
          <w:lang w:val="en-US"/>
        </w:rPr>
        <w:t>″</w:t>
      </w:r>
      <w:r>
        <w:rPr>
          <w:lang w:val="en-US"/>
        </w:rPr>
        <w:t xml:space="preserve"> is </w:t>
      </w:r>
      <w:r w:rsidRPr="00D03AF9">
        <w:rPr>
          <w:lang w:val="en-US"/>
        </w:rPr>
        <w:t>a function of the absorption of the particle.</w:t>
      </w:r>
    </w:p>
    <w:p w:rsidR="00F4638D" w:rsidRPr="00E645AC" w:rsidRDefault="00F4638D" w:rsidP="00F4638D">
      <w:pPr>
        <w:rPr>
          <w:lang w:val="en-US"/>
        </w:rPr>
      </w:pPr>
      <w:r w:rsidRPr="00E645AC">
        <w:rPr>
          <w:lang w:val="en-US"/>
        </w:rPr>
        <w:t>In the visible and near infrared spectral regions, the imaginary part of the refractive index is extremely low and can be neglected in the calculation of global attenuation (extinction). In the far infrared case, the imaginary part of the refractive index must be taken into account.</w:t>
      </w:r>
    </w:p>
    <w:p w:rsidR="00F4638D" w:rsidRPr="00D03AF9" w:rsidRDefault="00F4638D" w:rsidP="00F4638D">
      <w:pPr>
        <w:pStyle w:val="Heading1"/>
        <w:rPr>
          <w:lang w:val="en-US"/>
        </w:rPr>
      </w:pPr>
      <w:bookmarkStart w:id="11" w:name="_Toc85359495"/>
      <w:r w:rsidRPr="00D03AF9">
        <w:rPr>
          <w:lang w:val="en-US"/>
        </w:rPr>
        <w:t>5</w:t>
      </w:r>
      <w:r w:rsidRPr="00D03AF9">
        <w:rPr>
          <w:lang w:val="en-US"/>
        </w:rPr>
        <w:tab/>
        <w:t>Aerosol scattering</w:t>
      </w:r>
      <w:bookmarkEnd w:id="11"/>
    </w:p>
    <w:p w:rsidR="00F4638D" w:rsidRPr="00E645AC" w:rsidRDefault="00F4638D" w:rsidP="00F4638D">
      <w:pPr>
        <w:rPr>
          <w:lang w:val="en-US"/>
        </w:rPr>
      </w:pPr>
      <w:r w:rsidRPr="00E645AC">
        <w:rPr>
          <w:lang w:val="en-US"/>
        </w:rPr>
        <w:t xml:space="preserve">Aerosol scattering (Mie scattering) occurs when the particle size is the same order of magnitude as the wavelength of the incident light. Attenuation is a function of frequency and visibility, and visibility is related to the particle size distribution. This phenomenon constitutes the most restrictive factor to the deployment of free-space optical systems at long distances. In the optical region, it is mainly caused by mist and fog. The attenuation in the optical regime can reach 300 dB/km, in contrast to the </w:t>
      </w:r>
      <w:proofErr w:type="spellStart"/>
      <w:r w:rsidRPr="00E645AC">
        <w:rPr>
          <w:lang w:val="en-US"/>
        </w:rPr>
        <w:t>millimetre</w:t>
      </w:r>
      <w:proofErr w:type="spellEnd"/>
      <w:r w:rsidRPr="00E645AC">
        <w:rPr>
          <w:lang w:val="en-US"/>
        </w:rPr>
        <w:t xml:space="preserve"> wave region, where rain attenuation is typically a few dB/km. </w:t>
      </w:r>
    </w:p>
    <w:p w:rsidR="00F4638D" w:rsidRPr="00E645AC" w:rsidRDefault="00F4638D" w:rsidP="00F4638D">
      <w:pPr>
        <w:rPr>
          <w:lang w:val="en-US"/>
        </w:rPr>
      </w:pPr>
      <w:r w:rsidRPr="00E645AC">
        <w:rPr>
          <w:lang w:val="en-US"/>
        </w:rPr>
        <w:t xml:space="preserve">The extinction coefficient due to aerosol scattering, </w:t>
      </w:r>
      <w:r w:rsidRPr="00295810">
        <w:rPr>
          <w:rFonts w:ascii="Symbol" w:hAnsi="Symbol"/>
          <w:iCs/>
        </w:rPr>
        <w:sym w:font="Symbol" w:char="F062"/>
      </w:r>
      <w:r w:rsidRPr="00E645AC">
        <w:rPr>
          <w:i/>
          <w:vertAlign w:val="subscript"/>
          <w:lang w:val="en-US"/>
        </w:rPr>
        <w:t>n</w:t>
      </w:r>
      <w:r w:rsidRPr="00E645AC">
        <w:rPr>
          <w:lang w:val="en-US"/>
        </w:rPr>
        <w:t>, is given by the following relation:</w:t>
      </w:r>
    </w:p>
    <w:p w:rsidR="00F4638D" w:rsidRPr="00D03AF9" w:rsidRDefault="00F4638D" w:rsidP="00F4638D">
      <w:pPr>
        <w:pStyle w:val="Equation"/>
        <w:tabs>
          <w:tab w:val="left" w:pos="7655"/>
        </w:tabs>
        <w:rPr>
          <w:lang w:val="en-US"/>
        </w:rPr>
      </w:pPr>
      <w:r w:rsidRPr="00D03AF9">
        <w:rPr>
          <w:lang w:val="en-US"/>
        </w:rPr>
        <w:tab/>
      </w:r>
      <w:r w:rsidRPr="00D03AF9">
        <w:rPr>
          <w:lang w:val="en-US"/>
        </w:rPr>
        <w:tab/>
      </w:r>
      <w:r w:rsidRPr="00D03AF9">
        <w:rPr>
          <w:position w:val="-36"/>
        </w:rPr>
        <w:object w:dxaOrig="3900" w:dyaOrig="840">
          <v:shape id="_x0000_i1031" type="#_x0000_t75" style="width:194.25pt;height:42pt" o:ole="">
            <v:imagedata r:id="rId26" o:title=""/>
          </v:shape>
          <o:OLEObject Type="Embed" ProgID="Equation.3" ShapeID="_x0000_i1031" DrawAspect="Content" ObjectID="_1394025728" r:id="rId27"/>
        </w:object>
      </w:r>
      <w:r w:rsidRPr="00D03AF9">
        <w:rPr>
          <w:lang w:val="en-US"/>
        </w:rPr>
        <w:tab/>
        <w:t>km</w:t>
      </w:r>
      <w:r w:rsidRPr="00D03AF9">
        <w:rPr>
          <w:vertAlign w:val="superscript"/>
          <w:lang w:val="en-US"/>
        </w:rPr>
        <w:t>–1</w:t>
      </w:r>
      <w:r w:rsidRPr="00D03AF9">
        <w:rPr>
          <w:lang w:val="en-US"/>
        </w:rPr>
        <w:tab/>
      </w:r>
      <w:r w:rsidRPr="00D03AF9">
        <w:rPr>
          <w:snapToGrid w:val="0"/>
          <w:lang w:val="en-US" w:eastAsia="fr-FR"/>
        </w:rPr>
        <w:t>(6)</w:t>
      </w:r>
    </w:p>
    <w:p w:rsidR="00F4638D" w:rsidRPr="00E645AC" w:rsidRDefault="00F4638D" w:rsidP="00F4638D">
      <w:pPr>
        <w:rPr>
          <w:lang w:val="en-US"/>
        </w:rPr>
      </w:pPr>
      <w:r w:rsidRPr="00E645AC">
        <w:rPr>
          <w:lang w:val="en-US"/>
        </w:rPr>
        <w:t>where:</w:t>
      </w:r>
    </w:p>
    <w:p w:rsidR="00F4638D" w:rsidRPr="00295810" w:rsidRDefault="00F4638D" w:rsidP="00F4638D">
      <w:pPr>
        <w:pStyle w:val="Equationlegend"/>
      </w:pPr>
      <w:r w:rsidRPr="00295810">
        <w:tab/>
      </w:r>
      <w:r w:rsidRPr="00295810">
        <w:rPr>
          <w:rFonts w:ascii="Symbol" w:hAnsi="Symbol"/>
          <w:iCs/>
        </w:rPr>
        <w:t></w:t>
      </w:r>
      <w:r w:rsidRPr="00295810">
        <w:t>:</w:t>
      </w:r>
      <w:r w:rsidRPr="00295810">
        <w:tab/>
        <w:t>wavelength (</w:t>
      </w:r>
      <w:proofErr w:type="spellStart"/>
      <w:r w:rsidRPr="00295810">
        <w:t>μm</w:t>
      </w:r>
      <w:proofErr w:type="spellEnd"/>
      <w:r w:rsidRPr="00295810">
        <w:t>)</w:t>
      </w:r>
      <w:r>
        <w:t>;</w:t>
      </w:r>
    </w:p>
    <w:p w:rsidR="00F4638D" w:rsidRPr="00295810" w:rsidRDefault="00F4638D" w:rsidP="00F4638D">
      <w:pPr>
        <w:pStyle w:val="Equationlegend"/>
      </w:pPr>
      <w:r w:rsidRPr="00295810">
        <w:rPr>
          <w:i/>
        </w:rPr>
        <w:tab/>
      </w:r>
      <w:proofErr w:type="spellStart"/>
      <w:r w:rsidRPr="00295810">
        <w:rPr>
          <w:i/>
        </w:rPr>
        <w:t>dN</w:t>
      </w:r>
      <w:proofErr w:type="spellEnd"/>
      <w:r w:rsidRPr="00295810">
        <w:rPr>
          <w:iCs/>
        </w:rPr>
        <w:t>(</w:t>
      </w:r>
      <w:r w:rsidRPr="00295810">
        <w:rPr>
          <w:i/>
        </w:rPr>
        <w:t>r</w:t>
      </w:r>
      <w:r w:rsidRPr="00295810">
        <w:rPr>
          <w:iCs/>
        </w:rPr>
        <w:t>)/</w:t>
      </w:r>
      <w:proofErr w:type="spellStart"/>
      <w:r w:rsidRPr="00295810">
        <w:rPr>
          <w:i/>
        </w:rPr>
        <w:t>dr</w:t>
      </w:r>
      <w:proofErr w:type="spellEnd"/>
      <w:r w:rsidRPr="00295810">
        <w:t>:</w:t>
      </w:r>
      <w:r w:rsidRPr="00295810">
        <w:tab/>
        <w:t>particle size distribution per unit of volume (cm</w:t>
      </w:r>
      <w:r w:rsidRPr="00295810">
        <w:rPr>
          <w:rFonts w:ascii="(Utiliser une police de caractè" w:hAnsi="(Utiliser une police de caractè"/>
          <w:vertAlign w:val="superscript"/>
        </w:rPr>
        <w:t>−4</w:t>
      </w:r>
      <w:r w:rsidRPr="00295810">
        <w:t>)</w:t>
      </w:r>
      <w:r>
        <w:t>;</w:t>
      </w:r>
    </w:p>
    <w:p w:rsidR="00F4638D" w:rsidRPr="00295810" w:rsidRDefault="00F4638D" w:rsidP="00F4638D">
      <w:pPr>
        <w:pStyle w:val="Equationlegend"/>
      </w:pPr>
      <w:r w:rsidRPr="00295810">
        <w:tab/>
      </w:r>
      <w:r w:rsidRPr="00295810">
        <w:rPr>
          <w:i/>
        </w:rPr>
        <w:t>n</w:t>
      </w:r>
      <w:r w:rsidRPr="00D03AF9">
        <w:rPr>
          <w:i/>
        </w:rPr>
        <w:t>′</w:t>
      </w:r>
      <w:r w:rsidRPr="00295810">
        <w:t>:</w:t>
      </w:r>
      <w:r w:rsidRPr="00295810">
        <w:tab/>
        <w:t xml:space="preserve">real part of the refractive index </w:t>
      </w:r>
      <w:r w:rsidRPr="00295810">
        <w:rPr>
          <w:i/>
          <w:iCs/>
        </w:rPr>
        <w:t>n</w:t>
      </w:r>
      <w:r w:rsidRPr="00295810">
        <w:t xml:space="preserve"> of the aerosol</w:t>
      </w:r>
      <w:r>
        <w:t>;</w:t>
      </w:r>
    </w:p>
    <w:p w:rsidR="00F4638D" w:rsidRPr="00295810" w:rsidRDefault="00F4638D" w:rsidP="00F4638D">
      <w:pPr>
        <w:pStyle w:val="Equationlegend"/>
      </w:pPr>
      <w:r w:rsidRPr="00295810">
        <w:tab/>
      </w:r>
      <w:r w:rsidRPr="00295810">
        <w:rPr>
          <w:i/>
        </w:rPr>
        <w:t>r</w:t>
      </w:r>
      <w:r w:rsidRPr="00295810">
        <w:t>:</w:t>
      </w:r>
      <w:r w:rsidRPr="00295810">
        <w:tab/>
        <w:t>radius of the particles (cm)</w:t>
      </w:r>
      <w:r>
        <w:t>;</w:t>
      </w:r>
    </w:p>
    <w:p w:rsidR="00F4638D" w:rsidRPr="00295810" w:rsidRDefault="00F4638D" w:rsidP="00F4638D">
      <w:pPr>
        <w:pStyle w:val="Equationlegend"/>
      </w:pPr>
      <w:r w:rsidRPr="00295810">
        <w:rPr>
          <w:i/>
        </w:rPr>
        <w:tab/>
      </w:r>
      <w:proofErr w:type="spellStart"/>
      <w:r w:rsidRPr="00295810">
        <w:rPr>
          <w:i/>
        </w:rPr>
        <w:t>Q</w:t>
      </w:r>
      <w:r w:rsidRPr="00295810">
        <w:rPr>
          <w:rFonts w:ascii="(Utiliser une police de caractè" w:hAnsi="(Utiliser une police de caractè"/>
          <w:i/>
          <w:vertAlign w:val="subscript"/>
        </w:rPr>
        <w:t>d</w:t>
      </w:r>
      <w:proofErr w:type="spellEnd"/>
      <w:r w:rsidRPr="00295810">
        <w:rPr>
          <w:iCs/>
        </w:rPr>
        <w:t>(2π</w:t>
      </w:r>
      <w:r w:rsidRPr="00295810">
        <w:rPr>
          <w:i/>
        </w:rPr>
        <w:t>r</w:t>
      </w:r>
      <w:r w:rsidRPr="00295810">
        <w:t>/</w:t>
      </w:r>
      <w:r w:rsidRPr="00295810">
        <w:rPr>
          <w:iCs/>
        </w:rPr>
        <w:t>λ,</w:t>
      </w:r>
      <w:r w:rsidRPr="00295810">
        <w:rPr>
          <w:i/>
        </w:rPr>
        <w:t xml:space="preserve"> n</w:t>
      </w:r>
      <w:r w:rsidRPr="00D03AF9">
        <w:rPr>
          <w:i/>
        </w:rPr>
        <w:t>′</w:t>
      </w:r>
      <w:r w:rsidRPr="00295810">
        <w:rPr>
          <w:iCs/>
        </w:rPr>
        <w:t>)</w:t>
      </w:r>
      <w:r w:rsidRPr="00295810">
        <w:t>:</w:t>
      </w:r>
      <w:r w:rsidRPr="00295810">
        <w:tab/>
        <w:t>scattering cross-section for a given type of aerosol.</w:t>
      </w:r>
    </w:p>
    <w:p w:rsidR="00F4638D" w:rsidRPr="00E645AC" w:rsidRDefault="00F4638D" w:rsidP="00E0074D">
      <w:pPr>
        <w:rPr>
          <w:lang w:val="en-US"/>
        </w:rPr>
      </w:pPr>
      <w:r w:rsidRPr="00E645AC">
        <w:rPr>
          <w:lang w:val="en-US"/>
        </w:rPr>
        <w:t xml:space="preserve">Mie theory predicts the scattering coefficient </w:t>
      </w:r>
      <w:proofErr w:type="spellStart"/>
      <w:r w:rsidRPr="00E645AC">
        <w:rPr>
          <w:i/>
          <w:lang w:val="en-US"/>
        </w:rPr>
        <w:t>Q</w:t>
      </w:r>
      <w:r w:rsidRPr="00E645AC">
        <w:rPr>
          <w:i/>
          <w:vertAlign w:val="subscript"/>
          <w:lang w:val="en-US"/>
        </w:rPr>
        <w:t>d</w:t>
      </w:r>
      <w:proofErr w:type="spellEnd"/>
      <w:r w:rsidRPr="00E645AC">
        <w:rPr>
          <w:lang w:val="en-US"/>
        </w:rPr>
        <w:t xml:space="preserve"> due to the aerosols, assuming the particles are spherical and sufficiently separated so that the scattered field can be calculated assuming far field (single) scattering.</w:t>
      </w:r>
    </w:p>
    <w:p w:rsidR="00F4638D" w:rsidRPr="00E645AC" w:rsidRDefault="00F4638D" w:rsidP="00F4638D">
      <w:pPr>
        <w:rPr>
          <w:lang w:val="en-US"/>
        </w:rPr>
      </w:pPr>
      <w:r w:rsidRPr="00D03AF9">
        <w:rPr>
          <w:lang w:val="en-US"/>
        </w:rPr>
        <w:t xml:space="preserve">The scattering cross-section </w:t>
      </w:r>
      <w:proofErr w:type="spellStart"/>
      <w:r w:rsidRPr="00D03AF9">
        <w:rPr>
          <w:i/>
          <w:lang w:val="en-US"/>
        </w:rPr>
        <w:t>Q</w:t>
      </w:r>
      <w:r w:rsidRPr="00D03AF9">
        <w:rPr>
          <w:i/>
          <w:iCs/>
          <w:vertAlign w:val="subscript"/>
          <w:lang w:val="en-US"/>
        </w:rPr>
        <w:t>d</w:t>
      </w:r>
      <w:proofErr w:type="spellEnd"/>
      <w:r w:rsidRPr="00D03AF9">
        <w:rPr>
          <w:lang w:val="en-US"/>
        </w:rPr>
        <w:t xml:space="preserve"> strongly depends on the size of the aerosol compared to the wavelength, and is a very frequency-selective function for particles whose radius is less than or equal to the wavelength. </w:t>
      </w:r>
      <w:r w:rsidRPr="00E645AC">
        <w:rPr>
          <w:lang w:val="en-US"/>
        </w:rPr>
        <w:t xml:space="preserve">It reaches its maximum value (3.8) for a particle radius equal to the wavelength, in which case the scattering is maximal. As the size of the particle increases, the scattering cross-section asymptotes to a value approximately equal to 2. </w:t>
      </w:r>
    </w:p>
    <w:p w:rsidR="00F4638D" w:rsidRPr="00E645AC" w:rsidRDefault="00F4638D" w:rsidP="00F4638D">
      <w:pPr>
        <w:rPr>
          <w:lang w:val="en-US"/>
        </w:rPr>
      </w:pPr>
      <w:r w:rsidRPr="00E645AC">
        <w:rPr>
          <w:lang w:val="en-US"/>
        </w:rPr>
        <w:lastRenderedPageBreak/>
        <w:t>Since the aerosol concentration, composition and size distribution vary temporally and spatially, it is difficult to predict attenuation by these aerosols. Although the concentration is closely related to the optical visibility, there is not a unique particle size distribution for a given visibility.</w:t>
      </w:r>
    </w:p>
    <w:p w:rsidR="00F4638D" w:rsidRPr="00E645AC" w:rsidRDefault="00F4638D" w:rsidP="00F4638D">
      <w:pPr>
        <w:rPr>
          <w:lang w:val="en-US"/>
        </w:rPr>
      </w:pPr>
      <w:r w:rsidRPr="00E645AC">
        <w:rPr>
          <w:lang w:val="en-US"/>
        </w:rPr>
        <w:t xml:space="preserve">Visibility characterizes the transparency of the atmosphere as estimated by a human observer. It is measured by the runway visual range (RVR), and is the distance that a luminous beam must travel through the atmosphere for its intensity (or luminous flux) to drop to 0.05 times its original value. It may be measured using a </w:t>
      </w:r>
      <w:proofErr w:type="spellStart"/>
      <w:r w:rsidRPr="00E645AC">
        <w:rPr>
          <w:lang w:val="en-US"/>
        </w:rPr>
        <w:t>transmissometer</w:t>
      </w:r>
      <w:proofErr w:type="spellEnd"/>
      <w:r w:rsidRPr="00E645AC">
        <w:rPr>
          <w:lang w:val="en-US"/>
        </w:rPr>
        <w:t xml:space="preserve"> or a </w:t>
      </w:r>
      <w:proofErr w:type="spellStart"/>
      <w:r w:rsidRPr="00E645AC">
        <w:rPr>
          <w:lang w:val="en-US"/>
        </w:rPr>
        <w:t>diffusiometer</w:t>
      </w:r>
      <w:proofErr w:type="spellEnd"/>
      <w:r w:rsidRPr="00E645AC">
        <w:rPr>
          <w:lang w:val="en-US"/>
        </w:rPr>
        <w:t>.</w:t>
      </w:r>
    </w:p>
    <w:p w:rsidR="00F4638D" w:rsidRPr="00E645AC" w:rsidRDefault="00F4638D" w:rsidP="00F4638D">
      <w:pPr>
        <w:rPr>
          <w:lang w:val="en-US"/>
        </w:rPr>
      </w:pPr>
      <w:r w:rsidRPr="00E645AC">
        <w:rPr>
          <w:lang w:val="en-US"/>
        </w:rPr>
        <w:t xml:space="preserve">Figure 2 gives an example of the variations of the runway visual range observed at La </w:t>
      </w:r>
      <w:proofErr w:type="spellStart"/>
      <w:r w:rsidRPr="00E645AC">
        <w:rPr>
          <w:lang w:val="en-US"/>
        </w:rPr>
        <w:t>Turbie</w:t>
      </w:r>
      <w:proofErr w:type="spellEnd"/>
      <w:r w:rsidRPr="00E645AC">
        <w:rPr>
          <w:lang w:val="en-US"/>
        </w:rPr>
        <w:t>, France, during a day with high visibility.</w:t>
      </w:r>
    </w:p>
    <w:p w:rsidR="00F4638D" w:rsidRPr="00D03AF9" w:rsidRDefault="00F4638D" w:rsidP="00F4638D">
      <w:pPr>
        <w:pStyle w:val="FigureNo"/>
        <w:keepNext w:val="0"/>
        <w:keepLines w:val="0"/>
        <w:rPr>
          <w:lang w:val="en-US"/>
        </w:rPr>
      </w:pPr>
      <w:r w:rsidRPr="00D03AF9">
        <w:rPr>
          <w:lang w:val="en-US"/>
        </w:rPr>
        <w:t>Figure 2</w:t>
      </w:r>
    </w:p>
    <w:p w:rsidR="00F4638D" w:rsidRPr="00D03AF9" w:rsidRDefault="00F4638D" w:rsidP="00F4638D">
      <w:pPr>
        <w:pStyle w:val="Figuretitle"/>
        <w:rPr>
          <w:lang w:val="en-US"/>
        </w:rPr>
      </w:pPr>
      <w:r w:rsidRPr="00D03AF9">
        <w:rPr>
          <w:lang w:val="en-US"/>
        </w:rPr>
        <w:t xml:space="preserve">Variations of the runway visual range observed at La </w:t>
      </w:r>
      <w:proofErr w:type="spellStart"/>
      <w:r w:rsidRPr="00D03AF9">
        <w:rPr>
          <w:lang w:val="en-US"/>
        </w:rPr>
        <w:t>Turbie</w:t>
      </w:r>
      <w:proofErr w:type="spellEnd"/>
      <w:r w:rsidRPr="00D03AF9">
        <w:rPr>
          <w:lang w:val="en-US"/>
        </w:rPr>
        <w:t xml:space="preserve"> (France)</w:t>
      </w:r>
      <w:r w:rsidRPr="00D03AF9">
        <w:rPr>
          <w:lang w:val="en-US"/>
        </w:rPr>
        <w:br/>
        <w:t>during a day with high visibility</w:t>
      </w:r>
    </w:p>
    <w:p w:rsidR="00F4638D" w:rsidRDefault="004D3A39" w:rsidP="00F4638D">
      <w:pPr>
        <w:pStyle w:val="Figure"/>
        <w:keepLines w:val="0"/>
      </w:pPr>
      <w:r>
        <w:rPr>
          <w:noProof/>
          <w:lang w:val="en-US" w:eastAsia="zh-CN"/>
        </w:rPr>
        <w:pict>
          <v:shape id="_x0000_i1032" type="#_x0000_t75" style="width:429pt;height:5in">
            <v:imagedata r:id="rId28" o:title=""/>
          </v:shape>
        </w:pict>
      </w:r>
    </w:p>
    <w:p w:rsidR="00183BED" w:rsidRDefault="00183BED" w:rsidP="00456E6A">
      <w:pPr>
        <w:rPr>
          <w:lang w:val="en-US"/>
        </w:rPr>
      </w:pPr>
    </w:p>
    <w:p w:rsidR="00F4638D" w:rsidRPr="00D03AF9" w:rsidRDefault="00F4638D" w:rsidP="00456E6A">
      <w:pPr>
        <w:rPr>
          <w:lang w:val="en-US"/>
        </w:rPr>
      </w:pPr>
      <w:r w:rsidRPr="00D03AF9">
        <w:rPr>
          <w:lang w:val="en-US"/>
        </w:rPr>
        <w:t>Alternatively, visibility along the transmission path can be me</w:t>
      </w:r>
      <w:r>
        <w:rPr>
          <w:lang w:val="en-US"/>
        </w:rPr>
        <w:t>asured using a CCD camera and a </w:t>
      </w:r>
      <w:r w:rsidRPr="00D03AF9">
        <w:rPr>
          <w:lang w:val="en-US"/>
        </w:rPr>
        <w:t xml:space="preserve">black and white reference target. For this method, the visual range, </w:t>
      </w:r>
      <w:proofErr w:type="spellStart"/>
      <w:r w:rsidRPr="00D03AF9">
        <w:rPr>
          <w:i/>
          <w:lang w:val="en-US"/>
        </w:rPr>
        <w:t>V</w:t>
      </w:r>
      <w:r w:rsidRPr="00D03AF9">
        <w:rPr>
          <w:i/>
          <w:vertAlign w:val="subscript"/>
          <w:lang w:val="en-US"/>
        </w:rPr>
        <w:t>r</w:t>
      </w:r>
      <w:proofErr w:type="spellEnd"/>
      <w:r w:rsidRPr="00D03AF9">
        <w:rPr>
          <w:lang w:val="en-US"/>
        </w:rPr>
        <w:t>, is given by:</w:t>
      </w:r>
    </w:p>
    <w:p w:rsidR="00F4638D" w:rsidRDefault="00F4638D" w:rsidP="00F4638D">
      <w:pPr>
        <w:pStyle w:val="Blanc"/>
      </w:pPr>
    </w:p>
    <w:p w:rsidR="00F4638D" w:rsidRPr="00D03AF9" w:rsidRDefault="00F4638D" w:rsidP="00F4638D">
      <w:pPr>
        <w:pStyle w:val="Equation"/>
        <w:rPr>
          <w:lang w:val="en-US"/>
        </w:rPr>
      </w:pPr>
      <w:r w:rsidRPr="00D03AF9">
        <w:rPr>
          <w:lang w:val="en-US"/>
        </w:rPr>
        <w:tab/>
      </w:r>
      <w:r w:rsidRPr="00D03AF9">
        <w:rPr>
          <w:lang w:val="en-US"/>
        </w:rPr>
        <w:tab/>
      </w:r>
      <w:r w:rsidRPr="00295810">
        <w:rPr>
          <w:position w:val="-30"/>
        </w:rPr>
        <w:object w:dxaOrig="1640" w:dyaOrig="680">
          <v:shape id="_x0000_i1033" type="#_x0000_t75" style="width:82.5pt;height:33.75pt" o:ole="">
            <v:imagedata r:id="rId29" o:title=""/>
          </v:shape>
          <o:OLEObject Type="Embed" ProgID="Equation.3" ShapeID="_x0000_i1033" DrawAspect="Content" ObjectID="_1394025729" r:id="rId30"/>
        </w:object>
      </w:r>
      <w:r w:rsidRPr="00D03AF9">
        <w:rPr>
          <w:lang w:val="en-US"/>
        </w:rPr>
        <w:tab/>
        <w:t>(7)</w:t>
      </w:r>
    </w:p>
    <w:p w:rsidR="00F4638D" w:rsidRPr="00E645AC" w:rsidRDefault="00F4638D" w:rsidP="00183BED">
      <w:pPr>
        <w:keepNext/>
        <w:rPr>
          <w:b/>
          <w:lang w:val="en-US"/>
        </w:rPr>
      </w:pPr>
      <w:r w:rsidRPr="00E15FDD">
        <w:rPr>
          <w:i/>
          <w:lang w:val="en-US"/>
        </w:rPr>
        <w:lastRenderedPageBreak/>
        <w:t>C</w:t>
      </w:r>
      <w:r w:rsidRPr="00E15FDD">
        <w:rPr>
          <w:lang w:val="en-US"/>
        </w:rPr>
        <w:t xml:space="preserve"> is the measured contrast between the black and white regions of the target, </w:t>
      </w:r>
      <w:r w:rsidRPr="00E15FDD">
        <w:rPr>
          <w:i/>
          <w:lang w:val="en-US"/>
        </w:rPr>
        <w:t>C</w:t>
      </w:r>
      <w:r w:rsidRPr="00E15FDD">
        <w:rPr>
          <w:iCs/>
          <w:vertAlign w:val="subscript"/>
          <w:lang w:val="en-US"/>
        </w:rPr>
        <w:t>0</w:t>
      </w:r>
      <w:r w:rsidRPr="00E15FDD">
        <w:rPr>
          <w:iCs/>
          <w:lang w:val="en-US"/>
        </w:rPr>
        <w:t xml:space="preserve"> </w:t>
      </w:r>
      <w:r w:rsidRPr="00E15FDD">
        <w:rPr>
          <w:lang w:val="en-US"/>
        </w:rPr>
        <w:t xml:space="preserve">is the intrinsic contrast ratio of the target (measured close to it), and </w:t>
      </w:r>
      <w:r w:rsidRPr="00E15FDD">
        <w:rPr>
          <w:i/>
          <w:lang w:val="en-US"/>
        </w:rPr>
        <w:t>d</w:t>
      </w:r>
      <w:r w:rsidRPr="00E15FDD">
        <w:rPr>
          <w:lang w:val="en-US"/>
        </w:rPr>
        <w:t xml:space="preserve"> is the distance to the target. </w:t>
      </w:r>
      <w:r w:rsidRPr="00E645AC">
        <w:rPr>
          <w:lang w:val="en-US"/>
        </w:rPr>
        <w:t xml:space="preserve">The value of </w:t>
      </w:r>
      <w:r w:rsidRPr="00E645AC">
        <w:rPr>
          <w:i/>
          <w:iCs/>
          <w:lang w:val="en-US"/>
        </w:rPr>
        <w:t>C</w:t>
      </w:r>
      <w:r w:rsidRPr="00E645AC">
        <w:rPr>
          <w:lang w:val="en-US"/>
        </w:rPr>
        <w:t xml:space="preserve"> is given by the relation: </w:t>
      </w:r>
    </w:p>
    <w:p w:rsidR="00F4638D" w:rsidRDefault="00F4638D" w:rsidP="00F4638D">
      <w:pPr>
        <w:pStyle w:val="Blanc"/>
      </w:pPr>
    </w:p>
    <w:p w:rsidR="00F4638D" w:rsidRPr="00D03AF9" w:rsidRDefault="00F4638D" w:rsidP="00F4638D">
      <w:pPr>
        <w:pStyle w:val="Equation"/>
        <w:rPr>
          <w:lang w:val="en-US"/>
        </w:rPr>
      </w:pPr>
      <w:r w:rsidRPr="00D03AF9">
        <w:rPr>
          <w:lang w:val="en-US"/>
        </w:rPr>
        <w:tab/>
      </w:r>
      <w:r w:rsidRPr="00D03AF9">
        <w:rPr>
          <w:lang w:val="en-US"/>
        </w:rPr>
        <w:tab/>
      </w:r>
      <w:r w:rsidRPr="00295810">
        <w:rPr>
          <w:position w:val="-30"/>
        </w:rPr>
        <w:object w:dxaOrig="2820" w:dyaOrig="680">
          <v:shape id="_x0000_i1034" type="#_x0000_t75" style="width:141pt;height:33.75pt" o:ole="">
            <v:imagedata r:id="rId31" o:title=""/>
          </v:shape>
          <o:OLEObject Type="Embed" ProgID="Equation.3" ShapeID="_x0000_i1034" DrawAspect="Content" ObjectID="_1394025730" r:id="rId32"/>
        </w:object>
      </w:r>
      <w:r w:rsidRPr="00D03AF9">
        <w:rPr>
          <w:lang w:val="en-US"/>
        </w:rPr>
        <w:tab/>
        <w:t>(8)</w:t>
      </w:r>
    </w:p>
    <w:p w:rsidR="00183BED" w:rsidRDefault="00183BED" w:rsidP="00183BED">
      <w:pPr>
        <w:pStyle w:val="Blanc"/>
        <w:rPr>
          <w:snapToGrid w:val="0"/>
          <w:lang w:eastAsia="fr-FR"/>
        </w:rPr>
      </w:pPr>
    </w:p>
    <w:p w:rsidR="00F4638D" w:rsidRPr="00E645AC" w:rsidRDefault="00F4638D" w:rsidP="00183BED">
      <w:pPr>
        <w:rPr>
          <w:lang w:val="en-US"/>
        </w:rPr>
      </w:pPr>
      <w:r w:rsidRPr="00E645AC">
        <w:rPr>
          <w:lang w:val="en-US"/>
        </w:rPr>
        <w:t xml:space="preserve">where </w:t>
      </w:r>
      <w:proofErr w:type="spellStart"/>
      <w:r w:rsidRPr="00E645AC">
        <w:rPr>
          <w:i/>
          <w:lang w:val="en-US"/>
        </w:rPr>
        <w:t>L</w:t>
      </w:r>
      <w:r w:rsidRPr="00E645AC">
        <w:rPr>
          <w:i/>
          <w:vertAlign w:val="subscript"/>
          <w:lang w:val="en-US"/>
        </w:rPr>
        <w:t>w</w:t>
      </w:r>
      <w:proofErr w:type="spellEnd"/>
      <w:r w:rsidRPr="00E645AC">
        <w:rPr>
          <w:lang w:val="en-US"/>
        </w:rPr>
        <w:t xml:space="preserve"> and </w:t>
      </w:r>
      <w:proofErr w:type="spellStart"/>
      <w:r w:rsidRPr="00E645AC">
        <w:rPr>
          <w:i/>
          <w:lang w:val="en-US"/>
        </w:rPr>
        <w:t>L</w:t>
      </w:r>
      <w:r w:rsidRPr="00E645AC">
        <w:rPr>
          <w:i/>
          <w:vertAlign w:val="subscript"/>
          <w:lang w:val="en-US"/>
        </w:rPr>
        <w:t>b</w:t>
      </w:r>
      <w:proofErr w:type="spellEnd"/>
      <w:r w:rsidRPr="00E645AC">
        <w:rPr>
          <w:lang w:val="en-US"/>
        </w:rPr>
        <w:t xml:space="preserve"> are the luminance of the white and black parts of the target, </w:t>
      </w:r>
      <w:proofErr w:type="spellStart"/>
      <w:r w:rsidRPr="00E645AC">
        <w:rPr>
          <w:i/>
          <w:lang w:val="en-US"/>
        </w:rPr>
        <w:t>b</w:t>
      </w:r>
      <w:r w:rsidRPr="00E645AC">
        <w:rPr>
          <w:i/>
          <w:vertAlign w:val="subscript"/>
          <w:lang w:val="en-US"/>
        </w:rPr>
        <w:t>EX</w:t>
      </w:r>
      <w:proofErr w:type="spellEnd"/>
      <w:r w:rsidRPr="00E645AC">
        <w:rPr>
          <w:lang w:val="en-US"/>
        </w:rPr>
        <w:t xml:space="preserve"> is the extinction coefficient and </w:t>
      </w:r>
      <w:proofErr w:type="spellStart"/>
      <w:r w:rsidRPr="00E645AC">
        <w:rPr>
          <w:i/>
          <w:lang w:val="en-US"/>
        </w:rPr>
        <w:t>V</w:t>
      </w:r>
      <w:r w:rsidRPr="00E645AC">
        <w:rPr>
          <w:i/>
          <w:vertAlign w:val="subscript"/>
          <w:lang w:val="en-US"/>
        </w:rPr>
        <w:t>r</w:t>
      </w:r>
      <w:proofErr w:type="spellEnd"/>
      <w:r w:rsidRPr="00E645AC">
        <w:rPr>
          <w:lang w:val="en-US"/>
        </w:rPr>
        <w:t xml:space="preserve"> the visual range. Figure 3 shows the ideal target, with the black part of the target the surface of a cavity in a white painted panel, and the inside surface of the hole painted black to avoid any directly scattered light. </w:t>
      </w:r>
    </w:p>
    <w:p w:rsidR="00F4638D" w:rsidRPr="00295810" w:rsidRDefault="00F4638D" w:rsidP="00F4638D">
      <w:pPr>
        <w:pStyle w:val="FigureNo"/>
      </w:pPr>
      <w:r w:rsidRPr="00295810">
        <w:t>Figure 3</w:t>
      </w:r>
    </w:p>
    <w:p w:rsidR="00F4638D" w:rsidRPr="00295810" w:rsidRDefault="00F4638D" w:rsidP="00F4638D">
      <w:pPr>
        <w:pStyle w:val="Figuretitle"/>
      </w:pPr>
      <w:proofErr w:type="spellStart"/>
      <w:r w:rsidRPr="00295810">
        <w:t>Experimental</w:t>
      </w:r>
      <w:proofErr w:type="spellEnd"/>
      <w:r w:rsidRPr="00295810">
        <w:t xml:space="preserve"> </w:t>
      </w:r>
      <w:proofErr w:type="spellStart"/>
      <w:r w:rsidRPr="00295810">
        <w:t>visibility</w:t>
      </w:r>
      <w:proofErr w:type="spellEnd"/>
      <w:r w:rsidRPr="00295810">
        <w:t xml:space="preserve"> </w:t>
      </w:r>
      <w:proofErr w:type="spellStart"/>
      <w:r w:rsidRPr="00295810">
        <w:t>measurement</w:t>
      </w:r>
      <w:proofErr w:type="spellEnd"/>
      <w:r w:rsidRPr="00295810">
        <w:t xml:space="preserve"> </w:t>
      </w:r>
    </w:p>
    <w:p w:rsidR="00F4638D" w:rsidRDefault="004D3A39" w:rsidP="00F4638D">
      <w:pPr>
        <w:pStyle w:val="Figure"/>
      </w:pPr>
      <w:r>
        <w:pict>
          <v:shape id="_x0000_i1035" type="#_x0000_t75" style="width:375.75pt;height:267.75pt">
            <v:imagedata r:id="rId33" o:title=""/>
          </v:shape>
        </w:pict>
      </w:r>
    </w:p>
    <w:p w:rsidR="00F4638D" w:rsidRPr="00D03AF9" w:rsidRDefault="00F4638D" w:rsidP="00F4638D">
      <w:pPr>
        <w:rPr>
          <w:lang w:val="en-US"/>
        </w:rPr>
      </w:pPr>
      <w:r w:rsidRPr="00D03AF9">
        <w:rPr>
          <w:lang w:val="en-US"/>
        </w:rPr>
        <w:t>All the optical characteristics of aerosols, and in particular, fog, are related to the particle size distribution which may be regarded as the key parameter to determine physical and optical properties of fog.</w:t>
      </w:r>
    </w:p>
    <w:p w:rsidR="00F4638D" w:rsidRPr="00E645AC" w:rsidRDefault="00F4638D" w:rsidP="00F4638D">
      <w:pPr>
        <w:rPr>
          <w:lang w:val="en-US"/>
        </w:rPr>
      </w:pPr>
      <w:r w:rsidRPr="00E645AC">
        <w:rPr>
          <w:lang w:val="en-US"/>
        </w:rPr>
        <w:t>Generally this distribution is represented by analytical functions such as the lognormal distribution for aerosols and the modified gamma distribution for fog. The latter is largely used to model the various types of fog and clouds, and is given by:</w:t>
      </w:r>
    </w:p>
    <w:p w:rsidR="00F4638D" w:rsidRDefault="00F4638D" w:rsidP="00F4638D">
      <w:pPr>
        <w:pStyle w:val="Blanc"/>
      </w:pPr>
    </w:p>
    <w:p w:rsidR="00F4638D" w:rsidRPr="00D03AF9" w:rsidRDefault="00F4638D" w:rsidP="00F4638D">
      <w:pPr>
        <w:pStyle w:val="Equation"/>
        <w:rPr>
          <w:lang w:val="en-US"/>
        </w:rPr>
      </w:pPr>
      <w:r w:rsidRPr="00D03AF9">
        <w:rPr>
          <w:lang w:val="en-US"/>
        </w:rPr>
        <w:tab/>
      </w:r>
      <w:r w:rsidRPr="00D03AF9">
        <w:rPr>
          <w:lang w:val="en-US"/>
        </w:rPr>
        <w:tab/>
      </w:r>
      <w:r w:rsidRPr="00295810">
        <w:rPr>
          <w:position w:val="-10"/>
        </w:rPr>
        <w:object w:dxaOrig="2020" w:dyaOrig="420">
          <v:shape id="_x0000_i1036" type="#_x0000_t75" style="width:101.25pt;height:21pt" o:ole="">
            <v:imagedata r:id="rId34" o:title=""/>
          </v:shape>
          <o:OLEObject Type="Embed" ProgID="Equation.3" ShapeID="_x0000_i1036" DrawAspect="Content" ObjectID="_1394025731" r:id="rId35"/>
        </w:object>
      </w:r>
      <w:r w:rsidRPr="00D03AF9">
        <w:rPr>
          <w:lang w:val="en-US"/>
        </w:rPr>
        <w:tab/>
      </w:r>
      <w:r w:rsidRPr="00D03AF9">
        <w:rPr>
          <w:snapToGrid w:val="0"/>
          <w:lang w:val="en-US" w:eastAsia="fr-FR"/>
        </w:rPr>
        <w:t>(9)</w:t>
      </w:r>
    </w:p>
    <w:p w:rsidR="00E0074D" w:rsidRDefault="00E0074D" w:rsidP="00E0074D">
      <w:pPr>
        <w:pStyle w:val="Blanc"/>
      </w:pPr>
    </w:p>
    <w:p w:rsidR="00F4638D" w:rsidRPr="00E15FDD" w:rsidRDefault="00F4638D" w:rsidP="00F4638D">
      <w:pPr>
        <w:rPr>
          <w:lang w:val="en-US"/>
        </w:rPr>
      </w:pPr>
      <w:r w:rsidRPr="00E15FDD">
        <w:rPr>
          <w:lang w:val="en-US"/>
        </w:rPr>
        <w:t>where</w:t>
      </w:r>
      <w:r w:rsidRPr="00E15FDD">
        <w:rPr>
          <w:i/>
          <w:iCs/>
          <w:lang w:val="en-US"/>
        </w:rPr>
        <w:t xml:space="preserve"> N</w:t>
      </w:r>
      <w:r w:rsidRPr="00E15FDD">
        <w:rPr>
          <w:lang w:val="en-US"/>
        </w:rPr>
        <w:t>(</w:t>
      </w:r>
      <w:r w:rsidRPr="00E15FDD">
        <w:rPr>
          <w:i/>
          <w:iCs/>
          <w:lang w:val="en-US"/>
        </w:rPr>
        <w:t>r</w:t>
      </w:r>
      <w:r w:rsidRPr="00E15FDD">
        <w:rPr>
          <w:lang w:val="en-US"/>
        </w:rPr>
        <w:t xml:space="preserve">) is the number of particles per unit volume and per unit increment of the radius </w:t>
      </w:r>
      <w:r w:rsidRPr="00E15FDD">
        <w:rPr>
          <w:i/>
          <w:iCs/>
          <w:lang w:val="en-US"/>
        </w:rPr>
        <w:t>r</w:t>
      </w:r>
      <w:r w:rsidRPr="00E15FDD">
        <w:rPr>
          <w:lang w:val="en-US"/>
        </w:rPr>
        <w:t xml:space="preserve">, and </w:t>
      </w:r>
      <w:r w:rsidRPr="00295810">
        <w:t>α</w:t>
      </w:r>
      <w:r w:rsidRPr="00E15FDD">
        <w:rPr>
          <w:lang w:val="en-US"/>
        </w:rPr>
        <w:t xml:space="preserve">, </w:t>
      </w:r>
      <w:r w:rsidRPr="00E15FDD">
        <w:rPr>
          <w:i/>
          <w:lang w:val="en-US"/>
        </w:rPr>
        <w:t>a</w:t>
      </w:r>
      <w:r w:rsidRPr="00E15FDD">
        <w:rPr>
          <w:lang w:val="en-US"/>
        </w:rPr>
        <w:t xml:space="preserve"> and </w:t>
      </w:r>
      <w:r w:rsidRPr="00E15FDD">
        <w:rPr>
          <w:i/>
          <w:lang w:val="en-US"/>
        </w:rPr>
        <w:t>b</w:t>
      </w:r>
      <w:r w:rsidRPr="00E15FDD">
        <w:rPr>
          <w:lang w:val="en-US"/>
        </w:rPr>
        <w:t xml:space="preserve"> are parameters that characterize the particle size distribution.</w:t>
      </w:r>
    </w:p>
    <w:p w:rsidR="00F4638D" w:rsidRPr="0096235A" w:rsidRDefault="00F4638D" w:rsidP="00183BED">
      <w:pPr>
        <w:keepLines/>
        <w:rPr>
          <w:lang w:val="en-US"/>
        </w:rPr>
      </w:pPr>
      <w:r w:rsidRPr="00D03AF9">
        <w:rPr>
          <w:lang w:val="en-US"/>
        </w:rPr>
        <w:lastRenderedPageBreak/>
        <w:t xml:space="preserve">Computer codes (see Appendix 1 to Annex 1) usually take into account two particular cases: heavy advection fog and moderate radiation fog, which are </w:t>
      </w:r>
      <w:proofErr w:type="spellStart"/>
      <w:r w:rsidRPr="00D03AF9">
        <w:rPr>
          <w:lang w:val="en-US"/>
        </w:rPr>
        <w:t>modelled</w:t>
      </w:r>
      <w:proofErr w:type="spellEnd"/>
      <w:r w:rsidRPr="00D03AF9">
        <w:rPr>
          <w:lang w:val="en-US"/>
        </w:rPr>
        <w:t xml:space="preserve"> by the modified gamma size distribution as shown above.</w:t>
      </w:r>
      <w:r w:rsidRPr="00D03AF9" w:rsidDel="00675AF4">
        <w:rPr>
          <w:lang w:val="en-US"/>
        </w:rPr>
        <w:t xml:space="preserve"> </w:t>
      </w:r>
      <w:r w:rsidRPr="0096235A">
        <w:rPr>
          <w:lang w:val="en-US"/>
        </w:rPr>
        <w:t>Typical parameters of the modified gamma distribution are given in Table 1.</w:t>
      </w:r>
    </w:p>
    <w:p w:rsidR="00F4638D" w:rsidRPr="00D03AF9" w:rsidRDefault="00F4638D" w:rsidP="00F4638D">
      <w:pPr>
        <w:pStyle w:val="TableNo"/>
        <w:rPr>
          <w:lang w:val="en-US"/>
        </w:rPr>
      </w:pPr>
      <w:r w:rsidRPr="00D03AF9">
        <w:rPr>
          <w:lang w:val="en-US"/>
        </w:rPr>
        <w:t xml:space="preserve">TABLE </w:t>
      </w:r>
      <w:r>
        <w:rPr>
          <w:lang w:val="en-US"/>
        </w:rPr>
        <w:t>1</w:t>
      </w:r>
    </w:p>
    <w:p w:rsidR="00F4638D" w:rsidRPr="00D03AF9" w:rsidRDefault="00F4638D" w:rsidP="00F4638D">
      <w:pPr>
        <w:pStyle w:val="Tabletitle"/>
        <w:rPr>
          <w:lang w:val="en-US"/>
        </w:rPr>
      </w:pPr>
      <w:r w:rsidRPr="00D03AF9">
        <w:rPr>
          <w:lang w:val="en-US"/>
        </w:rPr>
        <w:t xml:space="preserve">Various parameters of the particles size distribution for a dense advection fog </w:t>
      </w:r>
      <w:r w:rsidRPr="00D03AF9">
        <w:rPr>
          <w:lang w:val="en-US"/>
        </w:rPr>
        <w:br/>
        <w:t>and a moderate radiation fog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6"/>
        <w:gridCol w:w="409"/>
        <w:gridCol w:w="861"/>
        <w:gridCol w:w="588"/>
        <w:gridCol w:w="1724"/>
        <w:gridCol w:w="1296"/>
        <w:gridCol w:w="1191"/>
        <w:gridCol w:w="934"/>
      </w:tblGrid>
      <w:tr w:rsidR="00F4638D" w:rsidRPr="00295810" w:rsidTr="00E0074D">
        <w:trPr>
          <w:trHeight w:val="350"/>
          <w:jc w:val="center"/>
        </w:trPr>
        <w:tc>
          <w:tcPr>
            <w:tcW w:w="2315" w:type="dxa"/>
            <w:tcBorders>
              <w:top w:val="nil"/>
              <w:left w:val="nil"/>
            </w:tcBorders>
          </w:tcPr>
          <w:p w:rsidR="00F4638D" w:rsidRPr="00D03AF9" w:rsidRDefault="00F4638D" w:rsidP="00E0074D">
            <w:pPr>
              <w:pStyle w:val="Tablehead"/>
              <w:rPr>
                <w:lang w:val="en-US"/>
              </w:rPr>
            </w:pPr>
          </w:p>
        </w:tc>
        <w:tc>
          <w:tcPr>
            <w:tcW w:w="359" w:type="dxa"/>
          </w:tcPr>
          <w:p w:rsidR="00F4638D" w:rsidRPr="00295810" w:rsidRDefault="00F4638D" w:rsidP="00E0074D">
            <w:pPr>
              <w:pStyle w:val="Tablehead"/>
              <w:rPr>
                <w:rFonts w:ascii="Symbol" w:hAnsi="Symbol"/>
              </w:rPr>
            </w:pPr>
            <w:r w:rsidRPr="00295810">
              <w:rPr>
                <w:rFonts w:ascii="Symbol" w:hAnsi="Symbol"/>
              </w:rPr>
              <w:t></w:t>
            </w:r>
          </w:p>
        </w:tc>
        <w:tc>
          <w:tcPr>
            <w:tcW w:w="756" w:type="dxa"/>
          </w:tcPr>
          <w:p w:rsidR="00F4638D" w:rsidRPr="00295810" w:rsidRDefault="00F4638D" w:rsidP="00E0074D">
            <w:pPr>
              <w:pStyle w:val="Tablehead"/>
              <w:rPr>
                <w:i/>
                <w:iCs/>
              </w:rPr>
            </w:pPr>
            <w:r w:rsidRPr="00295810">
              <w:rPr>
                <w:i/>
                <w:iCs/>
              </w:rPr>
              <w:t>a</w:t>
            </w:r>
          </w:p>
        </w:tc>
        <w:tc>
          <w:tcPr>
            <w:tcW w:w="516" w:type="dxa"/>
          </w:tcPr>
          <w:p w:rsidR="00F4638D" w:rsidRPr="00295810" w:rsidRDefault="00F4638D" w:rsidP="00E0074D">
            <w:pPr>
              <w:pStyle w:val="Tablehead"/>
              <w:rPr>
                <w:i/>
                <w:iCs/>
              </w:rPr>
            </w:pPr>
            <w:r w:rsidRPr="00295810">
              <w:rPr>
                <w:i/>
                <w:iCs/>
              </w:rPr>
              <w:t>b</w:t>
            </w:r>
          </w:p>
        </w:tc>
        <w:tc>
          <w:tcPr>
            <w:tcW w:w="1514" w:type="dxa"/>
          </w:tcPr>
          <w:p w:rsidR="00F4638D" w:rsidRPr="00295810" w:rsidRDefault="00F4638D" w:rsidP="00E0074D">
            <w:pPr>
              <w:pStyle w:val="Tablehead"/>
            </w:pPr>
            <w:r w:rsidRPr="00295810">
              <w:rPr>
                <w:i/>
                <w:iCs/>
              </w:rPr>
              <w:t>N</w:t>
            </w:r>
            <w:r w:rsidRPr="00295810">
              <w:t xml:space="preserve"> (</w:t>
            </w:r>
            <w:r w:rsidRPr="00295810" w:rsidDel="00675AF4">
              <w:t>cm</w:t>
            </w:r>
            <w:r w:rsidRPr="00295810">
              <w:rPr>
                <w:vertAlign w:val="superscript"/>
              </w:rPr>
              <w:t>−</w:t>
            </w:r>
            <w:r w:rsidRPr="00295810" w:rsidDel="00675AF4">
              <w:rPr>
                <w:vertAlign w:val="superscript"/>
              </w:rPr>
              <w:t>3</w:t>
            </w:r>
            <w:r w:rsidRPr="00295810">
              <w:t>)</w:t>
            </w:r>
          </w:p>
        </w:tc>
        <w:tc>
          <w:tcPr>
            <w:tcW w:w="1138" w:type="dxa"/>
          </w:tcPr>
          <w:p w:rsidR="00F4638D" w:rsidRPr="00295810" w:rsidRDefault="00F4638D" w:rsidP="00E0074D">
            <w:pPr>
              <w:pStyle w:val="Tablehead"/>
            </w:pPr>
            <w:r w:rsidRPr="00295810">
              <w:rPr>
                <w:i/>
                <w:iCs/>
              </w:rPr>
              <w:t>W</w:t>
            </w:r>
            <w:r w:rsidRPr="00295810">
              <w:t xml:space="preserve"> (g/m</w:t>
            </w:r>
            <w:r w:rsidRPr="00295810">
              <w:rPr>
                <w:rFonts w:ascii="Times New (W1)" w:hAnsi="Times New (W1)"/>
                <w:vertAlign w:val="superscript"/>
              </w:rPr>
              <w:t>3</w:t>
            </w:r>
            <w:r w:rsidRPr="00295810">
              <w:t>)</w:t>
            </w:r>
          </w:p>
        </w:tc>
        <w:tc>
          <w:tcPr>
            <w:tcW w:w="1046" w:type="dxa"/>
          </w:tcPr>
          <w:p w:rsidR="00F4638D" w:rsidRPr="00295810" w:rsidRDefault="00F4638D" w:rsidP="00E0074D">
            <w:pPr>
              <w:pStyle w:val="Tablehead"/>
            </w:pPr>
            <w:proofErr w:type="spellStart"/>
            <w:r w:rsidRPr="00295810">
              <w:rPr>
                <w:i/>
                <w:iCs/>
              </w:rPr>
              <w:t>r</w:t>
            </w:r>
            <w:r w:rsidRPr="00295810">
              <w:rPr>
                <w:rFonts w:ascii="Times New (W1)" w:hAnsi="Times New (W1)"/>
                <w:i/>
                <w:iCs/>
                <w:vertAlign w:val="subscript"/>
              </w:rPr>
              <w:t>m</w:t>
            </w:r>
            <w:proofErr w:type="spellEnd"/>
            <w:r w:rsidRPr="00295810">
              <w:t xml:space="preserve"> (</w:t>
            </w:r>
            <w:proofErr w:type="spellStart"/>
            <w:r w:rsidRPr="00295810">
              <w:t>μm</w:t>
            </w:r>
            <w:proofErr w:type="spellEnd"/>
            <w:r w:rsidRPr="00295810">
              <w:t>)</w:t>
            </w:r>
          </w:p>
        </w:tc>
        <w:tc>
          <w:tcPr>
            <w:tcW w:w="820" w:type="dxa"/>
          </w:tcPr>
          <w:p w:rsidR="00F4638D" w:rsidRPr="00295810" w:rsidRDefault="00F4638D" w:rsidP="00E0074D">
            <w:pPr>
              <w:pStyle w:val="Tablehead"/>
            </w:pPr>
            <w:r w:rsidRPr="00295810">
              <w:rPr>
                <w:i/>
                <w:iCs/>
              </w:rPr>
              <w:t>V</w:t>
            </w:r>
            <w:r w:rsidRPr="00295810">
              <w:t xml:space="preserve"> (m)</w:t>
            </w:r>
          </w:p>
        </w:tc>
      </w:tr>
      <w:tr w:rsidR="00F4638D" w:rsidRPr="00295810" w:rsidTr="00E0074D">
        <w:trPr>
          <w:jc w:val="center"/>
        </w:trPr>
        <w:tc>
          <w:tcPr>
            <w:tcW w:w="2315" w:type="dxa"/>
          </w:tcPr>
          <w:p w:rsidR="00F4638D" w:rsidRPr="00295810" w:rsidRDefault="00F4638D" w:rsidP="00E0074D">
            <w:pPr>
              <w:pStyle w:val="Tabletext"/>
              <w:keepNext/>
            </w:pPr>
            <w:r w:rsidRPr="00295810">
              <w:t xml:space="preserve">Heavy advection </w:t>
            </w:r>
            <w:proofErr w:type="spellStart"/>
            <w:r w:rsidRPr="00295810">
              <w:t>fog</w:t>
            </w:r>
            <w:proofErr w:type="spellEnd"/>
          </w:p>
        </w:tc>
        <w:tc>
          <w:tcPr>
            <w:tcW w:w="359" w:type="dxa"/>
          </w:tcPr>
          <w:p w:rsidR="00F4638D" w:rsidRPr="00295810" w:rsidRDefault="00F4638D" w:rsidP="00E0074D">
            <w:pPr>
              <w:pStyle w:val="Tabletext"/>
              <w:keepNext/>
              <w:jc w:val="center"/>
            </w:pPr>
            <w:r w:rsidRPr="00295810">
              <w:t>3</w:t>
            </w:r>
          </w:p>
        </w:tc>
        <w:tc>
          <w:tcPr>
            <w:tcW w:w="756" w:type="dxa"/>
          </w:tcPr>
          <w:p w:rsidR="00F4638D" w:rsidRPr="00295810" w:rsidRDefault="00F4638D" w:rsidP="00E0074D">
            <w:pPr>
              <w:pStyle w:val="Tabletext"/>
              <w:keepNext/>
              <w:jc w:val="center"/>
            </w:pPr>
            <w:r w:rsidRPr="00295810">
              <w:t>0.027</w:t>
            </w:r>
          </w:p>
        </w:tc>
        <w:tc>
          <w:tcPr>
            <w:tcW w:w="516" w:type="dxa"/>
          </w:tcPr>
          <w:p w:rsidR="00F4638D" w:rsidRPr="00295810" w:rsidRDefault="00F4638D" w:rsidP="00E0074D">
            <w:pPr>
              <w:pStyle w:val="Tabletext"/>
              <w:keepNext/>
              <w:jc w:val="center"/>
            </w:pPr>
            <w:r w:rsidRPr="00295810">
              <w:t>0.3</w:t>
            </w:r>
          </w:p>
        </w:tc>
        <w:tc>
          <w:tcPr>
            <w:tcW w:w="1514" w:type="dxa"/>
          </w:tcPr>
          <w:p w:rsidR="00F4638D" w:rsidRPr="00295810" w:rsidRDefault="00F4638D" w:rsidP="00E0074D">
            <w:pPr>
              <w:pStyle w:val="Tabletext"/>
              <w:keepNext/>
              <w:jc w:val="center"/>
            </w:pPr>
            <w:r w:rsidRPr="00295810">
              <w:t>20</w:t>
            </w:r>
          </w:p>
        </w:tc>
        <w:tc>
          <w:tcPr>
            <w:tcW w:w="1138" w:type="dxa"/>
          </w:tcPr>
          <w:p w:rsidR="00F4638D" w:rsidRPr="00295810" w:rsidRDefault="00F4638D" w:rsidP="00E0074D">
            <w:pPr>
              <w:pStyle w:val="Tabletext"/>
              <w:keepNext/>
              <w:jc w:val="center"/>
            </w:pPr>
            <w:r w:rsidRPr="00295810">
              <w:t>0.37</w:t>
            </w:r>
          </w:p>
        </w:tc>
        <w:tc>
          <w:tcPr>
            <w:tcW w:w="1046" w:type="dxa"/>
          </w:tcPr>
          <w:p w:rsidR="00F4638D" w:rsidRPr="00295810" w:rsidRDefault="00F4638D" w:rsidP="00E0074D">
            <w:pPr>
              <w:pStyle w:val="Tabletext"/>
              <w:keepNext/>
              <w:jc w:val="center"/>
            </w:pPr>
            <w:r w:rsidRPr="00295810">
              <w:t>10</w:t>
            </w:r>
          </w:p>
        </w:tc>
        <w:tc>
          <w:tcPr>
            <w:tcW w:w="820" w:type="dxa"/>
          </w:tcPr>
          <w:p w:rsidR="00F4638D" w:rsidRPr="00295810" w:rsidRDefault="00F4638D" w:rsidP="00E0074D">
            <w:pPr>
              <w:pStyle w:val="Tabletext"/>
              <w:keepNext/>
              <w:jc w:val="center"/>
            </w:pPr>
            <w:r w:rsidRPr="00295810">
              <w:t>130</w:t>
            </w:r>
          </w:p>
        </w:tc>
      </w:tr>
      <w:tr w:rsidR="00F4638D" w:rsidRPr="00295810" w:rsidTr="00E0074D">
        <w:trPr>
          <w:jc w:val="center"/>
        </w:trPr>
        <w:tc>
          <w:tcPr>
            <w:tcW w:w="2315" w:type="dxa"/>
          </w:tcPr>
          <w:p w:rsidR="00F4638D" w:rsidRPr="00295810" w:rsidRDefault="00F4638D" w:rsidP="00E0074D">
            <w:pPr>
              <w:pStyle w:val="Tabletext"/>
            </w:pPr>
            <w:proofErr w:type="spellStart"/>
            <w:r w:rsidRPr="00295810">
              <w:t>Moderate</w:t>
            </w:r>
            <w:proofErr w:type="spellEnd"/>
            <w:r w:rsidRPr="00295810">
              <w:t xml:space="preserve"> radiation </w:t>
            </w:r>
            <w:proofErr w:type="spellStart"/>
            <w:r w:rsidRPr="00295810">
              <w:t>fog</w:t>
            </w:r>
            <w:proofErr w:type="spellEnd"/>
          </w:p>
        </w:tc>
        <w:tc>
          <w:tcPr>
            <w:tcW w:w="359" w:type="dxa"/>
          </w:tcPr>
          <w:p w:rsidR="00F4638D" w:rsidRPr="00295810" w:rsidRDefault="00F4638D" w:rsidP="00E0074D">
            <w:pPr>
              <w:pStyle w:val="Tabletext"/>
              <w:jc w:val="center"/>
            </w:pPr>
            <w:r w:rsidRPr="00295810">
              <w:t>6</w:t>
            </w:r>
          </w:p>
        </w:tc>
        <w:tc>
          <w:tcPr>
            <w:tcW w:w="756" w:type="dxa"/>
          </w:tcPr>
          <w:p w:rsidR="00F4638D" w:rsidRPr="00295810" w:rsidRDefault="00F4638D" w:rsidP="00E0074D">
            <w:pPr>
              <w:pStyle w:val="Tabletext"/>
              <w:jc w:val="center"/>
            </w:pPr>
            <w:r w:rsidRPr="00295810">
              <w:t>607.5</w:t>
            </w:r>
          </w:p>
        </w:tc>
        <w:tc>
          <w:tcPr>
            <w:tcW w:w="516" w:type="dxa"/>
          </w:tcPr>
          <w:p w:rsidR="00F4638D" w:rsidRPr="00295810" w:rsidRDefault="00F4638D" w:rsidP="00E0074D">
            <w:pPr>
              <w:pStyle w:val="Tabletext"/>
              <w:jc w:val="center"/>
            </w:pPr>
            <w:r w:rsidRPr="00295810">
              <w:t>3</w:t>
            </w:r>
          </w:p>
        </w:tc>
        <w:tc>
          <w:tcPr>
            <w:tcW w:w="1514" w:type="dxa"/>
          </w:tcPr>
          <w:p w:rsidR="00F4638D" w:rsidRPr="00295810" w:rsidRDefault="00F4638D" w:rsidP="00E0074D">
            <w:pPr>
              <w:pStyle w:val="Tabletext"/>
              <w:jc w:val="center"/>
            </w:pPr>
            <w:r w:rsidRPr="00295810">
              <w:t>200</w:t>
            </w:r>
          </w:p>
        </w:tc>
        <w:tc>
          <w:tcPr>
            <w:tcW w:w="1138" w:type="dxa"/>
          </w:tcPr>
          <w:p w:rsidR="00F4638D" w:rsidRPr="00295810" w:rsidRDefault="00F4638D" w:rsidP="00E0074D">
            <w:pPr>
              <w:pStyle w:val="Tabletext"/>
              <w:jc w:val="center"/>
            </w:pPr>
            <w:r w:rsidRPr="00295810">
              <w:t>0.02</w:t>
            </w:r>
          </w:p>
        </w:tc>
        <w:tc>
          <w:tcPr>
            <w:tcW w:w="1046" w:type="dxa"/>
          </w:tcPr>
          <w:p w:rsidR="00F4638D" w:rsidRPr="00295810" w:rsidRDefault="00F4638D" w:rsidP="00E0074D">
            <w:pPr>
              <w:pStyle w:val="Tabletext"/>
              <w:jc w:val="center"/>
            </w:pPr>
            <w:r w:rsidRPr="00295810">
              <w:t>2</w:t>
            </w:r>
          </w:p>
        </w:tc>
        <w:tc>
          <w:tcPr>
            <w:tcW w:w="820" w:type="dxa"/>
          </w:tcPr>
          <w:p w:rsidR="00F4638D" w:rsidRPr="00295810" w:rsidRDefault="00F4638D" w:rsidP="00E0074D">
            <w:pPr>
              <w:pStyle w:val="Tabletext"/>
              <w:jc w:val="center"/>
            </w:pPr>
            <w:r w:rsidRPr="00295810">
              <w:t>450</w:t>
            </w:r>
          </w:p>
        </w:tc>
      </w:tr>
    </w:tbl>
    <w:p w:rsidR="00F4638D" w:rsidRDefault="00F4638D" w:rsidP="00F4638D">
      <w:pPr>
        <w:pStyle w:val="Tablefin"/>
      </w:pPr>
    </w:p>
    <w:p w:rsidR="00F4638D" w:rsidRPr="00D03AF9" w:rsidRDefault="00F4638D" w:rsidP="00F4638D">
      <w:pPr>
        <w:rPr>
          <w:lang w:val="en-US"/>
        </w:rPr>
      </w:pPr>
      <w:r w:rsidRPr="00D03AF9">
        <w:rPr>
          <w:lang w:val="en-US"/>
        </w:rPr>
        <w:t>where:</w:t>
      </w:r>
    </w:p>
    <w:p w:rsidR="00F4638D" w:rsidRPr="00295810" w:rsidRDefault="00F4638D" w:rsidP="00F4638D">
      <w:pPr>
        <w:pStyle w:val="Equationlegend"/>
      </w:pPr>
      <w:r w:rsidRPr="00295810">
        <w:tab/>
      </w:r>
      <w:r w:rsidRPr="00295810">
        <w:rPr>
          <w:i/>
        </w:rPr>
        <w:t>N</w:t>
      </w:r>
      <w:r w:rsidRPr="00295810">
        <w:rPr>
          <w:iCs/>
        </w:rPr>
        <w:t>:</w:t>
      </w:r>
      <w:r w:rsidRPr="00295810">
        <w:tab/>
        <w:t>total number of water particles per unit volume (cm</w:t>
      </w:r>
      <w:r w:rsidRPr="00295810">
        <w:rPr>
          <w:vertAlign w:val="superscript"/>
        </w:rPr>
        <w:t>3</w:t>
      </w:r>
      <w:r w:rsidRPr="00295810">
        <w:t>)</w:t>
      </w:r>
      <w:r>
        <w:t>;</w:t>
      </w:r>
    </w:p>
    <w:p w:rsidR="00F4638D" w:rsidRPr="00295810" w:rsidRDefault="00F4638D" w:rsidP="00F4638D">
      <w:pPr>
        <w:pStyle w:val="Equationlegend"/>
      </w:pPr>
      <w:r w:rsidRPr="00295810">
        <w:tab/>
      </w:r>
      <w:proofErr w:type="spellStart"/>
      <w:r w:rsidRPr="00295810">
        <w:rPr>
          <w:i/>
        </w:rPr>
        <w:t>r</w:t>
      </w:r>
      <w:r w:rsidRPr="00295810">
        <w:rPr>
          <w:rFonts w:ascii="Times New (W1)" w:hAnsi="Times New (W1)"/>
          <w:i/>
          <w:vertAlign w:val="subscript"/>
        </w:rPr>
        <w:t>m</w:t>
      </w:r>
      <w:proofErr w:type="spellEnd"/>
      <w:r w:rsidRPr="00295810">
        <w:rPr>
          <w:iCs/>
        </w:rPr>
        <w:t>:</w:t>
      </w:r>
      <w:r w:rsidRPr="00295810">
        <w:tab/>
        <w:t>modal radius (</w:t>
      </w:r>
      <w:proofErr w:type="spellStart"/>
      <w:r w:rsidRPr="00295810">
        <w:t>μm</w:t>
      </w:r>
      <w:proofErr w:type="spellEnd"/>
      <w:r w:rsidRPr="00295810">
        <w:t>) for which the distribution presents a maximum</w:t>
      </w:r>
      <w:r>
        <w:t>;</w:t>
      </w:r>
    </w:p>
    <w:p w:rsidR="00F4638D" w:rsidRPr="00295810" w:rsidRDefault="00F4638D" w:rsidP="00F4638D">
      <w:pPr>
        <w:pStyle w:val="Equationlegend"/>
      </w:pPr>
      <w:r w:rsidRPr="00295810">
        <w:tab/>
      </w:r>
      <w:r w:rsidRPr="00295810">
        <w:rPr>
          <w:i/>
        </w:rPr>
        <w:t>W</w:t>
      </w:r>
      <w:r w:rsidRPr="00295810">
        <w:rPr>
          <w:iCs/>
        </w:rPr>
        <w:t>:</w:t>
      </w:r>
      <w:r w:rsidRPr="00295810">
        <w:tab/>
        <w:t>liquid water content (g/m</w:t>
      </w:r>
      <w:r w:rsidRPr="00295810">
        <w:rPr>
          <w:vertAlign w:val="superscript"/>
        </w:rPr>
        <w:t>3</w:t>
      </w:r>
      <w:r w:rsidRPr="00295810">
        <w:t>)</w:t>
      </w:r>
      <w:r>
        <w:t>;</w:t>
      </w:r>
    </w:p>
    <w:p w:rsidR="00F4638D" w:rsidRPr="00295810" w:rsidRDefault="00F4638D" w:rsidP="00F4638D">
      <w:pPr>
        <w:pStyle w:val="Equationlegend"/>
      </w:pPr>
      <w:r w:rsidRPr="00295810">
        <w:tab/>
      </w:r>
      <w:r w:rsidRPr="00295810">
        <w:rPr>
          <w:i/>
        </w:rPr>
        <w:t>V</w:t>
      </w:r>
      <w:r w:rsidRPr="00295810">
        <w:rPr>
          <w:iCs/>
        </w:rPr>
        <w:t>:</w:t>
      </w:r>
      <w:r w:rsidRPr="00295810">
        <w:tab/>
        <w:t xml:space="preserve">visibility  associated to the fog type </w:t>
      </w:r>
      <w:bookmarkStart w:id="12" w:name="_Toc85359503"/>
      <w:r w:rsidRPr="00295810">
        <w:t>(m).</w:t>
      </w:r>
    </w:p>
    <w:p w:rsidR="00F4638D" w:rsidRPr="00E645AC" w:rsidRDefault="00F4638D" w:rsidP="00F4638D">
      <w:pPr>
        <w:rPr>
          <w:lang w:val="en-US"/>
        </w:rPr>
      </w:pPr>
      <w:r w:rsidRPr="00E645AC">
        <w:rPr>
          <w:lang w:val="en-US"/>
        </w:rPr>
        <w:t xml:space="preserve">The received signal level can experience significant short-term fluctuations due to variations in visibility. Figure 4 shows the normalized received intensities of far IR and mid IR links, together with the link visibility during a minute slot. </w:t>
      </w:r>
    </w:p>
    <w:p w:rsidR="00F4638D" w:rsidRPr="00D03AF9" w:rsidRDefault="00F4638D" w:rsidP="00F4638D">
      <w:pPr>
        <w:pStyle w:val="FigureNo"/>
        <w:rPr>
          <w:lang w:val="en-US"/>
        </w:rPr>
      </w:pPr>
      <w:r w:rsidRPr="00D03AF9">
        <w:rPr>
          <w:lang w:val="en-US"/>
        </w:rPr>
        <w:t>Figure 4</w:t>
      </w:r>
    </w:p>
    <w:p w:rsidR="00F4638D" w:rsidRPr="00D03AF9" w:rsidRDefault="00F4638D" w:rsidP="00F4638D">
      <w:pPr>
        <w:pStyle w:val="Figuretitle"/>
        <w:rPr>
          <w:lang w:val="en-US"/>
        </w:rPr>
      </w:pPr>
      <w:r w:rsidRPr="00D03AF9">
        <w:rPr>
          <w:lang w:val="en-US"/>
        </w:rPr>
        <w:t>Real-time received intensities for far-IR and mid-IR links (a) and visual range</w:t>
      </w:r>
      <w:r>
        <w:rPr>
          <w:lang w:val="en-US"/>
        </w:rPr>
        <w:br/>
      </w:r>
      <w:r w:rsidRPr="00D03AF9">
        <w:rPr>
          <w:lang w:val="en-US"/>
        </w:rPr>
        <w:t>(b) simultaneously recorded during a minute period</w:t>
      </w:r>
    </w:p>
    <w:p w:rsidR="00F4638D" w:rsidRPr="00D03AF9" w:rsidRDefault="004D3A39" w:rsidP="00F4638D">
      <w:pPr>
        <w:pStyle w:val="Figure"/>
        <w:rPr>
          <w:lang w:val="en-US"/>
        </w:rPr>
      </w:pPr>
      <w:r>
        <w:rPr>
          <w:lang w:val="en-US"/>
        </w:rPr>
        <w:pict>
          <v:shape id="_x0000_i1037" type="#_x0000_t75" style="width:354.75pt;height:224.25pt">
            <v:imagedata r:id="rId36" o:title=""/>
          </v:shape>
        </w:pict>
      </w:r>
    </w:p>
    <w:p w:rsidR="00F4638D" w:rsidRPr="00D03AF9" w:rsidRDefault="00F4638D" w:rsidP="00183BED">
      <w:pPr>
        <w:keepNext/>
        <w:rPr>
          <w:lang w:val="en-US"/>
        </w:rPr>
      </w:pPr>
      <w:r w:rsidRPr="00D03AF9">
        <w:rPr>
          <w:lang w:val="en-US"/>
        </w:rPr>
        <w:lastRenderedPageBreak/>
        <w:t>Figure 5 shows normalized optical power as a function of the visual range, measured at 780 nm, 1 550 nm and 9 100 nm.</w:t>
      </w:r>
    </w:p>
    <w:p w:rsidR="00F4638D" w:rsidRPr="00D03AF9" w:rsidRDefault="00F4638D" w:rsidP="00F4638D">
      <w:pPr>
        <w:pStyle w:val="FigureNo"/>
        <w:rPr>
          <w:lang w:val="en-US"/>
        </w:rPr>
      </w:pPr>
      <w:r w:rsidRPr="00D03AF9">
        <w:rPr>
          <w:lang w:val="en-US"/>
        </w:rPr>
        <w:t>Figure 5</w:t>
      </w:r>
    </w:p>
    <w:p w:rsidR="00F4638D" w:rsidRPr="00D03AF9" w:rsidRDefault="00F4638D" w:rsidP="00F4638D">
      <w:pPr>
        <w:pStyle w:val="Figuretitle"/>
        <w:rPr>
          <w:lang w:val="en-US"/>
        </w:rPr>
      </w:pPr>
      <w:r w:rsidRPr="00D03AF9">
        <w:rPr>
          <w:lang w:val="en-US"/>
        </w:rPr>
        <w:t>Normalized received optical power versus link visibility for three different wavelengths</w:t>
      </w:r>
    </w:p>
    <w:p w:rsidR="00F4638D" w:rsidRPr="00295810" w:rsidRDefault="004D3A39" w:rsidP="00F4638D">
      <w:pPr>
        <w:pStyle w:val="Figure"/>
        <w:keepLines w:val="0"/>
      </w:pPr>
      <w:r>
        <w:pict>
          <v:shape id="_x0000_i1038" type="#_x0000_t75" style="width:289.5pt;height:290.25pt">
            <v:imagedata r:id="rId37" o:title=""/>
          </v:shape>
        </w:pict>
      </w:r>
    </w:p>
    <w:p w:rsidR="00F4638D" w:rsidRPr="00D03AF9" w:rsidRDefault="00F4638D" w:rsidP="00456E6A">
      <w:pPr>
        <w:rPr>
          <w:lang w:val="en-US"/>
        </w:rPr>
      </w:pPr>
      <w:r w:rsidRPr="00D03AF9">
        <w:rPr>
          <w:lang w:val="en-US"/>
        </w:rPr>
        <w:t>In many cases of thick fog, t</w:t>
      </w:r>
      <w:r>
        <w:rPr>
          <w:lang w:val="en-US"/>
        </w:rPr>
        <w:t>he particle distribution is non-</w:t>
      </w:r>
      <w:r w:rsidRPr="00D03AF9">
        <w:rPr>
          <w:lang w:val="en-US"/>
        </w:rPr>
        <w:t>uniform. In this case, far-IR links could provide superior availability, because 10 </w:t>
      </w:r>
      <w:r w:rsidRPr="00295810">
        <w:t>μ</w:t>
      </w:r>
      <w:r w:rsidRPr="00D03AF9">
        <w:rPr>
          <w:lang w:val="en-US"/>
        </w:rPr>
        <w:t>m light can overcome losses in dense fog and maintain link availability where</w:t>
      </w:r>
      <w:r>
        <w:rPr>
          <w:lang w:val="en-US"/>
        </w:rPr>
        <w:t>as shorter wavelength light can</w:t>
      </w:r>
      <w:r w:rsidRPr="00D03AF9">
        <w:rPr>
          <w:lang w:val="en-US"/>
        </w:rPr>
        <w:t>not.</w:t>
      </w:r>
      <w:bookmarkStart w:id="13" w:name="_Toc85359496"/>
      <w:bookmarkEnd w:id="12"/>
    </w:p>
    <w:p w:rsidR="00F4638D" w:rsidRPr="00D03AF9" w:rsidRDefault="00F4638D" w:rsidP="00F4638D">
      <w:pPr>
        <w:pStyle w:val="Heading1"/>
        <w:rPr>
          <w:lang w:val="en-US"/>
        </w:rPr>
      </w:pPr>
      <w:r w:rsidRPr="00D03AF9">
        <w:rPr>
          <w:lang w:val="en-US"/>
        </w:rPr>
        <w:t>6</w:t>
      </w:r>
      <w:r w:rsidRPr="00D03AF9">
        <w:rPr>
          <w:lang w:val="en-US"/>
        </w:rPr>
        <w:tab/>
        <w:t>Scintillation</w:t>
      </w:r>
      <w:bookmarkEnd w:id="13"/>
    </w:p>
    <w:p w:rsidR="00F4638D" w:rsidRPr="00E645AC" w:rsidRDefault="00F4638D" w:rsidP="00F4638D">
      <w:pPr>
        <w:rPr>
          <w:lang w:val="en-US"/>
        </w:rPr>
      </w:pPr>
      <w:r w:rsidRPr="00E645AC">
        <w:rPr>
          <w:lang w:val="en-US"/>
        </w:rPr>
        <w:t>Randomly distributed cells of varying refractive index can be formed within the propagation medium under the influence of thermal turbulence. These cells cause scattering, multipath, and variation in the angle of arrival, causing the received signal level to fluctuate at frequencies between 0.01 and 200 Hz. Wave front variations similarly cause time-varying focusing and defocusing of the beam. Such fluctuations of the signal are called scintillation. The amplitude and the frequency of scintillation depend on the size of the cells compared to the diameter of the beam. The following figures show this effect as well as the variations (amplitude, frequency) of the received signal. The beam deviates (Fig. 6) when heterogeneities are large compared to the beam cross-section, and the beam is widened (Fig. 7) when heterogeneities are small compared to the beam cross-section. A mixture of heterogeneities results in scintillation (Fig. 8).</w:t>
      </w:r>
    </w:p>
    <w:p w:rsidR="00F4638D" w:rsidRPr="00D03AF9" w:rsidRDefault="00F4638D" w:rsidP="00F4638D">
      <w:pPr>
        <w:pStyle w:val="FigureNo"/>
        <w:rPr>
          <w:lang w:val="en-US"/>
        </w:rPr>
      </w:pPr>
      <w:r w:rsidRPr="00D03AF9">
        <w:rPr>
          <w:lang w:val="en-US"/>
        </w:rPr>
        <w:lastRenderedPageBreak/>
        <w:t>Figure 6</w:t>
      </w:r>
    </w:p>
    <w:p w:rsidR="00F4638D" w:rsidRPr="00D03AF9" w:rsidRDefault="00F4638D" w:rsidP="00F4638D">
      <w:pPr>
        <w:pStyle w:val="Figuretitle"/>
        <w:rPr>
          <w:lang w:val="en-US"/>
        </w:rPr>
      </w:pPr>
      <w:r w:rsidRPr="00D03AF9">
        <w:rPr>
          <w:lang w:val="en-US"/>
        </w:rPr>
        <w:t>Deviation of the beam under the influence of turbulent cells larger than the beam diameter</w:t>
      </w:r>
    </w:p>
    <w:p w:rsidR="00F4638D" w:rsidRDefault="004D3A39" w:rsidP="00F4638D">
      <w:pPr>
        <w:pStyle w:val="Figure"/>
      </w:pPr>
      <w:r>
        <w:pict>
          <v:shape id="_x0000_i1039" type="#_x0000_t75" style="width:388.5pt;height:267.75pt">
            <v:imagedata r:id="rId38" o:title=""/>
          </v:shape>
        </w:pict>
      </w:r>
    </w:p>
    <w:p w:rsidR="00E645AC" w:rsidRDefault="00E645AC" w:rsidP="00E645AC">
      <w:pPr>
        <w:rPr>
          <w:lang w:val="en-US"/>
        </w:rPr>
      </w:pPr>
    </w:p>
    <w:p w:rsidR="00F4638D" w:rsidRPr="00D03AF9" w:rsidRDefault="00F4638D" w:rsidP="00F4638D">
      <w:pPr>
        <w:pStyle w:val="FigureNo"/>
        <w:rPr>
          <w:lang w:val="en-US"/>
        </w:rPr>
      </w:pPr>
      <w:r w:rsidRPr="00D03AF9">
        <w:rPr>
          <w:lang w:val="en-US"/>
        </w:rPr>
        <w:t>FIGURE 7</w:t>
      </w:r>
    </w:p>
    <w:p w:rsidR="00F4638D" w:rsidRPr="00D03AF9" w:rsidRDefault="00F4638D" w:rsidP="00F4638D">
      <w:pPr>
        <w:pStyle w:val="Figuretitle"/>
        <w:rPr>
          <w:lang w:val="en-US"/>
        </w:rPr>
      </w:pPr>
      <w:r w:rsidRPr="00D03AF9">
        <w:rPr>
          <w:lang w:val="en-US"/>
        </w:rPr>
        <w:t>Deviation of the beam under the influence of turbulent cells smaller than the beam diameter</w:t>
      </w:r>
      <w:r>
        <w:rPr>
          <w:lang w:val="en-US"/>
        </w:rPr>
        <w:br/>
      </w:r>
      <w:r w:rsidRPr="00D03AF9">
        <w:rPr>
          <w:lang w:val="en-US"/>
        </w:rPr>
        <w:t>(widening of the beam)</w:t>
      </w:r>
    </w:p>
    <w:p w:rsidR="00F4638D" w:rsidRDefault="004D3A39" w:rsidP="00F4638D">
      <w:pPr>
        <w:pStyle w:val="Figure"/>
      </w:pPr>
      <w:r>
        <w:pict>
          <v:shape id="_x0000_i1040" type="#_x0000_t75" style="width:388.5pt;height:267.75pt">
            <v:imagedata r:id="rId39" o:title=""/>
          </v:shape>
        </w:pict>
      </w:r>
    </w:p>
    <w:p w:rsidR="00F4638D" w:rsidRPr="00D03AF9" w:rsidRDefault="00F4638D" w:rsidP="00F4638D">
      <w:pPr>
        <w:pStyle w:val="FigureNo"/>
        <w:rPr>
          <w:lang w:val="en-US"/>
        </w:rPr>
      </w:pPr>
      <w:r w:rsidRPr="00D03AF9">
        <w:rPr>
          <w:lang w:val="en-US"/>
        </w:rPr>
        <w:lastRenderedPageBreak/>
        <w:t>Figure 8</w:t>
      </w:r>
    </w:p>
    <w:p w:rsidR="00F4638D" w:rsidRPr="00D03AF9" w:rsidRDefault="00F4638D" w:rsidP="00F4638D">
      <w:pPr>
        <w:pStyle w:val="Figuretitle"/>
        <w:rPr>
          <w:lang w:val="en-US"/>
        </w:rPr>
      </w:pPr>
      <w:r w:rsidRPr="00D03AF9">
        <w:rPr>
          <w:lang w:val="en-US"/>
        </w:rPr>
        <w:t>Effects of different size heterogeneities on laser beam propagation (scintillation)</w:t>
      </w:r>
    </w:p>
    <w:p w:rsidR="00F4638D" w:rsidRPr="00295810" w:rsidRDefault="004D3A39" w:rsidP="00F4638D">
      <w:pPr>
        <w:pStyle w:val="Figure"/>
      </w:pPr>
      <w:r>
        <w:pict>
          <v:shape id="_x0000_i1041" type="#_x0000_t75" style="width:389.25pt;height:268.5pt">
            <v:imagedata r:id="rId40" o:title=""/>
          </v:shape>
        </w:pict>
      </w:r>
    </w:p>
    <w:p w:rsidR="00F4638D" w:rsidRPr="00D03AF9" w:rsidRDefault="00F4638D" w:rsidP="00F4638D">
      <w:pPr>
        <w:pStyle w:val="Heading1"/>
        <w:rPr>
          <w:lang w:val="en-US"/>
        </w:rPr>
      </w:pPr>
      <w:r w:rsidRPr="00D03AF9">
        <w:rPr>
          <w:lang w:val="en-US"/>
        </w:rPr>
        <w:t>7</w:t>
      </w:r>
      <w:r w:rsidRPr="00D03AF9">
        <w:rPr>
          <w:lang w:val="en-US"/>
        </w:rPr>
        <w:tab/>
        <w:t>Rain attenuation</w:t>
      </w:r>
    </w:p>
    <w:p w:rsidR="00F4638D" w:rsidRPr="00E645AC" w:rsidRDefault="00F4638D" w:rsidP="00F4638D">
      <w:pPr>
        <w:rPr>
          <w:lang w:val="en-US"/>
        </w:rPr>
      </w:pPr>
      <w:r w:rsidRPr="00E645AC">
        <w:rPr>
          <w:lang w:val="en-US"/>
        </w:rPr>
        <w:t xml:space="preserve">Specific attenuation (dB/km) due to rain is generally approximated by </w:t>
      </w:r>
      <w:r w:rsidRPr="00E645AC" w:rsidDel="00675AF4">
        <w:rPr>
          <w:lang w:val="en-US"/>
        </w:rPr>
        <w:t>the</w:t>
      </w:r>
      <w:r w:rsidRPr="00E645AC">
        <w:rPr>
          <w:rFonts w:ascii="Times New (W1)" w:hAnsi="Times New (W1)"/>
          <w:lang w:val="en-US"/>
        </w:rPr>
        <w:t xml:space="preserve"> relation</w:t>
      </w:r>
      <w:r w:rsidRPr="00E645AC">
        <w:rPr>
          <w:lang w:val="en-US"/>
        </w:rPr>
        <w:t>:</w:t>
      </w:r>
    </w:p>
    <w:p w:rsidR="00F4638D" w:rsidRPr="00D03AF9" w:rsidRDefault="00F4638D" w:rsidP="00F4638D">
      <w:pPr>
        <w:pStyle w:val="Equation"/>
        <w:rPr>
          <w:lang w:val="en-US"/>
        </w:rPr>
      </w:pPr>
      <w:r w:rsidRPr="00D03AF9">
        <w:rPr>
          <w:lang w:val="en-US"/>
        </w:rPr>
        <w:tab/>
      </w:r>
      <w:r w:rsidRPr="00D03AF9">
        <w:rPr>
          <w:lang w:val="en-US"/>
        </w:rPr>
        <w:tab/>
      </w:r>
      <w:r w:rsidRPr="00295810">
        <w:rPr>
          <w:position w:val="-12"/>
        </w:rPr>
        <w:object w:dxaOrig="1260" w:dyaOrig="440">
          <v:shape id="_x0000_i1042" type="#_x0000_t75" style="width:63pt;height:21.75pt" o:ole="">
            <v:imagedata r:id="rId41" o:title=""/>
          </v:shape>
          <o:OLEObject Type="Embed" ProgID="Equation.3" ShapeID="_x0000_i1042" DrawAspect="Content" ObjectID="_1394025732" r:id="rId42"/>
        </w:object>
      </w:r>
      <w:r w:rsidRPr="00D03AF9">
        <w:rPr>
          <w:lang w:val="en-US"/>
        </w:rPr>
        <w:tab/>
      </w:r>
      <w:r w:rsidRPr="00D03AF9">
        <w:rPr>
          <w:snapToGrid w:val="0"/>
          <w:lang w:val="en-US" w:eastAsia="fr-FR"/>
        </w:rPr>
        <w:t>(10)</w:t>
      </w:r>
    </w:p>
    <w:p w:rsidR="00F4638D" w:rsidRPr="00E645AC" w:rsidRDefault="00F4638D" w:rsidP="00F4638D">
      <w:pPr>
        <w:spacing w:before="240"/>
        <w:rPr>
          <w:lang w:val="en-US"/>
        </w:rPr>
      </w:pPr>
      <w:r w:rsidRPr="00E645AC">
        <w:rPr>
          <w:lang w:val="en-US"/>
        </w:rPr>
        <w:t>Figure 9 illustrates typical variations of the specific attenuation (dB/km) due to precipitation observed in the optical and infrared ranges.</w:t>
      </w:r>
    </w:p>
    <w:p w:rsidR="00F4638D" w:rsidRPr="00D03AF9" w:rsidRDefault="00F4638D" w:rsidP="00F4638D">
      <w:pPr>
        <w:pStyle w:val="FigureNo"/>
        <w:rPr>
          <w:lang w:val="en-US"/>
        </w:rPr>
      </w:pPr>
      <w:r w:rsidRPr="00D03AF9">
        <w:rPr>
          <w:lang w:val="en-US"/>
        </w:rPr>
        <w:t>Figure 9</w:t>
      </w:r>
    </w:p>
    <w:p w:rsidR="00F4638D" w:rsidRPr="00D03AF9" w:rsidRDefault="00F4638D" w:rsidP="00F4638D">
      <w:pPr>
        <w:pStyle w:val="Figuretitle"/>
        <w:rPr>
          <w:lang w:val="en-US"/>
        </w:rPr>
      </w:pPr>
      <w:r w:rsidRPr="00D03AF9">
        <w:rPr>
          <w:lang w:val="en-US"/>
        </w:rPr>
        <w:t>Specific attenuation (dB/km) due to precipitation in optical and infrared ranges</w:t>
      </w:r>
    </w:p>
    <w:p w:rsidR="00F4638D" w:rsidRPr="00295810" w:rsidRDefault="004D3A39" w:rsidP="00E645AC">
      <w:pPr>
        <w:pStyle w:val="Figure"/>
      </w:pPr>
      <w:r>
        <w:pict>
          <v:shape id="_x0000_i1043" type="#_x0000_t75" style="width:316.5pt;height:217.5pt">
            <v:imagedata r:id="rId43" o:title=""/>
          </v:shape>
        </w:pict>
      </w:r>
    </w:p>
    <w:p w:rsidR="00F4638D" w:rsidRPr="00E645AC" w:rsidRDefault="00F4638D" w:rsidP="00F4638D">
      <w:pPr>
        <w:rPr>
          <w:lang w:val="en-US"/>
        </w:rPr>
      </w:pPr>
      <w:r w:rsidRPr="00E645AC">
        <w:rPr>
          <w:lang w:val="en-US"/>
        </w:rPr>
        <w:lastRenderedPageBreak/>
        <w:t>Recommendation ITU</w:t>
      </w:r>
      <w:r w:rsidRPr="00E645AC">
        <w:rPr>
          <w:lang w:val="en-US"/>
        </w:rPr>
        <w:noBreakHyphen/>
        <w:t xml:space="preserve">R P.837 gives the rainfall rate, </w:t>
      </w:r>
      <w:proofErr w:type="spellStart"/>
      <w:r w:rsidRPr="00E645AC">
        <w:rPr>
          <w:i/>
          <w:lang w:val="en-US"/>
        </w:rPr>
        <w:t>R</w:t>
      </w:r>
      <w:r w:rsidRPr="00E645AC">
        <w:rPr>
          <w:i/>
          <w:vertAlign w:val="subscript"/>
          <w:lang w:val="en-US"/>
        </w:rPr>
        <w:t>p</w:t>
      </w:r>
      <w:proofErr w:type="spellEnd"/>
      <w:r w:rsidRPr="00E645AC">
        <w:rPr>
          <w:lang w:val="en-US"/>
        </w:rPr>
        <w:t xml:space="preserve"> (mm/h), exceeded for a given percentage of the average year, </w:t>
      </w:r>
      <w:r w:rsidRPr="00E645AC">
        <w:rPr>
          <w:i/>
          <w:lang w:val="en-US"/>
        </w:rPr>
        <w:t>p</w:t>
      </w:r>
      <w:r w:rsidRPr="00E645AC">
        <w:rPr>
          <w:lang w:val="en-US"/>
        </w:rPr>
        <w:t>, and for any location.</w:t>
      </w:r>
    </w:p>
    <w:p w:rsidR="00F4638D" w:rsidRPr="00D03AF9" w:rsidRDefault="00F4638D" w:rsidP="00F4638D">
      <w:pPr>
        <w:pStyle w:val="Heading1"/>
        <w:rPr>
          <w:lang w:val="en-US"/>
        </w:rPr>
      </w:pPr>
      <w:r w:rsidRPr="00D03AF9">
        <w:rPr>
          <w:lang w:val="en-US"/>
        </w:rPr>
        <w:t>8</w:t>
      </w:r>
      <w:r w:rsidRPr="00D03AF9">
        <w:rPr>
          <w:lang w:val="en-US"/>
        </w:rPr>
        <w:tab/>
        <w:t>Snow attenuation</w:t>
      </w:r>
    </w:p>
    <w:p w:rsidR="00F4638D" w:rsidRPr="00E645AC" w:rsidRDefault="00F4638D" w:rsidP="00F4638D">
      <w:pPr>
        <w:rPr>
          <w:lang w:val="en-US"/>
        </w:rPr>
      </w:pPr>
      <w:r w:rsidRPr="00E645AC">
        <w:rPr>
          <w:lang w:val="en-US"/>
        </w:rPr>
        <w:t>Specific attenuation (dB/km) due to snow as a function of snowfall rate is given by the following relation:</w:t>
      </w:r>
    </w:p>
    <w:p w:rsidR="00F4638D" w:rsidRDefault="00F4638D" w:rsidP="00F4638D">
      <w:pPr>
        <w:pStyle w:val="Blanc"/>
      </w:pPr>
    </w:p>
    <w:p w:rsidR="00F4638D" w:rsidRPr="00D03AF9" w:rsidRDefault="00F4638D" w:rsidP="00F4638D">
      <w:pPr>
        <w:pStyle w:val="Equation"/>
        <w:rPr>
          <w:lang w:val="en-US"/>
        </w:rPr>
      </w:pPr>
      <w:r w:rsidRPr="00D03AF9">
        <w:rPr>
          <w:lang w:val="en-US"/>
        </w:rPr>
        <w:tab/>
      </w:r>
      <w:r w:rsidRPr="00D03AF9">
        <w:rPr>
          <w:lang w:val="en-US"/>
        </w:rPr>
        <w:tab/>
      </w:r>
      <w:r w:rsidRPr="00295810">
        <w:rPr>
          <w:position w:val="-12"/>
        </w:rPr>
        <w:object w:dxaOrig="1320" w:dyaOrig="420">
          <v:shape id="_x0000_i1044" type="#_x0000_t75" style="width:66pt;height:21pt" o:ole="">
            <v:imagedata r:id="rId44" o:title=""/>
          </v:shape>
          <o:OLEObject Type="Embed" ProgID="Equation.3" ShapeID="_x0000_i1044" DrawAspect="Content" ObjectID="_1394025733" r:id="rId45"/>
        </w:object>
      </w:r>
      <w:r w:rsidRPr="00D03AF9">
        <w:rPr>
          <w:lang w:val="en-US"/>
        </w:rPr>
        <w:tab/>
      </w:r>
      <w:r w:rsidRPr="00D03AF9">
        <w:rPr>
          <w:snapToGrid w:val="0"/>
          <w:lang w:val="en-US" w:eastAsia="fr-FR"/>
        </w:rPr>
        <w:t>(11)</w:t>
      </w:r>
    </w:p>
    <w:p w:rsidR="00F4638D" w:rsidRDefault="00F4638D" w:rsidP="00F4638D">
      <w:pPr>
        <w:pStyle w:val="Blanc"/>
      </w:pPr>
    </w:p>
    <w:p w:rsidR="00F4638D" w:rsidRPr="00E645AC" w:rsidRDefault="00F4638D" w:rsidP="00F4638D">
      <w:pPr>
        <w:rPr>
          <w:lang w:val="en-US"/>
        </w:rPr>
      </w:pPr>
      <w:r w:rsidRPr="00E645AC">
        <w:rPr>
          <w:lang w:val="en-US"/>
        </w:rPr>
        <w:t>where:</w:t>
      </w:r>
    </w:p>
    <w:p w:rsidR="00F4638D" w:rsidRPr="00295810" w:rsidRDefault="00F4638D" w:rsidP="00F4638D">
      <w:pPr>
        <w:pStyle w:val="Equationlegend"/>
      </w:pPr>
      <w:r w:rsidRPr="00295810">
        <w:tab/>
      </w:r>
      <w:r w:rsidR="005B27E8" w:rsidRPr="005B27E8">
        <w:rPr>
          <w:position w:val="-10"/>
        </w:rPr>
        <w:object w:dxaOrig="560" w:dyaOrig="320">
          <v:shape id="_x0000_i1045" type="#_x0000_t75" style="width:28.5pt;height:16.5pt" o:ole="">
            <v:imagedata r:id="rId46" o:title=""/>
          </v:shape>
          <o:OLEObject Type="Embed" ProgID="Equation.3" ShapeID="_x0000_i1045" DrawAspect="Content" ObjectID="_1394025734" r:id="rId47"/>
        </w:object>
      </w:r>
      <w:r w:rsidRPr="00295810">
        <w:t>:</w:t>
      </w:r>
      <w:r w:rsidRPr="00295810">
        <w:tab/>
        <w:t xml:space="preserve">specific </w:t>
      </w:r>
      <w:r>
        <w:t>attenuation (dB/km) due to snow;</w:t>
      </w:r>
    </w:p>
    <w:p w:rsidR="00F4638D" w:rsidRPr="00295810" w:rsidRDefault="00F4638D" w:rsidP="00F4638D">
      <w:pPr>
        <w:pStyle w:val="Equationlegend"/>
      </w:pPr>
      <w:r w:rsidRPr="00295810">
        <w:tab/>
      </w:r>
      <w:r w:rsidRPr="00295810">
        <w:rPr>
          <w:i/>
        </w:rPr>
        <w:t>S</w:t>
      </w:r>
      <w:r w:rsidRPr="00295810">
        <w:t>:</w:t>
      </w:r>
      <w:r w:rsidRPr="00295810">
        <w:rPr>
          <w:i/>
        </w:rPr>
        <w:tab/>
      </w:r>
      <w:r w:rsidRPr="00295810">
        <w:t>snowfall rate (mm/h)</w:t>
      </w:r>
      <w:r>
        <w:t>;</w:t>
      </w:r>
    </w:p>
    <w:p w:rsidR="00F4638D" w:rsidRDefault="00F4638D" w:rsidP="00F4638D">
      <w:pPr>
        <w:pStyle w:val="Equationlegend"/>
      </w:pPr>
      <w:r w:rsidRPr="00295810">
        <w:tab/>
      </w:r>
      <w:r w:rsidRPr="00295810">
        <w:rPr>
          <w:i/>
        </w:rPr>
        <w:t>a</w:t>
      </w:r>
      <w:r w:rsidRPr="00295810">
        <w:t xml:space="preserve"> and </w:t>
      </w:r>
      <w:r w:rsidRPr="00295810">
        <w:rPr>
          <w:i/>
        </w:rPr>
        <w:t>b</w:t>
      </w:r>
      <w:r w:rsidRPr="00295810">
        <w:t>:</w:t>
      </w:r>
      <w:r w:rsidRPr="00295810">
        <w:tab/>
        <w:t xml:space="preserve">functions of wavelength, </w:t>
      </w:r>
      <w:r w:rsidRPr="00295810">
        <w:rPr>
          <w:rFonts w:ascii="Symbol" w:hAnsi="Symbol"/>
          <w:iCs/>
        </w:rPr>
        <w:t></w:t>
      </w:r>
      <w:r w:rsidRPr="00295810">
        <w:rPr>
          <w:iCs/>
        </w:rPr>
        <w:t xml:space="preserve"> </w:t>
      </w:r>
      <w:r w:rsidRPr="00295810">
        <w:t>(nm), and are given in Table </w:t>
      </w:r>
      <w:r>
        <w:t>2</w:t>
      </w:r>
      <w:r w:rsidRPr="00295810">
        <w:t>:</w:t>
      </w:r>
    </w:p>
    <w:p w:rsidR="00183BED" w:rsidRDefault="00183BED" w:rsidP="00F4638D">
      <w:pPr>
        <w:pStyle w:val="Equationlegend"/>
      </w:pPr>
    </w:p>
    <w:p w:rsidR="00F4638D" w:rsidRPr="00D03AF9" w:rsidRDefault="00F4638D" w:rsidP="00F4638D">
      <w:pPr>
        <w:pStyle w:val="TableNo"/>
        <w:rPr>
          <w:lang w:val="en-US"/>
        </w:rPr>
      </w:pPr>
      <w:r w:rsidRPr="00D03AF9">
        <w:rPr>
          <w:lang w:val="en-US"/>
        </w:rPr>
        <w:t xml:space="preserve">TABLE </w:t>
      </w:r>
      <w:r>
        <w:rPr>
          <w:lang w:val="en-US"/>
        </w:rPr>
        <w:t>2</w:t>
      </w:r>
    </w:p>
    <w:p w:rsidR="00F4638D" w:rsidRPr="00D03AF9" w:rsidRDefault="00F4638D" w:rsidP="00F4638D">
      <w:pPr>
        <w:pStyle w:val="Tabletitle"/>
        <w:rPr>
          <w:lang w:val="en-US"/>
        </w:rPr>
      </w:pPr>
      <w:r w:rsidRPr="00D03AF9">
        <w:rPr>
          <w:lang w:val="en-US"/>
        </w:rPr>
        <w:t>Parameters “</w:t>
      </w:r>
      <w:r w:rsidRPr="00D03AF9">
        <w:rPr>
          <w:i/>
          <w:iCs/>
          <w:lang w:val="en-US"/>
        </w:rPr>
        <w:t>a</w:t>
      </w:r>
      <w:r w:rsidRPr="00D03AF9">
        <w:rPr>
          <w:lang w:val="en-US"/>
        </w:rPr>
        <w:t>” and “</w:t>
      </w:r>
      <w:r w:rsidRPr="00D03AF9">
        <w:rPr>
          <w:i/>
          <w:iCs/>
          <w:lang w:val="en-US"/>
        </w:rPr>
        <w:t>b</w:t>
      </w:r>
      <w:r w:rsidRPr="00D03AF9">
        <w:rPr>
          <w:lang w:val="en-US"/>
        </w:rPr>
        <w:t>” for wet and dry snow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3"/>
        <w:gridCol w:w="4127"/>
        <w:gridCol w:w="2470"/>
      </w:tblGrid>
      <w:tr w:rsidR="00F4638D" w:rsidRPr="00295810" w:rsidTr="00E0074D">
        <w:trPr>
          <w:jc w:val="center"/>
        </w:trPr>
        <w:tc>
          <w:tcPr>
            <w:tcW w:w="1273" w:type="dxa"/>
          </w:tcPr>
          <w:p w:rsidR="00F4638D" w:rsidRPr="00D03AF9" w:rsidRDefault="00F4638D" w:rsidP="00E0074D">
            <w:pPr>
              <w:pStyle w:val="Tabletext"/>
              <w:jc w:val="center"/>
              <w:rPr>
                <w:lang w:val="en-US"/>
              </w:rPr>
            </w:pPr>
          </w:p>
        </w:tc>
        <w:tc>
          <w:tcPr>
            <w:tcW w:w="4127" w:type="dxa"/>
          </w:tcPr>
          <w:p w:rsidR="00F4638D" w:rsidRPr="00295810" w:rsidRDefault="00F4638D" w:rsidP="00E0074D">
            <w:pPr>
              <w:pStyle w:val="Tabletext"/>
              <w:jc w:val="center"/>
              <w:rPr>
                <w:b/>
                <w:i/>
                <w:iCs/>
              </w:rPr>
            </w:pPr>
            <w:r w:rsidRPr="00295810">
              <w:rPr>
                <w:b/>
                <w:i/>
                <w:iCs/>
              </w:rPr>
              <w:t>a</w:t>
            </w:r>
          </w:p>
        </w:tc>
        <w:tc>
          <w:tcPr>
            <w:tcW w:w="2470" w:type="dxa"/>
          </w:tcPr>
          <w:p w:rsidR="00F4638D" w:rsidRPr="00295810" w:rsidRDefault="00F4638D" w:rsidP="00E0074D">
            <w:pPr>
              <w:pStyle w:val="Tabletext"/>
              <w:jc w:val="center"/>
              <w:rPr>
                <w:b/>
                <w:i/>
                <w:iCs/>
              </w:rPr>
            </w:pPr>
            <w:r w:rsidRPr="00295810">
              <w:rPr>
                <w:b/>
                <w:i/>
                <w:iCs/>
              </w:rPr>
              <w:t>b</w:t>
            </w:r>
          </w:p>
        </w:tc>
      </w:tr>
      <w:tr w:rsidR="00F4638D" w:rsidRPr="00295810" w:rsidTr="00E0074D">
        <w:trPr>
          <w:jc w:val="center"/>
        </w:trPr>
        <w:tc>
          <w:tcPr>
            <w:tcW w:w="1273" w:type="dxa"/>
          </w:tcPr>
          <w:p w:rsidR="00F4638D" w:rsidRPr="00295810" w:rsidRDefault="00F4638D" w:rsidP="00E0074D">
            <w:pPr>
              <w:pStyle w:val="Tabletext"/>
              <w:jc w:val="center"/>
            </w:pPr>
            <w:proofErr w:type="spellStart"/>
            <w:r w:rsidRPr="00295810">
              <w:t>Wet</w:t>
            </w:r>
            <w:proofErr w:type="spellEnd"/>
            <w:r w:rsidRPr="00295810">
              <w:t xml:space="preserve"> </w:t>
            </w:r>
            <w:proofErr w:type="spellStart"/>
            <w:r w:rsidRPr="00295810">
              <w:t>snow</w:t>
            </w:r>
            <w:proofErr w:type="spellEnd"/>
          </w:p>
        </w:tc>
        <w:tc>
          <w:tcPr>
            <w:tcW w:w="4127" w:type="dxa"/>
          </w:tcPr>
          <w:p w:rsidR="00F4638D" w:rsidRPr="00295810" w:rsidRDefault="00F4638D" w:rsidP="00E0074D">
            <w:pPr>
              <w:pStyle w:val="Tabletext"/>
              <w:jc w:val="center"/>
            </w:pPr>
            <w:r w:rsidRPr="00295810">
              <w:t>0.0001023</w:t>
            </w:r>
            <w:r w:rsidRPr="00295810">
              <w:rPr>
                <w:rFonts w:ascii="Symbol" w:hAnsi="Symbol"/>
              </w:rPr>
              <w:t></w:t>
            </w:r>
            <w:r w:rsidRPr="00295810">
              <w:rPr>
                <w:i/>
                <w:iCs/>
                <w:vertAlign w:val="subscript"/>
              </w:rPr>
              <w:t>nm</w:t>
            </w:r>
            <w:r w:rsidRPr="00295810">
              <w:t xml:space="preserve"> + 3.7855466</w:t>
            </w:r>
          </w:p>
        </w:tc>
        <w:tc>
          <w:tcPr>
            <w:tcW w:w="2470" w:type="dxa"/>
          </w:tcPr>
          <w:p w:rsidR="00F4638D" w:rsidRPr="00295810" w:rsidRDefault="00F4638D" w:rsidP="00E0074D">
            <w:pPr>
              <w:pStyle w:val="Tabletext"/>
              <w:jc w:val="center"/>
            </w:pPr>
            <w:r w:rsidRPr="00295810">
              <w:t>0.72</w:t>
            </w:r>
          </w:p>
        </w:tc>
      </w:tr>
      <w:tr w:rsidR="00F4638D" w:rsidRPr="00295810" w:rsidTr="00E0074D">
        <w:trPr>
          <w:jc w:val="center"/>
        </w:trPr>
        <w:tc>
          <w:tcPr>
            <w:tcW w:w="1273" w:type="dxa"/>
          </w:tcPr>
          <w:p w:rsidR="00F4638D" w:rsidRPr="00295810" w:rsidRDefault="00F4638D" w:rsidP="00E0074D">
            <w:pPr>
              <w:pStyle w:val="Tabletext"/>
              <w:jc w:val="center"/>
            </w:pPr>
            <w:r w:rsidRPr="00295810">
              <w:t xml:space="preserve">Dry </w:t>
            </w:r>
            <w:proofErr w:type="spellStart"/>
            <w:r w:rsidRPr="00295810">
              <w:t>snow</w:t>
            </w:r>
            <w:proofErr w:type="spellEnd"/>
          </w:p>
        </w:tc>
        <w:tc>
          <w:tcPr>
            <w:tcW w:w="4127" w:type="dxa"/>
          </w:tcPr>
          <w:p w:rsidR="00F4638D" w:rsidRPr="00295810" w:rsidRDefault="00F4638D" w:rsidP="00E0074D">
            <w:pPr>
              <w:pStyle w:val="Tabletext"/>
              <w:jc w:val="center"/>
            </w:pPr>
            <w:r w:rsidRPr="00295810">
              <w:t>0.0000542</w:t>
            </w:r>
            <w:r w:rsidRPr="00295810">
              <w:rPr>
                <w:rFonts w:ascii="Symbol" w:hAnsi="Symbol"/>
              </w:rPr>
              <w:t></w:t>
            </w:r>
            <w:r w:rsidRPr="00295810">
              <w:rPr>
                <w:i/>
                <w:iCs/>
                <w:vertAlign w:val="subscript"/>
              </w:rPr>
              <w:t>nm</w:t>
            </w:r>
            <w:r w:rsidRPr="00295810">
              <w:t xml:space="preserve"> + 5.4958776</w:t>
            </w:r>
          </w:p>
        </w:tc>
        <w:tc>
          <w:tcPr>
            <w:tcW w:w="2470" w:type="dxa"/>
          </w:tcPr>
          <w:p w:rsidR="00F4638D" w:rsidRPr="00295810" w:rsidRDefault="00F4638D" w:rsidP="00E0074D">
            <w:pPr>
              <w:pStyle w:val="Tabletext"/>
              <w:jc w:val="center"/>
            </w:pPr>
            <w:r w:rsidRPr="00295810">
              <w:t>1.38</w:t>
            </w:r>
          </w:p>
        </w:tc>
      </w:tr>
    </w:tbl>
    <w:p w:rsidR="00F4638D" w:rsidRDefault="00F4638D" w:rsidP="00F4638D">
      <w:pPr>
        <w:pStyle w:val="Tablefin"/>
      </w:pPr>
    </w:p>
    <w:p w:rsidR="00F4638D" w:rsidRPr="00E15FDD" w:rsidRDefault="00F4638D" w:rsidP="00F4638D"/>
    <w:p w:rsidR="00F4638D" w:rsidRDefault="00F4638D" w:rsidP="00F4638D">
      <w:pPr>
        <w:rPr>
          <w:lang w:val="en-US"/>
        </w:rPr>
      </w:pPr>
      <w:r w:rsidRPr="00C31BE0">
        <w:rPr>
          <w:lang w:val="en-US"/>
        </w:rPr>
        <w:t xml:space="preserve">The estimated attenuation as a function of snowfall rate for </w:t>
      </w:r>
      <w:r w:rsidRPr="00295810">
        <w:rPr>
          <w:rFonts w:ascii="Symbol" w:hAnsi="Symbol"/>
          <w:iCs/>
        </w:rPr>
        <w:t></w:t>
      </w:r>
      <w:r w:rsidRPr="00C31BE0">
        <w:rPr>
          <w:rFonts w:ascii="CG Times (W1)" w:hAnsi="CG Times (W1)"/>
          <w:lang w:val="en-US"/>
        </w:rPr>
        <w:t> </w:t>
      </w:r>
      <w:r w:rsidRPr="00C31BE0">
        <w:rPr>
          <w:lang w:val="en-US"/>
        </w:rPr>
        <w:t>= 1.55 </w:t>
      </w:r>
      <w:r w:rsidRPr="00295810">
        <w:t>μ</w:t>
      </w:r>
      <w:r w:rsidRPr="00C31BE0">
        <w:rPr>
          <w:lang w:val="en-US"/>
        </w:rPr>
        <w:t>m is shown in Figs. 10 and 11.</w:t>
      </w:r>
    </w:p>
    <w:p w:rsidR="00183BED" w:rsidRDefault="00183BED" w:rsidP="00F4638D">
      <w:pPr>
        <w:rPr>
          <w:lang w:val="en-US"/>
        </w:rPr>
      </w:pPr>
    </w:p>
    <w:p w:rsidR="00F4638D" w:rsidRPr="00D03AF9" w:rsidRDefault="00F4638D" w:rsidP="00F4638D">
      <w:pPr>
        <w:pStyle w:val="FigureNo"/>
        <w:rPr>
          <w:lang w:val="en-US"/>
        </w:rPr>
      </w:pPr>
      <w:r w:rsidRPr="00D03AF9">
        <w:rPr>
          <w:lang w:val="en-US"/>
        </w:rPr>
        <w:t>FIGURE 10</w:t>
      </w:r>
    </w:p>
    <w:p w:rsidR="00F4638D" w:rsidRPr="00D03AF9" w:rsidRDefault="00F4638D" w:rsidP="00F4638D">
      <w:pPr>
        <w:pStyle w:val="Figuretitle"/>
        <w:rPr>
          <w:lang w:val="en-US"/>
        </w:rPr>
      </w:pPr>
      <w:r w:rsidRPr="00D03AF9">
        <w:rPr>
          <w:lang w:val="en-US"/>
        </w:rPr>
        <w:t xml:space="preserve">Wet snow attenuation vs. snowfall precipitation rate for </w:t>
      </w:r>
      <w:r w:rsidRPr="00295810">
        <w:rPr>
          <w:rFonts w:ascii="Symbol" w:hAnsi="Symbol"/>
        </w:rPr>
        <w:t></w:t>
      </w:r>
      <w:r w:rsidRPr="00D03AF9">
        <w:rPr>
          <w:lang w:val="en-US"/>
        </w:rPr>
        <w:t xml:space="preserve"> = 1.55 </w:t>
      </w:r>
      <w:r w:rsidRPr="00295810">
        <w:rPr>
          <w:bCs/>
        </w:rPr>
        <w:t>μ</w:t>
      </w:r>
      <w:r w:rsidRPr="00D03AF9">
        <w:rPr>
          <w:lang w:val="en-US"/>
        </w:rPr>
        <w:t>m</w:t>
      </w:r>
    </w:p>
    <w:p w:rsidR="00F4638D" w:rsidRDefault="004D3A39" w:rsidP="00F4638D">
      <w:pPr>
        <w:pStyle w:val="Figure"/>
        <w:keepLines w:val="0"/>
      </w:pPr>
      <w:r>
        <w:pict>
          <v:shape id="_x0000_i1046" type="#_x0000_t75" style="width:312pt;height:162pt">
            <v:imagedata r:id="rId48" o:title=""/>
          </v:shape>
        </w:pict>
      </w:r>
    </w:p>
    <w:p w:rsidR="00F4638D" w:rsidRPr="00D03AF9" w:rsidRDefault="00F4638D" w:rsidP="00F4638D">
      <w:pPr>
        <w:pStyle w:val="FigureNo"/>
        <w:rPr>
          <w:lang w:val="en-US"/>
        </w:rPr>
      </w:pPr>
      <w:r w:rsidRPr="00D03AF9">
        <w:rPr>
          <w:lang w:val="en-US"/>
        </w:rPr>
        <w:lastRenderedPageBreak/>
        <w:t>FIGURE 11</w:t>
      </w:r>
    </w:p>
    <w:p w:rsidR="00F4638D" w:rsidRPr="00D03AF9" w:rsidRDefault="00F4638D" w:rsidP="00F4638D">
      <w:pPr>
        <w:pStyle w:val="Figuretitle"/>
        <w:rPr>
          <w:lang w:val="en-US"/>
        </w:rPr>
      </w:pPr>
      <w:r w:rsidRPr="00D03AF9">
        <w:rPr>
          <w:lang w:val="en-US"/>
        </w:rPr>
        <w:t xml:space="preserve">Dry snow attenuation vs. snowfall precipitation rate for </w:t>
      </w:r>
      <w:r w:rsidRPr="00295810">
        <w:rPr>
          <w:rFonts w:ascii="Symbol" w:hAnsi="Symbol"/>
        </w:rPr>
        <w:t></w:t>
      </w:r>
      <w:r w:rsidRPr="00D03AF9">
        <w:rPr>
          <w:rFonts w:ascii="CG Times (W1)" w:hAnsi="CG Times (W1)"/>
          <w:lang w:val="en-US"/>
        </w:rPr>
        <w:t xml:space="preserve"> </w:t>
      </w:r>
      <w:r w:rsidRPr="00D03AF9">
        <w:rPr>
          <w:lang w:val="en-US"/>
        </w:rPr>
        <w:t xml:space="preserve">= 1.55 </w:t>
      </w:r>
      <w:r w:rsidRPr="00295810">
        <w:rPr>
          <w:bCs/>
        </w:rPr>
        <w:t>μ</w:t>
      </w:r>
      <w:r w:rsidRPr="00D03AF9">
        <w:rPr>
          <w:lang w:val="en-US"/>
        </w:rPr>
        <w:t>m</w:t>
      </w:r>
    </w:p>
    <w:p w:rsidR="00F4638D" w:rsidRDefault="004D3A39" w:rsidP="00F4638D">
      <w:pPr>
        <w:pStyle w:val="Figure"/>
      </w:pPr>
      <w:bookmarkStart w:id="14" w:name="_Toc85359505"/>
      <w:r>
        <w:pict>
          <v:shape id="_x0000_i1047" type="#_x0000_t75" style="width:311.25pt;height:160.5pt">
            <v:imagedata r:id="rId49" o:title=""/>
          </v:shape>
        </w:pict>
      </w:r>
    </w:p>
    <w:p w:rsidR="00F4638D" w:rsidRPr="00D03AF9" w:rsidRDefault="00F4638D" w:rsidP="00F4638D">
      <w:pPr>
        <w:pStyle w:val="Heading1"/>
        <w:rPr>
          <w:lang w:val="en-US"/>
        </w:rPr>
      </w:pPr>
      <w:r w:rsidRPr="00D03AF9">
        <w:rPr>
          <w:lang w:val="en-US"/>
        </w:rPr>
        <w:t>9</w:t>
      </w:r>
      <w:r w:rsidRPr="00D03AF9">
        <w:rPr>
          <w:lang w:val="en-US"/>
        </w:rPr>
        <w:tab/>
        <w:t xml:space="preserve">Ambient light </w:t>
      </w:r>
      <w:bookmarkEnd w:id="14"/>
      <w:r w:rsidRPr="00D03AF9">
        <w:rPr>
          <w:lang w:val="en-US"/>
        </w:rPr>
        <w:t>effect</w:t>
      </w:r>
    </w:p>
    <w:p w:rsidR="00F4638D" w:rsidRPr="00C31BE0" w:rsidRDefault="00F4638D" w:rsidP="00F4638D">
      <w:pPr>
        <w:rPr>
          <w:lang w:val="en-US"/>
        </w:rPr>
      </w:pPr>
      <w:r w:rsidRPr="00E645AC">
        <w:rPr>
          <w:lang w:val="en-US"/>
        </w:rPr>
        <w:t xml:space="preserve">Solar conjunction occurs when the sun or a reflected image of the sun is in or near the instantaneous field of view (IFOV) of an optical receiver. The receive IFOV is generally at least as large as the transmit divergence. </w:t>
      </w:r>
      <w:r w:rsidRPr="00C31BE0">
        <w:rPr>
          <w:lang w:val="en-US"/>
        </w:rPr>
        <w:t>The aim is to calculate the probability for which the sun position is parallel to the optical link, and the sun power penetrating inside the receiver is greater than the power received from the emitter. A method to estimate this effect is found in Re</w:t>
      </w:r>
      <w:r>
        <w:rPr>
          <w:lang w:val="en-US"/>
        </w:rPr>
        <w:t>commendation</w:t>
      </w:r>
      <w:r w:rsidRPr="00C31BE0">
        <w:rPr>
          <w:lang w:val="en-US"/>
        </w:rPr>
        <w:t xml:space="preserve"> ITU-R P.</w:t>
      </w:r>
      <w:r>
        <w:rPr>
          <w:lang w:val="en-US"/>
        </w:rPr>
        <w:t>1814</w:t>
      </w:r>
      <w:r w:rsidRPr="00C31BE0">
        <w:rPr>
          <w:lang w:val="en-US"/>
        </w:rPr>
        <w:t>.</w:t>
      </w:r>
    </w:p>
    <w:p w:rsidR="00F4638D" w:rsidRPr="00D03AF9" w:rsidRDefault="00F4638D" w:rsidP="00F4638D">
      <w:pPr>
        <w:pStyle w:val="Heading1"/>
        <w:rPr>
          <w:lang w:val="en-US"/>
        </w:rPr>
      </w:pPr>
      <w:r w:rsidRPr="00D03AF9">
        <w:rPr>
          <w:lang w:val="en-US"/>
        </w:rPr>
        <w:t>10</w:t>
      </w:r>
      <w:r w:rsidRPr="00D03AF9">
        <w:rPr>
          <w:lang w:val="en-US"/>
        </w:rPr>
        <w:tab/>
      </w:r>
      <w:r w:rsidRPr="00D03AF9">
        <w:rPr>
          <w:lang w:val="en-US"/>
        </w:rPr>
        <w:tab/>
        <w:t>Cumulative distribution of attenuation</w:t>
      </w:r>
    </w:p>
    <w:p w:rsidR="00F4638D" w:rsidRPr="00E645AC" w:rsidRDefault="00F4638D" w:rsidP="00E645AC">
      <w:pPr>
        <w:rPr>
          <w:lang w:val="en-US"/>
        </w:rPr>
      </w:pPr>
      <w:bookmarkStart w:id="15" w:name="_Toc85359508"/>
      <w:r w:rsidRPr="00E645AC">
        <w:rPr>
          <w:lang w:val="en-US"/>
        </w:rPr>
        <w:t xml:space="preserve">Cumulative distributions of attenuation measured at 860 nm on a </w:t>
      </w:r>
      <w:r w:rsidRPr="00E645AC">
        <w:rPr>
          <w:lang w:val="en-US" w:eastAsia="zh-CN"/>
        </w:rPr>
        <w:t>853</w:t>
      </w:r>
      <w:r w:rsidRPr="00E645AC">
        <w:rPr>
          <w:lang w:val="en-US"/>
        </w:rPr>
        <w:t xml:space="preserve">m path due to: all hydrometeors, fog, rain, rain + snow, and snow in Prague, Czech Republic, during a </w:t>
      </w:r>
      <w:r w:rsidRPr="00E645AC">
        <w:rPr>
          <w:lang w:val="en-US" w:eastAsia="zh-CN"/>
        </w:rPr>
        <w:t>6-year</w:t>
      </w:r>
      <w:r w:rsidRPr="00E645AC" w:rsidDel="004572EA">
        <w:rPr>
          <w:lang w:val="en-US"/>
        </w:rPr>
        <w:t xml:space="preserve"> </w:t>
      </w:r>
      <w:r w:rsidRPr="00E645AC">
        <w:rPr>
          <w:lang w:val="en-US"/>
        </w:rPr>
        <w:t>period are shown in Fig. 12. All fading events were classified according to the meteorological conditions causing a particular fade event. The meteorological conditions were identified using a camera image of the area between the transmitter and the receiver and using data obtained from an automatic meteorological station located near the receiver. Fading events caused by fog and by snow were the most serious.</w:t>
      </w:r>
    </w:p>
    <w:p w:rsidR="00F4638D" w:rsidRPr="00D03AF9" w:rsidRDefault="00F4638D" w:rsidP="00F4638D">
      <w:pPr>
        <w:pStyle w:val="Heading1"/>
        <w:rPr>
          <w:lang w:val="en-US"/>
        </w:rPr>
      </w:pPr>
      <w:r w:rsidRPr="00D03AF9">
        <w:rPr>
          <w:lang w:val="en-US"/>
        </w:rPr>
        <w:t>11</w:t>
      </w:r>
      <w:r w:rsidRPr="00D03AF9">
        <w:rPr>
          <w:lang w:val="en-US"/>
        </w:rPr>
        <w:tab/>
        <w:t>Hybrid/FSO systems</w:t>
      </w:r>
    </w:p>
    <w:p w:rsidR="00F4638D" w:rsidRPr="00E15FDD" w:rsidRDefault="00F4638D" w:rsidP="00F4638D">
      <w:pPr>
        <w:rPr>
          <w:lang w:val="en-US"/>
        </w:rPr>
      </w:pPr>
      <w:r w:rsidRPr="00E15FDD">
        <w:rPr>
          <w:lang w:val="en-US"/>
        </w:rPr>
        <w:t>Figure 1</w:t>
      </w:r>
      <w:r>
        <w:rPr>
          <w:lang w:val="en-US"/>
        </w:rPr>
        <w:t>3</w:t>
      </w:r>
      <w:r w:rsidRPr="00E15FDD">
        <w:rPr>
          <w:lang w:val="en-US"/>
        </w:rPr>
        <w:t xml:space="preserve"> compares attenuation measurements at 58 GHz and an optical link on the same path due to all hydrometeors and rain only. The optical path had less attenuation than the </w:t>
      </w:r>
      <w:proofErr w:type="spellStart"/>
      <w:r w:rsidRPr="00E15FDD">
        <w:rPr>
          <w:lang w:val="en-US"/>
        </w:rPr>
        <w:t>millimetre</w:t>
      </w:r>
      <w:proofErr w:type="spellEnd"/>
      <w:r w:rsidRPr="00E15FDD">
        <w:rPr>
          <w:lang w:val="en-US"/>
        </w:rPr>
        <w:t xml:space="preserve"> wave path during rain events. Hybrid radio/optical (RF/FSO) systems can improve FSO link performance by taking advantage of the fact that an RF path is attenuated by </w:t>
      </w:r>
      <w:r>
        <w:rPr>
          <w:lang w:val="en-US"/>
        </w:rPr>
        <w:t>rain but insensitive to fog. In </w:t>
      </w:r>
      <w:r w:rsidRPr="00E15FDD">
        <w:rPr>
          <w:lang w:val="en-US"/>
        </w:rPr>
        <w:t xml:space="preserve">contrast, an optical path is heavily attenuated by fog and is relatively insensitive to rain. </w:t>
      </w:r>
    </w:p>
    <w:p w:rsidR="00F4638D" w:rsidRPr="00214386" w:rsidRDefault="00F4638D" w:rsidP="00F4638D">
      <w:pPr>
        <w:rPr>
          <w:lang w:val="en-US"/>
        </w:rPr>
      </w:pPr>
      <w:r w:rsidRPr="00E15FDD">
        <w:rPr>
          <w:lang w:val="en-US"/>
        </w:rPr>
        <w:t>Annual cumulative distributions depicted in Fig. 13 give an est</w:t>
      </w:r>
      <w:r>
        <w:rPr>
          <w:lang w:val="en-US"/>
        </w:rPr>
        <w:t>imation of the performance of a </w:t>
      </w:r>
      <w:r w:rsidRPr="00E15FDD">
        <w:rPr>
          <w:lang w:val="en-US"/>
        </w:rPr>
        <w:t xml:space="preserve">hypothetical hybrid RF/FSO system. Consider a hybrid system where the RF and optical paths have the same fade margin, </w:t>
      </w:r>
      <w:r w:rsidRPr="00E15FDD">
        <w:rPr>
          <w:i/>
          <w:lang w:val="en-US"/>
        </w:rPr>
        <w:t>FM</w:t>
      </w:r>
      <w:r w:rsidRPr="00E15FDD">
        <w:rPr>
          <w:lang w:val="en-US"/>
        </w:rPr>
        <w:t> = </w:t>
      </w:r>
      <w:r w:rsidRPr="00E645AC">
        <w:rPr>
          <w:lang w:val="en-US" w:eastAsia="zh-CN"/>
        </w:rPr>
        <w:t xml:space="preserve">18 </w:t>
      </w:r>
      <w:proofErr w:type="spellStart"/>
      <w:r w:rsidRPr="00E645AC">
        <w:rPr>
          <w:lang w:val="en-US" w:eastAsia="zh-CN"/>
        </w:rPr>
        <w:t>dB</w:t>
      </w:r>
      <w:r w:rsidRPr="00E15FDD">
        <w:rPr>
          <w:lang w:val="en-US"/>
        </w:rPr>
        <w:t>.</w:t>
      </w:r>
      <w:proofErr w:type="spellEnd"/>
      <w:r w:rsidRPr="00E15FDD">
        <w:rPr>
          <w:lang w:val="en-US"/>
        </w:rPr>
        <w:t xml:space="preserve"> </w:t>
      </w:r>
      <w:r w:rsidRPr="00C31BE0">
        <w:rPr>
          <w:lang w:val="en-US"/>
        </w:rPr>
        <w:t xml:space="preserve">A simple diversity technique is used, so either the RF or FSO part of the system is active depending on the instantaneous values of the RF and optical path attenuation. </w:t>
      </w:r>
      <w:r w:rsidRPr="00E15FDD">
        <w:rPr>
          <w:lang w:val="en-US"/>
        </w:rPr>
        <w:t xml:space="preserve">It is assumed that the RF part of the system mitigates non-rain events, and the FSO part mitigates rain events. </w:t>
      </w:r>
      <w:r w:rsidRPr="00214386">
        <w:rPr>
          <w:lang w:val="en-US"/>
        </w:rPr>
        <w:t>The availability ratio (AR) of the hybrid system is estimated from the FSO rain statistics as shown in Table 3.</w:t>
      </w:r>
    </w:p>
    <w:p w:rsidR="00F4638D" w:rsidRPr="000D6C75" w:rsidRDefault="00F4638D" w:rsidP="00F4638D">
      <w:pPr>
        <w:pStyle w:val="FigureNo"/>
        <w:rPr>
          <w:lang w:eastAsia="zh-CN"/>
        </w:rPr>
      </w:pPr>
      <w:r w:rsidRPr="000D6C75">
        <w:rPr>
          <w:lang w:eastAsia="zh-CN"/>
        </w:rPr>
        <w:lastRenderedPageBreak/>
        <w:t>FIGURE 12</w:t>
      </w:r>
    </w:p>
    <w:p w:rsidR="00F4638D" w:rsidRPr="000D6C75" w:rsidRDefault="00F4638D" w:rsidP="00E645AC">
      <w:pPr>
        <w:pStyle w:val="Figuretitle"/>
        <w:rPr>
          <w:lang w:eastAsia="zh-CN"/>
        </w:rPr>
      </w:pPr>
      <w:r w:rsidRPr="000D6C75">
        <w:rPr>
          <w:lang w:eastAsia="zh-CN"/>
        </w:rPr>
        <w:t xml:space="preserve">Cumulative </w:t>
      </w:r>
      <w:proofErr w:type="spellStart"/>
      <w:r w:rsidRPr="000D6C75">
        <w:rPr>
          <w:lang w:eastAsia="zh-CN"/>
        </w:rPr>
        <w:t>attenuation</w:t>
      </w:r>
      <w:proofErr w:type="spellEnd"/>
      <w:r w:rsidRPr="000D6C75">
        <w:rPr>
          <w:lang w:eastAsia="zh-CN"/>
        </w:rPr>
        <w:t xml:space="preserve"> distributions for </w:t>
      </w:r>
      <w:proofErr w:type="spellStart"/>
      <w:r w:rsidRPr="000D6C75">
        <w:rPr>
          <w:lang w:eastAsia="zh-CN"/>
        </w:rPr>
        <w:t>different</w:t>
      </w:r>
      <w:proofErr w:type="spellEnd"/>
      <w:r w:rsidRPr="000D6C75">
        <w:rPr>
          <w:lang w:eastAsia="zh-CN"/>
        </w:rPr>
        <w:t xml:space="preserve"> </w:t>
      </w:r>
      <w:proofErr w:type="spellStart"/>
      <w:r w:rsidRPr="000D6C75">
        <w:rPr>
          <w:lang w:eastAsia="zh-CN"/>
        </w:rPr>
        <w:t>path</w:t>
      </w:r>
      <w:proofErr w:type="spellEnd"/>
      <w:r w:rsidRPr="000D6C75">
        <w:rPr>
          <w:lang w:eastAsia="zh-CN"/>
        </w:rPr>
        <w:t xml:space="preserve"> conditions</w:t>
      </w:r>
    </w:p>
    <w:p w:rsidR="00F4638D" w:rsidRDefault="004D3A39" w:rsidP="00E645AC">
      <w:pPr>
        <w:pStyle w:val="Figure"/>
      </w:pPr>
      <w:r>
        <w:pict>
          <v:shape id="_x0000_i1048" type="#_x0000_t75" style="width:335.25pt;height:217.5pt">
            <v:imagedata r:id="rId50" o:title=""/>
          </v:shape>
        </w:pict>
      </w:r>
    </w:p>
    <w:p w:rsidR="00183BED" w:rsidRDefault="00183BED" w:rsidP="00183BED">
      <w:pPr>
        <w:rPr>
          <w:lang w:val="en-US" w:eastAsia="zh-CN"/>
        </w:rPr>
      </w:pPr>
    </w:p>
    <w:p w:rsidR="00183BED" w:rsidRDefault="00183BED" w:rsidP="00183BED">
      <w:pPr>
        <w:rPr>
          <w:lang w:val="en-US" w:eastAsia="zh-CN"/>
        </w:rPr>
      </w:pPr>
    </w:p>
    <w:p w:rsidR="00F4638D" w:rsidRPr="00E645AC" w:rsidRDefault="00F4638D" w:rsidP="00E645AC">
      <w:pPr>
        <w:pStyle w:val="FigureNo"/>
        <w:rPr>
          <w:lang w:val="en-US" w:eastAsia="zh-CN"/>
        </w:rPr>
      </w:pPr>
      <w:r w:rsidRPr="00E645AC">
        <w:rPr>
          <w:lang w:val="en-US" w:eastAsia="zh-CN"/>
        </w:rPr>
        <w:t>FIGURE 13</w:t>
      </w:r>
    </w:p>
    <w:p w:rsidR="00F4638D" w:rsidRPr="00E645AC" w:rsidRDefault="00F4638D" w:rsidP="00E645AC">
      <w:pPr>
        <w:pStyle w:val="Figuretitle"/>
        <w:rPr>
          <w:lang w:val="en-US" w:eastAsia="zh-CN"/>
        </w:rPr>
      </w:pPr>
      <w:r w:rsidRPr="00E645AC">
        <w:rPr>
          <w:lang w:val="en-US" w:eastAsia="zh-CN"/>
        </w:rPr>
        <w:t>RF and FSO attenuations exceeded for different time percentages</w:t>
      </w:r>
    </w:p>
    <w:p w:rsidR="00F4638D" w:rsidRDefault="004D3A39" w:rsidP="00E645AC">
      <w:pPr>
        <w:pStyle w:val="Figure"/>
        <w:rPr>
          <w:lang w:val="en-US"/>
        </w:rPr>
      </w:pPr>
      <w:r>
        <w:rPr>
          <w:lang w:val="en-US"/>
        </w:rPr>
        <w:pict>
          <v:shape id="_x0000_i1049" type="#_x0000_t75" style="width:349.5pt;height:228pt">
            <v:imagedata r:id="rId51" o:title=""/>
          </v:shape>
        </w:pict>
      </w:r>
    </w:p>
    <w:p w:rsidR="00183BED" w:rsidRDefault="00183BED" w:rsidP="00F4638D">
      <w:pPr>
        <w:pStyle w:val="TableNo"/>
        <w:rPr>
          <w:lang w:val="en-US"/>
        </w:rPr>
      </w:pPr>
      <w:r>
        <w:rPr>
          <w:lang w:val="en-US"/>
        </w:rPr>
        <w:br w:type="page"/>
      </w:r>
    </w:p>
    <w:p w:rsidR="00F4638D" w:rsidRPr="00D03AF9" w:rsidRDefault="00F4638D" w:rsidP="00F4638D">
      <w:pPr>
        <w:pStyle w:val="TableNo"/>
        <w:rPr>
          <w:lang w:val="en-US"/>
        </w:rPr>
      </w:pPr>
      <w:r w:rsidRPr="00D03AF9">
        <w:rPr>
          <w:lang w:val="en-US"/>
        </w:rPr>
        <w:lastRenderedPageBreak/>
        <w:t xml:space="preserve">TABLE </w:t>
      </w:r>
      <w:r>
        <w:rPr>
          <w:lang w:val="en-US"/>
        </w:rPr>
        <w:t>3</w:t>
      </w:r>
    </w:p>
    <w:p w:rsidR="00F4638D" w:rsidRPr="00D03AF9" w:rsidRDefault="00F4638D" w:rsidP="00E645AC">
      <w:pPr>
        <w:pStyle w:val="Tabletitle"/>
        <w:rPr>
          <w:lang w:val="en-US"/>
        </w:rPr>
      </w:pPr>
      <w:r w:rsidRPr="00D03AF9">
        <w:rPr>
          <w:lang w:val="en-US"/>
        </w:rPr>
        <w:t>Availability ratio comparison of RF, FSO</w:t>
      </w:r>
      <w:r w:rsidR="00E645AC">
        <w:rPr>
          <w:lang w:val="en-US"/>
        </w:rPr>
        <w:br/>
      </w:r>
      <w:r w:rsidRPr="00D03AF9">
        <w:rPr>
          <w:lang w:val="en-US"/>
        </w:rPr>
        <w:t>and hypothetical RF/FSO hybrid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F4638D" w:rsidRPr="00295810" w:rsidTr="00E645AC">
        <w:trPr>
          <w:trHeight w:val="312"/>
          <w:jc w:val="center"/>
        </w:trPr>
        <w:tc>
          <w:tcPr>
            <w:tcW w:w="2835" w:type="dxa"/>
            <w:tcBorders>
              <w:top w:val="single" w:sz="4" w:space="0" w:color="auto"/>
              <w:left w:val="single" w:sz="4" w:space="0" w:color="auto"/>
              <w:bottom w:val="single" w:sz="4" w:space="0" w:color="auto"/>
              <w:right w:val="single" w:sz="4" w:space="0" w:color="auto"/>
            </w:tcBorders>
          </w:tcPr>
          <w:p w:rsidR="00F4638D" w:rsidRPr="00295810" w:rsidRDefault="00F4638D" w:rsidP="00E0074D">
            <w:pPr>
              <w:pStyle w:val="Tablehead"/>
            </w:pPr>
            <w:r w:rsidRPr="00295810">
              <w:t>System</w:t>
            </w:r>
          </w:p>
        </w:tc>
        <w:tc>
          <w:tcPr>
            <w:tcW w:w="2835" w:type="dxa"/>
            <w:tcBorders>
              <w:top w:val="single" w:sz="4" w:space="0" w:color="auto"/>
              <w:left w:val="single" w:sz="4" w:space="0" w:color="auto"/>
              <w:bottom w:val="single" w:sz="4" w:space="0" w:color="auto"/>
              <w:right w:val="single" w:sz="4" w:space="0" w:color="auto"/>
            </w:tcBorders>
          </w:tcPr>
          <w:p w:rsidR="00F4638D" w:rsidRPr="00295810" w:rsidRDefault="00F4638D" w:rsidP="00E0074D">
            <w:pPr>
              <w:pStyle w:val="Tablehead"/>
            </w:pPr>
            <w:r w:rsidRPr="00295810">
              <w:t>AR (%)</w:t>
            </w:r>
          </w:p>
        </w:tc>
      </w:tr>
      <w:tr w:rsidR="00F4638D" w:rsidRPr="00295810" w:rsidTr="00E645AC">
        <w:trPr>
          <w:trHeight w:val="271"/>
          <w:jc w:val="center"/>
        </w:trPr>
        <w:tc>
          <w:tcPr>
            <w:tcW w:w="2835" w:type="dxa"/>
            <w:tcBorders>
              <w:top w:val="single" w:sz="4" w:space="0" w:color="auto"/>
              <w:left w:val="single" w:sz="4" w:space="0" w:color="auto"/>
              <w:bottom w:val="single" w:sz="4" w:space="0" w:color="auto"/>
              <w:right w:val="single" w:sz="4" w:space="0" w:color="auto"/>
            </w:tcBorders>
          </w:tcPr>
          <w:p w:rsidR="00F4638D" w:rsidRPr="00295810" w:rsidRDefault="00F4638D" w:rsidP="00E0074D">
            <w:pPr>
              <w:pStyle w:val="Tabletext"/>
              <w:jc w:val="center"/>
            </w:pPr>
            <w:r w:rsidRPr="00295810">
              <w:t>FSO part (850 nm)</w:t>
            </w:r>
          </w:p>
        </w:tc>
        <w:tc>
          <w:tcPr>
            <w:tcW w:w="2835" w:type="dxa"/>
            <w:tcBorders>
              <w:top w:val="single" w:sz="4" w:space="0" w:color="auto"/>
              <w:left w:val="single" w:sz="4" w:space="0" w:color="auto"/>
              <w:bottom w:val="single" w:sz="4" w:space="0" w:color="auto"/>
              <w:right w:val="single" w:sz="4" w:space="0" w:color="auto"/>
            </w:tcBorders>
          </w:tcPr>
          <w:p w:rsidR="00F4638D" w:rsidRPr="00295810" w:rsidRDefault="00F4638D" w:rsidP="00E0074D">
            <w:pPr>
              <w:pStyle w:val="Tabletext"/>
              <w:jc w:val="center"/>
            </w:pPr>
            <w:r w:rsidRPr="000D6C75">
              <w:rPr>
                <w:lang w:eastAsia="zh-CN"/>
              </w:rPr>
              <w:t>99.1340</w:t>
            </w:r>
          </w:p>
        </w:tc>
      </w:tr>
      <w:tr w:rsidR="00F4638D" w:rsidRPr="00295810" w:rsidTr="00E645AC">
        <w:trPr>
          <w:trHeight w:val="163"/>
          <w:jc w:val="center"/>
        </w:trPr>
        <w:tc>
          <w:tcPr>
            <w:tcW w:w="2835" w:type="dxa"/>
            <w:tcBorders>
              <w:top w:val="single" w:sz="4" w:space="0" w:color="auto"/>
              <w:left w:val="single" w:sz="4" w:space="0" w:color="auto"/>
              <w:bottom w:val="single" w:sz="4" w:space="0" w:color="auto"/>
              <w:right w:val="single" w:sz="4" w:space="0" w:color="auto"/>
            </w:tcBorders>
          </w:tcPr>
          <w:p w:rsidR="00F4638D" w:rsidRPr="00295810" w:rsidRDefault="00F4638D" w:rsidP="00E0074D">
            <w:pPr>
              <w:pStyle w:val="Tabletext"/>
              <w:jc w:val="center"/>
            </w:pPr>
            <w:r w:rsidRPr="00295810">
              <w:t>RF part (58 GHz)</w:t>
            </w:r>
          </w:p>
        </w:tc>
        <w:tc>
          <w:tcPr>
            <w:tcW w:w="2835" w:type="dxa"/>
            <w:tcBorders>
              <w:top w:val="single" w:sz="4" w:space="0" w:color="auto"/>
              <w:left w:val="single" w:sz="4" w:space="0" w:color="auto"/>
              <w:bottom w:val="single" w:sz="4" w:space="0" w:color="auto"/>
              <w:right w:val="single" w:sz="4" w:space="0" w:color="auto"/>
            </w:tcBorders>
          </w:tcPr>
          <w:p w:rsidR="00F4638D" w:rsidRPr="00295810" w:rsidRDefault="00F4638D" w:rsidP="00E0074D">
            <w:pPr>
              <w:pStyle w:val="Tabletext"/>
              <w:jc w:val="center"/>
            </w:pPr>
            <w:r w:rsidRPr="000D6C75">
              <w:rPr>
                <w:lang w:eastAsia="zh-CN"/>
              </w:rPr>
              <w:t>99.9547</w:t>
            </w:r>
          </w:p>
        </w:tc>
      </w:tr>
      <w:tr w:rsidR="00F4638D" w:rsidRPr="00295810" w:rsidTr="00E645AC">
        <w:trPr>
          <w:trHeight w:val="163"/>
          <w:jc w:val="center"/>
        </w:trPr>
        <w:tc>
          <w:tcPr>
            <w:tcW w:w="2835" w:type="dxa"/>
            <w:tcBorders>
              <w:top w:val="single" w:sz="4" w:space="0" w:color="auto"/>
              <w:left w:val="single" w:sz="4" w:space="0" w:color="auto"/>
              <w:bottom w:val="single" w:sz="4" w:space="0" w:color="auto"/>
              <w:right w:val="single" w:sz="4" w:space="0" w:color="auto"/>
            </w:tcBorders>
          </w:tcPr>
          <w:p w:rsidR="00F4638D" w:rsidRPr="00295810" w:rsidRDefault="00F4638D" w:rsidP="00E0074D">
            <w:pPr>
              <w:pStyle w:val="Tabletext"/>
              <w:jc w:val="center"/>
            </w:pPr>
            <w:proofErr w:type="spellStart"/>
            <w:r w:rsidRPr="00295810">
              <w:t>Hybrid</w:t>
            </w:r>
            <w:proofErr w:type="spellEnd"/>
            <w:r w:rsidRPr="00295810">
              <w:t xml:space="preserve"> RF/FSO</w:t>
            </w:r>
          </w:p>
        </w:tc>
        <w:tc>
          <w:tcPr>
            <w:tcW w:w="2835" w:type="dxa"/>
            <w:tcBorders>
              <w:top w:val="single" w:sz="4" w:space="0" w:color="auto"/>
              <w:left w:val="single" w:sz="4" w:space="0" w:color="auto"/>
              <w:bottom w:val="single" w:sz="4" w:space="0" w:color="auto"/>
              <w:right w:val="single" w:sz="4" w:space="0" w:color="auto"/>
            </w:tcBorders>
          </w:tcPr>
          <w:p w:rsidR="00F4638D" w:rsidRPr="00295810" w:rsidRDefault="00F4638D" w:rsidP="00E0074D">
            <w:pPr>
              <w:pStyle w:val="Tabletext"/>
              <w:jc w:val="center"/>
            </w:pPr>
            <w:r w:rsidRPr="000D6C75">
              <w:rPr>
                <w:lang w:eastAsia="zh-CN"/>
              </w:rPr>
              <w:t>99.9989</w:t>
            </w:r>
          </w:p>
        </w:tc>
      </w:tr>
    </w:tbl>
    <w:p w:rsidR="00F4638D" w:rsidRDefault="00F4638D" w:rsidP="00E645AC">
      <w:pPr>
        <w:pStyle w:val="Tablefin"/>
      </w:pPr>
    </w:p>
    <w:p w:rsidR="00F4638D" w:rsidRPr="00295810" w:rsidRDefault="00F4638D" w:rsidP="00F4638D">
      <w:pPr>
        <w:pStyle w:val="Heading1"/>
      </w:pPr>
      <w:r w:rsidRPr="00295810">
        <w:t>12</w:t>
      </w:r>
      <w:r w:rsidRPr="00295810">
        <w:tab/>
      </w:r>
      <w:proofErr w:type="spellStart"/>
      <w:r w:rsidRPr="00295810">
        <w:t>Visibility</w:t>
      </w:r>
      <w:proofErr w:type="spellEnd"/>
      <w:r w:rsidRPr="00295810">
        <w:t xml:space="preserve"> </w:t>
      </w:r>
      <w:proofErr w:type="spellStart"/>
      <w:r w:rsidRPr="00295810">
        <w:t>measurement</w:t>
      </w:r>
      <w:bookmarkEnd w:id="15"/>
      <w:proofErr w:type="spellEnd"/>
    </w:p>
    <w:p w:rsidR="00F4638D" w:rsidRPr="00E645AC" w:rsidRDefault="00F4638D" w:rsidP="00F4638D">
      <w:pPr>
        <w:rPr>
          <w:lang w:val="en-US"/>
        </w:rPr>
      </w:pPr>
      <w:r w:rsidRPr="00E645AC">
        <w:rPr>
          <w:lang w:val="en-US"/>
        </w:rPr>
        <w:t xml:space="preserve">The visibility </w:t>
      </w:r>
      <w:r w:rsidRPr="00E645AC">
        <w:rPr>
          <w:i/>
          <w:lang w:val="en-US"/>
        </w:rPr>
        <w:t>V</w:t>
      </w:r>
      <w:r w:rsidRPr="00E645AC">
        <w:rPr>
          <w:lang w:val="en-US"/>
        </w:rPr>
        <w:t xml:space="preserve"> (km) is defined as the distance to an object where the image contrast drops to 2% of its original value. It is measured at 550 nm, the wavelength that corresponds to the maximum intensity of the solar spectrum, and is given by the </w:t>
      </w:r>
      <w:proofErr w:type="spellStart"/>
      <w:r w:rsidRPr="00E645AC">
        <w:rPr>
          <w:lang w:val="en-US"/>
        </w:rPr>
        <w:t>Koschmieder</w:t>
      </w:r>
      <w:proofErr w:type="spellEnd"/>
      <w:r w:rsidRPr="00E645AC">
        <w:rPr>
          <w:lang w:val="en-US"/>
        </w:rPr>
        <w:t xml:space="preserve"> relation:</w:t>
      </w:r>
    </w:p>
    <w:p w:rsidR="00F4638D" w:rsidRDefault="00F4638D" w:rsidP="00F4638D">
      <w:pPr>
        <w:pStyle w:val="Blanc"/>
      </w:pPr>
    </w:p>
    <w:p w:rsidR="00F4638D" w:rsidRPr="00D03AF9" w:rsidRDefault="00F4638D" w:rsidP="00F4638D">
      <w:pPr>
        <w:pStyle w:val="Equation"/>
        <w:rPr>
          <w:lang w:val="en-US"/>
        </w:rPr>
      </w:pPr>
      <w:r w:rsidRPr="00D03AF9">
        <w:rPr>
          <w:lang w:val="en-US"/>
        </w:rPr>
        <w:tab/>
      </w:r>
      <w:r w:rsidRPr="00D03AF9">
        <w:rPr>
          <w:lang w:val="en-US"/>
        </w:rPr>
        <w:tab/>
      </w:r>
      <w:r w:rsidRPr="00892567">
        <w:rPr>
          <w:position w:val="-34"/>
        </w:rPr>
        <w:object w:dxaOrig="1740" w:dyaOrig="720">
          <v:shape id="_x0000_i1050" type="#_x0000_t75" style="width:87pt;height:36pt" o:ole="">
            <v:imagedata r:id="rId52" o:title=""/>
          </v:shape>
          <o:OLEObject Type="Embed" ProgID="Equation.3" ShapeID="_x0000_i1050" DrawAspect="Content" ObjectID="_1394025735" r:id="rId53"/>
        </w:object>
      </w:r>
      <w:r w:rsidRPr="00D03AF9">
        <w:rPr>
          <w:lang w:val="en-US"/>
        </w:rPr>
        <w:tab/>
      </w:r>
      <w:r w:rsidRPr="00D03AF9">
        <w:rPr>
          <w:snapToGrid w:val="0"/>
          <w:lang w:val="en-US" w:eastAsia="fr-FR"/>
        </w:rPr>
        <w:t>(12)</w:t>
      </w:r>
    </w:p>
    <w:p w:rsidR="00F4638D" w:rsidRDefault="00F4638D" w:rsidP="00F4638D">
      <w:pPr>
        <w:pStyle w:val="Blanc"/>
      </w:pPr>
    </w:p>
    <w:p w:rsidR="00F4638D" w:rsidRPr="00E15FDD" w:rsidRDefault="00F4638D" w:rsidP="00F4638D">
      <w:pPr>
        <w:rPr>
          <w:lang w:val="en-US"/>
        </w:rPr>
      </w:pPr>
      <w:r w:rsidRPr="00E15FDD">
        <w:rPr>
          <w:lang w:val="en-US"/>
        </w:rPr>
        <w:t xml:space="preserve">where </w:t>
      </w:r>
      <w:r w:rsidRPr="00295810">
        <w:rPr>
          <w:rFonts w:ascii="Symbol" w:hAnsi="Symbol"/>
        </w:rPr>
        <w:t></w:t>
      </w:r>
      <w:r w:rsidRPr="00E15FDD">
        <w:rPr>
          <w:rFonts w:ascii="Times New (W1)" w:hAnsi="Times New (W1)"/>
          <w:vertAlign w:val="subscript"/>
          <w:lang w:val="en-US"/>
        </w:rPr>
        <w:t>550 nm</w:t>
      </w:r>
      <w:r w:rsidRPr="00E15FDD">
        <w:rPr>
          <w:vertAlign w:val="subscript"/>
          <w:lang w:val="en-US"/>
        </w:rPr>
        <w:t xml:space="preserve"> </w:t>
      </w:r>
      <w:r w:rsidRPr="00E15FDD">
        <w:rPr>
          <w:lang w:val="en-US"/>
        </w:rPr>
        <w:t>is the extinction coefficient of the medium (atmosphere and aerosols).</w:t>
      </w:r>
    </w:p>
    <w:p w:rsidR="00F4638D" w:rsidRPr="00E645AC" w:rsidRDefault="00F4638D" w:rsidP="00F4638D">
      <w:pPr>
        <w:rPr>
          <w:lang w:val="en-US"/>
        </w:rPr>
      </w:pPr>
      <w:r w:rsidRPr="00E645AC">
        <w:rPr>
          <w:lang w:val="en-US"/>
        </w:rPr>
        <w:t xml:space="preserve">Two types of sensors are used to measure the visibility: </w:t>
      </w:r>
      <w:proofErr w:type="spellStart"/>
      <w:r w:rsidRPr="00E645AC">
        <w:rPr>
          <w:lang w:val="en-US"/>
        </w:rPr>
        <w:t>transmissometers</w:t>
      </w:r>
      <w:proofErr w:type="spellEnd"/>
      <w:r w:rsidRPr="00E645AC">
        <w:rPr>
          <w:lang w:val="en-US"/>
        </w:rPr>
        <w:t xml:space="preserve"> and </w:t>
      </w:r>
      <w:proofErr w:type="spellStart"/>
      <w:r w:rsidRPr="00E645AC">
        <w:rPr>
          <w:lang w:val="en-US"/>
        </w:rPr>
        <w:t>diffusiometers</w:t>
      </w:r>
      <w:proofErr w:type="spellEnd"/>
      <w:r w:rsidRPr="00E645AC">
        <w:rPr>
          <w:lang w:val="en-US"/>
        </w:rPr>
        <w:t>.</w:t>
      </w:r>
    </w:p>
    <w:p w:rsidR="00F4638D" w:rsidRPr="00E645AC" w:rsidRDefault="00F4638D" w:rsidP="00F4638D">
      <w:pPr>
        <w:tabs>
          <w:tab w:val="left" w:pos="360"/>
        </w:tabs>
        <w:rPr>
          <w:lang w:val="en-US"/>
        </w:rPr>
      </w:pPr>
      <w:r w:rsidRPr="00E645AC">
        <w:rPr>
          <w:lang w:val="en-US"/>
        </w:rPr>
        <w:t>The international visibility code showing the attenuation (dB/km) for various climatic conditions is shown in the following table:</w:t>
      </w:r>
    </w:p>
    <w:p w:rsidR="00F4638D" w:rsidRPr="00D03AF9" w:rsidRDefault="00F4638D" w:rsidP="00F4638D">
      <w:pPr>
        <w:pStyle w:val="enumlev1"/>
        <w:rPr>
          <w:lang w:val="en-US"/>
        </w:rPr>
      </w:pPr>
      <w:r w:rsidRPr="00D03AF9">
        <w:rPr>
          <w:lang w:val="en-US"/>
        </w:rPr>
        <w:t>–</w:t>
      </w:r>
      <w:r w:rsidRPr="00D03AF9">
        <w:rPr>
          <w:lang w:val="en-US"/>
        </w:rPr>
        <w:tab/>
        <w:t>Weather conditions from very clear periods to dense fog.</w:t>
      </w:r>
    </w:p>
    <w:p w:rsidR="00F4638D" w:rsidRPr="00D03AF9" w:rsidRDefault="00F4638D" w:rsidP="00F4638D">
      <w:pPr>
        <w:pStyle w:val="enumlev1"/>
        <w:rPr>
          <w:lang w:val="en-US"/>
        </w:rPr>
      </w:pPr>
      <w:r w:rsidRPr="00D03AF9">
        <w:rPr>
          <w:lang w:val="en-US"/>
        </w:rPr>
        <w:t>–</w:t>
      </w:r>
      <w:r w:rsidRPr="00D03AF9">
        <w:rPr>
          <w:lang w:val="en-US"/>
        </w:rPr>
        <w:tab/>
        <w:t>Precipitation (mm/h): drizzle, rain, storm.</w:t>
      </w:r>
    </w:p>
    <w:p w:rsidR="00F4638D" w:rsidRPr="00D03AF9" w:rsidRDefault="00F4638D" w:rsidP="00F4638D">
      <w:pPr>
        <w:pStyle w:val="enumlev1"/>
        <w:rPr>
          <w:lang w:val="en-US"/>
        </w:rPr>
      </w:pPr>
      <w:r w:rsidRPr="00D03AF9">
        <w:rPr>
          <w:lang w:val="en-US"/>
        </w:rPr>
        <w:t>–</w:t>
      </w:r>
      <w:r w:rsidRPr="00D03AF9">
        <w:rPr>
          <w:lang w:val="en-US"/>
        </w:rPr>
        <w:tab/>
        <w:t>Visibility from 50 m to 50 km.</w:t>
      </w:r>
    </w:p>
    <w:bookmarkStart w:id="16" w:name="_MON_1256134599"/>
    <w:bookmarkStart w:id="17" w:name="_MON_1162109115"/>
    <w:bookmarkStart w:id="18" w:name="_MON_1221550526"/>
    <w:bookmarkStart w:id="19" w:name="_MON_1112302758"/>
    <w:bookmarkStart w:id="20" w:name="_MON_1238595567"/>
    <w:bookmarkStart w:id="21" w:name="_MON_1239038942"/>
    <w:bookmarkStart w:id="22" w:name="_MON_1239039135"/>
    <w:bookmarkStart w:id="23" w:name="_MON_1241444134"/>
    <w:bookmarkStart w:id="24" w:name="_MON_1241444242"/>
    <w:bookmarkEnd w:id="16"/>
    <w:bookmarkEnd w:id="17"/>
    <w:bookmarkEnd w:id="18"/>
    <w:bookmarkEnd w:id="19"/>
    <w:bookmarkEnd w:id="20"/>
    <w:bookmarkEnd w:id="21"/>
    <w:bookmarkEnd w:id="22"/>
    <w:bookmarkEnd w:id="23"/>
    <w:bookmarkEnd w:id="24"/>
    <w:bookmarkStart w:id="25" w:name="_MON_1241444286"/>
    <w:bookmarkEnd w:id="25"/>
    <w:p w:rsidR="00F4638D" w:rsidRPr="00295810" w:rsidRDefault="00F4638D" w:rsidP="00F4638D">
      <w:pPr>
        <w:tabs>
          <w:tab w:val="left" w:pos="360"/>
        </w:tabs>
        <w:spacing w:before="360"/>
        <w:jc w:val="center"/>
      </w:pPr>
      <w:r w:rsidRPr="00295810">
        <w:object w:dxaOrig="8281" w:dyaOrig="9856">
          <v:shape id="_x0000_i1051" type="#_x0000_t75" style="width:426.75pt;height:7in" o:ole="">
            <v:imagedata r:id="rId54" o:title="" croptop="-754f" cropbottom="-754f" cropleft="-897f" cropright="-897f"/>
          </v:shape>
          <o:OLEObject Type="Embed" ProgID="Word.Picture.8" ShapeID="_x0000_i1051" DrawAspect="Content" ObjectID="_1394025736" r:id="rId55"/>
        </w:object>
      </w:r>
    </w:p>
    <w:p w:rsidR="00F4638D" w:rsidRDefault="00F4638D" w:rsidP="00F4638D">
      <w:pPr>
        <w:rPr>
          <w:lang w:val="en-US"/>
        </w:rPr>
      </w:pPr>
    </w:p>
    <w:p w:rsidR="00E0074D" w:rsidRDefault="00E0074D" w:rsidP="00E645AC">
      <w:pPr>
        <w:pStyle w:val="AppendixNoTitle"/>
        <w:rPr>
          <w:lang w:val="en-US"/>
        </w:rPr>
      </w:pPr>
      <w:r>
        <w:rPr>
          <w:lang w:val="en-US"/>
        </w:rPr>
        <w:br w:type="page"/>
      </w:r>
    </w:p>
    <w:p w:rsidR="00F4638D" w:rsidRPr="00D03AF9" w:rsidRDefault="00F4638D" w:rsidP="00E645AC">
      <w:pPr>
        <w:pStyle w:val="AppendixNoTitle"/>
        <w:rPr>
          <w:lang w:val="en-US"/>
        </w:rPr>
      </w:pPr>
      <w:r w:rsidRPr="00D03AF9">
        <w:rPr>
          <w:lang w:val="en-US"/>
        </w:rPr>
        <w:lastRenderedPageBreak/>
        <w:t>Appendix 1</w:t>
      </w:r>
      <w:r w:rsidRPr="00D03AF9">
        <w:rPr>
          <w:lang w:val="en-US"/>
        </w:rPr>
        <w:br/>
      </w:r>
      <w:r>
        <w:rPr>
          <w:lang w:val="en-US"/>
        </w:rPr>
        <w:t>to Annex 1</w:t>
      </w:r>
      <w:r w:rsidR="00E645AC">
        <w:rPr>
          <w:lang w:val="en-US"/>
        </w:rPr>
        <w:br/>
      </w:r>
      <w:r w:rsidR="00E645AC">
        <w:rPr>
          <w:lang w:val="en-US"/>
        </w:rPr>
        <w:br/>
      </w:r>
      <w:r w:rsidRPr="00D03AF9">
        <w:rPr>
          <w:lang w:val="en-US"/>
        </w:rPr>
        <w:t xml:space="preserve">Computer </w:t>
      </w:r>
      <w:proofErr w:type="spellStart"/>
      <w:r w:rsidRPr="00D03AF9">
        <w:rPr>
          <w:lang w:val="en-US"/>
        </w:rPr>
        <w:t>modelling</w:t>
      </w:r>
      <w:proofErr w:type="spellEnd"/>
    </w:p>
    <w:p w:rsidR="00F4638D" w:rsidRPr="00D03AF9" w:rsidRDefault="00F4638D" w:rsidP="00F4638D">
      <w:pPr>
        <w:pStyle w:val="Normalaftertitle"/>
        <w:rPr>
          <w:lang w:val="en-US"/>
        </w:rPr>
      </w:pPr>
      <w:r w:rsidRPr="00D03AF9">
        <w:rPr>
          <w:lang w:val="en-US"/>
        </w:rPr>
        <w:t xml:space="preserve">From the theoretical description of the physical phenomena, a certain number of computer </w:t>
      </w:r>
      <w:proofErr w:type="spellStart"/>
      <w:r w:rsidRPr="00D03AF9">
        <w:rPr>
          <w:lang w:val="en-US"/>
        </w:rPr>
        <w:t>modelling</w:t>
      </w:r>
      <w:proofErr w:type="spellEnd"/>
      <w:r w:rsidRPr="00D03AF9">
        <w:rPr>
          <w:lang w:val="en-US"/>
        </w:rPr>
        <w:t xml:space="preserve"> programs have been developed to determine the atmospheric transmission coefficient. Several models are available: LOWTRAN and </w:t>
      </w:r>
      <w:smartTag w:uri="urn:schemas-microsoft-com:office:smarttags" w:element="place">
        <w:smartTag w:uri="urn:schemas-microsoft-com:office:smarttags" w:element="country-region">
          <w:r w:rsidRPr="00D03AF9">
            <w:rPr>
              <w:lang w:val="en-US"/>
            </w:rPr>
            <w:t>NAM</w:t>
          </w:r>
        </w:smartTag>
      </w:smartTag>
      <w:r w:rsidRPr="00D03AF9">
        <w:rPr>
          <w:lang w:val="en-US"/>
        </w:rPr>
        <w:t xml:space="preserve"> programs (Navy Aerosol Model); NOVAM and WKDAER in maritime environments, etc. NOVAM is included in MODTRAN, FASCOD, etc. </w:t>
      </w:r>
    </w:p>
    <w:p w:rsidR="00F4638D" w:rsidRPr="00F4638D" w:rsidRDefault="00F4638D" w:rsidP="00F4638D">
      <w:pPr>
        <w:rPr>
          <w:lang w:val="en-US"/>
        </w:rPr>
      </w:pPr>
      <w:r w:rsidRPr="00F4638D">
        <w:rPr>
          <w:lang w:val="en-US"/>
        </w:rPr>
        <w:t xml:space="preserve">LOWTRAN contains models of optical signal attenuation by aerosols. It is based on a line-by-line model and is available from ONTAR (United States of America). </w:t>
      </w:r>
    </w:p>
    <w:p w:rsidR="00F4638D" w:rsidRPr="00F4638D" w:rsidRDefault="00F4638D" w:rsidP="00F4638D">
      <w:pPr>
        <w:rPr>
          <w:lang w:val="en-US"/>
        </w:rPr>
      </w:pPr>
      <w:r w:rsidRPr="00F4638D">
        <w:rPr>
          <w:lang w:val="en-US"/>
        </w:rPr>
        <w:t>NAM software applies more particularly to maritime environments. It is based on the aerosol distribution model of GATHMAN.</w:t>
      </w:r>
    </w:p>
    <w:p w:rsidR="00F4638D" w:rsidRPr="00F4638D" w:rsidRDefault="00F4638D" w:rsidP="00F4638D">
      <w:pPr>
        <w:rPr>
          <w:lang w:val="en-US"/>
        </w:rPr>
      </w:pPr>
      <w:r w:rsidRPr="00F4638D">
        <w:rPr>
          <w:lang w:val="en-US"/>
        </w:rPr>
        <w:t>NOVAM takes into account dust particles of continental origin.</w:t>
      </w:r>
    </w:p>
    <w:p w:rsidR="00F4638D" w:rsidRPr="00F4638D" w:rsidRDefault="00F4638D" w:rsidP="00F4638D">
      <w:pPr>
        <w:rPr>
          <w:lang w:val="en-US"/>
        </w:rPr>
      </w:pPr>
      <w:r w:rsidRPr="00F4638D">
        <w:rPr>
          <w:lang w:val="en-US"/>
        </w:rPr>
        <w:t>WKDAER can be adjusted to a specific environment.</w:t>
      </w:r>
    </w:p>
    <w:p w:rsidR="00F4638D" w:rsidRPr="00F4638D" w:rsidRDefault="00F4638D" w:rsidP="00F4638D">
      <w:pPr>
        <w:rPr>
          <w:lang w:val="en-US"/>
        </w:rPr>
      </w:pPr>
      <w:r w:rsidRPr="00F4638D">
        <w:rPr>
          <w:lang w:val="en-US"/>
        </w:rPr>
        <w:t>FASCOD uses a line-by-line model and takes into account all parameters characterizing the absorption lines (intensity, transition probability, etc.). It is based on the high-resolution molecular absorption database, HITRAN. The principal line parameters included in HITRAN are the resonance frequency, line intensity at 296 K, probability of a transition, half-width of the line at 296 K, and the low energy or fundamental molecular state.</w:t>
      </w:r>
    </w:p>
    <w:p w:rsidR="00F4638D" w:rsidRPr="00F4638D" w:rsidRDefault="00F4638D" w:rsidP="00F4638D">
      <w:pPr>
        <w:rPr>
          <w:lang w:val="en-US"/>
        </w:rPr>
      </w:pPr>
      <w:r w:rsidRPr="00F4638D">
        <w:rPr>
          <w:lang w:val="en-US"/>
        </w:rPr>
        <w:t>There are three linked models developed in the Air Force Geophysics Laboratory (AFGDL) with various spectral resolutions:</w:t>
      </w:r>
    </w:p>
    <w:p w:rsidR="00F4638D" w:rsidRPr="00D03AF9" w:rsidRDefault="00F4638D" w:rsidP="00F4638D">
      <w:pPr>
        <w:pStyle w:val="enumlev1"/>
        <w:rPr>
          <w:lang w:val="en-US"/>
        </w:rPr>
      </w:pPr>
      <w:r w:rsidRPr="00D03AF9">
        <w:rPr>
          <w:lang w:val="en-US"/>
        </w:rPr>
        <w:t>–</w:t>
      </w:r>
      <w:r w:rsidRPr="00D03AF9">
        <w:rPr>
          <w:lang w:val="en-US"/>
        </w:rPr>
        <w:tab/>
        <w:t>LOWTRAN 7 – Low Resolution Transmission – Spectral resolution is 20 cm</w:t>
      </w:r>
      <w:r w:rsidRPr="00D03AF9">
        <w:rPr>
          <w:vertAlign w:val="superscript"/>
          <w:lang w:val="en-US"/>
        </w:rPr>
        <w:t>−1</w:t>
      </w:r>
      <w:r w:rsidRPr="00D03AF9">
        <w:rPr>
          <w:lang w:val="en-US"/>
        </w:rPr>
        <w:t xml:space="preserve"> (equivalent to 600 GHz) in 5 cm</w:t>
      </w:r>
      <w:r w:rsidRPr="00D03AF9">
        <w:rPr>
          <w:vertAlign w:val="superscript"/>
          <w:lang w:val="en-US"/>
        </w:rPr>
        <w:t>−1</w:t>
      </w:r>
      <w:r w:rsidRPr="00D03AF9">
        <w:rPr>
          <w:lang w:val="en-US"/>
        </w:rPr>
        <w:t xml:space="preserve"> steps.</w:t>
      </w:r>
    </w:p>
    <w:p w:rsidR="00F4638D" w:rsidRPr="00D03AF9" w:rsidRDefault="00F4638D" w:rsidP="00F4638D">
      <w:pPr>
        <w:pStyle w:val="enumlev1"/>
        <w:rPr>
          <w:lang w:val="en-US"/>
        </w:rPr>
      </w:pPr>
      <w:r w:rsidRPr="00D03AF9">
        <w:rPr>
          <w:lang w:val="en-US"/>
        </w:rPr>
        <w:t>–</w:t>
      </w:r>
      <w:r w:rsidRPr="00D03AF9">
        <w:rPr>
          <w:lang w:val="en-US"/>
        </w:rPr>
        <w:tab/>
        <w:t>MODTRAN 3 – Moderate Resolution Transmission – Spectral resolution is 2 cm</w:t>
      </w:r>
      <w:r w:rsidRPr="00D03AF9">
        <w:rPr>
          <w:vertAlign w:val="superscript"/>
          <w:lang w:val="en-US"/>
        </w:rPr>
        <w:t>−1</w:t>
      </w:r>
      <w:r w:rsidRPr="00D03AF9">
        <w:rPr>
          <w:lang w:val="en-US"/>
        </w:rPr>
        <w:t xml:space="preserve"> (equivalent to 60 GHz) in 1 cm</w:t>
      </w:r>
      <w:r w:rsidRPr="00D03AF9">
        <w:rPr>
          <w:vertAlign w:val="superscript"/>
          <w:lang w:val="en-US"/>
        </w:rPr>
        <w:t>−1</w:t>
      </w:r>
      <w:r w:rsidRPr="00D03AF9">
        <w:rPr>
          <w:lang w:val="en-US"/>
        </w:rPr>
        <w:t xml:space="preserve"> steps.</w:t>
      </w:r>
    </w:p>
    <w:p w:rsidR="00F4638D" w:rsidRPr="00D03AF9" w:rsidRDefault="00F4638D" w:rsidP="00F4638D">
      <w:pPr>
        <w:pStyle w:val="enumlev1"/>
        <w:rPr>
          <w:lang w:val="en-US"/>
        </w:rPr>
      </w:pPr>
      <w:r w:rsidRPr="00D03AF9">
        <w:rPr>
          <w:lang w:val="en-US"/>
        </w:rPr>
        <w:t>–</w:t>
      </w:r>
      <w:r w:rsidRPr="00D03AF9">
        <w:rPr>
          <w:lang w:val="en-US"/>
        </w:rPr>
        <w:tab/>
        <w:t>HITRAN 2004 – High Resolution Transmission – Spectral resolution is 0.001 cm</w:t>
      </w:r>
      <w:r w:rsidRPr="00D03AF9">
        <w:rPr>
          <w:vertAlign w:val="superscript"/>
          <w:lang w:val="en-US"/>
        </w:rPr>
        <w:t>−1</w:t>
      </w:r>
      <w:r w:rsidRPr="00D03AF9">
        <w:rPr>
          <w:lang w:val="en-US"/>
        </w:rPr>
        <w:t xml:space="preserve"> (equivalent to 30 MHz).</w:t>
      </w:r>
    </w:p>
    <w:p w:rsidR="00F4638D" w:rsidRPr="00F4638D" w:rsidRDefault="00F4638D" w:rsidP="00F4638D">
      <w:pPr>
        <w:rPr>
          <w:lang w:val="en-US"/>
        </w:rPr>
      </w:pPr>
      <w:r w:rsidRPr="00F4638D">
        <w:rPr>
          <w:lang w:val="en-US"/>
        </w:rPr>
        <w:t>All of the models contain spectral information about many atmospheric species including H</w:t>
      </w:r>
      <w:r w:rsidRPr="00F4638D">
        <w:rPr>
          <w:vertAlign w:val="subscript"/>
          <w:lang w:val="en-US"/>
        </w:rPr>
        <w:t>2</w:t>
      </w:r>
      <w:r w:rsidRPr="00F4638D">
        <w:rPr>
          <w:lang w:val="en-US"/>
        </w:rPr>
        <w:t>O, O</w:t>
      </w:r>
      <w:r w:rsidRPr="00F4638D">
        <w:rPr>
          <w:vertAlign w:val="subscript"/>
          <w:lang w:val="en-US"/>
        </w:rPr>
        <w:t>3</w:t>
      </w:r>
      <w:r w:rsidRPr="00F4638D">
        <w:rPr>
          <w:lang w:val="en-US"/>
        </w:rPr>
        <w:t>, N</w:t>
      </w:r>
      <w:r w:rsidRPr="00F4638D">
        <w:rPr>
          <w:vertAlign w:val="subscript"/>
          <w:lang w:val="en-US"/>
        </w:rPr>
        <w:t>2</w:t>
      </w:r>
      <w:r w:rsidRPr="00F4638D">
        <w:rPr>
          <w:lang w:val="en-US"/>
        </w:rPr>
        <w:t>O, CO, CH</w:t>
      </w:r>
      <w:r w:rsidRPr="00F4638D">
        <w:rPr>
          <w:vertAlign w:val="subscript"/>
          <w:lang w:val="en-US"/>
        </w:rPr>
        <w:t>4</w:t>
      </w:r>
      <w:r w:rsidRPr="00F4638D">
        <w:rPr>
          <w:lang w:val="en-US"/>
        </w:rPr>
        <w:t>, O</w:t>
      </w:r>
      <w:r w:rsidRPr="00F4638D">
        <w:rPr>
          <w:vertAlign w:val="subscript"/>
          <w:lang w:val="en-US"/>
        </w:rPr>
        <w:t>2</w:t>
      </w:r>
      <w:r w:rsidRPr="00F4638D">
        <w:rPr>
          <w:lang w:val="en-US"/>
        </w:rPr>
        <w:t>, NO, NO</w:t>
      </w:r>
      <w:r w:rsidRPr="00F4638D">
        <w:rPr>
          <w:vertAlign w:val="subscript"/>
          <w:lang w:val="en-US"/>
        </w:rPr>
        <w:t>2</w:t>
      </w:r>
      <w:r w:rsidRPr="00F4638D">
        <w:rPr>
          <w:lang w:val="en-US"/>
        </w:rPr>
        <w:t>, SO</w:t>
      </w:r>
      <w:r w:rsidRPr="00F4638D">
        <w:rPr>
          <w:vertAlign w:val="subscript"/>
          <w:lang w:val="en-US"/>
        </w:rPr>
        <w:t>2</w:t>
      </w:r>
      <w:r w:rsidRPr="00F4638D">
        <w:rPr>
          <w:lang w:val="en-US"/>
        </w:rPr>
        <w:t>, and HNO</w:t>
      </w:r>
      <w:r w:rsidRPr="00F4638D">
        <w:rPr>
          <w:vertAlign w:val="subscript"/>
          <w:lang w:val="en-US"/>
        </w:rPr>
        <w:t>3</w:t>
      </w:r>
      <w:r w:rsidRPr="00F4638D">
        <w:rPr>
          <w:lang w:val="en-US"/>
        </w:rPr>
        <w:t>. (HITRAN includes details of over 1 000 000 absorption lines for 37 molecules.) In addition the three models include the H</w:t>
      </w:r>
      <w:r w:rsidRPr="00F4638D">
        <w:rPr>
          <w:vertAlign w:val="subscript"/>
          <w:lang w:val="en-US"/>
        </w:rPr>
        <w:t>2</w:t>
      </w:r>
      <w:r w:rsidRPr="00F4638D">
        <w:rPr>
          <w:lang w:val="en-US"/>
        </w:rPr>
        <w:t>O continuum across the entire spectrum, the N</w:t>
      </w:r>
      <w:r w:rsidRPr="00F4638D">
        <w:rPr>
          <w:vertAlign w:val="subscript"/>
          <w:lang w:val="en-US"/>
        </w:rPr>
        <w:t>2</w:t>
      </w:r>
      <w:r w:rsidRPr="00F4638D">
        <w:rPr>
          <w:lang w:val="en-US"/>
        </w:rPr>
        <w:t xml:space="preserve"> continuum in the 2 000 to 2 700 cm</w:t>
      </w:r>
      <w:r w:rsidRPr="00F4638D">
        <w:rPr>
          <w:vertAlign w:val="superscript"/>
          <w:lang w:val="en-US"/>
        </w:rPr>
        <w:t>−1</w:t>
      </w:r>
      <w:r w:rsidRPr="00F4638D">
        <w:rPr>
          <w:lang w:val="en-US"/>
        </w:rPr>
        <w:t xml:space="preserve"> region, molecular scattering, together with absorption and scattering from aerosol, fog, rain and clouds.</w:t>
      </w:r>
    </w:p>
    <w:p w:rsidR="00F4638D" w:rsidRDefault="00F4638D" w:rsidP="00F4638D">
      <w:pPr>
        <w:rPr>
          <w:lang w:val="en-US"/>
        </w:rPr>
      </w:pPr>
    </w:p>
    <w:p w:rsidR="00F4638D" w:rsidRDefault="00F4638D" w:rsidP="00F4638D">
      <w:pPr>
        <w:rPr>
          <w:lang w:val="en-US"/>
        </w:rPr>
      </w:pPr>
    </w:p>
    <w:p w:rsidR="00F4638D" w:rsidRPr="00F4638D" w:rsidRDefault="00F4638D" w:rsidP="00F4638D">
      <w:pPr>
        <w:pStyle w:val="Line"/>
      </w:pPr>
    </w:p>
    <w:sectPr w:rsidR="00F4638D" w:rsidRPr="00F4638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74D" w:rsidRDefault="00E0074D">
      <w:r>
        <w:separator/>
      </w:r>
    </w:p>
  </w:endnote>
  <w:endnote w:type="continuationSeparator" w:id="0">
    <w:p w:rsidR="00E0074D" w:rsidRDefault="00E00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Utiliser une police de caractè">
    <w:altName w:val="Times New Roman"/>
    <w:panose1 w:val="00000000000000000000"/>
    <w:charset w:val="00"/>
    <w:family w:val="roman"/>
    <w:notTrueType/>
    <w:pitch w:val="default"/>
  </w:font>
  <w:font w:name="Times New (W1)">
    <w:altName w:val="Times New Roman"/>
    <w:charset w:val="00"/>
    <w:family w:val="roman"/>
    <w:pitch w:val="variable"/>
    <w:sig w:usb0="20007A87" w:usb1="80000000" w:usb2="00000008"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74D" w:rsidRDefault="00E0074D">
      <w:r>
        <w:separator/>
      </w:r>
    </w:p>
  </w:footnote>
  <w:footnote w:type="continuationSeparator" w:id="0">
    <w:p w:rsidR="00E0074D" w:rsidRDefault="00E0074D">
      <w:r>
        <w:continuationSeparator/>
      </w:r>
    </w:p>
  </w:footnote>
  <w:footnote w:id="1">
    <w:p w:rsidR="004434A3" w:rsidRPr="004434A3" w:rsidRDefault="004434A3" w:rsidP="004D3A39">
      <w:pPr>
        <w:pStyle w:val="FootnoteText"/>
        <w:rPr>
          <w:lang w:val="en-US"/>
        </w:rPr>
      </w:pPr>
      <w:r w:rsidRPr="004434A3">
        <w:rPr>
          <w:rStyle w:val="FootnoteReference"/>
          <w:lang w:val="en-US"/>
        </w:rPr>
        <w:t>*</w:t>
      </w:r>
      <w:r w:rsidRPr="004434A3">
        <w:rPr>
          <w:lang w:val="en-US"/>
        </w:rPr>
        <w:tab/>
      </w:r>
      <w:r>
        <w:rPr>
          <w:lang w:val="en-US"/>
        </w:rPr>
        <w:t xml:space="preserve">This Recommendation should be brought to the attention of </w:t>
      </w:r>
      <w:proofErr w:type="spellStart"/>
      <w:r>
        <w:rPr>
          <w:lang w:val="en-US"/>
        </w:rPr>
        <w:t>Radiocommunication</w:t>
      </w:r>
      <w:proofErr w:type="spellEnd"/>
      <w:r>
        <w:rPr>
          <w:lang w:val="en-US"/>
        </w:rPr>
        <w:t xml:space="preserve"> Study Groups 1 and </w:t>
      </w:r>
      <w:r w:rsidR="004D3A39">
        <w:rPr>
          <w:lang w:val="en-US"/>
        </w:rPr>
        <w:t>5</w:t>
      </w:r>
      <w:bookmarkStart w:id="3" w:name="_GoBack"/>
      <w:bookmarkEnd w:id="3"/>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4D" w:rsidRDefault="00E0074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4D" w:rsidRDefault="00E0074D" w:rsidP="00B033C8">
    <w:pPr>
      <w:pStyle w:val="Header"/>
      <w:ind w:right="360" w:firstLine="360"/>
    </w:pPr>
    <w:r>
      <w:rPr>
        <w:noProof/>
        <w:lang w:val="en-US" w:eastAsia="zh-CN"/>
      </w:rPr>
      <w:drawing>
        <wp:anchor distT="0" distB="0" distL="114300" distR="114300" simplePos="0" relativeHeight="251657728" behindDoc="1" locked="0" layoutInCell="1" allowOverlap="1" wp14:anchorId="72AED20B" wp14:editId="37BCF77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4D" w:rsidRPr="00FC42AF" w:rsidRDefault="00E0074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D3A39">
      <w:rPr>
        <w:rStyle w:val="PageNumber"/>
        <w:b/>
        <w:bCs/>
        <w:noProof/>
      </w:rPr>
      <w:t>2</w:t>
    </w:r>
    <w:r>
      <w:rPr>
        <w:rStyle w:val="PageNumber"/>
        <w:b/>
        <w:bCs/>
      </w:rPr>
      <w:fldChar w:fldCharType="end"/>
    </w:r>
    <w:r w:rsidRPr="00FC42AF">
      <w:tab/>
    </w:r>
    <w:r w:rsidR="004D3A39">
      <w:fldChar w:fldCharType="begin"/>
    </w:r>
    <w:r w:rsidR="004D3A39">
      <w:instrText xml:space="preserve"> DOCPROPERTY "Header" \* MERGEFORMAT </w:instrText>
    </w:r>
    <w:r w:rsidR="004D3A39">
      <w:fldChar w:fldCharType="separate"/>
    </w:r>
    <w:r w:rsidR="00183BED" w:rsidRPr="00183BED">
      <w:rPr>
        <w:b/>
        <w:bCs/>
      </w:rPr>
      <w:t xml:space="preserve">Rec. </w:t>
    </w:r>
    <w:r w:rsidR="004D3A3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D3A39">
      <w:rPr>
        <w:b/>
        <w:bCs/>
        <w:noProof/>
      </w:rPr>
      <w:t>ITU-R  P.1817-1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74D" w:rsidRDefault="00E0074D">
    <w:pPr>
      <w:pStyle w:val="Header"/>
    </w:pPr>
    <w:r>
      <w:tab/>
    </w:r>
    <w:r w:rsidR="004D3A39">
      <w:fldChar w:fldCharType="begin"/>
    </w:r>
    <w:r w:rsidR="004D3A39">
      <w:instrText xml:space="preserve"> DOCPROPERTY "Header" \* MERGEFORMAT </w:instrText>
    </w:r>
    <w:r w:rsidR="004D3A39">
      <w:fldChar w:fldCharType="separate"/>
    </w:r>
    <w:r w:rsidR="00183BED" w:rsidRPr="00183BED">
      <w:rPr>
        <w:b/>
        <w:bCs/>
      </w:rPr>
      <w:t xml:space="preserve">Rec. </w:t>
    </w:r>
    <w:r w:rsidR="004D3A39">
      <w:rPr>
        <w:b/>
        <w:bCs/>
      </w:rPr>
      <w:fldChar w:fldCharType="end"/>
    </w:r>
    <w:r>
      <w:rPr>
        <w:b/>
        <w:bCs/>
      </w:rPr>
      <w:t xml:space="preserve"> </w:t>
    </w:r>
    <w:r>
      <w:rPr>
        <w:b/>
        <w:bCs/>
      </w:rPr>
      <w:fldChar w:fldCharType="begin"/>
    </w:r>
    <w:r>
      <w:rPr>
        <w:b/>
        <w:bCs/>
      </w:rPr>
      <w:instrText>styleref href</w:instrText>
    </w:r>
    <w:r>
      <w:rPr>
        <w:b/>
        <w:bCs/>
      </w:rPr>
      <w:fldChar w:fldCharType="separate"/>
    </w:r>
    <w:r w:rsidR="004D3A39">
      <w:rPr>
        <w:b/>
        <w:bCs/>
        <w:noProof/>
      </w:rPr>
      <w:t>ITU-R  P.1817-1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D3A39">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36994"/>
    <w:rsid w:val="00147110"/>
    <w:rsid w:val="001511A6"/>
    <w:rsid w:val="00183BED"/>
    <w:rsid w:val="001A7DC3"/>
    <w:rsid w:val="002058CE"/>
    <w:rsid w:val="002165F1"/>
    <w:rsid w:val="00271AF7"/>
    <w:rsid w:val="00276D21"/>
    <w:rsid w:val="00296D7F"/>
    <w:rsid w:val="002B3C76"/>
    <w:rsid w:val="002B3CF6"/>
    <w:rsid w:val="002C768A"/>
    <w:rsid w:val="002D76C4"/>
    <w:rsid w:val="002F387F"/>
    <w:rsid w:val="002F5199"/>
    <w:rsid w:val="00327E0E"/>
    <w:rsid w:val="00356B5D"/>
    <w:rsid w:val="0041667C"/>
    <w:rsid w:val="00420DFD"/>
    <w:rsid w:val="00437A76"/>
    <w:rsid w:val="004434A3"/>
    <w:rsid w:val="00456E6A"/>
    <w:rsid w:val="00470E28"/>
    <w:rsid w:val="00470FEC"/>
    <w:rsid w:val="004934C5"/>
    <w:rsid w:val="004D3A39"/>
    <w:rsid w:val="004F65E4"/>
    <w:rsid w:val="0055006A"/>
    <w:rsid w:val="00556548"/>
    <w:rsid w:val="005762F5"/>
    <w:rsid w:val="00586EF8"/>
    <w:rsid w:val="005B27E8"/>
    <w:rsid w:val="005B49AB"/>
    <w:rsid w:val="005B50E7"/>
    <w:rsid w:val="005E7B4F"/>
    <w:rsid w:val="00601882"/>
    <w:rsid w:val="00607D68"/>
    <w:rsid w:val="00613212"/>
    <w:rsid w:val="006149B1"/>
    <w:rsid w:val="00680D2B"/>
    <w:rsid w:val="00681B32"/>
    <w:rsid w:val="006B1D2B"/>
    <w:rsid w:val="006E1131"/>
    <w:rsid w:val="006E1148"/>
    <w:rsid w:val="006E2037"/>
    <w:rsid w:val="006E6199"/>
    <w:rsid w:val="00712870"/>
    <w:rsid w:val="00743D85"/>
    <w:rsid w:val="00753CF4"/>
    <w:rsid w:val="007565CC"/>
    <w:rsid w:val="00763B9A"/>
    <w:rsid w:val="00794726"/>
    <w:rsid w:val="007A6AA8"/>
    <w:rsid w:val="007D224F"/>
    <w:rsid w:val="00816332"/>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0EF"/>
    <w:rsid w:val="00A971A1"/>
    <w:rsid w:val="00AA3AD8"/>
    <w:rsid w:val="00AB0DC8"/>
    <w:rsid w:val="00B033C8"/>
    <w:rsid w:val="00B33425"/>
    <w:rsid w:val="00B44E24"/>
    <w:rsid w:val="00B54ECC"/>
    <w:rsid w:val="00B714F3"/>
    <w:rsid w:val="00B87B6B"/>
    <w:rsid w:val="00BC5D77"/>
    <w:rsid w:val="00BD6671"/>
    <w:rsid w:val="00BF487A"/>
    <w:rsid w:val="00BF5114"/>
    <w:rsid w:val="00C11905"/>
    <w:rsid w:val="00C46BD9"/>
    <w:rsid w:val="00C55258"/>
    <w:rsid w:val="00C73560"/>
    <w:rsid w:val="00CB0F14"/>
    <w:rsid w:val="00CD659B"/>
    <w:rsid w:val="00CE0A43"/>
    <w:rsid w:val="00D2224C"/>
    <w:rsid w:val="00D703EF"/>
    <w:rsid w:val="00D83556"/>
    <w:rsid w:val="00DF4176"/>
    <w:rsid w:val="00E0074D"/>
    <w:rsid w:val="00E17240"/>
    <w:rsid w:val="00E406BD"/>
    <w:rsid w:val="00E645AC"/>
    <w:rsid w:val="00E74595"/>
    <w:rsid w:val="00EB7C57"/>
    <w:rsid w:val="00ED2695"/>
    <w:rsid w:val="00EF756D"/>
    <w:rsid w:val="00F30C9B"/>
    <w:rsid w:val="00F354B1"/>
    <w:rsid w:val="00F4638D"/>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69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36994"/>
    <w:pPr>
      <w:keepNext/>
      <w:keepLines/>
      <w:spacing w:before="480"/>
      <w:ind w:left="794" w:hanging="794"/>
      <w:outlineLvl w:val="0"/>
    </w:pPr>
    <w:rPr>
      <w:b/>
    </w:rPr>
  </w:style>
  <w:style w:type="paragraph" w:styleId="Heading2">
    <w:name w:val="heading 2"/>
    <w:basedOn w:val="Heading1"/>
    <w:next w:val="Normal"/>
    <w:qFormat/>
    <w:rsid w:val="00136994"/>
    <w:pPr>
      <w:spacing w:before="320"/>
      <w:outlineLvl w:val="1"/>
    </w:pPr>
  </w:style>
  <w:style w:type="paragraph" w:styleId="Heading3">
    <w:name w:val="heading 3"/>
    <w:basedOn w:val="Heading1"/>
    <w:next w:val="Normal"/>
    <w:qFormat/>
    <w:rsid w:val="00136994"/>
    <w:pPr>
      <w:spacing w:before="200"/>
      <w:outlineLvl w:val="2"/>
    </w:pPr>
  </w:style>
  <w:style w:type="paragraph" w:styleId="Heading4">
    <w:name w:val="heading 4"/>
    <w:basedOn w:val="Heading3"/>
    <w:next w:val="Normal"/>
    <w:qFormat/>
    <w:rsid w:val="00136994"/>
    <w:pPr>
      <w:tabs>
        <w:tab w:val="clear" w:pos="794"/>
        <w:tab w:val="left" w:pos="992"/>
      </w:tabs>
      <w:ind w:left="992" w:hanging="992"/>
      <w:outlineLvl w:val="3"/>
    </w:pPr>
  </w:style>
  <w:style w:type="paragraph" w:styleId="Heading5">
    <w:name w:val="heading 5"/>
    <w:basedOn w:val="Heading4"/>
    <w:next w:val="Normal"/>
    <w:qFormat/>
    <w:rsid w:val="00136994"/>
    <w:pPr>
      <w:outlineLvl w:val="4"/>
    </w:pPr>
  </w:style>
  <w:style w:type="paragraph" w:styleId="Heading6">
    <w:name w:val="heading 6"/>
    <w:basedOn w:val="Heading4"/>
    <w:next w:val="Normal"/>
    <w:qFormat/>
    <w:rsid w:val="00136994"/>
    <w:pPr>
      <w:tabs>
        <w:tab w:val="clear" w:pos="992"/>
        <w:tab w:val="clear" w:pos="1191"/>
      </w:tabs>
      <w:ind w:left="1588" w:hanging="1588"/>
      <w:outlineLvl w:val="5"/>
    </w:pPr>
  </w:style>
  <w:style w:type="paragraph" w:styleId="Heading7">
    <w:name w:val="heading 7"/>
    <w:basedOn w:val="Heading6"/>
    <w:next w:val="Normal"/>
    <w:qFormat/>
    <w:rsid w:val="00136994"/>
    <w:pPr>
      <w:outlineLvl w:val="6"/>
    </w:pPr>
  </w:style>
  <w:style w:type="paragraph" w:styleId="Heading8">
    <w:name w:val="heading 8"/>
    <w:basedOn w:val="Heading6"/>
    <w:next w:val="Normal"/>
    <w:qFormat/>
    <w:rsid w:val="00136994"/>
    <w:pPr>
      <w:outlineLvl w:val="7"/>
    </w:pPr>
  </w:style>
  <w:style w:type="paragraph" w:styleId="Heading9">
    <w:name w:val="heading 9"/>
    <w:basedOn w:val="Heading6"/>
    <w:next w:val="Normal"/>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rsid w:val="00136994"/>
    <w:pPr>
      <w:spacing w:before="160"/>
      <w:ind w:left="0" w:firstLine="0"/>
      <w:outlineLvl w:val="9"/>
    </w:pPr>
  </w:style>
  <w:style w:type="paragraph" w:customStyle="1" w:styleId="Headingi">
    <w:name w:val="Heading_i"/>
    <w:basedOn w:val="Heading3"/>
    <w:next w:val="Normal"/>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136994"/>
    <w:pPr>
      <w:keepNext/>
      <w:keepLines/>
      <w:spacing w:before="480" w:after="80"/>
      <w:jc w:val="center"/>
    </w:pPr>
    <w:rPr>
      <w:b/>
      <w:sz w:val="28"/>
    </w:rPr>
  </w:style>
  <w:style w:type="paragraph" w:customStyle="1" w:styleId="Normalaftertitle">
    <w:name w:val="Normal_after_title"/>
    <w:basedOn w:val="Normal"/>
    <w:next w:val="Normal"/>
    <w:link w:val="NormalaftertitleChar"/>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36994"/>
    <w:pPr>
      <w:keepNext/>
      <w:spacing w:before="360" w:after="120"/>
      <w:jc w:val="center"/>
    </w:pPr>
  </w:style>
  <w:style w:type="paragraph" w:customStyle="1" w:styleId="Tabletext">
    <w:name w:val="Table_text"/>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semiHidden/>
    <w:rsid w:val="00136994"/>
    <w:rPr>
      <w:position w:val="6"/>
      <w:sz w:val="18"/>
    </w:rPr>
  </w:style>
  <w:style w:type="paragraph" w:styleId="FootnoteText">
    <w:name w:val="footnote text"/>
    <w:basedOn w:val="Normal"/>
    <w:semiHidden/>
    <w:rsid w:val="00136994"/>
    <w:pPr>
      <w:keepLines/>
      <w:tabs>
        <w:tab w:val="left" w:pos="255"/>
      </w:tabs>
      <w:ind w:left="255" w:hanging="255"/>
    </w:pPr>
    <w:rPr>
      <w:sz w:val="22"/>
    </w:rPr>
  </w:style>
  <w:style w:type="paragraph" w:styleId="Index1">
    <w:name w:val="index 1"/>
    <w:basedOn w:val="Normal"/>
    <w:next w:val="Normal"/>
    <w:semiHidden/>
    <w:rsid w:val="00136994"/>
  </w:style>
  <w:style w:type="paragraph" w:styleId="Index2">
    <w:name w:val="index 2"/>
    <w:basedOn w:val="Normal"/>
    <w:next w:val="Normal"/>
    <w:semiHidden/>
    <w:rsid w:val="00136994"/>
    <w:pPr>
      <w:ind w:left="283"/>
    </w:pPr>
  </w:style>
  <w:style w:type="paragraph" w:styleId="Index3">
    <w:name w:val="index 3"/>
    <w:basedOn w:val="Normal"/>
    <w:next w:val="Normal"/>
    <w:semiHidden/>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semiHidden/>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94"/>
    <w:pPr>
      <w:tabs>
        <w:tab w:val="clear" w:pos="567"/>
        <w:tab w:val="left" w:pos="1276"/>
      </w:tabs>
      <w:spacing w:before="160"/>
      <w:ind w:left="1276" w:hanging="709"/>
    </w:pPr>
  </w:style>
  <w:style w:type="paragraph" w:styleId="TOC3">
    <w:name w:val="toc 3"/>
    <w:basedOn w:val="TOC2"/>
    <w:semiHidden/>
    <w:rsid w:val="00136994"/>
    <w:pPr>
      <w:tabs>
        <w:tab w:val="clear" w:pos="1276"/>
        <w:tab w:val="left" w:pos="2155"/>
      </w:tabs>
      <w:ind w:left="2155" w:hanging="879"/>
    </w:pPr>
  </w:style>
  <w:style w:type="paragraph" w:styleId="TOC4">
    <w:name w:val="toc 4"/>
    <w:basedOn w:val="TOC3"/>
    <w:semiHidden/>
    <w:rsid w:val="00136994"/>
    <w:pPr>
      <w:tabs>
        <w:tab w:val="left" w:pos="3261"/>
      </w:tabs>
      <w:spacing w:before="80"/>
      <w:ind w:left="3261" w:hanging="993"/>
    </w:pPr>
  </w:style>
  <w:style w:type="paragraph" w:styleId="TOC5">
    <w:name w:val="toc 5"/>
    <w:basedOn w:val="TOC4"/>
    <w:semiHidden/>
    <w:rsid w:val="00136994"/>
  </w:style>
  <w:style w:type="paragraph" w:styleId="TOC6">
    <w:name w:val="toc 6"/>
    <w:basedOn w:val="TOC4"/>
    <w:semiHidden/>
    <w:rsid w:val="00136994"/>
  </w:style>
  <w:style w:type="paragraph" w:styleId="TOC7">
    <w:name w:val="toc 7"/>
    <w:basedOn w:val="TOC4"/>
    <w:semiHidden/>
    <w:rsid w:val="00136994"/>
  </w:style>
  <w:style w:type="paragraph" w:styleId="TOC8">
    <w:name w:val="toc 8"/>
    <w:basedOn w:val="TOC4"/>
    <w:semiHidden/>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enumlev1Char">
    <w:name w:val="enumlev1 Char"/>
    <w:basedOn w:val="DefaultParagraphFont"/>
    <w:link w:val="enumlev1"/>
    <w:locked/>
    <w:rsid w:val="00F4638D"/>
    <w:rPr>
      <w:sz w:val="24"/>
      <w:lang w:val="fr-FR" w:eastAsia="en-US"/>
    </w:rPr>
  </w:style>
  <w:style w:type="character" w:customStyle="1" w:styleId="RectitleChar">
    <w:name w:val="Rec_title Char"/>
    <w:basedOn w:val="DefaultParagraphFont"/>
    <w:link w:val="Rectitle"/>
    <w:locked/>
    <w:rsid w:val="00F4638D"/>
    <w:rPr>
      <w:b/>
      <w:sz w:val="28"/>
      <w:lang w:val="fr-FR" w:eastAsia="en-US"/>
    </w:rPr>
  </w:style>
  <w:style w:type="character" w:customStyle="1" w:styleId="NormalaftertitleChar">
    <w:name w:val="Normal_after_title Char"/>
    <w:basedOn w:val="DefaultParagraphFont"/>
    <w:link w:val="Normalaftertitle"/>
    <w:locked/>
    <w:rsid w:val="00F4638D"/>
    <w:rPr>
      <w:sz w:val="24"/>
      <w:lang w:val="fr-FR" w:eastAsia="en-US"/>
    </w:rPr>
  </w:style>
  <w:style w:type="paragraph" w:styleId="BalloonText">
    <w:name w:val="Balloon Text"/>
    <w:basedOn w:val="Normal"/>
    <w:link w:val="BalloonTextChar"/>
    <w:rsid w:val="005B27E8"/>
    <w:pPr>
      <w:spacing w:before="0"/>
    </w:pPr>
    <w:rPr>
      <w:rFonts w:ascii="Tahoma" w:hAnsi="Tahoma" w:cs="Tahoma"/>
      <w:sz w:val="16"/>
      <w:szCs w:val="16"/>
    </w:rPr>
  </w:style>
  <w:style w:type="character" w:customStyle="1" w:styleId="BalloonTextChar">
    <w:name w:val="Balloon Text Char"/>
    <w:basedOn w:val="DefaultParagraphFont"/>
    <w:link w:val="BalloonText"/>
    <w:rsid w:val="005B27E8"/>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69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36994"/>
    <w:pPr>
      <w:keepNext/>
      <w:keepLines/>
      <w:spacing w:before="480"/>
      <w:ind w:left="794" w:hanging="794"/>
      <w:outlineLvl w:val="0"/>
    </w:pPr>
    <w:rPr>
      <w:b/>
    </w:rPr>
  </w:style>
  <w:style w:type="paragraph" w:styleId="Heading2">
    <w:name w:val="heading 2"/>
    <w:basedOn w:val="Heading1"/>
    <w:next w:val="Normal"/>
    <w:qFormat/>
    <w:rsid w:val="00136994"/>
    <w:pPr>
      <w:spacing w:before="320"/>
      <w:outlineLvl w:val="1"/>
    </w:pPr>
  </w:style>
  <w:style w:type="paragraph" w:styleId="Heading3">
    <w:name w:val="heading 3"/>
    <w:basedOn w:val="Heading1"/>
    <w:next w:val="Normal"/>
    <w:qFormat/>
    <w:rsid w:val="00136994"/>
    <w:pPr>
      <w:spacing w:before="200"/>
      <w:outlineLvl w:val="2"/>
    </w:pPr>
  </w:style>
  <w:style w:type="paragraph" w:styleId="Heading4">
    <w:name w:val="heading 4"/>
    <w:basedOn w:val="Heading3"/>
    <w:next w:val="Normal"/>
    <w:qFormat/>
    <w:rsid w:val="00136994"/>
    <w:pPr>
      <w:tabs>
        <w:tab w:val="clear" w:pos="794"/>
        <w:tab w:val="left" w:pos="992"/>
      </w:tabs>
      <w:ind w:left="992" w:hanging="992"/>
      <w:outlineLvl w:val="3"/>
    </w:pPr>
  </w:style>
  <w:style w:type="paragraph" w:styleId="Heading5">
    <w:name w:val="heading 5"/>
    <w:basedOn w:val="Heading4"/>
    <w:next w:val="Normal"/>
    <w:qFormat/>
    <w:rsid w:val="00136994"/>
    <w:pPr>
      <w:outlineLvl w:val="4"/>
    </w:pPr>
  </w:style>
  <w:style w:type="paragraph" w:styleId="Heading6">
    <w:name w:val="heading 6"/>
    <w:basedOn w:val="Heading4"/>
    <w:next w:val="Normal"/>
    <w:qFormat/>
    <w:rsid w:val="00136994"/>
    <w:pPr>
      <w:tabs>
        <w:tab w:val="clear" w:pos="992"/>
        <w:tab w:val="clear" w:pos="1191"/>
      </w:tabs>
      <w:ind w:left="1588" w:hanging="1588"/>
      <w:outlineLvl w:val="5"/>
    </w:pPr>
  </w:style>
  <w:style w:type="paragraph" w:styleId="Heading7">
    <w:name w:val="heading 7"/>
    <w:basedOn w:val="Heading6"/>
    <w:next w:val="Normal"/>
    <w:qFormat/>
    <w:rsid w:val="00136994"/>
    <w:pPr>
      <w:outlineLvl w:val="6"/>
    </w:pPr>
  </w:style>
  <w:style w:type="paragraph" w:styleId="Heading8">
    <w:name w:val="heading 8"/>
    <w:basedOn w:val="Heading6"/>
    <w:next w:val="Normal"/>
    <w:qFormat/>
    <w:rsid w:val="00136994"/>
    <w:pPr>
      <w:outlineLvl w:val="7"/>
    </w:pPr>
  </w:style>
  <w:style w:type="paragraph" w:styleId="Heading9">
    <w:name w:val="heading 9"/>
    <w:basedOn w:val="Heading6"/>
    <w:next w:val="Normal"/>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rsid w:val="00136994"/>
    <w:pPr>
      <w:spacing w:before="160"/>
      <w:ind w:left="0" w:firstLine="0"/>
      <w:outlineLvl w:val="9"/>
    </w:pPr>
  </w:style>
  <w:style w:type="paragraph" w:customStyle="1" w:styleId="Headingi">
    <w:name w:val="Heading_i"/>
    <w:basedOn w:val="Heading3"/>
    <w:next w:val="Normal"/>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136994"/>
    <w:pPr>
      <w:keepNext/>
      <w:keepLines/>
      <w:spacing w:before="480" w:after="80"/>
      <w:jc w:val="center"/>
    </w:pPr>
    <w:rPr>
      <w:b/>
      <w:sz w:val="28"/>
    </w:rPr>
  </w:style>
  <w:style w:type="paragraph" w:customStyle="1" w:styleId="Normalaftertitle">
    <w:name w:val="Normal_after_title"/>
    <w:basedOn w:val="Normal"/>
    <w:next w:val="Normal"/>
    <w:link w:val="NormalaftertitleChar"/>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link w:val="enumlev1Char"/>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36994"/>
    <w:pPr>
      <w:keepNext/>
      <w:spacing w:before="360" w:after="120"/>
      <w:jc w:val="center"/>
    </w:pPr>
  </w:style>
  <w:style w:type="paragraph" w:customStyle="1" w:styleId="Tabletext">
    <w:name w:val="Table_text"/>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36994"/>
    <w:pPr>
      <w:keepNext/>
      <w:keepLines/>
      <w:spacing w:before="480" w:after="80"/>
      <w:jc w:val="center"/>
    </w:pPr>
    <w:rPr>
      <w:caps/>
      <w:sz w:val="18"/>
    </w:rPr>
  </w:style>
  <w:style w:type="paragraph" w:customStyle="1" w:styleId="Figuretitle">
    <w:name w:val="Figure_title"/>
    <w:basedOn w:val="Normal"/>
    <w:next w:val="Figure"/>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semiHidden/>
    <w:rsid w:val="00136994"/>
    <w:rPr>
      <w:position w:val="6"/>
      <w:sz w:val="18"/>
    </w:rPr>
  </w:style>
  <w:style w:type="paragraph" w:styleId="FootnoteText">
    <w:name w:val="footnote text"/>
    <w:basedOn w:val="Normal"/>
    <w:semiHidden/>
    <w:rsid w:val="00136994"/>
    <w:pPr>
      <w:keepLines/>
      <w:tabs>
        <w:tab w:val="left" w:pos="255"/>
      </w:tabs>
      <w:ind w:left="255" w:hanging="255"/>
    </w:pPr>
    <w:rPr>
      <w:sz w:val="22"/>
    </w:rPr>
  </w:style>
  <w:style w:type="paragraph" w:styleId="Index1">
    <w:name w:val="index 1"/>
    <w:basedOn w:val="Normal"/>
    <w:next w:val="Normal"/>
    <w:semiHidden/>
    <w:rsid w:val="00136994"/>
  </w:style>
  <w:style w:type="paragraph" w:styleId="Index2">
    <w:name w:val="index 2"/>
    <w:basedOn w:val="Normal"/>
    <w:next w:val="Normal"/>
    <w:semiHidden/>
    <w:rsid w:val="00136994"/>
    <w:pPr>
      <w:ind w:left="283"/>
    </w:pPr>
  </w:style>
  <w:style w:type="paragraph" w:styleId="Index3">
    <w:name w:val="index 3"/>
    <w:basedOn w:val="Normal"/>
    <w:next w:val="Normal"/>
    <w:semiHidden/>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semiHidden/>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94"/>
    <w:pPr>
      <w:tabs>
        <w:tab w:val="clear" w:pos="567"/>
        <w:tab w:val="left" w:pos="1276"/>
      </w:tabs>
      <w:spacing w:before="160"/>
      <w:ind w:left="1276" w:hanging="709"/>
    </w:pPr>
  </w:style>
  <w:style w:type="paragraph" w:styleId="TOC3">
    <w:name w:val="toc 3"/>
    <w:basedOn w:val="TOC2"/>
    <w:semiHidden/>
    <w:rsid w:val="00136994"/>
    <w:pPr>
      <w:tabs>
        <w:tab w:val="clear" w:pos="1276"/>
        <w:tab w:val="left" w:pos="2155"/>
      </w:tabs>
      <w:ind w:left="2155" w:hanging="879"/>
    </w:pPr>
  </w:style>
  <w:style w:type="paragraph" w:styleId="TOC4">
    <w:name w:val="toc 4"/>
    <w:basedOn w:val="TOC3"/>
    <w:semiHidden/>
    <w:rsid w:val="00136994"/>
    <w:pPr>
      <w:tabs>
        <w:tab w:val="left" w:pos="3261"/>
      </w:tabs>
      <w:spacing w:before="80"/>
      <w:ind w:left="3261" w:hanging="993"/>
    </w:pPr>
  </w:style>
  <w:style w:type="paragraph" w:styleId="TOC5">
    <w:name w:val="toc 5"/>
    <w:basedOn w:val="TOC4"/>
    <w:semiHidden/>
    <w:rsid w:val="00136994"/>
  </w:style>
  <w:style w:type="paragraph" w:styleId="TOC6">
    <w:name w:val="toc 6"/>
    <w:basedOn w:val="TOC4"/>
    <w:semiHidden/>
    <w:rsid w:val="00136994"/>
  </w:style>
  <w:style w:type="paragraph" w:styleId="TOC7">
    <w:name w:val="toc 7"/>
    <w:basedOn w:val="TOC4"/>
    <w:semiHidden/>
    <w:rsid w:val="00136994"/>
  </w:style>
  <w:style w:type="paragraph" w:styleId="TOC8">
    <w:name w:val="toc 8"/>
    <w:basedOn w:val="TOC4"/>
    <w:semiHidden/>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enumlev1Char">
    <w:name w:val="enumlev1 Char"/>
    <w:basedOn w:val="DefaultParagraphFont"/>
    <w:link w:val="enumlev1"/>
    <w:locked/>
    <w:rsid w:val="00F4638D"/>
    <w:rPr>
      <w:sz w:val="24"/>
      <w:lang w:val="fr-FR" w:eastAsia="en-US"/>
    </w:rPr>
  </w:style>
  <w:style w:type="character" w:customStyle="1" w:styleId="RectitleChar">
    <w:name w:val="Rec_title Char"/>
    <w:basedOn w:val="DefaultParagraphFont"/>
    <w:link w:val="Rectitle"/>
    <w:locked/>
    <w:rsid w:val="00F4638D"/>
    <w:rPr>
      <w:b/>
      <w:sz w:val="28"/>
      <w:lang w:val="fr-FR" w:eastAsia="en-US"/>
    </w:rPr>
  </w:style>
  <w:style w:type="character" w:customStyle="1" w:styleId="NormalaftertitleChar">
    <w:name w:val="Normal_after_title Char"/>
    <w:basedOn w:val="DefaultParagraphFont"/>
    <w:link w:val="Normalaftertitle"/>
    <w:locked/>
    <w:rsid w:val="00F4638D"/>
    <w:rPr>
      <w:sz w:val="24"/>
      <w:lang w:val="fr-FR" w:eastAsia="en-US"/>
    </w:rPr>
  </w:style>
  <w:style w:type="paragraph" w:styleId="BalloonText">
    <w:name w:val="Balloon Text"/>
    <w:basedOn w:val="Normal"/>
    <w:link w:val="BalloonTextChar"/>
    <w:rsid w:val="005B27E8"/>
    <w:pPr>
      <w:spacing w:before="0"/>
    </w:pPr>
    <w:rPr>
      <w:rFonts w:ascii="Tahoma" w:hAnsi="Tahoma" w:cs="Tahoma"/>
      <w:sz w:val="16"/>
      <w:szCs w:val="16"/>
    </w:rPr>
  </w:style>
  <w:style w:type="character" w:customStyle="1" w:styleId="BalloonTextChar">
    <w:name w:val="Balloon Text Char"/>
    <w:basedOn w:val="DefaultParagraphFont"/>
    <w:link w:val="BalloonText"/>
    <w:rsid w:val="005B27E8"/>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7.emf"/><Relationship Id="rId21" Type="http://schemas.openxmlformats.org/officeDocument/2006/relationships/oleObject" Target="embeddings/oleObject3.bin"/><Relationship Id="rId34" Type="http://schemas.openxmlformats.org/officeDocument/2006/relationships/image" Target="media/image13.wmf"/><Relationship Id="rId42" Type="http://schemas.openxmlformats.org/officeDocument/2006/relationships/oleObject" Target="embeddings/oleObject10.bin"/><Relationship Id="rId47" Type="http://schemas.openxmlformats.org/officeDocument/2006/relationships/oleObject" Target="embeddings/oleObject12.bin"/><Relationship Id="rId50" Type="http://schemas.openxmlformats.org/officeDocument/2006/relationships/image" Target="media/image25.emf"/><Relationship Id="rId55" Type="http://schemas.openxmlformats.org/officeDocument/2006/relationships/oleObject" Target="embeddings/oleObject14.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image" Target="media/image12.emf"/><Relationship Id="rId38" Type="http://schemas.openxmlformats.org/officeDocument/2006/relationships/image" Target="media/image16.emf"/><Relationship Id="rId46"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wmf"/><Relationship Id="rId29" Type="http://schemas.openxmlformats.org/officeDocument/2006/relationships/image" Target="media/image10.wmf"/><Relationship Id="rId41" Type="http://schemas.openxmlformats.org/officeDocument/2006/relationships/image" Target="media/image19.wmf"/><Relationship Id="rId54"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7.wmf"/><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oleObject" Target="embeddings/oleObject11.bin"/><Relationship Id="rId53" Type="http://schemas.openxmlformats.org/officeDocument/2006/relationships/oleObject" Target="embeddings/oleObject13.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image" Target="media/image14.emf"/><Relationship Id="rId49" Type="http://schemas.openxmlformats.org/officeDocument/2006/relationships/image" Target="media/image24.emf"/><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1.wmf"/><Relationship Id="rId44" Type="http://schemas.openxmlformats.org/officeDocument/2006/relationships/image" Target="media/image21.wmf"/><Relationship Id="rId52" Type="http://schemas.openxmlformats.org/officeDocument/2006/relationships/image" Target="media/image2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image" Target="media/image20.emf"/><Relationship Id="rId48" Type="http://schemas.openxmlformats.org/officeDocument/2006/relationships/image" Target="media/image23.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ECEC4-7AAE-4C62-A3B8-489F43556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0</TotalTime>
  <Pages>19</Pages>
  <Words>3841</Words>
  <Characters>21543</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RECOMMENDATION  ITU-R  P.1817-1 - Propagation data required for the design of terrestrial free-space optical links</vt:lpstr>
    </vt:vector>
  </TitlesOfParts>
  <Manager/>
  <Company>ITU</Company>
  <LinksUpToDate>false</LinksUpToDate>
  <CharactersWithSpaces>25334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P.1817-1 - Propagation data required for the design of terrestrial free-space optical links</dc:title>
  <dc:subject>P Series = Radiowave propagation</dc:subject>
  <dc:creator>ITU Radiocommunication Bureau (BR)</dc:creator>
  <cp:keywords>P,1817-1</cp:keywords>
  <dc:description>Santosbo, 08.02.2012, MSB106309</dc:description>
  <cp:lastModifiedBy>fernande</cp:lastModifiedBy>
  <cp:revision>2</cp:revision>
  <cp:lastPrinted>2009-06-26T13:19:00Z</cp:lastPrinted>
  <dcterms:created xsi:type="dcterms:W3CDTF">2012-03-23T15:23:00Z</dcterms:created>
  <dcterms:modified xsi:type="dcterms:W3CDTF">2012-03-23T15:23:00Z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mercredi, 8. février 2012</vt:lpwstr>
  </property>
</Properties>
</file>