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6FF" w:rsidRPr="0051531E" w:rsidRDefault="007236FF">
      <w:pPr>
        <w:rPr>
          <w:lang w:val="fr-CH"/>
        </w:rPr>
      </w:pPr>
    </w:p>
    <w:p w:rsidR="007236FF" w:rsidRPr="0051531E" w:rsidRDefault="007236FF">
      <w:pPr>
        <w:rPr>
          <w:lang w:val="fr-CH"/>
        </w:rPr>
      </w:pPr>
    </w:p>
    <w:p w:rsidR="007236FF" w:rsidRPr="0051531E" w:rsidRDefault="007236FF">
      <w:pPr>
        <w:rPr>
          <w:lang w:val="fr-CH"/>
        </w:rPr>
      </w:pPr>
    </w:p>
    <w:p w:rsidR="007236FF" w:rsidRPr="0051531E" w:rsidRDefault="007236FF">
      <w:pPr>
        <w:rPr>
          <w:lang w:val="fr-CH"/>
        </w:rPr>
      </w:pPr>
    </w:p>
    <w:p w:rsidR="007236FF" w:rsidRPr="0051531E" w:rsidRDefault="007236FF">
      <w:pPr>
        <w:rPr>
          <w:lang w:val="fr-CH"/>
        </w:rPr>
      </w:pPr>
    </w:p>
    <w:p w:rsidR="007236FF" w:rsidRPr="0051531E" w:rsidRDefault="007236FF">
      <w:pPr>
        <w:rPr>
          <w:lang w:val="fr-CH"/>
        </w:rPr>
      </w:pPr>
    </w:p>
    <w:p w:rsidR="007236FF" w:rsidRPr="0051531E" w:rsidRDefault="007236FF">
      <w:pPr>
        <w:rPr>
          <w:lang w:val="fr-CH"/>
        </w:rPr>
      </w:pPr>
    </w:p>
    <w:p w:rsidR="007236FF" w:rsidRPr="0051531E" w:rsidRDefault="007236FF">
      <w:pPr>
        <w:rPr>
          <w:lang w:val="fr-CH"/>
        </w:rPr>
      </w:pPr>
    </w:p>
    <w:p w:rsidR="007236FF" w:rsidRPr="0051531E" w:rsidRDefault="007236FF">
      <w:pPr>
        <w:rPr>
          <w:lang w:val="fr-CH"/>
        </w:rPr>
      </w:pPr>
    </w:p>
    <w:p w:rsidR="007236FF" w:rsidRPr="0051531E" w:rsidRDefault="007236FF">
      <w:pPr>
        <w:rPr>
          <w:lang w:val="fr-CH"/>
        </w:rPr>
      </w:pPr>
    </w:p>
    <w:p w:rsidR="007236FF" w:rsidRPr="0051531E" w:rsidRDefault="007236FF">
      <w:pPr>
        <w:rPr>
          <w:lang w:val="fr-CH"/>
        </w:rPr>
      </w:pPr>
    </w:p>
    <w:p w:rsidR="007236FF" w:rsidRPr="0051531E" w:rsidRDefault="007236FF">
      <w:pPr>
        <w:rPr>
          <w:lang w:val="fr-CH"/>
        </w:rPr>
      </w:pPr>
    </w:p>
    <w:tbl>
      <w:tblPr>
        <w:tblW w:w="10089" w:type="dxa"/>
        <w:tblLook w:val="01E0" w:firstRow="1" w:lastRow="1" w:firstColumn="1" w:lastColumn="1" w:noHBand="0" w:noVBand="0"/>
      </w:tblPr>
      <w:tblGrid>
        <w:gridCol w:w="10089"/>
      </w:tblGrid>
      <w:tr w:rsidR="007236FF" w:rsidRPr="0051531E">
        <w:tc>
          <w:tcPr>
            <w:tcW w:w="10089" w:type="dxa"/>
          </w:tcPr>
          <w:p w:rsidR="007236FF" w:rsidRPr="0051531E" w:rsidRDefault="007236FF" w:rsidP="00013002">
            <w:pPr>
              <w:spacing w:before="380" w:line="280" w:lineRule="exact"/>
              <w:jc w:val="right"/>
              <w:rPr>
                <w:rFonts w:ascii="Tahoma" w:hAnsi="Tahoma" w:cs="Tahoma"/>
                <w:b/>
                <w:bCs/>
                <w:iCs/>
                <w:color w:val="243285"/>
                <w:sz w:val="32"/>
                <w:szCs w:val="32"/>
                <w:lang w:val="fr-CH"/>
              </w:rPr>
            </w:pPr>
          </w:p>
          <w:p w:rsidR="007236FF" w:rsidRPr="0051531E" w:rsidRDefault="007236FF" w:rsidP="004A4E20">
            <w:pPr>
              <w:spacing w:before="380" w:line="280" w:lineRule="exact"/>
              <w:jc w:val="right"/>
              <w:rPr>
                <w:rFonts w:ascii="Tahoma" w:hAnsi="Tahoma" w:cs="Tahoma"/>
                <w:b/>
                <w:bCs/>
                <w:iCs/>
                <w:color w:val="243285"/>
                <w:sz w:val="36"/>
                <w:szCs w:val="36"/>
                <w:lang w:val="fr-CH"/>
              </w:rPr>
            </w:pPr>
            <w:r w:rsidRPr="0051531E">
              <w:rPr>
                <w:rFonts w:ascii="Tahoma" w:hAnsi="Tahoma" w:cs="Tahoma"/>
                <w:b/>
                <w:bCs/>
                <w:iCs/>
                <w:color w:val="243285"/>
                <w:sz w:val="36"/>
                <w:szCs w:val="36"/>
                <w:lang w:val="fr-CH"/>
              </w:rPr>
              <w:t>Recommandation  UIT-R  P.</w:t>
            </w:r>
            <w:r w:rsidR="004A4E20" w:rsidRPr="0051531E">
              <w:rPr>
                <w:rFonts w:ascii="Tahoma" w:hAnsi="Tahoma" w:cs="Tahoma"/>
                <w:b/>
                <w:bCs/>
                <w:iCs/>
                <w:color w:val="243285"/>
                <w:sz w:val="36"/>
                <w:szCs w:val="36"/>
                <w:lang w:val="fr-CH"/>
              </w:rPr>
              <w:t>1817-1</w:t>
            </w:r>
          </w:p>
          <w:p w:rsidR="007236FF" w:rsidRPr="0051531E" w:rsidRDefault="007236FF" w:rsidP="004A4E20">
            <w:pPr>
              <w:spacing w:before="80" w:line="280" w:lineRule="exact"/>
              <w:jc w:val="right"/>
              <w:rPr>
                <w:rFonts w:ascii="Tahoma" w:hAnsi="Tahoma" w:cs="Tahoma"/>
                <w:b/>
                <w:bCs/>
                <w:iCs/>
                <w:color w:val="243285"/>
                <w:szCs w:val="24"/>
                <w:lang w:val="fr-CH"/>
              </w:rPr>
            </w:pPr>
            <w:r w:rsidRPr="0051531E">
              <w:rPr>
                <w:rFonts w:ascii="Tahoma" w:hAnsi="Tahoma" w:cs="Tahoma"/>
                <w:b/>
                <w:bCs/>
                <w:iCs/>
                <w:color w:val="243285"/>
                <w:szCs w:val="24"/>
                <w:lang w:val="fr-CH"/>
              </w:rPr>
              <w:t>(</w:t>
            </w:r>
            <w:r w:rsidR="004A4E20" w:rsidRPr="0051531E">
              <w:rPr>
                <w:rFonts w:ascii="Tahoma" w:hAnsi="Tahoma" w:cs="Tahoma"/>
                <w:b/>
                <w:bCs/>
                <w:iCs/>
                <w:color w:val="243285"/>
                <w:szCs w:val="24"/>
                <w:lang w:val="fr-CH"/>
              </w:rPr>
              <w:t>02</w:t>
            </w:r>
            <w:r w:rsidRPr="0051531E">
              <w:rPr>
                <w:rFonts w:ascii="Tahoma" w:hAnsi="Tahoma" w:cs="Tahoma"/>
                <w:b/>
                <w:bCs/>
                <w:iCs/>
                <w:color w:val="243285"/>
                <w:szCs w:val="24"/>
                <w:lang w:val="fr-CH"/>
              </w:rPr>
              <w:t>/</w:t>
            </w:r>
            <w:r w:rsidR="004A4E20" w:rsidRPr="0051531E">
              <w:rPr>
                <w:rFonts w:ascii="Tahoma" w:hAnsi="Tahoma" w:cs="Tahoma"/>
                <w:b/>
                <w:bCs/>
                <w:iCs/>
                <w:color w:val="243285"/>
                <w:szCs w:val="24"/>
                <w:lang w:val="fr-CH"/>
              </w:rPr>
              <w:t>2012</w:t>
            </w:r>
            <w:r w:rsidRPr="0051531E">
              <w:rPr>
                <w:rFonts w:ascii="Tahoma" w:hAnsi="Tahoma" w:cs="Tahoma"/>
                <w:b/>
                <w:bCs/>
                <w:iCs/>
                <w:color w:val="243285"/>
                <w:szCs w:val="24"/>
                <w:lang w:val="fr-CH"/>
              </w:rPr>
              <w:t>)</w:t>
            </w:r>
          </w:p>
        </w:tc>
      </w:tr>
      <w:tr w:rsidR="007236FF" w:rsidRPr="0051531E">
        <w:tc>
          <w:tcPr>
            <w:tcW w:w="10089" w:type="dxa"/>
          </w:tcPr>
          <w:p w:rsidR="007236FF" w:rsidRPr="0051531E" w:rsidRDefault="007236FF" w:rsidP="00123FD5">
            <w:pPr>
              <w:spacing w:before="80" w:line="500" w:lineRule="exact"/>
              <w:jc w:val="right"/>
              <w:rPr>
                <w:rFonts w:ascii="Tahoma" w:hAnsi="Tahoma" w:cs="Tahoma"/>
                <w:b/>
                <w:bCs/>
                <w:iCs/>
                <w:color w:val="243285"/>
                <w:sz w:val="44"/>
                <w:szCs w:val="44"/>
                <w:lang w:val="fr-CH"/>
              </w:rPr>
            </w:pPr>
          </w:p>
          <w:p w:rsidR="007236FF" w:rsidRPr="0051531E" w:rsidRDefault="004A4E20" w:rsidP="004A4E20">
            <w:pPr>
              <w:spacing w:before="80" w:line="500" w:lineRule="exact"/>
              <w:jc w:val="right"/>
              <w:rPr>
                <w:rFonts w:ascii="Tahoma" w:hAnsi="Tahoma" w:cs="Tahoma"/>
                <w:b/>
                <w:bCs/>
                <w:iCs/>
                <w:color w:val="243285"/>
                <w:sz w:val="44"/>
                <w:szCs w:val="44"/>
                <w:lang w:val="fr-CH"/>
              </w:rPr>
            </w:pPr>
            <w:r w:rsidRPr="0051531E">
              <w:rPr>
                <w:rFonts w:ascii="Tahoma" w:hAnsi="Tahoma" w:cs="Tahoma"/>
                <w:b/>
                <w:bCs/>
                <w:color w:val="243285"/>
                <w:sz w:val="44"/>
                <w:szCs w:val="44"/>
                <w:lang w:val="fr-CH"/>
              </w:rPr>
              <w:t xml:space="preserve">Données de propagation nécessaires </w:t>
            </w:r>
            <w:r w:rsidR="00050036">
              <w:rPr>
                <w:rFonts w:ascii="Tahoma" w:hAnsi="Tahoma" w:cs="Tahoma"/>
                <w:b/>
                <w:bCs/>
                <w:color w:val="243285"/>
                <w:sz w:val="44"/>
                <w:szCs w:val="44"/>
                <w:lang w:val="fr-CH"/>
              </w:rPr>
              <w:br/>
            </w:r>
            <w:r w:rsidRPr="0051531E">
              <w:rPr>
                <w:rFonts w:ascii="Tahoma" w:hAnsi="Tahoma" w:cs="Tahoma"/>
                <w:b/>
                <w:bCs/>
                <w:color w:val="243285"/>
                <w:sz w:val="44"/>
                <w:szCs w:val="44"/>
                <w:lang w:val="fr-CH"/>
              </w:rPr>
              <w:t xml:space="preserve">pour la conception de liaisons </w:t>
            </w:r>
            <w:r w:rsidR="00050036">
              <w:rPr>
                <w:rFonts w:ascii="Tahoma" w:hAnsi="Tahoma" w:cs="Tahoma"/>
                <w:b/>
                <w:bCs/>
                <w:color w:val="243285"/>
                <w:sz w:val="44"/>
                <w:szCs w:val="44"/>
                <w:lang w:val="fr-CH"/>
              </w:rPr>
              <w:br/>
            </w:r>
            <w:r w:rsidRPr="0051531E">
              <w:rPr>
                <w:rFonts w:ascii="Tahoma" w:hAnsi="Tahoma" w:cs="Tahoma"/>
                <w:b/>
                <w:bCs/>
                <w:color w:val="243285"/>
                <w:sz w:val="44"/>
                <w:szCs w:val="44"/>
                <w:lang w:val="fr-CH"/>
              </w:rPr>
              <w:t>optiques de Terre en espace libre</w:t>
            </w:r>
            <w:r w:rsidRPr="0051531E">
              <w:rPr>
                <w:rFonts w:ascii="Tahoma" w:hAnsi="Tahoma" w:cs="Tahoma"/>
                <w:b/>
                <w:bCs/>
                <w:iCs/>
                <w:color w:val="243285"/>
                <w:sz w:val="44"/>
                <w:szCs w:val="44"/>
                <w:lang w:val="fr-CH"/>
              </w:rPr>
              <w:t xml:space="preserve"> </w:t>
            </w:r>
          </w:p>
        </w:tc>
      </w:tr>
      <w:tr w:rsidR="007236FF" w:rsidRPr="0051531E">
        <w:tc>
          <w:tcPr>
            <w:tcW w:w="10089" w:type="dxa"/>
          </w:tcPr>
          <w:p w:rsidR="007236FF" w:rsidRPr="0051531E" w:rsidRDefault="007236FF" w:rsidP="00AD267B">
            <w:pPr>
              <w:spacing w:before="80" w:line="280" w:lineRule="exact"/>
              <w:ind w:right="640"/>
              <w:rPr>
                <w:rFonts w:ascii="Tahoma" w:hAnsi="Tahoma" w:cs="Tahoma"/>
                <w:b/>
                <w:bCs/>
                <w:iCs/>
                <w:color w:val="243285"/>
                <w:sz w:val="32"/>
                <w:szCs w:val="32"/>
                <w:lang w:val="fr-CH"/>
              </w:rPr>
            </w:pPr>
          </w:p>
          <w:p w:rsidR="007236FF" w:rsidRPr="0051531E" w:rsidRDefault="007236FF" w:rsidP="00AD267B">
            <w:pPr>
              <w:spacing w:before="80" w:line="280" w:lineRule="exact"/>
              <w:ind w:right="640"/>
              <w:rPr>
                <w:rFonts w:ascii="Tahoma" w:hAnsi="Tahoma" w:cs="Tahoma"/>
                <w:b/>
                <w:bCs/>
                <w:iCs/>
                <w:color w:val="243285"/>
                <w:sz w:val="32"/>
                <w:szCs w:val="32"/>
                <w:lang w:val="fr-CH"/>
              </w:rPr>
            </w:pPr>
          </w:p>
          <w:p w:rsidR="007236FF" w:rsidRPr="0051531E" w:rsidRDefault="007236FF" w:rsidP="004A4D65">
            <w:pPr>
              <w:spacing w:before="80" w:after="180" w:line="360" w:lineRule="exact"/>
              <w:ind w:right="720"/>
              <w:rPr>
                <w:rFonts w:ascii="Tahoma" w:hAnsi="Tahoma" w:cs="Tahoma"/>
                <w:b/>
                <w:bCs/>
                <w:iCs/>
                <w:color w:val="243285"/>
                <w:sz w:val="36"/>
                <w:szCs w:val="36"/>
                <w:lang w:val="fr-CH"/>
              </w:rPr>
            </w:pPr>
          </w:p>
          <w:p w:rsidR="007236FF" w:rsidRPr="0051531E" w:rsidRDefault="007236FF" w:rsidP="00DE5EA2">
            <w:pPr>
              <w:spacing w:before="80" w:after="180" w:line="360" w:lineRule="exact"/>
              <w:jc w:val="right"/>
              <w:rPr>
                <w:rFonts w:ascii="Tahoma" w:hAnsi="Tahoma" w:cs="Tahoma"/>
                <w:b/>
                <w:bCs/>
                <w:iCs/>
                <w:color w:val="243285"/>
                <w:sz w:val="36"/>
                <w:szCs w:val="36"/>
                <w:lang w:val="fr-CH"/>
              </w:rPr>
            </w:pPr>
            <w:r w:rsidRPr="0051531E">
              <w:rPr>
                <w:rFonts w:ascii="Tahoma" w:hAnsi="Tahoma" w:cs="Tahoma"/>
                <w:b/>
                <w:bCs/>
                <w:iCs/>
                <w:color w:val="243285"/>
                <w:sz w:val="36"/>
                <w:szCs w:val="36"/>
                <w:lang w:val="fr-CH"/>
              </w:rPr>
              <w:t>Série P</w:t>
            </w:r>
          </w:p>
          <w:p w:rsidR="007236FF" w:rsidRPr="0051531E" w:rsidRDefault="007236FF" w:rsidP="00AD267B">
            <w:pPr>
              <w:spacing w:before="80" w:line="420" w:lineRule="exact"/>
              <w:jc w:val="right"/>
              <w:rPr>
                <w:rFonts w:ascii="Tahoma" w:hAnsi="Tahoma" w:cs="Tahoma"/>
                <w:b/>
                <w:bCs/>
                <w:iCs/>
                <w:color w:val="243285"/>
                <w:sz w:val="36"/>
                <w:szCs w:val="36"/>
                <w:lang w:val="fr-CH"/>
              </w:rPr>
            </w:pPr>
            <w:r w:rsidRPr="0051531E">
              <w:rPr>
                <w:rFonts w:ascii="Tahoma" w:hAnsi="Tahoma" w:cs="Tahoma"/>
                <w:b/>
                <w:bCs/>
                <w:iCs/>
                <w:color w:val="243285"/>
                <w:sz w:val="36"/>
                <w:szCs w:val="36"/>
                <w:lang w:val="fr-CH"/>
              </w:rPr>
              <w:t>Propagation des ondes radioélectriques</w:t>
            </w:r>
          </w:p>
        </w:tc>
      </w:tr>
    </w:tbl>
    <w:p w:rsidR="007236FF" w:rsidRPr="0051531E" w:rsidRDefault="007236FF" w:rsidP="00CD659B">
      <w:pPr>
        <w:spacing w:before="80"/>
        <w:rPr>
          <w:i/>
          <w:sz w:val="22"/>
          <w:lang w:val="fr-CH"/>
        </w:rPr>
      </w:pPr>
    </w:p>
    <w:p w:rsidR="007236FF" w:rsidRPr="0051531E" w:rsidRDefault="007236FF" w:rsidP="00CD659B">
      <w:pPr>
        <w:spacing w:before="80"/>
        <w:rPr>
          <w:i/>
          <w:sz w:val="22"/>
          <w:lang w:val="fr-CH"/>
        </w:rPr>
      </w:pPr>
    </w:p>
    <w:p w:rsidR="007236FF" w:rsidRPr="0051531E" w:rsidRDefault="007236FF" w:rsidP="00CD659B">
      <w:pPr>
        <w:spacing w:before="80"/>
        <w:rPr>
          <w:i/>
          <w:sz w:val="22"/>
          <w:lang w:val="fr-CH"/>
        </w:rPr>
      </w:pPr>
    </w:p>
    <w:p w:rsidR="007236FF" w:rsidRPr="0051531E" w:rsidRDefault="007236FF" w:rsidP="00CD659B">
      <w:pPr>
        <w:spacing w:before="80"/>
        <w:rPr>
          <w:i/>
          <w:sz w:val="22"/>
          <w:lang w:val="fr-CH"/>
        </w:rPr>
      </w:pPr>
    </w:p>
    <w:p w:rsidR="007236FF" w:rsidRPr="0051531E" w:rsidRDefault="007236FF" w:rsidP="00CD659B">
      <w:pPr>
        <w:spacing w:before="80"/>
        <w:rPr>
          <w:i/>
          <w:sz w:val="22"/>
          <w:lang w:val="fr-CH"/>
        </w:rPr>
      </w:pPr>
    </w:p>
    <w:p w:rsidR="007236FF" w:rsidRPr="0051531E" w:rsidRDefault="007236FF" w:rsidP="00CD659B">
      <w:pPr>
        <w:spacing w:before="80"/>
        <w:rPr>
          <w:i/>
          <w:sz w:val="22"/>
          <w:lang w:val="fr-CH"/>
        </w:rPr>
      </w:pPr>
    </w:p>
    <w:p w:rsidR="007236FF" w:rsidRPr="0051531E" w:rsidRDefault="007236FF" w:rsidP="00CD659B">
      <w:pPr>
        <w:pStyle w:val="Equation"/>
        <w:tabs>
          <w:tab w:val="clear" w:pos="4820"/>
          <w:tab w:val="clear" w:pos="9639"/>
          <w:tab w:val="left" w:pos="1191"/>
          <w:tab w:val="left" w:pos="1588"/>
          <w:tab w:val="left" w:pos="1985"/>
        </w:tabs>
        <w:rPr>
          <w:rFonts w:ascii="Palatino Linotype" w:hAnsi="Palatino Linotype"/>
          <w:lang w:val="fr-CH"/>
        </w:rPr>
        <w:sectPr w:rsidR="007236FF" w:rsidRPr="0051531E" w:rsidSect="00627866">
          <w:headerReference w:type="even" r:id="rId7"/>
          <w:headerReference w:type="default" r:id="rId8"/>
          <w:pgSz w:w="11907" w:h="16834" w:code="9"/>
          <w:pgMar w:top="1418" w:right="1134" w:bottom="1134" w:left="1134" w:header="720" w:footer="482" w:gutter="0"/>
          <w:paperSrc w:first="15" w:other="15"/>
          <w:cols w:space="720"/>
        </w:sectPr>
      </w:pPr>
    </w:p>
    <w:p w:rsidR="007236FF" w:rsidRPr="0051531E" w:rsidRDefault="007236FF"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51531E">
        <w:rPr>
          <w:bCs/>
          <w:sz w:val="24"/>
          <w:szCs w:val="24"/>
          <w:lang w:val="fr-CH"/>
        </w:rPr>
        <w:lastRenderedPageBreak/>
        <w:t>Avant-propos</w:t>
      </w:r>
    </w:p>
    <w:p w:rsidR="007236FF" w:rsidRPr="0051531E" w:rsidRDefault="007236FF" w:rsidP="00F54FBD">
      <w:pPr>
        <w:spacing w:before="240"/>
        <w:rPr>
          <w:sz w:val="20"/>
          <w:lang w:val="fr-CH"/>
        </w:rPr>
      </w:pPr>
      <w:r w:rsidRPr="0051531E">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236FF" w:rsidRPr="0051531E" w:rsidRDefault="007236FF" w:rsidP="00F54FBD">
      <w:pPr>
        <w:rPr>
          <w:sz w:val="20"/>
          <w:lang w:val="fr-CH"/>
        </w:rPr>
      </w:pPr>
      <w:r w:rsidRPr="0051531E">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7236FF" w:rsidRPr="0051531E" w:rsidRDefault="007236FF" w:rsidP="00614CC6">
      <w:pPr>
        <w:pStyle w:val="Heading1"/>
        <w:spacing w:before="360"/>
        <w:jc w:val="center"/>
        <w:rPr>
          <w:szCs w:val="24"/>
          <w:lang w:val="fr-CH"/>
        </w:rPr>
      </w:pPr>
      <w:r w:rsidRPr="0051531E">
        <w:rPr>
          <w:szCs w:val="24"/>
          <w:lang w:val="fr-CH"/>
        </w:rPr>
        <w:t>Politique en matière de droits de propriété intellectuelle (IPR)</w:t>
      </w:r>
    </w:p>
    <w:p w:rsidR="007236FF" w:rsidRPr="0051531E" w:rsidRDefault="007236FF" w:rsidP="001231AE">
      <w:pPr>
        <w:spacing w:before="240"/>
        <w:rPr>
          <w:sz w:val="20"/>
          <w:lang w:val="fr-CH"/>
        </w:rPr>
      </w:pPr>
      <w:r w:rsidRPr="0051531E">
        <w:rPr>
          <w:sz w:val="20"/>
          <w:lang w:val="fr-CH"/>
        </w:rPr>
        <w:t>La politique de l'UIT</w:t>
      </w:r>
      <w:r w:rsidRPr="0051531E">
        <w:rPr>
          <w:sz w:val="20"/>
          <w:lang w:val="fr-CH"/>
        </w:rPr>
        <w:noBreakHyphen/>
        <w:t>R en matière de droits de propriété intellectuelle est décrite dans la «Politique commune de l'UIT</w:t>
      </w:r>
      <w:r w:rsidRPr="0051531E">
        <w:rPr>
          <w:sz w:val="20"/>
          <w:lang w:val="fr-CH"/>
        </w:rPr>
        <w:noBreakHyphen/>
        <w:t>T, l'UIT</w:t>
      </w:r>
      <w:r w:rsidRPr="0051531E">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51531E">
          <w:rPr>
            <w:rStyle w:val="Hyperlink"/>
            <w:sz w:val="20"/>
            <w:lang w:val="fr-CH"/>
          </w:rPr>
          <w:t>http://www.itu.int/ITU-R/go/patents/fr</w:t>
        </w:r>
      </w:hyperlink>
      <w:r w:rsidRPr="0051531E">
        <w:rPr>
          <w:sz w:val="20"/>
          <w:lang w:val="fr-CH"/>
        </w:rPr>
        <w:t xml:space="preserve">, où l'on trouvera également les Lignes directrices pour la mise en </w:t>
      </w:r>
      <w:r w:rsidR="001231AE" w:rsidRPr="0051531E">
        <w:rPr>
          <w:sz w:val="20"/>
          <w:lang w:val="fr-CH"/>
        </w:rPr>
        <w:t>œ</w:t>
      </w:r>
      <w:r w:rsidRPr="0051531E">
        <w:rPr>
          <w:sz w:val="20"/>
          <w:lang w:val="fr-CH"/>
        </w:rPr>
        <w:t>uvre de la politique commune en matière de brevets de l'UIT</w:t>
      </w:r>
      <w:r w:rsidRPr="0051531E">
        <w:rPr>
          <w:sz w:val="20"/>
          <w:lang w:val="fr-CH"/>
        </w:rPr>
        <w:noBreakHyphen/>
        <w:t>T, l'UIT</w:t>
      </w:r>
      <w:r w:rsidRPr="0051531E">
        <w:rPr>
          <w:sz w:val="20"/>
          <w:lang w:val="fr-CH"/>
        </w:rPr>
        <w:noBreakHyphen/>
        <w:t>R, l'ISO et la CEI</w:t>
      </w:r>
      <w:r w:rsidRPr="0051531E" w:rsidDel="0061025C">
        <w:rPr>
          <w:sz w:val="20"/>
          <w:lang w:val="fr-CH"/>
        </w:rPr>
        <w:t xml:space="preserve"> </w:t>
      </w:r>
      <w:r w:rsidRPr="0051531E">
        <w:rPr>
          <w:sz w:val="20"/>
          <w:lang w:val="fr-CH"/>
        </w:rPr>
        <w:t>et la base de données en matière de brevets de l'UIT-R.</w:t>
      </w:r>
    </w:p>
    <w:p w:rsidR="007236FF" w:rsidRPr="0051531E" w:rsidRDefault="007236FF"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236FF" w:rsidRPr="0051531E">
        <w:tc>
          <w:tcPr>
            <w:tcW w:w="9360" w:type="dxa"/>
            <w:gridSpan w:val="2"/>
          </w:tcPr>
          <w:p w:rsidR="007236FF" w:rsidRPr="0051531E" w:rsidRDefault="007236FF"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51531E">
              <w:rPr>
                <w:sz w:val="22"/>
                <w:szCs w:val="22"/>
                <w:lang w:val="fr-CH"/>
              </w:rPr>
              <w:t xml:space="preserve">Séries des Recommandations UIT-R </w:t>
            </w:r>
          </w:p>
          <w:p w:rsidR="007236FF" w:rsidRPr="0051531E" w:rsidRDefault="007236F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51531E">
              <w:rPr>
                <w:b w:val="0"/>
                <w:sz w:val="18"/>
                <w:szCs w:val="18"/>
                <w:lang w:val="fr-CH"/>
              </w:rPr>
              <w:t xml:space="preserve">(Egalement disponible en ligne: </w:t>
            </w:r>
            <w:hyperlink r:id="rId10" w:history="1">
              <w:r w:rsidRPr="0051531E">
                <w:rPr>
                  <w:rStyle w:val="Hyperlink"/>
                  <w:b w:val="0"/>
                  <w:bCs/>
                  <w:sz w:val="18"/>
                  <w:szCs w:val="18"/>
                  <w:lang w:val="fr-CH"/>
                </w:rPr>
                <w:t>http://www.itu.int/publ/R-REC/fr</w:t>
              </w:r>
            </w:hyperlink>
            <w:r w:rsidRPr="0051531E">
              <w:rPr>
                <w:b w:val="0"/>
                <w:bCs/>
                <w:sz w:val="18"/>
                <w:szCs w:val="18"/>
                <w:lang w:val="fr-CH"/>
              </w:rPr>
              <w:t>)</w:t>
            </w:r>
          </w:p>
        </w:tc>
      </w:tr>
      <w:tr w:rsidR="007236FF" w:rsidRPr="0051531E" w:rsidTr="005E427C">
        <w:tc>
          <w:tcPr>
            <w:tcW w:w="1140" w:type="dxa"/>
            <w:tcBorders>
              <w:bottom w:val="nil"/>
            </w:tcBorders>
          </w:tcPr>
          <w:p w:rsidR="007236FF" w:rsidRPr="0051531E" w:rsidRDefault="007236FF" w:rsidP="00614CC6">
            <w:pPr>
              <w:spacing w:before="90" w:after="100"/>
              <w:ind w:left="57"/>
              <w:rPr>
                <w:b/>
                <w:bCs/>
                <w:sz w:val="20"/>
                <w:lang w:val="fr-CH"/>
              </w:rPr>
            </w:pPr>
            <w:r w:rsidRPr="0051531E">
              <w:rPr>
                <w:b/>
                <w:bCs/>
                <w:sz w:val="20"/>
                <w:lang w:val="fr-CH"/>
              </w:rPr>
              <w:t>Séries</w:t>
            </w:r>
          </w:p>
        </w:tc>
        <w:tc>
          <w:tcPr>
            <w:tcW w:w="8220" w:type="dxa"/>
            <w:tcBorders>
              <w:bottom w:val="nil"/>
            </w:tcBorders>
          </w:tcPr>
          <w:p w:rsidR="007236FF" w:rsidRPr="0051531E" w:rsidRDefault="007236FF"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51531E">
              <w:rPr>
                <w:bCs/>
                <w:sz w:val="20"/>
                <w:lang w:val="fr-CH"/>
              </w:rPr>
              <w:t>Titre</w:t>
            </w:r>
          </w:p>
        </w:tc>
      </w:tr>
      <w:tr w:rsidR="007236FF" w:rsidRPr="0051531E" w:rsidTr="005E427C">
        <w:tc>
          <w:tcPr>
            <w:tcW w:w="1140" w:type="dxa"/>
            <w:tcBorders>
              <w:top w:val="nil"/>
              <w:bottom w:val="nil"/>
            </w:tcBorders>
            <w:shd w:val="clear" w:color="auto" w:fill="auto"/>
          </w:tcPr>
          <w:p w:rsidR="007236FF" w:rsidRPr="0051531E" w:rsidRDefault="007236FF" w:rsidP="00F336CC">
            <w:pPr>
              <w:spacing w:before="30" w:after="30"/>
              <w:ind w:left="57"/>
              <w:jc w:val="left"/>
              <w:rPr>
                <w:b/>
                <w:bCs/>
                <w:sz w:val="20"/>
                <w:lang w:val="fr-CH"/>
              </w:rPr>
            </w:pPr>
            <w:r w:rsidRPr="0051531E">
              <w:rPr>
                <w:b/>
                <w:bCs/>
                <w:sz w:val="20"/>
                <w:lang w:val="fr-CH"/>
              </w:rPr>
              <w:t>BO</w:t>
            </w:r>
          </w:p>
        </w:tc>
        <w:tc>
          <w:tcPr>
            <w:tcW w:w="8220" w:type="dxa"/>
            <w:tcBorders>
              <w:top w:val="nil"/>
              <w:bottom w:val="nil"/>
            </w:tcBorders>
            <w:shd w:val="clear" w:color="auto" w:fill="auto"/>
          </w:tcPr>
          <w:p w:rsidR="007236FF" w:rsidRPr="0051531E" w:rsidRDefault="007236F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1531E">
              <w:rPr>
                <w:b w:val="0"/>
                <w:sz w:val="20"/>
                <w:lang w:val="fr-CH"/>
              </w:rPr>
              <w:t>Diffusion par satellite</w:t>
            </w:r>
          </w:p>
        </w:tc>
      </w:tr>
      <w:tr w:rsidR="007236FF" w:rsidRPr="0051531E" w:rsidTr="00E80F1D">
        <w:tc>
          <w:tcPr>
            <w:tcW w:w="1140" w:type="dxa"/>
            <w:tcBorders>
              <w:top w:val="nil"/>
              <w:bottom w:val="nil"/>
            </w:tcBorders>
          </w:tcPr>
          <w:p w:rsidR="007236FF" w:rsidRPr="0051531E" w:rsidRDefault="007236FF" w:rsidP="00F336CC">
            <w:pPr>
              <w:spacing w:before="30" w:after="30"/>
              <w:ind w:left="57"/>
              <w:jc w:val="left"/>
              <w:rPr>
                <w:b/>
                <w:bCs/>
                <w:sz w:val="20"/>
                <w:lang w:val="fr-CH"/>
              </w:rPr>
            </w:pPr>
            <w:r w:rsidRPr="0051531E">
              <w:rPr>
                <w:b/>
                <w:bCs/>
                <w:sz w:val="20"/>
                <w:lang w:val="fr-CH"/>
              </w:rPr>
              <w:t>BR</w:t>
            </w:r>
          </w:p>
        </w:tc>
        <w:tc>
          <w:tcPr>
            <w:tcW w:w="8220" w:type="dxa"/>
            <w:tcBorders>
              <w:top w:val="nil"/>
              <w:bottom w:val="nil"/>
            </w:tcBorders>
          </w:tcPr>
          <w:p w:rsidR="007236FF" w:rsidRPr="0051531E" w:rsidRDefault="007236F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1531E">
              <w:rPr>
                <w:b w:val="0"/>
                <w:bCs/>
                <w:sz w:val="20"/>
                <w:lang w:val="fr-CH"/>
              </w:rPr>
              <w:t>Enregistrement pour la production, l'archivage et la diffusion; films pour la télévision</w:t>
            </w:r>
          </w:p>
        </w:tc>
      </w:tr>
      <w:tr w:rsidR="007236FF" w:rsidRPr="0051531E" w:rsidTr="00E80F1D">
        <w:tc>
          <w:tcPr>
            <w:tcW w:w="1140" w:type="dxa"/>
            <w:tcBorders>
              <w:top w:val="nil"/>
              <w:bottom w:val="nil"/>
            </w:tcBorders>
            <w:shd w:val="clear" w:color="auto" w:fill="auto"/>
          </w:tcPr>
          <w:p w:rsidR="007236FF" w:rsidRPr="0051531E" w:rsidRDefault="007236FF" w:rsidP="00F336CC">
            <w:pPr>
              <w:spacing w:before="30" w:after="30"/>
              <w:ind w:left="57"/>
              <w:jc w:val="left"/>
              <w:rPr>
                <w:b/>
                <w:bCs/>
                <w:sz w:val="20"/>
                <w:lang w:val="fr-CH"/>
              </w:rPr>
            </w:pPr>
            <w:r w:rsidRPr="0051531E">
              <w:rPr>
                <w:b/>
                <w:bCs/>
                <w:sz w:val="20"/>
                <w:lang w:val="fr-CH"/>
              </w:rPr>
              <w:t>BS</w:t>
            </w:r>
          </w:p>
        </w:tc>
        <w:tc>
          <w:tcPr>
            <w:tcW w:w="8220" w:type="dxa"/>
            <w:tcBorders>
              <w:top w:val="nil"/>
              <w:bottom w:val="nil"/>
            </w:tcBorders>
            <w:shd w:val="clear" w:color="auto" w:fill="auto"/>
          </w:tcPr>
          <w:p w:rsidR="007236FF" w:rsidRPr="0051531E" w:rsidRDefault="007236F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1531E">
              <w:rPr>
                <w:b w:val="0"/>
                <w:sz w:val="20"/>
                <w:lang w:val="fr-CH"/>
              </w:rPr>
              <w:t>Service de radiodiffusion sonore</w:t>
            </w:r>
          </w:p>
        </w:tc>
      </w:tr>
      <w:tr w:rsidR="007236FF" w:rsidRPr="0051531E" w:rsidTr="00DE5EA2">
        <w:tc>
          <w:tcPr>
            <w:tcW w:w="1140" w:type="dxa"/>
            <w:tcBorders>
              <w:top w:val="nil"/>
              <w:bottom w:val="nil"/>
            </w:tcBorders>
            <w:shd w:val="clear" w:color="auto" w:fill="auto"/>
          </w:tcPr>
          <w:p w:rsidR="007236FF" w:rsidRPr="0051531E" w:rsidRDefault="007236FF" w:rsidP="00F336CC">
            <w:pPr>
              <w:spacing w:before="30" w:after="30"/>
              <w:ind w:left="57"/>
              <w:jc w:val="left"/>
              <w:rPr>
                <w:b/>
                <w:bCs/>
                <w:sz w:val="20"/>
                <w:lang w:val="fr-CH"/>
              </w:rPr>
            </w:pPr>
            <w:r w:rsidRPr="0051531E">
              <w:rPr>
                <w:b/>
                <w:bCs/>
                <w:sz w:val="20"/>
                <w:lang w:val="fr-CH"/>
              </w:rPr>
              <w:t>BT</w:t>
            </w:r>
          </w:p>
        </w:tc>
        <w:tc>
          <w:tcPr>
            <w:tcW w:w="8220" w:type="dxa"/>
            <w:tcBorders>
              <w:top w:val="nil"/>
              <w:bottom w:val="nil"/>
            </w:tcBorders>
            <w:shd w:val="clear" w:color="auto" w:fill="auto"/>
          </w:tcPr>
          <w:p w:rsidR="007236FF" w:rsidRPr="0051531E" w:rsidRDefault="007236F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1531E">
              <w:rPr>
                <w:b w:val="0"/>
                <w:bCs/>
                <w:sz w:val="20"/>
                <w:lang w:val="fr-CH"/>
              </w:rPr>
              <w:t>Service de radiodiffusion télévisuelle</w:t>
            </w:r>
          </w:p>
        </w:tc>
      </w:tr>
      <w:tr w:rsidR="007236FF" w:rsidRPr="0051531E" w:rsidTr="00DE5EA2">
        <w:tc>
          <w:tcPr>
            <w:tcW w:w="1140" w:type="dxa"/>
            <w:tcBorders>
              <w:top w:val="nil"/>
              <w:bottom w:val="nil"/>
            </w:tcBorders>
            <w:shd w:val="clear" w:color="auto" w:fill="auto"/>
          </w:tcPr>
          <w:p w:rsidR="007236FF" w:rsidRPr="0051531E" w:rsidRDefault="007236FF" w:rsidP="00F336CC">
            <w:pPr>
              <w:spacing w:before="30" w:after="30"/>
              <w:ind w:left="57"/>
              <w:jc w:val="left"/>
              <w:rPr>
                <w:b/>
                <w:bCs/>
                <w:sz w:val="20"/>
                <w:lang w:val="fr-CH"/>
              </w:rPr>
            </w:pPr>
            <w:r w:rsidRPr="0051531E">
              <w:rPr>
                <w:b/>
                <w:bCs/>
                <w:sz w:val="20"/>
                <w:lang w:val="fr-CH"/>
              </w:rPr>
              <w:t>F</w:t>
            </w:r>
          </w:p>
        </w:tc>
        <w:tc>
          <w:tcPr>
            <w:tcW w:w="8220" w:type="dxa"/>
            <w:tcBorders>
              <w:top w:val="nil"/>
              <w:bottom w:val="nil"/>
            </w:tcBorders>
            <w:shd w:val="clear" w:color="auto" w:fill="auto"/>
          </w:tcPr>
          <w:p w:rsidR="007236FF" w:rsidRPr="0051531E" w:rsidRDefault="007236F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1531E">
              <w:rPr>
                <w:sz w:val="20"/>
                <w:lang w:val="fr-CH"/>
              </w:rPr>
              <w:t>Service fixe</w:t>
            </w:r>
          </w:p>
        </w:tc>
      </w:tr>
      <w:tr w:rsidR="007236FF" w:rsidRPr="0051531E" w:rsidTr="00DE5EA2">
        <w:tc>
          <w:tcPr>
            <w:tcW w:w="1140" w:type="dxa"/>
            <w:tcBorders>
              <w:top w:val="nil"/>
              <w:bottom w:val="nil"/>
            </w:tcBorders>
            <w:shd w:val="clear" w:color="auto" w:fill="auto"/>
          </w:tcPr>
          <w:p w:rsidR="007236FF" w:rsidRPr="0051531E" w:rsidRDefault="007236FF" w:rsidP="00F336CC">
            <w:pPr>
              <w:spacing w:before="30" w:after="30"/>
              <w:ind w:left="57"/>
              <w:jc w:val="left"/>
              <w:rPr>
                <w:b/>
                <w:bCs/>
                <w:sz w:val="20"/>
                <w:lang w:val="fr-CH"/>
              </w:rPr>
            </w:pPr>
            <w:r w:rsidRPr="0051531E">
              <w:rPr>
                <w:b/>
                <w:bCs/>
                <w:sz w:val="20"/>
                <w:lang w:val="fr-CH"/>
              </w:rPr>
              <w:t>M</w:t>
            </w:r>
          </w:p>
        </w:tc>
        <w:tc>
          <w:tcPr>
            <w:tcW w:w="8220" w:type="dxa"/>
            <w:tcBorders>
              <w:top w:val="nil"/>
              <w:bottom w:val="nil"/>
            </w:tcBorders>
            <w:shd w:val="clear" w:color="auto" w:fill="auto"/>
          </w:tcPr>
          <w:p w:rsidR="007236FF" w:rsidRPr="0051531E" w:rsidRDefault="007236F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1531E">
              <w:rPr>
                <w:b w:val="0"/>
                <w:sz w:val="20"/>
                <w:lang w:val="fr-CH"/>
              </w:rPr>
              <w:t>Services mobile, de radiorepérage et d'amateur y compris les services par satellite associés</w:t>
            </w:r>
          </w:p>
        </w:tc>
      </w:tr>
      <w:tr w:rsidR="007236FF" w:rsidRPr="0051531E" w:rsidTr="00DE5EA2">
        <w:tc>
          <w:tcPr>
            <w:tcW w:w="1140" w:type="dxa"/>
            <w:tcBorders>
              <w:top w:val="nil"/>
              <w:bottom w:val="nil"/>
            </w:tcBorders>
            <w:shd w:val="clear" w:color="auto" w:fill="F3F3F3"/>
          </w:tcPr>
          <w:p w:rsidR="007236FF" w:rsidRPr="0051531E" w:rsidRDefault="007236FF" w:rsidP="00F336CC">
            <w:pPr>
              <w:spacing w:before="30" w:after="30"/>
              <w:ind w:left="57"/>
              <w:jc w:val="left"/>
              <w:rPr>
                <w:b/>
                <w:bCs/>
                <w:color w:val="000080"/>
                <w:sz w:val="20"/>
                <w:lang w:val="fr-CH"/>
              </w:rPr>
            </w:pPr>
            <w:r w:rsidRPr="0051531E">
              <w:rPr>
                <w:b/>
                <w:bCs/>
                <w:color w:val="000080"/>
                <w:sz w:val="20"/>
                <w:lang w:val="fr-CH"/>
              </w:rPr>
              <w:t>P</w:t>
            </w:r>
          </w:p>
        </w:tc>
        <w:tc>
          <w:tcPr>
            <w:tcW w:w="8220" w:type="dxa"/>
            <w:tcBorders>
              <w:top w:val="nil"/>
              <w:bottom w:val="nil"/>
            </w:tcBorders>
            <w:shd w:val="clear" w:color="auto" w:fill="F3F3F3"/>
          </w:tcPr>
          <w:p w:rsidR="007236FF" w:rsidRPr="0051531E" w:rsidRDefault="007236FF" w:rsidP="00F336CC">
            <w:pPr>
              <w:spacing w:before="30" w:after="30"/>
              <w:jc w:val="left"/>
              <w:rPr>
                <w:b/>
                <w:bCs/>
                <w:color w:val="000080"/>
                <w:sz w:val="20"/>
                <w:lang w:val="fr-CH"/>
              </w:rPr>
            </w:pPr>
            <w:r w:rsidRPr="0051531E">
              <w:rPr>
                <w:b/>
                <w:bCs/>
                <w:color w:val="000080"/>
                <w:sz w:val="20"/>
                <w:lang w:val="fr-CH"/>
              </w:rPr>
              <w:t>Propagation des ondes radioélectriques</w:t>
            </w:r>
          </w:p>
        </w:tc>
      </w:tr>
      <w:tr w:rsidR="007236FF" w:rsidRPr="0051531E" w:rsidTr="00DE5EA2">
        <w:tc>
          <w:tcPr>
            <w:tcW w:w="1140" w:type="dxa"/>
            <w:tcBorders>
              <w:top w:val="nil"/>
            </w:tcBorders>
          </w:tcPr>
          <w:p w:rsidR="007236FF" w:rsidRPr="0051531E" w:rsidRDefault="007236FF" w:rsidP="00F336CC">
            <w:pPr>
              <w:spacing w:before="30" w:after="30"/>
              <w:ind w:left="57"/>
              <w:jc w:val="left"/>
              <w:rPr>
                <w:b/>
                <w:bCs/>
                <w:sz w:val="20"/>
                <w:lang w:val="fr-CH"/>
              </w:rPr>
            </w:pPr>
            <w:r w:rsidRPr="0051531E">
              <w:rPr>
                <w:b/>
                <w:bCs/>
                <w:sz w:val="20"/>
                <w:lang w:val="fr-CH"/>
              </w:rPr>
              <w:t>RA</w:t>
            </w:r>
          </w:p>
        </w:tc>
        <w:tc>
          <w:tcPr>
            <w:tcW w:w="8220" w:type="dxa"/>
            <w:tcBorders>
              <w:top w:val="nil"/>
            </w:tcBorders>
          </w:tcPr>
          <w:p w:rsidR="007236FF" w:rsidRPr="0051531E" w:rsidRDefault="007236F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1531E">
              <w:rPr>
                <w:sz w:val="20"/>
                <w:lang w:val="fr-CH"/>
              </w:rPr>
              <w:t>Radio astronomie</w:t>
            </w:r>
          </w:p>
        </w:tc>
      </w:tr>
      <w:tr w:rsidR="007236FF" w:rsidRPr="0051531E">
        <w:tc>
          <w:tcPr>
            <w:tcW w:w="1140" w:type="dxa"/>
          </w:tcPr>
          <w:p w:rsidR="007236FF" w:rsidRPr="0051531E" w:rsidRDefault="007236FF" w:rsidP="00F336CC">
            <w:pPr>
              <w:spacing w:before="30" w:after="30"/>
              <w:ind w:left="57"/>
              <w:jc w:val="left"/>
              <w:rPr>
                <w:b/>
                <w:bCs/>
                <w:sz w:val="20"/>
                <w:lang w:val="fr-CH"/>
              </w:rPr>
            </w:pPr>
            <w:r w:rsidRPr="0051531E">
              <w:rPr>
                <w:b/>
                <w:bCs/>
                <w:sz w:val="20"/>
                <w:lang w:val="fr-CH"/>
              </w:rPr>
              <w:t>RS</w:t>
            </w:r>
          </w:p>
        </w:tc>
        <w:tc>
          <w:tcPr>
            <w:tcW w:w="8220" w:type="dxa"/>
          </w:tcPr>
          <w:p w:rsidR="007236FF" w:rsidRPr="0051531E" w:rsidRDefault="007236F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1531E">
              <w:rPr>
                <w:sz w:val="20"/>
                <w:lang w:val="fr-CH"/>
              </w:rPr>
              <w:t>Systèmes de télédétection</w:t>
            </w:r>
          </w:p>
        </w:tc>
      </w:tr>
      <w:tr w:rsidR="007236FF" w:rsidRPr="0051531E">
        <w:tc>
          <w:tcPr>
            <w:tcW w:w="1140" w:type="dxa"/>
          </w:tcPr>
          <w:p w:rsidR="007236FF" w:rsidRPr="0051531E" w:rsidRDefault="007236FF" w:rsidP="00F336CC">
            <w:pPr>
              <w:spacing w:before="30" w:after="30"/>
              <w:ind w:left="57"/>
              <w:jc w:val="left"/>
              <w:rPr>
                <w:b/>
                <w:bCs/>
                <w:sz w:val="20"/>
                <w:lang w:val="fr-CH"/>
              </w:rPr>
            </w:pPr>
            <w:r w:rsidRPr="0051531E">
              <w:rPr>
                <w:b/>
                <w:bCs/>
                <w:sz w:val="20"/>
                <w:lang w:val="fr-CH"/>
              </w:rPr>
              <w:t>S</w:t>
            </w:r>
          </w:p>
        </w:tc>
        <w:tc>
          <w:tcPr>
            <w:tcW w:w="8220" w:type="dxa"/>
          </w:tcPr>
          <w:p w:rsidR="007236FF" w:rsidRPr="0051531E" w:rsidRDefault="007236FF" w:rsidP="00F336CC">
            <w:pPr>
              <w:spacing w:before="30" w:after="30"/>
              <w:jc w:val="left"/>
              <w:rPr>
                <w:sz w:val="20"/>
                <w:lang w:val="fr-CH"/>
              </w:rPr>
            </w:pPr>
            <w:r w:rsidRPr="0051531E">
              <w:rPr>
                <w:sz w:val="20"/>
                <w:lang w:val="fr-CH"/>
              </w:rPr>
              <w:t>Service fixe par satellite</w:t>
            </w:r>
          </w:p>
        </w:tc>
      </w:tr>
      <w:tr w:rsidR="007236FF" w:rsidRPr="0051531E">
        <w:tc>
          <w:tcPr>
            <w:tcW w:w="1140" w:type="dxa"/>
          </w:tcPr>
          <w:p w:rsidR="007236FF" w:rsidRPr="0051531E" w:rsidRDefault="007236FF" w:rsidP="00F336CC">
            <w:pPr>
              <w:spacing w:before="30" w:after="30"/>
              <w:ind w:left="57"/>
              <w:jc w:val="left"/>
              <w:rPr>
                <w:b/>
                <w:bCs/>
                <w:sz w:val="20"/>
                <w:lang w:val="fr-CH"/>
              </w:rPr>
            </w:pPr>
            <w:r w:rsidRPr="0051531E">
              <w:rPr>
                <w:b/>
                <w:bCs/>
                <w:sz w:val="20"/>
                <w:lang w:val="fr-CH"/>
              </w:rPr>
              <w:t>SA</w:t>
            </w:r>
          </w:p>
        </w:tc>
        <w:tc>
          <w:tcPr>
            <w:tcW w:w="8220" w:type="dxa"/>
          </w:tcPr>
          <w:p w:rsidR="007236FF" w:rsidRPr="0051531E" w:rsidRDefault="007236FF" w:rsidP="00F336CC">
            <w:pPr>
              <w:spacing w:before="30" w:after="30"/>
              <w:jc w:val="left"/>
              <w:rPr>
                <w:sz w:val="20"/>
                <w:lang w:val="fr-CH"/>
              </w:rPr>
            </w:pPr>
            <w:r w:rsidRPr="0051531E">
              <w:rPr>
                <w:sz w:val="20"/>
                <w:lang w:val="fr-CH"/>
              </w:rPr>
              <w:t>Applications spatiales et météorologie</w:t>
            </w:r>
          </w:p>
        </w:tc>
      </w:tr>
      <w:tr w:rsidR="007236FF" w:rsidRPr="0051531E">
        <w:tc>
          <w:tcPr>
            <w:tcW w:w="1140" w:type="dxa"/>
          </w:tcPr>
          <w:p w:rsidR="007236FF" w:rsidRPr="0051531E" w:rsidRDefault="007236FF" w:rsidP="00F336CC">
            <w:pPr>
              <w:spacing w:before="30" w:after="30"/>
              <w:ind w:left="57"/>
              <w:jc w:val="left"/>
              <w:rPr>
                <w:b/>
                <w:bCs/>
                <w:sz w:val="20"/>
                <w:lang w:val="fr-CH"/>
              </w:rPr>
            </w:pPr>
            <w:r w:rsidRPr="0051531E">
              <w:rPr>
                <w:b/>
                <w:bCs/>
                <w:sz w:val="20"/>
                <w:lang w:val="fr-CH"/>
              </w:rPr>
              <w:t>SF</w:t>
            </w:r>
          </w:p>
        </w:tc>
        <w:tc>
          <w:tcPr>
            <w:tcW w:w="8220" w:type="dxa"/>
          </w:tcPr>
          <w:p w:rsidR="007236FF" w:rsidRPr="0051531E" w:rsidRDefault="007236FF" w:rsidP="00F336CC">
            <w:pPr>
              <w:spacing w:before="30" w:after="30"/>
              <w:jc w:val="left"/>
              <w:rPr>
                <w:sz w:val="20"/>
                <w:lang w:val="fr-CH"/>
              </w:rPr>
            </w:pPr>
            <w:r w:rsidRPr="0051531E">
              <w:rPr>
                <w:sz w:val="20"/>
                <w:lang w:val="fr-CH"/>
              </w:rPr>
              <w:t>Partage des fréquences et coordination entre les systèmes du service fixe par satellite et du service fixe</w:t>
            </w:r>
          </w:p>
        </w:tc>
      </w:tr>
      <w:tr w:rsidR="007236FF" w:rsidRPr="0051531E">
        <w:tc>
          <w:tcPr>
            <w:tcW w:w="1140" w:type="dxa"/>
            <w:shd w:val="clear" w:color="auto" w:fill="auto"/>
          </w:tcPr>
          <w:p w:rsidR="007236FF" w:rsidRPr="0051531E" w:rsidRDefault="007236FF" w:rsidP="00F336CC">
            <w:pPr>
              <w:spacing w:before="30" w:after="30"/>
              <w:ind w:left="57"/>
              <w:jc w:val="left"/>
              <w:rPr>
                <w:b/>
                <w:bCs/>
                <w:sz w:val="20"/>
                <w:lang w:val="fr-CH"/>
              </w:rPr>
            </w:pPr>
            <w:r w:rsidRPr="0051531E">
              <w:rPr>
                <w:b/>
                <w:bCs/>
                <w:sz w:val="20"/>
                <w:lang w:val="fr-CH"/>
              </w:rPr>
              <w:t>SM</w:t>
            </w:r>
          </w:p>
        </w:tc>
        <w:tc>
          <w:tcPr>
            <w:tcW w:w="8220" w:type="dxa"/>
            <w:shd w:val="clear" w:color="auto" w:fill="auto"/>
          </w:tcPr>
          <w:p w:rsidR="007236FF" w:rsidRPr="0051531E" w:rsidRDefault="007236FF" w:rsidP="00F336CC">
            <w:pPr>
              <w:spacing w:before="30" w:after="30"/>
              <w:jc w:val="left"/>
              <w:rPr>
                <w:sz w:val="20"/>
                <w:lang w:val="fr-CH"/>
              </w:rPr>
            </w:pPr>
            <w:r w:rsidRPr="0051531E">
              <w:rPr>
                <w:sz w:val="20"/>
                <w:lang w:val="fr-CH"/>
              </w:rPr>
              <w:t>Gestion du spectre</w:t>
            </w:r>
          </w:p>
        </w:tc>
      </w:tr>
      <w:tr w:rsidR="007236FF" w:rsidRPr="0051531E">
        <w:tc>
          <w:tcPr>
            <w:tcW w:w="1140" w:type="dxa"/>
          </w:tcPr>
          <w:p w:rsidR="007236FF" w:rsidRPr="0051531E" w:rsidRDefault="007236FF" w:rsidP="00F336CC">
            <w:pPr>
              <w:spacing w:before="30" w:after="30"/>
              <w:ind w:left="57"/>
              <w:jc w:val="left"/>
              <w:rPr>
                <w:b/>
                <w:bCs/>
                <w:sz w:val="20"/>
                <w:lang w:val="fr-CH"/>
              </w:rPr>
            </w:pPr>
            <w:r w:rsidRPr="0051531E">
              <w:rPr>
                <w:b/>
                <w:bCs/>
                <w:sz w:val="20"/>
                <w:lang w:val="fr-CH"/>
              </w:rPr>
              <w:t>SNG</w:t>
            </w:r>
          </w:p>
        </w:tc>
        <w:tc>
          <w:tcPr>
            <w:tcW w:w="8220" w:type="dxa"/>
          </w:tcPr>
          <w:p w:rsidR="007236FF" w:rsidRPr="0051531E" w:rsidRDefault="007236FF" w:rsidP="00F336CC">
            <w:pPr>
              <w:spacing w:before="30" w:after="30"/>
              <w:jc w:val="left"/>
              <w:rPr>
                <w:sz w:val="20"/>
                <w:lang w:val="fr-CH"/>
              </w:rPr>
            </w:pPr>
            <w:r w:rsidRPr="0051531E">
              <w:rPr>
                <w:sz w:val="20"/>
                <w:lang w:val="fr-CH"/>
              </w:rPr>
              <w:t>Reportage d'actualités par satellite</w:t>
            </w:r>
          </w:p>
        </w:tc>
      </w:tr>
      <w:tr w:rsidR="007236FF" w:rsidRPr="0051531E">
        <w:tc>
          <w:tcPr>
            <w:tcW w:w="1140" w:type="dxa"/>
          </w:tcPr>
          <w:p w:rsidR="007236FF" w:rsidRPr="0051531E" w:rsidRDefault="007236FF" w:rsidP="00F336CC">
            <w:pPr>
              <w:spacing w:before="30" w:after="30"/>
              <w:ind w:left="57"/>
              <w:jc w:val="left"/>
              <w:rPr>
                <w:b/>
                <w:bCs/>
                <w:sz w:val="20"/>
                <w:lang w:val="fr-CH"/>
              </w:rPr>
            </w:pPr>
            <w:r w:rsidRPr="0051531E">
              <w:rPr>
                <w:b/>
                <w:bCs/>
                <w:sz w:val="20"/>
                <w:lang w:val="fr-CH"/>
              </w:rPr>
              <w:t>TF</w:t>
            </w:r>
          </w:p>
        </w:tc>
        <w:tc>
          <w:tcPr>
            <w:tcW w:w="8220" w:type="dxa"/>
          </w:tcPr>
          <w:p w:rsidR="007236FF" w:rsidRPr="0051531E" w:rsidRDefault="007236FF" w:rsidP="00F336CC">
            <w:pPr>
              <w:spacing w:before="30" w:after="30"/>
              <w:jc w:val="left"/>
              <w:rPr>
                <w:sz w:val="20"/>
                <w:lang w:val="fr-CH"/>
              </w:rPr>
            </w:pPr>
            <w:r w:rsidRPr="0051531E">
              <w:rPr>
                <w:sz w:val="20"/>
                <w:lang w:val="fr-CH"/>
              </w:rPr>
              <w:t>Emissions de fréquences étalon et de signaux horaires</w:t>
            </w:r>
          </w:p>
        </w:tc>
      </w:tr>
      <w:tr w:rsidR="007236FF" w:rsidRPr="0051531E">
        <w:tc>
          <w:tcPr>
            <w:tcW w:w="1140" w:type="dxa"/>
          </w:tcPr>
          <w:p w:rsidR="007236FF" w:rsidRPr="0051531E" w:rsidRDefault="007236FF" w:rsidP="00F336CC">
            <w:pPr>
              <w:spacing w:before="30" w:after="30"/>
              <w:ind w:left="57"/>
              <w:jc w:val="left"/>
              <w:rPr>
                <w:b/>
                <w:bCs/>
                <w:sz w:val="20"/>
                <w:lang w:val="fr-CH"/>
              </w:rPr>
            </w:pPr>
            <w:r w:rsidRPr="0051531E">
              <w:rPr>
                <w:b/>
                <w:bCs/>
                <w:sz w:val="20"/>
                <w:lang w:val="fr-CH"/>
              </w:rPr>
              <w:t>V</w:t>
            </w:r>
          </w:p>
        </w:tc>
        <w:tc>
          <w:tcPr>
            <w:tcW w:w="8220" w:type="dxa"/>
          </w:tcPr>
          <w:p w:rsidR="007236FF" w:rsidRPr="0051531E" w:rsidRDefault="007236FF" w:rsidP="00614CC6">
            <w:pPr>
              <w:spacing w:before="30" w:after="140"/>
              <w:jc w:val="left"/>
              <w:rPr>
                <w:sz w:val="20"/>
                <w:lang w:val="fr-CH"/>
              </w:rPr>
            </w:pPr>
            <w:r w:rsidRPr="0051531E">
              <w:rPr>
                <w:sz w:val="20"/>
                <w:lang w:val="fr-CH"/>
              </w:rPr>
              <w:t>Vocabulaire et sujets associés</w:t>
            </w:r>
          </w:p>
        </w:tc>
      </w:tr>
    </w:tbl>
    <w:p w:rsidR="007236FF" w:rsidRPr="0051531E" w:rsidRDefault="007236FF" w:rsidP="00614CC6">
      <w:pPr>
        <w:spacing w:before="0"/>
        <w:jc w:val="center"/>
        <w:rPr>
          <w:sz w:val="20"/>
          <w:lang w:val="fr-CH"/>
        </w:rPr>
      </w:pPr>
    </w:p>
    <w:p w:rsidR="007236FF" w:rsidRPr="0051531E" w:rsidRDefault="007236FF"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236FF" w:rsidRPr="0051531E">
        <w:tc>
          <w:tcPr>
            <w:tcW w:w="9360" w:type="dxa"/>
          </w:tcPr>
          <w:p w:rsidR="007236FF" w:rsidRPr="0051531E" w:rsidRDefault="007236FF" w:rsidP="00962C55">
            <w:pPr>
              <w:spacing w:before="80" w:after="80"/>
              <w:jc w:val="left"/>
              <w:rPr>
                <w:i/>
                <w:iCs/>
                <w:sz w:val="20"/>
                <w:lang w:val="fr-CH"/>
              </w:rPr>
            </w:pPr>
            <w:r w:rsidRPr="0051531E">
              <w:rPr>
                <w:b/>
                <w:bCs/>
                <w:i/>
                <w:iCs/>
                <w:sz w:val="20"/>
                <w:lang w:val="fr-CH"/>
              </w:rPr>
              <w:t>Note</w:t>
            </w:r>
            <w:r w:rsidRPr="0051531E">
              <w:rPr>
                <w:i/>
                <w:iCs/>
                <w:sz w:val="20"/>
                <w:lang w:val="fr-CH"/>
              </w:rPr>
              <w:t>: Cette Recommandation UIT-R a été approuvée en anglais aux termes de la procédure détaillée dans la</w:t>
            </w:r>
            <w:r w:rsidRPr="0051531E">
              <w:rPr>
                <w:i/>
                <w:iCs/>
                <w:sz w:val="20"/>
                <w:lang w:val="fr-CH"/>
              </w:rPr>
              <w:br/>
              <w:t xml:space="preserve">Résolution UIT-R 1. </w:t>
            </w:r>
          </w:p>
        </w:tc>
      </w:tr>
    </w:tbl>
    <w:p w:rsidR="007236FF" w:rsidRPr="0051531E" w:rsidRDefault="007236FF" w:rsidP="00F54FBD">
      <w:pPr>
        <w:spacing w:before="0"/>
        <w:jc w:val="center"/>
        <w:rPr>
          <w:sz w:val="22"/>
          <w:lang w:val="fr-CH"/>
        </w:rPr>
      </w:pPr>
    </w:p>
    <w:p w:rsidR="007236FF" w:rsidRPr="0051531E" w:rsidRDefault="007236FF" w:rsidP="00756B4D">
      <w:pPr>
        <w:spacing w:before="100"/>
        <w:jc w:val="right"/>
        <w:rPr>
          <w:i/>
          <w:iCs/>
          <w:sz w:val="20"/>
          <w:lang w:val="fr-CH"/>
        </w:rPr>
      </w:pPr>
      <w:r w:rsidRPr="0051531E">
        <w:rPr>
          <w:i/>
          <w:iCs/>
          <w:sz w:val="20"/>
          <w:lang w:val="fr-CH"/>
        </w:rPr>
        <w:t>Publication électronique</w:t>
      </w:r>
    </w:p>
    <w:p w:rsidR="007236FF" w:rsidRPr="0051531E" w:rsidRDefault="007236FF" w:rsidP="00673807">
      <w:pPr>
        <w:spacing w:before="0"/>
        <w:jc w:val="right"/>
        <w:rPr>
          <w:sz w:val="20"/>
          <w:lang w:val="fr-CH"/>
        </w:rPr>
      </w:pPr>
      <w:r w:rsidRPr="0051531E">
        <w:rPr>
          <w:sz w:val="20"/>
          <w:lang w:val="fr-CH"/>
        </w:rPr>
        <w:t>Genève, 2012</w:t>
      </w:r>
    </w:p>
    <w:p w:rsidR="007236FF" w:rsidRPr="0051531E" w:rsidRDefault="007236FF" w:rsidP="00673807">
      <w:pPr>
        <w:spacing w:before="200"/>
        <w:jc w:val="center"/>
        <w:rPr>
          <w:sz w:val="20"/>
          <w:lang w:val="fr-CH"/>
        </w:rPr>
      </w:pPr>
      <w:r w:rsidRPr="0051531E">
        <w:rPr>
          <w:sz w:val="20"/>
          <w:lang w:val="fr-CH"/>
        </w:rPr>
        <w:sym w:font="Symbol" w:char="F0E3"/>
      </w:r>
      <w:r w:rsidRPr="0051531E">
        <w:rPr>
          <w:sz w:val="20"/>
          <w:lang w:val="fr-CH"/>
        </w:rPr>
        <w:t xml:space="preserve"> UIT </w:t>
      </w:r>
      <w:bookmarkStart w:id="1" w:name="iiannee"/>
      <w:bookmarkEnd w:id="1"/>
      <w:r w:rsidRPr="0051531E">
        <w:rPr>
          <w:sz w:val="20"/>
          <w:lang w:val="fr-CH"/>
        </w:rPr>
        <w:t>2012</w:t>
      </w:r>
    </w:p>
    <w:p w:rsidR="007236FF" w:rsidRPr="0051531E" w:rsidRDefault="007236FF" w:rsidP="00614CC6">
      <w:pPr>
        <w:rPr>
          <w:sz w:val="18"/>
          <w:szCs w:val="18"/>
          <w:lang w:val="fr-CH"/>
        </w:rPr>
      </w:pPr>
      <w:r w:rsidRPr="0051531E">
        <w:rPr>
          <w:sz w:val="18"/>
          <w:szCs w:val="18"/>
          <w:lang w:val="fr-CH"/>
        </w:rPr>
        <w:t>Tous droits réservés. Aucune partie de cette publication ne peut être reproduite, par quelque procédé que ce soit, sans l’accord écrit préalable de l’UIT.</w:t>
      </w:r>
    </w:p>
    <w:p w:rsidR="007236FF" w:rsidRPr="0051531E" w:rsidRDefault="007236FF" w:rsidP="00CD659B">
      <w:pPr>
        <w:spacing w:before="160"/>
        <w:rPr>
          <w:i/>
          <w:sz w:val="20"/>
          <w:highlight w:val="yellow"/>
          <w:lang w:val="fr-CH"/>
        </w:rPr>
        <w:sectPr w:rsidR="007236FF" w:rsidRPr="0051531E"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7236FF" w:rsidRPr="0051531E" w:rsidRDefault="007236FF" w:rsidP="004A4E20">
      <w:pPr>
        <w:pStyle w:val="RecNo"/>
        <w:spacing w:before="0"/>
        <w:rPr>
          <w:lang w:val="fr-CH"/>
        </w:rPr>
      </w:pPr>
      <w:bookmarkStart w:id="2" w:name="irecnoe"/>
      <w:bookmarkEnd w:id="2"/>
      <w:r w:rsidRPr="0051531E">
        <w:rPr>
          <w:lang w:val="fr-CH"/>
        </w:rPr>
        <w:lastRenderedPageBreak/>
        <w:t xml:space="preserve">RECOMMANDATION  </w:t>
      </w:r>
      <w:r w:rsidRPr="0051531E">
        <w:rPr>
          <w:rStyle w:val="href"/>
          <w:lang w:val="fr-CH"/>
        </w:rPr>
        <w:t>UIT-R  P.</w:t>
      </w:r>
      <w:r w:rsidR="004A4E20" w:rsidRPr="0051531E">
        <w:rPr>
          <w:rStyle w:val="href"/>
          <w:lang w:val="fr-CH"/>
        </w:rPr>
        <w:t>1817-1</w:t>
      </w:r>
      <w:r w:rsidR="004A4E20" w:rsidRPr="0051531E">
        <w:rPr>
          <w:rStyle w:val="FootnoteReference"/>
          <w:lang w:val="fr-CH"/>
        </w:rPr>
        <w:footnoteReference w:customMarkFollows="1" w:id="1"/>
        <w:t>*</w:t>
      </w:r>
    </w:p>
    <w:p w:rsidR="007236FF" w:rsidRPr="0051531E" w:rsidRDefault="007236FF" w:rsidP="007236FF">
      <w:pPr>
        <w:pStyle w:val="Rectitle"/>
        <w:rPr>
          <w:lang w:val="fr-CH"/>
        </w:rPr>
      </w:pPr>
      <w:r w:rsidRPr="0051531E">
        <w:rPr>
          <w:lang w:val="fr-CH"/>
        </w:rPr>
        <w:t xml:space="preserve">Données de propagation nécessaires pour la conception de liaisons </w:t>
      </w:r>
      <w:r w:rsidRPr="0051531E">
        <w:rPr>
          <w:lang w:val="fr-CH"/>
        </w:rPr>
        <w:br/>
        <w:t>optiques de Terre en espace libre</w:t>
      </w:r>
    </w:p>
    <w:p w:rsidR="007236FF" w:rsidRPr="0051531E" w:rsidRDefault="007236FF" w:rsidP="007236FF">
      <w:pPr>
        <w:pStyle w:val="Recref"/>
        <w:rPr>
          <w:lang w:val="fr-CH"/>
        </w:rPr>
      </w:pPr>
      <w:r w:rsidRPr="0051531E">
        <w:rPr>
          <w:lang w:val="fr-CH"/>
        </w:rPr>
        <w:t>(Question UIT-R 228/3)</w:t>
      </w:r>
    </w:p>
    <w:p w:rsidR="007236FF" w:rsidRPr="0051531E" w:rsidRDefault="007236FF" w:rsidP="007236FF">
      <w:pPr>
        <w:pStyle w:val="Recdate"/>
        <w:rPr>
          <w:lang w:val="fr-CH"/>
        </w:rPr>
      </w:pPr>
      <w:r w:rsidRPr="0051531E">
        <w:rPr>
          <w:lang w:val="fr-CH"/>
        </w:rPr>
        <w:t>(2007-2012)</w:t>
      </w:r>
    </w:p>
    <w:p w:rsidR="007236FF" w:rsidRPr="0051531E" w:rsidRDefault="007236FF" w:rsidP="004A4E20">
      <w:pPr>
        <w:pStyle w:val="HeadingSum"/>
        <w:rPr>
          <w:lang w:val="fr-CH"/>
        </w:rPr>
      </w:pPr>
      <w:r w:rsidRPr="0051531E">
        <w:rPr>
          <w:lang w:val="fr-CH"/>
        </w:rPr>
        <w:t>Domaine d'application</w:t>
      </w:r>
    </w:p>
    <w:p w:rsidR="007236FF" w:rsidRPr="0051531E" w:rsidRDefault="007236FF" w:rsidP="004A4E20">
      <w:pPr>
        <w:pStyle w:val="Summary"/>
        <w:rPr>
          <w:lang w:val="fr-CH"/>
        </w:rPr>
      </w:pPr>
      <w:r w:rsidRPr="0051531E">
        <w:rPr>
          <w:lang w:val="fr-CH"/>
        </w:rPr>
        <w:t xml:space="preserve">La présente Recommandation fournit des données de propagation nécessaires pour la conception de liaisons optiques en espace libre (FSO, </w:t>
      </w:r>
      <w:r w:rsidRPr="0051531E">
        <w:rPr>
          <w:i/>
          <w:iCs/>
          <w:lang w:val="fr-CH"/>
        </w:rPr>
        <w:t>free-space optic</w:t>
      </w:r>
      <w:r w:rsidRPr="0051531E">
        <w:rPr>
          <w:lang w:val="fr-CH"/>
        </w:rPr>
        <w:t>) et pour la planification des systèmes optiques en espace libre, dans les domaines de validité respectifs indiqués dans la Recommandation.</w:t>
      </w:r>
    </w:p>
    <w:p w:rsidR="007236FF" w:rsidRPr="0051531E" w:rsidRDefault="007236FF" w:rsidP="007236FF">
      <w:pPr>
        <w:pStyle w:val="Normalaftertitle"/>
        <w:rPr>
          <w:lang w:val="fr-CH"/>
        </w:rPr>
      </w:pPr>
      <w:r w:rsidRPr="0051531E">
        <w:rPr>
          <w:lang w:val="fr-CH"/>
        </w:rPr>
        <w:t>L'Assemblée des radiocommunications de l'UIT,</w:t>
      </w:r>
    </w:p>
    <w:p w:rsidR="007236FF" w:rsidRPr="0051531E" w:rsidRDefault="007236FF" w:rsidP="007236FF">
      <w:pPr>
        <w:pStyle w:val="Call"/>
        <w:rPr>
          <w:lang w:val="fr-CH"/>
        </w:rPr>
      </w:pPr>
      <w:r w:rsidRPr="0051531E">
        <w:rPr>
          <w:lang w:val="fr-CH"/>
        </w:rPr>
        <w:t>considérant</w:t>
      </w:r>
    </w:p>
    <w:p w:rsidR="007236FF" w:rsidRPr="0051531E" w:rsidRDefault="007236FF" w:rsidP="007236FF">
      <w:pPr>
        <w:rPr>
          <w:lang w:val="fr-CH"/>
        </w:rPr>
      </w:pPr>
      <w:r w:rsidRPr="0051531E">
        <w:rPr>
          <w:lang w:val="fr-CH"/>
        </w:rPr>
        <w:t>a)</w:t>
      </w:r>
      <w:r w:rsidRPr="0051531E">
        <w:rPr>
          <w:lang w:val="fr-CH"/>
        </w:rPr>
        <w:tab/>
        <w:t>que le spectre des ondes optiques visibles et infrarouges est disponible pour les radiocommunications dans les milieux terrestres;</w:t>
      </w:r>
    </w:p>
    <w:p w:rsidR="007236FF" w:rsidRPr="0051531E" w:rsidRDefault="007236FF" w:rsidP="007236FF">
      <w:pPr>
        <w:rPr>
          <w:lang w:val="fr-CH"/>
        </w:rPr>
      </w:pPr>
      <w:r w:rsidRPr="0051531E">
        <w:rPr>
          <w:lang w:val="fr-CH"/>
        </w:rPr>
        <w:t>b)</w:t>
      </w:r>
      <w:r w:rsidRPr="0051531E">
        <w:rPr>
          <w:lang w:val="fr-CH"/>
        </w:rPr>
        <w:tab/>
        <w:t>que, pour la planification correcte des systèmes de radiocommunication optiques en espace libre (FSO</w:t>
      </w:r>
      <w:r w:rsidRPr="0051531E">
        <w:rPr>
          <w:b/>
          <w:bCs/>
          <w:lang w:val="fr-CH"/>
        </w:rPr>
        <w:t xml:space="preserve">, </w:t>
      </w:r>
      <w:r w:rsidRPr="0051531E">
        <w:rPr>
          <w:i/>
          <w:iCs/>
          <w:lang w:val="fr-CH"/>
        </w:rPr>
        <w:t>free-space optic</w:t>
      </w:r>
      <w:r w:rsidRPr="0051531E">
        <w:rPr>
          <w:lang w:val="fr-CH"/>
        </w:rPr>
        <w:t>) fonctionnant dans le spectre des ondes optiques visibles et infrarouges, il est nécessaire de disposer de données de propagation appropriées;</w:t>
      </w:r>
    </w:p>
    <w:p w:rsidR="007236FF" w:rsidRPr="0051531E" w:rsidRDefault="007236FF" w:rsidP="001231AE">
      <w:pPr>
        <w:rPr>
          <w:lang w:val="fr-CH"/>
        </w:rPr>
      </w:pPr>
      <w:r w:rsidRPr="0051531E">
        <w:rPr>
          <w:lang w:val="fr-CH"/>
        </w:rPr>
        <w:t xml:space="preserve">c) </w:t>
      </w:r>
      <w:r w:rsidRPr="0051531E">
        <w:rPr>
          <w:lang w:val="fr-CH"/>
        </w:rPr>
        <w:tab/>
        <w:t>que des méthodes ont été développées</w:t>
      </w:r>
      <w:r w:rsidR="001231AE" w:rsidRPr="0051531E">
        <w:rPr>
          <w:lang w:val="fr-CH"/>
        </w:rPr>
        <w:t xml:space="preserve"> </w:t>
      </w:r>
      <w:r w:rsidRPr="0051531E">
        <w:rPr>
          <w:lang w:val="fr-CH"/>
        </w:rPr>
        <w:t>pour calculer les paramètres de propagation les plus importants nécessaires lors de la planification des systèmes optiques en espace libre fonctionnant dans le spectre des ondes optiques visibles et infrarouges;</w:t>
      </w:r>
    </w:p>
    <w:p w:rsidR="007236FF" w:rsidRPr="0051531E" w:rsidRDefault="007236FF" w:rsidP="00F71129">
      <w:pPr>
        <w:rPr>
          <w:lang w:val="fr-CH"/>
        </w:rPr>
      </w:pPr>
      <w:r w:rsidRPr="0051531E">
        <w:rPr>
          <w:lang w:val="fr-CH"/>
        </w:rPr>
        <w:t>d)</w:t>
      </w:r>
      <w:r w:rsidRPr="0051531E">
        <w:rPr>
          <w:lang w:val="fr-CH"/>
        </w:rPr>
        <w:tab/>
        <w:t>que, dans la mesure du possible, ces méthodes ont été testées par rapport aux données disponibles et qu'elles ont montré une précision à la fois compatible avec la variabilité naturelle des phénomènes de propagation et adaptées à la plupart des applications actuelles dans la planification des systèmes fonctionnant dans le spectre des ondes optiques visibles et infrarouges</w:t>
      </w:r>
      <w:r w:rsidR="00F71129" w:rsidRPr="0051531E">
        <w:rPr>
          <w:lang w:val="fr-CH"/>
        </w:rPr>
        <w:t>,</w:t>
      </w:r>
    </w:p>
    <w:p w:rsidR="007236FF" w:rsidRPr="0051531E" w:rsidRDefault="007236FF" w:rsidP="007236FF">
      <w:pPr>
        <w:pStyle w:val="Call"/>
        <w:rPr>
          <w:lang w:val="fr-CH"/>
        </w:rPr>
      </w:pPr>
      <w:r w:rsidRPr="0051531E">
        <w:rPr>
          <w:lang w:val="fr-CH"/>
        </w:rPr>
        <w:t>reconnaissant</w:t>
      </w:r>
    </w:p>
    <w:p w:rsidR="007236FF" w:rsidRPr="0051531E" w:rsidRDefault="007236FF" w:rsidP="007236FF">
      <w:pPr>
        <w:rPr>
          <w:lang w:val="fr-CH"/>
        </w:rPr>
      </w:pPr>
      <w:r w:rsidRPr="0051531E">
        <w:rPr>
          <w:lang w:val="fr-CH"/>
        </w:rPr>
        <w:t>a)</w:t>
      </w:r>
      <w:r w:rsidRPr="0051531E">
        <w:rPr>
          <w:lang w:val="fr-CH"/>
        </w:rPr>
        <w:tab/>
        <w:t>que le numéro 78 de l'article 12 de la Constitution de l'UIT indique qu'une fonction du Secteur des radiocommunications consiste à répondre à l'objet de l'Union, « … en procédant à des études sans limitation quant à la gamme de fréquences et en adoptant des recommandations …»,</w:t>
      </w:r>
    </w:p>
    <w:p w:rsidR="007236FF" w:rsidRPr="0051531E" w:rsidRDefault="007236FF" w:rsidP="007236FF">
      <w:pPr>
        <w:pStyle w:val="Call"/>
        <w:rPr>
          <w:lang w:val="fr-CH"/>
        </w:rPr>
      </w:pPr>
      <w:r w:rsidRPr="0051531E">
        <w:rPr>
          <w:lang w:val="fr-CH"/>
        </w:rPr>
        <w:t>recommande</w:t>
      </w:r>
    </w:p>
    <w:p w:rsidR="007236FF" w:rsidRPr="0051531E" w:rsidRDefault="007236FF" w:rsidP="007236FF">
      <w:pPr>
        <w:rPr>
          <w:lang w:val="fr-CH"/>
        </w:rPr>
      </w:pPr>
      <w:r w:rsidRPr="0051531E">
        <w:rPr>
          <w:b/>
          <w:lang w:val="fr-CH"/>
        </w:rPr>
        <w:t>1</w:t>
      </w:r>
      <w:r w:rsidRPr="0051531E">
        <w:rPr>
          <w:b/>
          <w:lang w:val="fr-CH"/>
        </w:rPr>
        <w:tab/>
      </w:r>
      <w:r w:rsidRPr="0051531E">
        <w:rPr>
          <w:lang w:val="fr-CH"/>
        </w:rPr>
        <w:t>d'adopter,</w:t>
      </w:r>
      <w:r w:rsidRPr="0051531E">
        <w:rPr>
          <w:b/>
          <w:lang w:val="fr-CH"/>
        </w:rPr>
        <w:t xml:space="preserve"> </w:t>
      </w:r>
      <w:r w:rsidRPr="0051531E">
        <w:rPr>
          <w:lang w:val="fr-CH"/>
        </w:rPr>
        <w:t>pour la planification des systèmes optiques en espace libre, les méthodes de prévision des paramètres de propagation de l'Annexe 1, dans les domaines de validité respectifs indiquées dans l'</w:t>
      </w:r>
      <w:r w:rsidR="001231AE" w:rsidRPr="0051531E">
        <w:rPr>
          <w:lang w:val="fr-CH"/>
        </w:rPr>
        <w:t>A</w:t>
      </w:r>
      <w:r w:rsidRPr="0051531E">
        <w:rPr>
          <w:lang w:val="fr-CH"/>
        </w:rPr>
        <w:t>nnexe.</w:t>
      </w:r>
    </w:p>
    <w:p w:rsidR="004A4E20" w:rsidRPr="00050036" w:rsidRDefault="007236FF" w:rsidP="00587DDB">
      <w:pPr>
        <w:pStyle w:val="Note"/>
        <w:rPr>
          <w:sz w:val="24"/>
          <w:szCs w:val="24"/>
          <w:lang w:val="fr-CH"/>
        </w:rPr>
      </w:pPr>
      <w:r w:rsidRPr="00050036">
        <w:rPr>
          <w:sz w:val="24"/>
          <w:szCs w:val="24"/>
          <w:lang w:val="fr-CH"/>
        </w:rPr>
        <w:t>NOTE 1 – Des informations supplémentaires sur les méthodes de prévision de la propagation pour des fréquences dans le spectre des ondes optiques visibles et infrarouges sont fournies dans une Recommandation UIT-R sur les méthodes de prévision nécessaires pour la conception de liaisons optiques de Terre en espace libre.</w:t>
      </w:r>
    </w:p>
    <w:p w:rsidR="00587DDB" w:rsidRPr="0051531E" w:rsidRDefault="00587DDB" w:rsidP="007236FF">
      <w:pPr>
        <w:pStyle w:val="AnnexNoTitle"/>
        <w:rPr>
          <w:lang w:val="fr-CH"/>
        </w:rPr>
      </w:pPr>
      <w:bookmarkStart w:id="3" w:name="_Toc106178302"/>
      <w:bookmarkStart w:id="4" w:name="_Toc106178533"/>
      <w:bookmarkStart w:id="5" w:name="_Toc107995713"/>
      <w:bookmarkStart w:id="6" w:name="_Toc109031760"/>
      <w:r w:rsidRPr="0051531E">
        <w:rPr>
          <w:lang w:val="fr-CH"/>
        </w:rPr>
        <w:br w:type="page"/>
      </w:r>
    </w:p>
    <w:p w:rsidR="007236FF" w:rsidRPr="0051531E" w:rsidRDefault="007236FF" w:rsidP="007236FF">
      <w:pPr>
        <w:pStyle w:val="AnnexNoTitle"/>
        <w:rPr>
          <w:lang w:val="fr-CH"/>
        </w:rPr>
      </w:pPr>
      <w:r w:rsidRPr="0051531E">
        <w:rPr>
          <w:lang w:val="fr-CH"/>
        </w:rPr>
        <w:lastRenderedPageBreak/>
        <w:t>Annex</w:t>
      </w:r>
      <w:bookmarkEnd w:id="3"/>
      <w:bookmarkEnd w:id="4"/>
      <w:bookmarkEnd w:id="5"/>
      <w:bookmarkEnd w:id="6"/>
      <w:r w:rsidRPr="0051531E">
        <w:rPr>
          <w:lang w:val="fr-CH"/>
        </w:rPr>
        <w:t>e 1</w:t>
      </w:r>
    </w:p>
    <w:p w:rsidR="007236FF" w:rsidRPr="0051531E" w:rsidRDefault="007236FF" w:rsidP="007236FF">
      <w:pPr>
        <w:pStyle w:val="Heading1"/>
        <w:rPr>
          <w:lang w:val="fr-CH"/>
        </w:rPr>
      </w:pPr>
      <w:bookmarkStart w:id="7" w:name="_Toc85359489"/>
      <w:r w:rsidRPr="0051531E">
        <w:rPr>
          <w:lang w:val="fr-CH"/>
        </w:rPr>
        <w:t>1</w:t>
      </w:r>
      <w:r w:rsidRPr="0051531E">
        <w:rPr>
          <w:lang w:val="fr-CH"/>
        </w:rPr>
        <w:tab/>
      </w:r>
      <w:bookmarkEnd w:id="7"/>
      <w:r w:rsidRPr="0051531E">
        <w:rPr>
          <w:lang w:val="fr-CH"/>
        </w:rPr>
        <w:t>Considérations relatives à l'atmosphère</w:t>
      </w:r>
    </w:p>
    <w:p w:rsidR="007236FF" w:rsidRPr="0051531E" w:rsidRDefault="007236FF" w:rsidP="007236FF">
      <w:pPr>
        <w:rPr>
          <w:lang w:val="fr-CH"/>
        </w:rPr>
      </w:pPr>
      <w:r w:rsidRPr="0051531E">
        <w:rPr>
          <w:lang w:val="fr-CH"/>
        </w:rPr>
        <w:t>Les liaisons FSO sont dégradées par l'absorption et la diffusion de lumière par l'atmosphère terrestre. L'atmosphère interagit en effet avec la lumière du fait de sa composition. Elle est normalement composée de différentes substances moléculaires et de petites particules en suspension appelées aérosols. L'interaction entre l'atmosphère et la lumière entraîne une grande variété de phénomènes: absorption sélective en fréquence, diffusion et scintillation.</w:t>
      </w:r>
    </w:p>
    <w:p w:rsidR="007236FF" w:rsidRPr="0051531E" w:rsidRDefault="007236FF" w:rsidP="007236FF">
      <w:pPr>
        <w:pStyle w:val="enumlev1"/>
        <w:rPr>
          <w:lang w:val="fr-CH"/>
        </w:rPr>
      </w:pPr>
      <w:r w:rsidRPr="0051531E">
        <w:rPr>
          <w:lang w:val="fr-CH"/>
        </w:rPr>
        <w:t>–</w:t>
      </w:r>
      <w:r w:rsidRPr="0051531E">
        <w:rPr>
          <w:lang w:val="fr-CH"/>
        </w:rPr>
        <w:tab/>
        <w:t>L'absorption sélective en fréquence à des longueurs d'onde optiques spécifiques résulte de l'interaction entre les photons et des atomes/molécules, qui entraîne l'extinction des photons incidents, une élévation de la température et une émission radiative.</w:t>
      </w:r>
    </w:p>
    <w:p w:rsidR="007236FF" w:rsidRPr="0051531E" w:rsidRDefault="007236FF" w:rsidP="007236FF">
      <w:pPr>
        <w:pStyle w:val="enumlev1"/>
        <w:rPr>
          <w:lang w:val="fr-CH"/>
        </w:rPr>
      </w:pPr>
      <w:r w:rsidRPr="0051531E">
        <w:rPr>
          <w:lang w:val="fr-CH"/>
        </w:rPr>
        <w:t>–</w:t>
      </w:r>
      <w:r w:rsidRPr="0051531E">
        <w:rPr>
          <w:lang w:val="fr-CH"/>
        </w:rPr>
        <w:tab/>
        <w:t>La diffusion atmosphérique résulte de l'interaction entre les photons et les atomes/molécules dans le milieu de propagation. La diffusion entraîne une redistribution angulaire du rayonnement avec ou sans modification de la longueur d'onde.</w:t>
      </w:r>
    </w:p>
    <w:p w:rsidR="007236FF" w:rsidRPr="0051531E" w:rsidRDefault="007236FF" w:rsidP="007236FF">
      <w:pPr>
        <w:pStyle w:val="enumlev1"/>
        <w:rPr>
          <w:lang w:val="fr-CH"/>
        </w:rPr>
      </w:pPr>
      <w:r w:rsidRPr="0051531E">
        <w:rPr>
          <w:lang w:val="fr-CH"/>
        </w:rPr>
        <w:t>–</w:t>
      </w:r>
      <w:r w:rsidRPr="0051531E">
        <w:rPr>
          <w:lang w:val="fr-CH"/>
        </w:rPr>
        <w:tab/>
        <w:t xml:space="preserve">La scintillation résulte d'une turbulence thermique dans le milieu de propagation qui entraîne la formation de cellules aléatoirement réparties. Ces cellules sont de tailles variables (10 cm </w:t>
      </w:r>
      <w:r w:rsidR="001231AE" w:rsidRPr="0051531E">
        <w:rPr>
          <w:lang w:val="fr-CH"/>
        </w:rPr>
        <w:t>–</w:t>
      </w:r>
      <w:r w:rsidRPr="0051531E">
        <w:rPr>
          <w:lang w:val="fr-CH"/>
        </w:rPr>
        <w:t xml:space="preserve"> 1 km), de températures différentes et d'indices de réfraction différents, ce qui provoque des phénomènes de diffusion, de trajets multiples et de variation des angles d'arrivée. D'où une fluctuation de l'amplitude du signal reçu à des fréquences de 0,01 à 200 Hz. La scintillation provoque aussi une distorsion de la surface d'onde qui entraîne une défocalisation du faisceau.</w:t>
      </w:r>
    </w:p>
    <w:p w:rsidR="007236FF" w:rsidRPr="0051531E" w:rsidRDefault="007236FF" w:rsidP="007236FF">
      <w:pPr>
        <w:rPr>
          <w:lang w:val="fr-CH"/>
        </w:rPr>
      </w:pPr>
      <w:r w:rsidRPr="0051531E">
        <w:rPr>
          <w:lang w:val="fr-CH"/>
        </w:rPr>
        <w:t>En outre, un rayonnement solaire colinéaire à la direction de la liaison FSO peut avoir une incidence sur la qualité de fonctionnement de cette liaison.</w:t>
      </w:r>
    </w:p>
    <w:p w:rsidR="007236FF" w:rsidRPr="0051531E" w:rsidRDefault="007236FF" w:rsidP="007236FF">
      <w:pPr>
        <w:pStyle w:val="Heading1"/>
        <w:rPr>
          <w:lang w:val="fr-CH"/>
        </w:rPr>
      </w:pPr>
      <w:r w:rsidRPr="0051531E">
        <w:rPr>
          <w:lang w:val="fr-CH"/>
        </w:rPr>
        <w:t>2</w:t>
      </w:r>
      <w:r w:rsidRPr="0051531E">
        <w:rPr>
          <w:lang w:val="fr-CH"/>
        </w:rPr>
        <w:tab/>
        <w:t>Absorption moléculaire</w:t>
      </w:r>
    </w:p>
    <w:p w:rsidR="007236FF" w:rsidRPr="0051531E" w:rsidRDefault="007236FF" w:rsidP="007236FF">
      <w:pPr>
        <w:rPr>
          <w:lang w:val="fr-CH"/>
        </w:rPr>
      </w:pPr>
      <w:r w:rsidRPr="0051531E">
        <w:rPr>
          <w:lang w:val="fr-CH"/>
        </w:rPr>
        <w:t>L'absorption moléculaire résulte de l'interaction entre le rayonnement optique et les atomes/molécules présents dans le milieu (N</w:t>
      </w:r>
      <w:r w:rsidRPr="0051531E">
        <w:rPr>
          <w:vertAlign w:val="subscript"/>
          <w:lang w:val="fr-CH"/>
        </w:rPr>
        <w:t>2</w:t>
      </w:r>
      <w:r w:rsidRPr="0051531E">
        <w:rPr>
          <w:lang w:val="fr-CH"/>
        </w:rPr>
        <w:t>, O</w:t>
      </w:r>
      <w:r w:rsidRPr="0051531E">
        <w:rPr>
          <w:vertAlign w:val="subscript"/>
          <w:lang w:val="fr-CH"/>
        </w:rPr>
        <w:t>2</w:t>
      </w:r>
      <w:r w:rsidRPr="0051531E">
        <w:rPr>
          <w:lang w:val="fr-CH"/>
        </w:rPr>
        <w:t>, H</w:t>
      </w:r>
      <w:r w:rsidRPr="0051531E">
        <w:rPr>
          <w:vertAlign w:val="subscript"/>
          <w:lang w:val="fr-CH"/>
        </w:rPr>
        <w:t>2</w:t>
      </w:r>
      <w:r w:rsidRPr="0051531E">
        <w:rPr>
          <w:lang w:val="fr-CH"/>
        </w:rPr>
        <w:t>, H</w:t>
      </w:r>
      <w:r w:rsidRPr="0051531E">
        <w:rPr>
          <w:vertAlign w:val="subscript"/>
          <w:lang w:val="fr-CH"/>
        </w:rPr>
        <w:t>2</w:t>
      </w:r>
      <w:r w:rsidRPr="0051531E">
        <w:rPr>
          <w:lang w:val="fr-CH"/>
        </w:rPr>
        <w:t>O, CO</w:t>
      </w:r>
      <w:r w:rsidRPr="0051531E">
        <w:rPr>
          <w:vertAlign w:val="subscript"/>
          <w:lang w:val="fr-CH"/>
        </w:rPr>
        <w:t>2</w:t>
      </w:r>
      <w:r w:rsidRPr="0051531E">
        <w:rPr>
          <w:lang w:val="fr-CH"/>
        </w:rPr>
        <w:t>, O</w:t>
      </w:r>
      <w:r w:rsidRPr="0051531E">
        <w:rPr>
          <w:vertAlign w:val="subscript"/>
          <w:lang w:val="fr-CH"/>
        </w:rPr>
        <w:t>3</w:t>
      </w:r>
      <w:r w:rsidRPr="0051531E">
        <w:rPr>
          <w:lang w:val="fr-CH"/>
        </w:rPr>
        <w:t xml:space="preserve">, Ar, etc.). Le coefficient d'absorption dépend du type et de la concentration des molécules de gaz. Le spectre d'absorption est défini par les variations spectrales du coefficient d'absorption. La nature du spectre dépend des variations des niveaux d'énergie possibles du gaz, provoquées essentiellement par la transition des électrons, la vibration des atomes et la rotation des molécules. Une augmentation de la température ou de la pression tend à élargir les raies spectrales d'absorption par excitation des niveaux d'énergie supérieurs et par effet Doppler. L'absorption moléculaire est un phénomène sélectif qui génère des fenêtres de transmission atmosphérique relativement transparentes et des bandes d'absorption atmosphérique relativement opaques. </w:t>
      </w:r>
    </w:p>
    <w:p w:rsidR="007236FF" w:rsidRPr="0051531E" w:rsidRDefault="007236FF" w:rsidP="004A4E20">
      <w:pPr>
        <w:rPr>
          <w:lang w:val="fr-CH"/>
        </w:rPr>
      </w:pPr>
      <w:r w:rsidRPr="0051531E">
        <w:rPr>
          <w:lang w:val="fr-CH"/>
        </w:rPr>
        <w:t>Les fenêtres de transmission dans la bande optique</w:t>
      </w:r>
      <w:r w:rsidR="001231AE" w:rsidRPr="0051531E">
        <w:rPr>
          <w:lang w:val="fr-CH"/>
        </w:rPr>
        <w:t xml:space="preserve"> </w:t>
      </w:r>
      <w:r w:rsidRPr="0051531E">
        <w:rPr>
          <w:lang w:val="fr-CH"/>
        </w:rPr>
        <w:t>sont les suivantes:</w:t>
      </w:r>
    </w:p>
    <w:p w:rsidR="007236FF" w:rsidRPr="0051531E" w:rsidRDefault="007236FF" w:rsidP="004A4E20">
      <w:pPr>
        <w:pStyle w:val="enumlev1"/>
        <w:rPr>
          <w:lang w:val="fr-CH"/>
        </w:rPr>
      </w:pPr>
      <w:r w:rsidRPr="0051531E">
        <w:rPr>
          <w:lang w:val="fr-CH"/>
        </w:rPr>
        <w:t>–</w:t>
      </w:r>
      <w:r w:rsidRPr="0051531E">
        <w:rPr>
          <w:lang w:val="fr-CH"/>
        </w:rPr>
        <w:tab/>
        <w:t>Visible et IR très proche:</w:t>
      </w:r>
      <w:r w:rsidRPr="0051531E">
        <w:rPr>
          <w:lang w:val="fr-CH"/>
        </w:rPr>
        <w:tab/>
        <w:t>de 0,4 à 1,4 μm</w:t>
      </w:r>
    </w:p>
    <w:p w:rsidR="007236FF" w:rsidRPr="0051531E" w:rsidRDefault="007236FF" w:rsidP="004A4E20">
      <w:pPr>
        <w:pStyle w:val="enumlev1"/>
        <w:rPr>
          <w:lang w:val="fr-CH"/>
        </w:rPr>
      </w:pPr>
      <w:r w:rsidRPr="0051531E">
        <w:rPr>
          <w:lang w:val="fr-CH"/>
        </w:rPr>
        <w:t>–</w:t>
      </w:r>
      <w:r w:rsidRPr="0051531E">
        <w:rPr>
          <w:lang w:val="fr-CH"/>
        </w:rPr>
        <w:tab/>
        <w:t>IR proche ou IR I:</w:t>
      </w:r>
      <w:r w:rsidRPr="0051531E">
        <w:rPr>
          <w:lang w:val="fr-CH"/>
        </w:rPr>
        <w:tab/>
      </w:r>
      <w:r w:rsidR="004A4E20" w:rsidRPr="0051531E">
        <w:rPr>
          <w:lang w:val="fr-CH"/>
        </w:rPr>
        <w:tab/>
      </w:r>
      <w:r w:rsidRPr="0051531E">
        <w:rPr>
          <w:lang w:val="fr-CH"/>
        </w:rPr>
        <w:t>de 1,4 à 1,9 μm et de 1,9 à 2,7 μm</w:t>
      </w:r>
    </w:p>
    <w:p w:rsidR="007236FF" w:rsidRPr="0051531E" w:rsidRDefault="007236FF" w:rsidP="004A4E20">
      <w:pPr>
        <w:pStyle w:val="enumlev1"/>
        <w:rPr>
          <w:lang w:val="fr-CH"/>
        </w:rPr>
      </w:pPr>
      <w:r w:rsidRPr="0051531E">
        <w:rPr>
          <w:lang w:val="fr-CH"/>
        </w:rPr>
        <w:t>–</w:t>
      </w:r>
      <w:r w:rsidRPr="0051531E">
        <w:rPr>
          <w:lang w:val="fr-CH"/>
        </w:rPr>
        <w:tab/>
        <w:t>IR moyen ou IR II:</w:t>
      </w:r>
      <w:r w:rsidRPr="0051531E">
        <w:rPr>
          <w:lang w:val="fr-CH"/>
        </w:rPr>
        <w:tab/>
      </w:r>
      <w:r w:rsidR="004A4E20" w:rsidRPr="0051531E">
        <w:rPr>
          <w:lang w:val="fr-CH"/>
        </w:rPr>
        <w:tab/>
      </w:r>
      <w:r w:rsidRPr="0051531E">
        <w:rPr>
          <w:lang w:val="fr-CH"/>
        </w:rPr>
        <w:t>de 2,7 à 4,3 μm et de 4,5 à 5,2 μm</w:t>
      </w:r>
    </w:p>
    <w:p w:rsidR="007236FF" w:rsidRPr="0051531E" w:rsidRDefault="007236FF" w:rsidP="004A4E20">
      <w:pPr>
        <w:pStyle w:val="enumlev1"/>
        <w:rPr>
          <w:lang w:val="fr-CH"/>
        </w:rPr>
      </w:pPr>
      <w:r w:rsidRPr="0051531E">
        <w:rPr>
          <w:lang w:val="fr-CH"/>
        </w:rPr>
        <w:t>–</w:t>
      </w:r>
      <w:r w:rsidRPr="0051531E">
        <w:rPr>
          <w:lang w:val="fr-CH"/>
        </w:rPr>
        <w:tab/>
        <w:t>IR lointain ou IR III:</w:t>
      </w:r>
      <w:r w:rsidR="004A4E20" w:rsidRPr="0051531E">
        <w:rPr>
          <w:lang w:val="fr-CH"/>
        </w:rPr>
        <w:tab/>
      </w:r>
      <w:r w:rsidRPr="0051531E">
        <w:rPr>
          <w:lang w:val="fr-CH"/>
        </w:rPr>
        <w:tab/>
        <w:t>de 8 à 14 μm</w:t>
      </w:r>
    </w:p>
    <w:p w:rsidR="007236FF" w:rsidRPr="0051531E" w:rsidRDefault="007236FF" w:rsidP="004A4E20">
      <w:pPr>
        <w:pStyle w:val="enumlev1"/>
        <w:rPr>
          <w:lang w:val="fr-CH"/>
        </w:rPr>
      </w:pPr>
      <w:r w:rsidRPr="0051531E">
        <w:rPr>
          <w:lang w:val="fr-CH"/>
        </w:rPr>
        <w:t>–</w:t>
      </w:r>
      <w:r w:rsidRPr="0051531E">
        <w:rPr>
          <w:lang w:val="fr-CH"/>
        </w:rPr>
        <w:tab/>
        <w:t>IR extrême ou IR IV:</w:t>
      </w:r>
      <w:r w:rsidRPr="0051531E">
        <w:rPr>
          <w:lang w:val="fr-CH"/>
        </w:rPr>
        <w:tab/>
      </w:r>
      <w:r w:rsidR="004A4E20" w:rsidRPr="0051531E">
        <w:rPr>
          <w:lang w:val="fr-CH"/>
        </w:rPr>
        <w:tab/>
      </w:r>
      <w:r w:rsidRPr="0051531E">
        <w:rPr>
          <w:lang w:val="fr-CH"/>
        </w:rPr>
        <w:t>de 16 à 28 μm.</w:t>
      </w:r>
    </w:p>
    <w:p w:rsidR="007236FF" w:rsidRPr="0051531E" w:rsidRDefault="007236FF" w:rsidP="005C20B7">
      <w:pPr>
        <w:keepNext/>
        <w:keepLines/>
        <w:rPr>
          <w:snapToGrid w:val="0"/>
          <w:lang w:val="fr-CH"/>
        </w:rPr>
      </w:pPr>
      <w:r w:rsidRPr="0051531E">
        <w:rPr>
          <w:snapToGrid w:val="0"/>
          <w:lang w:val="fr-CH"/>
        </w:rPr>
        <w:lastRenderedPageBreak/>
        <w:t xml:space="preserve">Les molécules gazeuses possèdent des niveaux d'énergie quantifiés propres à chaque type de molécule. Elles peuvent absorber de l'énergie (ou photons) sous l'effet d'un rayonnement électromagnétique incident, qui provoque une transition d'un niveau d'énergie initial, </w:t>
      </w:r>
      <w:r w:rsidRPr="0051531E">
        <w:rPr>
          <w:i/>
          <w:snapToGrid w:val="0"/>
          <w:lang w:val="fr-CH"/>
        </w:rPr>
        <w:t>e</w:t>
      </w:r>
      <w:r w:rsidRPr="0051531E">
        <w:rPr>
          <w:i/>
          <w:snapToGrid w:val="0"/>
          <w:vertAlign w:val="subscript"/>
          <w:lang w:val="fr-CH"/>
        </w:rPr>
        <w:t>i</w:t>
      </w:r>
      <w:r w:rsidRPr="0051531E">
        <w:rPr>
          <w:snapToGrid w:val="0"/>
          <w:lang w:val="fr-CH"/>
        </w:rPr>
        <w:t xml:space="preserve">, vers un niveau d'énergie supérieur, </w:t>
      </w:r>
      <w:r w:rsidRPr="0051531E">
        <w:rPr>
          <w:i/>
          <w:snapToGrid w:val="0"/>
          <w:lang w:val="fr-CH"/>
        </w:rPr>
        <w:t>e</w:t>
      </w:r>
      <w:r w:rsidRPr="0051531E">
        <w:rPr>
          <w:i/>
          <w:snapToGrid w:val="0"/>
          <w:vertAlign w:val="subscript"/>
          <w:lang w:val="fr-CH"/>
        </w:rPr>
        <w:t>f</w:t>
      </w:r>
      <w:r w:rsidRPr="0051531E">
        <w:rPr>
          <w:iCs/>
          <w:snapToGrid w:val="0"/>
          <w:lang w:val="fr-CH"/>
        </w:rPr>
        <w:t>. L'énergie de rayonnement diminue alors sous l'effet de la perte d'un ou plusieurs photons.</w:t>
      </w:r>
    </w:p>
    <w:p w:rsidR="007236FF" w:rsidRPr="0051531E" w:rsidRDefault="007236FF" w:rsidP="004A4E20">
      <w:pPr>
        <w:rPr>
          <w:snapToGrid w:val="0"/>
          <w:lang w:val="fr-CH"/>
        </w:rPr>
      </w:pPr>
      <w:r w:rsidRPr="0051531E">
        <w:rPr>
          <w:snapToGrid w:val="0"/>
          <w:lang w:val="fr-CH"/>
        </w:rPr>
        <w:t>Ce phénomène n'a lieu que si la fréquence de l'onde incidente correspond exactement à l'une des fréquences de résonance de la molécule en question. Il est décrit par la formule suivante:</w:t>
      </w:r>
    </w:p>
    <w:p w:rsidR="007236FF" w:rsidRPr="0051531E" w:rsidRDefault="007236FF" w:rsidP="004A4E20">
      <w:pPr>
        <w:pStyle w:val="Equation"/>
        <w:rPr>
          <w:snapToGrid w:val="0"/>
          <w:lang w:val="fr-CH" w:eastAsia="fr-FR"/>
        </w:rPr>
      </w:pPr>
      <w:r w:rsidRPr="0051531E">
        <w:rPr>
          <w:snapToGrid w:val="0"/>
          <w:lang w:val="fr-CH" w:eastAsia="fr-FR"/>
        </w:rPr>
        <w:tab/>
      </w:r>
      <w:r w:rsidRPr="0051531E">
        <w:rPr>
          <w:snapToGrid w:val="0"/>
          <w:lang w:val="fr-CH" w:eastAsia="fr-FR"/>
        </w:rPr>
        <w:tab/>
      </w:r>
      <w:r w:rsidRPr="0051531E">
        <w:rPr>
          <w:position w:val="-24"/>
          <w:lang w:val="fr-CH"/>
        </w:rPr>
        <w:object w:dxaOrig="12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pt;height:33.2pt" o:ole="">
            <v:imagedata r:id="rId13" o:title=""/>
          </v:shape>
          <o:OLEObject Type="Embed" ProgID="Equation.3" ShapeID="_x0000_i1025" DrawAspect="Content" ObjectID="_1409139871" r:id="rId14"/>
        </w:object>
      </w:r>
      <w:r w:rsidRPr="0051531E">
        <w:rPr>
          <w:snapToGrid w:val="0"/>
          <w:lang w:val="fr-CH" w:eastAsia="fr-FR"/>
        </w:rPr>
        <w:tab/>
        <w:t>(1)</w:t>
      </w:r>
    </w:p>
    <w:p w:rsidR="007236FF" w:rsidRPr="0051531E" w:rsidRDefault="007236FF" w:rsidP="004A4E20">
      <w:pPr>
        <w:rPr>
          <w:snapToGrid w:val="0"/>
          <w:lang w:val="fr-CH"/>
        </w:rPr>
      </w:pPr>
      <w:r w:rsidRPr="0051531E">
        <w:rPr>
          <w:snapToGrid w:val="0"/>
          <w:lang w:val="fr-CH"/>
        </w:rPr>
        <w:t>où:</w:t>
      </w:r>
    </w:p>
    <w:p w:rsidR="007236FF" w:rsidRPr="0051531E" w:rsidRDefault="007236FF" w:rsidP="008708C1">
      <w:pPr>
        <w:pStyle w:val="Equationlegend"/>
        <w:rPr>
          <w:snapToGrid w:val="0"/>
          <w:lang w:val="fr-CH"/>
        </w:rPr>
      </w:pPr>
      <w:r w:rsidRPr="0051531E">
        <w:rPr>
          <w:snapToGrid w:val="0"/>
          <w:lang w:val="fr-CH"/>
        </w:rPr>
        <w:tab/>
      </w:r>
      <w:r w:rsidR="008708C1" w:rsidRPr="0051531E">
        <w:rPr>
          <w:lang w:val="fr-CH"/>
        </w:rPr>
        <w:sym w:font="Symbol" w:char="F075"/>
      </w:r>
      <w:r w:rsidRPr="0051531E">
        <w:rPr>
          <w:iCs/>
          <w:snapToGrid w:val="0"/>
          <w:vertAlign w:val="subscript"/>
          <w:lang w:val="fr-CH"/>
        </w:rPr>
        <w:t>0:</w:t>
      </w:r>
      <w:r w:rsidRPr="0051531E">
        <w:rPr>
          <w:snapToGrid w:val="0"/>
          <w:lang w:val="fr-CH"/>
        </w:rPr>
        <w:tab/>
        <w:t>fréquence de l'onde incidente (Hz);</w:t>
      </w:r>
    </w:p>
    <w:p w:rsidR="007236FF" w:rsidRPr="0051531E" w:rsidRDefault="007236FF" w:rsidP="004A4E20">
      <w:pPr>
        <w:pStyle w:val="Equationlegend"/>
        <w:rPr>
          <w:snapToGrid w:val="0"/>
          <w:lang w:val="fr-CH"/>
        </w:rPr>
      </w:pPr>
      <w:r w:rsidRPr="0051531E">
        <w:rPr>
          <w:snapToGrid w:val="0"/>
          <w:lang w:val="fr-CH"/>
        </w:rPr>
        <w:tab/>
      </w:r>
      <w:r w:rsidRPr="0051531E">
        <w:rPr>
          <w:i/>
          <w:snapToGrid w:val="0"/>
          <w:lang w:val="fr-CH"/>
        </w:rPr>
        <w:t>h:</w:t>
      </w:r>
      <w:r w:rsidRPr="0051531E">
        <w:rPr>
          <w:snapToGrid w:val="0"/>
          <w:lang w:val="fr-CH"/>
        </w:rPr>
        <w:tab/>
        <w:t xml:space="preserve">constante de Planck, </w:t>
      </w:r>
      <w:r w:rsidRPr="0051531E">
        <w:rPr>
          <w:i/>
          <w:iCs/>
          <w:snapToGrid w:val="0"/>
          <w:lang w:val="fr-CH"/>
        </w:rPr>
        <w:t>h</w:t>
      </w:r>
      <w:r w:rsidRPr="0051531E">
        <w:rPr>
          <w:snapToGrid w:val="0"/>
          <w:lang w:val="fr-CH"/>
        </w:rPr>
        <w:t> = 6,6262 10</w:t>
      </w:r>
      <w:r w:rsidRPr="0051531E">
        <w:rPr>
          <w:snapToGrid w:val="0"/>
          <w:vertAlign w:val="superscript"/>
          <w:lang w:val="fr-CH"/>
        </w:rPr>
        <w:t>−34</w:t>
      </w:r>
      <w:r w:rsidRPr="0051531E">
        <w:rPr>
          <w:lang w:val="fr-CH"/>
        </w:rPr>
        <w:t> </w:t>
      </w:r>
      <w:r w:rsidRPr="0051531E">
        <w:rPr>
          <w:snapToGrid w:val="0"/>
          <w:lang w:val="fr-CH"/>
        </w:rPr>
        <w:t>J</w:t>
      </w:r>
      <w:r w:rsidRPr="0051531E">
        <w:rPr>
          <w:snapToGrid w:val="0"/>
          <w:lang w:val="fr-CH"/>
        </w:rPr>
        <w:noBreakHyphen/>
        <w:t>s.</w:t>
      </w:r>
    </w:p>
    <w:p w:rsidR="007236FF" w:rsidRPr="0051531E" w:rsidRDefault="007236FF" w:rsidP="004A4E20">
      <w:pPr>
        <w:rPr>
          <w:snapToGrid w:val="0"/>
          <w:lang w:val="fr-CH"/>
        </w:rPr>
      </w:pPr>
      <w:r w:rsidRPr="0051531E">
        <w:rPr>
          <w:snapToGrid w:val="0"/>
          <w:lang w:val="fr-CH"/>
        </w:rPr>
        <w:t xml:space="preserve">Les paramètres fondamentaux qui déterminent l'absorption due à la résonance moléculaire sont: les niveaux d'énergie possibles de chaque type de molécules, la probabilité de transition d'un niveau d'énergie </w:t>
      </w:r>
      <w:r w:rsidRPr="0051531E">
        <w:rPr>
          <w:i/>
          <w:snapToGrid w:val="0"/>
          <w:lang w:val="fr-CH"/>
        </w:rPr>
        <w:t>e</w:t>
      </w:r>
      <w:r w:rsidRPr="0051531E">
        <w:rPr>
          <w:rFonts w:ascii="(Utiliser une police de caractè" w:hAnsi="(Utiliser une police de caractè"/>
          <w:i/>
          <w:snapToGrid w:val="0"/>
          <w:vertAlign w:val="subscript"/>
          <w:lang w:val="fr-CH"/>
        </w:rPr>
        <w:t>i</w:t>
      </w:r>
      <w:r w:rsidRPr="0051531E">
        <w:rPr>
          <w:lang w:val="fr-CH"/>
        </w:rPr>
        <w:t xml:space="preserve"> </w:t>
      </w:r>
      <w:r w:rsidRPr="0051531E">
        <w:rPr>
          <w:rFonts w:ascii="(Utiliser une police de caractè" w:hAnsi="(Utiliser une police de caractè"/>
          <w:snapToGrid w:val="0"/>
          <w:lang w:val="fr-CH"/>
        </w:rPr>
        <w:t xml:space="preserve">à un niveau d'énergie </w:t>
      </w:r>
      <w:r w:rsidRPr="0051531E">
        <w:rPr>
          <w:i/>
          <w:snapToGrid w:val="0"/>
          <w:lang w:val="fr-CH"/>
        </w:rPr>
        <w:t>e</w:t>
      </w:r>
      <w:r w:rsidRPr="0051531E">
        <w:rPr>
          <w:i/>
          <w:snapToGrid w:val="0"/>
          <w:vertAlign w:val="subscript"/>
          <w:lang w:val="fr-CH"/>
        </w:rPr>
        <w:t>f</w:t>
      </w:r>
      <w:r w:rsidRPr="0051531E">
        <w:rPr>
          <w:snapToGrid w:val="0"/>
          <w:lang w:val="fr-CH"/>
        </w:rPr>
        <w:t>, l'intensité des raies de résonance et le profil naturel de chaque raie.</w:t>
      </w:r>
    </w:p>
    <w:p w:rsidR="007236FF" w:rsidRPr="0051531E" w:rsidRDefault="007236FF" w:rsidP="004A4E20">
      <w:pPr>
        <w:rPr>
          <w:snapToGrid w:val="0"/>
          <w:lang w:val="fr-CH"/>
        </w:rPr>
      </w:pPr>
      <w:r w:rsidRPr="0051531E">
        <w:rPr>
          <w:snapToGrid w:val="0"/>
          <w:lang w:val="fr-CH"/>
        </w:rPr>
        <w:t>En général, le profil de chaque raie d'absorption est modifié par effet Doppler lorsque les molécules se déplacent par rapport à l'onde incidente, ainsi que par les collisions dues aux interactions entre les molécules. Ces phénomènes entraînent un élargissement spectral de la raie naturelle de chaque molécule.</w:t>
      </w:r>
      <w:r w:rsidRPr="0051531E">
        <w:rPr>
          <w:lang w:val="fr-CH"/>
        </w:rPr>
        <w:t xml:space="preserve"> Les profils de raie d'absorption de </w:t>
      </w:r>
      <w:r w:rsidRPr="0051531E">
        <w:rPr>
          <w:snapToGrid w:val="0"/>
          <w:lang w:val="fr-CH"/>
        </w:rPr>
        <w:t>certaines molécules, telles que le dioxyde de carbone (CO</w:t>
      </w:r>
      <w:r w:rsidRPr="0051531E">
        <w:rPr>
          <w:snapToGrid w:val="0"/>
          <w:vertAlign w:val="subscript"/>
          <w:lang w:val="fr-CH"/>
        </w:rPr>
        <w:t>2</w:t>
      </w:r>
      <w:r w:rsidRPr="0051531E">
        <w:rPr>
          <w:snapToGrid w:val="0"/>
          <w:lang w:val="fr-CH"/>
        </w:rPr>
        <w:t>), la vapeur d'eau (H</w:t>
      </w:r>
      <w:r w:rsidRPr="0051531E">
        <w:rPr>
          <w:snapToGrid w:val="0"/>
          <w:vertAlign w:val="subscript"/>
          <w:lang w:val="fr-CH"/>
        </w:rPr>
        <w:t>2</w:t>
      </w:r>
      <w:r w:rsidRPr="0051531E">
        <w:rPr>
          <w:snapToGrid w:val="0"/>
          <w:lang w:val="fr-CH"/>
        </w:rPr>
        <w:t>O)</w:t>
      </w:r>
      <w:r w:rsidRPr="0051531E">
        <w:rPr>
          <w:b/>
          <w:snapToGrid w:val="0"/>
          <w:lang w:val="fr-CH"/>
        </w:rPr>
        <w:t xml:space="preserve">, </w:t>
      </w:r>
      <w:r w:rsidRPr="0051531E">
        <w:rPr>
          <w:snapToGrid w:val="0"/>
          <w:lang w:val="fr-CH"/>
        </w:rPr>
        <w:t>l'azote (N</w:t>
      </w:r>
      <w:r w:rsidRPr="0051531E">
        <w:rPr>
          <w:snapToGrid w:val="0"/>
          <w:vertAlign w:val="subscript"/>
          <w:lang w:val="fr-CH"/>
        </w:rPr>
        <w:t>2</w:t>
      </w:r>
      <w:r w:rsidRPr="0051531E">
        <w:rPr>
          <w:snapToGrid w:val="0"/>
          <w:lang w:val="fr-CH"/>
        </w:rPr>
        <w:t>) et l'oxygène (</w:t>
      </w:r>
      <w:r w:rsidRPr="0051531E">
        <w:rPr>
          <w:lang w:val="fr-CH"/>
        </w:rPr>
        <w:t>O</w:t>
      </w:r>
      <w:r w:rsidRPr="0051531E">
        <w:rPr>
          <w:snapToGrid w:val="0"/>
          <w:vertAlign w:val="subscript"/>
          <w:lang w:val="fr-CH"/>
        </w:rPr>
        <w:t>2</w:t>
      </w:r>
      <w:r w:rsidRPr="0051531E">
        <w:rPr>
          <w:lang w:val="fr-CH"/>
        </w:rPr>
        <w:t>), peuvent s'éloigner suffisamment de chaque raie centrale pour entraîner un continuum d'absorption. La Fig. 1 montre la transmittance atmosphérique nominale mesurée due à l'absorption moléculaire sur une liaison horizontale de 1 820 m au niveau de la mer.</w:t>
      </w:r>
    </w:p>
    <w:p w:rsidR="007236FF" w:rsidRPr="0051531E" w:rsidRDefault="007236FF" w:rsidP="004A4E20">
      <w:pPr>
        <w:pStyle w:val="FigureNo"/>
        <w:rPr>
          <w:lang w:val="fr-CH"/>
        </w:rPr>
      </w:pPr>
      <w:r w:rsidRPr="0051531E">
        <w:rPr>
          <w:lang w:val="fr-CH"/>
        </w:rPr>
        <w:t>Figure 1</w:t>
      </w:r>
    </w:p>
    <w:p w:rsidR="007236FF" w:rsidRPr="0051531E" w:rsidRDefault="007236FF" w:rsidP="007236FF">
      <w:pPr>
        <w:pStyle w:val="Figuretitle"/>
        <w:rPr>
          <w:lang w:val="fr-CH"/>
        </w:rPr>
      </w:pPr>
      <w:r w:rsidRPr="0051531E">
        <w:rPr>
          <w:lang w:val="fr-CH"/>
        </w:rPr>
        <w:t>Transmittance atmosphérique due à l'absorption moléculaire</w:t>
      </w:r>
    </w:p>
    <w:p w:rsidR="007236FF" w:rsidRPr="0051531E" w:rsidRDefault="00D32AE0" w:rsidP="004A4E20">
      <w:pPr>
        <w:pStyle w:val="Figure"/>
        <w:rPr>
          <w:snapToGrid w:val="0"/>
          <w:lang w:val="fr-CH"/>
        </w:rPr>
      </w:pPr>
      <w:r w:rsidRPr="0051531E">
        <w:rPr>
          <w:lang w:val="fr-CH"/>
        </w:rPr>
        <w:object w:dxaOrig="7812" w:dyaOrig="4623">
          <v:shape id="_x0000_i1026" type="#_x0000_t75" style="width:438.9pt;height:260.45pt" o:ole="">
            <v:imagedata r:id="rId15" o:title=""/>
          </v:shape>
          <o:OLEObject Type="Embed" ProgID="CorelDRAW.Graphic.14" ShapeID="_x0000_i1026" DrawAspect="Content" ObjectID="_1409139872" r:id="rId16"/>
        </w:object>
      </w:r>
    </w:p>
    <w:p w:rsidR="007236FF" w:rsidRPr="0051531E" w:rsidRDefault="007236FF" w:rsidP="00587DDB">
      <w:pPr>
        <w:pStyle w:val="Heading1"/>
        <w:rPr>
          <w:lang w:val="fr-CH"/>
        </w:rPr>
      </w:pPr>
      <w:bookmarkStart w:id="8" w:name="_Toc85359494"/>
      <w:r w:rsidRPr="0051531E">
        <w:rPr>
          <w:lang w:val="fr-CH"/>
        </w:rPr>
        <w:lastRenderedPageBreak/>
        <w:t>3</w:t>
      </w:r>
      <w:r w:rsidRPr="0051531E">
        <w:rPr>
          <w:lang w:val="fr-CH"/>
        </w:rPr>
        <w:tab/>
      </w:r>
      <w:bookmarkEnd w:id="8"/>
      <w:r w:rsidRPr="0051531E">
        <w:rPr>
          <w:lang w:val="fr-CH"/>
        </w:rPr>
        <w:t>Diffusion moléculaire</w:t>
      </w:r>
    </w:p>
    <w:p w:rsidR="007236FF" w:rsidRPr="0051531E" w:rsidRDefault="007236FF" w:rsidP="00587DDB">
      <w:pPr>
        <w:keepNext/>
        <w:keepLines/>
        <w:rPr>
          <w:lang w:val="fr-CH"/>
        </w:rPr>
      </w:pPr>
      <w:r w:rsidRPr="0051531E">
        <w:rPr>
          <w:lang w:val="fr-CH"/>
        </w:rPr>
        <w:t>La diffusion moléculaire résulte de l'interaction de la lumière avec des particules atmosphériques dont la taille est inférieure à la longueur d'onde de la lumière incidente. La diffusion par les molécules atmosphériques gazeuses (diffusion de Rayleigh) contribue à l'affaiblissement global du rayonnement électromagnétique.</w:t>
      </w:r>
    </w:p>
    <w:p w:rsidR="007236FF" w:rsidRPr="0051531E" w:rsidRDefault="007236FF" w:rsidP="004A4E20">
      <w:pPr>
        <w:rPr>
          <w:lang w:val="fr-CH"/>
        </w:rPr>
      </w:pPr>
      <w:r w:rsidRPr="0051531E">
        <w:rPr>
          <w:lang w:val="fr-CH"/>
        </w:rPr>
        <w:t>Le coefficient d'extinction due à la diffusion moléculaire, β</w:t>
      </w:r>
      <w:r w:rsidRPr="0051531E">
        <w:rPr>
          <w:i/>
          <w:iCs/>
          <w:vertAlign w:val="subscript"/>
          <w:lang w:val="fr-CH"/>
        </w:rPr>
        <w:t>m</w:t>
      </w:r>
      <w:r w:rsidRPr="0051531E">
        <w:rPr>
          <w:lang w:val="fr-CH"/>
        </w:rPr>
        <w:t>(λ), est donné par:</w:t>
      </w:r>
    </w:p>
    <w:p w:rsidR="007236FF" w:rsidRPr="0051531E" w:rsidRDefault="007236FF" w:rsidP="007236FF">
      <w:pPr>
        <w:pStyle w:val="Equation"/>
        <w:rPr>
          <w:lang w:val="fr-CH"/>
        </w:rPr>
      </w:pPr>
      <w:r w:rsidRPr="0051531E">
        <w:rPr>
          <w:lang w:val="fr-CH"/>
        </w:rPr>
        <w:tab/>
      </w:r>
      <w:r w:rsidRPr="0051531E">
        <w:rPr>
          <w:lang w:val="fr-CH"/>
        </w:rPr>
        <w:tab/>
      </w:r>
      <w:r w:rsidRPr="0051531E">
        <w:rPr>
          <w:position w:val="-36"/>
          <w:lang w:val="fr-CH"/>
        </w:rPr>
        <w:object w:dxaOrig="3800" w:dyaOrig="840">
          <v:shape id="_x0000_i1027" type="#_x0000_t75" style="width:189.7pt;height:41.95pt" o:ole="">
            <v:imagedata r:id="rId17" o:title=""/>
          </v:shape>
          <o:OLEObject Type="Embed" ProgID="Equation.3" ShapeID="_x0000_i1027" DrawAspect="Content" ObjectID="_1409139873" r:id="rId18"/>
        </w:object>
      </w:r>
      <w:r w:rsidRPr="0051531E">
        <w:rPr>
          <w:lang w:val="fr-CH"/>
        </w:rPr>
        <w:tab/>
      </w:r>
      <w:r w:rsidRPr="0051531E">
        <w:rPr>
          <w:snapToGrid w:val="0"/>
          <w:lang w:val="fr-CH" w:eastAsia="fr-FR"/>
        </w:rPr>
        <w:t>(2)</w:t>
      </w:r>
    </w:p>
    <w:p w:rsidR="007236FF" w:rsidRPr="0051531E" w:rsidRDefault="007236FF" w:rsidP="007236FF">
      <w:pPr>
        <w:rPr>
          <w:lang w:val="fr-CH"/>
        </w:rPr>
      </w:pPr>
      <w:r w:rsidRPr="0051531E">
        <w:rPr>
          <w:lang w:val="fr-CH"/>
        </w:rPr>
        <w:t>où:</w:t>
      </w:r>
    </w:p>
    <w:p w:rsidR="007236FF" w:rsidRPr="0051531E" w:rsidRDefault="007236FF" w:rsidP="00D32AE0">
      <w:pPr>
        <w:pStyle w:val="Equationlegend"/>
        <w:rPr>
          <w:lang w:val="fr-CH"/>
        </w:rPr>
      </w:pPr>
      <w:r w:rsidRPr="0051531E">
        <w:rPr>
          <w:lang w:val="fr-CH"/>
        </w:rPr>
        <w:tab/>
        <w:t>β</w:t>
      </w:r>
      <w:r w:rsidRPr="0051531E">
        <w:rPr>
          <w:i/>
          <w:iCs/>
          <w:vertAlign w:val="subscript"/>
          <w:lang w:val="fr-CH"/>
        </w:rPr>
        <w:t>m</w:t>
      </w:r>
      <w:r w:rsidRPr="0051531E">
        <w:rPr>
          <w:iCs/>
          <w:lang w:val="fr-CH"/>
        </w:rPr>
        <w:t>(</w:t>
      </w:r>
      <w:r w:rsidR="008708C1" w:rsidRPr="0051531E">
        <w:rPr>
          <w:lang w:val="fr-CH"/>
        </w:rPr>
        <w:sym w:font="Symbol" w:char="F06C"/>
      </w:r>
      <w:r w:rsidRPr="0051531E">
        <w:rPr>
          <w:iCs/>
          <w:lang w:val="fr-CH"/>
        </w:rPr>
        <w:t>):</w:t>
      </w:r>
      <w:r w:rsidRPr="0051531E">
        <w:rPr>
          <w:lang w:val="fr-CH"/>
        </w:rPr>
        <w:tab/>
        <w:t>coefficient de diffusion moléculaire (km</w:t>
      </w:r>
      <w:r w:rsidRPr="0051531E">
        <w:rPr>
          <w:vertAlign w:val="superscript"/>
          <w:lang w:val="fr-CH"/>
        </w:rPr>
        <w:t>−1</w:t>
      </w:r>
      <w:r w:rsidRPr="0051531E">
        <w:rPr>
          <w:lang w:val="fr-CH"/>
        </w:rPr>
        <w:t>)</w:t>
      </w:r>
      <w:r w:rsidR="00D32AE0" w:rsidRPr="0051531E">
        <w:rPr>
          <w:lang w:val="fr-CH"/>
        </w:rPr>
        <w:t>;</w:t>
      </w:r>
    </w:p>
    <w:p w:rsidR="007236FF" w:rsidRPr="0051531E" w:rsidRDefault="007236FF" w:rsidP="00D32AE0">
      <w:pPr>
        <w:pStyle w:val="Equationlegend"/>
        <w:rPr>
          <w:lang w:val="fr-CH"/>
        </w:rPr>
      </w:pPr>
      <w:r w:rsidRPr="0051531E">
        <w:rPr>
          <w:lang w:val="fr-CH"/>
        </w:rPr>
        <w:tab/>
      </w:r>
      <w:r w:rsidR="008708C1" w:rsidRPr="0051531E">
        <w:rPr>
          <w:lang w:val="fr-CH"/>
        </w:rPr>
        <w:sym w:font="Symbol" w:char="F06C"/>
      </w:r>
      <w:r w:rsidRPr="0051531E">
        <w:rPr>
          <w:iCs/>
          <w:lang w:val="fr-CH"/>
        </w:rPr>
        <w:t>:</w:t>
      </w:r>
      <w:r w:rsidRPr="0051531E">
        <w:rPr>
          <w:lang w:val="fr-CH"/>
        </w:rPr>
        <w:tab/>
        <w:t>longueur d'onde (</w:t>
      </w:r>
      <w:r w:rsidR="008708C1" w:rsidRPr="0051531E">
        <w:rPr>
          <w:lang w:val="fr-CH"/>
        </w:rPr>
        <w:sym w:font="Symbol" w:char="F06D"/>
      </w:r>
      <w:r w:rsidRPr="0051531E">
        <w:rPr>
          <w:lang w:val="fr-CH"/>
        </w:rPr>
        <w:t>m)</w:t>
      </w:r>
      <w:r w:rsidR="00D32AE0">
        <w:rPr>
          <w:lang w:val="fr-CH"/>
        </w:rPr>
        <w:t>;</w:t>
      </w:r>
    </w:p>
    <w:p w:rsidR="007236FF" w:rsidRPr="0051531E" w:rsidRDefault="007236FF" w:rsidP="008708C1">
      <w:pPr>
        <w:pStyle w:val="Equationlegend"/>
        <w:rPr>
          <w:lang w:val="fr-CH"/>
        </w:rPr>
      </w:pPr>
      <w:r w:rsidRPr="0051531E">
        <w:rPr>
          <w:lang w:val="fr-CH"/>
        </w:rPr>
        <w:tab/>
      </w:r>
      <w:r w:rsidR="008708C1" w:rsidRPr="0051531E">
        <w:rPr>
          <w:lang w:val="fr-CH"/>
        </w:rPr>
        <w:sym w:font="Symbol" w:char="F072"/>
      </w:r>
      <w:r w:rsidRPr="0051531E">
        <w:rPr>
          <w:iCs/>
          <w:lang w:val="fr-CH"/>
        </w:rPr>
        <w:t>:</w:t>
      </w:r>
      <w:r w:rsidRPr="0051531E">
        <w:rPr>
          <w:lang w:val="fr-CH"/>
        </w:rPr>
        <w:tab/>
        <w:t>densité moléculaire (m</w:t>
      </w:r>
      <w:r w:rsidRPr="0051531E">
        <w:rPr>
          <w:vertAlign w:val="superscript"/>
          <w:lang w:val="fr-CH"/>
        </w:rPr>
        <w:t>−3</w:t>
      </w:r>
      <w:r w:rsidRPr="0051531E">
        <w:rPr>
          <w:lang w:val="fr-CH"/>
        </w:rPr>
        <w:t>);</w:t>
      </w:r>
    </w:p>
    <w:p w:rsidR="007236FF" w:rsidRPr="0051531E" w:rsidRDefault="007236FF" w:rsidP="008708C1">
      <w:pPr>
        <w:pStyle w:val="Equationlegend"/>
        <w:rPr>
          <w:lang w:val="fr-CH"/>
        </w:rPr>
      </w:pPr>
      <w:r w:rsidRPr="0051531E">
        <w:rPr>
          <w:lang w:val="fr-CH"/>
        </w:rPr>
        <w:tab/>
      </w:r>
      <w:r w:rsidR="008708C1" w:rsidRPr="0051531E">
        <w:rPr>
          <w:lang w:val="fr-CH"/>
        </w:rPr>
        <w:sym w:font="Symbol" w:char="F064"/>
      </w:r>
      <w:r w:rsidRPr="0051531E">
        <w:rPr>
          <w:iCs/>
          <w:lang w:val="fr-CH"/>
        </w:rPr>
        <w:t>:</w:t>
      </w:r>
      <w:r w:rsidRPr="0051531E">
        <w:rPr>
          <w:lang w:val="fr-CH"/>
        </w:rPr>
        <w:tab/>
        <w:t>facteur de dépolarisation de l'air (</w:t>
      </w:r>
      <w:r w:rsidRPr="0051531E">
        <w:rPr>
          <w:lang w:val="fr-CH"/>
        </w:rPr>
        <w:sym w:font="Symbol" w:char="F040"/>
      </w:r>
      <w:r w:rsidR="00D32AE0">
        <w:rPr>
          <w:lang w:val="fr-CH"/>
        </w:rPr>
        <w:t> 0,03</w:t>
      </w:r>
      <w:r w:rsidRPr="0051531E">
        <w:rPr>
          <w:lang w:val="fr-CH"/>
        </w:rPr>
        <w:t>)</w:t>
      </w:r>
      <w:r w:rsidR="00D32AE0">
        <w:rPr>
          <w:lang w:val="fr-CH"/>
        </w:rPr>
        <w:t>;</w:t>
      </w:r>
    </w:p>
    <w:p w:rsidR="007236FF" w:rsidRPr="0051531E" w:rsidRDefault="007236FF" w:rsidP="008708C1">
      <w:pPr>
        <w:pStyle w:val="Equationlegend"/>
        <w:rPr>
          <w:lang w:val="fr-CH"/>
        </w:rPr>
      </w:pPr>
      <w:r w:rsidRPr="0051531E">
        <w:rPr>
          <w:lang w:val="fr-CH"/>
        </w:rPr>
        <w:tab/>
      </w:r>
      <w:r w:rsidRPr="0051531E">
        <w:rPr>
          <w:i/>
          <w:lang w:val="fr-CH"/>
        </w:rPr>
        <w:t>n</w:t>
      </w:r>
      <w:r w:rsidRPr="0051531E">
        <w:rPr>
          <w:iCs/>
          <w:lang w:val="fr-CH"/>
        </w:rPr>
        <w:t>(</w:t>
      </w:r>
      <w:r w:rsidR="008708C1" w:rsidRPr="0051531E">
        <w:rPr>
          <w:lang w:val="fr-CH"/>
        </w:rPr>
        <w:sym w:font="Symbol" w:char="F06C"/>
      </w:r>
      <w:r w:rsidRPr="0051531E">
        <w:rPr>
          <w:iCs/>
          <w:lang w:val="fr-CH"/>
        </w:rPr>
        <w:t>):</w:t>
      </w:r>
      <w:r w:rsidRPr="0051531E">
        <w:rPr>
          <w:lang w:val="fr-CH"/>
        </w:rPr>
        <w:t xml:space="preserve"> </w:t>
      </w:r>
      <w:r w:rsidRPr="0051531E">
        <w:rPr>
          <w:lang w:val="fr-CH"/>
        </w:rPr>
        <w:tab/>
        <w:t>index de réfraction de l'air.</w:t>
      </w:r>
    </w:p>
    <w:p w:rsidR="007236FF" w:rsidRPr="0051531E" w:rsidRDefault="007236FF" w:rsidP="008708C1">
      <w:pPr>
        <w:rPr>
          <w:lang w:val="fr-CH"/>
        </w:rPr>
      </w:pPr>
      <w:r w:rsidRPr="0051531E">
        <w:rPr>
          <w:lang w:val="fr-CH"/>
        </w:rPr>
        <w:t>Une valeur approchée de β</w:t>
      </w:r>
      <w:r w:rsidRPr="0051531E">
        <w:rPr>
          <w:i/>
          <w:iCs/>
          <w:vertAlign w:val="subscript"/>
          <w:lang w:val="fr-CH"/>
        </w:rPr>
        <w:t>m</w:t>
      </w:r>
      <w:r w:rsidRPr="0051531E">
        <w:rPr>
          <w:iCs/>
          <w:lang w:val="fr-CH"/>
        </w:rPr>
        <w:t>(</w:t>
      </w:r>
      <w:r w:rsidR="008708C1" w:rsidRPr="0051531E">
        <w:rPr>
          <w:lang w:val="fr-CH"/>
        </w:rPr>
        <w:sym w:font="Symbol" w:char="F06C"/>
      </w:r>
      <w:r w:rsidRPr="0051531E">
        <w:rPr>
          <w:iCs/>
          <w:lang w:val="fr-CH"/>
        </w:rPr>
        <w:t xml:space="preserve">) </w:t>
      </w:r>
      <w:r w:rsidRPr="0051531E">
        <w:rPr>
          <w:lang w:val="fr-CH"/>
        </w:rPr>
        <w:t>est donnée par:</w:t>
      </w:r>
    </w:p>
    <w:p w:rsidR="007236FF" w:rsidRPr="0051531E" w:rsidRDefault="007236FF" w:rsidP="007236FF">
      <w:pPr>
        <w:pStyle w:val="Equation"/>
        <w:rPr>
          <w:lang w:val="fr-CH"/>
        </w:rPr>
      </w:pPr>
      <w:r w:rsidRPr="0051531E">
        <w:rPr>
          <w:lang w:val="fr-CH"/>
        </w:rPr>
        <w:tab/>
      </w:r>
      <w:r w:rsidRPr="0051531E">
        <w:rPr>
          <w:lang w:val="fr-CH"/>
        </w:rPr>
        <w:tab/>
      </w:r>
      <w:r w:rsidRPr="0051531E">
        <w:rPr>
          <w:position w:val="-12"/>
          <w:lang w:val="fr-CH"/>
        </w:rPr>
        <w:object w:dxaOrig="1359" w:dyaOrig="440">
          <v:shape id="_x0000_i1028" type="#_x0000_t75" style="width:68.25pt;height:21.9pt" o:ole="">
            <v:imagedata r:id="rId19" o:title=""/>
          </v:shape>
          <o:OLEObject Type="Embed" ProgID="Equation.3" ShapeID="_x0000_i1028" DrawAspect="Content" ObjectID="_1409139874" r:id="rId20"/>
        </w:object>
      </w:r>
      <w:r w:rsidRPr="0051531E">
        <w:rPr>
          <w:lang w:val="fr-CH"/>
        </w:rPr>
        <w:tab/>
      </w:r>
      <w:r w:rsidRPr="0051531E">
        <w:rPr>
          <w:snapToGrid w:val="0"/>
          <w:lang w:val="fr-CH" w:eastAsia="fr-FR"/>
        </w:rPr>
        <w:t>(3)</w:t>
      </w:r>
    </w:p>
    <w:p w:rsidR="007236FF" w:rsidRPr="0051531E" w:rsidRDefault="007236FF" w:rsidP="007236FF">
      <w:pPr>
        <w:rPr>
          <w:lang w:val="fr-CH"/>
        </w:rPr>
      </w:pPr>
      <w:r w:rsidRPr="0051531E">
        <w:rPr>
          <w:lang w:val="fr-CH"/>
        </w:rPr>
        <w:t>où:</w:t>
      </w:r>
    </w:p>
    <w:p w:rsidR="007236FF" w:rsidRPr="0051531E" w:rsidRDefault="007236FF" w:rsidP="007236FF">
      <w:pPr>
        <w:pStyle w:val="Equation"/>
        <w:tabs>
          <w:tab w:val="left" w:pos="7655"/>
        </w:tabs>
        <w:jc w:val="center"/>
        <w:rPr>
          <w:lang w:val="fr-CH"/>
        </w:rPr>
      </w:pPr>
      <w:r w:rsidRPr="0051531E">
        <w:rPr>
          <w:lang w:val="fr-CH"/>
        </w:rPr>
        <w:tab/>
      </w:r>
      <w:r w:rsidRPr="0051531E">
        <w:rPr>
          <w:lang w:val="fr-CH"/>
        </w:rPr>
        <w:tab/>
      </w:r>
      <w:r w:rsidRPr="0051531E">
        <w:rPr>
          <w:position w:val="-30"/>
          <w:lang w:val="fr-CH"/>
        </w:rPr>
        <w:object w:dxaOrig="2100" w:dyaOrig="700">
          <v:shape id="_x0000_i1029" type="#_x0000_t75" style="width:105.8pt;height:35.05pt" o:ole="">
            <v:imagedata r:id="rId21" o:title=""/>
          </v:shape>
          <o:OLEObject Type="Embed" ProgID="Equation.3" ShapeID="_x0000_i1029" DrawAspect="Content" ObjectID="_1409139875" r:id="rId22"/>
        </w:object>
      </w:r>
      <w:r w:rsidRPr="0051531E">
        <w:rPr>
          <w:lang w:val="fr-CH"/>
        </w:rPr>
        <w:tab/>
        <w:t>km</w:t>
      </w:r>
      <w:r w:rsidRPr="0051531E">
        <w:rPr>
          <w:vertAlign w:val="superscript"/>
          <w:lang w:val="fr-CH"/>
        </w:rPr>
        <w:t>–1</w:t>
      </w:r>
      <w:r w:rsidRPr="0051531E">
        <w:rPr>
          <w:lang w:val="fr-CH"/>
        </w:rPr>
        <w:t xml:space="preserve"> m</w:t>
      </w:r>
      <w:r w:rsidRPr="0051531E">
        <w:rPr>
          <w:vertAlign w:val="superscript"/>
          <w:lang w:val="fr-CH"/>
        </w:rPr>
        <w:t>4</w:t>
      </w:r>
      <w:r w:rsidRPr="0051531E">
        <w:rPr>
          <w:lang w:val="fr-CH"/>
        </w:rPr>
        <w:tab/>
      </w:r>
      <w:r w:rsidRPr="0051531E">
        <w:rPr>
          <w:snapToGrid w:val="0"/>
          <w:lang w:val="fr-CH" w:eastAsia="fr-FR"/>
        </w:rPr>
        <w:t>(4)</w:t>
      </w:r>
    </w:p>
    <w:p w:rsidR="007236FF" w:rsidRPr="0051531E" w:rsidRDefault="007236FF" w:rsidP="007236FF">
      <w:pPr>
        <w:rPr>
          <w:lang w:val="fr-CH"/>
        </w:rPr>
      </w:pPr>
      <w:r w:rsidRPr="0051531E">
        <w:rPr>
          <w:lang w:val="fr-CH"/>
        </w:rPr>
        <w:t>et</w:t>
      </w:r>
    </w:p>
    <w:p w:rsidR="007236FF" w:rsidRPr="0051531E" w:rsidRDefault="007236FF" w:rsidP="007236FF">
      <w:pPr>
        <w:pStyle w:val="Equationlegend"/>
        <w:rPr>
          <w:lang w:val="fr-CH"/>
        </w:rPr>
      </w:pPr>
      <w:r w:rsidRPr="0051531E">
        <w:rPr>
          <w:lang w:val="fr-CH"/>
        </w:rPr>
        <w:tab/>
      </w:r>
      <w:r w:rsidRPr="0051531E">
        <w:rPr>
          <w:i/>
          <w:lang w:val="fr-CH"/>
        </w:rPr>
        <w:t>P:</w:t>
      </w:r>
      <w:r w:rsidR="00D32AE0">
        <w:rPr>
          <w:lang w:val="fr-CH"/>
        </w:rPr>
        <w:t xml:space="preserve"> </w:t>
      </w:r>
      <w:r w:rsidR="00D32AE0">
        <w:rPr>
          <w:lang w:val="fr-CH"/>
        </w:rPr>
        <w:tab/>
        <w:t>pression atmosphérique (mbar</w:t>
      </w:r>
      <w:r w:rsidRPr="0051531E">
        <w:rPr>
          <w:lang w:val="fr-CH"/>
        </w:rPr>
        <w:t>)</w:t>
      </w:r>
      <w:r w:rsidR="00D32AE0">
        <w:rPr>
          <w:lang w:val="fr-CH"/>
        </w:rPr>
        <w:t>;</w:t>
      </w:r>
    </w:p>
    <w:p w:rsidR="007236FF" w:rsidRPr="0051531E" w:rsidRDefault="007236FF" w:rsidP="007236FF">
      <w:pPr>
        <w:pStyle w:val="Equationlegend"/>
        <w:rPr>
          <w:lang w:val="fr-CH"/>
        </w:rPr>
      </w:pPr>
      <w:r w:rsidRPr="0051531E">
        <w:rPr>
          <w:lang w:val="fr-CH"/>
        </w:rPr>
        <w:tab/>
      </w:r>
      <w:r w:rsidRPr="0051531E">
        <w:rPr>
          <w:i/>
          <w:lang w:val="fr-CH"/>
        </w:rPr>
        <w:t>P</w:t>
      </w:r>
      <w:r w:rsidRPr="0051531E">
        <w:rPr>
          <w:vertAlign w:val="subscript"/>
          <w:lang w:val="fr-CH"/>
        </w:rPr>
        <w:t>0</w:t>
      </w:r>
      <w:r w:rsidRPr="00D32AE0">
        <w:rPr>
          <w:lang w:val="fr-CH"/>
        </w:rPr>
        <w:t>:</w:t>
      </w:r>
      <w:r w:rsidRPr="0051531E">
        <w:rPr>
          <w:lang w:val="fr-CH"/>
        </w:rPr>
        <w:t xml:space="preserve"> </w:t>
      </w:r>
      <w:r w:rsidRPr="0051531E">
        <w:rPr>
          <w:lang w:val="fr-CH"/>
        </w:rPr>
        <w:tab/>
        <w:t>1 013 mbar;</w:t>
      </w:r>
    </w:p>
    <w:p w:rsidR="007236FF" w:rsidRPr="0051531E" w:rsidRDefault="007236FF" w:rsidP="00D32AE0">
      <w:pPr>
        <w:pStyle w:val="Equationlegend"/>
        <w:rPr>
          <w:lang w:val="fr-CH"/>
        </w:rPr>
      </w:pPr>
      <w:r w:rsidRPr="0051531E">
        <w:rPr>
          <w:lang w:val="fr-CH"/>
        </w:rPr>
        <w:tab/>
      </w:r>
      <w:r w:rsidRPr="0051531E">
        <w:rPr>
          <w:i/>
          <w:lang w:val="fr-CH"/>
        </w:rPr>
        <w:t>T:</w:t>
      </w:r>
      <w:r w:rsidR="00D32AE0">
        <w:rPr>
          <w:lang w:val="fr-CH"/>
        </w:rPr>
        <w:t xml:space="preserve"> </w:t>
      </w:r>
      <w:r w:rsidR="00D32AE0">
        <w:rPr>
          <w:lang w:val="fr-CH"/>
        </w:rPr>
        <w:tab/>
        <w:t>température atmosphérique (K</w:t>
      </w:r>
      <w:r w:rsidRPr="0051531E">
        <w:rPr>
          <w:lang w:val="fr-CH"/>
        </w:rPr>
        <w:t>)</w:t>
      </w:r>
      <w:r w:rsidR="00D32AE0">
        <w:rPr>
          <w:lang w:val="fr-CH"/>
        </w:rPr>
        <w:t>;</w:t>
      </w:r>
    </w:p>
    <w:p w:rsidR="007236FF" w:rsidRPr="0051531E" w:rsidRDefault="007236FF" w:rsidP="007236FF">
      <w:pPr>
        <w:pStyle w:val="Equationlegend"/>
        <w:rPr>
          <w:lang w:val="fr-CH"/>
        </w:rPr>
      </w:pPr>
      <w:r w:rsidRPr="0051531E">
        <w:rPr>
          <w:lang w:val="fr-CH"/>
        </w:rPr>
        <w:tab/>
      </w:r>
      <w:r w:rsidRPr="0051531E">
        <w:rPr>
          <w:i/>
          <w:iCs/>
          <w:lang w:val="fr-CH"/>
        </w:rPr>
        <w:t>T</w:t>
      </w:r>
      <w:r w:rsidRPr="0051531E">
        <w:rPr>
          <w:vertAlign w:val="subscript"/>
          <w:lang w:val="fr-CH"/>
        </w:rPr>
        <w:t>0</w:t>
      </w:r>
      <w:r w:rsidRPr="00D32AE0">
        <w:rPr>
          <w:lang w:val="fr-CH"/>
        </w:rPr>
        <w:t>:</w:t>
      </w:r>
      <w:r w:rsidRPr="0051531E">
        <w:rPr>
          <w:lang w:val="fr-CH"/>
        </w:rPr>
        <w:t xml:space="preserve"> </w:t>
      </w:r>
      <w:r w:rsidRPr="0051531E">
        <w:rPr>
          <w:lang w:val="fr-CH"/>
        </w:rPr>
        <w:tab/>
        <w:t>273,15 K.</w:t>
      </w:r>
    </w:p>
    <w:p w:rsidR="007236FF" w:rsidRPr="0051531E" w:rsidRDefault="007236FF" w:rsidP="007236FF">
      <w:pPr>
        <w:rPr>
          <w:lang w:val="fr-CH"/>
        </w:rPr>
      </w:pPr>
      <w:r w:rsidRPr="0051531E">
        <w:rPr>
          <w:lang w:val="fr-CH"/>
        </w:rPr>
        <w:t>La diffusion moléculaire pour des longueurs d'onde infrarouges est négligeable et la diffusion de Rayleigh concerne principalement les longueurs d'onde allant de l'ultraviolet au visible. La couleur bleue d'un ciel clair est due à ce type de diffusion.</w:t>
      </w:r>
    </w:p>
    <w:p w:rsidR="007236FF" w:rsidRPr="0051531E" w:rsidRDefault="007236FF" w:rsidP="007236FF">
      <w:pPr>
        <w:pStyle w:val="Heading1"/>
        <w:rPr>
          <w:lang w:val="fr-CH"/>
        </w:rPr>
      </w:pPr>
      <w:bookmarkStart w:id="9" w:name="_Toc85359492"/>
      <w:r w:rsidRPr="0051531E">
        <w:rPr>
          <w:lang w:val="fr-CH"/>
        </w:rPr>
        <w:t>4</w:t>
      </w:r>
      <w:r w:rsidRPr="0051531E">
        <w:rPr>
          <w:lang w:val="fr-CH"/>
        </w:rPr>
        <w:tab/>
        <w:t>Absorption par les aérosols</w:t>
      </w:r>
      <w:bookmarkEnd w:id="9"/>
    </w:p>
    <w:p w:rsidR="007236FF" w:rsidRPr="0051531E" w:rsidRDefault="007236FF" w:rsidP="007236FF">
      <w:pPr>
        <w:rPr>
          <w:lang w:val="fr-CH"/>
        </w:rPr>
      </w:pPr>
      <w:r w:rsidRPr="0051531E">
        <w:rPr>
          <w:lang w:val="fr-CH"/>
        </w:rPr>
        <w:t>Les aérosols sont des particules solides ou liquides extrêmement fines, en suspension dans l'atmosphère, possédant une vitesse de chute très faible (glace, poussière, fumée, etc.). Leur taille est généralement comprise entre 10</w:t>
      </w:r>
      <w:r w:rsidRPr="0051531E">
        <w:rPr>
          <w:vertAlign w:val="superscript"/>
          <w:lang w:val="fr-CH"/>
        </w:rPr>
        <w:t>−2</w:t>
      </w:r>
      <w:r w:rsidRPr="0051531E">
        <w:rPr>
          <w:lang w:val="fr-CH"/>
        </w:rPr>
        <w:t xml:space="preserve"> et 100 μm. Le brouillard, la poussière et les particules d'embrun marin sont des exemples d'aérosols.</w:t>
      </w:r>
    </w:p>
    <w:p w:rsidR="007236FF" w:rsidRPr="0051531E" w:rsidRDefault="007236FF" w:rsidP="007236FF">
      <w:pPr>
        <w:rPr>
          <w:lang w:val="fr-CH"/>
        </w:rPr>
      </w:pPr>
      <w:r w:rsidRPr="0051531E">
        <w:rPr>
          <w:lang w:val="fr-CH"/>
        </w:rPr>
        <w:t>Les aérosols influent sur les conditions d'affaiblissement atmosphérique selon leur composition chimique, leur taille et leur concentration. Dans les contextes maritimes, les aérosols sont principalement composés de gouttelettes d'eau (écume, brouillard, bruine, pluie), de cristaux de sel, et de diverses particules venant du continent, dont le type et la densité dépendent à la fois de la distance et des caractéristiques des côtes.</w:t>
      </w:r>
    </w:p>
    <w:p w:rsidR="007236FF" w:rsidRPr="0051531E" w:rsidRDefault="007236FF" w:rsidP="00587DDB">
      <w:pPr>
        <w:keepNext/>
        <w:keepLines/>
        <w:rPr>
          <w:lang w:val="fr-CH"/>
        </w:rPr>
      </w:pPr>
      <w:r w:rsidRPr="0051531E">
        <w:rPr>
          <w:lang w:val="fr-CH"/>
        </w:rPr>
        <w:lastRenderedPageBreak/>
        <w:t>Le coefficient d'extinction due à l'absorption par les aérosols, α</w:t>
      </w:r>
      <w:r w:rsidRPr="0051531E">
        <w:rPr>
          <w:i/>
          <w:iCs/>
          <w:vertAlign w:val="subscript"/>
          <w:lang w:val="fr-CH"/>
        </w:rPr>
        <w:t>n</w:t>
      </w:r>
      <w:r w:rsidRPr="0051531E">
        <w:rPr>
          <w:lang w:val="fr-CH"/>
        </w:rPr>
        <w:t>(λ), est donné par:</w:t>
      </w:r>
    </w:p>
    <w:p w:rsidR="007236FF" w:rsidRPr="0051531E" w:rsidRDefault="007236FF" w:rsidP="00D32AE0">
      <w:pPr>
        <w:pStyle w:val="Equation"/>
        <w:rPr>
          <w:lang w:val="fr-CH"/>
        </w:rPr>
      </w:pPr>
      <w:r w:rsidRPr="0051531E">
        <w:rPr>
          <w:lang w:val="fr-CH"/>
        </w:rPr>
        <w:tab/>
      </w:r>
      <w:r w:rsidRPr="0051531E">
        <w:rPr>
          <w:lang w:val="fr-CH"/>
        </w:rPr>
        <w:tab/>
      </w:r>
      <w:r w:rsidRPr="0051531E">
        <w:rPr>
          <w:position w:val="-38"/>
          <w:lang w:val="fr-CH"/>
        </w:rPr>
        <w:object w:dxaOrig="4040" w:dyaOrig="880">
          <v:shape id="_x0000_i1030" type="#_x0000_t75" style="width:202.25pt;height:44.45pt" o:ole="">
            <v:imagedata r:id="rId23" o:title=""/>
          </v:shape>
          <o:OLEObject Type="Embed" ProgID="Equation.3" ShapeID="_x0000_i1030" DrawAspect="Content" ObjectID="_1409139876" r:id="rId24"/>
        </w:object>
      </w:r>
      <w:r w:rsidR="00D32AE0">
        <w:rPr>
          <w:lang w:val="fr-CH"/>
        </w:rPr>
        <w:t>               </w:t>
      </w:r>
      <w:r w:rsidRPr="0051531E">
        <w:rPr>
          <w:lang w:val="fr-CH"/>
        </w:rPr>
        <w:t>km</w:t>
      </w:r>
      <w:r w:rsidRPr="0051531E">
        <w:rPr>
          <w:vertAlign w:val="superscript"/>
          <w:lang w:val="fr-CH"/>
        </w:rPr>
        <w:t>–1</w:t>
      </w:r>
      <w:r w:rsidRPr="0051531E">
        <w:rPr>
          <w:lang w:val="fr-CH"/>
        </w:rPr>
        <w:tab/>
      </w:r>
      <w:r w:rsidRPr="0051531E">
        <w:rPr>
          <w:snapToGrid w:val="0"/>
          <w:lang w:val="fr-CH" w:eastAsia="fr-FR"/>
        </w:rPr>
        <w:t>(5)</w:t>
      </w:r>
    </w:p>
    <w:p w:rsidR="007236FF" w:rsidRPr="0051531E" w:rsidRDefault="007236FF" w:rsidP="007236FF">
      <w:pPr>
        <w:rPr>
          <w:lang w:val="fr-CH"/>
        </w:rPr>
      </w:pPr>
      <w:r w:rsidRPr="0051531E">
        <w:rPr>
          <w:lang w:val="fr-CH"/>
        </w:rPr>
        <w:t>où:</w:t>
      </w:r>
    </w:p>
    <w:p w:rsidR="007236FF" w:rsidRPr="0051531E" w:rsidRDefault="007236FF" w:rsidP="008708C1">
      <w:pPr>
        <w:pStyle w:val="Equationlegend"/>
        <w:rPr>
          <w:lang w:val="fr-CH"/>
        </w:rPr>
      </w:pPr>
      <w:r w:rsidRPr="0051531E">
        <w:rPr>
          <w:lang w:val="fr-CH"/>
        </w:rPr>
        <w:tab/>
      </w:r>
      <w:r w:rsidR="008708C1" w:rsidRPr="0051531E">
        <w:rPr>
          <w:lang w:val="fr-CH"/>
        </w:rPr>
        <w:sym w:font="Symbol" w:char="F06C"/>
      </w:r>
      <w:r w:rsidRPr="0051531E">
        <w:rPr>
          <w:iCs/>
          <w:lang w:val="fr-CH"/>
        </w:rPr>
        <w:t>:</w:t>
      </w:r>
      <w:r w:rsidRPr="0051531E">
        <w:rPr>
          <w:lang w:val="fr-CH"/>
        </w:rPr>
        <w:tab/>
        <w:t>longueur d'onde (μm);</w:t>
      </w:r>
    </w:p>
    <w:p w:rsidR="007236FF" w:rsidRPr="0051531E" w:rsidRDefault="007236FF" w:rsidP="007236FF">
      <w:pPr>
        <w:pStyle w:val="Equationlegend"/>
        <w:rPr>
          <w:lang w:val="fr-CH"/>
        </w:rPr>
      </w:pPr>
      <w:r w:rsidRPr="0051531E">
        <w:rPr>
          <w:lang w:val="fr-CH"/>
        </w:rPr>
        <w:tab/>
      </w:r>
      <w:r w:rsidRPr="0051531E">
        <w:rPr>
          <w:i/>
          <w:lang w:val="fr-CH"/>
        </w:rPr>
        <w:t>dN</w:t>
      </w:r>
      <w:r w:rsidRPr="0051531E">
        <w:rPr>
          <w:iCs/>
          <w:lang w:val="fr-CH"/>
        </w:rPr>
        <w:t>(</w:t>
      </w:r>
      <w:r w:rsidRPr="0051531E">
        <w:rPr>
          <w:i/>
          <w:lang w:val="fr-CH"/>
        </w:rPr>
        <w:t>r</w:t>
      </w:r>
      <w:r w:rsidRPr="0051531E">
        <w:rPr>
          <w:iCs/>
          <w:lang w:val="fr-CH"/>
        </w:rPr>
        <w:t>)/</w:t>
      </w:r>
      <w:r w:rsidRPr="0051531E">
        <w:rPr>
          <w:i/>
          <w:lang w:val="fr-CH"/>
        </w:rPr>
        <w:t>dr</w:t>
      </w:r>
      <w:r w:rsidRPr="0051531E">
        <w:rPr>
          <w:iCs/>
          <w:lang w:val="fr-CH"/>
        </w:rPr>
        <w:t>:</w:t>
      </w:r>
      <w:r w:rsidRPr="0051531E">
        <w:rPr>
          <w:lang w:val="fr-CH"/>
        </w:rPr>
        <w:tab/>
        <w:t>distribution en taille de particules par unité de volume (cm</w:t>
      </w:r>
      <w:r w:rsidRPr="0051531E">
        <w:rPr>
          <w:vertAlign w:val="superscript"/>
          <w:lang w:val="fr-CH"/>
        </w:rPr>
        <w:t>−4</w:t>
      </w:r>
      <w:r w:rsidRPr="0051531E">
        <w:rPr>
          <w:lang w:val="fr-CH"/>
        </w:rPr>
        <w:t>);</w:t>
      </w:r>
    </w:p>
    <w:p w:rsidR="007236FF" w:rsidRPr="0051531E" w:rsidRDefault="007236FF" w:rsidP="007236FF">
      <w:pPr>
        <w:pStyle w:val="Equationlegend"/>
        <w:rPr>
          <w:lang w:val="fr-CH"/>
        </w:rPr>
      </w:pPr>
      <w:r w:rsidRPr="0051531E">
        <w:rPr>
          <w:lang w:val="fr-CH"/>
        </w:rPr>
        <w:tab/>
      </w:r>
      <w:r w:rsidRPr="0051531E">
        <w:rPr>
          <w:i/>
          <w:lang w:val="fr-CH"/>
        </w:rPr>
        <w:t>n</w:t>
      </w:r>
      <w:r w:rsidRPr="0051531E">
        <w:rPr>
          <w:iCs/>
          <w:lang w:val="fr-CH"/>
        </w:rPr>
        <w:t>″:</w:t>
      </w:r>
      <w:r w:rsidRPr="0051531E">
        <w:rPr>
          <w:lang w:val="fr-CH"/>
        </w:rPr>
        <w:tab/>
        <w:t xml:space="preserve">partie imaginaire de l'indice de réfraction, </w:t>
      </w:r>
      <w:r w:rsidRPr="0051531E">
        <w:rPr>
          <w:i/>
          <w:iCs/>
          <w:lang w:val="fr-CH"/>
        </w:rPr>
        <w:t>n</w:t>
      </w:r>
      <w:r w:rsidRPr="0051531E">
        <w:rPr>
          <w:lang w:val="fr-CH"/>
        </w:rPr>
        <w:t>, de l'aérosol considéré;</w:t>
      </w:r>
    </w:p>
    <w:p w:rsidR="007236FF" w:rsidRPr="0051531E" w:rsidRDefault="007236FF" w:rsidP="007236FF">
      <w:pPr>
        <w:pStyle w:val="Equationlegend"/>
        <w:rPr>
          <w:lang w:val="fr-CH"/>
        </w:rPr>
      </w:pPr>
      <w:r w:rsidRPr="0051531E">
        <w:rPr>
          <w:lang w:val="fr-CH"/>
        </w:rPr>
        <w:tab/>
      </w:r>
      <w:r w:rsidRPr="0051531E">
        <w:rPr>
          <w:i/>
          <w:lang w:val="fr-CH"/>
        </w:rPr>
        <w:t>r</w:t>
      </w:r>
      <w:r w:rsidRPr="0051531E">
        <w:rPr>
          <w:iCs/>
          <w:lang w:val="fr-CH"/>
        </w:rPr>
        <w:t>:</w:t>
      </w:r>
      <w:r w:rsidRPr="0051531E">
        <w:rPr>
          <w:lang w:val="fr-CH"/>
        </w:rPr>
        <w:tab/>
        <w:t>rayon des particules (cm);</w:t>
      </w:r>
    </w:p>
    <w:p w:rsidR="007236FF" w:rsidRPr="0051531E" w:rsidRDefault="007236FF" w:rsidP="007236FF">
      <w:pPr>
        <w:pStyle w:val="Equationlegend"/>
        <w:rPr>
          <w:lang w:val="fr-CH"/>
        </w:rPr>
      </w:pPr>
      <w:r w:rsidRPr="0051531E">
        <w:rPr>
          <w:lang w:val="fr-CH"/>
        </w:rPr>
        <w:tab/>
      </w:r>
      <w:r w:rsidRPr="0051531E">
        <w:rPr>
          <w:i/>
          <w:lang w:val="fr-CH"/>
        </w:rPr>
        <w:t>Q</w:t>
      </w:r>
      <w:r w:rsidRPr="0051531E">
        <w:rPr>
          <w:i/>
          <w:vertAlign w:val="subscript"/>
          <w:lang w:val="fr-CH"/>
        </w:rPr>
        <w:t>a</w:t>
      </w:r>
      <w:r w:rsidRPr="0051531E">
        <w:rPr>
          <w:iCs/>
          <w:lang w:val="fr-CH"/>
        </w:rPr>
        <w:t>(2π</w:t>
      </w:r>
      <w:r w:rsidRPr="0051531E">
        <w:rPr>
          <w:i/>
          <w:lang w:val="fr-CH"/>
        </w:rPr>
        <w:t>r/</w:t>
      </w:r>
      <w:r w:rsidRPr="0051531E">
        <w:rPr>
          <w:lang w:val="fr-CH"/>
        </w:rPr>
        <w:t xml:space="preserve">λ, </w:t>
      </w:r>
      <w:r w:rsidRPr="0051531E">
        <w:rPr>
          <w:i/>
          <w:lang w:val="fr-CH"/>
        </w:rPr>
        <w:t>n</w:t>
      </w:r>
      <w:r w:rsidRPr="0051531E">
        <w:rPr>
          <w:iCs/>
          <w:lang w:val="fr-CH"/>
        </w:rPr>
        <w:t>″):</w:t>
      </w:r>
      <w:r w:rsidRPr="0051531E">
        <w:rPr>
          <w:lang w:val="fr-CH"/>
        </w:rPr>
        <w:tab/>
        <w:t>section efficace d'absorption pour un type d'aérosol donné.</w:t>
      </w:r>
    </w:p>
    <w:p w:rsidR="007236FF" w:rsidRPr="0051531E" w:rsidRDefault="007236FF" w:rsidP="007236FF">
      <w:pPr>
        <w:rPr>
          <w:lang w:val="fr-CH"/>
        </w:rPr>
      </w:pPr>
      <w:r w:rsidRPr="0051531E">
        <w:rPr>
          <w:lang w:val="fr-CH"/>
        </w:rPr>
        <w:t>La théorie de Mie permet de prévoir le champ électromagnétique diffracté par des particules sphériques homogènes. Les diamètres équivalents d'absorption (</w:t>
      </w:r>
      <w:r w:rsidRPr="0051531E">
        <w:rPr>
          <w:i/>
          <w:iCs/>
          <w:lang w:val="fr-CH"/>
        </w:rPr>
        <w:t>Q</w:t>
      </w:r>
      <w:r w:rsidRPr="0051531E">
        <w:rPr>
          <w:i/>
          <w:iCs/>
          <w:vertAlign w:val="subscript"/>
          <w:lang w:val="fr-CH"/>
        </w:rPr>
        <w:t>a</w:t>
      </w:r>
      <w:r w:rsidRPr="0051531E">
        <w:rPr>
          <w:iCs/>
          <w:lang w:val="fr-CH"/>
        </w:rPr>
        <w:t>)</w:t>
      </w:r>
      <w:r w:rsidRPr="0051531E">
        <w:rPr>
          <w:vertAlign w:val="subscript"/>
          <w:lang w:val="fr-CH"/>
        </w:rPr>
        <w:t xml:space="preserve"> </w:t>
      </w:r>
      <w:r w:rsidRPr="0051531E">
        <w:rPr>
          <w:lang w:val="fr-CH"/>
        </w:rPr>
        <w:t>et de diffusion (</w:t>
      </w:r>
      <w:r w:rsidRPr="0051531E">
        <w:rPr>
          <w:i/>
          <w:iCs/>
          <w:lang w:val="fr-CH"/>
        </w:rPr>
        <w:t>Q</w:t>
      </w:r>
      <w:r w:rsidRPr="0051531E">
        <w:rPr>
          <w:i/>
          <w:iCs/>
          <w:vertAlign w:val="subscript"/>
          <w:lang w:val="fr-CH"/>
        </w:rPr>
        <w:t>d</w:t>
      </w:r>
      <w:r w:rsidRPr="0051531E">
        <w:rPr>
          <w:iCs/>
          <w:lang w:val="fr-CH"/>
        </w:rPr>
        <w:t xml:space="preserve">) sont fonctions de la taille des particules, de l'indice de réfraction et de la longueur d'onde incidente. </w:t>
      </w:r>
      <w:r w:rsidRPr="0051531E">
        <w:rPr>
          <w:lang w:val="fr-CH"/>
        </w:rPr>
        <w:t>Ils représentent la part d'une onde incidente pour laquelle la puissance absorbée, respectivement diffusée, est égale à la puissance incidente.</w:t>
      </w:r>
    </w:p>
    <w:p w:rsidR="007236FF" w:rsidRPr="0051531E" w:rsidRDefault="007236FF" w:rsidP="007236FF">
      <w:pPr>
        <w:rPr>
          <w:iCs/>
          <w:lang w:val="fr-CH"/>
        </w:rPr>
      </w:pPr>
      <w:r w:rsidRPr="0051531E">
        <w:rPr>
          <w:lang w:val="fr-CH"/>
        </w:rPr>
        <w:t xml:space="preserve">L'indice de réfraction des aérosols dépend de leur composition chimique et de la longueur d'onde. Elle est désignée par </w:t>
      </w:r>
      <w:r w:rsidRPr="0051531E">
        <w:rPr>
          <w:i/>
          <w:lang w:val="fr-CH"/>
        </w:rPr>
        <w:t>n</w:t>
      </w:r>
      <w:r w:rsidRPr="0051531E">
        <w:rPr>
          <w:lang w:val="fr-CH"/>
        </w:rPr>
        <w:t> = </w:t>
      </w:r>
      <w:r w:rsidRPr="0051531E">
        <w:rPr>
          <w:i/>
          <w:lang w:val="fr-CH"/>
        </w:rPr>
        <w:t>n</w:t>
      </w:r>
      <w:r w:rsidRPr="0051531E">
        <w:rPr>
          <w:iCs/>
          <w:lang w:val="fr-CH"/>
        </w:rPr>
        <w:t>′</w:t>
      </w:r>
      <w:r w:rsidRPr="0051531E">
        <w:rPr>
          <w:lang w:val="fr-CH"/>
        </w:rPr>
        <w:t> + </w:t>
      </w:r>
      <w:r w:rsidRPr="0051531E">
        <w:rPr>
          <w:i/>
          <w:lang w:val="fr-CH"/>
        </w:rPr>
        <w:t>n</w:t>
      </w:r>
      <w:r w:rsidRPr="0051531E">
        <w:rPr>
          <w:iCs/>
          <w:lang w:val="fr-CH"/>
        </w:rPr>
        <w:t xml:space="preserve">″, où </w:t>
      </w:r>
      <w:r w:rsidRPr="0051531E">
        <w:rPr>
          <w:i/>
          <w:lang w:val="fr-CH"/>
        </w:rPr>
        <w:t>n</w:t>
      </w:r>
      <w:r w:rsidRPr="0051531E">
        <w:rPr>
          <w:iCs/>
          <w:lang w:val="fr-CH"/>
        </w:rPr>
        <w:t xml:space="preserve">′ est fonction de la capacité de diffusion de la particule, et </w:t>
      </w:r>
      <w:r w:rsidRPr="0051531E">
        <w:rPr>
          <w:i/>
          <w:lang w:val="fr-CH"/>
        </w:rPr>
        <w:t>n</w:t>
      </w:r>
      <w:r w:rsidRPr="0051531E">
        <w:rPr>
          <w:iCs/>
          <w:lang w:val="fr-CH"/>
        </w:rPr>
        <w:t>″ est fonction de son absorption.</w:t>
      </w:r>
    </w:p>
    <w:p w:rsidR="007236FF" w:rsidRPr="0051531E" w:rsidRDefault="007236FF" w:rsidP="007236FF">
      <w:pPr>
        <w:rPr>
          <w:lang w:val="fr-CH"/>
        </w:rPr>
      </w:pPr>
      <w:r w:rsidRPr="0051531E">
        <w:rPr>
          <w:iCs/>
          <w:lang w:val="fr-CH"/>
        </w:rPr>
        <w:t>Dans les régions spectrales du visible et de l'infrarouge proche, la partie imaginaire de l'indice de réfraction est extrêmement petite et peut être négligée dans le calcul de l'affaiblissement global (extinction). Dans les régions spectrales de l'infrarouge lointain, la partie imaginaire de l'indice de réfraction doit être prise en compte.</w:t>
      </w:r>
    </w:p>
    <w:p w:rsidR="007236FF" w:rsidRPr="0051531E" w:rsidRDefault="007236FF" w:rsidP="007236FF">
      <w:pPr>
        <w:pStyle w:val="Heading1"/>
        <w:rPr>
          <w:lang w:val="fr-CH"/>
        </w:rPr>
      </w:pPr>
      <w:bookmarkStart w:id="10" w:name="_Toc85359495"/>
      <w:r w:rsidRPr="0051531E">
        <w:rPr>
          <w:lang w:val="fr-CH"/>
        </w:rPr>
        <w:t>5</w:t>
      </w:r>
      <w:r w:rsidRPr="0051531E">
        <w:rPr>
          <w:lang w:val="fr-CH"/>
        </w:rPr>
        <w:tab/>
        <w:t>Diffusion par les aérosols</w:t>
      </w:r>
      <w:bookmarkEnd w:id="10"/>
    </w:p>
    <w:p w:rsidR="007236FF" w:rsidRPr="0051531E" w:rsidRDefault="007236FF" w:rsidP="007236FF">
      <w:pPr>
        <w:rPr>
          <w:lang w:val="fr-CH"/>
        </w:rPr>
      </w:pPr>
      <w:r w:rsidRPr="0051531E">
        <w:rPr>
          <w:lang w:val="fr-CH"/>
        </w:rPr>
        <w:t>La diffusion par les aérosols (diffusion de Mie) apparaît lorsque la taille des particules est du même ordre de grandeur que la longueur d'onde de la lumière incidente. L'affaiblissement est fonction de la fréquence et de la visibilité, qui dépend de la distribution en taille des particules. Ce phénomène constitue le facteur le plus limitant pour le déploiement de systèmes optiques en espace libre sur de longues distances. Dans la région optique, l'affaiblissement est principalement causé par la brume et le brouillard et peut atteindre 300 dB/km, alors que dans la région millimétrique l'affaiblissement par la pluie est normalement de quelques dB/km.</w:t>
      </w:r>
    </w:p>
    <w:p w:rsidR="007236FF" w:rsidRPr="0051531E" w:rsidRDefault="007236FF" w:rsidP="008066A3">
      <w:pPr>
        <w:rPr>
          <w:lang w:val="fr-CH"/>
        </w:rPr>
      </w:pPr>
      <w:r w:rsidRPr="0051531E">
        <w:rPr>
          <w:lang w:val="fr-CH"/>
        </w:rPr>
        <w:t>Le coefficient d'extinction d</w:t>
      </w:r>
      <w:r w:rsidR="008066A3">
        <w:rPr>
          <w:lang w:val="fr-CH"/>
        </w:rPr>
        <w:t>ue</w:t>
      </w:r>
      <w:r w:rsidRPr="0051531E">
        <w:rPr>
          <w:lang w:val="fr-CH"/>
        </w:rPr>
        <w:t xml:space="preserve"> à la diffusion par les aérosols, </w:t>
      </w:r>
      <w:r w:rsidR="008708C1" w:rsidRPr="0051531E">
        <w:rPr>
          <w:lang w:val="fr-CH"/>
        </w:rPr>
        <w:sym w:font="Symbol" w:char="F062"/>
      </w:r>
      <w:r w:rsidRPr="0051531E">
        <w:rPr>
          <w:i/>
          <w:vertAlign w:val="subscript"/>
          <w:lang w:val="fr-CH"/>
        </w:rPr>
        <w:t>n</w:t>
      </w:r>
      <w:r w:rsidRPr="0051531E">
        <w:rPr>
          <w:lang w:val="fr-CH"/>
        </w:rPr>
        <w:t>, est donné par la formule suivante:</w:t>
      </w:r>
    </w:p>
    <w:p w:rsidR="007236FF" w:rsidRPr="0051531E" w:rsidRDefault="007236FF" w:rsidP="007236FF">
      <w:pPr>
        <w:pStyle w:val="Equation"/>
        <w:tabs>
          <w:tab w:val="left" w:pos="7655"/>
        </w:tabs>
        <w:rPr>
          <w:lang w:val="fr-CH"/>
        </w:rPr>
      </w:pPr>
      <w:r w:rsidRPr="0051531E">
        <w:rPr>
          <w:lang w:val="fr-CH"/>
        </w:rPr>
        <w:tab/>
      </w:r>
      <w:r w:rsidRPr="0051531E">
        <w:rPr>
          <w:lang w:val="fr-CH"/>
        </w:rPr>
        <w:tab/>
      </w:r>
      <w:r w:rsidRPr="0051531E">
        <w:rPr>
          <w:position w:val="-36"/>
          <w:lang w:val="fr-CH"/>
        </w:rPr>
        <w:object w:dxaOrig="3900" w:dyaOrig="840">
          <v:shape id="_x0000_i1031" type="#_x0000_t75" style="width:194.1pt;height:41.95pt" o:ole="">
            <v:imagedata r:id="rId25" o:title=""/>
          </v:shape>
          <o:OLEObject Type="Embed" ProgID="Equation.3" ShapeID="_x0000_i1031" DrawAspect="Content" ObjectID="_1409139877" r:id="rId26"/>
        </w:object>
      </w:r>
      <w:r w:rsidRPr="0051531E">
        <w:rPr>
          <w:lang w:val="fr-CH"/>
        </w:rPr>
        <w:tab/>
        <w:t>km</w:t>
      </w:r>
      <w:r w:rsidRPr="0051531E">
        <w:rPr>
          <w:vertAlign w:val="superscript"/>
          <w:lang w:val="fr-CH"/>
        </w:rPr>
        <w:t>–1</w:t>
      </w:r>
      <w:r w:rsidRPr="0051531E">
        <w:rPr>
          <w:lang w:val="fr-CH"/>
        </w:rPr>
        <w:tab/>
      </w:r>
      <w:r w:rsidRPr="0051531E">
        <w:rPr>
          <w:snapToGrid w:val="0"/>
          <w:lang w:val="fr-CH" w:eastAsia="fr-FR"/>
        </w:rPr>
        <w:t>(6)</w:t>
      </w:r>
    </w:p>
    <w:p w:rsidR="007236FF" w:rsidRPr="0051531E" w:rsidRDefault="007236FF" w:rsidP="007236FF">
      <w:pPr>
        <w:rPr>
          <w:lang w:val="fr-CH"/>
        </w:rPr>
      </w:pPr>
      <w:r w:rsidRPr="0051531E">
        <w:rPr>
          <w:lang w:val="fr-CH"/>
        </w:rPr>
        <w:t>où:</w:t>
      </w:r>
    </w:p>
    <w:p w:rsidR="007236FF" w:rsidRPr="0051531E" w:rsidRDefault="007236FF" w:rsidP="008708C1">
      <w:pPr>
        <w:pStyle w:val="Equationlegend"/>
        <w:rPr>
          <w:lang w:val="fr-CH"/>
        </w:rPr>
      </w:pPr>
      <w:r w:rsidRPr="0051531E">
        <w:rPr>
          <w:lang w:val="fr-CH"/>
        </w:rPr>
        <w:tab/>
      </w:r>
      <w:r w:rsidR="008708C1" w:rsidRPr="0051531E">
        <w:rPr>
          <w:lang w:val="fr-CH"/>
        </w:rPr>
        <w:sym w:font="Symbol" w:char="F06C"/>
      </w:r>
      <w:r w:rsidRPr="0051531E">
        <w:rPr>
          <w:iCs/>
          <w:lang w:val="fr-CH"/>
        </w:rPr>
        <w:t>:</w:t>
      </w:r>
      <w:r w:rsidRPr="0051531E">
        <w:rPr>
          <w:lang w:val="fr-CH"/>
        </w:rPr>
        <w:tab/>
        <w:t>longueur d'onde (μm);</w:t>
      </w:r>
    </w:p>
    <w:p w:rsidR="007236FF" w:rsidRPr="0051531E" w:rsidRDefault="007236FF" w:rsidP="007236FF">
      <w:pPr>
        <w:pStyle w:val="Equationlegend"/>
        <w:rPr>
          <w:lang w:val="fr-CH"/>
        </w:rPr>
      </w:pPr>
      <w:r w:rsidRPr="0051531E">
        <w:rPr>
          <w:i/>
          <w:lang w:val="fr-CH"/>
        </w:rPr>
        <w:tab/>
        <w:t>dN</w:t>
      </w:r>
      <w:r w:rsidRPr="0051531E">
        <w:rPr>
          <w:iCs/>
          <w:lang w:val="fr-CH"/>
        </w:rPr>
        <w:t>(</w:t>
      </w:r>
      <w:r w:rsidRPr="0051531E">
        <w:rPr>
          <w:i/>
          <w:lang w:val="fr-CH"/>
        </w:rPr>
        <w:t>r</w:t>
      </w:r>
      <w:r w:rsidRPr="0051531E">
        <w:rPr>
          <w:iCs/>
          <w:lang w:val="fr-CH"/>
        </w:rPr>
        <w:t>)/</w:t>
      </w:r>
      <w:r w:rsidRPr="0051531E">
        <w:rPr>
          <w:i/>
          <w:lang w:val="fr-CH"/>
        </w:rPr>
        <w:t>dr</w:t>
      </w:r>
      <w:r w:rsidRPr="0051531E">
        <w:rPr>
          <w:iCs/>
          <w:lang w:val="fr-CH"/>
        </w:rPr>
        <w:t>:</w:t>
      </w:r>
      <w:r w:rsidRPr="0051531E">
        <w:rPr>
          <w:lang w:val="fr-CH"/>
        </w:rPr>
        <w:tab/>
        <w:t>distribution en taille des particules par unité de volume (cm</w:t>
      </w:r>
      <w:r w:rsidRPr="0051531E">
        <w:rPr>
          <w:rFonts w:ascii="(Utiliser une police de caractè" w:hAnsi="(Utiliser une police de caractè"/>
          <w:vertAlign w:val="superscript"/>
          <w:lang w:val="fr-CH"/>
        </w:rPr>
        <w:t>−4</w:t>
      </w:r>
      <w:r w:rsidRPr="0051531E">
        <w:rPr>
          <w:lang w:val="fr-CH"/>
        </w:rPr>
        <w:t>);</w:t>
      </w:r>
    </w:p>
    <w:p w:rsidR="007236FF" w:rsidRPr="0051531E" w:rsidRDefault="007236FF" w:rsidP="007236FF">
      <w:pPr>
        <w:pStyle w:val="Equationlegend"/>
        <w:rPr>
          <w:lang w:val="fr-CH"/>
        </w:rPr>
      </w:pPr>
      <w:r w:rsidRPr="0051531E">
        <w:rPr>
          <w:lang w:val="fr-CH"/>
        </w:rPr>
        <w:tab/>
      </w:r>
      <w:r w:rsidRPr="0051531E">
        <w:rPr>
          <w:i/>
          <w:lang w:val="fr-CH"/>
        </w:rPr>
        <w:t>n</w:t>
      </w:r>
      <w:r w:rsidRPr="0051531E">
        <w:rPr>
          <w:iCs/>
          <w:lang w:val="fr-CH"/>
        </w:rPr>
        <w:t>′:</w:t>
      </w:r>
      <w:r w:rsidRPr="0051531E">
        <w:rPr>
          <w:lang w:val="fr-CH"/>
        </w:rPr>
        <w:tab/>
        <w:t xml:space="preserve">partie réelle de l'indice de réfraction </w:t>
      </w:r>
      <w:r w:rsidRPr="0051531E">
        <w:rPr>
          <w:i/>
          <w:iCs/>
          <w:lang w:val="fr-CH"/>
        </w:rPr>
        <w:t>n</w:t>
      </w:r>
      <w:r w:rsidRPr="0051531E">
        <w:rPr>
          <w:lang w:val="fr-CH"/>
        </w:rPr>
        <w:t xml:space="preserve"> de l'aérosol;</w:t>
      </w:r>
    </w:p>
    <w:p w:rsidR="007236FF" w:rsidRPr="0051531E" w:rsidRDefault="007236FF" w:rsidP="007236FF">
      <w:pPr>
        <w:pStyle w:val="Equationlegend"/>
        <w:rPr>
          <w:lang w:val="fr-CH"/>
        </w:rPr>
      </w:pPr>
      <w:r w:rsidRPr="0051531E">
        <w:rPr>
          <w:lang w:val="fr-CH"/>
        </w:rPr>
        <w:tab/>
      </w:r>
      <w:r w:rsidRPr="0051531E">
        <w:rPr>
          <w:i/>
          <w:lang w:val="fr-CH"/>
        </w:rPr>
        <w:t>r</w:t>
      </w:r>
      <w:r w:rsidRPr="0051531E">
        <w:rPr>
          <w:iCs/>
          <w:lang w:val="fr-CH"/>
        </w:rPr>
        <w:t>:</w:t>
      </w:r>
      <w:r w:rsidRPr="0051531E">
        <w:rPr>
          <w:lang w:val="fr-CH"/>
        </w:rPr>
        <w:tab/>
        <w:t>rayon des particules (cm);</w:t>
      </w:r>
    </w:p>
    <w:p w:rsidR="007236FF" w:rsidRPr="0051531E" w:rsidRDefault="007236FF" w:rsidP="007236FF">
      <w:pPr>
        <w:pStyle w:val="Equationlegend"/>
        <w:rPr>
          <w:lang w:val="fr-CH"/>
        </w:rPr>
      </w:pPr>
      <w:r w:rsidRPr="0051531E">
        <w:rPr>
          <w:i/>
          <w:lang w:val="fr-CH"/>
        </w:rPr>
        <w:tab/>
        <w:t>Q</w:t>
      </w:r>
      <w:r w:rsidRPr="0051531E">
        <w:rPr>
          <w:rFonts w:ascii="(Utiliser une police de caractè" w:hAnsi="(Utiliser une police de caractè"/>
          <w:i/>
          <w:vertAlign w:val="subscript"/>
          <w:lang w:val="fr-CH"/>
        </w:rPr>
        <w:t>d</w:t>
      </w:r>
      <w:r w:rsidRPr="0051531E">
        <w:rPr>
          <w:iCs/>
          <w:lang w:val="fr-CH"/>
        </w:rPr>
        <w:t>(2π</w:t>
      </w:r>
      <w:r w:rsidRPr="0051531E">
        <w:rPr>
          <w:i/>
          <w:lang w:val="fr-CH"/>
        </w:rPr>
        <w:t>r</w:t>
      </w:r>
      <w:r w:rsidRPr="0051531E">
        <w:rPr>
          <w:lang w:val="fr-CH"/>
        </w:rPr>
        <w:t>/</w:t>
      </w:r>
      <w:r w:rsidRPr="0051531E">
        <w:rPr>
          <w:iCs/>
          <w:lang w:val="fr-CH"/>
        </w:rPr>
        <w:t>λ,</w:t>
      </w:r>
      <w:r w:rsidRPr="0051531E">
        <w:rPr>
          <w:i/>
          <w:lang w:val="fr-CH"/>
        </w:rPr>
        <w:t xml:space="preserve"> n</w:t>
      </w:r>
      <w:r w:rsidRPr="0051531E">
        <w:rPr>
          <w:iCs/>
          <w:lang w:val="fr-CH"/>
        </w:rPr>
        <w:t>′):</w:t>
      </w:r>
      <w:r w:rsidRPr="0051531E">
        <w:rPr>
          <w:lang w:val="fr-CH"/>
        </w:rPr>
        <w:tab/>
        <w:t>section efficace de diffusion pour un type d'aérosol donné.</w:t>
      </w:r>
    </w:p>
    <w:p w:rsidR="007236FF" w:rsidRPr="0051531E" w:rsidRDefault="007236FF" w:rsidP="007236FF">
      <w:pPr>
        <w:rPr>
          <w:lang w:val="fr-CH"/>
        </w:rPr>
      </w:pPr>
      <w:r w:rsidRPr="0051531E">
        <w:rPr>
          <w:lang w:val="fr-CH"/>
        </w:rPr>
        <w:lastRenderedPageBreak/>
        <w:t xml:space="preserve">La théorie de Mie permet de prévoir le coefficient de diffusion </w:t>
      </w:r>
      <w:r w:rsidRPr="0051531E">
        <w:rPr>
          <w:i/>
          <w:lang w:val="fr-CH"/>
        </w:rPr>
        <w:t>Q</w:t>
      </w:r>
      <w:r w:rsidRPr="0051531E">
        <w:rPr>
          <w:i/>
          <w:vertAlign w:val="subscript"/>
          <w:lang w:val="fr-CH"/>
        </w:rPr>
        <w:t>d</w:t>
      </w:r>
      <w:r w:rsidRPr="0051531E">
        <w:rPr>
          <w:lang w:val="fr-CH"/>
        </w:rPr>
        <w:t xml:space="preserve"> dû aux aérosols, en supposant que les particules sont sphériques et suffisamment séparées l'une de l'autre pour pouvoir calculer le champ diffusé dans l'hypothèse d'une diffusion (simple) en champ lointain.</w:t>
      </w:r>
    </w:p>
    <w:p w:rsidR="007236FF" w:rsidRPr="0051531E" w:rsidRDefault="007236FF" w:rsidP="007236FF">
      <w:pPr>
        <w:rPr>
          <w:lang w:val="fr-CH"/>
        </w:rPr>
      </w:pPr>
      <w:r w:rsidRPr="0051531E">
        <w:rPr>
          <w:lang w:val="fr-CH"/>
        </w:rPr>
        <w:t xml:space="preserve">La section efficace de diffusion </w:t>
      </w:r>
      <w:r w:rsidRPr="0051531E">
        <w:rPr>
          <w:i/>
          <w:lang w:val="fr-CH"/>
        </w:rPr>
        <w:t>Q</w:t>
      </w:r>
      <w:r w:rsidRPr="0051531E">
        <w:rPr>
          <w:i/>
          <w:vertAlign w:val="subscript"/>
          <w:lang w:val="fr-CH"/>
        </w:rPr>
        <w:t>d</w:t>
      </w:r>
      <w:r w:rsidRPr="0051531E">
        <w:rPr>
          <w:lang w:val="fr-CH"/>
        </w:rPr>
        <w:t xml:space="preserve"> dépend fortement de la taille de l'aérosol comparée à la longueur d'onde. Elle est très sélective en fréquence pour les particules dont le rayon est inférieur ou égal à la longueur d'onde. Elle atteint son maximum (3,8) pour un rayon de particule égal à la longueur d'onde, auquel cas la diffusion est maximale. A mesure que la taille de la particule augmente, la section efficace de diffusion tend asymptotiquement vers une valeur environ égale à 2.</w:t>
      </w:r>
    </w:p>
    <w:p w:rsidR="007236FF" w:rsidRPr="0051531E" w:rsidRDefault="007236FF" w:rsidP="007236FF">
      <w:pPr>
        <w:rPr>
          <w:lang w:val="fr-CH"/>
        </w:rPr>
      </w:pPr>
      <w:r w:rsidRPr="0051531E">
        <w:rPr>
          <w:lang w:val="fr-CH"/>
        </w:rPr>
        <w:t>Il est difficile de prévoir l'affaiblissement dû aux aérosols, étant donné que leur concentration, leur composition et leur distribution en taille varient dans le temps et dans l'espace. Bien que la concentration soit étroitement liée à la visibilité optique, il n'existe pas de distribution unique en taille des particules pour une visibilité donnée.</w:t>
      </w:r>
    </w:p>
    <w:p w:rsidR="007236FF" w:rsidRPr="0051531E" w:rsidRDefault="007236FF" w:rsidP="007236FF">
      <w:pPr>
        <w:rPr>
          <w:lang w:val="fr-CH"/>
        </w:rPr>
      </w:pPr>
      <w:r w:rsidRPr="0051531E">
        <w:rPr>
          <w:lang w:val="fr-CH"/>
        </w:rPr>
        <w:t>La visibilité caractérise la transparence atmosphérique estimée par un observateur humain. Elle est mesurée par la portée visuelle de piste (PVP), et correspond à la distance qu'un rayon lumineux doit parcourir dans l'atmosphère pour que son intensité (ou flux lumineux) chute à 0,05 fois sa valeur initiale. On peut la mesurer avec un transmissiomètre ou un diffusiomètre.</w:t>
      </w:r>
    </w:p>
    <w:p w:rsidR="007236FF" w:rsidRPr="0051531E" w:rsidRDefault="007236FF" w:rsidP="007236FF">
      <w:pPr>
        <w:rPr>
          <w:lang w:val="fr-CH"/>
        </w:rPr>
      </w:pPr>
      <w:r w:rsidRPr="0051531E">
        <w:rPr>
          <w:lang w:val="fr-CH"/>
        </w:rPr>
        <w:t>La Fig. 2 est un exemple de variations de la portée visuelle de piste, observées à La Turbie, France, un jour de grande visibilité.</w:t>
      </w:r>
    </w:p>
    <w:p w:rsidR="007236FF" w:rsidRPr="0051531E" w:rsidRDefault="007236FF" w:rsidP="004A4E20">
      <w:pPr>
        <w:pStyle w:val="FigureNo"/>
        <w:rPr>
          <w:lang w:val="fr-CH"/>
        </w:rPr>
      </w:pPr>
      <w:r w:rsidRPr="0051531E">
        <w:rPr>
          <w:lang w:val="fr-CH"/>
        </w:rPr>
        <w:t>Figure 2</w:t>
      </w:r>
    </w:p>
    <w:p w:rsidR="007236FF" w:rsidRPr="0051531E" w:rsidRDefault="007236FF" w:rsidP="007236FF">
      <w:pPr>
        <w:pStyle w:val="Figuretitle"/>
        <w:rPr>
          <w:lang w:val="fr-CH"/>
        </w:rPr>
      </w:pPr>
      <w:r w:rsidRPr="0051531E">
        <w:rPr>
          <w:lang w:val="fr-CH"/>
        </w:rPr>
        <w:t>Variations de la portée visuelle de piste, observées à La Turbie (France)</w:t>
      </w:r>
      <w:r w:rsidRPr="0051531E">
        <w:rPr>
          <w:lang w:val="fr-CH"/>
        </w:rPr>
        <w:br/>
        <w:t xml:space="preserve">un jour de grande visibilité </w:t>
      </w:r>
    </w:p>
    <w:p w:rsidR="007236FF" w:rsidRPr="0051531E" w:rsidRDefault="008066A3" w:rsidP="007236FF">
      <w:pPr>
        <w:pStyle w:val="Figure"/>
        <w:keepLines w:val="0"/>
        <w:spacing w:before="120"/>
        <w:rPr>
          <w:lang w:val="fr-CH"/>
        </w:rPr>
      </w:pPr>
      <w:r w:rsidRPr="0051531E">
        <w:rPr>
          <w:lang w:val="fr-CH"/>
        </w:rPr>
        <w:object w:dxaOrig="7304" w:dyaOrig="6119">
          <v:shape id="_x0000_i1032" type="#_x0000_t75" style="width:376.3pt;height:314.3pt" o:ole="">
            <v:imagedata r:id="rId27" o:title=""/>
          </v:shape>
          <o:OLEObject Type="Embed" ProgID="CorelDRAW.Graphic.14" ShapeID="_x0000_i1032" DrawAspect="Content" ObjectID="_1409139878" r:id="rId28"/>
        </w:object>
      </w:r>
    </w:p>
    <w:p w:rsidR="007236FF" w:rsidRPr="0051531E" w:rsidRDefault="007236FF" w:rsidP="0051531E">
      <w:pPr>
        <w:keepNext/>
        <w:keepLines/>
        <w:rPr>
          <w:lang w:val="fr-CH"/>
        </w:rPr>
      </w:pPr>
      <w:r w:rsidRPr="0051531E">
        <w:rPr>
          <w:lang w:val="fr-CH"/>
        </w:rPr>
        <w:lastRenderedPageBreak/>
        <w:t xml:space="preserve">Une autre solution consiste mesurer la visibilité sur le trajet de transmission en utilisant une caméra à capteur CCD et une cible de référence noir et blanc. Par cette méthode, la portée visuelle, </w:t>
      </w:r>
      <w:r w:rsidRPr="0051531E">
        <w:rPr>
          <w:i/>
          <w:lang w:val="fr-CH"/>
        </w:rPr>
        <w:t>V</w:t>
      </w:r>
      <w:r w:rsidRPr="0051531E">
        <w:rPr>
          <w:i/>
          <w:vertAlign w:val="subscript"/>
          <w:lang w:val="fr-CH"/>
        </w:rPr>
        <w:t>r</w:t>
      </w:r>
      <w:r w:rsidRPr="0051531E">
        <w:rPr>
          <w:lang w:val="fr-CH"/>
        </w:rPr>
        <w:t>, est donnée par la formule suivante:</w:t>
      </w:r>
    </w:p>
    <w:p w:rsidR="007236FF" w:rsidRPr="0051531E" w:rsidRDefault="007236FF" w:rsidP="007236FF">
      <w:pPr>
        <w:pStyle w:val="Equation"/>
        <w:rPr>
          <w:lang w:val="fr-CH"/>
        </w:rPr>
      </w:pPr>
      <w:r w:rsidRPr="0051531E">
        <w:rPr>
          <w:lang w:val="fr-CH"/>
        </w:rPr>
        <w:tab/>
      </w:r>
      <w:r w:rsidRPr="0051531E">
        <w:rPr>
          <w:lang w:val="fr-CH"/>
        </w:rPr>
        <w:tab/>
      </w:r>
      <w:r w:rsidRPr="0051531E">
        <w:rPr>
          <w:position w:val="-30"/>
          <w:lang w:val="fr-CH"/>
        </w:rPr>
        <w:object w:dxaOrig="1740" w:dyaOrig="680">
          <v:shape id="_x0000_i1033" type="#_x0000_t75" style="width:87.65pt;height:33.8pt" o:ole="">
            <v:imagedata r:id="rId29" o:title=""/>
          </v:shape>
          <o:OLEObject Type="Embed" ProgID="Equation.3" ShapeID="_x0000_i1033" DrawAspect="Content" ObjectID="_1409139879" r:id="rId30"/>
        </w:object>
      </w:r>
      <w:r w:rsidRPr="0051531E">
        <w:rPr>
          <w:lang w:val="fr-CH"/>
        </w:rPr>
        <w:tab/>
        <w:t>(7)</w:t>
      </w:r>
    </w:p>
    <w:p w:rsidR="007236FF" w:rsidRPr="0051531E" w:rsidRDefault="007236FF" w:rsidP="007236FF">
      <w:pPr>
        <w:rPr>
          <w:b/>
          <w:lang w:val="fr-CH"/>
        </w:rPr>
      </w:pPr>
      <w:r w:rsidRPr="0051531E">
        <w:rPr>
          <w:i/>
          <w:lang w:val="fr-CH"/>
        </w:rPr>
        <w:t>C</w:t>
      </w:r>
      <w:r w:rsidRPr="0051531E">
        <w:rPr>
          <w:lang w:val="fr-CH"/>
        </w:rPr>
        <w:t xml:space="preserve"> est le contraste mesuré entre la région blanche et la région noire de la cible, </w:t>
      </w:r>
      <w:r w:rsidRPr="0051531E">
        <w:rPr>
          <w:i/>
          <w:lang w:val="fr-CH"/>
        </w:rPr>
        <w:t>C</w:t>
      </w:r>
      <w:r w:rsidRPr="0051531E">
        <w:rPr>
          <w:iCs/>
          <w:vertAlign w:val="subscript"/>
          <w:lang w:val="fr-CH"/>
        </w:rPr>
        <w:t>0</w:t>
      </w:r>
      <w:r w:rsidRPr="0051531E">
        <w:rPr>
          <w:iCs/>
          <w:lang w:val="fr-CH"/>
        </w:rPr>
        <w:t xml:space="preserve"> est le contraste intrinsèque de la cible (mesuré à proximité de la cible)</w:t>
      </w:r>
      <w:r w:rsidRPr="0051531E">
        <w:rPr>
          <w:lang w:val="fr-CH"/>
        </w:rPr>
        <w:t xml:space="preserve">, et </w:t>
      </w:r>
      <w:r w:rsidRPr="0051531E">
        <w:rPr>
          <w:i/>
          <w:lang w:val="fr-CH"/>
        </w:rPr>
        <w:t>d</w:t>
      </w:r>
      <w:r w:rsidRPr="0051531E">
        <w:rPr>
          <w:lang w:val="fr-CH"/>
        </w:rPr>
        <w:t xml:space="preserve"> est la distance à la cible. </w:t>
      </w:r>
      <w:r w:rsidRPr="0051531E">
        <w:rPr>
          <w:i/>
          <w:iCs/>
          <w:lang w:val="fr-CH"/>
        </w:rPr>
        <w:t>C</w:t>
      </w:r>
      <w:r w:rsidRPr="0051531E">
        <w:rPr>
          <w:lang w:val="fr-CH"/>
        </w:rPr>
        <w:t xml:space="preserve"> est donné par la formule:</w:t>
      </w:r>
    </w:p>
    <w:p w:rsidR="007236FF" w:rsidRPr="0051531E" w:rsidRDefault="007236FF" w:rsidP="007236FF">
      <w:pPr>
        <w:pStyle w:val="Equation"/>
        <w:rPr>
          <w:lang w:val="fr-CH"/>
        </w:rPr>
      </w:pPr>
      <w:r w:rsidRPr="0051531E">
        <w:rPr>
          <w:lang w:val="fr-CH"/>
        </w:rPr>
        <w:tab/>
      </w:r>
      <w:r w:rsidRPr="0051531E">
        <w:rPr>
          <w:lang w:val="fr-CH"/>
        </w:rPr>
        <w:tab/>
      </w:r>
      <w:r w:rsidRPr="0051531E">
        <w:rPr>
          <w:position w:val="-30"/>
          <w:lang w:val="fr-CH"/>
        </w:rPr>
        <w:object w:dxaOrig="2880" w:dyaOrig="680">
          <v:shape id="_x0000_i1034" type="#_x0000_t75" style="width:144.65pt;height:33.8pt" o:ole="">
            <v:imagedata r:id="rId31" o:title=""/>
          </v:shape>
          <o:OLEObject Type="Embed" ProgID="Equation.3" ShapeID="_x0000_i1034" DrawAspect="Content" ObjectID="_1409139880" r:id="rId32"/>
        </w:object>
      </w:r>
      <w:r w:rsidRPr="0051531E">
        <w:rPr>
          <w:lang w:val="fr-CH"/>
        </w:rPr>
        <w:tab/>
        <w:t>(8)</w:t>
      </w:r>
    </w:p>
    <w:p w:rsidR="007236FF" w:rsidRPr="0051531E" w:rsidRDefault="007236FF" w:rsidP="007236FF">
      <w:pPr>
        <w:rPr>
          <w:lang w:val="fr-CH"/>
        </w:rPr>
      </w:pPr>
      <w:r w:rsidRPr="0051531E">
        <w:rPr>
          <w:lang w:val="fr-CH"/>
        </w:rPr>
        <w:t xml:space="preserve">où </w:t>
      </w:r>
      <w:r w:rsidRPr="0051531E">
        <w:rPr>
          <w:i/>
          <w:lang w:val="fr-CH"/>
        </w:rPr>
        <w:t>L</w:t>
      </w:r>
      <w:r w:rsidRPr="0051531E">
        <w:rPr>
          <w:i/>
          <w:vertAlign w:val="subscript"/>
          <w:lang w:val="fr-CH"/>
        </w:rPr>
        <w:t>w</w:t>
      </w:r>
      <w:r w:rsidRPr="0051531E">
        <w:rPr>
          <w:lang w:val="fr-CH"/>
        </w:rPr>
        <w:t xml:space="preserve"> et </w:t>
      </w:r>
      <w:r w:rsidRPr="0051531E">
        <w:rPr>
          <w:i/>
          <w:lang w:val="fr-CH"/>
        </w:rPr>
        <w:t>L</w:t>
      </w:r>
      <w:r w:rsidRPr="0051531E">
        <w:rPr>
          <w:i/>
          <w:vertAlign w:val="subscript"/>
          <w:lang w:val="fr-CH"/>
        </w:rPr>
        <w:t>b</w:t>
      </w:r>
      <w:r w:rsidRPr="0051531E">
        <w:rPr>
          <w:lang w:val="fr-CH"/>
        </w:rPr>
        <w:t xml:space="preserve"> sont les luminances des zones noire et blanche de la cible, </w:t>
      </w:r>
      <w:r w:rsidRPr="0051531E">
        <w:rPr>
          <w:i/>
          <w:lang w:val="fr-CH"/>
        </w:rPr>
        <w:t>b</w:t>
      </w:r>
      <w:r w:rsidRPr="0051531E">
        <w:rPr>
          <w:i/>
          <w:vertAlign w:val="subscript"/>
          <w:lang w:val="fr-CH"/>
        </w:rPr>
        <w:t>EX</w:t>
      </w:r>
      <w:r w:rsidRPr="0051531E">
        <w:rPr>
          <w:lang w:val="fr-CH"/>
        </w:rPr>
        <w:t xml:space="preserve">, le coefficient d'extinction et </w:t>
      </w:r>
      <w:r w:rsidRPr="0051531E">
        <w:rPr>
          <w:i/>
          <w:lang w:val="fr-CH"/>
        </w:rPr>
        <w:t>V</w:t>
      </w:r>
      <w:r w:rsidRPr="0051531E">
        <w:rPr>
          <w:i/>
          <w:vertAlign w:val="subscript"/>
          <w:lang w:val="fr-CH"/>
        </w:rPr>
        <w:t>r</w:t>
      </w:r>
      <w:r w:rsidRPr="008066A3">
        <w:rPr>
          <w:i/>
          <w:lang w:val="fr-CH"/>
        </w:rPr>
        <w:t>,</w:t>
      </w:r>
      <w:r w:rsidRPr="0051531E">
        <w:rPr>
          <w:lang w:val="fr-CH"/>
        </w:rPr>
        <w:t xml:space="preserve"> la portée visuelle. La Fig. 3 montre la cible idéale, dont la zone noire correspond à la surface d'une cavité située dans un panneau peint en blanc, la surface interne de la cavité étant peinte en noir de façon à éviter toute diffusion directe de la lumière. </w:t>
      </w:r>
    </w:p>
    <w:p w:rsidR="007236FF" w:rsidRPr="0051531E" w:rsidRDefault="007236FF" w:rsidP="007236FF">
      <w:pPr>
        <w:pStyle w:val="FigureNo"/>
        <w:rPr>
          <w:lang w:val="fr-CH"/>
        </w:rPr>
      </w:pPr>
      <w:r w:rsidRPr="0051531E">
        <w:rPr>
          <w:lang w:val="fr-CH"/>
        </w:rPr>
        <w:t>Figure 3</w:t>
      </w:r>
    </w:p>
    <w:p w:rsidR="007236FF" w:rsidRPr="0051531E" w:rsidRDefault="007236FF" w:rsidP="004A4E20">
      <w:pPr>
        <w:pStyle w:val="Figuretitle"/>
        <w:rPr>
          <w:lang w:val="fr-CH"/>
        </w:rPr>
      </w:pPr>
      <w:r w:rsidRPr="0051531E">
        <w:rPr>
          <w:lang w:val="fr-CH"/>
        </w:rPr>
        <w:t>Mesure expérimentale de la visibilité</w:t>
      </w:r>
    </w:p>
    <w:p w:rsidR="007236FF" w:rsidRPr="0051531E" w:rsidRDefault="008066A3" w:rsidP="007236FF">
      <w:pPr>
        <w:pStyle w:val="Figure"/>
        <w:rPr>
          <w:lang w:val="fr-CH"/>
        </w:rPr>
      </w:pPr>
      <w:r w:rsidRPr="0051531E">
        <w:rPr>
          <w:lang w:val="fr-CH"/>
        </w:rPr>
        <w:object w:dxaOrig="7997" w:dyaOrig="5690">
          <v:shape id="_x0000_i1035" type="#_x0000_t75" style="width:373.15pt;height:266.7pt" o:ole="">
            <v:imagedata r:id="rId33" o:title=""/>
          </v:shape>
          <o:OLEObject Type="Embed" ProgID="CorelDRAW.Graphic.14" ShapeID="_x0000_i1035" DrawAspect="Content" ObjectID="_1409139881" r:id="rId34"/>
        </w:object>
      </w:r>
    </w:p>
    <w:p w:rsidR="007236FF" w:rsidRPr="0051531E" w:rsidRDefault="007236FF" w:rsidP="0051531E">
      <w:pPr>
        <w:rPr>
          <w:lang w:val="fr-CH"/>
        </w:rPr>
      </w:pPr>
      <w:r w:rsidRPr="0051531E">
        <w:rPr>
          <w:lang w:val="fr-CH"/>
        </w:rPr>
        <w:t>Toutes les caractéristiques optiques des aérosols, et en particulier, du brouillard, sont liées à la distribution en taille de particules, que l'on peut considérer comme le paramètre clé pour déterminer les propriétés physiques et optiques du brouillard.</w:t>
      </w:r>
    </w:p>
    <w:p w:rsidR="007236FF" w:rsidRPr="0051531E" w:rsidRDefault="007236FF" w:rsidP="00C51BB3">
      <w:pPr>
        <w:rPr>
          <w:lang w:val="fr-CH"/>
        </w:rPr>
      </w:pPr>
      <w:r w:rsidRPr="0051531E">
        <w:rPr>
          <w:lang w:val="fr-CH"/>
        </w:rPr>
        <w:t>En général, cette distribution est représentée par des fonctions analytiques comme la distribution log-normale dans le cas des aérosols et la distribution gamma modifiée dans le cas du brouillard. La distribution gamma modifiée est très souvent utilisée pour modéliser les différents types de brouillards et de nuages. Elle est donnée par la formule:</w:t>
      </w:r>
    </w:p>
    <w:p w:rsidR="007236FF" w:rsidRPr="0051531E" w:rsidRDefault="007236FF" w:rsidP="007236FF">
      <w:pPr>
        <w:pStyle w:val="Equation"/>
        <w:rPr>
          <w:lang w:val="fr-CH"/>
        </w:rPr>
      </w:pPr>
      <w:r w:rsidRPr="0051531E">
        <w:rPr>
          <w:lang w:val="fr-CH"/>
        </w:rPr>
        <w:tab/>
      </w:r>
      <w:r w:rsidRPr="0051531E">
        <w:rPr>
          <w:lang w:val="fr-CH"/>
        </w:rPr>
        <w:tab/>
      </w:r>
      <w:r w:rsidRPr="0051531E">
        <w:rPr>
          <w:position w:val="-10"/>
          <w:lang w:val="fr-CH"/>
        </w:rPr>
        <w:object w:dxaOrig="2020" w:dyaOrig="420">
          <v:shape id="_x0000_i1036" type="#_x0000_t75" style="width:100.8pt;height:21.3pt" o:ole="">
            <v:imagedata r:id="rId35" o:title=""/>
          </v:shape>
          <o:OLEObject Type="Embed" ProgID="Equation.3" ShapeID="_x0000_i1036" DrawAspect="Content" ObjectID="_1409139882" r:id="rId36"/>
        </w:object>
      </w:r>
      <w:r w:rsidRPr="0051531E">
        <w:rPr>
          <w:lang w:val="fr-CH"/>
        </w:rPr>
        <w:tab/>
      </w:r>
      <w:r w:rsidRPr="0051531E">
        <w:rPr>
          <w:snapToGrid w:val="0"/>
          <w:lang w:val="fr-CH" w:eastAsia="fr-FR"/>
        </w:rPr>
        <w:t>(9)</w:t>
      </w:r>
    </w:p>
    <w:p w:rsidR="007236FF" w:rsidRPr="0051531E" w:rsidRDefault="007236FF" w:rsidP="007236FF">
      <w:pPr>
        <w:rPr>
          <w:lang w:val="fr-CH"/>
        </w:rPr>
      </w:pPr>
      <w:r w:rsidRPr="0051531E">
        <w:rPr>
          <w:lang w:val="fr-CH"/>
        </w:rPr>
        <w:lastRenderedPageBreak/>
        <w:t xml:space="preserve">où </w:t>
      </w:r>
      <w:r w:rsidRPr="0051531E">
        <w:rPr>
          <w:i/>
          <w:iCs/>
          <w:lang w:val="fr-CH"/>
        </w:rPr>
        <w:t>N</w:t>
      </w:r>
      <w:r w:rsidRPr="0051531E">
        <w:rPr>
          <w:lang w:val="fr-CH"/>
        </w:rPr>
        <w:t>(</w:t>
      </w:r>
      <w:r w:rsidRPr="0051531E">
        <w:rPr>
          <w:i/>
          <w:iCs/>
          <w:lang w:val="fr-CH"/>
        </w:rPr>
        <w:t>r</w:t>
      </w:r>
      <w:r w:rsidRPr="0051531E">
        <w:rPr>
          <w:lang w:val="fr-CH"/>
        </w:rPr>
        <w:t xml:space="preserve">) est le nombre de particules par unité de volume et par unité d'incrément du rayon </w:t>
      </w:r>
      <w:r w:rsidRPr="0051531E">
        <w:rPr>
          <w:i/>
          <w:iCs/>
          <w:lang w:val="fr-CH"/>
        </w:rPr>
        <w:t>r</w:t>
      </w:r>
      <w:r w:rsidRPr="0051531E">
        <w:rPr>
          <w:lang w:val="fr-CH"/>
        </w:rPr>
        <w:t xml:space="preserve">, et α, </w:t>
      </w:r>
      <w:r w:rsidRPr="0051531E">
        <w:rPr>
          <w:i/>
          <w:lang w:val="fr-CH"/>
        </w:rPr>
        <w:t>a</w:t>
      </w:r>
      <w:r w:rsidRPr="0051531E">
        <w:rPr>
          <w:lang w:val="fr-CH"/>
        </w:rPr>
        <w:t xml:space="preserve"> et </w:t>
      </w:r>
      <w:r w:rsidRPr="0051531E">
        <w:rPr>
          <w:i/>
          <w:lang w:val="fr-CH"/>
        </w:rPr>
        <w:t>b</w:t>
      </w:r>
      <w:r w:rsidRPr="0051531E">
        <w:rPr>
          <w:lang w:val="fr-CH"/>
        </w:rPr>
        <w:t xml:space="preserve"> sont des paramètres qui caractérisent la distribution en taille de particules.</w:t>
      </w:r>
    </w:p>
    <w:p w:rsidR="007236FF" w:rsidRPr="0051531E" w:rsidRDefault="007236FF" w:rsidP="007236FF">
      <w:pPr>
        <w:rPr>
          <w:lang w:val="fr-CH"/>
        </w:rPr>
      </w:pPr>
      <w:r w:rsidRPr="0051531E">
        <w:rPr>
          <w:lang w:val="fr-CH"/>
        </w:rPr>
        <w:t>Des logiciels de calcul (voir l'Appendice 1 à l'Annexe 1) prennent en compte deux cas particuliers: le brouillard d'advection dense et le brouillard de rayonnement modéré, qui sont modélisés par les distributions en taille gamma modifiées comme indiqué ci-dessus. Les paramètres type de la distribution gamma modifiée sont donnés dans le Tableau 1.</w:t>
      </w:r>
    </w:p>
    <w:p w:rsidR="007236FF" w:rsidRPr="0051531E" w:rsidRDefault="007236FF" w:rsidP="00C51BB3">
      <w:pPr>
        <w:pStyle w:val="TableNo"/>
        <w:rPr>
          <w:lang w:val="fr-CH"/>
        </w:rPr>
      </w:pPr>
      <w:r w:rsidRPr="0051531E">
        <w:rPr>
          <w:lang w:val="fr-CH"/>
        </w:rPr>
        <w:t>TABLEAU 1</w:t>
      </w:r>
    </w:p>
    <w:p w:rsidR="007236FF" w:rsidRPr="0051531E" w:rsidRDefault="007236FF" w:rsidP="007236FF">
      <w:pPr>
        <w:pStyle w:val="Tabletitle"/>
        <w:rPr>
          <w:lang w:val="fr-CH"/>
        </w:rPr>
      </w:pPr>
      <w:r w:rsidRPr="0051531E">
        <w:rPr>
          <w:lang w:val="fr-CH"/>
        </w:rPr>
        <w:t xml:space="preserve">Différents paramètres de la distribution en taille de particules pour un brouillard </w:t>
      </w:r>
      <w:r w:rsidRPr="0051531E">
        <w:rPr>
          <w:lang w:val="fr-CH"/>
        </w:rPr>
        <w:br/>
        <w:t>d'advection dense et pour un brouillard de rayonnement modéré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68"/>
        <w:gridCol w:w="1068"/>
        <w:gridCol w:w="1069"/>
        <w:gridCol w:w="1068"/>
        <w:gridCol w:w="1069"/>
        <w:gridCol w:w="1068"/>
        <w:gridCol w:w="1069"/>
      </w:tblGrid>
      <w:tr w:rsidR="007236FF" w:rsidRPr="0051531E" w:rsidTr="0051531E">
        <w:trPr>
          <w:trHeight w:val="350"/>
          <w:jc w:val="center"/>
        </w:trPr>
        <w:tc>
          <w:tcPr>
            <w:tcW w:w="2160" w:type="dxa"/>
            <w:tcBorders>
              <w:top w:val="nil"/>
              <w:left w:val="nil"/>
            </w:tcBorders>
          </w:tcPr>
          <w:p w:rsidR="007236FF" w:rsidRPr="0051531E" w:rsidRDefault="007236FF" w:rsidP="00B40DD5">
            <w:pPr>
              <w:pStyle w:val="Tablehead"/>
              <w:rPr>
                <w:lang w:val="fr-CH"/>
              </w:rPr>
            </w:pPr>
          </w:p>
        </w:tc>
        <w:tc>
          <w:tcPr>
            <w:tcW w:w="1068" w:type="dxa"/>
          </w:tcPr>
          <w:p w:rsidR="007236FF" w:rsidRPr="0051531E" w:rsidRDefault="008708C1" w:rsidP="00B40DD5">
            <w:pPr>
              <w:pStyle w:val="Tablehead"/>
              <w:rPr>
                <w:lang w:val="fr-CH"/>
              </w:rPr>
            </w:pPr>
            <w:r w:rsidRPr="0051531E">
              <w:rPr>
                <w:lang w:val="fr-CH"/>
              </w:rPr>
              <w:sym w:font="Symbol" w:char="F061"/>
            </w:r>
          </w:p>
        </w:tc>
        <w:tc>
          <w:tcPr>
            <w:tcW w:w="1068" w:type="dxa"/>
          </w:tcPr>
          <w:p w:rsidR="007236FF" w:rsidRPr="0051531E" w:rsidRDefault="007236FF" w:rsidP="00B40DD5">
            <w:pPr>
              <w:pStyle w:val="Tablehead"/>
              <w:rPr>
                <w:i/>
                <w:iCs/>
                <w:lang w:val="fr-CH"/>
              </w:rPr>
            </w:pPr>
            <w:r w:rsidRPr="0051531E">
              <w:rPr>
                <w:i/>
                <w:iCs/>
                <w:lang w:val="fr-CH"/>
              </w:rPr>
              <w:t>a</w:t>
            </w:r>
          </w:p>
        </w:tc>
        <w:tc>
          <w:tcPr>
            <w:tcW w:w="1069" w:type="dxa"/>
          </w:tcPr>
          <w:p w:rsidR="007236FF" w:rsidRPr="0051531E" w:rsidRDefault="007236FF" w:rsidP="00B40DD5">
            <w:pPr>
              <w:pStyle w:val="Tablehead"/>
              <w:rPr>
                <w:i/>
                <w:iCs/>
                <w:lang w:val="fr-CH"/>
              </w:rPr>
            </w:pPr>
            <w:r w:rsidRPr="0051531E">
              <w:rPr>
                <w:i/>
                <w:iCs/>
                <w:lang w:val="fr-CH"/>
              </w:rPr>
              <w:t>b</w:t>
            </w:r>
          </w:p>
        </w:tc>
        <w:tc>
          <w:tcPr>
            <w:tcW w:w="1068" w:type="dxa"/>
          </w:tcPr>
          <w:p w:rsidR="007236FF" w:rsidRPr="0051531E" w:rsidRDefault="007236FF" w:rsidP="00B40DD5">
            <w:pPr>
              <w:pStyle w:val="Tablehead"/>
              <w:rPr>
                <w:lang w:val="fr-CH"/>
              </w:rPr>
            </w:pPr>
            <w:r w:rsidRPr="0051531E">
              <w:rPr>
                <w:i/>
                <w:iCs/>
                <w:lang w:val="fr-CH"/>
              </w:rPr>
              <w:t>N</w:t>
            </w:r>
            <w:r w:rsidRPr="0051531E">
              <w:rPr>
                <w:lang w:val="fr-CH"/>
              </w:rPr>
              <w:t xml:space="preserve"> (</w:t>
            </w:r>
            <w:r w:rsidRPr="0051531E" w:rsidDel="00675AF4">
              <w:rPr>
                <w:lang w:val="fr-CH"/>
              </w:rPr>
              <w:t>cm</w:t>
            </w:r>
            <w:r w:rsidRPr="0051531E">
              <w:rPr>
                <w:vertAlign w:val="superscript"/>
                <w:lang w:val="fr-CH"/>
              </w:rPr>
              <w:t>−</w:t>
            </w:r>
            <w:r w:rsidRPr="0051531E" w:rsidDel="00675AF4">
              <w:rPr>
                <w:vertAlign w:val="superscript"/>
                <w:lang w:val="fr-CH"/>
              </w:rPr>
              <w:t>3</w:t>
            </w:r>
            <w:r w:rsidRPr="0051531E">
              <w:rPr>
                <w:lang w:val="fr-CH"/>
              </w:rPr>
              <w:t>)</w:t>
            </w:r>
          </w:p>
        </w:tc>
        <w:tc>
          <w:tcPr>
            <w:tcW w:w="1069" w:type="dxa"/>
          </w:tcPr>
          <w:p w:rsidR="007236FF" w:rsidRPr="0051531E" w:rsidRDefault="007236FF" w:rsidP="00B40DD5">
            <w:pPr>
              <w:pStyle w:val="Tablehead"/>
              <w:rPr>
                <w:lang w:val="fr-CH"/>
              </w:rPr>
            </w:pPr>
            <w:r w:rsidRPr="0051531E">
              <w:rPr>
                <w:i/>
                <w:iCs/>
                <w:lang w:val="fr-CH"/>
              </w:rPr>
              <w:t>W</w:t>
            </w:r>
            <w:r w:rsidRPr="0051531E">
              <w:rPr>
                <w:lang w:val="fr-CH"/>
              </w:rPr>
              <w:t xml:space="preserve"> (g/m</w:t>
            </w:r>
            <w:r w:rsidRPr="0051531E">
              <w:rPr>
                <w:rFonts w:ascii="Times New (W1)" w:hAnsi="Times New (W1)"/>
                <w:vertAlign w:val="superscript"/>
                <w:lang w:val="fr-CH"/>
              </w:rPr>
              <w:t>3</w:t>
            </w:r>
            <w:r w:rsidRPr="0051531E">
              <w:rPr>
                <w:lang w:val="fr-CH"/>
              </w:rPr>
              <w:t>)</w:t>
            </w:r>
          </w:p>
        </w:tc>
        <w:tc>
          <w:tcPr>
            <w:tcW w:w="1068" w:type="dxa"/>
          </w:tcPr>
          <w:p w:rsidR="007236FF" w:rsidRPr="0051531E" w:rsidRDefault="007236FF" w:rsidP="00B40DD5">
            <w:pPr>
              <w:pStyle w:val="Tablehead"/>
              <w:rPr>
                <w:lang w:val="fr-CH"/>
              </w:rPr>
            </w:pPr>
            <w:r w:rsidRPr="0051531E">
              <w:rPr>
                <w:i/>
                <w:iCs/>
                <w:lang w:val="fr-CH"/>
              </w:rPr>
              <w:t>r</w:t>
            </w:r>
            <w:r w:rsidRPr="0051531E">
              <w:rPr>
                <w:rFonts w:ascii="Times New (W1)" w:hAnsi="Times New (W1)"/>
                <w:i/>
                <w:iCs/>
                <w:vertAlign w:val="subscript"/>
                <w:lang w:val="fr-CH"/>
              </w:rPr>
              <w:t>m</w:t>
            </w:r>
            <w:r w:rsidRPr="0051531E">
              <w:rPr>
                <w:lang w:val="fr-CH"/>
              </w:rPr>
              <w:t xml:space="preserve"> (μm)</w:t>
            </w:r>
          </w:p>
        </w:tc>
        <w:tc>
          <w:tcPr>
            <w:tcW w:w="1069" w:type="dxa"/>
          </w:tcPr>
          <w:p w:rsidR="007236FF" w:rsidRPr="0051531E" w:rsidRDefault="007236FF" w:rsidP="00B40DD5">
            <w:pPr>
              <w:pStyle w:val="Tablehead"/>
              <w:rPr>
                <w:lang w:val="fr-CH"/>
              </w:rPr>
            </w:pPr>
            <w:r w:rsidRPr="0051531E">
              <w:rPr>
                <w:i/>
                <w:iCs/>
                <w:lang w:val="fr-CH"/>
              </w:rPr>
              <w:t>V</w:t>
            </w:r>
            <w:r w:rsidRPr="0051531E">
              <w:rPr>
                <w:lang w:val="fr-CH"/>
              </w:rPr>
              <w:t xml:space="preserve"> (m)</w:t>
            </w:r>
          </w:p>
        </w:tc>
      </w:tr>
      <w:tr w:rsidR="007236FF" w:rsidRPr="0051531E" w:rsidTr="0051531E">
        <w:trPr>
          <w:jc w:val="center"/>
        </w:trPr>
        <w:tc>
          <w:tcPr>
            <w:tcW w:w="2160" w:type="dxa"/>
          </w:tcPr>
          <w:p w:rsidR="007236FF" w:rsidRPr="0051531E" w:rsidRDefault="007236FF" w:rsidP="0051531E">
            <w:pPr>
              <w:pStyle w:val="Tabletext"/>
              <w:jc w:val="left"/>
              <w:rPr>
                <w:lang w:val="fr-CH"/>
              </w:rPr>
            </w:pPr>
            <w:r w:rsidRPr="0051531E">
              <w:rPr>
                <w:lang w:val="fr-CH"/>
              </w:rPr>
              <w:t>Brouillard d'avection dense</w:t>
            </w:r>
          </w:p>
        </w:tc>
        <w:tc>
          <w:tcPr>
            <w:tcW w:w="1068" w:type="dxa"/>
          </w:tcPr>
          <w:p w:rsidR="007236FF" w:rsidRPr="0051531E" w:rsidRDefault="007236FF" w:rsidP="00B40DD5">
            <w:pPr>
              <w:pStyle w:val="Tabletext"/>
              <w:jc w:val="center"/>
              <w:rPr>
                <w:lang w:val="fr-CH"/>
              </w:rPr>
            </w:pPr>
            <w:r w:rsidRPr="0051531E">
              <w:rPr>
                <w:lang w:val="fr-CH"/>
              </w:rPr>
              <w:t>3</w:t>
            </w:r>
          </w:p>
        </w:tc>
        <w:tc>
          <w:tcPr>
            <w:tcW w:w="1068" w:type="dxa"/>
          </w:tcPr>
          <w:p w:rsidR="007236FF" w:rsidRPr="0051531E" w:rsidRDefault="007236FF" w:rsidP="00B40DD5">
            <w:pPr>
              <w:pStyle w:val="Tabletext"/>
              <w:jc w:val="center"/>
              <w:rPr>
                <w:lang w:val="fr-CH"/>
              </w:rPr>
            </w:pPr>
            <w:r w:rsidRPr="0051531E">
              <w:rPr>
                <w:lang w:val="fr-CH"/>
              </w:rPr>
              <w:t>0,027</w:t>
            </w:r>
          </w:p>
        </w:tc>
        <w:tc>
          <w:tcPr>
            <w:tcW w:w="1069" w:type="dxa"/>
          </w:tcPr>
          <w:p w:rsidR="007236FF" w:rsidRPr="0051531E" w:rsidRDefault="007236FF" w:rsidP="00B40DD5">
            <w:pPr>
              <w:pStyle w:val="Tabletext"/>
              <w:jc w:val="center"/>
              <w:rPr>
                <w:lang w:val="fr-CH"/>
              </w:rPr>
            </w:pPr>
            <w:r w:rsidRPr="0051531E">
              <w:rPr>
                <w:lang w:val="fr-CH"/>
              </w:rPr>
              <w:t>0,3</w:t>
            </w:r>
          </w:p>
        </w:tc>
        <w:tc>
          <w:tcPr>
            <w:tcW w:w="1068" w:type="dxa"/>
          </w:tcPr>
          <w:p w:rsidR="007236FF" w:rsidRPr="0051531E" w:rsidRDefault="007236FF" w:rsidP="00B40DD5">
            <w:pPr>
              <w:pStyle w:val="Tabletext"/>
              <w:jc w:val="center"/>
              <w:rPr>
                <w:lang w:val="fr-CH"/>
              </w:rPr>
            </w:pPr>
            <w:r w:rsidRPr="0051531E">
              <w:rPr>
                <w:lang w:val="fr-CH"/>
              </w:rPr>
              <w:t>20</w:t>
            </w:r>
          </w:p>
        </w:tc>
        <w:tc>
          <w:tcPr>
            <w:tcW w:w="1069" w:type="dxa"/>
          </w:tcPr>
          <w:p w:rsidR="007236FF" w:rsidRPr="0051531E" w:rsidRDefault="007236FF" w:rsidP="00B40DD5">
            <w:pPr>
              <w:pStyle w:val="Tabletext"/>
              <w:jc w:val="center"/>
              <w:rPr>
                <w:lang w:val="fr-CH"/>
              </w:rPr>
            </w:pPr>
            <w:r w:rsidRPr="0051531E">
              <w:rPr>
                <w:lang w:val="fr-CH"/>
              </w:rPr>
              <w:t>0,37</w:t>
            </w:r>
          </w:p>
        </w:tc>
        <w:tc>
          <w:tcPr>
            <w:tcW w:w="1068" w:type="dxa"/>
          </w:tcPr>
          <w:p w:rsidR="007236FF" w:rsidRPr="0051531E" w:rsidRDefault="007236FF" w:rsidP="00B40DD5">
            <w:pPr>
              <w:pStyle w:val="Tabletext"/>
              <w:jc w:val="center"/>
              <w:rPr>
                <w:lang w:val="fr-CH"/>
              </w:rPr>
            </w:pPr>
            <w:r w:rsidRPr="0051531E">
              <w:rPr>
                <w:lang w:val="fr-CH"/>
              </w:rPr>
              <w:t>10</w:t>
            </w:r>
          </w:p>
        </w:tc>
        <w:tc>
          <w:tcPr>
            <w:tcW w:w="1069" w:type="dxa"/>
          </w:tcPr>
          <w:p w:rsidR="007236FF" w:rsidRPr="0051531E" w:rsidRDefault="007236FF" w:rsidP="00B40DD5">
            <w:pPr>
              <w:pStyle w:val="Tabletext"/>
              <w:jc w:val="center"/>
              <w:rPr>
                <w:lang w:val="fr-CH"/>
              </w:rPr>
            </w:pPr>
            <w:r w:rsidRPr="0051531E">
              <w:rPr>
                <w:lang w:val="fr-CH"/>
              </w:rPr>
              <w:t>130</w:t>
            </w:r>
          </w:p>
        </w:tc>
      </w:tr>
      <w:tr w:rsidR="007236FF" w:rsidRPr="0051531E" w:rsidTr="0051531E">
        <w:trPr>
          <w:jc w:val="center"/>
        </w:trPr>
        <w:tc>
          <w:tcPr>
            <w:tcW w:w="2160" w:type="dxa"/>
          </w:tcPr>
          <w:p w:rsidR="007236FF" w:rsidRPr="0051531E" w:rsidRDefault="007236FF" w:rsidP="0051531E">
            <w:pPr>
              <w:pStyle w:val="Tabletext"/>
              <w:jc w:val="left"/>
              <w:rPr>
                <w:lang w:val="fr-CH"/>
              </w:rPr>
            </w:pPr>
            <w:r w:rsidRPr="0051531E">
              <w:rPr>
                <w:lang w:val="fr-CH"/>
              </w:rPr>
              <w:t>Brouillard de rayonnement modéré</w:t>
            </w:r>
          </w:p>
        </w:tc>
        <w:tc>
          <w:tcPr>
            <w:tcW w:w="1068" w:type="dxa"/>
          </w:tcPr>
          <w:p w:rsidR="007236FF" w:rsidRPr="0051531E" w:rsidRDefault="007236FF" w:rsidP="00B40DD5">
            <w:pPr>
              <w:pStyle w:val="Tabletext"/>
              <w:jc w:val="center"/>
              <w:rPr>
                <w:lang w:val="fr-CH"/>
              </w:rPr>
            </w:pPr>
            <w:r w:rsidRPr="0051531E">
              <w:rPr>
                <w:lang w:val="fr-CH"/>
              </w:rPr>
              <w:t>6</w:t>
            </w:r>
          </w:p>
        </w:tc>
        <w:tc>
          <w:tcPr>
            <w:tcW w:w="1068" w:type="dxa"/>
          </w:tcPr>
          <w:p w:rsidR="007236FF" w:rsidRPr="0051531E" w:rsidRDefault="007236FF" w:rsidP="00B40DD5">
            <w:pPr>
              <w:pStyle w:val="Tabletext"/>
              <w:jc w:val="center"/>
              <w:rPr>
                <w:lang w:val="fr-CH"/>
              </w:rPr>
            </w:pPr>
            <w:r w:rsidRPr="0051531E">
              <w:rPr>
                <w:lang w:val="fr-CH"/>
              </w:rPr>
              <w:t>607,5</w:t>
            </w:r>
          </w:p>
        </w:tc>
        <w:tc>
          <w:tcPr>
            <w:tcW w:w="1069" w:type="dxa"/>
          </w:tcPr>
          <w:p w:rsidR="007236FF" w:rsidRPr="0051531E" w:rsidRDefault="007236FF" w:rsidP="00B40DD5">
            <w:pPr>
              <w:pStyle w:val="Tabletext"/>
              <w:jc w:val="center"/>
              <w:rPr>
                <w:lang w:val="fr-CH"/>
              </w:rPr>
            </w:pPr>
            <w:r w:rsidRPr="0051531E">
              <w:rPr>
                <w:lang w:val="fr-CH"/>
              </w:rPr>
              <w:t>3</w:t>
            </w:r>
          </w:p>
        </w:tc>
        <w:tc>
          <w:tcPr>
            <w:tcW w:w="1068" w:type="dxa"/>
          </w:tcPr>
          <w:p w:rsidR="007236FF" w:rsidRPr="0051531E" w:rsidRDefault="007236FF" w:rsidP="00B40DD5">
            <w:pPr>
              <w:pStyle w:val="Tabletext"/>
              <w:jc w:val="center"/>
              <w:rPr>
                <w:lang w:val="fr-CH"/>
              </w:rPr>
            </w:pPr>
            <w:r w:rsidRPr="0051531E">
              <w:rPr>
                <w:lang w:val="fr-CH"/>
              </w:rPr>
              <w:t>200</w:t>
            </w:r>
          </w:p>
        </w:tc>
        <w:tc>
          <w:tcPr>
            <w:tcW w:w="1069" w:type="dxa"/>
          </w:tcPr>
          <w:p w:rsidR="007236FF" w:rsidRPr="0051531E" w:rsidRDefault="007236FF" w:rsidP="00B40DD5">
            <w:pPr>
              <w:pStyle w:val="Tabletext"/>
              <w:jc w:val="center"/>
              <w:rPr>
                <w:lang w:val="fr-CH"/>
              </w:rPr>
            </w:pPr>
            <w:r w:rsidRPr="0051531E">
              <w:rPr>
                <w:lang w:val="fr-CH"/>
              </w:rPr>
              <w:t>0,02</w:t>
            </w:r>
          </w:p>
        </w:tc>
        <w:tc>
          <w:tcPr>
            <w:tcW w:w="1068" w:type="dxa"/>
          </w:tcPr>
          <w:p w:rsidR="007236FF" w:rsidRPr="0051531E" w:rsidRDefault="007236FF" w:rsidP="00B40DD5">
            <w:pPr>
              <w:pStyle w:val="Tabletext"/>
              <w:jc w:val="center"/>
              <w:rPr>
                <w:lang w:val="fr-CH"/>
              </w:rPr>
            </w:pPr>
            <w:r w:rsidRPr="0051531E">
              <w:rPr>
                <w:lang w:val="fr-CH"/>
              </w:rPr>
              <w:t>2</w:t>
            </w:r>
          </w:p>
        </w:tc>
        <w:tc>
          <w:tcPr>
            <w:tcW w:w="1069" w:type="dxa"/>
          </w:tcPr>
          <w:p w:rsidR="007236FF" w:rsidRPr="0051531E" w:rsidRDefault="007236FF" w:rsidP="00B40DD5">
            <w:pPr>
              <w:pStyle w:val="Tabletext"/>
              <w:jc w:val="center"/>
              <w:rPr>
                <w:lang w:val="fr-CH"/>
              </w:rPr>
            </w:pPr>
            <w:r w:rsidRPr="0051531E">
              <w:rPr>
                <w:lang w:val="fr-CH"/>
              </w:rPr>
              <w:t>450</w:t>
            </w:r>
          </w:p>
        </w:tc>
      </w:tr>
    </w:tbl>
    <w:p w:rsidR="007236FF" w:rsidRPr="0051531E" w:rsidRDefault="007236FF" w:rsidP="007236FF">
      <w:pPr>
        <w:pStyle w:val="Tablefin"/>
        <w:rPr>
          <w:lang w:val="fr-CH"/>
        </w:rPr>
      </w:pPr>
    </w:p>
    <w:p w:rsidR="007236FF" w:rsidRPr="0051531E" w:rsidRDefault="007236FF" w:rsidP="007236FF">
      <w:pPr>
        <w:rPr>
          <w:lang w:val="fr-CH"/>
        </w:rPr>
      </w:pPr>
      <w:r w:rsidRPr="0051531E">
        <w:rPr>
          <w:lang w:val="fr-CH"/>
        </w:rPr>
        <w:t>où:</w:t>
      </w:r>
    </w:p>
    <w:p w:rsidR="007236FF" w:rsidRPr="0051531E" w:rsidRDefault="007236FF" w:rsidP="007236FF">
      <w:pPr>
        <w:pStyle w:val="Equationlegend"/>
        <w:rPr>
          <w:lang w:val="fr-CH"/>
        </w:rPr>
      </w:pPr>
      <w:r w:rsidRPr="0051531E">
        <w:rPr>
          <w:lang w:val="fr-CH"/>
        </w:rPr>
        <w:tab/>
      </w:r>
      <w:r w:rsidRPr="0051531E">
        <w:rPr>
          <w:i/>
          <w:lang w:val="fr-CH"/>
        </w:rPr>
        <w:t>N:</w:t>
      </w:r>
      <w:r w:rsidRPr="0051531E">
        <w:rPr>
          <w:lang w:val="fr-CH"/>
        </w:rPr>
        <w:tab/>
        <w:t>nombre total de particules d'eau par unité de volume (cm</w:t>
      </w:r>
      <w:r w:rsidRPr="0051531E">
        <w:rPr>
          <w:vertAlign w:val="superscript"/>
          <w:lang w:val="fr-CH"/>
        </w:rPr>
        <w:t>3</w:t>
      </w:r>
      <w:r w:rsidRPr="0051531E">
        <w:rPr>
          <w:lang w:val="fr-CH"/>
        </w:rPr>
        <w:t>);</w:t>
      </w:r>
    </w:p>
    <w:p w:rsidR="007236FF" w:rsidRPr="0051531E" w:rsidRDefault="007236FF" w:rsidP="007236FF">
      <w:pPr>
        <w:pStyle w:val="Equationlegend"/>
        <w:rPr>
          <w:lang w:val="fr-CH"/>
        </w:rPr>
      </w:pPr>
      <w:r w:rsidRPr="0051531E">
        <w:rPr>
          <w:lang w:val="fr-CH"/>
        </w:rPr>
        <w:tab/>
      </w:r>
      <w:r w:rsidRPr="0051531E">
        <w:rPr>
          <w:i/>
          <w:lang w:val="fr-CH"/>
        </w:rPr>
        <w:t>r</w:t>
      </w:r>
      <w:r w:rsidRPr="0051531E">
        <w:rPr>
          <w:rFonts w:ascii="Times New (W1)" w:hAnsi="Times New (W1)"/>
          <w:i/>
          <w:vertAlign w:val="subscript"/>
          <w:lang w:val="fr-CH"/>
        </w:rPr>
        <w:t>m:</w:t>
      </w:r>
      <w:r w:rsidRPr="0051531E">
        <w:rPr>
          <w:lang w:val="fr-CH"/>
        </w:rPr>
        <w:tab/>
        <w:t>rayon modal (μm) pour lequel la distribution présente un maximum;</w:t>
      </w:r>
    </w:p>
    <w:p w:rsidR="007236FF" w:rsidRPr="0051531E" w:rsidRDefault="007236FF" w:rsidP="007236FF">
      <w:pPr>
        <w:pStyle w:val="Equationlegend"/>
        <w:rPr>
          <w:lang w:val="fr-CH"/>
        </w:rPr>
      </w:pPr>
      <w:r w:rsidRPr="0051531E">
        <w:rPr>
          <w:lang w:val="fr-CH"/>
        </w:rPr>
        <w:tab/>
      </w:r>
      <w:r w:rsidRPr="0051531E">
        <w:rPr>
          <w:i/>
          <w:lang w:val="fr-CH"/>
        </w:rPr>
        <w:t>W:</w:t>
      </w:r>
      <w:r w:rsidRPr="0051531E">
        <w:rPr>
          <w:lang w:val="fr-CH"/>
        </w:rPr>
        <w:tab/>
        <w:t>teneur en eau liquide (g/m</w:t>
      </w:r>
      <w:r w:rsidRPr="0051531E">
        <w:rPr>
          <w:vertAlign w:val="superscript"/>
          <w:lang w:val="fr-CH"/>
        </w:rPr>
        <w:t>3</w:t>
      </w:r>
      <w:r w:rsidRPr="0051531E">
        <w:rPr>
          <w:lang w:val="fr-CH"/>
        </w:rPr>
        <w:t>);</w:t>
      </w:r>
    </w:p>
    <w:p w:rsidR="007236FF" w:rsidRPr="0051531E" w:rsidRDefault="007236FF" w:rsidP="00C51BB3">
      <w:pPr>
        <w:pStyle w:val="Equationlegend"/>
        <w:rPr>
          <w:lang w:val="fr-CH"/>
        </w:rPr>
      </w:pPr>
      <w:r w:rsidRPr="0051531E">
        <w:rPr>
          <w:lang w:val="fr-CH"/>
        </w:rPr>
        <w:tab/>
      </w:r>
      <w:r w:rsidRPr="0051531E">
        <w:rPr>
          <w:i/>
          <w:lang w:val="fr-CH"/>
        </w:rPr>
        <w:t>V:</w:t>
      </w:r>
      <w:r w:rsidRPr="0051531E">
        <w:rPr>
          <w:lang w:val="fr-CH"/>
        </w:rPr>
        <w:tab/>
        <w:t xml:space="preserve">visibilité associée au type de brouillard </w:t>
      </w:r>
      <w:bookmarkStart w:id="11" w:name="_Toc85359503"/>
      <w:r w:rsidRPr="0051531E">
        <w:rPr>
          <w:lang w:val="fr-CH"/>
        </w:rPr>
        <w:t>(m).</w:t>
      </w:r>
    </w:p>
    <w:p w:rsidR="007236FF" w:rsidRPr="0051531E" w:rsidRDefault="007236FF" w:rsidP="007236FF">
      <w:pPr>
        <w:rPr>
          <w:lang w:val="fr-CH"/>
        </w:rPr>
      </w:pPr>
      <w:r w:rsidRPr="0051531E">
        <w:rPr>
          <w:lang w:val="fr-CH"/>
        </w:rPr>
        <w:t>Le niveau du signal reçu peut subir d'importantes fluctuations à court terme à cause des variations de visibilité. La Fig. 4 montre les intensités reçues normalisées des liaisons en IR lointain et en IR moyen, ainsi que la visibilité de la liaison sur une durée d'une minute.</w:t>
      </w:r>
    </w:p>
    <w:p w:rsidR="007236FF" w:rsidRPr="0051531E" w:rsidRDefault="007236FF" w:rsidP="007236FF">
      <w:pPr>
        <w:pStyle w:val="FigureNo"/>
        <w:rPr>
          <w:lang w:val="fr-CH"/>
        </w:rPr>
      </w:pPr>
      <w:r w:rsidRPr="0051531E">
        <w:rPr>
          <w:lang w:val="fr-CH"/>
        </w:rPr>
        <w:t>Figure 4</w:t>
      </w:r>
    </w:p>
    <w:p w:rsidR="007236FF" w:rsidRPr="0051531E" w:rsidRDefault="007236FF" w:rsidP="007236FF">
      <w:pPr>
        <w:pStyle w:val="Figuretitle"/>
        <w:rPr>
          <w:lang w:val="fr-CH"/>
        </w:rPr>
      </w:pPr>
      <w:r w:rsidRPr="0051531E">
        <w:rPr>
          <w:lang w:val="fr-CH"/>
        </w:rPr>
        <w:t xml:space="preserve">Intensités reçues en temps réel sur des liaisons en IR lointain et en IR moyen (a) et </w:t>
      </w:r>
      <w:r w:rsidRPr="0051531E">
        <w:rPr>
          <w:lang w:val="fr-CH"/>
        </w:rPr>
        <w:br/>
        <w:t>portée visuelle (b) enregistrées simultanément sur une durée d'une minute</w:t>
      </w:r>
    </w:p>
    <w:p w:rsidR="007236FF" w:rsidRPr="0051531E" w:rsidRDefault="008066A3" w:rsidP="007236FF">
      <w:pPr>
        <w:pStyle w:val="Figure"/>
        <w:spacing w:before="120"/>
        <w:rPr>
          <w:lang w:val="fr-CH"/>
        </w:rPr>
      </w:pPr>
      <w:r w:rsidRPr="0051531E">
        <w:rPr>
          <w:lang w:val="fr-CH"/>
        </w:rPr>
        <w:object w:dxaOrig="7563" w:dyaOrig="4780">
          <v:shape id="_x0000_i1037" type="#_x0000_t75" style="width:376.9pt;height:237.9pt" o:ole="">
            <v:imagedata r:id="rId37" o:title=""/>
          </v:shape>
          <o:OLEObject Type="Embed" ProgID="CorelDRAW.Graphic.14" ShapeID="_x0000_i1037" DrawAspect="Content" ObjectID="_1409139883" r:id="rId38"/>
        </w:object>
      </w:r>
    </w:p>
    <w:p w:rsidR="007236FF" w:rsidRPr="0051531E" w:rsidRDefault="007236FF" w:rsidP="007236FF">
      <w:pPr>
        <w:pStyle w:val="Normalaftertitle"/>
        <w:rPr>
          <w:lang w:val="fr-CH"/>
        </w:rPr>
      </w:pPr>
      <w:r w:rsidRPr="0051531E">
        <w:rPr>
          <w:lang w:val="fr-CH"/>
        </w:rPr>
        <w:lastRenderedPageBreak/>
        <w:t>La Fig. 5 montre la puissance optique normalisée en fonction de la portée visuelle, mesurée à 780 nm, 1 550 nm et 9 100 nm.</w:t>
      </w:r>
    </w:p>
    <w:p w:rsidR="007236FF" w:rsidRPr="0051531E" w:rsidRDefault="007236FF" w:rsidP="00C51BB3">
      <w:pPr>
        <w:pStyle w:val="FigureNo"/>
        <w:rPr>
          <w:lang w:val="fr-CH"/>
        </w:rPr>
      </w:pPr>
      <w:r w:rsidRPr="0051531E">
        <w:rPr>
          <w:lang w:val="fr-CH"/>
        </w:rPr>
        <w:t>Figure 5</w:t>
      </w:r>
    </w:p>
    <w:p w:rsidR="007236FF" w:rsidRPr="0051531E" w:rsidRDefault="007236FF" w:rsidP="007236FF">
      <w:pPr>
        <w:pStyle w:val="Figuretitle"/>
        <w:rPr>
          <w:lang w:val="fr-CH"/>
        </w:rPr>
      </w:pPr>
      <w:r w:rsidRPr="0051531E">
        <w:rPr>
          <w:lang w:val="fr-CH"/>
        </w:rPr>
        <w:t xml:space="preserve">Puissance optique reçue normalisée en fonction de la visibilité de la liaison </w:t>
      </w:r>
      <w:r w:rsidRPr="0051531E">
        <w:rPr>
          <w:lang w:val="fr-CH"/>
        </w:rPr>
        <w:br/>
        <w:t>pour trois longueurs d'onde différentes</w:t>
      </w:r>
    </w:p>
    <w:p w:rsidR="007236FF" w:rsidRPr="0051531E" w:rsidRDefault="008066A3" w:rsidP="007236FF">
      <w:pPr>
        <w:jc w:val="center"/>
        <w:rPr>
          <w:lang w:val="fr-CH"/>
        </w:rPr>
      </w:pPr>
      <w:r w:rsidRPr="0051531E">
        <w:rPr>
          <w:lang w:val="fr-CH"/>
        </w:rPr>
        <w:object w:dxaOrig="4929" w:dyaOrig="4929">
          <v:shape id="_x0000_i1038" type="#_x0000_t75" style="width:260.45pt;height:260.45pt" o:ole="">
            <v:imagedata r:id="rId39" o:title=""/>
          </v:shape>
          <o:OLEObject Type="Embed" ProgID="CorelDRAW.Graphic.14" ShapeID="_x0000_i1038" DrawAspect="Content" ObjectID="_1409139884" r:id="rId40"/>
        </w:object>
      </w:r>
    </w:p>
    <w:p w:rsidR="007236FF" w:rsidRPr="0051531E" w:rsidRDefault="007236FF" w:rsidP="00C51BB3">
      <w:pPr>
        <w:rPr>
          <w:lang w:val="fr-CH"/>
        </w:rPr>
      </w:pPr>
      <w:r w:rsidRPr="0051531E">
        <w:rPr>
          <w:lang w:val="fr-CH"/>
        </w:rPr>
        <w:t>Dans des conditions de brouillard épais, la distribution de particules est très souvent non uniforme. Or, dans ce cas, les liaisons en IR lointain pourraient assurer une disponibilité supérieure. En effet, une lumière de 10 μm peut compenser les pertes dans le brouillard dense et maintenir la disponibilité de la liaison alors qu'une lumière de longueur d'onde plus courte ne le peut pas.</w:t>
      </w:r>
    </w:p>
    <w:p w:rsidR="007236FF" w:rsidRPr="0051531E" w:rsidRDefault="007236FF" w:rsidP="007236FF">
      <w:pPr>
        <w:pStyle w:val="Heading1"/>
        <w:rPr>
          <w:lang w:val="fr-CH"/>
        </w:rPr>
      </w:pPr>
      <w:bookmarkStart w:id="12" w:name="_Toc85359496"/>
      <w:bookmarkEnd w:id="11"/>
      <w:r w:rsidRPr="0051531E">
        <w:rPr>
          <w:lang w:val="fr-CH"/>
        </w:rPr>
        <w:t>6</w:t>
      </w:r>
      <w:r w:rsidRPr="0051531E">
        <w:rPr>
          <w:lang w:val="fr-CH"/>
        </w:rPr>
        <w:tab/>
        <w:t>Scintillation</w:t>
      </w:r>
      <w:bookmarkEnd w:id="12"/>
    </w:p>
    <w:p w:rsidR="007236FF" w:rsidRPr="0051531E" w:rsidRDefault="007236FF" w:rsidP="007236FF">
      <w:pPr>
        <w:rPr>
          <w:lang w:val="fr-CH"/>
        </w:rPr>
      </w:pPr>
      <w:r w:rsidRPr="0051531E">
        <w:rPr>
          <w:lang w:val="fr-CH"/>
        </w:rPr>
        <w:t>Des cellules d'indice de réfraction variables, aléatoirement réparties, peuvent se former dans le milieu de propagation sous l'effet de turbulences thermiques. Ces cellules provoquent une diffusion, des trajets multiples et une variation de l'angle d'arrivée, qui entraînent des fluctuations du niveau du signal reçu pour des fréquences de 0,01 à 200 Hz. De même, des variations de la surface d'onde provoquent des variations temporelles de la focalisation/défocalisation du faisceau. De telles fluctuations de signal sont appelées scintillation. L'amplitude et la fréquence de scintillation dépendent de la taille des cellules comparée au diamètre du faisceau. Les figures suivantes montrent cet effet, ainsi que les variations (amplitude, fréquence) du signal reçu. Le faisceau dévie (voir la Fig. 6) lorsque les hétérogénéités sont grandes par rapport à son diamètre, et le faisceau s'élargit (voir la Fig. 7) lorsque les hétérogénéités sont petites par rapport à son diamètre. Un mélange des hétérogénéités entraîne une scintillation (voir la Fig. 8).</w:t>
      </w:r>
    </w:p>
    <w:p w:rsidR="007236FF" w:rsidRPr="0051531E" w:rsidRDefault="007236FF" w:rsidP="007236FF">
      <w:pPr>
        <w:pStyle w:val="FigureNo"/>
        <w:rPr>
          <w:lang w:val="fr-CH"/>
        </w:rPr>
      </w:pPr>
      <w:r w:rsidRPr="0051531E">
        <w:rPr>
          <w:lang w:val="fr-CH"/>
        </w:rPr>
        <w:lastRenderedPageBreak/>
        <w:t>Figure 6</w:t>
      </w:r>
    </w:p>
    <w:p w:rsidR="007236FF" w:rsidRPr="0051531E" w:rsidRDefault="007236FF" w:rsidP="007236FF">
      <w:pPr>
        <w:pStyle w:val="Figuretitle"/>
        <w:rPr>
          <w:lang w:val="fr-CH"/>
        </w:rPr>
      </w:pPr>
      <w:r w:rsidRPr="0051531E">
        <w:rPr>
          <w:lang w:val="fr-CH"/>
        </w:rPr>
        <w:t>Déviation du faisceau sous l'effet de cellules de turbulence</w:t>
      </w:r>
      <w:r w:rsidRPr="0051531E">
        <w:rPr>
          <w:lang w:val="fr-CH"/>
        </w:rPr>
        <w:br/>
        <w:t>plus grandes que le diamètre du faisceau</w:t>
      </w:r>
    </w:p>
    <w:p w:rsidR="007236FF" w:rsidRPr="0051531E" w:rsidRDefault="008066A3" w:rsidP="007236FF">
      <w:pPr>
        <w:pStyle w:val="Figure"/>
        <w:spacing w:after="0"/>
        <w:rPr>
          <w:lang w:val="fr-CH"/>
        </w:rPr>
      </w:pPr>
      <w:r w:rsidRPr="0051531E">
        <w:rPr>
          <w:lang w:val="fr-CH"/>
        </w:rPr>
        <w:object w:dxaOrig="6655" w:dyaOrig="4581">
          <v:shape id="_x0000_i1039" type="#_x0000_t75" style="width:345.6pt;height:237.9pt" o:ole="">
            <v:imagedata r:id="rId41" o:title=""/>
          </v:shape>
          <o:OLEObject Type="Embed" ProgID="CorelDRAW.Graphic.14" ShapeID="_x0000_i1039" DrawAspect="Content" ObjectID="_1409139885" r:id="rId42"/>
        </w:object>
      </w:r>
    </w:p>
    <w:p w:rsidR="007236FF" w:rsidRPr="0051531E" w:rsidRDefault="007236FF" w:rsidP="00C51BB3">
      <w:pPr>
        <w:pStyle w:val="FigureNo"/>
        <w:rPr>
          <w:lang w:val="fr-CH"/>
        </w:rPr>
      </w:pPr>
      <w:r w:rsidRPr="0051531E">
        <w:rPr>
          <w:lang w:val="fr-CH"/>
        </w:rPr>
        <w:t>FIGURE 7</w:t>
      </w:r>
    </w:p>
    <w:p w:rsidR="007236FF" w:rsidRPr="0051531E" w:rsidRDefault="007236FF" w:rsidP="007236FF">
      <w:pPr>
        <w:pStyle w:val="Figuretitle"/>
        <w:rPr>
          <w:lang w:val="fr-CH"/>
        </w:rPr>
      </w:pPr>
      <w:r w:rsidRPr="0051531E">
        <w:rPr>
          <w:lang w:val="fr-CH"/>
        </w:rPr>
        <w:t>Déviation du faisceau sous l'effet de cellules de turbulence plus petites</w:t>
      </w:r>
      <w:r w:rsidRPr="0051531E">
        <w:rPr>
          <w:lang w:val="fr-CH"/>
        </w:rPr>
        <w:br/>
        <w:t>que le diamètre du faisceau (élargissement du faisceau)</w:t>
      </w:r>
    </w:p>
    <w:p w:rsidR="007236FF" w:rsidRPr="0051531E" w:rsidRDefault="008066A3" w:rsidP="007236FF">
      <w:pPr>
        <w:pStyle w:val="Figure"/>
        <w:keepLines w:val="0"/>
        <w:spacing w:before="120" w:after="0"/>
        <w:rPr>
          <w:lang w:val="fr-CH"/>
        </w:rPr>
      </w:pPr>
      <w:r w:rsidRPr="0051531E">
        <w:rPr>
          <w:lang w:val="fr-CH"/>
        </w:rPr>
        <w:object w:dxaOrig="6655" w:dyaOrig="4581">
          <v:shape id="_x0000_i1040" type="#_x0000_t75" style="width:343.7pt;height:237.9pt" o:ole="">
            <v:imagedata r:id="rId43" o:title=""/>
          </v:shape>
          <o:OLEObject Type="Embed" ProgID="CorelDRAW.Graphic.14" ShapeID="_x0000_i1040" DrawAspect="Content" ObjectID="_1409139886" r:id="rId44"/>
        </w:object>
      </w:r>
    </w:p>
    <w:p w:rsidR="007236FF" w:rsidRPr="0051531E" w:rsidRDefault="007236FF" w:rsidP="0051531E">
      <w:pPr>
        <w:pStyle w:val="FigureNo"/>
        <w:rPr>
          <w:lang w:val="fr-CH"/>
        </w:rPr>
      </w:pPr>
      <w:r w:rsidRPr="0051531E">
        <w:rPr>
          <w:lang w:val="fr-CH"/>
        </w:rPr>
        <w:lastRenderedPageBreak/>
        <w:t>Figure 8</w:t>
      </w:r>
    </w:p>
    <w:p w:rsidR="007236FF" w:rsidRPr="0051531E" w:rsidRDefault="007236FF" w:rsidP="007236FF">
      <w:pPr>
        <w:pStyle w:val="Figuretitle"/>
        <w:rPr>
          <w:lang w:val="fr-CH"/>
        </w:rPr>
      </w:pPr>
      <w:r w:rsidRPr="0051531E">
        <w:rPr>
          <w:lang w:val="fr-CH"/>
        </w:rPr>
        <w:t>Effets d'hétérogénéités de tailles différentes sur la propagation du faisceau laser (scintillation)</w:t>
      </w:r>
    </w:p>
    <w:p w:rsidR="007236FF" w:rsidRPr="0051531E" w:rsidRDefault="008066A3" w:rsidP="007236FF">
      <w:pPr>
        <w:pStyle w:val="Figure"/>
        <w:keepLines w:val="0"/>
        <w:rPr>
          <w:lang w:val="fr-CH"/>
        </w:rPr>
      </w:pPr>
      <w:r w:rsidRPr="0051531E">
        <w:rPr>
          <w:lang w:val="fr-CH"/>
        </w:rPr>
        <w:object w:dxaOrig="6655" w:dyaOrig="4581">
          <v:shape id="_x0000_i1041" type="#_x0000_t75" style="width:333.1pt;height:229.75pt" o:ole="">
            <v:imagedata r:id="rId45" o:title=""/>
          </v:shape>
          <o:OLEObject Type="Embed" ProgID="CorelDRAW.Graphic.14" ShapeID="_x0000_i1041" DrawAspect="Content" ObjectID="_1409139887" r:id="rId46"/>
        </w:object>
      </w:r>
    </w:p>
    <w:p w:rsidR="007236FF" w:rsidRPr="0051531E" w:rsidRDefault="007236FF" w:rsidP="007236FF">
      <w:pPr>
        <w:pStyle w:val="Heading1"/>
        <w:rPr>
          <w:lang w:val="fr-CH"/>
        </w:rPr>
      </w:pPr>
      <w:r w:rsidRPr="0051531E">
        <w:rPr>
          <w:lang w:val="fr-CH"/>
        </w:rPr>
        <w:t>7</w:t>
      </w:r>
      <w:r w:rsidRPr="0051531E">
        <w:rPr>
          <w:lang w:val="fr-CH"/>
        </w:rPr>
        <w:tab/>
        <w:t>Affaiblissement par la pluie</w:t>
      </w:r>
    </w:p>
    <w:p w:rsidR="007236FF" w:rsidRPr="0051531E" w:rsidRDefault="007236FF" w:rsidP="007236FF">
      <w:pPr>
        <w:rPr>
          <w:lang w:val="fr-CH"/>
        </w:rPr>
      </w:pPr>
      <w:r w:rsidRPr="0051531E">
        <w:rPr>
          <w:lang w:val="fr-CH"/>
        </w:rPr>
        <w:t>Une valeur approchée de l'affaiblissement linéïque (dB/km) dû à la pluie est en général donnée par la formule:</w:t>
      </w:r>
    </w:p>
    <w:p w:rsidR="007236FF" w:rsidRPr="0051531E" w:rsidRDefault="007236FF" w:rsidP="007236FF">
      <w:pPr>
        <w:pStyle w:val="Equation"/>
        <w:rPr>
          <w:lang w:val="fr-CH"/>
        </w:rPr>
      </w:pPr>
      <w:r w:rsidRPr="0051531E">
        <w:rPr>
          <w:lang w:val="fr-CH"/>
        </w:rPr>
        <w:tab/>
      </w:r>
      <w:r w:rsidRPr="0051531E">
        <w:rPr>
          <w:lang w:val="fr-CH"/>
        </w:rPr>
        <w:tab/>
      </w:r>
      <w:r w:rsidRPr="0051531E">
        <w:rPr>
          <w:position w:val="-12"/>
          <w:lang w:val="fr-CH"/>
        </w:rPr>
        <w:object w:dxaOrig="1260" w:dyaOrig="440">
          <v:shape id="_x0000_i1042" type="#_x0000_t75" style="width:63.25pt;height:21.9pt" o:ole="">
            <v:imagedata r:id="rId47" o:title=""/>
          </v:shape>
          <o:OLEObject Type="Embed" ProgID="Equation.3" ShapeID="_x0000_i1042" DrawAspect="Content" ObjectID="_1409139888" r:id="rId48"/>
        </w:object>
      </w:r>
      <w:r w:rsidRPr="0051531E">
        <w:rPr>
          <w:lang w:val="fr-CH"/>
        </w:rPr>
        <w:tab/>
      </w:r>
      <w:r w:rsidRPr="0051531E">
        <w:rPr>
          <w:snapToGrid w:val="0"/>
          <w:lang w:val="fr-CH" w:eastAsia="fr-FR"/>
        </w:rPr>
        <w:t>(10)</w:t>
      </w:r>
    </w:p>
    <w:p w:rsidR="007236FF" w:rsidRPr="0051531E" w:rsidRDefault="007236FF" w:rsidP="00C51BB3">
      <w:pPr>
        <w:rPr>
          <w:lang w:val="fr-CH"/>
        </w:rPr>
      </w:pPr>
      <w:r w:rsidRPr="0051531E">
        <w:rPr>
          <w:lang w:val="fr-CH"/>
        </w:rPr>
        <w:t>La Fig. 9 illustre les variations habituelles de l'affaiblissement linéïque (dB/km) dû aux précipitations, observées dans les gammes de longueurs d'onde optique et infrarouge.</w:t>
      </w:r>
    </w:p>
    <w:p w:rsidR="007236FF" w:rsidRPr="0051531E" w:rsidRDefault="007236FF" w:rsidP="007236FF">
      <w:pPr>
        <w:pStyle w:val="FigureNo"/>
        <w:rPr>
          <w:lang w:val="fr-CH"/>
        </w:rPr>
      </w:pPr>
      <w:r w:rsidRPr="0051531E">
        <w:rPr>
          <w:lang w:val="fr-CH"/>
        </w:rPr>
        <w:t>Figure 9</w:t>
      </w:r>
    </w:p>
    <w:p w:rsidR="007236FF" w:rsidRPr="0051531E" w:rsidRDefault="007236FF" w:rsidP="007236FF">
      <w:pPr>
        <w:pStyle w:val="Figuretitle"/>
        <w:rPr>
          <w:lang w:val="fr-CH"/>
        </w:rPr>
      </w:pPr>
      <w:r w:rsidRPr="0051531E">
        <w:rPr>
          <w:lang w:val="fr-CH"/>
        </w:rPr>
        <w:t xml:space="preserve">Affaiblissement linéïque (dB/km) dû aux précipitations dans les gammes </w:t>
      </w:r>
      <w:r w:rsidRPr="0051531E">
        <w:rPr>
          <w:lang w:val="fr-CH"/>
        </w:rPr>
        <w:br/>
        <w:t>de longueurs d'onde optique et infrarouge</w:t>
      </w:r>
    </w:p>
    <w:p w:rsidR="007236FF" w:rsidRPr="0051531E" w:rsidRDefault="007236FF" w:rsidP="007236FF">
      <w:pPr>
        <w:pStyle w:val="Figure"/>
        <w:rPr>
          <w:lang w:val="fr-CH"/>
        </w:rPr>
      </w:pPr>
      <w:r w:rsidRPr="0051531E">
        <w:rPr>
          <w:lang w:val="fr-CH"/>
        </w:rPr>
        <w:object w:dxaOrig="6729" w:dyaOrig="4640">
          <v:shape id="_x0000_i1043" type="#_x0000_t75" style="width:336.2pt;height:232.3pt" o:ole="">
            <v:imagedata r:id="rId49" o:title=""/>
          </v:shape>
          <o:OLEObject Type="Embed" ProgID="CorelDRAW.Graphic.14" ShapeID="_x0000_i1043" DrawAspect="Content" ObjectID="_1409139889" r:id="rId50"/>
        </w:object>
      </w:r>
    </w:p>
    <w:p w:rsidR="007236FF" w:rsidRPr="0051531E" w:rsidRDefault="007236FF" w:rsidP="00C51BB3">
      <w:pPr>
        <w:rPr>
          <w:lang w:val="fr-CH"/>
        </w:rPr>
      </w:pPr>
      <w:r w:rsidRPr="0051531E">
        <w:rPr>
          <w:lang w:val="fr-CH"/>
        </w:rPr>
        <w:lastRenderedPageBreak/>
        <w:t>La Recommandation UIT</w:t>
      </w:r>
      <w:r w:rsidRPr="0051531E">
        <w:rPr>
          <w:lang w:val="fr-CH"/>
        </w:rPr>
        <w:noBreakHyphen/>
        <w:t xml:space="preserve">R P.837 fournit l'intensité de pluie, </w:t>
      </w:r>
      <w:r w:rsidRPr="0051531E">
        <w:rPr>
          <w:i/>
          <w:lang w:val="fr-CH"/>
        </w:rPr>
        <w:t>R</w:t>
      </w:r>
      <w:r w:rsidRPr="0051531E">
        <w:rPr>
          <w:i/>
          <w:vertAlign w:val="subscript"/>
          <w:lang w:val="fr-CH"/>
        </w:rPr>
        <w:t>p</w:t>
      </w:r>
      <w:r w:rsidRPr="0051531E">
        <w:rPr>
          <w:lang w:val="fr-CH"/>
        </w:rPr>
        <w:t xml:space="preserve"> (mm/h), dépassée pendant un pourcentage de temps donné de l'année en moyenne, </w:t>
      </w:r>
      <w:r w:rsidRPr="0051531E">
        <w:rPr>
          <w:i/>
          <w:lang w:val="fr-CH"/>
        </w:rPr>
        <w:t>p</w:t>
      </w:r>
      <w:r w:rsidRPr="0051531E">
        <w:rPr>
          <w:lang w:val="fr-CH"/>
        </w:rPr>
        <w:t>, et pour toute localisation.</w:t>
      </w:r>
    </w:p>
    <w:p w:rsidR="007236FF" w:rsidRPr="0051531E" w:rsidRDefault="007236FF" w:rsidP="007236FF">
      <w:pPr>
        <w:pStyle w:val="Heading1"/>
        <w:rPr>
          <w:lang w:val="fr-CH"/>
        </w:rPr>
      </w:pPr>
      <w:r w:rsidRPr="0051531E">
        <w:rPr>
          <w:lang w:val="fr-CH"/>
        </w:rPr>
        <w:t>8</w:t>
      </w:r>
      <w:r w:rsidRPr="0051531E">
        <w:rPr>
          <w:lang w:val="fr-CH"/>
        </w:rPr>
        <w:tab/>
        <w:t>Affaiblissement dû à la neige</w:t>
      </w:r>
    </w:p>
    <w:p w:rsidR="007236FF" w:rsidRPr="0051531E" w:rsidRDefault="007236FF" w:rsidP="007236FF">
      <w:pPr>
        <w:rPr>
          <w:lang w:val="fr-CH"/>
        </w:rPr>
      </w:pPr>
      <w:r w:rsidRPr="0051531E">
        <w:rPr>
          <w:lang w:val="fr-CH"/>
        </w:rPr>
        <w:t>L'affaiblissement linéïque (dB/km) dû à la neige en fonction du taux de chute de neige est donné par la formule suivante:</w:t>
      </w:r>
    </w:p>
    <w:p w:rsidR="007236FF" w:rsidRPr="0051531E" w:rsidRDefault="007236FF" w:rsidP="007236FF">
      <w:pPr>
        <w:pStyle w:val="Equation"/>
        <w:rPr>
          <w:lang w:val="fr-CH"/>
        </w:rPr>
      </w:pPr>
      <w:r w:rsidRPr="0051531E">
        <w:rPr>
          <w:lang w:val="fr-CH"/>
        </w:rPr>
        <w:tab/>
      </w:r>
      <w:r w:rsidRPr="0051531E">
        <w:rPr>
          <w:lang w:val="fr-CH"/>
        </w:rPr>
        <w:tab/>
      </w:r>
      <w:r w:rsidRPr="0051531E">
        <w:rPr>
          <w:position w:val="-12"/>
          <w:lang w:val="fr-CH"/>
        </w:rPr>
        <w:object w:dxaOrig="1320" w:dyaOrig="420">
          <v:shape id="_x0000_i1044" type="#_x0000_t75" style="width:65.75pt;height:21.3pt" o:ole="">
            <v:imagedata r:id="rId51" o:title=""/>
          </v:shape>
          <o:OLEObject Type="Embed" ProgID="Equation.3" ShapeID="_x0000_i1044" DrawAspect="Content" ObjectID="_1409139890" r:id="rId52"/>
        </w:object>
      </w:r>
      <w:r w:rsidRPr="0051531E">
        <w:rPr>
          <w:lang w:val="fr-CH"/>
        </w:rPr>
        <w:tab/>
      </w:r>
      <w:r w:rsidRPr="0051531E">
        <w:rPr>
          <w:snapToGrid w:val="0"/>
          <w:lang w:val="fr-CH" w:eastAsia="fr-FR"/>
        </w:rPr>
        <w:t>(11)</w:t>
      </w:r>
    </w:p>
    <w:p w:rsidR="007236FF" w:rsidRPr="0051531E" w:rsidRDefault="007236FF" w:rsidP="007236FF">
      <w:pPr>
        <w:rPr>
          <w:lang w:val="fr-CH"/>
        </w:rPr>
      </w:pPr>
      <w:r w:rsidRPr="0051531E">
        <w:rPr>
          <w:lang w:val="fr-CH"/>
        </w:rPr>
        <w:t>où:</w:t>
      </w:r>
    </w:p>
    <w:p w:rsidR="007236FF" w:rsidRPr="0051531E" w:rsidRDefault="007236FF" w:rsidP="007236FF">
      <w:pPr>
        <w:pStyle w:val="Equationlegend"/>
        <w:rPr>
          <w:lang w:val="fr-CH"/>
        </w:rPr>
      </w:pPr>
      <w:r w:rsidRPr="0051531E">
        <w:rPr>
          <w:lang w:val="fr-CH"/>
        </w:rPr>
        <w:tab/>
      </w:r>
      <w:r w:rsidRPr="0051531E">
        <w:rPr>
          <w:position w:val="-10"/>
          <w:lang w:val="fr-CH"/>
        </w:rPr>
        <w:object w:dxaOrig="560" w:dyaOrig="320">
          <v:shape id="_x0000_i1045" type="#_x0000_t75" style="width:28.8pt;height:16.3pt" o:ole="">
            <v:imagedata r:id="rId53" o:title=""/>
          </v:shape>
          <o:OLEObject Type="Embed" ProgID="Equation.3" ShapeID="_x0000_i1045" DrawAspect="Content" ObjectID="_1409139891" r:id="rId54"/>
        </w:object>
      </w:r>
      <w:r w:rsidRPr="0051531E">
        <w:rPr>
          <w:lang w:val="fr-CH"/>
        </w:rPr>
        <w:t>:</w:t>
      </w:r>
      <w:r w:rsidRPr="0051531E">
        <w:rPr>
          <w:lang w:val="fr-CH"/>
        </w:rPr>
        <w:tab/>
        <w:t>affaiblissement linéïque (dB/km) dû à la neige;</w:t>
      </w:r>
    </w:p>
    <w:p w:rsidR="007236FF" w:rsidRPr="0051531E" w:rsidRDefault="007236FF" w:rsidP="007236FF">
      <w:pPr>
        <w:pStyle w:val="Equationlegend"/>
        <w:rPr>
          <w:lang w:val="fr-CH"/>
        </w:rPr>
      </w:pPr>
      <w:r w:rsidRPr="0051531E">
        <w:rPr>
          <w:lang w:val="fr-CH"/>
        </w:rPr>
        <w:tab/>
      </w:r>
      <w:r w:rsidRPr="0051531E">
        <w:rPr>
          <w:i/>
          <w:lang w:val="fr-CH"/>
        </w:rPr>
        <w:t>S:</w:t>
      </w:r>
      <w:r w:rsidRPr="0051531E">
        <w:rPr>
          <w:i/>
          <w:lang w:val="fr-CH"/>
        </w:rPr>
        <w:tab/>
      </w:r>
      <w:r w:rsidRPr="0051531E">
        <w:rPr>
          <w:lang w:val="fr-CH"/>
        </w:rPr>
        <w:t xml:space="preserve"> taux de chute de neige (mm/h);</w:t>
      </w:r>
    </w:p>
    <w:p w:rsidR="007236FF" w:rsidRPr="0051531E" w:rsidRDefault="007236FF" w:rsidP="008708C1">
      <w:pPr>
        <w:pStyle w:val="Equationlegend"/>
        <w:rPr>
          <w:lang w:val="fr-CH"/>
        </w:rPr>
      </w:pPr>
      <w:r w:rsidRPr="0051531E">
        <w:rPr>
          <w:lang w:val="fr-CH"/>
        </w:rPr>
        <w:tab/>
      </w:r>
      <w:r w:rsidRPr="0051531E">
        <w:rPr>
          <w:i/>
          <w:lang w:val="fr-CH"/>
        </w:rPr>
        <w:t>a</w:t>
      </w:r>
      <w:r w:rsidRPr="0051531E">
        <w:rPr>
          <w:lang w:val="fr-CH"/>
        </w:rPr>
        <w:t xml:space="preserve"> et </w:t>
      </w:r>
      <w:r w:rsidRPr="0051531E">
        <w:rPr>
          <w:i/>
          <w:lang w:val="fr-CH"/>
        </w:rPr>
        <w:t>b:</w:t>
      </w:r>
      <w:r w:rsidRPr="0051531E">
        <w:rPr>
          <w:lang w:val="fr-CH"/>
        </w:rPr>
        <w:tab/>
        <w:t xml:space="preserve">paramètres fonctions de la longueur d'onde, </w:t>
      </w:r>
      <w:r w:rsidR="008708C1" w:rsidRPr="0051531E">
        <w:rPr>
          <w:lang w:val="fr-CH"/>
        </w:rPr>
        <w:sym w:font="Symbol" w:char="F06C"/>
      </w:r>
      <w:r w:rsidRPr="0051531E">
        <w:rPr>
          <w:iCs/>
          <w:lang w:val="fr-CH"/>
        </w:rPr>
        <w:t xml:space="preserve"> </w:t>
      </w:r>
      <w:r w:rsidRPr="0051531E">
        <w:rPr>
          <w:lang w:val="fr-CH"/>
        </w:rPr>
        <w:t>(nm), tel qu'indiqué au Tableau 2:</w:t>
      </w:r>
    </w:p>
    <w:p w:rsidR="007236FF" w:rsidRPr="0051531E" w:rsidRDefault="007236FF" w:rsidP="00C51BB3">
      <w:pPr>
        <w:pStyle w:val="TableNo"/>
        <w:rPr>
          <w:lang w:val="fr-CH"/>
        </w:rPr>
      </w:pPr>
      <w:r w:rsidRPr="0051531E">
        <w:rPr>
          <w:lang w:val="fr-CH"/>
        </w:rPr>
        <w:t>TABLEAU 2</w:t>
      </w:r>
    </w:p>
    <w:p w:rsidR="007236FF" w:rsidRPr="0051531E" w:rsidRDefault="007236FF" w:rsidP="007236FF">
      <w:pPr>
        <w:pStyle w:val="Tabletitle"/>
        <w:rPr>
          <w:lang w:val="fr-CH"/>
        </w:rPr>
      </w:pPr>
      <w:r w:rsidRPr="0051531E">
        <w:rPr>
          <w:lang w:val="fr-CH"/>
        </w:rPr>
        <w:t>Paramètres «</w:t>
      </w:r>
      <w:r w:rsidRPr="0051531E">
        <w:rPr>
          <w:i/>
          <w:iCs/>
          <w:lang w:val="fr-CH"/>
        </w:rPr>
        <w:t>a</w:t>
      </w:r>
      <w:r w:rsidRPr="0051531E">
        <w:rPr>
          <w:lang w:val="fr-CH"/>
        </w:rPr>
        <w:t>» et «</w:t>
      </w:r>
      <w:r w:rsidRPr="0051531E">
        <w:rPr>
          <w:i/>
          <w:iCs/>
          <w:lang w:val="fr-CH"/>
        </w:rPr>
        <w:t>b</w:t>
      </w:r>
      <w:r w:rsidRPr="0051531E">
        <w:rPr>
          <w:lang w:val="fr-CH"/>
        </w:rPr>
        <w:t>» pour la neige humide et la neige sèche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4127"/>
        <w:gridCol w:w="2470"/>
      </w:tblGrid>
      <w:tr w:rsidR="007236FF" w:rsidRPr="0051531E" w:rsidTr="0051531E">
        <w:trPr>
          <w:jc w:val="center"/>
        </w:trPr>
        <w:tc>
          <w:tcPr>
            <w:tcW w:w="1590" w:type="dxa"/>
          </w:tcPr>
          <w:p w:rsidR="007236FF" w:rsidRPr="0051531E" w:rsidRDefault="007236FF" w:rsidP="00B40DD5">
            <w:pPr>
              <w:pStyle w:val="Tabletext"/>
              <w:jc w:val="center"/>
              <w:rPr>
                <w:lang w:val="fr-CH"/>
              </w:rPr>
            </w:pPr>
          </w:p>
        </w:tc>
        <w:tc>
          <w:tcPr>
            <w:tcW w:w="4127" w:type="dxa"/>
          </w:tcPr>
          <w:p w:rsidR="007236FF" w:rsidRPr="0051531E" w:rsidRDefault="007236FF" w:rsidP="00C51BB3">
            <w:pPr>
              <w:pStyle w:val="Tabletext"/>
              <w:jc w:val="center"/>
              <w:rPr>
                <w:b/>
                <w:i/>
                <w:iCs/>
                <w:lang w:val="fr-CH"/>
              </w:rPr>
            </w:pPr>
            <w:r w:rsidRPr="0051531E">
              <w:rPr>
                <w:b/>
                <w:i/>
                <w:iCs/>
                <w:lang w:val="fr-CH"/>
              </w:rPr>
              <w:t>a</w:t>
            </w:r>
          </w:p>
        </w:tc>
        <w:tc>
          <w:tcPr>
            <w:tcW w:w="2470" w:type="dxa"/>
          </w:tcPr>
          <w:p w:rsidR="007236FF" w:rsidRPr="0051531E" w:rsidRDefault="007236FF" w:rsidP="00B40DD5">
            <w:pPr>
              <w:pStyle w:val="Tabletext"/>
              <w:jc w:val="center"/>
              <w:rPr>
                <w:b/>
                <w:i/>
                <w:iCs/>
                <w:lang w:val="fr-CH"/>
              </w:rPr>
            </w:pPr>
            <w:r w:rsidRPr="0051531E">
              <w:rPr>
                <w:b/>
                <w:i/>
                <w:iCs/>
                <w:lang w:val="fr-CH"/>
              </w:rPr>
              <w:t>b</w:t>
            </w:r>
          </w:p>
        </w:tc>
      </w:tr>
      <w:tr w:rsidR="007236FF" w:rsidRPr="0051531E" w:rsidTr="0051531E">
        <w:trPr>
          <w:jc w:val="center"/>
        </w:trPr>
        <w:tc>
          <w:tcPr>
            <w:tcW w:w="1590" w:type="dxa"/>
          </w:tcPr>
          <w:p w:rsidR="007236FF" w:rsidRPr="0051531E" w:rsidRDefault="007236FF" w:rsidP="0051531E">
            <w:pPr>
              <w:pStyle w:val="Tabletext"/>
              <w:jc w:val="left"/>
              <w:rPr>
                <w:lang w:val="fr-CH"/>
              </w:rPr>
            </w:pPr>
            <w:r w:rsidRPr="0051531E">
              <w:rPr>
                <w:lang w:val="fr-CH"/>
              </w:rPr>
              <w:t>Neige humide</w:t>
            </w:r>
          </w:p>
        </w:tc>
        <w:tc>
          <w:tcPr>
            <w:tcW w:w="4127" w:type="dxa"/>
          </w:tcPr>
          <w:p w:rsidR="007236FF" w:rsidRPr="0051531E" w:rsidRDefault="007236FF" w:rsidP="00B40DD5">
            <w:pPr>
              <w:pStyle w:val="Tabletext"/>
              <w:jc w:val="center"/>
              <w:rPr>
                <w:lang w:val="fr-CH"/>
              </w:rPr>
            </w:pPr>
            <w:r w:rsidRPr="0051531E">
              <w:rPr>
                <w:lang w:val="fr-CH"/>
              </w:rPr>
              <w:t xml:space="preserve">0,0001023 </w:t>
            </w:r>
            <w:r w:rsidR="008708C1" w:rsidRPr="0051531E">
              <w:rPr>
                <w:lang w:val="fr-CH"/>
              </w:rPr>
              <w:sym w:font="Symbol" w:char="F06C"/>
            </w:r>
            <w:r w:rsidRPr="0051531E">
              <w:rPr>
                <w:i/>
                <w:iCs/>
                <w:vertAlign w:val="subscript"/>
                <w:lang w:val="fr-CH"/>
              </w:rPr>
              <w:t>nm</w:t>
            </w:r>
            <w:r w:rsidRPr="0051531E">
              <w:rPr>
                <w:lang w:val="fr-CH"/>
              </w:rPr>
              <w:t xml:space="preserve"> + 3,7855466</w:t>
            </w:r>
          </w:p>
        </w:tc>
        <w:tc>
          <w:tcPr>
            <w:tcW w:w="2470" w:type="dxa"/>
          </w:tcPr>
          <w:p w:rsidR="007236FF" w:rsidRPr="0051531E" w:rsidRDefault="007236FF" w:rsidP="00B40DD5">
            <w:pPr>
              <w:pStyle w:val="Tabletext"/>
              <w:jc w:val="center"/>
              <w:rPr>
                <w:lang w:val="fr-CH"/>
              </w:rPr>
            </w:pPr>
            <w:r w:rsidRPr="0051531E">
              <w:rPr>
                <w:lang w:val="fr-CH"/>
              </w:rPr>
              <w:t>0,72</w:t>
            </w:r>
          </w:p>
        </w:tc>
      </w:tr>
      <w:tr w:rsidR="007236FF" w:rsidRPr="0051531E" w:rsidTr="0051531E">
        <w:trPr>
          <w:jc w:val="center"/>
        </w:trPr>
        <w:tc>
          <w:tcPr>
            <w:tcW w:w="1590" w:type="dxa"/>
          </w:tcPr>
          <w:p w:rsidR="007236FF" w:rsidRPr="0051531E" w:rsidRDefault="007236FF" w:rsidP="0051531E">
            <w:pPr>
              <w:pStyle w:val="Tabletext"/>
              <w:jc w:val="left"/>
              <w:rPr>
                <w:lang w:val="fr-CH"/>
              </w:rPr>
            </w:pPr>
            <w:r w:rsidRPr="0051531E">
              <w:rPr>
                <w:lang w:val="fr-CH"/>
              </w:rPr>
              <w:t>Neige sèche</w:t>
            </w:r>
          </w:p>
        </w:tc>
        <w:tc>
          <w:tcPr>
            <w:tcW w:w="4127" w:type="dxa"/>
          </w:tcPr>
          <w:p w:rsidR="007236FF" w:rsidRPr="0051531E" w:rsidRDefault="007236FF" w:rsidP="00B40DD5">
            <w:pPr>
              <w:pStyle w:val="Tabletext"/>
              <w:jc w:val="center"/>
              <w:rPr>
                <w:lang w:val="fr-CH"/>
              </w:rPr>
            </w:pPr>
            <w:r w:rsidRPr="0051531E">
              <w:rPr>
                <w:lang w:val="fr-CH"/>
              </w:rPr>
              <w:t xml:space="preserve">0,0000542 </w:t>
            </w:r>
            <w:r w:rsidR="008708C1" w:rsidRPr="0051531E">
              <w:rPr>
                <w:lang w:val="fr-CH"/>
              </w:rPr>
              <w:sym w:font="Symbol" w:char="F06C"/>
            </w:r>
            <w:r w:rsidRPr="0051531E">
              <w:rPr>
                <w:i/>
                <w:iCs/>
                <w:vertAlign w:val="subscript"/>
                <w:lang w:val="fr-CH"/>
              </w:rPr>
              <w:t>nm</w:t>
            </w:r>
            <w:r w:rsidRPr="0051531E">
              <w:rPr>
                <w:lang w:val="fr-CH"/>
              </w:rPr>
              <w:t xml:space="preserve"> + 5,4958776</w:t>
            </w:r>
          </w:p>
        </w:tc>
        <w:tc>
          <w:tcPr>
            <w:tcW w:w="2470" w:type="dxa"/>
          </w:tcPr>
          <w:p w:rsidR="007236FF" w:rsidRPr="0051531E" w:rsidRDefault="007236FF" w:rsidP="00B40DD5">
            <w:pPr>
              <w:pStyle w:val="Tabletext"/>
              <w:jc w:val="center"/>
              <w:rPr>
                <w:lang w:val="fr-CH"/>
              </w:rPr>
            </w:pPr>
            <w:r w:rsidRPr="0051531E">
              <w:rPr>
                <w:lang w:val="fr-CH"/>
              </w:rPr>
              <w:t>1,38</w:t>
            </w:r>
          </w:p>
        </w:tc>
      </w:tr>
    </w:tbl>
    <w:p w:rsidR="0051531E" w:rsidRPr="0051531E" w:rsidRDefault="0051531E" w:rsidP="0051531E">
      <w:pPr>
        <w:pStyle w:val="Tablefin"/>
        <w:rPr>
          <w:lang w:val="fr-CH"/>
        </w:rPr>
      </w:pPr>
    </w:p>
    <w:p w:rsidR="007236FF" w:rsidRPr="0051531E" w:rsidRDefault="007236FF" w:rsidP="008708C1">
      <w:pPr>
        <w:rPr>
          <w:lang w:val="fr-CH"/>
        </w:rPr>
      </w:pPr>
      <w:r w:rsidRPr="0051531E">
        <w:rPr>
          <w:lang w:val="fr-CH"/>
        </w:rPr>
        <w:t xml:space="preserve">L'affaiblissement estimé en fonction du taux de chute de neige pour </w:t>
      </w:r>
      <w:r w:rsidR="008708C1" w:rsidRPr="0051531E">
        <w:rPr>
          <w:lang w:val="fr-CH"/>
        </w:rPr>
        <w:sym w:font="Symbol" w:char="F06C"/>
      </w:r>
      <w:r w:rsidRPr="0051531E">
        <w:rPr>
          <w:rFonts w:ascii="CG Times (W1)" w:hAnsi="CG Times (W1)"/>
          <w:lang w:val="fr-CH"/>
        </w:rPr>
        <w:t> </w:t>
      </w:r>
      <w:r w:rsidRPr="0051531E">
        <w:rPr>
          <w:lang w:val="fr-CH"/>
        </w:rPr>
        <w:t>= 1,55 μm est donné aux Fig. 10 et 11.</w:t>
      </w:r>
    </w:p>
    <w:p w:rsidR="007236FF" w:rsidRPr="0051531E" w:rsidRDefault="007236FF" w:rsidP="007236FF">
      <w:pPr>
        <w:pStyle w:val="FigureNo"/>
        <w:rPr>
          <w:lang w:val="fr-CH"/>
        </w:rPr>
      </w:pPr>
      <w:r w:rsidRPr="0051531E">
        <w:rPr>
          <w:lang w:val="fr-CH"/>
        </w:rPr>
        <w:t>FIGURE 10</w:t>
      </w:r>
    </w:p>
    <w:p w:rsidR="007236FF" w:rsidRPr="0051531E" w:rsidRDefault="007236FF" w:rsidP="008708C1">
      <w:pPr>
        <w:pStyle w:val="Figuretitle"/>
        <w:rPr>
          <w:lang w:val="fr-CH"/>
        </w:rPr>
      </w:pPr>
      <w:r w:rsidRPr="0051531E">
        <w:rPr>
          <w:lang w:val="fr-CH"/>
        </w:rPr>
        <w:t xml:space="preserve">Affaiblissement dû à la neige humide en fonction du taux de chute de neige </w:t>
      </w:r>
      <w:r w:rsidRPr="0051531E">
        <w:rPr>
          <w:lang w:val="fr-CH"/>
        </w:rPr>
        <w:br/>
        <w:t xml:space="preserve">pour </w:t>
      </w:r>
      <w:r w:rsidR="008708C1" w:rsidRPr="0051531E">
        <w:rPr>
          <w:lang w:val="fr-CH"/>
        </w:rPr>
        <w:sym w:font="Symbol" w:char="F06C"/>
      </w:r>
      <w:r w:rsidRPr="0051531E">
        <w:rPr>
          <w:lang w:val="fr-CH"/>
        </w:rPr>
        <w:t> = 1,55 μm</w:t>
      </w:r>
    </w:p>
    <w:p w:rsidR="007236FF" w:rsidRPr="0051531E" w:rsidRDefault="007236FF" w:rsidP="00C51BB3">
      <w:pPr>
        <w:pStyle w:val="Figure"/>
        <w:rPr>
          <w:lang w:val="fr-CH"/>
        </w:rPr>
      </w:pPr>
      <w:r w:rsidRPr="0051531E">
        <w:rPr>
          <w:lang w:val="fr-CH"/>
        </w:rPr>
        <w:object w:dxaOrig="6613" w:dyaOrig="3443">
          <v:shape id="_x0000_i1046" type="#_x0000_t75" style="width:330.55pt;height:172.15pt" o:ole="">
            <v:imagedata r:id="rId55" o:title=""/>
          </v:shape>
          <o:OLEObject Type="Embed" ProgID="CorelDRAW.Graphic.14" ShapeID="_x0000_i1046" DrawAspect="Content" ObjectID="_1409139892" r:id="rId56"/>
        </w:object>
      </w:r>
    </w:p>
    <w:p w:rsidR="007236FF" w:rsidRPr="0051531E" w:rsidRDefault="007236FF" w:rsidP="0051531E">
      <w:pPr>
        <w:pStyle w:val="FigureNo"/>
        <w:rPr>
          <w:lang w:val="fr-CH"/>
        </w:rPr>
      </w:pPr>
      <w:r w:rsidRPr="0051531E">
        <w:rPr>
          <w:lang w:val="fr-CH"/>
        </w:rPr>
        <w:lastRenderedPageBreak/>
        <w:t>FIGURE 11</w:t>
      </w:r>
    </w:p>
    <w:p w:rsidR="007236FF" w:rsidRPr="0051531E" w:rsidRDefault="007236FF" w:rsidP="008066A3">
      <w:pPr>
        <w:pStyle w:val="Figuretitle"/>
        <w:rPr>
          <w:lang w:val="fr-CH"/>
        </w:rPr>
      </w:pPr>
      <w:r w:rsidRPr="0051531E">
        <w:rPr>
          <w:lang w:val="fr-CH"/>
        </w:rPr>
        <w:t xml:space="preserve">Affaiblissement </w:t>
      </w:r>
      <w:r w:rsidR="008066A3">
        <w:rPr>
          <w:lang w:val="fr-CH"/>
        </w:rPr>
        <w:t>dû à</w:t>
      </w:r>
      <w:r w:rsidRPr="0051531E">
        <w:rPr>
          <w:lang w:val="fr-CH"/>
        </w:rPr>
        <w:t xml:space="preserve"> la neige sèche en fonction du taux de chute de neige </w:t>
      </w:r>
      <w:r w:rsidRPr="0051531E">
        <w:rPr>
          <w:lang w:val="fr-CH"/>
        </w:rPr>
        <w:br/>
        <w:t xml:space="preserve">pour </w:t>
      </w:r>
      <w:r w:rsidR="008708C1" w:rsidRPr="0051531E">
        <w:rPr>
          <w:lang w:val="fr-CH"/>
        </w:rPr>
        <w:sym w:font="Symbol" w:char="F06C"/>
      </w:r>
      <w:r w:rsidRPr="0051531E">
        <w:rPr>
          <w:lang w:val="fr-CH"/>
        </w:rPr>
        <w:t xml:space="preserve"> = 1,55 μm</w:t>
      </w:r>
    </w:p>
    <w:bookmarkStart w:id="13" w:name="_Toc85359505"/>
    <w:p w:rsidR="007236FF" w:rsidRPr="0051531E" w:rsidRDefault="007236FF" w:rsidP="0051531E">
      <w:pPr>
        <w:pStyle w:val="Figure"/>
        <w:rPr>
          <w:lang w:val="fr-CH"/>
        </w:rPr>
      </w:pPr>
      <w:r w:rsidRPr="0051531E">
        <w:rPr>
          <w:lang w:val="fr-CH"/>
        </w:rPr>
        <w:object w:dxaOrig="6631" w:dyaOrig="3402">
          <v:shape id="_x0000_i1047" type="#_x0000_t75" style="width:331.85pt;height:169.65pt" o:ole="">
            <v:imagedata r:id="rId57" o:title=""/>
          </v:shape>
          <o:OLEObject Type="Embed" ProgID="CorelDRAW.Graphic.14" ShapeID="_x0000_i1047" DrawAspect="Content" ObjectID="_1409139893" r:id="rId58"/>
        </w:object>
      </w:r>
    </w:p>
    <w:p w:rsidR="007236FF" w:rsidRPr="0051531E" w:rsidRDefault="007236FF" w:rsidP="0051531E">
      <w:pPr>
        <w:pStyle w:val="Heading1"/>
        <w:rPr>
          <w:lang w:val="fr-CH"/>
        </w:rPr>
      </w:pPr>
      <w:r w:rsidRPr="0051531E">
        <w:rPr>
          <w:lang w:val="fr-CH"/>
        </w:rPr>
        <w:t>9</w:t>
      </w:r>
      <w:r w:rsidRPr="0051531E">
        <w:rPr>
          <w:lang w:val="fr-CH"/>
        </w:rPr>
        <w:tab/>
        <w:t>Affaiblissement dû à la lumière ambiante</w:t>
      </w:r>
      <w:bookmarkEnd w:id="13"/>
    </w:p>
    <w:p w:rsidR="007236FF" w:rsidRPr="0051531E" w:rsidRDefault="007236FF" w:rsidP="007236FF">
      <w:pPr>
        <w:rPr>
          <w:lang w:val="fr-CH"/>
        </w:rPr>
      </w:pPr>
      <w:r w:rsidRPr="0051531E">
        <w:rPr>
          <w:lang w:val="fr-CH"/>
        </w:rPr>
        <w:t xml:space="preserve">On dit qu'une conjonction solaire a lieu lorsque le soleil ou une image réfléchie du soleil se situe dans le champ de vision instantané (IFOV, </w:t>
      </w:r>
      <w:r w:rsidRPr="0051531E">
        <w:rPr>
          <w:i/>
          <w:iCs/>
          <w:lang w:val="fr-CH"/>
        </w:rPr>
        <w:t>instantaneous field of view</w:t>
      </w:r>
      <w:r w:rsidRPr="0051531E">
        <w:rPr>
          <w:lang w:val="fr-CH"/>
        </w:rPr>
        <w:t>) d'un récepteur optique ou à proximité de ce champ. L'IFOV reçu est en général au moins aussi grand que la divergence en transmission. L'objectif est de calculer la probabilité pour laquelle la position du soleil est parallèle à la liaison optique, et la puissance solaire pénétrant dans le récepteur est supérieure à la puissance reçue de l'émetteur. On trouve une méthode d'estimation de cet effet dans la Recommandation UIT</w:t>
      </w:r>
      <w:r w:rsidRPr="0051531E">
        <w:rPr>
          <w:lang w:val="fr-CH"/>
        </w:rPr>
        <w:noBreakHyphen/>
        <w:t>R P.1814.</w:t>
      </w:r>
    </w:p>
    <w:p w:rsidR="007236FF" w:rsidRPr="0051531E" w:rsidRDefault="007236FF" w:rsidP="007236FF">
      <w:pPr>
        <w:pStyle w:val="Heading1"/>
        <w:rPr>
          <w:lang w:val="fr-CH"/>
        </w:rPr>
      </w:pPr>
      <w:r w:rsidRPr="0051531E">
        <w:rPr>
          <w:lang w:val="fr-CH"/>
        </w:rPr>
        <w:t>10</w:t>
      </w:r>
      <w:r w:rsidRPr="0051531E">
        <w:rPr>
          <w:lang w:val="fr-CH"/>
        </w:rPr>
        <w:tab/>
        <w:t>Distribution cumulative de l'affaiblissement</w:t>
      </w:r>
    </w:p>
    <w:p w:rsidR="007236FF" w:rsidRPr="0051531E" w:rsidRDefault="007236FF" w:rsidP="007236FF">
      <w:pPr>
        <w:rPr>
          <w:lang w:val="fr-CH"/>
        </w:rPr>
      </w:pPr>
      <w:bookmarkStart w:id="14" w:name="_Toc85359508"/>
      <w:r w:rsidRPr="0051531E">
        <w:rPr>
          <w:lang w:val="fr-CH"/>
        </w:rPr>
        <w:t>La Fig. 12 montre les distributions cumulatives de l'affaiblissement mesurées à 860 nm sur un trajet de 853 m à Prague (République tchèque), sur une période de 6 ans. Les causes de l'affaiblissement sont tous les hydrométéores, le brouillard, la pluie, la pluie plus la neige, et la neige. Tous les événements d'évanouissement ont été classés en fonction des conditions météorologiques qui les ont provoqués. Les conditions météorologiques ont été identifiées en utilisant une image caméra de la zone située entre l'émetteur et le récepteur, et les données d'une station météorologique automatique proche du récepteur. Les événements d'évanouissement les plus importants ont été causés par le brouillard et par la neige.</w:t>
      </w:r>
    </w:p>
    <w:p w:rsidR="007236FF" w:rsidRPr="0051531E" w:rsidRDefault="007236FF" w:rsidP="007236FF">
      <w:pPr>
        <w:pStyle w:val="Heading1"/>
        <w:rPr>
          <w:lang w:val="fr-CH"/>
        </w:rPr>
      </w:pPr>
      <w:r w:rsidRPr="0051531E">
        <w:rPr>
          <w:lang w:val="fr-CH"/>
        </w:rPr>
        <w:t>11</w:t>
      </w:r>
      <w:r w:rsidRPr="0051531E">
        <w:rPr>
          <w:lang w:val="fr-CH"/>
        </w:rPr>
        <w:tab/>
        <w:t>Systèmes hybrides/FSO</w:t>
      </w:r>
    </w:p>
    <w:p w:rsidR="007236FF" w:rsidRPr="0051531E" w:rsidRDefault="007236FF" w:rsidP="001231AE">
      <w:pPr>
        <w:rPr>
          <w:lang w:val="fr-CH"/>
        </w:rPr>
      </w:pPr>
      <w:r w:rsidRPr="0051531E">
        <w:rPr>
          <w:lang w:val="fr-CH"/>
        </w:rPr>
        <w:t>La Fig. 13 permet de comparer les affaiblissements mesurés pour un signal radiofréquence à 58 GHz et pour une liaison optique. Les mesures sont réalisées pour des affaiblissements dus à tous types d'hydrométéores d'une part, et à la pluie uniquement d'autre part. En cas de pluie, la liaison optique subit moins d'affaiblissement que la liaison par ondes millimétriques. Les systèmes hybrides radio/optique (RF/FSO) permettent d'améliorer la qualité de la liaison FSO en exploitant le fait que le trajet RF est affaibli par la pluie mais pas par le brouillard. Inversement, un trajet optique est très affaibli par le brouillard et relativement peu par la pluie.</w:t>
      </w:r>
    </w:p>
    <w:p w:rsidR="007236FF" w:rsidRPr="0051531E" w:rsidRDefault="007236FF" w:rsidP="007236FF">
      <w:pPr>
        <w:rPr>
          <w:lang w:val="fr-CH"/>
        </w:rPr>
      </w:pPr>
      <w:r w:rsidRPr="0051531E">
        <w:rPr>
          <w:lang w:val="fr-CH"/>
        </w:rPr>
        <w:t xml:space="preserve">Les distributions cumulatives annuelles reproduites à la Fig. 13 donnent une estimation de la qualité d'un système hybride RF/FSO fictif. Considérant un système hybride dont le trajet RF et le trajet optique possèdent la même marge de protection, </w:t>
      </w:r>
      <w:r w:rsidRPr="0051531E">
        <w:rPr>
          <w:i/>
          <w:lang w:val="fr-CH"/>
        </w:rPr>
        <w:t>MP = </w:t>
      </w:r>
      <w:r w:rsidRPr="0051531E">
        <w:rPr>
          <w:iCs/>
          <w:lang w:val="fr-CH"/>
        </w:rPr>
        <w:t>18</w:t>
      </w:r>
      <w:r w:rsidRPr="0051531E">
        <w:rPr>
          <w:i/>
          <w:lang w:val="fr-CH"/>
        </w:rPr>
        <w:t> </w:t>
      </w:r>
      <w:r w:rsidRPr="0051531E">
        <w:rPr>
          <w:iCs/>
          <w:lang w:val="fr-CH"/>
        </w:rPr>
        <w:t>dB</w:t>
      </w:r>
      <w:r w:rsidRPr="0051531E">
        <w:rPr>
          <w:lang w:val="fr-CH"/>
        </w:rPr>
        <w:t xml:space="preserve">, une technique de réception en diversité simple est utilisée, de sorte que soit la partie RF, soit la partie FSO du système, soit active </w:t>
      </w:r>
      <w:r w:rsidRPr="0051531E">
        <w:rPr>
          <w:lang w:val="fr-CH"/>
        </w:rPr>
        <w:lastRenderedPageBreak/>
        <w:t>en fonction des valeurs instantanées de l'affaiblissement sur le trajet RF et sur le trajet optique. On considère par hypothèse que la partie RF du système permet de limiter l'effet des hydrométéores sauf la pluie, et que la partie FSO permet de limiter l'effet de la pluie. Le taux de disponibilité (AR) du système hybride est évalué à partir des statistiques FSO en cas de pluie, comme indiqué au Tableau 3.</w:t>
      </w:r>
    </w:p>
    <w:p w:rsidR="007236FF" w:rsidRPr="0051531E" w:rsidRDefault="007236FF" w:rsidP="007236FF">
      <w:pPr>
        <w:pStyle w:val="FigureNo"/>
        <w:rPr>
          <w:lang w:val="fr-CH"/>
        </w:rPr>
      </w:pPr>
      <w:r w:rsidRPr="0051531E">
        <w:rPr>
          <w:lang w:val="fr-CH"/>
        </w:rPr>
        <w:t>FIGURE 12</w:t>
      </w:r>
    </w:p>
    <w:p w:rsidR="007236FF" w:rsidRPr="0051531E" w:rsidRDefault="007236FF" w:rsidP="007236FF">
      <w:pPr>
        <w:pStyle w:val="Figuretitle"/>
        <w:rPr>
          <w:lang w:val="fr-CH"/>
        </w:rPr>
      </w:pPr>
      <w:r w:rsidRPr="0051531E">
        <w:rPr>
          <w:lang w:val="fr-CH"/>
        </w:rPr>
        <w:t>Distributions cumulatives d'affaiblissement pour différentes conditions de trajet</w:t>
      </w:r>
    </w:p>
    <w:p w:rsidR="007236FF" w:rsidRPr="0051531E" w:rsidRDefault="008066A3" w:rsidP="007236FF">
      <w:pPr>
        <w:pStyle w:val="Figure"/>
        <w:rPr>
          <w:lang w:val="fr-CH"/>
        </w:rPr>
      </w:pPr>
      <w:r w:rsidRPr="0051531E">
        <w:rPr>
          <w:lang w:val="fr-CH"/>
        </w:rPr>
        <w:object w:dxaOrig="5710" w:dyaOrig="3719">
          <v:shape id="_x0000_i1048" type="#_x0000_t75" style="width:313.65pt;height:204.1pt" o:ole="">
            <v:imagedata r:id="rId59" o:title=""/>
          </v:shape>
          <o:OLEObject Type="Embed" ProgID="CorelDRAW.Graphic.14" ShapeID="_x0000_i1048" DrawAspect="Content" ObjectID="_1409139894" r:id="rId60"/>
        </w:object>
      </w:r>
    </w:p>
    <w:p w:rsidR="007236FF" w:rsidRPr="0051531E" w:rsidRDefault="007236FF" w:rsidP="007236FF">
      <w:pPr>
        <w:pStyle w:val="FigureNo"/>
        <w:rPr>
          <w:lang w:val="fr-CH"/>
        </w:rPr>
      </w:pPr>
      <w:r w:rsidRPr="0051531E">
        <w:rPr>
          <w:lang w:val="fr-CH"/>
        </w:rPr>
        <w:t>FIGURE 13</w:t>
      </w:r>
    </w:p>
    <w:p w:rsidR="007236FF" w:rsidRPr="0051531E" w:rsidRDefault="007236FF" w:rsidP="007236FF">
      <w:pPr>
        <w:pStyle w:val="Figuretitle"/>
        <w:rPr>
          <w:lang w:val="fr-CH"/>
        </w:rPr>
      </w:pPr>
      <w:r w:rsidRPr="0051531E">
        <w:rPr>
          <w:lang w:val="fr-CH"/>
        </w:rPr>
        <w:t xml:space="preserve">Affaiblissements RF et FSO dépassés pendant différents </w:t>
      </w:r>
      <w:r w:rsidRPr="0051531E">
        <w:rPr>
          <w:lang w:val="fr-CH"/>
        </w:rPr>
        <w:br/>
        <w:t>pourcentages du temps</w:t>
      </w:r>
    </w:p>
    <w:p w:rsidR="007236FF" w:rsidRPr="0051531E" w:rsidRDefault="007663C1" w:rsidP="007236FF">
      <w:pPr>
        <w:pStyle w:val="Figure"/>
        <w:keepLines w:val="0"/>
        <w:rPr>
          <w:lang w:val="fr-CH"/>
        </w:rPr>
      </w:pPr>
      <w:r>
        <w:rPr>
          <w:lang w:val="fr-CH"/>
        </w:rPr>
        <w:object w:dxaOrig="7443" w:dyaOrig="4861">
          <v:shape id="_x0000_i1187" type="#_x0000_t75" style="width:346.25pt;height:226.65pt" o:ole="">
            <v:imagedata r:id="rId61" o:title=""/>
          </v:shape>
          <o:OLEObject Type="Embed" ProgID="CorelDRAW.Graphic.14" ShapeID="_x0000_i1187" DrawAspect="Content" ObjectID="_1409139895" r:id="rId62"/>
        </w:object>
      </w:r>
    </w:p>
    <w:p w:rsidR="007236FF" w:rsidRPr="0051531E" w:rsidRDefault="007236FF" w:rsidP="0051531E">
      <w:pPr>
        <w:pStyle w:val="TableNo"/>
        <w:rPr>
          <w:lang w:val="fr-CH"/>
        </w:rPr>
      </w:pPr>
      <w:r w:rsidRPr="0051531E">
        <w:rPr>
          <w:lang w:val="fr-CH"/>
        </w:rPr>
        <w:lastRenderedPageBreak/>
        <w:t>TABLEAU 3</w:t>
      </w:r>
    </w:p>
    <w:p w:rsidR="007236FF" w:rsidRPr="0051531E" w:rsidRDefault="007236FF" w:rsidP="007236FF">
      <w:pPr>
        <w:pStyle w:val="Tabletitle"/>
        <w:rPr>
          <w:lang w:val="fr-CH"/>
        </w:rPr>
      </w:pPr>
      <w:r w:rsidRPr="0051531E">
        <w:rPr>
          <w:lang w:val="fr-CH"/>
        </w:rPr>
        <w:t xml:space="preserve">Comparaison des taux de disponibilité de systèmes RF, FSO et </w:t>
      </w:r>
      <w:r w:rsidRPr="0051531E">
        <w:rPr>
          <w:lang w:val="fr-CH"/>
        </w:rPr>
        <w:br/>
        <w:t>hybride RF/FSO fictif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1"/>
        <w:gridCol w:w="2760"/>
      </w:tblGrid>
      <w:tr w:rsidR="007236FF" w:rsidRPr="0051531E" w:rsidTr="00B40DD5">
        <w:trPr>
          <w:trHeight w:val="312"/>
          <w:jc w:val="center"/>
        </w:trPr>
        <w:tc>
          <w:tcPr>
            <w:tcW w:w="4061" w:type="dxa"/>
            <w:tcBorders>
              <w:top w:val="single" w:sz="4" w:space="0" w:color="auto"/>
              <w:left w:val="single" w:sz="4" w:space="0" w:color="auto"/>
              <w:bottom w:val="single" w:sz="4" w:space="0" w:color="auto"/>
              <w:right w:val="single" w:sz="4" w:space="0" w:color="auto"/>
            </w:tcBorders>
          </w:tcPr>
          <w:p w:rsidR="007236FF" w:rsidRPr="0051531E" w:rsidRDefault="007236FF" w:rsidP="00B40DD5">
            <w:pPr>
              <w:pStyle w:val="Tablehead"/>
              <w:rPr>
                <w:lang w:val="fr-CH"/>
              </w:rPr>
            </w:pPr>
            <w:r w:rsidRPr="0051531E">
              <w:rPr>
                <w:lang w:val="fr-CH"/>
              </w:rPr>
              <w:t>Système</w:t>
            </w:r>
          </w:p>
        </w:tc>
        <w:tc>
          <w:tcPr>
            <w:tcW w:w="2760" w:type="dxa"/>
            <w:tcBorders>
              <w:top w:val="single" w:sz="4" w:space="0" w:color="auto"/>
              <w:left w:val="single" w:sz="4" w:space="0" w:color="auto"/>
              <w:bottom w:val="single" w:sz="4" w:space="0" w:color="auto"/>
              <w:right w:val="single" w:sz="4" w:space="0" w:color="auto"/>
            </w:tcBorders>
          </w:tcPr>
          <w:p w:rsidR="007236FF" w:rsidRPr="0051531E" w:rsidRDefault="007236FF" w:rsidP="00B40DD5">
            <w:pPr>
              <w:pStyle w:val="Tablehead"/>
              <w:rPr>
                <w:lang w:val="fr-CH"/>
              </w:rPr>
            </w:pPr>
            <w:r w:rsidRPr="0051531E">
              <w:rPr>
                <w:lang w:val="fr-CH"/>
              </w:rPr>
              <w:t>AR (%)</w:t>
            </w:r>
          </w:p>
        </w:tc>
      </w:tr>
      <w:tr w:rsidR="007236FF" w:rsidRPr="0051531E" w:rsidTr="00B40DD5">
        <w:trPr>
          <w:trHeight w:val="271"/>
          <w:jc w:val="center"/>
        </w:trPr>
        <w:tc>
          <w:tcPr>
            <w:tcW w:w="4061" w:type="dxa"/>
            <w:tcBorders>
              <w:top w:val="single" w:sz="4" w:space="0" w:color="auto"/>
              <w:left w:val="single" w:sz="4" w:space="0" w:color="auto"/>
              <w:bottom w:val="single" w:sz="4" w:space="0" w:color="auto"/>
              <w:right w:val="single" w:sz="4" w:space="0" w:color="auto"/>
            </w:tcBorders>
          </w:tcPr>
          <w:p w:rsidR="007236FF" w:rsidRPr="0051531E" w:rsidRDefault="007236FF" w:rsidP="00B40DD5">
            <w:pPr>
              <w:pStyle w:val="Tabletext"/>
              <w:jc w:val="center"/>
              <w:rPr>
                <w:lang w:val="fr-CH"/>
              </w:rPr>
            </w:pPr>
            <w:r w:rsidRPr="0051531E">
              <w:rPr>
                <w:lang w:val="fr-CH"/>
              </w:rPr>
              <w:t>Partie FSO (850 nm)</w:t>
            </w:r>
          </w:p>
        </w:tc>
        <w:tc>
          <w:tcPr>
            <w:tcW w:w="2760" w:type="dxa"/>
            <w:tcBorders>
              <w:top w:val="single" w:sz="4" w:space="0" w:color="auto"/>
              <w:left w:val="single" w:sz="4" w:space="0" w:color="auto"/>
              <w:bottom w:val="single" w:sz="4" w:space="0" w:color="auto"/>
              <w:right w:val="single" w:sz="4" w:space="0" w:color="auto"/>
            </w:tcBorders>
          </w:tcPr>
          <w:p w:rsidR="007236FF" w:rsidRPr="0051531E" w:rsidRDefault="007236FF" w:rsidP="00B40DD5">
            <w:pPr>
              <w:pStyle w:val="Tabletext"/>
              <w:jc w:val="center"/>
              <w:rPr>
                <w:lang w:val="fr-CH"/>
              </w:rPr>
            </w:pPr>
            <w:r w:rsidRPr="0051531E">
              <w:rPr>
                <w:lang w:val="fr-CH"/>
              </w:rPr>
              <w:t>99,1340</w:t>
            </w:r>
          </w:p>
        </w:tc>
      </w:tr>
      <w:tr w:rsidR="007236FF" w:rsidRPr="0051531E" w:rsidTr="00B40DD5">
        <w:trPr>
          <w:trHeight w:val="163"/>
          <w:jc w:val="center"/>
        </w:trPr>
        <w:tc>
          <w:tcPr>
            <w:tcW w:w="4061" w:type="dxa"/>
            <w:tcBorders>
              <w:top w:val="single" w:sz="4" w:space="0" w:color="auto"/>
              <w:left w:val="single" w:sz="4" w:space="0" w:color="auto"/>
              <w:bottom w:val="single" w:sz="4" w:space="0" w:color="auto"/>
              <w:right w:val="single" w:sz="4" w:space="0" w:color="auto"/>
            </w:tcBorders>
          </w:tcPr>
          <w:p w:rsidR="007236FF" w:rsidRPr="0051531E" w:rsidRDefault="007236FF" w:rsidP="00B40DD5">
            <w:pPr>
              <w:pStyle w:val="Tabletext"/>
              <w:jc w:val="center"/>
              <w:rPr>
                <w:lang w:val="fr-CH"/>
              </w:rPr>
            </w:pPr>
            <w:r w:rsidRPr="0051531E">
              <w:rPr>
                <w:lang w:val="fr-CH"/>
              </w:rPr>
              <w:t>Partie RF (58 GHz)</w:t>
            </w:r>
          </w:p>
        </w:tc>
        <w:tc>
          <w:tcPr>
            <w:tcW w:w="2760" w:type="dxa"/>
            <w:tcBorders>
              <w:top w:val="single" w:sz="4" w:space="0" w:color="auto"/>
              <w:left w:val="single" w:sz="4" w:space="0" w:color="auto"/>
              <w:bottom w:val="single" w:sz="4" w:space="0" w:color="auto"/>
              <w:right w:val="single" w:sz="4" w:space="0" w:color="auto"/>
            </w:tcBorders>
          </w:tcPr>
          <w:p w:rsidR="007236FF" w:rsidRPr="0051531E" w:rsidRDefault="007236FF" w:rsidP="00B40DD5">
            <w:pPr>
              <w:pStyle w:val="Tabletext"/>
              <w:jc w:val="center"/>
              <w:rPr>
                <w:lang w:val="fr-CH"/>
              </w:rPr>
            </w:pPr>
            <w:r w:rsidRPr="0051531E">
              <w:rPr>
                <w:lang w:val="fr-CH"/>
              </w:rPr>
              <w:t>99,9547</w:t>
            </w:r>
          </w:p>
        </w:tc>
      </w:tr>
      <w:tr w:rsidR="007236FF" w:rsidRPr="0051531E" w:rsidTr="00B40DD5">
        <w:trPr>
          <w:trHeight w:val="163"/>
          <w:jc w:val="center"/>
        </w:trPr>
        <w:tc>
          <w:tcPr>
            <w:tcW w:w="4061" w:type="dxa"/>
            <w:tcBorders>
              <w:top w:val="single" w:sz="4" w:space="0" w:color="auto"/>
              <w:left w:val="single" w:sz="4" w:space="0" w:color="auto"/>
              <w:bottom w:val="single" w:sz="4" w:space="0" w:color="auto"/>
              <w:right w:val="single" w:sz="4" w:space="0" w:color="auto"/>
            </w:tcBorders>
          </w:tcPr>
          <w:p w:rsidR="007236FF" w:rsidRPr="0051531E" w:rsidRDefault="007236FF" w:rsidP="00B40DD5">
            <w:pPr>
              <w:pStyle w:val="Tabletext"/>
              <w:jc w:val="center"/>
              <w:rPr>
                <w:lang w:val="fr-CH"/>
              </w:rPr>
            </w:pPr>
            <w:r w:rsidRPr="0051531E">
              <w:rPr>
                <w:lang w:val="fr-CH"/>
              </w:rPr>
              <w:t>RF/FSO hybride</w:t>
            </w:r>
          </w:p>
        </w:tc>
        <w:tc>
          <w:tcPr>
            <w:tcW w:w="2760" w:type="dxa"/>
            <w:tcBorders>
              <w:top w:val="single" w:sz="4" w:space="0" w:color="auto"/>
              <w:left w:val="single" w:sz="4" w:space="0" w:color="auto"/>
              <w:bottom w:val="single" w:sz="4" w:space="0" w:color="auto"/>
              <w:right w:val="single" w:sz="4" w:space="0" w:color="auto"/>
            </w:tcBorders>
          </w:tcPr>
          <w:p w:rsidR="007236FF" w:rsidRPr="0051531E" w:rsidRDefault="007236FF" w:rsidP="00B40DD5">
            <w:pPr>
              <w:pStyle w:val="Tabletext"/>
              <w:jc w:val="center"/>
              <w:rPr>
                <w:lang w:val="fr-CH"/>
              </w:rPr>
            </w:pPr>
            <w:r w:rsidRPr="0051531E">
              <w:rPr>
                <w:lang w:val="fr-CH"/>
              </w:rPr>
              <w:t>99,9989</w:t>
            </w:r>
          </w:p>
        </w:tc>
      </w:tr>
    </w:tbl>
    <w:p w:rsidR="007236FF" w:rsidRPr="0051531E" w:rsidRDefault="007236FF" w:rsidP="007236FF">
      <w:pPr>
        <w:pStyle w:val="Heading1"/>
        <w:rPr>
          <w:lang w:val="fr-CH"/>
        </w:rPr>
      </w:pPr>
      <w:r w:rsidRPr="0051531E">
        <w:rPr>
          <w:lang w:val="fr-CH"/>
        </w:rPr>
        <w:t>12</w:t>
      </w:r>
      <w:r w:rsidRPr="0051531E">
        <w:rPr>
          <w:lang w:val="fr-CH"/>
        </w:rPr>
        <w:tab/>
        <w:t>Mesure de la visibilité</w:t>
      </w:r>
      <w:bookmarkEnd w:id="14"/>
    </w:p>
    <w:p w:rsidR="007236FF" w:rsidRPr="0051531E" w:rsidRDefault="007236FF" w:rsidP="007236FF">
      <w:pPr>
        <w:keepNext/>
        <w:rPr>
          <w:lang w:val="fr-CH"/>
        </w:rPr>
      </w:pPr>
      <w:r w:rsidRPr="0051531E">
        <w:rPr>
          <w:lang w:val="fr-CH"/>
        </w:rPr>
        <w:t xml:space="preserve">La visibilité </w:t>
      </w:r>
      <w:r w:rsidRPr="0051531E">
        <w:rPr>
          <w:i/>
          <w:lang w:val="fr-CH"/>
        </w:rPr>
        <w:t>V</w:t>
      </w:r>
      <w:r w:rsidRPr="0051531E">
        <w:rPr>
          <w:lang w:val="fr-CH"/>
        </w:rPr>
        <w:t> (km) se définit comme la distance à un objet pour laquelle le contraste de l'image chute à 2% de sa valeur initiale. Elle est mesurée à 550 nm, longueur d'onde qui correspond à l'intensité maximale du spectre solaire, et est donnée par la formule de Koschmieder:</w:t>
      </w:r>
    </w:p>
    <w:p w:rsidR="007236FF" w:rsidRPr="0051531E" w:rsidRDefault="007236FF" w:rsidP="007236FF">
      <w:pPr>
        <w:pStyle w:val="Equation"/>
        <w:rPr>
          <w:lang w:val="fr-CH"/>
        </w:rPr>
      </w:pPr>
      <w:r w:rsidRPr="0051531E">
        <w:rPr>
          <w:lang w:val="fr-CH"/>
        </w:rPr>
        <w:tab/>
      </w:r>
      <w:r w:rsidRPr="0051531E">
        <w:rPr>
          <w:lang w:val="fr-CH"/>
        </w:rPr>
        <w:tab/>
      </w:r>
      <w:r w:rsidRPr="0051531E">
        <w:rPr>
          <w:position w:val="-32"/>
          <w:lang w:val="fr-CH"/>
        </w:rPr>
        <w:object w:dxaOrig="1600" w:dyaOrig="700">
          <v:shape id="_x0000_i1050" type="#_x0000_t75" style="width:80.15pt;height:35.05pt" o:ole="">
            <v:imagedata r:id="rId63" o:title=""/>
          </v:shape>
          <o:OLEObject Type="Embed" ProgID="Equation.3" ShapeID="_x0000_i1050" DrawAspect="Content" ObjectID="_1409139896" r:id="rId64"/>
        </w:object>
      </w:r>
      <w:r w:rsidRPr="0051531E">
        <w:rPr>
          <w:lang w:val="fr-CH"/>
        </w:rPr>
        <w:tab/>
      </w:r>
      <w:r w:rsidRPr="0051531E">
        <w:rPr>
          <w:snapToGrid w:val="0"/>
          <w:lang w:val="fr-CH" w:eastAsia="fr-FR"/>
        </w:rPr>
        <w:t>(12)</w:t>
      </w:r>
    </w:p>
    <w:p w:rsidR="007236FF" w:rsidRPr="0051531E" w:rsidRDefault="007236FF" w:rsidP="008708C1">
      <w:pPr>
        <w:rPr>
          <w:lang w:val="fr-CH"/>
        </w:rPr>
      </w:pPr>
      <w:r w:rsidRPr="0051531E">
        <w:rPr>
          <w:lang w:val="fr-CH"/>
        </w:rPr>
        <w:t xml:space="preserve">où </w:t>
      </w:r>
      <w:r w:rsidR="008708C1" w:rsidRPr="0051531E">
        <w:rPr>
          <w:lang w:val="fr-CH"/>
        </w:rPr>
        <w:sym w:font="Symbol" w:char="F067"/>
      </w:r>
      <w:r w:rsidRPr="0051531E">
        <w:rPr>
          <w:rFonts w:ascii="Times New (W1)" w:hAnsi="Times New (W1)"/>
          <w:vertAlign w:val="subscript"/>
          <w:lang w:val="fr-CH"/>
        </w:rPr>
        <w:t>550 nm</w:t>
      </w:r>
      <w:r w:rsidRPr="0051531E">
        <w:rPr>
          <w:vertAlign w:val="subscript"/>
          <w:lang w:val="fr-CH"/>
        </w:rPr>
        <w:t xml:space="preserve"> </w:t>
      </w:r>
      <w:r w:rsidRPr="0051531E">
        <w:rPr>
          <w:lang w:val="fr-CH"/>
        </w:rPr>
        <w:t>est le coefficient d'extinction du milieu (atmosphère et aérosols).</w:t>
      </w:r>
    </w:p>
    <w:p w:rsidR="007236FF" w:rsidRPr="0051531E" w:rsidRDefault="007236FF" w:rsidP="007236FF">
      <w:pPr>
        <w:rPr>
          <w:lang w:val="fr-CH"/>
        </w:rPr>
      </w:pPr>
      <w:r w:rsidRPr="0051531E">
        <w:rPr>
          <w:lang w:val="fr-CH"/>
        </w:rPr>
        <w:t>Deux types de capteurs sont utilisés pour mesurer la visibilité: transmissiomètres et diffusiomètres.</w:t>
      </w:r>
    </w:p>
    <w:p w:rsidR="007236FF" w:rsidRPr="0051531E" w:rsidRDefault="007236FF" w:rsidP="007236FF">
      <w:pPr>
        <w:tabs>
          <w:tab w:val="left" w:pos="360"/>
        </w:tabs>
        <w:rPr>
          <w:lang w:val="fr-CH"/>
        </w:rPr>
      </w:pPr>
      <w:r w:rsidRPr="0051531E">
        <w:rPr>
          <w:lang w:val="fr-CH"/>
        </w:rPr>
        <w:t>Le code international de visibilité, qui montre l'affaiblissement (dB/km) pour diverses conditions météorologiques, est fourni dans le tableau suivant:</w:t>
      </w:r>
    </w:p>
    <w:p w:rsidR="007236FF" w:rsidRPr="0051531E" w:rsidRDefault="007236FF" w:rsidP="007236FF">
      <w:pPr>
        <w:pStyle w:val="enumlev1"/>
        <w:rPr>
          <w:lang w:val="fr-CH"/>
        </w:rPr>
      </w:pPr>
      <w:r w:rsidRPr="0051531E">
        <w:rPr>
          <w:lang w:val="fr-CH"/>
        </w:rPr>
        <w:t>–</w:t>
      </w:r>
      <w:r w:rsidRPr="0051531E">
        <w:rPr>
          <w:lang w:val="fr-CH"/>
        </w:rPr>
        <w:tab/>
        <w:t>Conditions météorologiques de temps très clair à brouillard dense.</w:t>
      </w:r>
    </w:p>
    <w:p w:rsidR="007236FF" w:rsidRPr="0051531E" w:rsidRDefault="007236FF" w:rsidP="007236FF">
      <w:pPr>
        <w:pStyle w:val="enumlev1"/>
        <w:rPr>
          <w:lang w:val="fr-CH"/>
        </w:rPr>
      </w:pPr>
      <w:r w:rsidRPr="0051531E">
        <w:rPr>
          <w:lang w:val="fr-CH"/>
        </w:rPr>
        <w:t>–</w:t>
      </w:r>
      <w:r w:rsidRPr="0051531E">
        <w:rPr>
          <w:lang w:val="fr-CH"/>
        </w:rPr>
        <w:tab/>
        <w:t>Précipitations (mm/h): bruine, pluie, orage.</w:t>
      </w:r>
    </w:p>
    <w:p w:rsidR="00C51BB3" w:rsidRPr="0051531E" w:rsidRDefault="007236FF" w:rsidP="00C51BB3">
      <w:pPr>
        <w:pStyle w:val="enumlev1"/>
        <w:rPr>
          <w:lang w:val="fr-CH"/>
        </w:rPr>
      </w:pPr>
      <w:r w:rsidRPr="0051531E">
        <w:rPr>
          <w:lang w:val="fr-CH"/>
        </w:rPr>
        <w:t>–</w:t>
      </w:r>
      <w:r w:rsidRPr="0051531E">
        <w:rPr>
          <w:lang w:val="fr-CH"/>
        </w:rPr>
        <w:tab/>
        <w:t>Visibilité de 50 m à 50 km.</w:t>
      </w:r>
    </w:p>
    <w:bookmarkStart w:id="15" w:name="_MON_1112302758"/>
    <w:bookmarkStart w:id="16" w:name="_MON_1238595567"/>
    <w:bookmarkStart w:id="17" w:name="_MON_1239038942"/>
    <w:bookmarkStart w:id="18" w:name="_MON_1239039135"/>
    <w:bookmarkStart w:id="19" w:name="_MON_1245327352"/>
    <w:bookmarkStart w:id="20" w:name="_MON_1245327732"/>
    <w:bookmarkStart w:id="21" w:name="_MON_1248592975"/>
    <w:bookmarkStart w:id="22" w:name="_MON_1248598919"/>
    <w:bookmarkStart w:id="23" w:name="_MON_1248599043"/>
    <w:bookmarkStart w:id="24" w:name="_MON_1258878927"/>
    <w:bookmarkStart w:id="25" w:name="_MON_1258878932"/>
    <w:bookmarkStart w:id="26" w:name="_MON_1258879615"/>
    <w:bookmarkStart w:id="27" w:name="_MON_1162109115"/>
    <w:bookmarkEnd w:id="15"/>
    <w:bookmarkEnd w:id="16"/>
    <w:bookmarkEnd w:id="17"/>
    <w:bookmarkEnd w:id="18"/>
    <w:bookmarkEnd w:id="19"/>
    <w:bookmarkEnd w:id="20"/>
    <w:bookmarkEnd w:id="21"/>
    <w:bookmarkEnd w:id="22"/>
    <w:bookmarkEnd w:id="23"/>
    <w:bookmarkEnd w:id="24"/>
    <w:bookmarkEnd w:id="25"/>
    <w:bookmarkEnd w:id="26"/>
    <w:bookmarkEnd w:id="27"/>
    <w:bookmarkStart w:id="28" w:name="_MON_1221550526"/>
    <w:bookmarkEnd w:id="28"/>
    <w:p w:rsidR="007236FF" w:rsidRPr="0051531E" w:rsidRDefault="007236FF" w:rsidP="00587DDB">
      <w:pPr>
        <w:pStyle w:val="Figure"/>
        <w:rPr>
          <w:lang w:val="fr-CH"/>
        </w:rPr>
      </w:pPr>
      <w:r w:rsidRPr="0051531E">
        <w:rPr>
          <w:lang w:val="fr-CH"/>
        </w:rPr>
        <w:object w:dxaOrig="8325" w:dyaOrig="9900">
          <v:shape id="_x0000_i1051" type="#_x0000_t75" style="width:428.25pt;height:506.5pt" o:ole="">
            <v:imagedata r:id="rId65" o:title="" croptop="-754f" cropbottom="-754f" cropleft="-897f" cropright="-897f"/>
          </v:shape>
          <o:OLEObject Type="Embed" ProgID="Word.Picture.8" ShapeID="_x0000_i1051" DrawAspect="Content" ObjectID="_1409139897" r:id="rId66"/>
        </w:object>
      </w:r>
    </w:p>
    <w:p w:rsidR="00C51BB3" w:rsidRPr="0051531E" w:rsidRDefault="00C51BB3" w:rsidP="00C51BB3">
      <w:pPr>
        <w:rPr>
          <w:lang w:val="fr-CH"/>
        </w:rPr>
      </w:pPr>
    </w:p>
    <w:p w:rsidR="00C51BB3" w:rsidRPr="0051531E" w:rsidRDefault="00C51BB3" w:rsidP="00C51BB3">
      <w:pPr>
        <w:rPr>
          <w:lang w:val="fr-CH"/>
        </w:rPr>
      </w:pPr>
    </w:p>
    <w:p w:rsidR="0051531E" w:rsidRPr="0051531E" w:rsidRDefault="0051531E" w:rsidP="007236FF">
      <w:pPr>
        <w:pStyle w:val="AppendixNoTitle"/>
        <w:rPr>
          <w:lang w:val="fr-CH"/>
        </w:rPr>
      </w:pPr>
      <w:r w:rsidRPr="0051531E">
        <w:rPr>
          <w:lang w:val="fr-CH"/>
        </w:rPr>
        <w:br w:type="page"/>
      </w:r>
    </w:p>
    <w:p w:rsidR="007236FF" w:rsidRPr="0051531E" w:rsidRDefault="007236FF" w:rsidP="007236FF">
      <w:pPr>
        <w:pStyle w:val="AppendixNoTitle"/>
        <w:rPr>
          <w:lang w:val="fr-CH"/>
        </w:rPr>
      </w:pPr>
      <w:r w:rsidRPr="0051531E">
        <w:rPr>
          <w:lang w:val="fr-CH"/>
        </w:rPr>
        <w:lastRenderedPageBreak/>
        <w:t>Appendice 1</w:t>
      </w:r>
      <w:r w:rsidRPr="0051531E">
        <w:rPr>
          <w:lang w:val="fr-CH"/>
        </w:rPr>
        <w:br/>
        <w:t>à Annex</w:t>
      </w:r>
      <w:bookmarkStart w:id="29" w:name="_GoBack"/>
      <w:bookmarkEnd w:id="29"/>
      <w:r w:rsidRPr="0051531E">
        <w:rPr>
          <w:lang w:val="fr-CH"/>
        </w:rPr>
        <w:t>e 1</w:t>
      </w:r>
      <w:r w:rsidRPr="0051531E">
        <w:rPr>
          <w:lang w:val="fr-CH"/>
        </w:rPr>
        <w:br/>
      </w:r>
      <w:r w:rsidRPr="0051531E">
        <w:rPr>
          <w:lang w:val="fr-CH"/>
        </w:rPr>
        <w:br/>
        <w:t>Modélisation par ordinateur</w:t>
      </w:r>
    </w:p>
    <w:p w:rsidR="007236FF" w:rsidRPr="0051531E" w:rsidRDefault="007236FF" w:rsidP="007236FF">
      <w:pPr>
        <w:pStyle w:val="Normalaftertitle"/>
        <w:rPr>
          <w:lang w:val="fr-CH"/>
        </w:rPr>
      </w:pPr>
      <w:r w:rsidRPr="0051531E">
        <w:rPr>
          <w:lang w:val="fr-CH"/>
        </w:rPr>
        <w:t>Un certain nombre de programmes informatiques de modélisation ont été développés, à partir des descriptions théoriques des phénomènes physiques, pour déterminer le coefficient de transmission atmosphérique. On trouve les modèles suivants: les programmes LOWTRAN et NAM (</w:t>
      </w:r>
      <w:r w:rsidRPr="0051531E">
        <w:rPr>
          <w:i/>
          <w:iCs/>
          <w:lang w:val="fr-CH"/>
        </w:rPr>
        <w:t>navy aerosol model</w:t>
      </w:r>
      <w:r w:rsidRPr="0051531E">
        <w:rPr>
          <w:lang w:val="fr-CH"/>
        </w:rPr>
        <w:t>, c'est-à-dire modèle d'aérosols marins); NOVAM et WKDAER dans les contextes maritimes, etc. NOVAM est inclus dans MODTRAN, FASCOD, etc.</w:t>
      </w:r>
    </w:p>
    <w:p w:rsidR="007236FF" w:rsidRPr="0051531E" w:rsidRDefault="007236FF" w:rsidP="001231AE">
      <w:pPr>
        <w:rPr>
          <w:lang w:val="fr-CH"/>
        </w:rPr>
      </w:pPr>
      <w:r w:rsidRPr="0051531E">
        <w:rPr>
          <w:lang w:val="fr-CH"/>
        </w:rPr>
        <w:t>LOWTRAN contient des modèles d'affaiblissement du signal optique par les aérosols. Il repose sur un modèle raie par raie et est distribué par ONTAR (Etats-Unis d'Amérique).</w:t>
      </w:r>
      <w:r w:rsidR="001231AE" w:rsidRPr="0051531E">
        <w:rPr>
          <w:lang w:val="fr-CH"/>
        </w:rPr>
        <w:t xml:space="preserve"> </w:t>
      </w:r>
    </w:p>
    <w:p w:rsidR="007236FF" w:rsidRPr="0051531E" w:rsidRDefault="007236FF" w:rsidP="007236FF">
      <w:pPr>
        <w:rPr>
          <w:lang w:val="fr-CH"/>
        </w:rPr>
      </w:pPr>
      <w:r w:rsidRPr="0051531E">
        <w:rPr>
          <w:lang w:val="fr-CH"/>
        </w:rPr>
        <w:t>Le logiciel NAM est plus particulièrement adapté aux contextes maritimes. Il repose sur le modèle de distribution des aérosols de GATHMAN.</w:t>
      </w:r>
    </w:p>
    <w:p w:rsidR="007236FF" w:rsidRPr="0051531E" w:rsidRDefault="007236FF" w:rsidP="007236FF">
      <w:pPr>
        <w:rPr>
          <w:lang w:val="fr-CH"/>
        </w:rPr>
      </w:pPr>
      <w:r w:rsidRPr="0051531E">
        <w:rPr>
          <w:lang w:val="fr-CH"/>
        </w:rPr>
        <w:t>NOVAM prend en compte les particules de poussière venant du continent.</w:t>
      </w:r>
    </w:p>
    <w:p w:rsidR="007236FF" w:rsidRPr="0051531E" w:rsidRDefault="007236FF" w:rsidP="007236FF">
      <w:pPr>
        <w:rPr>
          <w:lang w:val="fr-CH"/>
        </w:rPr>
      </w:pPr>
      <w:r w:rsidRPr="0051531E">
        <w:rPr>
          <w:lang w:val="fr-CH"/>
        </w:rPr>
        <w:t>WKDAER peut être paramétré pour un contexte spécifique.</w:t>
      </w:r>
    </w:p>
    <w:p w:rsidR="007236FF" w:rsidRPr="0051531E" w:rsidRDefault="007236FF" w:rsidP="007236FF">
      <w:pPr>
        <w:rPr>
          <w:lang w:val="fr-CH"/>
        </w:rPr>
      </w:pPr>
      <w:r w:rsidRPr="0051531E">
        <w:rPr>
          <w:lang w:val="fr-CH"/>
        </w:rPr>
        <w:t>FASCOD utilise un modèle raie par raie et prend en compte tous les paramètres de caractérisation des raies d'absorption (intensité, probabilité de transition, etc.). Il repose sur la base de données d'absorption moléculaire haute résolution HITRAN. Les paramètres de raie principaux incluent dans HITRAN sont: la fréquence de résonance, l'intensité des raies à 296 K, la probabilité d'une transition, la demi-largeur de raie à 296 K, et l'état moléculaire basse énergie ou fondamental.</w:t>
      </w:r>
    </w:p>
    <w:p w:rsidR="007236FF" w:rsidRPr="0051531E" w:rsidRDefault="007236FF" w:rsidP="007236FF">
      <w:pPr>
        <w:rPr>
          <w:lang w:val="fr-CH"/>
        </w:rPr>
      </w:pPr>
      <w:r w:rsidRPr="0051531E">
        <w:rPr>
          <w:lang w:val="fr-CH"/>
        </w:rPr>
        <w:t xml:space="preserve">Trois modèles liés ont été développés par le Laboratoire de géophysique de l'Air Force (AFGDL, </w:t>
      </w:r>
      <w:r w:rsidRPr="0051531E">
        <w:rPr>
          <w:i/>
          <w:iCs/>
          <w:lang w:val="fr-CH"/>
        </w:rPr>
        <w:t>Air Force Geophysics Laboratory</w:t>
      </w:r>
      <w:r w:rsidRPr="0051531E">
        <w:rPr>
          <w:lang w:val="fr-CH"/>
        </w:rPr>
        <w:t>) utilisant diverses résolutions spectrales:</w:t>
      </w:r>
    </w:p>
    <w:p w:rsidR="007236FF" w:rsidRPr="0051531E" w:rsidRDefault="007236FF" w:rsidP="007236FF">
      <w:pPr>
        <w:pStyle w:val="enumlev1"/>
        <w:rPr>
          <w:lang w:val="fr-CH"/>
        </w:rPr>
      </w:pPr>
      <w:r w:rsidRPr="0051531E">
        <w:rPr>
          <w:lang w:val="fr-CH"/>
        </w:rPr>
        <w:t>–</w:t>
      </w:r>
      <w:r w:rsidRPr="0051531E">
        <w:rPr>
          <w:lang w:val="fr-CH"/>
        </w:rPr>
        <w:tab/>
        <w:t>LOWTRAN 7 – Transmission à basse résolution – La résolution spectrale est de 20 cm</w:t>
      </w:r>
      <w:r w:rsidRPr="0051531E">
        <w:rPr>
          <w:vertAlign w:val="superscript"/>
          <w:lang w:val="fr-CH"/>
        </w:rPr>
        <w:t>−1</w:t>
      </w:r>
      <w:r w:rsidRPr="0051531E">
        <w:rPr>
          <w:lang w:val="fr-CH"/>
        </w:rPr>
        <w:t xml:space="preserve"> (équivalent à 600 GHz) par pas de 5 cm</w:t>
      </w:r>
      <w:r w:rsidRPr="0051531E">
        <w:rPr>
          <w:vertAlign w:val="superscript"/>
          <w:lang w:val="fr-CH"/>
        </w:rPr>
        <w:t>−1</w:t>
      </w:r>
      <w:r w:rsidRPr="0051531E">
        <w:rPr>
          <w:lang w:val="fr-CH"/>
        </w:rPr>
        <w:t>.</w:t>
      </w:r>
    </w:p>
    <w:p w:rsidR="007236FF" w:rsidRPr="0051531E" w:rsidRDefault="007236FF" w:rsidP="007236FF">
      <w:pPr>
        <w:pStyle w:val="enumlev1"/>
        <w:rPr>
          <w:lang w:val="fr-CH"/>
        </w:rPr>
      </w:pPr>
      <w:r w:rsidRPr="0051531E">
        <w:rPr>
          <w:lang w:val="fr-CH"/>
        </w:rPr>
        <w:t>–</w:t>
      </w:r>
      <w:r w:rsidRPr="0051531E">
        <w:rPr>
          <w:lang w:val="fr-CH"/>
        </w:rPr>
        <w:tab/>
        <w:t>MODTRAN 3 – Transmission à moyenne résolution – La résolution spectrale est de 2 cm</w:t>
      </w:r>
      <w:r w:rsidRPr="0051531E">
        <w:rPr>
          <w:vertAlign w:val="superscript"/>
          <w:lang w:val="fr-CH"/>
        </w:rPr>
        <w:t>−1</w:t>
      </w:r>
      <w:r w:rsidRPr="0051531E">
        <w:rPr>
          <w:lang w:val="fr-CH"/>
        </w:rPr>
        <w:t xml:space="preserve"> (équivalent à 60 GHz) par pas de 1 cm</w:t>
      </w:r>
      <w:r w:rsidRPr="0051531E">
        <w:rPr>
          <w:vertAlign w:val="superscript"/>
          <w:lang w:val="fr-CH"/>
        </w:rPr>
        <w:t>−1</w:t>
      </w:r>
      <w:r w:rsidRPr="0051531E">
        <w:rPr>
          <w:lang w:val="fr-CH"/>
        </w:rPr>
        <w:t>.</w:t>
      </w:r>
    </w:p>
    <w:p w:rsidR="007236FF" w:rsidRPr="0051531E" w:rsidRDefault="007236FF" w:rsidP="007236FF">
      <w:pPr>
        <w:pStyle w:val="enumlev1"/>
        <w:rPr>
          <w:lang w:val="fr-CH"/>
        </w:rPr>
      </w:pPr>
      <w:r w:rsidRPr="0051531E">
        <w:rPr>
          <w:lang w:val="fr-CH"/>
        </w:rPr>
        <w:t>–</w:t>
      </w:r>
      <w:r w:rsidRPr="0051531E">
        <w:rPr>
          <w:lang w:val="fr-CH"/>
        </w:rPr>
        <w:tab/>
        <w:t>HITRAN 2004 – Transmission à haute résolution – La résolution spectrale est de 0,001 cm</w:t>
      </w:r>
      <w:r w:rsidRPr="0051531E">
        <w:rPr>
          <w:vertAlign w:val="superscript"/>
          <w:lang w:val="fr-CH"/>
        </w:rPr>
        <w:t>−1</w:t>
      </w:r>
      <w:r w:rsidRPr="0051531E">
        <w:rPr>
          <w:lang w:val="fr-CH"/>
        </w:rPr>
        <w:t xml:space="preserve"> (équivalent à 30 MHz).</w:t>
      </w:r>
    </w:p>
    <w:p w:rsidR="007236FF" w:rsidRPr="0051531E" w:rsidRDefault="007236FF" w:rsidP="007236FF">
      <w:pPr>
        <w:rPr>
          <w:lang w:val="fr-CH"/>
        </w:rPr>
      </w:pPr>
      <w:r w:rsidRPr="0051531E">
        <w:rPr>
          <w:lang w:val="fr-CH"/>
        </w:rPr>
        <w:t>Les modèles contiennent tous des informations spectrales sur de nombreuses substances atmosphériques dont H</w:t>
      </w:r>
      <w:r w:rsidRPr="0051531E">
        <w:rPr>
          <w:vertAlign w:val="subscript"/>
          <w:lang w:val="fr-CH"/>
        </w:rPr>
        <w:t>2</w:t>
      </w:r>
      <w:r w:rsidRPr="0051531E">
        <w:rPr>
          <w:lang w:val="fr-CH"/>
        </w:rPr>
        <w:t>O, O</w:t>
      </w:r>
      <w:r w:rsidRPr="0051531E">
        <w:rPr>
          <w:vertAlign w:val="subscript"/>
          <w:lang w:val="fr-CH"/>
        </w:rPr>
        <w:t>3</w:t>
      </w:r>
      <w:r w:rsidRPr="0051531E">
        <w:rPr>
          <w:lang w:val="fr-CH"/>
        </w:rPr>
        <w:t>, N</w:t>
      </w:r>
      <w:r w:rsidRPr="0051531E">
        <w:rPr>
          <w:vertAlign w:val="subscript"/>
          <w:lang w:val="fr-CH"/>
        </w:rPr>
        <w:t>2</w:t>
      </w:r>
      <w:r w:rsidRPr="0051531E">
        <w:rPr>
          <w:lang w:val="fr-CH"/>
        </w:rPr>
        <w:t>O, CO, CH</w:t>
      </w:r>
      <w:r w:rsidRPr="0051531E">
        <w:rPr>
          <w:vertAlign w:val="subscript"/>
          <w:lang w:val="fr-CH"/>
        </w:rPr>
        <w:t>4</w:t>
      </w:r>
      <w:r w:rsidRPr="0051531E">
        <w:rPr>
          <w:lang w:val="fr-CH"/>
        </w:rPr>
        <w:t>, O</w:t>
      </w:r>
      <w:r w:rsidRPr="0051531E">
        <w:rPr>
          <w:vertAlign w:val="subscript"/>
          <w:lang w:val="fr-CH"/>
        </w:rPr>
        <w:t>2</w:t>
      </w:r>
      <w:r w:rsidRPr="0051531E">
        <w:rPr>
          <w:lang w:val="fr-CH"/>
        </w:rPr>
        <w:t>, NO, NO</w:t>
      </w:r>
      <w:r w:rsidRPr="0051531E">
        <w:rPr>
          <w:vertAlign w:val="subscript"/>
          <w:lang w:val="fr-CH"/>
        </w:rPr>
        <w:t>2</w:t>
      </w:r>
      <w:r w:rsidRPr="0051531E">
        <w:rPr>
          <w:lang w:val="fr-CH"/>
        </w:rPr>
        <w:t>, SO</w:t>
      </w:r>
      <w:r w:rsidRPr="0051531E">
        <w:rPr>
          <w:vertAlign w:val="subscript"/>
          <w:lang w:val="fr-CH"/>
        </w:rPr>
        <w:t>2</w:t>
      </w:r>
      <w:r w:rsidRPr="0051531E">
        <w:rPr>
          <w:lang w:val="fr-CH"/>
        </w:rPr>
        <w:t xml:space="preserve"> et HNO</w:t>
      </w:r>
      <w:r w:rsidRPr="0051531E">
        <w:rPr>
          <w:vertAlign w:val="subscript"/>
          <w:lang w:val="fr-CH"/>
        </w:rPr>
        <w:t>3</w:t>
      </w:r>
      <w:r w:rsidRPr="0051531E">
        <w:rPr>
          <w:lang w:val="fr-CH"/>
        </w:rPr>
        <w:t>. (HITRAN inclut des informations détaillées concernant plus de 1 000 000 raies d'absorption pour 37 molécules.) En outre, les trois modèles incluent le continuum H</w:t>
      </w:r>
      <w:r w:rsidRPr="0051531E">
        <w:rPr>
          <w:vertAlign w:val="subscript"/>
          <w:lang w:val="fr-CH"/>
        </w:rPr>
        <w:t>2</w:t>
      </w:r>
      <w:r w:rsidRPr="0051531E">
        <w:rPr>
          <w:lang w:val="fr-CH"/>
        </w:rPr>
        <w:t>O sur le spectre complet, le continuum N</w:t>
      </w:r>
      <w:r w:rsidRPr="0051531E">
        <w:rPr>
          <w:vertAlign w:val="subscript"/>
          <w:lang w:val="fr-CH"/>
        </w:rPr>
        <w:t xml:space="preserve">2 </w:t>
      </w:r>
      <w:r w:rsidRPr="0051531E">
        <w:rPr>
          <w:lang w:val="fr-CH"/>
        </w:rPr>
        <w:t>dans la région de 2 000 à 2 700 cm</w:t>
      </w:r>
      <w:r w:rsidRPr="0051531E">
        <w:rPr>
          <w:vertAlign w:val="superscript"/>
          <w:lang w:val="fr-CH"/>
        </w:rPr>
        <w:t>−1</w:t>
      </w:r>
      <w:r w:rsidRPr="0051531E">
        <w:rPr>
          <w:lang w:val="fr-CH"/>
        </w:rPr>
        <w:t>, la diffusion moléculaire, ainsi que l'absorption et la diffusion par les aérosols, par le brouillard, par la pluie et par les nuages.</w:t>
      </w:r>
    </w:p>
    <w:p w:rsidR="007236FF" w:rsidRPr="0051531E" w:rsidRDefault="007236FF" w:rsidP="007236FF">
      <w:pPr>
        <w:rPr>
          <w:lang w:val="fr-CH"/>
        </w:rPr>
      </w:pPr>
    </w:p>
    <w:p w:rsidR="00C51BB3" w:rsidRPr="0051531E" w:rsidRDefault="00C51BB3" w:rsidP="007236FF">
      <w:pPr>
        <w:rPr>
          <w:lang w:val="fr-CH"/>
        </w:rPr>
      </w:pPr>
    </w:p>
    <w:p w:rsidR="007236FF" w:rsidRPr="0051531E" w:rsidRDefault="007236FF" w:rsidP="004A4E20">
      <w:pPr>
        <w:pStyle w:val="Line"/>
        <w:rPr>
          <w:lang w:val="fr-CH"/>
        </w:rPr>
      </w:pPr>
    </w:p>
    <w:p w:rsidR="007236FF" w:rsidRPr="0051531E" w:rsidRDefault="007236FF" w:rsidP="007236FF">
      <w:pPr>
        <w:rPr>
          <w:lang w:val="fr-CH"/>
        </w:rPr>
      </w:pPr>
    </w:p>
    <w:sectPr w:rsidR="007236FF" w:rsidRPr="0051531E" w:rsidSect="00F71129">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6FF" w:rsidRDefault="007236FF">
      <w:r>
        <w:separator/>
      </w:r>
    </w:p>
  </w:endnote>
  <w:endnote w:type="continuationSeparator" w:id="0">
    <w:p w:rsidR="007236FF" w:rsidRDefault="00723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6FF" w:rsidRDefault="007236FF">
      <w:r>
        <w:separator/>
      </w:r>
    </w:p>
  </w:footnote>
  <w:footnote w:type="continuationSeparator" w:id="0">
    <w:p w:rsidR="007236FF" w:rsidRDefault="007236FF">
      <w:r>
        <w:continuationSeparator/>
      </w:r>
    </w:p>
  </w:footnote>
  <w:footnote w:id="1">
    <w:p w:rsidR="004A4E20" w:rsidRPr="002B3520" w:rsidRDefault="004A4E20" w:rsidP="004A4E20">
      <w:pPr>
        <w:pStyle w:val="FootnoteText"/>
      </w:pPr>
      <w:r w:rsidRPr="002B3520">
        <w:rPr>
          <w:rStyle w:val="FootnoteReference"/>
        </w:rPr>
        <w:t>*</w:t>
      </w:r>
      <w:r w:rsidRPr="002B3520">
        <w:t xml:space="preserve"> </w:t>
      </w:r>
      <w:r>
        <w:tab/>
        <w:t>La présente</w:t>
      </w:r>
      <w:r w:rsidRPr="002B3520">
        <w:t xml:space="preserve"> Recommandation devrait être portée à l'attention des Commissions d'études 1 et </w:t>
      </w:r>
      <w:r>
        <w:t>5</w:t>
      </w:r>
      <w:r w:rsidRPr="002B3520">
        <w:t xml:space="preserve"> des </w:t>
      </w:r>
      <w:r>
        <w:t>radiocommunications</w:t>
      </w:r>
      <w:r w:rsidRPr="002B3520">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6FF" w:rsidRDefault="007236F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6FF" w:rsidRDefault="007236FF" w:rsidP="00C668C8">
    <w:pPr>
      <w:pStyle w:val="Header"/>
      <w:ind w:right="360" w:firstLine="360"/>
    </w:pPr>
    <w:r>
      <w:rPr>
        <w:noProof/>
        <w:lang w:val="en-US" w:eastAsia="zh-CN"/>
      </w:rPr>
      <w:drawing>
        <wp:anchor distT="0" distB="0" distL="114300" distR="114300" simplePos="0" relativeHeight="251659264" behindDoc="1" locked="0" layoutInCell="1" allowOverlap="1" wp14:anchorId="6CB58C17" wp14:editId="0BCC42D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6FF" w:rsidRPr="00837CB5" w:rsidRDefault="007236F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32AE0">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32AE0">
      <w:rPr>
        <w:b/>
        <w:bCs/>
        <w:noProof/>
      </w:rPr>
      <w:t>UIT-R  P.1817-1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6FF" w:rsidRDefault="007236FF">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663C1">
      <w:rPr>
        <w:rStyle w:val="PageNumber"/>
        <w:b/>
        <w:bCs/>
        <w:noProof/>
        <w:lang w:val="en-US"/>
      </w:rPr>
      <w:t>16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236FF" w:rsidRPr="007236F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663C1">
      <w:rPr>
        <w:b/>
        <w:bCs/>
        <w:noProof/>
      </w:rPr>
      <w:t>UIT-R  P.1817-1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7663C1">
      <w:fldChar w:fldCharType="begin"/>
    </w:r>
    <w:r w:rsidR="007663C1">
      <w:instrText xml:space="preserve"> DOCPROPERTY "Header" \* MERGEFORMAT </w:instrText>
    </w:r>
    <w:r w:rsidR="007663C1">
      <w:fldChar w:fldCharType="separate"/>
    </w:r>
    <w:r w:rsidR="007236FF" w:rsidRPr="007236FF">
      <w:rPr>
        <w:b/>
        <w:bCs/>
      </w:rPr>
      <w:t xml:space="preserve">Rec. </w:t>
    </w:r>
    <w:r w:rsidR="007663C1">
      <w:rPr>
        <w:b/>
        <w:bCs/>
      </w:rPr>
      <w:fldChar w:fldCharType="end"/>
    </w:r>
    <w:r>
      <w:rPr>
        <w:b/>
        <w:bCs/>
      </w:rPr>
      <w:t xml:space="preserve"> </w:t>
    </w:r>
    <w:r>
      <w:rPr>
        <w:b/>
        <w:bCs/>
      </w:rPr>
      <w:fldChar w:fldCharType="begin"/>
    </w:r>
    <w:r>
      <w:rPr>
        <w:b/>
        <w:bCs/>
      </w:rPr>
      <w:instrText>styleref href</w:instrText>
    </w:r>
    <w:r>
      <w:rPr>
        <w:b/>
        <w:bCs/>
      </w:rPr>
      <w:fldChar w:fldCharType="separate"/>
    </w:r>
    <w:r w:rsidR="007663C1">
      <w:rPr>
        <w:b/>
        <w:bCs/>
        <w:noProof/>
      </w:rPr>
      <w:t>UIT-R  P.1817-1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663C1">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6FF"/>
    <w:rsid w:val="00050036"/>
    <w:rsid w:val="001231AE"/>
    <w:rsid w:val="00217EBF"/>
    <w:rsid w:val="00242AEE"/>
    <w:rsid w:val="002D76C4"/>
    <w:rsid w:val="004A4E20"/>
    <w:rsid w:val="0051531E"/>
    <w:rsid w:val="0052529D"/>
    <w:rsid w:val="00587DDB"/>
    <w:rsid w:val="005C20B7"/>
    <w:rsid w:val="00607D68"/>
    <w:rsid w:val="007236FF"/>
    <w:rsid w:val="007468DA"/>
    <w:rsid w:val="007663C1"/>
    <w:rsid w:val="008066A3"/>
    <w:rsid w:val="008708C1"/>
    <w:rsid w:val="009E00A8"/>
    <w:rsid w:val="00A6617B"/>
    <w:rsid w:val="00AB0DC8"/>
    <w:rsid w:val="00B44E24"/>
    <w:rsid w:val="00C51BB3"/>
    <w:rsid w:val="00D32AE0"/>
    <w:rsid w:val="00DF4176"/>
    <w:rsid w:val="00F711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236FF"/>
    <w:rPr>
      <w:color w:val="0000FF"/>
      <w:u w:val="single"/>
    </w:rPr>
  </w:style>
  <w:style w:type="character" w:styleId="Strong">
    <w:name w:val="Strong"/>
    <w:basedOn w:val="DefaultParagraphFont"/>
    <w:qFormat/>
    <w:rsid w:val="008708C1"/>
    <w:rPr>
      <w:b/>
      <w:bCs/>
    </w:rPr>
  </w:style>
  <w:style w:type="character" w:customStyle="1" w:styleId="HeaderChar">
    <w:name w:val="Header Char"/>
    <w:link w:val="Header"/>
    <w:uiPriority w:val="99"/>
    <w:rsid w:val="007236F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236FF"/>
    <w:rPr>
      <w:color w:val="0000FF"/>
      <w:u w:val="single"/>
    </w:rPr>
  </w:style>
  <w:style w:type="character" w:styleId="Strong">
    <w:name w:val="Strong"/>
    <w:basedOn w:val="DefaultParagraphFont"/>
    <w:qFormat/>
    <w:rsid w:val="008708C1"/>
    <w:rPr>
      <w:b/>
      <w:bCs/>
    </w:rPr>
  </w:style>
  <w:style w:type="character" w:customStyle="1" w:styleId="HeaderChar">
    <w:name w:val="Header Char"/>
    <w:link w:val="Header"/>
    <w:uiPriority w:val="99"/>
    <w:rsid w:val="007236F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emf"/><Relationship Id="rId63" Type="http://schemas.openxmlformats.org/officeDocument/2006/relationships/image" Target="media/image27.wmf"/><Relationship Id="rId68" Type="http://schemas.openxmlformats.org/officeDocument/2006/relationships/header" Target="header6.xml"/><Relationship Id="rId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1.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emf"/><Relationship Id="rId67" Type="http://schemas.openxmlformats.org/officeDocument/2006/relationships/header" Target="header5.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TotalTime>
  <Pages>19</Pages>
  <Words>4469</Words>
  <Characters>25493</Characters>
  <Application>Microsoft Office Word</Application>
  <DocSecurity>0</DocSecurity>
  <Lines>708</Lines>
  <Paragraphs>56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13</cp:revision>
  <cp:lastPrinted>2005-02-10T15:54:00Z</cp:lastPrinted>
  <dcterms:created xsi:type="dcterms:W3CDTF">2012-09-13T09:07:00Z</dcterms:created>
  <dcterms:modified xsi:type="dcterms:W3CDTF">2012-09-14T12:45:00Z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