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94AC5" w14:textId="77777777" w:rsidR="0000418C" w:rsidRPr="00C260AD" w:rsidRDefault="0000418C" w:rsidP="001527F3"/>
    <w:p w14:paraId="329629A8" w14:textId="77777777" w:rsidR="0000418C" w:rsidRPr="00C260AD" w:rsidRDefault="0000418C" w:rsidP="001527F3"/>
    <w:p w14:paraId="45C8CD73" w14:textId="77777777" w:rsidR="0000418C" w:rsidRPr="00C260AD" w:rsidRDefault="0000418C" w:rsidP="001527F3"/>
    <w:p w14:paraId="437E9031" w14:textId="77777777" w:rsidR="0000418C" w:rsidRPr="00C260AD" w:rsidRDefault="0000418C" w:rsidP="001527F3"/>
    <w:p w14:paraId="696E725A" w14:textId="77777777" w:rsidR="0000418C" w:rsidRPr="00C260AD" w:rsidRDefault="0000418C" w:rsidP="001527F3"/>
    <w:p w14:paraId="4D25DCA2" w14:textId="77777777" w:rsidR="0000418C" w:rsidRPr="00C260AD" w:rsidRDefault="0000418C" w:rsidP="001527F3">
      <w:bookmarkStart w:id="0" w:name="_GoBack"/>
      <w:bookmarkEnd w:id="0"/>
    </w:p>
    <w:p w14:paraId="408E08F2" w14:textId="77777777" w:rsidR="0000418C" w:rsidRPr="00C260AD" w:rsidRDefault="0000418C" w:rsidP="001527F3"/>
    <w:p w14:paraId="23F9FA71" w14:textId="77777777" w:rsidR="0000418C" w:rsidRPr="00C260AD" w:rsidRDefault="0000418C" w:rsidP="001527F3"/>
    <w:p w14:paraId="48098250" w14:textId="77777777" w:rsidR="0000418C" w:rsidRPr="00C260AD" w:rsidRDefault="0000418C" w:rsidP="001527F3"/>
    <w:p w14:paraId="2FD918EC" w14:textId="77777777" w:rsidR="0000418C" w:rsidRPr="00C260AD" w:rsidRDefault="0000418C" w:rsidP="001527F3"/>
    <w:p w14:paraId="369DD1C1" w14:textId="77777777" w:rsidR="0000418C" w:rsidRPr="00C260AD" w:rsidRDefault="0000418C" w:rsidP="001527F3"/>
    <w:p w14:paraId="5F849F8B" w14:textId="77777777" w:rsidR="0000418C" w:rsidRPr="00C260AD" w:rsidRDefault="0000418C" w:rsidP="001527F3"/>
    <w:tbl>
      <w:tblPr>
        <w:tblW w:w="10089" w:type="dxa"/>
        <w:tblLook w:val="01E0" w:firstRow="1" w:lastRow="1" w:firstColumn="1" w:lastColumn="1" w:noHBand="0" w:noVBand="0"/>
      </w:tblPr>
      <w:tblGrid>
        <w:gridCol w:w="10089"/>
      </w:tblGrid>
      <w:tr w:rsidR="0000418C" w:rsidRPr="00C260AD" w14:paraId="03766F14" w14:textId="77777777" w:rsidTr="001F1BA8">
        <w:tc>
          <w:tcPr>
            <w:tcW w:w="10089" w:type="dxa"/>
          </w:tcPr>
          <w:p w14:paraId="7DE98DCE" w14:textId="77777777" w:rsidR="0000418C" w:rsidRPr="00C260AD" w:rsidRDefault="0000418C" w:rsidP="001527F3">
            <w:pPr>
              <w:spacing w:before="380"/>
              <w:jc w:val="right"/>
              <w:rPr>
                <w:rFonts w:ascii="Tahoma" w:hAnsi="Tahoma" w:cs="Tahoma"/>
                <w:b/>
                <w:bCs/>
                <w:iCs/>
                <w:color w:val="243285"/>
                <w:sz w:val="32"/>
                <w:szCs w:val="32"/>
              </w:rPr>
            </w:pPr>
          </w:p>
          <w:p w14:paraId="03F210C6" w14:textId="78DFFC8B" w:rsidR="0000418C" w:rsidRPr="00C260AD" w:rsidRDefault="0000418C" w:rsidP="001527F3">
            <w:pPr>
              <w:spacing w:before="380"/>
              <w:jc w:val="right"/>
              <w:rPr>
                <w:rFonts w:ascii="Tahoma" w:hAnsi="Tahoma" w:cs="Tahoma"/>
                <w:b/>
                <w:bCs/>
                <w:iCs/>
                <w:color w:val="243285"/>
                <w:sz w:val="36"/>
                <w:szCs w:val="36"/>
              </w:rPr>
            </w:pPr>
            <w:proofErr w:type="gramStart"/>
            <w:r w:rsidRPr="00C260AD">
              <w:rPr>
                <w:rFonts w:ascii="Tahoma" w:hAnsi="Tahoma" w:cs="Tahoma"/>
                <w:b/>
                <w:bCs/>
                <w:iCs/>
                <w:color w:val="243285"/>
                <w:sz w:val="36"/>
                <w:szCs w:val="36"/>
              </w:rPr>
              <w:t>Recommandation  UIT</w:t>
            </w:r>
            <w:proofErr w:type="gramEnd"/>
            <w:r w:rsidRPr="00C260AD">
              <w:rPr>
                <w:rFonts w:ascii="Tahoma" w:hAnsi="Tahoma" w:cs="Tahoma"/>
                <w:b/>
                <w:bCs/>
                <w:iCs/>
                <w:color w:val="243285"/>
                <w:sz w:val="36"/>
                <w:szCs w:val="36"/>
              </w:rPr>
              <w:t>-R  RA.</w:t>
            </w:r>
            <w:r w:rsidR="005C3867" w:rsidRPr="00C260AD">
              <w:rPr>
                <w:rFonts w:ascii="Tahoma" w:hAnsi="Tahoma" w:cs="Tahoma"/>
                <w:b/>
                <w:bCs/>
                <w:iCs/>
                <w:color w:val="243285"/>
                <w:sz w:val="36"/>
                <w:szCs w:val="36"/>
              </w:rPr>
              <w:t>1031</w:t>
            </w:r>
            <w:r w:rsidR="00057D41" w:rsidRPr="00C260AD">
              <w:rPr>
                <w:rFonts w:ascii="Tahoma" w:hAnsi="Tahoma" w:cs="Tahoma"/>
                <w:b/>
                <w:bCs/>
                <w:iCs/>
                <w:color w:val="243285"/>
                <w:sz w:val="36"/>
                <w:szCs w:val="36"/>
              </w:rPr>
              <w:t>-</w:t>
            </w:r>
            <w:r w:rsidR="005C3867" w:rsidRPr="00C260AD">
              <w:rPr>
                <w:rFonts w:ascii="Tahoma" w:hAnsi="Tahoma" w:cs="Tahoma"/>
                <w:b/>
                <w:bCs/>
                <w:iCs/>
                <w:color w:val="243285"/>
                <w:sz w:val="36"/>
                <w:szCs w:val="36"/>
              </w:rPr>
              <w:t>3</w:t>
            </w:r>
          </w:p>
          <w:p w14:paraId="787A35FF" w14:textId="3CDF002B" w:rsidR="0000418C" w:rsidRPr="00C260AD" w:rsidRDefault="00057D41" w:rsidP="001527F3">
            <w:pPr>
              <w:spacing w:before="80"/>
              <w:jc w:val="right"/>
              <w:rPr>
                <w:rFonts w:ascii="Tahoma" w:hAnsi="Tahoma" w:cs="Tahoma"/>
                <w:b/>
                <w:bCs/>
                <w:iCs/>
                <w:color w:val="243285"/>
                <w:szCs w:val="24"/>
              </w:rPr>
            </w:pPr>
            <w:r w:rsidRPr="00C260AD">
              <w:rPr>
                <w:rFonts w:ascii="Tahoma" w:hAnsi="Tahoma" w:cs="Tahoma"/>
                <w:b/>
                <w:bCs/>
                <w:iCs/>
                <w:color w:val="243285"/>
                <w:szCs w:val="24"/>
              </w:rPr>
              <w:t>(12</w:t>
            </w:r>
            <w:r w:rsidR="0000418C" w:rsidRPr="00C260AD">
              <w:rPr>
                <w:rFonts w:ascii="Tahoma" w:hAnsi="Tahoma" w:cs="Tahoma"/>
                <w:b/>
                <w:bCs/>
                <w:iCs/>
                <w:color w:val="243285"/>
                <w:szCs w:val="24"/>
              </w:rPr>
              <w:t>/</w:t>
            </w:r>
            <w:r w:rsidRPr="00C260AD">
              <w:rPr>
                <w:rFonts w:ascii="Tahoma" w:hAnsi="Tahoma" w:cs="Tahoma"/>
                <w:b/>
                <w:bCs/>
                <w:iCs/>
                <w:color w:val="243285"/>
                <w:szCs w:val="24"/>
              </w:rPr>
              <w:t>20</w:t>
            </w:r>
            <w:r w:rsidR="005C3867" w:rsidRPr="00C260AD">
              <w:rPr>
                <w:rFonts w:ascii="Tahoma" w:hAnsi="Tahoma" w:cs="Tahoma"/>
                <w:b/>
                <w:bCs/>
                <w:iCs/>
                <w:color w:val="243285"/>
                <w:szCs w:val="24"/>
              </w:rPr>
              <w:t>21</w:t>
            </w:r>
            <w:r w:rsidR="0000418C" w:rsidRPr="00C260AD">
              <w:rPr>
                <w:rFonts w:ascii="Tahoma" w:hAnsi="Tahoma" w:cs="Tahoma"/>
                <w:b/>
                <w:bCs/>
                <w:iCs/>
                <w:color w:val="243285"/>
                <w:szCs w:val="24"/>
              </w:rPr>
              <w:t>)</w:t>
            </w:r>
          </w:p>
        </w:tc>
      </w:tr>
      <w:tr w:rsidR="0000418C" w:rsidRPr="00C260AD" w14:paraId="2BBF9833" w14:textId="77777777" w:rsidTr="001F1BA8">
        <w:tc>
          <w:tcPr>
            <w:tcW w:w="10089" w:type="dxa"/>
          </w:tcPr>
          <w:p w14:paraId="718FF40E" w14:textId="77777777" w:rsidR="0000418C" w:rsidRPr="00C260AD" w:rsidRDefault="0000418C" w:rsidP="001527F3">
            <w:pPr>
              <w:spacing w:before="80"/>
              <w:jc w:val="right"/>
              <w:rPr>
                <w:rFonts w:ascii="Tahoma" w:hAnsi="Tahoma" w:cs="Tahoma"/>
                <w:b/>
                <w:bCs/>
                <w:iCs/>
                <w:color w:val="243285"/>
                <w:sz w:val="44"/>
                <w:szCs w:val="44"/>
              </w:rPr>
            </w:pPr>
          </w:p>
          <w:p w14:paraId="3A92BA38" w14:textId="7CCF8C61" w:rsidR="0000418C" w:rsidRPr="00C260AD" w:rsidRDefault="00A76C2A" w:rsidP="001527F3">
            <w:pPr>
              <w:spacing w:before="80"/>
              <w:jc w:val="right"/>
              <w:rPr>
                <w:rFonts w:ascii="Tahoma" w:hAnsi="Tahoma" w:cs="Tahoma"/>
                <w:b/>
                <w:bCs/>
                <w:iCs/>
                <w:color w:val="243285"/>
                <w:sz w:val="44"/>
                <w:szCs w:val="44"/>
              </w:rPr>
            </w:pPr>
            <w:r w:rsidRPr="00A76C2A">
              <w:rPr>
                <w:rFonts w:ascii="Tahoma" w:hAnsi="Tahoma" w:cs="Tahoma"/>
                <w:b/>
                <w:bCs/>
                <w:iCs/>
                <w:color w:val="243285"/>
                <w:sz w:val="44"/>
                <w:szCs w:val="44"/>
              </w:rPr>
              <w:t>Protection du service de radioastronomie dans les bandes</w:t>
            </w:r>
            <w:r>
              <w:rPr>
                <w:rFonts w:ascii="Tahoma" w:hAnsi="Tahoma" w:cs="Tahoma"/>
                <w:b/>
                <w:bCs/>
                <w:iCs/>
                <w:color w:val="243285"/>
                <w:sz w:val="44"/>
                <w:szCs w:val="44"/>
              </w:rPr>
              <w:t xml:space="preserve"> </w:t>
            </w:r>
            <w:r w:rsidRPr="00A76C2A">
              <w:rPr>
                <w:rFonts w:ascii="Tahoma" w:hAnsi="Tahoma" w:cs="Tahoma"/>
                <w:b/>
                <w:bCs/>
                <w:iCs/>
                <w:color w:val="243285"/>
                <w:sz w:val="44"/>
                <w:szCs w:val="44"/>
              </w:rPr>
              <w:t>de fréquences utilisées en partage avec des services actifs</w:t>
            </w:r>
          </w:p>
          <w:p w14:paraId="29FEB702" w14:textId="77777777" w:rsidR="0000418C" w:rsidRPr="00C260AD" w:rsidRDefault="0000418C" w:rsidP="001527F3">
            <w:pPr>
              <w:spacing w:before="80"/>
              <w:jc w:val="right"/>
              <w:rPr>
                <w:rFonts w:ascii="Tahoma" w:hAnsi="Tahoma" w:cs="Tahoma"/>
                <w:b/>
                <w:bCs/>
                <w:iCs/>
                <w:color w:val="243285"/>
                <w:sz w:val="44"/>
                <w:szCs w:val="44"/>
              </w:rPr>
            </w:pPr>
          </w:p>
        </w:tc>
      </w:tr>
      <w:tr w:rsidR="0000418C" w:rsidRPr="00C260AD" w14:paraId="0802CC1A" w14:textId="77777777" w:rsidTr="001F1BA8">
        <w:tc>
          <w:tcPr>
            <w:tcW w:w="10089" w:type="dxa"/>
          </w:tcPr>
          <w:p w14:paraId="703EB983" w14:textId="0FF45692" w:rsidR="0000418C" w:rsidRPr="00C260AD" w:rsidRDefault="0000418C" w:rsidP="001527F3">
            <w:pPr>
              <w:spacing w:before="80"/>
              <w:ind w:right="640"/>
              <w:rPr>
                <w:rFonts w:ascii="Tahoma" w:hAnsi="Tahoma" w:cs="Tahoma"/>
                <w:b/>
                <w:bCs/>
                <w:iCs/>
                <w:color w:val="243285"/>
                <w:sz w:val="32"/>
                <w:szCs w:val="32"/>
              </w:rPr>
            </w:pPr>
          </w:p>
          <w:p w14:paraId="315FC064" w14:textId="77777777" w:rsidR="0000418C" w:rsidRPr="00C260AD" w:rsidRDefault="0000418C" w:rsidP="001527F3">
            <w:pPr>
              <w:spacing w:before="80"/>
              <w:ind w:right="640"/>
              <w:rPr>
                <w:rFonts w:ascii="Tahoma" w:hAnsi="Tahoma" w:cs="Tahoma"/>
                <w:b/>
                <w:bCs/>
                <w:iCs/>
                <w:color w:val="243285"/>
                <w:sz w:val="32"/>
                <w:szCs w:val="32"/>
              </w:rPr>
            </w:pPr>
          </w:p>
          <w:p w14:paraId="41648216" w14:textId="77777777" w:rsidR="0000418C" w:rsidRPr="00C260AD" w:rsidRDefault="0000418C" w:rsidP="001527F3">
            <w:pPr>
              <w:spacing w:before="80" w:after="180"/>
              <w:ind w:right="720"/>
              <w:rPr>
                <w:rFonts w:ascii="Tahoma" w:hAnsi="Tahoma" w:cs="Tahoma"/>
                <w:b/>
                <w:bCs/>
                <w:iCs/>
                <w:color w:val="243285"/>
                <w:sz w:val="36"/>
                <w:szCs w:val="36"/>
              </w:rPr>
            </w:pPr>
          </w:p>
          <w:p w14:paraId="47DF63F4" w14:textId="77777777" w:rsidR="0000418C" w:rsidRPr="00C260AD" w:rsidRDefault="0000418C" w:rsidP="001527F3">
            <w:pPr>
              <w:spacing w:before="80" w:after="180"/>
              <w:jc w:val="right"/>
              <w:rPr>
                <w:rFonts w:ascii="Tahoma" w:hAnsi="Tahoma" w:cs="Tahoma"/>
                <w:b/>
                <w:bCs/>
                <w:iCs/>
                <w:color w:val="243285"/>
                <w:sz w:val="36"/>
                <w:szCs w:val="36"/>
              </w:rPr>
            </w:pPr>
            <w:r w:rsidRPr="00C260AD">
              <w:rPr>
                <w:rFonts w:ascii="Tahoma" w:hAnsi="Tahoma" w:cs="Tahoma"/>
                <w:b/>
                <w:bCs/>
                <w:iCs/>
                <w:color w:val="243285"/>
                <w:sz w:val="36"/>
                <w:szCs w:val="36"/>
              </w:rPr>
              <w:t>Série RA</w:t>
            </w:r>
          </w:p>
          <w:p w14:paraId="600A58F0" w14:textId="77777777" w:rsidR="0000418C" w:rsidRPr="00C260AD" w:rsidRDefault="0000418C" w:rsidP="001527F3">
            <w:pPr>
              <w:spacing w:before="80"/>
              <w:jc w:val="right"/>
              <w:rPr>
                <w:rFonts w:ascii="Tahoma" w:hAnsi="Tahoma" w:cs="Tahoma"/>
                <w:b/>
                <w:bCs/>
                <w:iCs/>
                <w:color w:val="243285"/>
                <w:sz w:val="36"/>
                <w:szCs w:val="36"/>
              </w:rPr>
            </w:pPr>
            <w:r w:rsidRPr="00C260AD">
              <w:rPr>
                <w:rFonts w:ascii="Tahoma" w:hAnsi="Tahoma" w:cs="Tahoma"/>
                <w:b/>
                <w:bCs/>
                <w:iCs/>
                <w:color w:val="243285"/>
                <w:sz w:val="36"/>
                <w:szCs w:val="36"/>
              </w:rPr>
              <w:t>Radio astronomie</w:t>
            </w:r>
          </w:p>
        </w:tc>
      </w:tr>
    </w:tbl>
    <w:p w14:paraId="6E5CBDE9" w14:textId="77777777" w:rsidR="0000418C" w:rsidRPr="00C260AD" w:rsidRDefault="0000418C" w:rsidP="001527F3">
      <w:pPr>
        <w:spacing w:before="80"/>
        <w:rPr>
          <w:i/>
          <w:sz w:val="22"/>
        </w:rPr>
      </w:pPr>
    </w:p>
    <w:p w14:paraId="76EE83E2" w14:textId="77777777" w:rsidR="0000418C" w:rsidRPr="00C260AD" w:rsidRDefault="0000418C" w:rsidP="001527F3">
      <w:pPr>
        <w:spacing w:before="80"/>
        <w:rPr>
          <w:i/>
          <w:sz w:val="22"/>
        </w:rPr>
      </w:pPr>
    </w:p>
    <w:p w14:paraId="37467933" w14:textId="77777777" w:rsidR="0000418C" w:rsidRPr="00C260AD" w:rsidRDefault="0000418C" w:rsidP="001527F3">
      <w:pPr>
        <w:spacing w:before="80"/>
        <w:rPr>
          <w:i/>
          <w:sz w:val="22"/>
        </w:rPr>
      </w:pPr>
    </w:p>
    <w:p w14:paraId="25A47C5C" w14:textId="77777777" w:rsidR="0000418C" w:rsidRPr="00C260AD" w:rsidRDefault="0000418C" w:rsidP="001527F3">
      <w:pPr>
        <w:spacing w:before="80"/>
        <w:rPr>
          <w:i/>
          <w:sz w:val="22"/>
        </w:rPr>
      </w:pPr>
    </w:p>
    <w:p w14:paraId="32439F4D" w14:textId="77777777" w:rsidR="0000418C" w:rsidRPr="00C260AD" w:rsidRDefault="0000418C" w:rsidP="001527F3">
      <w:pPr>
        <w:spacing w:before="80"/>
        <w:rPr>
          <w:i/>
          <w:sz w:val="22"/>
        </w:rPr>
      </w:pPr>
    </w:p>
    <w:p w14:paraId="67432A8E" w14:textId="77777777" w:rsidR="0000418C" w:rsidRPr="00C260AD" w:rsidRDefault="0000418C" w:rsidP="001527F3">
      <w:pPr>
        <w:spacing w:before="80"/>
        <w:rPr>
          <w:i/>
          <w:sz w:val="22"/>
        </w:rPr>
      </w:pPr>
    </w:p>
    <w:p w14:paraId="16C484C5" w14:textId="77777777" w:rsidR="0000418C" w:rsidRPr="00C260AD" w:rsidRDefault="0000418C" w:rsidP="001527F3">
      <w:pPr>
        <w:pStyle w:val="Equation"/>
        <w:tabs>
          <w:tab w:val="clear" w:pos="4820"/>
          <w:tab w:val="clear" w:pos="9639"/>
          <w:tab w:val="left" w:pos="1191"/>
          <w:tab w:val="left" w:pos="1588"/>
          <w:tab w:val="left" w:pos="1985"/>
        </w:tabs>
        <w:rPr>
          <w:rFonts w:ascii="Palatino Linotype" w:hAnsi="Palatino Linotype"/>
        </w:rPr>
        <w:sectPr w:rsidR="0000418C" w:rsidRPr="00C260AD" w:rsidSect="00B230E4">
          <w:headerReference w:type="even" r:id="rId7"/>
          <w:headerReference w:type="default" r:id="rId8"/>
          <w:pgSz w:w="11907" w:h="16840" w:code="9"/>
          <w:pgMar w:top="1089" w:right="1089" w:bottom="284" w:left="1089" w:header="567" w:footer="284" w:gutter="0"/>
          <w:pgNumType w:start="1"/>
          <w:cols w:space="720"/>
        </w:sectPr>
      </w:pPr>
    </w:p>
    <w:p w14:paraId="0C2644B9" w14:textId="77777777" w:rsidR="0000418C" w:rsidRPr="00C260AD" w:rsidRDefault="0000418C" w:rsidP="001527F3">
      <w:pPr>
        <w:pStyle w:val="Sectiontitle"/>
      </w:pPr>
      <w:bookmarkStart w:id="1" w:name="c2tope"/>
      <w:bookmarkEnd w:id="1"/>
      <w:r w:rsidRPr="00C260AD">
        <w:lastRenderedPageBreak/>
        <w:t>Avant-propos</w:t>
      </w:r>
    </w:p>
    <w:p w14:paraId="332727CD" w14:textId="7A566A86" w:rsidR="0000418C" w:rsidRPr="00C260AD" w:rsidRDefault="0000418C" w:rsidP="001527F3">
      <w:pPr>
        <w:spacing w:before="240"/>
        <w:rPr>
          <w:sz w:val="20"/>
        </w:rPr>
      </w:pPr>
      <w:r w:rsidRPr="00C260AD">
        <w:rPr>
          <w:sz w:val="20"/>
        </w:rPr>
        <w:t>Le rôle du Secteur des radiocommunications est d</w:t>
      </w:r>
      <w:r w:rsidR="00502DCF" w:rsidRPr="00C260AD">
        <w:rPr>
          <w:sz w:val="20"/>
        </w:rPr>
        <w:t>'</w:t>
      </w:r>
      <w:r w:rsidRPr="00C260AD">
        <w:rPr>
          <w:sz w:val="20"/>
        </w:rPr>
        <w:t>assurer l</w:t>
      </w:r>
      <w:r w:rsidR="00502DCF" w:rsidRPr="00C260AD">
        <w:rPr>
          <w:sz w:val="20"/>
        </w:rPr>
        <w:t>'</w:t>
      </w:r>
      <w:r w:rsidRPr="00C260AD">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002EBEF7" w14:textId="4B9FF7F4" w:rsidR="0000418C" w:rsidRPr="00C260AD" w:rsidRDefault="0000418C" w:rsidP="001527F3">
      <w:pPr>
        <w:rPr>
          <w:sz w:val="20"/>
        </w:rPr>
      </w:pPr>
      <w:r w:rsidRPr="00C260AD">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502DCF" w:rsidRPr="00C260AD">
        <w:rPr>
          <w:sz w:val="20"/>
        </w:rPr>
        <w:t>'</w:t>
      </w:r>
      <w:r w:rsidRPr="00C260AD">
        <w:rPr>
          <w:sz w:val="20"/>
        </w:rPr>
        <w:t>études.</w:t>
      </w:r>
    </w:p>
    <w:p w14:paraId="1C60B4E4" w14:textId="77777777" w:rsidR="0000418C" w:rsidRPr="00C260AD" w:rsidRDefault="0000418C" w:rsidP="00502DCF">
      <w:pPr>
        <w:pStyle w:val="Sectiontitle"/>
      </w:pPr>
      <w:r w:rsidRPr="00C260AD">
        <w:t>Politique en matière de droits de propriété intellectuelle (IPR)</w:t>
      </w:r>
    </w:p>
    <w:p w14:paraId="45085A48" w14:textId="5108A63A" w:rsidR="0000418C" w:rsidRPr="00C260AD" w:rsidRDefault="0000418C" w:rsidP="001527F3">
      <w:pPr>
        <w:spacing w:before="240"/>
        <w:rPr>
          <w:sz w:val="20"/>
        </w:rPr>
      </w:pPr>
      <w:r w:rsidRPr="00C260AD">
        <w:rPr>
          <w:sz w:val="20"/>
        </w:rPr>
        <w:t>La politique de l'UIT</w:t>
      </w:r>
      <w:r w:rsidRPr="00C260AD">
        <w:rPr>
          <w:sz w:val="20"/>
        </w:rPr>
        <w:noBreakHyphen/>
        <w:t>R en matière de droits de propriété intellectuelle est décrite dans la</w:t>
      </w:r>
      <w:proofErr w:type="gramStart"/>
      <w:r w:rsidRPr="00C260AD">
        <w:rPr>
          <w:sz w:val="20"/>
        </w:rPr>
        <w:t xml:space="preserve"> «Politique</w:t>
      </w:r>
      <w:proofErr w:type="gramEnd"/>
      <w:r w:rsidRPr="00C260AD">
        <w:rPr>
          <w:sz w:val="20"/>
        </w:rPr>
        <w:t xml:space="preserve"> commune de l'UIT</w:t>
      </w:r>
      <w:r w:rsidRPr="00C260AD">
        <w:rPr>
          <w:sz w:val="20"/>
        </w:rPr>
        <w:noBreakHyphen/>
        <w:t>T, l'UIT</w:t>
      </w:r>
      <w:r w:rsidRPr="00C260AD">
        <w:rPr>
          <w:sz w:val="20"/>
        </w:rPr>
        <w:noBreakHyphen/>
        <w:t>R, l'ISO et la CEI en matière de brevets», dont il est question dans la Résolution UIT</w:t>
      </w:r>
      <w:r w:rsidR="00BC1697" w:rsidRPr="00C260AD">
        <w:rPr>
          <w:sz w:val="20"/>
        </w:rPr>
        <w:noBreakHyphen/>
      </w:r>
      <w:r w:rsidRPr="00C260AD">
        <w:rPr>
          <w:sz w:val="20"/>
        </w:rPr>
        <w:t>R</w:t>
      </w:r>
      <w:r w:rsidR="00AF691D" w:rsidRPr="00C260AD">
        <w:rPr>
          <w:sz w:val="20"/>
        </w:rPr>
        <w:t> </w:t>
      </w:r>
      <w:r w:rsidRPr="00C260AD">
        <w:rPr>
          <w:sz w:val="20"/>
        </w:rPr>
        <w:t xml:space="preserve">1. Les formulaires que les titulaires de brevets doivent utiliser pour soumettre les déclarations de brevet et d'octroi de licence sont accessibles à l'adresse </w:t>
      </w:r>
      <w:hyperlink r:id="rId9" w:history="1">
        <w:r w:rsidRPr="00C260AD">
          <w:rPr>
            <w:rStyle w:val="Hyperlink"/>
            <w:sz w:val="20"/>
          </w:rPr>
          <w:t>http://www.itu.int/ITU-R/go/patents/fr</w:t>
        </w:r>
      </w:hyperlink>
      <w:r w:rsidRPr="00C260AD">
        <w:rPr>
          <w:sz w:val="20"/>
        </w:rPr>
        <w:t xml:space="preserve">, où l'on trouvera également les Lignes directrices pour la mise en </w:t>
      </w:r>
      <w:r w:rsidR="00F21B9B" w:rsidRPr="00C260AD">
        <w:rPr>
          <w:sz w:val="20"/>
        </w:rPr>
        <w:t>œ</w:t>
      </w:r>
      <w:r w:rsidRPr="00C260AD">
        <w:rPr>
          <w:sz w:val="20"/>
        </w:rPr>
        <w:t>uvre de la politique commune en matière de brevets de l'UIT</w:t>
      </w:r>
      <w:r w:rsidRPr="00C260AD">
        <w:rPr>
          <w:sz w:val="20"/>
        </w:rPr>
        <w:noBreakHyphen/>
        <w:t>T, l'UIT</w:t>
      </w:r>
      <w:r w:rsidRPr="00C260AD">
        <w:rPr>
          <w:sz w:val="20"/>
        </w:rPr>
        <w:noBreakHyphen/>
        <w:t>R, l'ISO et la CEI</w:t>
      </w:r>
      <w:r w:rsidRPr="00C260AD" w:rsidDel="0061025C">
        <w:rPr>
          <w:sz w:val="20"/>
        </w:rPr>
        <w:t xml:space="preserve"> </w:t>
      </w:r>
      <w:r w:rsidRPr="00C260AD">
        <w:rPr>
          <w:sz w:val="20"/>
        </w:rPr>
        <w:t>et la base de données en matière de brevets de l'UIT-R.</w:t>
      </w:r>
    </w:p>
    <w:p w14:paraId="6C7C6102" w14:textId="77777777" w:rsidR="0000418C" w:rsidRPr="00C260AD" w:rsidRDefault="0000418C" w:rsidP="001527F3">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shd w:val="clear" w:color="auto" w:fill="FFFFFF" w:themeFill="background1"/>
        <w:tblLook w:val="0000" w:firstRow="0" w:lastRow="0" w:firstColumn="0" w:lastColumn="0" w:noHBand="0" w:noVBand="0"/>
      </w:tblPr>
      <w:tblGrid>
        <w:gridCol w:w="1138"/>
        <w:gridCol w:w="8183"/>
      </w:tblGrid>
      <w:tr w:rsidR="0000418C" w:rsidRPr="00C260AD" w14:paraId="51CC0F55" w14:textId="77777777" w:rsidTr="009B4AB4">
        <w:tc>
          <w:tcPr>
            <w:tcW w:w="9360" w:type="dxa"/>
            <w:gridSpan w:val="2"/>
            <w:shd w:val="clear" w:color="auto" w:fill="FFFFFF" w:themeFill="background1"/>
          </w:tcPr>
          <w:p w14:paraId="7AA2764B" w14:textId="77777777" w:rsidR="0000418C" w:rsidRPr="00C260AD" w:rsidRDefault="0000418C" w:rsidP="001527F3">
            <w:pPr>
              <w:pStyle w:val="Chaptitle"/>
              <w:keepLines w:val="0"/>
              <w:tabs>
                <w:tab w:val="clear" w:pos="794"/>
                <w:tab w:val="clear" w:pos="1191"/>
                <w:tab w:val="clear" w:pos="1588"/>
                <w:tab w:val="clear" w:pos="1985"/>
              </w:tabs>
              <w:overflowPunct/>
              <w:spacing w:before="140"/>
              <w:textAlignment w:val="auto"/>
              <w:rPr>
                <w:sz w:val="22"/>
                <w:szCs w:val="22"/>
              </w:rPr>
            </w:pPr>
            <w:r w:rsidRPr="00C260AD">
              <w:rPr>
                <w:sz w:val="22"/>
                <w:szCs w:val="22"/>
              </w:rPr>
              <w:t xml:space="preserve">Séries des Recommandations UIT-R </w:t>
            </w:r>
          </w:p>
          <w:p w14:paraId="45A12317" w14:textId="4346347F" w:rsidR="0000418C" w:rsidRPr="00C260AD" w:rsidRDefault="0000418C" w:rsidP="001527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C260AD">
              <w:rPr>
                <w:b w:val="0"/>
                <w:sz w:val="18"/>
                <w:szCs w:val="18"/>
              </w:rPr>
              <w:t>(</w:t>
            </w:r>
            <w:r w:rsidR="00C260AD" w:rsidRPr="00C260AD">
              <w:rPr>
                <w:b w:val="0"/>
                <w:sz w:val="18"/>
                <w:szCs w:val="18"/>
              </w:rPr>
              <w:t>Également</w:t>
            </w:r>
            <w:r w:rsidRPr="00C260AD">
              <w:rPr>
                <w:b w:val="0"/>
                <w:sz w:val="18"/>
                <w:szCs w:val="18"/>
              </w:rPr>
              <w:t xml:space="preserve"> disponible en </w:t>
            </w:r>
            <w:proofErr w:type="gramStart"/>
            <w:r w:rsidRPr="00C260AD">
              <w:rPr>
                <w:b w:val="0"/>
                <w:sz w:val="18"/>
                <w:szCs w:val="18"/>
              </w:rPr>
              <w:t>ligne:</w:t>
            </w:r>
            <w:proofErr w:type="gramEnd"/>
            <w:r w:rsidRPr="00C260AD">
              <w:rPr>
                <w:b w:val="0"/>
                <w:sz w:val="18"/>
                <w:szCs w:val="18"/>
              </w:rPr>
              <w:t xml:space="preserve"> </w:t>
            </w:r>
            <w:hyperlink r:id="rId10" w:history="1">
              <w:r w:rsidRPr="00C260AD">
                <w:rPr>
                  <w:rStyle w:val="Hyperlink"/>
                  <w:b w:val="0"/>
                  <w:bCs/>
                  <w:sz w:val="18"/>
                  <w:szCs w:val="18"/>
                </w:rPr>
                <w:t>http://www.itu.int/publ/R-REC/fr</w:t>
              </w:r>
            </w:hyperlink>
            <w:r w:rsidRPr="00C260AD">
              <w:rPr>
                <w:b w:val="0"/>
                <w:bCs/>
                <w:sz w:val="18"/>
                <w:szCs w:val="18"/>
              </w:rPr>
              <w:t>)</w:t>
            </w:r>
          </w:p>
        </w:tc>
      </w:tr>
      <w:tr w:rsidR="0000418C" w:rsidRPr="00C260AD" w14:paraId="62291C6C" w14:textId="77777777" w:rsidTr="009B4AB4">
        <w:tc>
          <w:tcPr>
            <w:tcW w:w="1140" w:type="dxa"/>
            <w:shd w:val="clear" w:color="auto" w:fill="FFFFFF" w:themeFill="background1"/>
          </w:tcPr>
          <w:p w14:paraId="1C7511E3" w14:textId="77777777" w:rsidR="0000418C" w:rsidRPr="00C260AD" w:rsidRDefault="0000418C" w:rsidP="001527F3">
            <w:pPr>
              <w:spacing w:before="90" w:after="100"/>
              <w:ind w:left="57"/>
              <w:rPr>
                <w:b/>
                <w:bCs/>
                <w:sz w:val="20"/>
              </w:rPr>
            </w:pPr>
            <w:r w:rsidRPr="00C260AD">
              <w:rPr>
                <w:b/>
                <w:bCs/>
                <w:sz w:val="20"/>
              </w:rPr>
              <w:t>Séries</w:t>
            </w:r>
          </w:p>
        </w:tc>
        <w:tc>
          <w:tcPr>
            <w:tcW w:w="8220" w:type="dxa"/>
            <w:shd w:val="clear" w:color="auto" w:fill="FFFFFF" w:themeFill="background1"/>
          </w:tcPr>
          <w:p w14:paraId="523BFB6B" w14:textId="77777777" w:rsidR="0000418C" w:rsidRPr="00C260AD" w:rsidRDefault="0000418C" w:rsidP="001527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C260AD">
              <w:rPr>
                <w:bCs/>
                <w:sz w:val="20"/>
              </w:rPr>
              <w:t>Titre</w:t>
            </w:r>
          </w:p>
        </w:tc>
      </w:tr>
      <w:tr w:rsidR="0000418C" w:rsidRPr="00C260AD" w14:paraId="4F739126" w14:textId="77777777" w:rsidTr="009B4AB4">
        <w:tc>
          <w:tcPr>
            <w:tcW w:w="1140" w:type="dxa"/>
            <w:shd w:val="clear" w:color="auto" w:fill="FFFFFF" w:themeFill="background1"/>
          </w:tcPr>
          <w:p w14:paraId="5E34524B" w14:textId="77777777" w:rsidR="0000418C" w:rsidRPr="00C260AD" w:rsidRDefault="0000418C" w:rsidP="001527F3">
            <w:pPr>
              <w:spacing w:before="30" w:after="30"/>
              <w:ind w:left="57"/>
              <w:jc w:val="left"/>
              <w:rPr>
                <w:b/>
                <w:bCs/>
                <w:sz w:val="20"/>
              </w:rPr>
            </w:pPr>
            <w:r w:rsidRPr="00C260AD">
              <w:rPr>
                <w:b/>
                <w:bCs/>
                <w:sz w:val="20"/>
              </w:rPr>
              <w:t>BO</w:t>
            </w:r>
          </w:p>
        </w:tc>
        <w:tc>
          <w:tcPr>
            <w:tcW w:w="8220" w:type="dxa"/>
            <w:shd w:val="clear" w:color="auto" w:fill="FFFFFF" w:themeFill="background1"/>
          </w:tcPr>
          <w:p w14:paraId="1845F924" w14:textId="77777777" w:rsidR="0000418C" w:rsidRPr="00C260AD" w:rsidRDefault="0000418C" w:rsidP="001527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C260AD">
              <w:rPr>
                <w:b w:val="0"/>
                <w:sz w:val="20"/>
              </w:rPr>
              <w:t>Diffusion par satellite</w:t>
            </w:r>
          </w:p>
        </w:tc>
      </w:tr>
      <w:tr w:rsidR="0000418C" w:rsidRPr="00C260AD" w14:paraId="1C5EF91C" w14:textId="77777777" w:rsidTr="009B4AB4">
        <w:tc>
          <w:tcPr>
            <w:tcW w:w="1140" w:type="dxa"/>
            <w:shd w:val="clear" w:color="auto" w:fill="FFFFFF" w:themeFill="background1"/>
          </w:tcPr>
          <w:p w14:paraId="1F944C0D" w14:textId="77777777" w:rsidR="0000418C" w:rsidRPr="00C260AD" w:rsidRDefault="0000418C" w:rsidP="001527F3">
            <w:pPr>
              <w:spacing w:before="30" w:after="30"/>
              <w:ind w:left="57"/>
              <w:jc w:val="left"/>
              <w:rPr>
                <w:b/>
                <w:bCs/>
                <w:sz w:val="20"/>
              </w:rPr>
            </w:pPr>
            <w:r w:rsidRPr="00C260AD">
              <w:rPr>
                <w:b/>
                <w:bCs/>
                <w:sz w:val="20"/>
              </w:rPr>
              <w:t>BR</w:t>
            </w:r>
          </w:p>
        </w:tc>
        <w:tc>
          <w:tcPr>
            <w:tcW w:w="8220" w:type="dxa"/>
            <w:shd w:val="clear" w:color="auto" w:fill="FFFFFF" w:themeFill="background1"/>
          </w:tcPr>
          <w:p w14:paraId="1736621F" w14:textId="77777777" w:rsidR="0000418C" w:rsidRPr="00C260AD" w:rsidRDefault="0000418C" w:rsidP="001527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C260AD">
              <w:rPr>
                <w:b w:val="0"/>
                <w:bCs/>
                <w:sz w:val="20"/>
              </w:rPr>
              <w:t xml:space="preserve">Enregistrement pour la production, l'archivage et la </w:t>
            </w:r>
            <w:proofErr w:type="gramStart"/>
            <w:r w:rsidRPr="00C260AD">
              <w:rPr>
                <w:b w:val="0"/>
                <w:bCs/>
                <w:sz w:val="20"/>
              </w:rPr>
              <w:t>diffusion;</w:t>
            </w:r>
            <w:proofErr w:type="gramEnd"/>
            <w:r w:rsidRPr="00C260AD">
              <w:rPr>
                <w:b w:val="0"/>
                <w:bCs/>
                <w:sz w:val="20"/>
              </w:rPr>
              <w:t xml:space="preserve"> films pour la télévision</w:t>
            </w:r>
          </w:p>
        </w:tc>
      </w:tr>
      <w:tr w:rsidR="0000418C" w:rsidRPr="00C260AD" w14:paraId="17C94288" w14:textId="77777777" w:rsidTr="009B4AB4">
        <w:tc>
          <w:tcPr>
            <w:tcW w:w="1140" w:type="dxa"/>
            <w:shd w:val="clear" w:color="auto" w:fill="FFFFFF" w:themeFill="background1"/>
          </w:tcPr>
          <w:p w14:paraId="02876358" w14:textId="77777777" w:rsidR="0000418C" w:rsidRPr="00C260AD" w:rsidRDefault="0000418C" w:rsidP="001527F3">
            <w:pPr>
              <w:spacing w:before="30" w:after="30"/>
              <w:ind w:left="57"/>
              <w:jc w:val="left"/>
              <w:rPr>
                <w:b/>
                <w:bCs/>
                <w:sz w:val="20"/>
              </w:rPr>
            </w:pPr>
            <w:r w:rsidRPr="00C260AD">
              <w:rPr>
                <w:b/>
                <w:bCs/>
                <w:sz w:val="20"/>
              </w:rPr>
              <w:t>BS</w:t>
            </w:r>
          </w:p>
        </w:tc>
        <w:tc>
          <w:tcPr>
            <w:tcW w:w="8220" w:type="dxa"/>
            <w:shd w:val="clear" w:color="auto" w:fill="FFFFFF" w:themeFill="background1"/>
          </w:tcPr>
          <w:p w14:paraId="1EFAD4FA" w14:textId="77777777" w:rsidR="0000418C" w:rsidRPr="00C260AD" w:rsidRDefault="0000418C" w:rsidP="001527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C260AD">
              <w:rPr>
                <w:b w:val="0"/>
                <w:sz w:val="20"/>
              </w:rPr>
              <w:t>Service de radiodiffusion sonore</w:t>
            </w:r>
          </w:p>
        </w:tc>
      </w:tr>
      <w:tr w:rsidR="0000418C" w:rsidRPr="00C260AD" w14:paraId="6AD81643" w14:textId="77777777" w:rsidTr="009B4AB4">
        <w:tc>
          <w:tcPr>
            <w:tcW w:w="1140" w:type="dxa"/>
            <w:shd w:val="clear" w:color="auto" w:fill="FFFFFF" w:themeFill="background1"/>
          </w:tcPr>
          <w:p w14:paraId="1F0A1F5E" w14:textId="77777777" w:rsidR="0000418C" w:rsidRPr="00C260AD" w:rsidRDefault="0000418C" w:rsidP="001527F3">
            <w:pPr>
              <w:spacing w:before="30" w:after="30"/>
              <w:ind w:left="57"/>
              <w:jc w:val="left"/>
              <w:rPr>
                <w:b/>
                <w:bCs/>
                <w:sz w:val="20"/>
              </w:rPr>
            </w:pPr>
            <w:r w:rsidRPr="00C260AD">
              <w:rPr>
                <w:b/>
                <w:bCs/>
                <w:sz w:val="20"/>
              </w:rPr>
              <w:t>BT</w:t>
            </w:r>
          </w:p>
        </w:tc>
        <w:tc>
          <w:tcPr>
            <w:tcW w:w="8220" w:type="dxa"/>
            <w:shd w:val="clear" w:color="auto" w:fill="FFFFFF" w:themeFill="background1"/>
          </w:tcPr>
          <w:p w14:paraId="62622952" w14:textId="77777777" w:rsidR="0000418C" w:rsidRPr="00C260AD" w:rsidRDefault="0000418C" w:rsidP="001527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C260AD">
              <w:rPr>
                <w:b w:val="0"/>
                <w:bCs/>
                <w:sz w:val="20"/>
              </w:rPr>
              <w:t>Service de radiodiffusion télévisuelle</w:t>
            </w:r>
          </w:p>
        </w:tc>
      </w:tr>
      <w:tr w:rsidR="0000418C" w:rsidRPr="00C260AD" w14:paraId="341733B9" w14:textId="77777777" w:rsidTr="009B4AB4">
        <w:tc>
          <w:tcPr>
            <w:tcW w:w="1140" w:type="dxa"/>
            <w:shd w:val="clear" w:color="auto" w:fill="FFFFFF" w:themeFill="background1"/>
          </w:tcPr>
          <w:p w14:paraId="7EDB029F" w14:textId="77777777" w:rsidR="0000418C" w:rsidRPr="00C260AD" w:rsidRDefault="0000418C" w:rsidP="001527F3">
            <w:pPr>
              <w:spacing w:before="30" w:after="30"/>
              <w:ind w:left="57"/>
              <w:jc w:val="left"/>
              <w:rPr>
                <w:b/>
                <w:bCs/>
                <w:sz w:val="20"/>
              </w:rPr>
            </w:pPr>
            <w:r w:rsidRPr="00C260AD">
              <w:rPr>
                <w:b/>
                <w:bCs/>
                <w:sz w:val="20"/>
              </w:rPr>
              <w:t>F</w:t>
            </w:r>
          </w:p>
        </w:tc>
        <w:tc>
          <w:tcPr>
            <w:tcW w:w="8220" w:type="dxa"/>
            <w:shd w:val="clear" w:color="auto" w:fill="FFFFFF" w:themeFill="background1"/>
          </w:tcPr>
          <w:p w14:paraId="33007863" w14:textId="77777777" w:rsidR="0000418C" w:rsidRPr="00C260AD" w:rsidRDefault="0000418C" w:rsidP="001527F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C260AD">
              <w:rPr>
                <w:sz w:val="20"/>
              </w:rPr>
              <w:t>Service fixe</w:t>
            </w:r>
          </w:p>
        </w:tc>
      </w:tr>
      <w:tr w:rsidR="0000418C" w:rsidRPr="00C260AD" w14:paraId="6DA09C5B" w14:textId="77777777" w:rsidTr="009B4AB4">
        <w:tc>
          <w:tcPr>
            <w:tcW w:w="1140" w:type="dxa"/>
            <w:tcBorders>
              <w:bottom w:val="nil"/>
            </w:tcBorders>
            <w:shd w:val="clear" w:color="auto" w:fill="FFFFFF" w:themeFill="background1"/>
          </w:tcPr>
          <w:p w14:paraId="79281E2A" w14:textId="77777777" w:rsidR="0000418C" w:rsidRPr="00C260AD" w:rsidRDefault="0000418C" w:rsidP="001527F3">
            <w:pPr>
              <w:spacing w:before="30" w:after="30"/>
              <w:ind w:left="57"/>
              <w:jc w:val="left"/>
              <w:rPr>
                <w:b/>
                <w:bCs/>
                <w:sz w:val="20"/>
              </w:rPr>
            </w:pPr>
            <w:r w:rsidRPr="00C260AD">
              <w:rPr>
                <w:b/>
                <w:bCs/>
                <w:sz w:val="20"/>
              </w:rPr>
              <w:t>M</w:t>
            </w:r>
          </w:p>
        </w:tc>
        <w:tc>
          <w:tcPr>
            <w:tcW w:w="8220" w:type="dxa"/>
            <w:tcBorders>
              <w:bottom w:val="nil"/>
            </w:tcBorders>
            <w:shd w:val="clear" w:color="auto" w:fill="FFFFFF" w:themeFill="background1"/>
          </w:tcPr>
          <w:p w14:paraId="131A28EC" w14:textId="77777777" w:rsidR="0000418C" w:rsidRPr="00C260AD" w:rsidRDefault="0000418C" w:rsidP="001527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C260AD">
              <w:rPr>
                <w:b w:val="0"/>
                <w:sz w:val="20"/>
              </w:rPr>
              <w:t>Services mobile</w:t>
            </w:r>
            <w:proofErr w:type="gramEnd"/>
            <w:r w:rsidRPr="00C260AD">
              <w:rPr>
                <w:b w:val="0"/>
                <w:sz w:val="20"/>
              </w:rPr>
              <w:t>, de radiorepérage et d'amateur y compris les services par satellite associés</w:t>
            </w:r>
          </w:p>
        </w:tc>
      </w:tr>
      <w:tr w:rsidR="0000418C" w:rsidRPr="00C260AD" w14:paraId="4C09922C" w14:textId="77777777" w:rsidTr="00A76C2A">
        <w:tc>
          <w:tcPr>
            <w:tcW w:w="1140" w:type="dxa"/>
            <w:tcBorders>
              <w:top w:val="nil"/>
              <w:bottom w:val="nil"/>
            </w:tcBorders>
            <w:shd w:val="clear" w:color="auto" w:fill="auto"/>
          </w:tcPr>
          <w:p w14:paraId="459B38DB" w14:textId="77777777" w:rsidR="0000418C" w:rsidRPr="009B4AB4" w:rsidRDefault="0000418C" w:rsidP="001527F3">
            <w:pPr>
              <w:spacing w:before="30" w:after="30"/>
              <w:ind w:left="57"/>
              <w:jc w:val="left"/>
              <w:rPr>
                <w:b/>
                <w:bCs/>
                <w:color w:val="000080"/>
                <w:sz w:val="20"/>
              </w:rPr>
            </w:pPr>
            <w:r w:rsidRPr="00A76C2A">
              <w:rPr>
                <w:b/>
                <w:bCs/>
                <w:sz w:val="20"/>
              </w:rPr>
              <w:t>P</w:t>
            </w:r>
          </w:p>
        </w:tc>
        <w:tc>
          <w:tcPr>
            <w:tcW w:w="8220" w:type="dxa"/>
            <w:tcBorders>
              <w:top w:val="nil"/>
              <w:bottom w:val="nil"/>
            </w:tcBorders>
            <w:shd w:val="clear" w:color="auto" w:fill="auto"/>
          </w:tcPr>
          <w:p w14:paraId="6EE115AD" w14:textId="77777777" w:rsidR="0000418C" w:rsidRPr="009B4AB4" w:rsidRDefault="0000418C" w:rsidP="00A76C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color w:val="000080"/>
                <w:sz w:val="20"/>
              </w:rPr>
            </w:pPr>
            <w:r w:rsidRPr="00A76C2A">
              <w:rPr>
                <w:b w:val="0"/>
                <w:sz w:val="20"/>
              </w:rPr>
              <w:t>Propagation des ondes radioélectriques</w:t>
            </w:r>
          </w:p>
        </w:tc>
      </w:tr>
      <w:tr w:rsidR="0000418C" w:rsidRPr="00C260AD" w14:paraId="0C0038CB" w14:textId="77777777" w:rsidTr="00A76C2A">
        <w:tc>
          <w:tcPr>
            <w:tcW w:w="1140" w:type="dxa"/>
            <w:tcBorders>
              <w:top w:val="nil"/>
            </w:tcBorders>
            <w:shd w:val="clear" w:color="auto" w:fill="D9D9D9" w:themeFill="background1" w:themeFillShade="D9"/>
          </w:tcPr>
          <w:p w14:paraId="2639736F" w14:textId="77777777" w:rsidR="0000418C" w:rsidRPr="00A76C2A" w:rsidRDefault="0000418C" w:rsidP="001527F3">
            <w:pPr>
              <w:spacing w:before="30" w:after="30"/>
              <w:ind w:left="57"/>
              <w:jc w:val="left"/>
              <w:rPr>
                <w:b/>
                <w:bCs/>
                <w:color w:val="000080"/>
                <w:sz w:val="20"/>
              </w:rPr>
            </w:pPr>
            <w:r w:rsidRPr="00A76C2A">
              <w:rPr>
                <w:b/>
                <w:bCs/>
                <w:color w:val="000080"/>
                <w:sz w:val="20"/>
              </w:rPr>
              <w:t>RA</w:t>
            </w:r>
          </w:p>
        </w:tc>
        <w:tc>
          <w:tcPr>
            <w:tcW w:w="8220" w:type="dxa"/>
            <w:tcBorders>
              <w:top w:val="nil"/>
            </w:tcBorders>
            <w:shd w:val="clear" w:color="auto" w:fill="D9D9D9" w:themeFill="background1" w:themeFillShade="D9"/>
          </w:tcPr>
          <w:p w14:paraId="050E2DD0" w14:textId="77777777" w:rsidR="0000418C" w:rsidRPr="00A76C2A" w:rsidRDefault="0000418C" w:rsidP="001527F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rPr>
            </w:pPr>
            <w:r w:rsidRPr="00A76C2A">
              <w:rPr>
                <w:b/>
                <w:bCs/>
                <w:color w:val="000080"/>
                <w:sz w:val="20"/>
              </w:rPr>
              <w:t>Radio astronomie</w:t>
            </w:r>
          </w:p>
        </w:tc>
      </w:tr>
      <w:tr w:rsidR="0000418C" w:rsidRPr="00C260AD" w14:paraId="072F45E7" w14:textId="77777777" w:rsidTr="009B4AB4">
        <w:tc>
          <w:tcPr>
            <w:tcW w:w="1140" w:type="dxa"/>
            <w:shd w:val="clear" w:color="auto" w:fill="FFFFFF" w:themeFill="background1"/>
          </w:tcPr>
          <w:p w14:paraId="7F8F6802" w14:textId="77777777" w:rsidR="0000418C" w:rsidRPr="00C260AD" w:rsidRDefault="0000418C" w:rsidP="001527F3">
            <w:pPr>
              <w:spacing w:before="30" w:after="30"/>
              <w:ind w:left="57"/>
              <w:jc w:val="left"/>
              <w:rPr>
                <w:b/>
                <w:bCs/>
                <w:sz w:val="20"/>
              </w:rPr>
            </w:pPr>
            <w:r w:rsidRPr="00C260AD">
              <w:rPr>
                <w:b/>
                <w:bCs/>
                <w:sz w:val="20"/>
              </w:rPr>
              <w:t>RS</w:t>
            </w:r>
          </w:p>
        </w:tc>
        <w:tc>
          <w:tcPr>
            <w:tcW w:w="8220" w:type="dxa"/>
            <w:shd w:val="clear" w:color="auto" w:fill="FFFFFF" w:themeFill="background1"/>
          </w:tcPr>
          <w:p w14:paraId="3B9611A2" w14:textId="77777777" w:rsidR="0000418C" w:rsidRPr="00C260AD" w:rsidRDefault="0000418C" w:rsidP="001527F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C260AD">
              <w:rPr>
                <w:sz w:val="20"/>
              </w:rPr>
              <w:t>Systèmes de télédétection</w:t>
            </w:r>
          </w:p>
        </w:tc>
      </w:tr>
      <w:tr w:rsidR="0000418C" w:rsidRPr="00C260AD" w14:paraId="6CAE72F8" w14:textId="77777777" w:rsidTr="009B4AB4">
        <w:tc>
          <w:tcPr>
            <w:tcW w:w="1140" w:type="dxa"/>
            <w:shd w:val="clear" w:color="auto" w:fill="FFFFFF" w:themeFill="background1"/>
          </w:tcPr>
          <w:p w14:paraId="3B995E6C" w14:textId="77777777" w:rsidR="0000418C" w:rsidRPr="00C260AD" w:rsidRDefault="0000418C" w:rsidP="001527F3">
            <w:pPr>
              <w:spacing w:before="30" w:after="30"/>
              <w:ind w:left="57"/>
              <w:jc w:val="left"/>
              <w:rPr>
                <w:b/>
                <w:bCs/>
                <w:sz w:val="20"/>
              </w:rPr>
            </w:pPr>
            <w:r w:rsidRPr="00C260AD">
              <w:rPr>
                <w:b/>
                <w:bCs/>
                <w:sz w:val="20"/>
              </w:rPr>
              <w:t>S</w:t>
            </w:r>
          </w:p>
        </w:tc>
        <w:tc>
          <w:tcPr>
            <w:tcW w:w="8220" w:type="dxa"/>
            <w:shd w:val="clear" w:color="auto" w:fill="FFFFFF" w:themeFill="background1"/>
          </w:tcPr>
          <w:p w14:paraId="05C83539" w14:textId="77777777" w:rsidR="0000418C" w:rsidRPr="00C260AD" w:rsidRDefault="0000418C" w:rsidP="001527F3">
            <w:pPr>
              <w:spacing w:before="30" w:after="30"/>
              <w:jc w:val="left"/>
              <w:rPr>
                <w:sz w:val="20"/>
              </w:rPr>
            </w:pPr>
            <w:r w:rsidRPr="00C260AD">
              <w:rPr>
                <w:sz w:val="20"/>
              </w:rPr>
              <w:t>Service fixe par satellite</w:t>
            </w:r>
          </w:p>
        </w:tc>
      </w:tr>
      <w:tr w:rsidR="0000418C" w:rsidRPr="00C260AD" w14:paraId="371B3E6A" w14:textId="77777777" w:rsidTr="009B4AB4">
        <w:tc>
          <w:tcPr>
            <w:tcW w:w="1140" w:type="dxa"/>
            <w:shd w:val="clear" w:color="auto" w:fill="FFFFFF" w:themeFill="background1"/>
          </w:tcPr>
          <w:p w14:paraId="7B7D74D3" w14:textId="77777777" w:rsidR="0000418C" w:rsidRPr="00C260AD" w:rsidRDefault="0000418C" w:rsidP="001527F3">
            <w:pPr>
              <w:spacing w:before="30" w:after="30"/>
              <w:ind w:left="57"/>
              <w:jc w:val="left"/>
              <w:rPr>
                <w:b/>
                <w:bCs/>
                <w:sz w:val="20"/>
              </w:rPr>
            </w:pPr>
            <w:r w:rsidRPr="00C260AD">
              <w:rPr>
                <w:b/>
                <w:bCs/>
                <w:sz w:val="20"/>
              </w:rPr>
              <w:t>SA</w:t>
            </w:r>
          </w:p>
        </w:tc>
        <w:tc>
          <w:tcPr>
            <w:tcW w:w="8220" w:type="dxa"/>
            <w:shd w:val="clear" w:color="auto" w:fill="FFFFFF" w:themeFill="background1"/>
          </w:tcPr>
          <w:p w14:paraId="16F7AFAD" w14:textId="77777777" w:rsidR="0000418C" w:rsidRPr="00C260AD" w:rsidRDefault="0000418C" w:rsidP="001527F3">
            <w:pPr>
              <w:spacing w:before="30" w:after="30"/>
              <w:jc w:val="left"/>
              <w:rPr>
                <w:sz w:val="20"/>
              </w:rPr>
            </w:pPr>
            <w:r w:rsidRPr="00C260AD">
              <w:rPr>
                <w:sz w:val="20"/>
              </w:rPr>
              <w:t>Applications spatiales et météorologie</w:t>
            </w:r>
          </w:p>
        </w:tc>
      </w:tr>
      <w:tr w:rsidR="0000418C" w:rsidRPr="00C260AD" w14:paraId="4355723B" w14:textId="77777777" w:rsidTr="009B4AB4">
        <w:tc>
          <w:tcPr>
            <w:tcW w:w="1140" w:type="dxa"/>
            <w:shd w:val="clear" w:color="auto" w:fill="FFFFFF" w:themeFill="background1"/>
          </w:tcPr>
          <w:p w14:paraId="2B3635B0" w14:textId="77777777" w:rsidR="0000418C" w:rsidRPr="00C260AD" w:rsidRDefault="0000418C" w:rsidP="001527F3">
            <w:pPr>
              <w:spacing w:before="30" w:after="30"/>
              <w:ind w:left="57"/>
              <w:jc w:val="left"/>
              <w:rPr>
                <w:b/>
                <w:bCs/>
                <w:sz w:val="20"/>
              </w:rPr>
            </w:pPr>
            <w:r w:rsidRPr="00C260AD">
              <w:rPr>
                <w:b/>
                <w:bCs/>
                <w:sz w:val="20"/>
              </w:rPr>
              <w:t>SF</w:t>
            </w:r>
          </w:p>
        </w:tc>
        <w:tc>
          <w:tcPr>
            <w:tcW w:w="8220" w:type="dxa"/>
            <w:shd w:val="clear" w:color="auto" w:fill="FFFFFF" w:themeFill="background1"/>
          </w:tcPr>
          <w:p w14:paraId="59B657DC" w14:textId="77777777" w:rsidR="0000418C" w:rsidRPr="00C260AD" w:rsidRDefault="0000418C" w:rsidP="001527F3">
            <w:pPr>
              <w:spacing w:before="30" w:after="30"/>
              <w:jc w:val="left"/>
              <w:rPr>
                <w:sz w:val="20"/>
              </w:rPr>
            </w:pPr>
            <w:r w:rsidRPr="00C260AD">
              <w:rPr>
                <w:sz w:val="20"/>
              </w:rPr>
              <w:t>Partage des fréquences et coordination entre les systèmes du service fixe par satellite et du service fixe</w:t>
            </w:r>
          </w:p>
        </w:tc>
      </w:tr>
      <w:tr w:rsidR="0000418C" w:rsidRPr="00C260AD" w14:paraId="1D4C9237" w14:textId="77777777" w:rsidTr="009B4AB4">
        <w:tc>
          <w:tcPr>
            <w:tcW w:w="1140" w:type="dxa"/>
            <w:shd w:val="clear" w:color="auto" w:fill="FFFFFF" w:themeFill="background1"/>
          </w:tcPr>
          <w:p w14:paraId="400C1D12" w14:textId="77777777" w:rsidR="0000418C" w:rsidRPr="00C260AD" w:rsidRDefault="0000418C" w:rsidP="001527F3">
            <w:pPr>
              <w:spacing w:before="30" w:after="30"/>
              <w:ind w:left="57"/>
              <w:jc w:val="left"/>
              <w:rPr>
                <w:b/>
                <w:bCs/>
                <w:sz w:val="20"/>
              </w:rPr>
            </w:pPr>
            <w:r w:rsidRPr="00C260AD">
              <w:rPr>
                <w:b/>
                <w:bCs/>
                <w:sz w:val="20"/>
              </w:rPr>
              <w:t>SM</w:t>
            </w:r>
          </w:p>
        </w:tc>
        <w:tc>
          <w:tcPr>
            <w:tcW w:w="8220" w:type="dxa"/>
            <w:shd w:val="clear" w:color="auto" w:fill="FFFFFF" w:themeFill="background1"/>
          </w:tcPr>
          <w:p w14:paraId="2BC41B00" w14:textId="77777777" w:rsidR="0000418C" w:rsidRPr="00C260AD" w:rsidRDefault="0000418C" w:rsidP="001527F3">
            <w:pPr>
              <w:spacing w:before="30" w:after="30"/>
              <w:jc w:val="left"/>
              <w:rPr>
                <w:sz w:val="20"/>
              </w:rPr>
            </w:pPr>
            <w:r w:rsidRPr="00C260AD">
              <w:rPr>
                <w:sz w:val="20"/>
              </w:rPr>
              <w:t>Gestion du spectre</w:t>
            </w:r>
          </w:p>
        </w:tc>
      </w:tr>
      <w:tr w:rsidR="0000418C" w:rsidRPr="00C260AD" w14:paraId="25C2E291" w14:textId="77777777" w:rsidTr="009B4AB4">
        <w:tc>
          <w:tcPr>
            <w:tcW w:w="1140" w:type="dxa"/>
            <w:shd w:val="clear" w:color="auto" w:fill="FFFFFF" w:themeFill="background1"/>
          </w:tcPr>
          <w:p w14:paraId="1D91F8D6" w14:textId="77777777" w:rsidR="0000418C" w:rsidRPr="00C260AD" w:rsidRDefault="0000418C" w:rsidP="001527F3">
            <w:pPr>
              <w:spacing w:before="30" w:after="30"/>
              <w:ind w:left="57"/>
              <w:jc w:val="left"/>
              <w:rPr>
                <w:b/>
                <w:bCs/>
                <w:sz w:val="20"/>
              </w:rPr>
            </w:pPr>
            <w:r w:rsidRPr="00C260AD">
              <w:rPr>
                <w:b/>
                <w:bCs/>
                <w:sz w:val="20"/>
              </w:rPr>
              <w:t>SNG</w:t>
            </w:r>
          </w:p>
        </w:tc>
        <w:tc>
          <w:tcPr>
            <w:tcW w:w="8220" w:type="dxa"/>
            <w:shd w:val="clear" w:color="auto" w:fill="FFFFFF" w:themeFill="background1"/>
          </w:tcPr>
          <w:p w14:paraId="0403EDB5" w14:textId="77777777" w:rsidR="0000418C" w:rsidRPr="00C260AD" w:rsidRDefault="0000418C" w:rsidP="001527F3">
            <w:pPr>
              <w:spacing w:before="30" w:after="30"/>
              <w:jc w:val="left"/>
              <w:rPr>
                <w:sz w:val="20"/>
              </w:rPr>
            </w:pPr>
            <w:r w:rsidRPr="00C260AD">
              <w:rPr>
                <w:sz w:val="20"/>
              </w:rPr>
              <w:t>Reportage d'actualités par satellite</w:t>
            </w:r>
          </w:p>
        </w:tc>
      </w:tr>
      <w:tr w:rsidR="0000418C" w:rsidRPr="00C260AD" w14:paraId="2AB68699" w14:textId="77777777" w:rsidTr="009B4AB4">
        <w:tc>
          <w:tcPr>
            <w:tcW w:w="1140" w:type="dxa"/>
            <w:shd w:val="clear" w:color="auto" w:fill="FFFFFF" w:themeFill="background1"/>
          </w:tcPr>
          <w:p w14:paraId="407A95CA" w14:textId="77777777" w:rsidR="0000418C" w:rsidRPr="00C260AD" w:rsidRDefault="0000418C" w:rsidP="001527F3">
            <w:pPr>
              <w:spacing w:before="30" w:after="30"/>
              <w:ind w:left="57"/>
              <w:jc w:val="left"/>
              <w:rPr>
                <w:b/>
                <w:bCs/>
                <w:sz w:val="20"/>
              </w:rPr>
            </w:pPr>
            <w:r w:rsidRPr="00C260AD">
              <w:rPr>
                <w:b/>
                <w:bCs/>
                <w:sz w:val="20"/>
              </w:rPr>
              <w:t>TF</w:t>
            </w:r>
          </w:p>
        </w:tc>
        <w:tc>
          <w:tcPr>
            <w:tcW w:w="8220" w:type="dxa"/>
            <w:shd w:val="clear" w:color="auto" w:fill="FFFFFF" w:themeFill="background1"/>
          </w:tcPr>
          <w:p w14:paraId="39D13A4E" w14:textId="190C6FBA" w:rsidR="0000418C" w:rsidRPr="00C260AD" w:rsidRDefault="00C260AD" w:rsidP="001527F3">
            <w:pPr>
              <w:spacing w:before="30" w:after="30"/>
              <w:jc w:val="left"/>
              <w:rPr>
                <w:sz w:val="20"/>
              </w:rPr>
            </w:pPr>
            <w:r w:rsidRPr="00C260AD">
              <w:rPr>
                <w:sz w:val="20"/>
              </w:rPr>
              <w:t>Émissions</w:t>
            </w:r>
            <w:r w:rsidR="0000418C" w:rsidRPr="00C260AD">
              <w:rPr>
                <w:sz w:val="20"/>
              </w:rPr>
              <w:t xml:space="preserve"> de fréquences étalon et de signaux horaires</w:t>
            </w:r>
          </w:p>
        </w:tc>
      </w:tr>
      <w:tr w:rsidR="0000418C" w:rsidRPr="00C260AD" w14:paraId="74FE3614" w14:textId="77777777" w:rsidTr="009B4AB4">
        <w:tc>
          <w:tcPr>
            <w:tcW w:w="1140" w:type="dxa"/>
            <w:shd w:val="clear" w:color="auto" w:fill="FFFFFF" w:themeFill="background1"/>
          </w:tcPr>
          <w:p w14:paraId="37566144" w14:textId="77777777" w:rsidR="0000418C" w:rsidRPr="00C260AD" w:rsidRDefault="0000418C" w:rsidP="001527F3">
            <w:pPr>
              <w:spacing w:before="30" w:after="30"/>
              <w:ind w:left="57"/>
              <w:jc w:val="left"/>
              <w:rPr>
                <w:b/>
                <w:bCs/>
                <w:sz w:val="20"/>
              </w:rPr>
            </w:pPr>
            <w:r w:rsidRPr="00C260AD">
              <w:rPr>
                <w:b/>
                <w:bCs/>
                <w:sz w:val="20"/>
              </w:rPr>
              <w:t>V</w:t>
            </w:r>
          </w:p>
        </w:tc>
        <w:tc>
          <w:tcPr>
            <w:tcW w:w="8220" w:type="dxa"/>
            <w:shd w:val="clear" w:color="auto" w:fill="FFFFFF" w:themeFill="background1"/>
          </w:tcPr>
          <w:p w14:paraId="07DE44B3" w14:textId="77777777" w:rsidR="0000418C" w:rsidRPr="00C260AD" w:rsidRDefault="0000418C" w:rsidP="001527F3">
            <w:pPr>
              <w:spacing w:before="30" w:after="140"/>
              <w:jc w:val="left"/>
              <w:rPr>
                <w:sz w:val="20"/>
              </w:rPr>
            </w:pPr>
            <w:r w:rsidRPr="00C260AD">
              <w:rPr>
                <w:sz w:val="20"/>
              </w:rPr>
              <w:t>Vocabulaire et sujets associés</w:t>
            </w:r>
          </w:p>
        </w:tc>
      </w:tr>
    </w:tbl>
    <w:p w14:paraId="576DA02A" w14:textId="77777777" w:rsidR="0000418C" w:rsidRPr="00C260AD" w:rsidRDefault="0000418C" w:rsidP="001527F3">
      <w:pPr>
        <w:spacing w:before="0"/>
        <w:jc w:val="center"/>
        <w:rPr>
          <w:sz w:val="20"/>
        </w:rPr>
      </w:pPr>
    </w:p>
    <w:p w14:paraId="23A651B0" w14:textId="77777777" w:rsidR="0000418C" w:rsidRPr="00C260AD" w:rsidRDefault="0000418C" w:rsidP="001527F3">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0418C" w:rsidRPr="00C260AD" w14:paraId="7D40C021" w14:textId="77777777" w:rsidTr="001F1BA8">
        <w:tc>
          <w:tcPr>
            <w:tcW w:w="9360" w:type="dxa"/>
          </w:tcPr>
          <w:p w14:paraId="3E988C07" w14:textId="4776E79B" w:rsidR="0000418C" w:rsidRPr="00C260AD" w:rsidRDefault="0000418C" w:rsidP="001527F3">
            <w:pPr>
              <w:spacing w:before="80" w:after="80"/>
              <w:jc w:val="left"/>
              <w:rPr>
                <w:i/>
                <w:iCs/>
                <w:sz w:val="20"/>
              </w:rPr>
            </w:pPr>
            <w:proofErr w:type="gramStart"/>
            <w:r w:rsidRPr="00C260AD">
              <w:rPr>
                <w:b/>
                <w:bCs/>
                <w:i/>
                <w:iCs/>
                <w:sz w:val="20"/>
              </w:rPr>
              <w:t>Note</w:t>
            </w:r>
            <w:r w:rsidRPr="00C260AD">
              <w:rPr>
                <w:i/>
                <w:iCs/>
                <w:sz w:val="20"/>
              </w:rPr>
              <w:t>:</w:t>
            </w:r>
            <w:proofErr w:type="gramEnd"/>
            <w:r w:rsidRPr="00C260AD">
              <w:rPr>
                <w:i/>
                <w:iCs/>
                <w:sz w:val="20"/>
              </w:rPr>
              <w:t xml:space="preserve"> Cette Recommandation UIT-R a été approuvée en anglais aux termes de la procédure détaillée dans la</w:t>
            </w:r>
            <w:r w:rsidRPr="00C260AD">
              <w:rPr>
                <w:i/>
                <w:iCs/>
                <w:sz w:val="20"/>
              </w:rPr>
              <w:br/>
              <w:t>Résolution UIT-R</w:t>
            </w:r>
            <w:r w:rsidR="00AF691D" w:rsidRPr="00C260AD">
              <w:rPr>
                <w:i/>
                <w:iCs/>
                <w:sz w:val="20"/>
              </w:rPr>
              <w:t> </w:t>
            </w:r>
            <w:r w:rsidRPr="00C260AD">
              <w:rPr>
                <w:i/>
                <w:iCs/>
                <w:sz w:val="20"/>
              </w:rPr>
              <w:t xml:space="preserve">1. </w:t>
            </w:r>
          </w:p>
        </w:tc>
      </w:tr>
    </w:tbl>
    <w:p w14:paraId="3817BF27" w14:textId="77777777" w:rsidR="0000418C" w:rsidRPr="00C260AD" w:rsidRDefault="0000418C" w:rsidP="001527F3">
      <w:pPr>
        <w:spacing w:before="0"/>
        <w:jc w:val="center"/>
        <w:rPr>
          <w:sz w:val="22"/>
        </w:rPr>
      </w:pPr>
    </w:p>
    <w:p w14:paraId="020D1D1A" w14:textId="77777777" w:rsidR="0000418C" w:rsidRPr="00C260AD" w:rsidRDefault="0000418C" w:rsidP="001527F3">
      <w:pPr>
        <w:spacing w:before="100"/>
        <w:jc w:val="right"/>
        <w:rPr>
          <w:i/>
          <w:iCs/>
          <w:sz w:val="20"/>
        </w:rPr>
      </w:pPr>
      <w:r w:rsidRPr="00C260AD">
        <w:rPr>
          <w:i/>
          <w:iCs/>
          <w:sz w:val="20"/>
        </w:rPr>
        <w:t>Publication électronique</w:t>
      </w:r>
    </w:p>
    <w:p w14:paraId="4C22316E" w14:textId="6F6C7BB9" w:rsidR="0000418C" w:rsidRPr="009B4AB4" w:rsidRDefault="0000418C" w:rsidP="001527F3">
      <w:pPr>
        <w:spacing w:before="0"/>
        <w:jc w:val="right"/>
        <w:rPr>
          <w:sz w:val="20"/>
        </w:rPr>
      </w:pPr>
      <w:r w:rsidRPr="009B4AB4">
        <w:rPr>
          <w:sz w:val="20"/>
        </w:rPr>
        <w:t>Genève, 20</w:t>
      </w:r>
      <w:r w:rsidR="00CF209D" w:rsidRPr="009B4AB4">
        <w:rPr>
          <w:sz w:val="20"/>
        </w:rPr>
        <w:t>2</w:t>
      </w:r>
      <w:r w:rsidR="00A76C2A">
        <w:rPr>
          <w:sz w:val="20"/>
        </w:rPr>
        <w:t>2</w:t>
      </w:r>
    </w:p>
    <w:p w14:paraId="56CF31A3" w14:textId="2A4EB219" w:rsidR="0000418C" w:rsidRPr="00C260AD" w:rsidRDefault="0000418C" w:rsidP="001527F3">
      <w:pPr>
        <w:spacing w:before="200"/>
        <w:jc w:val="center"/>
        <w:rPr>
          <w:sz w:val="20"/>
        </w:rPr>
      </w:pPr>
      <w:r w:rsidRPr="00C260AD">
        <w:rPr>
          <w:sz w:val="20"/>
        </w:rPr>
        <w:sym w:font="Symbol" w:char="F0E3"/>
      </w:r>
      <w:r w:rsidRPr="00C260AD">
        <w:rPr>
          <w:sz w:val="20"/>
        </w:rPr>
        <w:t xml:space="preserve"> UIT </w:t>
      </w:r>
      <w:bookmarkStart w:id="2" w:name="iiannee"/>
      <w:bookmarkEnd w:id="2"/>
      <w:r w:rsidRPr="00C260AD">
        <w:rPr>
          <w:sz w:val="20"/>
        </w:rPr>
        <w:t>20</w:t>
      </w:r>
      <w:r w:rsidR="00CF209D" w:rsidRPr="00C260AD">
        <w:rPr>
          <w:sz w:val="20"/>
        </w:rPr>
        <w:t>2</w:t>
      </w:r>
      <w:r w:rsidR="00A76C2A">
        <w:rPr>
          <w:sz w:val="20"/>
        </w:rPr>
        <w:t>2</w:t>
      </w:r>
    </w:p>
    <w:p w14:paraId="65B0218A" w14:textId="37ED5A60" w:rsidR="0000418C" w:rsidRPr="00C260AD" w:rsidRDefault="0000418C" w:rsidP="001527F3">
      <w:pPr>
        <w:rPr>
          <w:sz w:val="18"/>
          <w:szCs w:val="18"/>
        </w:rPr>
      </w:pPr>
      <w:r w:rsidRPr="00C260AD">
        <w:rPr>
          <w:sz w:val="18"/>
          <w:szCs w:val="18"/>
        </w:rPr>
        <w:t>Tous droits réservés. Aucune partie de cette publication ne peut être reproduite, par quelque procédé que ce soit, sans l</w:t>
      </w:r>
      <w:r w:rsidR="00502DCF" w:rsidRPr="00C260AD">
        <w:rPr>
          <w:sz w:val="18"/>
          <w:szCs w:val="18"/>
        </w:rPr>
        <w:t>'</w:t>
      </w:r>
      <w:r w:rsidRPr="00C260AD">
        <w:rPr>
          <w:sz w:val="18"/>
          <w:szCs w:val="18"/>
        </w:rPr>
        <w:t>accord écrit préalable de l</w:t>
      </w:r>
      <w:r w:rsidR="00502DCF" w:rsidRPr="00C260AD">
        <w:rPr>
          <w:sz w:val="18"/>
          <w:szCs w:val="18"/>
        </w:rPr>
        <w:t>'</w:t>
      </w:r>
      <w:r w:rsidRPr="00C260AD">
        <w:rPr>
          <w:sz w:val="18"/>
          <w:szCs w:val="18"/>
        </w:rPr>
        <w:t>UIT.</w:t>
      </w:r>
    </w:p>
    <w:p w14:paraId="3103977B" w14:textId="77777777" w:rsidR="0000418C" w:rsidRPr="00C260AD" w:rsidRDefault="0000418C" w:rsidP="001527F3">
      <w:pPr>
        <w:spacing w:before="160"/>
        <w:rPr>
          <w:i/>
          <w:sz w:val="20"/>
        </w:rPr>
        <w:sectPr w:rsidR="0000418C" w:rsidRPr="00C260AD" w:rsidSect="00B230E4">
          <w:headerReference w:type="even" r:id="rId11"/>
          <w:headerReference w:type="default" r:id="rId12"/>
          <w:pgSz w:w="11907" w:h="16834" w:code="9"/>
          <w:pgMar w:top="1418" w:right="1134" w:bottom="1134" w:left="1134" w:header="720" w:footer="482" w:gutter="0"/>
          <w:pgNumType w:fmt="lowerRoman" w:start="2"/>
          <w:cols w:space="720"/>
        </w:sectPr>
      </w:pPr>
    </w:p>
    <w:p w14:paraId="71D7162F" w14:textId="619B6311" w:rsidR="0000418C" w:rsidRPr="00C260AD" w:rsidRDefault="0000418C" w:rsidP="001527F3">
      <w:pPr>
        <w:pStyle w:val="RecNo"/>
        <w:spacing w:before="0"/>
      </w:pPr>
      <w:bookmarkStart w:id="3" w:name="irecnoe"/>
      <w:bookmarkEnd w:id="3"/>
      <w:proofErr w:type="gramStart"/>
      <w:r w:rsidRPr="00C260AD">
        <w:t xml:space="preserve">RECOMMANDATION  </w:t>
      </w:r>
      <w:r w:rsidRPr="00C260AD">
        <w:rPr>
          <w:rStyle w:val="href"/>
        </w:rPr>
        <w:t>UIT</w:t>
      </w:r>
      <w:proofErr w:type="gramEnd"/>
      <w:r w:rsidRPr="00C260AD">
        <w:rPr>
          <w:rStyle w:val="href"/>
        </w:rPr>
        <w:t>-R  RA.</w:t>
      </w:r>
      <w:r w:rsidR="00CF209D" w:rsidRPr="00C260AD">
        <w:rPr>
          <w:rStyle w:val="href"/>
        </w:rPr>
        <w:t>1031-3</w:t>
      </w:r>
    </w:p>
    <w:p w14:paraId="637AF45F" w14:textId="5C4EB0F6" w:rsidR="0000418C" w:rsidRDefault="00CF209D" w:rsidP="001527F3">
      <w:pPr>
        <w:pStyle w:val="Rectitle"/>
      </w:pPr>
      <w:r w:rsidRPr="00C260AD">
        <w:t>Protection du service de radioastronomie dans les bandes</w:t>
      </w:r>
      <w:r w:rsidRPr="00C260AD">
        <w:br/>
      </w:r>
      <w:r w:rsidRPr="00612330">
        <w:t xml:space="preserve">de fréquences utilisées en partage avec </w:t>
      </w:r>
      <w:r w:rsidR="00612330" w:rsidRPr="00612330">
        <w:t>des</w:t>
      </w:r>
      <w:r w:rsidRPr="00612330">
        <w:t xml:space="preserve"> services</w:t>
      </w:r>
      <w:r w:rsidR="00612330" w:rsidRPr="00612330">
        <w:t xml:space="preserve"> actifs</w:t>
      </w:r>
    </w:p>
    <w:p w14:paraId="781C59B8" w14:textId="2A165AB5" w:rsidR="00502DCF" w:rsidRPr="00C260AD" w:rsidRDefault="00502DCF" w:rsidP="00502DCF">
      <w:pPr>
        <w:pStyle w:val="Recref"/>
      </w:pPr>
      <w:r w:rsidRPr="00C260AD">
        <w:t>(Question UIT-R 145/7)</w:t>
      </w:r>
    </w:p>
    <w:p w14:paraId="7EFDBE8B" w14:textId="19FE5F6C" w:rsidR="0000418C" w:rsidRPr="00C260AD" w:rsidRDefault="0000418C" w:rsidP="001527F3">
      <w:pPr>
        <w:pStyle w:val="Recdate"/>
      </w:pPr>
      <w:r w:rsidRPr="00C260AD">
        <w:t>(</w:t>
      </w:r>
      <w:r w:rsidR="00CF209D" w:rsidRPr="00C260AD">
        <w:t>1994-1995-2007-2021</w:t>
      </w:r>
      <w:r w:rsidRPr="00C260AD">
        <w:t>)</w:t>
      </w:r>
    </w:p>
    <w:p w14:paraId="6783D91F" w14:textId="2BA3E2C8" w:rsidR="0000418C" w:rsidRPr="00C260AD" w:rsidRDefault="00B64ECD" w:rsidP="001527F3">
      <w:pPr>
        <w:pStyle w:val="HeadingSum"/>
        <w:rPr>
          <w:lang w:val="fr-FR"/>
        </w:rPr>
      </w:pPr>
      <w:r w:rsidRPr="00C260AD">
        <w:rPr>
          <w:lang w:val="fr-FR"/>
        </w:rPr>
        <w:t>Domaine</w:t>
      </w:r>
      <w:r w:rsidR="0000418C" w:rsidRPr="00C260AD">
        <w:rPr>
          <w:lang w:val="fr-FR"/>
        </w:rPr>
        <w:t xml:space="preserve"> d</w:t>
      </w:r>
      <w:r w:rsidR="00CF209D" w:rsidRPr="00C260AD">
        <w:rPr>
          <w:lang w:val="fr-FR"/>
        </w:rPr>
        <w:t>e compétence</w:t>
      </w:r>
    </w:p>
    <w:p w14:paraId="482D7991" w14:textId="5E36D61F" w:rsidR="0000418C" w:rsidRPr="00C260AD" w:rsidRDefault="00CF209D" w:rsidP="001527F3">
      <w:pPr>
        <w:pStyle w:val="Summary"/>
        <w:rPr>
          <w:lang w:val="fr-FR"/>
        </w:rPr>
      </w:pPr>
      <w:r w:rsidRPr="00C260AD">
        <w:rPr>
          <w:lang w:val="fr-FR"/>
        </w:rPr>
        <w:t>La présente Recommandation contient des lignes directrices pratiques pour le cas où une ou plusieurs administrations, lors des négociations qu'elles engagent, établissent des zones de coordination autour des stations de radioastronomie pour protéger le service de radioastronomie contre les brouillages causés par des services de radiocommunication de Terre ou des stations terriennes d'émission utilisées par des services de radiocommunication spatiale partageant des bandes de fréquences avec le service de radioastronomie.</w:t>
      </w:r>
    </w:p>
    <w:p w14:paraId="139D7A75" w14:textId="77777777" w:rsidR="0000418C" w:rsidRPr="00C260AD" w:rsidRDefault="0000418C" w:rsidP="001527F3">
      <w:pPr>
        <w:pStyle w:val="Normalaftertitle"/>
      </w:pPr>
      <w:r w:rsidRPr="00C260AD">
        <w:t>L'Assemblée des radiocommunications de l'UIT,</w:t>
      </w:r>
    </w:p>
    <w:p w14:paraId="1B6F989F" w14:textId="77777777" w:rsidR="0000418C" w:rsidRPr="00C260AD" w:rsidRDefault="0000418C" w:rsidP="001527F3">
      <w:pPr>
        <w:pStyle w:val="Call"/>
      </w:pPr>
      <w:proofErr w:type="gramStart"/>
      <w:r w:rsidRPr="00C260AD">
        <w:t>considérant</w:t>
      </w:r>
      <w:proofErr w:type="gramEnd"/>
    </w:p>
    <w:p w14:paraId="3102BE86" w14:textId="77777777" w:rsidR="00CF209D" w:rsidRPr="00C260AD" w:rsidRDefault="00CF209D" w:rsidP="001527F3">
      <w:r w:rsidRPr="00C260AD">
        <w:rPr>
          <w:i/>
          <w:iCs/>
          <w:szCs w:val="24"/>
        </w:rPr>
        <w:t>a)</w:t>
      </w:r>
      <w:r w:rsidRPr="00C260AD">
        <w:rPr>
          <w:szCs w:val="24"/>
        </w:rPr>
        <w:tab/>
        <w:t>que le service de radioastron</w:t>
      </w:r>
      <w:r w:rsidRPr="00C260AD">
        <w:t xml:space="preserve">omie repose sur la réception d'émissions naturelles avec des niveaux de puissance bien inférieurs à ceux que l'on utilise d'ordinaire dans les autres services radioélectriques et qu'il est donc particulièrement vulnérable aux brouillages préjudiciables émanant d'émetteurs fonctionnant dans des bandes de fréquences utilisées en </w:t>
      </w:r>
      <w:proofErr w:type="gramStart"/>
      <w:r w:rsidRPr="00C260AD">
        <w:t>partage;</w:t>
      </w:r>
      <w:proofErr w:type="gramEnd"/>
    </w:p>
    <w:p w14:paraId="5153EB14" w14:textId="77777777" w:rsidR="00CF209D" w:rsidRPr="00C260AD" w:rsidRDefault="00CF209D" w:rsidP="001527F3">
      <w:r w:rsidRPr="00C260AD">
        <w:rPr>
          <w:i/>
          <w:iCs/>
        </w:rPr>
        <w:t>b)</w:t>
      </w:r>
      <w:r w:rsidRPr="00C260AD">
        <w:tab/>
        <w:t xml:space="preserve">que les nombreuses bandes de fréquences attribuées au service de radioastronomie sont aussi attribuées à d'autres services émettant dans ces </w:t>
      </w:r>
      <w:proofErr w:type="gramStart"/>
      <w:r w:rsidRPr="00C260AD">
        <w:t>bandes;</w:t>
      </w:r>
      <w:proofErr w:type="gramEnd"/>
    </w:p>
    <w:p w14:paraId="1B6E3449" w14:textId="1A2A01E5" w:rsidR="00CF209D" w:rsidRPr="00C260AD" w:rsidRDefault="00CF209D" w:rsidP="001527F3">
      <w:r w:rsidRPr="00C260AD">
        <w:rPr>
          <w:i/>
          <w:iCs/>
        </w:rPr>
        <w:t>c)</w:t>
      </w:r>
      <w:r w:rsidRPr="00C260AD">
        <w:tab/>
        <w:t>que la protection contre les brouillages préjudiciables est essentielle pour le développement du service de radioastronomie et que les bandes de fréquences préférées pour la radioastronomie sont indiquées dans la Recommandation UIT-R RA.</w:t>
      </w:r>
      <w:proofErr w:type="gramStart"/>
      <w:r w:rsidRPr="00C260AD">
        <w:t>314;</w:t>
      </w:r>
      <w:proofErr w:type="gramEnd"/>
    </w:p>
    <w:p w14:paraId="6DD89C13" w14:textId="77777777" w:rsidR="00CF209D" w:rsidRPr="00C260AD" w:rsidRDefault="00CF209D" w:rsidP="001527F3">
      <w:r w:rsidRPr="00C260AD">
        <w:rPr>
          <w:i/>
          <w:iCs/>
        </w:rPr>
        <w:t>d)</w:t>
      </w:r>
      <w:r w:rsidRPr="00C260AD">
        <w:tab/>
        <w:t xml:space="preserve">que les seuils de brouillage préjudiciable au </w:t>
      </w:r>
      <w:r w:rsidRPr="00C260AD">
        <w:rPr>
          <w:szCs w:val="24"/>
        </w:rPr>
        <w:t>service</w:t>
      </w:r>
      <w:r w:rsidRPr="00C260AD">
        <w:t xml:space="preserve"> de radioastronomie et les niveaux des critères de perte de données sont indiqués dans la série RA pertinente des Recommandations de l'UIT</w:t>
      </w:r>
      <w:r w:rsidRPr="00C260AD">
        <w:noBreakHyphen/>
      </w:r>
      <w:proofErr w:type="gramStart"/>
      <w:r w:rsidRPr="00C260AD">
        <w:t>R;</w:t>
      </w:r>
      <w:proofErr w:type="gramEnd"/>
    </w:p>
    <w:p w14:paraId="29E870A7" w14:textId="77777777" w:rsidR="00CF209D" w:rsidRPr="00C260AD" w:rsidRDefault="00CF209D" w:rsidP="001527F3">
      <w:r w:rsidRPr="00C260AD">
        <w:rPr>
          <w:i/>
          <w:iCs/>
        </w:rPr>
        <w:t>e)</w:t>
      </w:r>
      <w:r w:rsidRPr="00C260AD">
        <w:tab/>
        <w:t xml:space="preserve">qu'il peut être nécessaire de tenir compte des caractéristiques détaillées du brouillage et du type particulier de mesure radioastronomique lors de l'établissement des critères de </w:t>
      </w:r>
      <w:proofErr w:type="gramStart"/>
      <w:r w:rsidRPr="00C260AD">
        <w:t>partage;</w:t>
      </w:r>
      <w:proofErr w:type="gramEnd"/>
    </w:p>
    <w:p w14:paraId="553671EF" w14:textId="77777777" w:rsidR="00CF209D" w:rsidRPr="00C260AD" w:rsidRDefault="00CF209D" w:rsidP="001527F3">
      <w:r w:rsidRPr="00C260AD">
        <w:rPr>
          <w:i/>
          <w:iCs/>
        </w:rPr>
        <w:t>f)</w:t>
      </w:r>
      <w:r w:rsidRPr="00C260AD">
        <w:tab/>
        <w:t xml:space="preserve">que les emplacements servant à la radioastronomie sont soigneusement choisis et que leurs caractéristiques peuvent fortement influencer les calculs en matière de </w:t>
      </w:r>
      <w:proofErr w:type="gramStart"/>
      <w:r w:rsidRPr="00C260AD">
        <w:t>partage;</w:t>
      </w:r>
      <w:proofErr w:type="gramEnd"/>
    </w:p>
    <w:p w14:paraId="24BDD1AA" w14:textId="23FA5739" w:rsidR="00CF209D" w:rsidRPr="00C260AD" w:rsidRDefault="00CF209D" w:rsidP="001527F3">
      <w:r w:rsidRPr="00C260AD">
        <w:rPr>
          <w:i/>
          <w:iCs/>
        </w:rPr>
        <w:t>g)</w:t>
      </w:r>
      <w:r w:rsidRPr="00C260AD">
        <w:tab/>
        <w:t>que le partage des fréquences n'est généralement pas possible pour les émetteurs se trouvant en visibilité directe d'une antenne de radioastronomie,</w:t>
      </w:r>
    </w:p>
    <w:p w14:paraId="2121398E" w14:textId="77777777" w:rsidR="00CF209D" w:rsidRPr="00C260AD" w:rsidRDefault="00CF209D" w:rsidP="001527F3">
      <w:pPr>
        <w:pStyle w:val="Call"/>
      </w:pPr>
      <w:proofErr w:type="gramStart"/>
      <w:r w:rsidRPr="00C260AD">
        <w:t>recommande</w:t>
      </w:r>
      <w:proofErr w:type="gramEnd"/>
    </w:p>
    <w:p w14:paraId="12A9CB6A" w14:textId="77777777" w:rsidR="00CF209D" w:rsidRPr="00C260AD" w:rsidRDefault="00CF209D" w:rsidP="001527F3">
      <w:r w:rsidRPr="00C260AD">
        <w:rPr>
          <w:b/>
        </w:rPr>
        <w:t>1</w:t>
      </w:r>
      <w:r w:rsidRPr="00C260AD">
        <w:tab/>
        <w:t xml:space="preserve">aux administrations, qui procèdent à des assignations aux services partageant des bandes de fréquences avec le service de radioastronomie, de prendre toutes les mesures possibles pour éviter de causer des brouillages préjudiciables au service de </w:t>
      </w:r>
      <w:proofErr w:type="gramStart"/>
      <w:r w:rsidRPr="00C260AD">
        <w:t>radioastronomie;</w:t>
      </w:r>
      <w:proofErr w:type="gramEnd"/>
    </w:p>
    <w:p w14:paraId="16ED5849" w14:textId="77777777" w:rsidR="00CF209D" w:rsidRPr="00C260AD" w:rsidRDefault="00CF209D" w:rsidP="001527F3">
      <w:r w:rsidRPr="00C260AD">
        <w:rPr>
          <w:b/>
        </w:rPr>
        <w:t>2</w:t>
      </w:r>
      <w:r w:rsidRPr="00C260AD">
        <w:tab/>
        <w:t xml:space="preserve">de veiller à protéger les emplacements servant à la radioastronomie contre les brouillages préjudiciables causés par des émetteurs utilisés pour les radiocommunications de Terre ou par des stations terriennes d'émission utilisées pour les radiocommunications spatiales dans les bandes utilisées en partage avec le service de radioastronomie avec égalité des droits, par l'établissement de zones de coordination autour des emplacements servant à la </w:t>
      </w:r>
      <w:proofErr w:type="gramStart"/>
      <w:r w:rsidRPr="00C260AD">
        <w:t>radioastronomie;</w:t>
      </w:r>
      <w:proofErr w:type="gramEnd"/>
    </w:p>
    <w:p w14:paraId="2A609388" w14:textId="77777777" w:rsidR="00CF209D" w:rsidRPr="00C260AD" w:rsidRDefault="00CF209D" w:rsidP="001527F3">
      <w:r w:rsidRPr="00C260AD">
        <w:rPr>
          <w:b/>
        </w:rPr>
        <w:t>3</w:t>
      </w:r>
      <w:r w:rsidRPr="00C260AD">
        <w:tab/>
        <w:t>de calculer la zone de coordination en tenant compte de la méthode indiquée dans l'Annexe 1.</w:t>
      </w:r>
      <w:bookmarkStart w:id="4" w:name="dsgno"/>
      <w:bookmarkEnd w:id="4"/>
    </w:p>
    <w:p w14:paraId="20068D72" w14:textId="2DC7ADD0" w:rsidR="00CF209D" w:rsidRPr="00C260AD" w:rsidRDefault="00CF209D" w:rsidP="001527F3">
      <w:pPr>
        <w:pStyle w:val="AnnexNoTitle"/>
      </w:pPr>
      <w:r w:rsidRPr="00C260AD">
        <w:t>Annexe</w:t>
      </w:r>
      <w:r w:rsidR="00981C70" w:rsidRPr="00C260AD">
        <w:t> </w:t>
      </w:r>
      <w:r w:rsidRPr="00C260AD">
        <w:t>1</w:t>
      </w:r>
      <w:r w:rsidRPr="00C260AD">
        <w:br/>
      </w:r>
      <w:r w:rsidRPr="00C260AD">
        <w:br/>
        <w:t>Considérations relatives à la coordination</w:t>
      </w:r>
    </w:p>
    <w:p w14:paraId="366D18AB" w14:textId="77777777" w:rsidR="00CF209D" w:rsidRPr="00C260AD" w:rsidRDefault="00CF209D" w:rsidP="001527F3">
      <w:pPr>
        <w:pStyle w:val="Heading1"/>
      </w:pPr>
      <w:r w:rsidRPr="00C260AD">
        <w:t>1</w:t>
      </w:r>
      <w:r w:rsidRPr="00C260AD">
        <w:tab/>
        <w:t>Généralités</w:t>
      </w:r>
    </w:p>
    <w:p w14:paraId="12583230" w14:textId="77777777" w:rsidR="00CF209D" w:rsidRPr="00C260AD" w:rsidRDefault="00CF209D" w:rsidP="001527F3">
      <w:r w:rsidRPr="00C260AD">
        <w:t>Les emplacements servant à la radioastronomie sont spécialement choisis de telle manière que les brouillages causés par les émetteurs à la surface de la Terre soient réduits au minimum. Ces emplacements sont en général situés à une très grande distance des principales sources fixes de brouillage de Terre et peuvent être protégés par des hauteurs de terrain avoisinantes.</w:t>
      </w:r>
    </w:p>
    <w:p w14:paraId="5C8A1BA6" w14:textId="369509EF" w:rsidR="00CF209D" w:rsidRPr="00C260AD" w:rsidRDefault="00CF209D" w:rsidP="001527F3">
      <w:r w:rsidRPr="00C260AD">
        <w:t>De nombreuses mesures de radioastronomie peuvent tolérer, de la part d'un service utilisé en partage, des niveaux de brouillage qui dépassent les seuils de brouillage préjudiciable pendant 2% du temps de mesure, à condition qu'aucun autre mécanisme de perte de données n'entre en jeu. Toutefois, certaines mesures comme celles qui font intervenir des phénomènes transitoires et celles qui sont liées à des observations simultanées effectuées dans de nombreux emplacements sur la Terre peuvent être fortement perturbées par des brouillages intervenant à des moments inopportuns.</w:t>
      </w:r>
    </w:p>
    <w:p w14:paraId="3953A2B2" w14:textId="77777777" w:rsidR="00CF209D" w:rsidRPr="00C260AD" w:rsidRDefault="00CF209D" w:rsidP="001527F3">
      <w:pPr>
        <w:pStyle w:val="Heading1"/>
      </w:pPr>
      <w:r w:rsidRPr="00C260AD">
        <w:t>2</w:t>
      </w:r>
      <w:r w:rsidRPr="00C260AD">
        <w:tab/>
        <w:t>Distances de séparation nécessaires pour le partage</w:t>
      </w:r>
    </w:p>
    <w:p w14:paraId="58955603" w14:textId="27ED3D04" w:rsidR="00CF209D" w:rsidRPr="00C260AD" w:rsidRDefault="00CF209D" w:rsidP="001527F3">
      <w:r w:rsidRPr="00C260AD">
        <w:t>Pour que le partage géographique soit efficace, il faut que l'émetteur brouilleur et le récepteur brouillé soient séparés par une distance suffisante afin que le brouillage tombe à un niveau qui n'est pas considéré comme étant préjudiciable. L'Appendice</w:t>
      </w:r>
      <w:r w:rsidR="00981C70" w:rsidRPr="00C260AD">
        <w:t> </w:t>
      </w:r>
      <w:r w:rsidRPr="00C260AD">
        <w:t xml:space="preserve">7 du Règlement des radiocommunications définit un affaiblissement de transmission de référence </w:t>
      </w:r>
      <w:proofErr w:type="gramStart"/>
      <w:r w:rsidRPr="00C260AD">
        <w:rPr>
          <w:i/>
        </w:rPr>
        <w:t>L</w:t>
      </w:r>
      <w:r w:rsidRPr="00C260AD">
        <w:rPr>
          <w:i/>
          <w:position w:val="-4"/>
          <w:sz w:val="16"/>
        </w:rPr>
        <w:t>b</w:t>
      </w:r>
      <w:r w:rsidRPr="00C260AD">
        <w:t>(</w:t>
      </w:r>
      <w:r w:rsidRPr="00C260AD">
        <w:rPr>
          <w:rFonts w:ascii="Tms Rmn" w:hAnsi="Tms Rmn"/>
          <w:sz w:val="12"/>
        </w:rPr>
        <w:t> </w:t>
      </w:r>
      <w:r w:rsidRPr="00C260AD">
        <w:rPr>
          <w:i/>
        </w:rPr>
        <w:t>p</w:t>
      </w:r>
      <w:proofErr w:type="gramEnd"/>
      <w:r w:rsidRPr="00C260AD">
        <w:t>) par la relation:</w:t>
      </w:r>
    </w:p>
    <w:p w14:paraId="741198A3" w14:textId="03AE34EE" w:rsidR="00CF209D" w:rsidRPr="00C260AD" w:rsidRDefault="00CF209D" w:rsidP="00A76C2A">
      <w:pPr>
        <w:pStyle w:val="Equation"/>
      </w:pPr>
      <w:bookmarkStart w:id="5" w:name="F001"/>
      <w:r w:rsidRPr="00C260AD">
        <w:tab/>
      </w:r>
      <w:r w:rsidRPr="00C260AD">
        <w:tab/>
      </w:r>
      <w:r w:rsidRPr="00C260AD">
        <w:rPr>
          <w:i/>
        </w:rPr>
        <w:t>L</w:t>
      </w:r>
      <w:r w:rsidRPr="00C260AD">
        <w:rPr>
          <w:i/>
          <w:position w:val="-4"/>
          <w:sz w:val="18"/>
        </w:rPr>
        <w:t>b</w:t>
      </w:r>
      <w:r w:rsidRPr="00C260AD">
        <w:t>(</w:t>
      </w:r>
      <w:proofErr w:type="gramStart"/>
      <w:r w:rsidRPr="00C260AD">
        <w:rPr>
          <w:i/>
        </w:rPr>
        <w:t>p</w:t>
      </w:r>
      <w:r w:rsidRPr="00C260AD">
        <w:t>)  =</w:t>
      </w:r>
      <w:proofErr w:type="gramEnd"/>
      <w:r w:rsidRPr="00C260AD">
        <w:t xml:space="preserve">  </w:t>
      </w:r>
      <w:r w:rsidRPr="00C260AD">
        <w:rPr>
          <w:i/>
        </w:rPr>
        <w:t>P</w:t>
      </w:r>
      <w:r w:rsidRPr="00C260AD">
        <w:rPr>
          <w:i/>
          <w:position w:val="-4"/>
          <w:sz w:val="18"/>
        </w:rPr>
        <w:t>t</w:t>
      </w:r>
      <w:r w:rsidRPr="00C260AD">
        <w:t xml:space="preserve">  </w:t>
      </w:r>
      <w:r w:rsidRPr="00C260AD">
        <w:rPr>
          <w:rFonts w:ascii="Symbol" w:hAnsi="Symbol"/>
        </w:rPr>
        <w:t></w:t>
      </w:r>
      <w:r w:rsidRPr="00C260AD">
        <w:t xml:space="preserve">  </w:t>
      </w:r>
      <w:r w:rsidRPr="00C260AD">
        <w:rPr>
          <w:i/>
        </w:rPr>
        <w:t>G</w:t>
      </w:r>
      <w:r w:rsidRPr="00C260AD">
        <w:rPr>
          <w:i/>
          <w:position w:val="-4"/>
          <w:sz w:val="18"/>
        </w:rPr>
        <w:t>t</w:t>
      </w:r>
      <w:r w:rsidRPr="00C260AD">
        <w:t xml:space="preserve">  </w:t>
      </w:r>
      <w:r w:rsidRPr="00C260AD">
        <w:rPr>
          <w:rFonts w:ascii="Symbol" w:hAnsi="Symbol"/>
        </w:rPr>
        <w:t></w:t>
      </w:r>
      <w:r w:rsidRPr="00C260AD">
        <w:t xml:space="preserve">  </w:t>
      </w:r>
      <w:r w:rsidRPr="00C260AD">
        <w:rPr>
          <w:i/>
        </w:rPr>
        <w:t>G</w:t>
      </w:r>
      <w:r w:rsidRPr="00C260AD">
        <w:rPr>
          <w:i/>
          <w:position w:val="-4"/>
          <w:sz w:val="18"/>
        </w:rPr>
        <w:t>r</w:t>
      </w:r>
      <w:r w:rsidRPr="00C260AD">
        <w:t xml:space="preserve">  –  </w:t>
      </w:r>
      <w:r w:rsidRPr="00C260AD">
        <w:rPr>
          <w:i/>
        </w:rPr>
        <w:t>P</w:t>
      </w:r>
      <w:r w:rsidRPr="00C260AD">
        <w:rPr>
          <w:i/>
          <w:position w:val="-4"/>
          <w:sz w:val="18"/>
        </w:rPr>
        <w:t>r</w:t>
      </w:r>
      <w:r w:rsidRPr="00C260AD">
        <w:t>(</w:t>
      </w:r>
      <w:r w:rsidRPr="00C260AD">
        <w:rPr>
          <w:i/>
        </w:rPr>
        <w:t>p</w:t>
      </w:r>
      <w:r w:rsidRPr="00C260AD">
        <w:t>)</w:t>
      </w:r>
      <w:r w:rsidRPr="00C260AD">
        <w:tab/>
        <w:t>(1)</w:t>
      </w:r>
      <w:bookmarkEnd w:id="5"/>
    </w:p>
    <w:p w14:paraId="6219A677" w14:textId="77777777" w:rsidR="00CF209D" w:rsidRPr="00C260AD" w:rsidRDefault="00CF209D" w:rsidP="001527F3">
      <w:proofErr w:type="gramStart"/>
      <w:r w:rsidRPr="00C260AD">
        <w:t>où:</w:t>
      </w:r>
      <w:proofErr w:type="gramEnd"/>
    </w:p>
    <w:p w14:paraId="0D1409D0" w14:textId="30155B73" w:rsidR="00CF209D" w:rsidRPr="00C260AD" w:rsidRDefault="00CF209D" w:rsidP="00A76C2A">
      <w:pPr>
        <w:pStyle w:val="Equationlegend"/>
      </w:pPr>
      <w:r w:rsidRPr="00C260AD">
        <w:rPr>
          <w:i/>
        </w:rPr>
        <w:tab/>
        <w:t>L</w:t>
      </w:r>
      <w:r w:rsidRPr="00C260AD">
        <w:rPr>
          <w:i/>
          <w:position w:val="-4"/>
          <w:sz w:val="16"/>
        </w:rPr>
        <w:t>b</w:t>
      </w:r>
      <w:r w:rsidRPr="00C260AD">
        <w:t>(</w:t>
      </w:r>
      <w:r w:rsidRPr="00C260AD">
        <w:rPr>
          <w:i/>
        </w:rPr>
        <w:t>p</w:t>
      </w:r>
      <w:r w:rsidRPr="00C260AD">
        <w:t>):</w:t>
      </w:r>
      <w:r w:rsidRPr="00C260AD">
        <w:tab/>
        <w:t xml:space="preserve">affaiblissement de transmission de référence minimal admissible (dB) pendant </w:t>
      </w:r>
      <w:r w:rsidRPr="00C260AD">
        <w:rPr>
          <w:i/>
        </w:rPr>
        <w:t>p</w:t>
      </w:r>
      <w:r w:rsidRPr="00C260AD">
        <w:rPr>
          <w:iCs/>
        </w:rPr>
        <w:t>%</w:t>
      </w:r>
      <w:r w:rsidRPr="00C260AD">
        <w:t xml:space="preserve"> du temps; l'affaiblissement de transmission effectif doit dépasser cette valeur pendant (100 – </w:t>
      </w:r>
      <w:proofErr w:type="gramStart"/>
      <w:r w:rsidRPr="00C260AD">
        <w:rPr>
          <w:i/>
        </w:rPr>
        <w:t>p</w:t>
      </w:r>
      <w:r w:rsidRPr="00C260AD">
        <w:t>)</w:t>
      </w:r>
      <w:r w:rsidRPr="00C260AD">
        <w:rPr>
          <w:iCs/>
        </w:rPr>
        <w:t>%</w:t>
      </w:r>
      <w:proofErr w:type="gramEnd"/>
      <w:r w:rsidRPr="00C260AD">
        <w:t xml:space="preserve"> du temps</w:t>
      </w:r>
    </w:p>
    <w:p w14:paraId="54C91739" w14:textId="288E30BF" w:rsidR="00CF209D" w:rsidRPr="00C260AD" w:rsidRDefault="00CF209D" w:rsidP="00A76C2A">
      <w:pPr>
        <w:pStyle w:val="Equationlegend"/>
      </w:pPr>
      <w:r w:rsidRPr="00C260AD">
        <w:rPr>
          <w:i/>
        </w:rPr>
        <w:tab/>
        <w:t>P</w:t>
      </w:r>
      <w:r w:rsidRPr="00C260AD">
        <w:rPr>
          <w:i/>
          <w:position w:val="-4"/>
          <w:sz w:val="16"/>
        </w:rPr>
        <w:t>t</w:t>
      </w:r>
      <w:r w:rsidRPr="00C260AD">
        <w:t>:</w:t>
      </w:r>
      <w:r w:rsidRPr="00C260AD">
        <w:tab/>
        <w:t>puissance transmise (dBW) dans la largeur de bande de référence, la mesure se faisant à l'entrée de l'antenne</w:t>
      </w:r>
    </w:p>
    <w:p w14:paraId="418CDB6B" w14:textId="47783A78" w:rsidR="00CF209D" w:rsidRPr="00C260AD" w:rsidRDefault="00CF209D" w:rsidP="00A76C2A">
      <w:pPr>
        <w:pStyle w:val="Equationlegend"/>
      </w:pPr>
      <w:r w:rsidRPr="00C260AD">
        <w:rPr>
          <w:i/>
        </w:rPr>
        <w:tab/>
        <w:t>G</w:t>
      </w:r>
      <w:r w:rsidRPr="00C260AD">
        <w:rPr>
          <w:i/>
          <w:position w:val="-4"/>
          <w:sz w:val="16"/>
        </w:rPr>
        <w:t>t</w:t>
      </w:r>
      <w:r w:rsidRPr="00C260AD">
        <w:t>:</w:t>
      </w:r>
      <w:r w:rsidRPr="00C260AD">
        <w:tab/>
        <w:t>gain (dBi) de l'antenne d'émission dans la direction de l'antenne de radioastronomie</w:t>
      </w:r>
    </w:p>
    <w:p w14:paraId="53CA7F6C" w14:textId="77777777" w:rsidR="00CF209D" w:rsidRPr="00C260AD" w:rsidRDefault="00CF209D" w:rsidP="00A76C2A">
      <w:pPr>
        <w:pStyle w:val="Equationlegend"/>
      </w:pPr>
      <w:r w:rsidRPr="00C260AD">
        <w:rPr>
          <w:i/>
        </w:rPr>
        <w:tab/>
        <w:t>G</w:t>
      </w:r>
      <w:r w:rsidRPr="00C260AD">
        <w:rPr>
          <w:i/>
          <w:position w:val="-4"/>
          <w:sz w:val="16"/>
        </w:rPr>
        <w:t>r</w:t>
      </w:r>
      <w:r w:rsidRPr="00C260AD">
        <w:t>:</w:t>
      </w:r>
      <w:r w:rsidRPr="00C260AD">
        <w:tab/>
        <w:t>gain (dBi) de l'antenne de radioastronomie dans la direction de l'émetteur</w:t>
      </w:r>
    </w:p>
    <w:p w14:paraId="1A872D20" w14:textId="0E6C250A" w:rsidR="00CF209D" w:rsidRPr="00C260AD" w:rsidRDefault="00CF209D" w:rsidP="00A76C2A">
      <w:pPr>
        <w:pStyle w:val="Equationlegend"/>
      </w:pPr>
      <w:r w:rsidRPr="00C260AD">
        <w:rPr>
          <w:i/>
        </w:rPr>
        <w:tab/>
        <w:t>P</w:t>
      </w:r>
      <w:r w:rsidRPr="00C260AD">
        <w:rPr>
          <w:i/>
          <w:position w:val="-4"/>
          <w:sz w:val="16"/>
        </w:rPr>
        <w:t>r</w:t>
      </w:r>
      <w:r w:rsidRPr="00C260AD">
        <w:t>(</w:t>
      </w:r>
      <w:r w:rsidRPr="00C260AD">
        <w:rPr>
          <w:i/>
        </w:rPr>
        <w:t>p</w:t>
      </w:r>
      <w:r w:rsidRPr="00C260AD">
        <w:t>):</w:t>
      </w:r>
      <w:r w:rsidRPr="00C260AD">
        <w:tab/>
        <w:t xml:space="preserve">puissance de brouillage maximale (dBW) admissible dans la largeur de bande de référence, qui ne doit pas être dépassée pendant plus de </w:t>
      </w:r>
      <w:r w:rsidRPr="00C260AD">
        <w:rPr>
          <w:i/>
        </w:rPr>
        <w:t>p</w:t>
      </w:r>
      <w:r w:rsidRPr="00C260AD">
        <w:rPr>
          <w:iCs/>
        </w:rPr>
        <w:t>%</w:t>
      </w:r>
      <w:r w:rsidRPr="00C260AD">
        <w:t xml:space="preserve"> du temps au maximum à l'entrée du récepteur.</w:t>
      </w:r>
    </w:p>
    <w:p w14:paraId="4EDAE4C3" w14:textId="77777777" w:rsidR="00CF209D" w:rsidRPr="00C260AD" w:rsidRDefault="00CF209D" w:rsidP="001527F3">
      <w:r w:rsidRPr="00C260AD">
        <w:t xml:space="preserve">Toutefois, pour une observation de radioastronomie, la puissance reçue est intégrée sur une </w:t>
      </w:r>
      <w:r w:rsidRPr="00C260AD">
        <w:br/>
        <w:t xml:space="preserve">période </w:t>
      </w:r>
      <w:r w:rsidRPr="00C260AD">
        <w:rPr>
          <w:i/>
          <w:iCs/>
        </w:rPr>
        <w:t>T</w:t>
      </w:r>
      <w:r w:rsidRPr="00C260AD">
        <w:t>, afin d'obtenir une meilleure sensibilité. Le résultat de cette intégration est appelé observation dans les paragraphes qui suivent.</w:t>
      </w:r>
    </w:p>
    <w:p w14:paraId="3E86F943" w14:textId="77777777" w:rsidR="00CF209D" w:rsidRPr="00C260AD" w:rsidRDefault="00CF209D" w:rsidP="001527F3">
      <w:r w:rsidRPr="00C260AD">
        <w:t xml:space="preserve">La puissance reçue d'une source de brouillage au cours d'une observation peut être exprimée de la façon </w:t>
      </w:r>
      <w:proofErr w:type="gramStart"/>
      <w:r w:rsidRPr="00C260AD">
        <w:t>suivante:</w:t>
      </w:r>
      <w:proofErr w:type="gramEnd"/>
    </w:p>
    <w:p w14:paraId="5B1552CF" w14:textId="77777777" w:rsidR="00CF209D" w:rsidRPr="00C260AD" w:rsidRDefault="00CF209D" w:rsidP="00A76C2A">
      <w:pPr>
        <w:pStyle w:val="Equation"/>
      </w:pPr>
      <w:r w:rsidRPr="00C260AD">
        <w:tab/>
      </w:r>
      <w:r w:rsidRPr="00C260AD">
        <w:tab/>
      </w:r>
      <w:r w:rsidRPr="00C260AD">
        <w:rPr>
          <w:position w:val="-34"/>
        </w:rPr>
        <w:object w:dxaOrig="2560" w:dyaOrig="780" w14:anchorId="0A9EBD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5pt;height:35.5pt" o:ole="">
            <v:imagedata r:id="rId13" o:title=""/>
          </v:shape>
          <o:OLEObject Type="Embed" ProgID="Equation.3" ShapeID="_x0000_i1025" DrawAspect="Content" ObjectID="_1709115452" r:id="rId14"/>
        </w:object>
      </w:r>
      <w:r w:rsidRPr="00C260AD">
        <w:tab/>
        <w:t>(2)</w:t>
      </w:r>
    </w:p>
    <w:p w14:paraId="5C16B660" w14:textId="77777777" w:rsidR="00CF209D" w:rsidRPr="00C260AD" w:rsidRDefault="00CF209D" w:rsidP="00502DCF">
      <w:pPr>
        <w:keepNext/>
        <w:keepLines/>
      </w:pPr>
      <w:proofErr w:type="gramStart"/>
      <w:r w:rsidRPr="00C260AD">
        <w:t>où</w:t>
      </w:r>
      <w:proofErr w:type="gramEnd"/>
      <w:r w:rsidRPr="00C260AD">
        <w:t xml:space="preserve"> les grandeurs ci-après sont exprimées sous forme linéaire:</w:t>
      </w:r>
    </w:p>
    <w:p w14:paraId="6E5F5F48" w14:textId="5A5A7AC3" w:rsidR="00CF209D" w:rsidRPr="00C260AD" w:rsidRDefault="00CF209D" w:rsidP="00A76C2A">
      <w:pPr>
        <w:pStyle w:val="Equationlegend"/>
      </w:pPr>
      <w:r w:rsidRPr="00C260AD">
        <w:rPr>
          <w:i/>
        </w:rPr>
        <w:tab/>
        <w:t>L</w:t>
      </w:r>
      <w:r w:rsidRPr="00C260AD">
        <w:rPr>
          <w:i/>
          <w:position w:val="-4"/>
          <w:sz w:val="16"/>
        </w:rPr>
        <w:t>p</w:t>
      </w:r>
      <w:r w:rsidRPr="00C260AD">
        <w:t>(</w:t>
      </w:r>
      <w:r w:rsidRPr="00C260AD">
        <w:rPr>
          <w:rFonts w:ascii="Tms Rmn" w:hAnsi="Tms Rmn"/>
          <w:i/>
          <w:iCs/>
          <w:szCs w:val="24"/>
        </w:rPr>
        <w:t>i</w:t>
      </w:r>
      <w:proofErr w:type="gramStart"/>
      <w:r w:rsidRPr="00C260AD">
        <w:t>):</w:t>
      </w:r>
      <w:proofErr w:type="gramEnd"/>
      <w:r w:rsidRPr="00C260AD">
        <w:tab/>
        <w:t xml:space="preserve">affaiblissement de propagation à l'instant </w:t>
      </w:r>
      <w:r w:rsidRPr="00C260AD">
        <w:rPr>
          <w:i/>
          <w:iCs/>
        </w:rPr>
        <w:t>i</w:t>
      </w:r>
    </w:p>
    <w:p w14:paraId="5BD74843" w14:textId="77777777" w:rsidR="00CF209D" w:rsidRPr="00C260AD" w:rsidRDefault="00CF209D" w:rsidP="00A76C2A">
      <w:pPr>
        <w:pStyle w:val="Equationlegend"/>
      </w:pPr>
      <w:r w:rsidRPr="00C260AD">
        <w:rPr>
          <w:i/>
        </w:rPr>
        <w:tab/>
        <w:t>P</w:t>
      </w:r>
      <w:r w:rsidRPr="00C260AD">
        <w:rPr>
          <w:i/>
          <w:position w:val="-4"/>
          <w:sz w:val="16"/>
        </w:rPr>
        <w:t>t</w:t>
      </w:r>
      <w:r w:rsidRPr="00C260AD">
        <w:t>(</w:t>
      </w:r>
      <w:r w:rsidRPr="00C260AD">
        <w:rPr>
          <w:i/>
          <w:iCs/>
        </w:rPr>
        <w:t>i</w:t>
      </w:r>
      <w:proofErr w:type="gramStart"/>
      <w:r w:rsidRPr="00C260AD">
        <w:t>):</w:t>
      </w:r>
      <w:proofErr w:type="gramEnd"/>
      <w:r w:rsidRPr="00C260AD">
        <w:tab/>
        <w:t>puissance transmise (W) dans la largeur de bande de l'antenne de radioastronomie, la mesure se faisant à l'entrée de l'antenne à l'instant</w:t>
      </w:r>
      <w:r w:rsidRPr="00C260AD">
        <w:rPr>
          <w:i/>
          <w:iCs/>
        </w:rPr>
        <w:t xml:space="preserve"> i</w:t>
      </w:r>
    </w:p>
    <w:p w14:paraId="6CFC1CF6" w14:textId="77777777" w:rsidR="00CF209D" w:rsidRPr="00C260AD" w:rsidRDefault="00CF209D" w:rsidP="00A76C2A">
      <w:pPr>
        <w:pStyle w:val="Equationlegend"/>
      </w:pPr>
      <w:r w:rsidRPr="00C260AD">
        <w:rPr>
          <w:i/>
        </w:rPr>
        <w:tab/>
        <w:t>G</w:t>
      </w:r>
      <w:r w:rsidRPr="00C260AD">
        <w:rPr>
          <w:i/>
          <w:position w:val="-4"/>
          <w:sz w:val="16"/>
        </w:rPr>
        <w:t>t</w:t>
      </w:r>
      <w:r w:rsidRPr="00C260AD">
        <w:t>(</w:t>
      </w:r>
      <w:r w:rsidRPr="00C260AD">
        <w:rPr>
          <w:i/>
          <w:iCs/>
        </w:rPr>
        <w:t>i</w:t>
      </w:r>
      <w:proofErr w:type="gramStart"/>
      <w:r w:rsidRPr="00C260AD">
        <w:t>):</w:t>
      </w:r>
      <w:proofErr w:type="gramEnd"/>
      <w:r w:rsidRPr="00C260AD">
        <w:tab/>
        <w:t xml:space="preserve">gain de l'antenne d'émission dans la direction de l'antenne de radioastronomie à l'instant </w:t>
      </w:r>
      <w:r w:rsidRPr="00C260AD">
        <w:rPr>
          <w:i/>
          <w:iCs/>
        </w:rPr>
        <w:t>i</w:t>
      </w:r>
    </w:p>
    <w:p w14:paraId="1EEFF56B" w14:textId="77777777" w:rsidR="00CF209D" w:rsidRPr="00C260AD" w:rsidRDefault="00CF209D" w:rsidP="001527F3">
      <w:pPr>
        <w:tabs>
          <w:tab w:val="clear" w:pos="794"/>
          <w:tab w:val="clear" w:pos="1191"/>
          <w:tab w:val="clear" w:pos="1588"/>
          <w:tab w:val="right" w:pos="1701"/>
        </w:tabs>
        <w:spacing w:before="80"/>
        <w:ind w:left="1985" w:hanging="1985"/>
      </w:pPr>
      <w:r w:rsidRPr="00C260AD">
        <w:rPr>
          <w:i/>
        </w:rPr>
        <w:tab/>
        <w:t>G</w:t>
      </w:r>
      <w:r w:rsidRPr="00C260AD">
        <w:rPr>
          <w:i/>
          <w:position w:val="-4"/>
          <w:sz w:val="16"/>
        </w:rPr>
        <w:t>r</w:t>
      </w:r>
      <w:r w:rsidRPr="00C260AD">
        <w:t>(</w:t>
      </w:r>
      <w:r w:rsidRPr="00C260AD">
        <w:rPr>
          <w:i/>
          <w:iCs/>
        </w:rPr>
        <w:t>i</w:t>
      </w:r>
      <w:proofErr w:type="gramStart"/>
      <w:r w:rsidRPr="00C260AD">
        <w:t>):</w:t>
      </w:r>
      <w:proofErr w:type="gramEnd"/>
      <w:r w:rsidRPr="00C260AD">
        <w:tab/>
        <w:t xml:space="preserve">gain de l'antenne de radioastronomie dans la direction de l'émetteur à l'instant </w:t>
      </w:r>
      <w:r w:rsidRPr="00C260AD">
        <w:rPr>
          <w:i/>
          <w:iCs/>
        </w:rPr>
        <w:t>i</w:t>
      </w:r>
    </w:p>
    <w:p w14:paraId="76A6BAA5" w14:textId="77777777" w:rsidR="00CF209D" w:rsidRPr="00C260AD" w:rsidRDefault="00CF209D" w:rsidP="00A76C2A">
      <w:pPr>
        <w:pStyle w:val="Equationlegend"/>
        <w:rPr>
          <w:i/>
          <w:iCs/>
        </w:rPr>
      </w:pPr>
      <w:r w:rsidRPr="00C260AD">
        <w:rPr>
          <w:i/>
        </w:rPr>
        <w:tab/>
      </w:r>
      <w:proofErr w:type="gramStart"/>
      <w:r w:rsidRPr="00C260AD">
        <w:rPr>
          <w:i/>
        </w:rPr>
        <w:t>N</w:t>
      </w:r>
      <w:r w:rsidRPr="00C260AD">
        <w:t>:</w:t>
      </w:r>
      <w:proofErr w:type="gramEnd"/>
      <w:r w:rsidRPr="00C260AD">
        <w:rPr>
          <w:i/>
        </w:rPr>
        <w:tab/>
      </w:r>
      <w:r w:rsidRPr="00C260AD">
        <w:rPr>
          <w:iCs/>
        </w:rPr>
        <w:t>nomb</w:t>
      </w:r>
      <w:r w:rsidRPr="00C260AD">
        <w:t xml:space="preserve">re d'échantillons dans le temps d'intégration </w:t>
      </w:r>
      <w:r w:rsidRPr="00C260AD">
        <w:rPr>
          <w:i/>
          <w:iCs/>
        </w:rPr>
        <w:t>T</w:t>
      </w:r>
    </w:p>
    <w:p w14:paraId="755355A8" w14:textId="77777777" w:rsidR="00CF209D" w:rsidRPr="00C260AD" w:rsidRDefault="00CF209D" w:rsidP="00A76C2A">
      <w:pPr>
        <w:pStyle w:val="Equationlegend"/>
      </w:pPr>
      <w:r w:rsidRPr="00C260AD">
        <w:rPr>
          <w:i/>
        </w:rPr>
        <w:tab/>
      </w:r>
      <w:proofErr w:type="gramStart"/>
      <w:r w:rsidRPr="00C260AD">
        <w:rPr>
          <w:i/>
        </w:rPr>
        <w:t>I</w:t>
      </w:r>
      <w:r w:rsidRPr="00C260AD">
        <w:t>:</w:t>
      </w:r>
      <w:proofErr w:type="gramEnd"/>
      <w:r w:rsidRPr="00C260AD">
        <w:tab/>
        <w:t xml:space="preserve">puissance de brouillage (W) dans la largeur de bande de référence à l'entrée du récepteur, dont la moyenne est obtenue pendant la période d'observation </w:t>
      </w:r>
      <w:r w:rsidRPr="00C260AD">
        <w:rPr>
          <w:i/>
          <w:iCs/>
        </w:rPr>
        <w:t>T.</w:t>
      </w:r>
    </w:p>
    <w:p w14:paraId="190A08D7" w14:textId="25A44821" w:rsidR="00CF209D" w:rsidRPr="00C260AD" w:rsidRDefault="00CF209D" w:rsidP="001527F3">
      <w:pPr>
        <w:rPr>
          <w:lang w:eastAsia="ko-KR"/>
        </w:rPr>
      </w:pPr>
      <w:r w:rsidRPr="00C260AD">
        <w:t xml:space="preserve">En général, le calcul est réalisé pendant une période d'intégration </w:t>
      </w:r>
      <w:r w:rsidRPr="00C260AD">
        <w:rPr>
          <w:i/>
          <w:iCs/>
        </w:rPr>
        <w:t>T</w:t>
      </w:r>
      <w:r w:rsidRPr="00C260AD">
        <w:t xml:space="preserve"> de 2 000</w:t>
      </w:r>
      <w:r w:rsidR="00981C70" w:rsidRPr="00C260AD">
        <w:t> </w:t>
      </w:r>
      <w:r w:rsidRPr="00C260AD">
        <w:t xml:space="preserve">s. Pendant cette période, certains paramètres peuvent varier. Par exemple, si la commande de puissance est utilisée par l'émetteur ou si l'émetteur n'est pas en activité pendant la totalité de la période d'observation (commande par la voix), </w:t>
      </w:r>
      <w:r w:rsidRPr="00C260AD">
        <w:rPr>
          <w:i/>
          <w:iCs/>
        </w:rPr>
        <w:t>P</w:t>
      </w:r>
      <w:r w:rsidRPr="00C260AD">
        <w:rPr>
          <w:i/>
          <w:iCs/>
          <w:vertAlign w:val="subscript"/>
        </w:rPr>
        <w:t>t</w:t>
      </w:r>
      <w:r w:rsidRPr="00C260AD">
        <w:rPr>
          <w:i/>
          <w:iCs/>
        </w:rPr>
        <w:t xml:space="preserve"> </w:t>
      </w:r>
      <w:r w:rsidRPr="00C260AD">
        <w:t xml:space="preserve">peut varier. </w:t>
      </w:r>
    </w:p>
    <w:p w14:paraId="3101EEDB" w14:textId="77777777" w:rsidR="00CF209D" w:rsidRPr="00C260AD" w:rsidRDefault="00CF209D" w:rsidP="001527F3">
      <w:r w:rsidRPr="00C260AD">
        <w:t xml:space="preserve">Si l'émetteur est une station terrienne qui suit un satellite, la valeur de </w:t>
      </w:r>
      <w:r w:rsidRPr="00C260AD">
        <w:rPr>
          <w:i/>
          <w:iCs/>
        </w:rPr>
        <w:t>G</w:t>
      </w:r>
      <w:r w:rsidRPr="00C260AD">
        <w:rPr>
          <w:i/>
          <w:iCs/>
          <w:vertAlign w:val="subscript"/>
        </w:rPr>
        <w:t>t</w:t>
      </w:r>
      <w:r w:rsidRPr="00C260AD">
        <w:t xml:space="preserve"> peut, elle aussi, varier. La station de radioastronomie peut suivre un objet céleste, auquel cas la valeur de </w:t>
      </w:r>
      <w:r w:rsidRPr="00C260AD">
        <w:rPr>
          <w:i/>
          <w:iCs/>
        </w:rPr>
        <w:t>G</w:t>
      </w:r>
      <w:r w:rsidRPr="00C260AD">
        <w:rPr>
          <w:i/>
          <w:iCs/>
          <w:vertAlign w:val="subscript"/>
        </w:rPr>
        <w:t>r</w:t>
      </w:r>
      <w:r w:rsidRPr="00C260AD">
        <w:rPr>
          <w:i/>
          <w:iCs/>
        </w:rPr>
        <w:t xml:space="preserve"> </w:t>
      </w:r>
      <w:r w:rsidRPr="00C260AD">
        <w:t xml:space="preserve">peut également varier. Par ailleurs, si certaines conditions atmosphériques comme la présence de pluie, sont observées durant cette période, la valeur de </w:t>
      </w:r>
      <w:r w:rsidRPr="00C260AD">
        <w:rPr>
          <w:i/>
          <w:iCs/>
        </w:rPr>
        <w:t>L</w:t>
      </w:r>
      <w:r w:rsidRPr="00C260AD">
        <w:rPr>
          <w:i/>
          <w:iCs/>
          <w:vertAlign w:val="subscript"/>
        </w:rPr>
        <w:t>p</w:t>
      </w:r>
      <w:r w:rsidRPr="00C260AD">
        <w:rPr>
          <w:i/>
          <w:iCs/>
        </w:rPr>
        <w:t xml:space="preserve"> </w:t>
      </w:r>
      <w:r w:rsidRPr="00C260AD">
        <w:t>peut aussi varier.</w:t>
      </w:r>
    </w:p>
    <w:p w14:paraId="32351DBA" w14:textId="77777777" w:rsidR="00CF209D" w:rsidRPr="00C260AD" w:rsidRDefault="00CF209D" w:rsidP="001527F3">
      <w:pPr>
        <w:rPr>
          <w:lang w:eastAsia="ko-KR"/>
        </w:rPr>
      </w:pPr>
      <w:r w:rsidRPr="00C260AD">
        <w:t xml:space="preserve">Les observations effectuées pendant un temps d'intégration donné sont considérées comme étant perdues lorsque la puissance de brouillage reçue </w:t>
      </w:r>
      <w:r w:rsidRPr="00C260AD">
        <w:rPr>
          <w:i/>
          <w:iCs/>
        </w:rPr>
        <w:t>I</w:t>
      </w:r>
      <w:r w:rsidRPr="00C260AD">
        <w:t xml:space="preserve">, dont la moyenne est établie pendant le temps </w:t>
      </w:r>
      <w:r w:rsidRPr="00C260AD">
        <w:rPr>
          <w:i/>
          <w:iCs/>
        </w:rPr>
        <w:t>T</w:t>
      </w:r>
      <w:r w:rsidRPr="00C260AD">
        <w:t>, dépasse la valeur indiquée dans la Recommandation UIT-R RA.769.</w:t>
      </w:r>
    </w:p>
    <w:p w14:paraId="3AC23E10" w14:textId="08A2646A" w:rsidR="00CF209D" w:rsidRPr="00C260AD" w:rsidRDefault="00CF209D" w:rsidP="001527F3">
      <w:pPr>
        <w:rPr>
          <w:lang w:eastAsia="ko-KR"/>
        </w:rPr>
      </w:pPr>
      <w:r w:rsidRPr="00C260AD">
        <w:t>Il faut alors effectuer les calculs pendant plusieurs périodes afin de vérifier que le pourcentage d'observations perdues est inférieur au critère de 2% indiqué dans la Recommandation UIT</w:t>
      </w:r>
      <w:r w:rsidRPr="00C260AD">
        <w:noBreakHyphen/>
        <w:t>R RA.1513.</w:t>
      </w:r>
    </w:p>
    <w:p w14:paraId="48D3CF51" w14:textId="77777777" w:rsidR="00CF209D" w:rsidRPr="00C260AD" w:rsidRDefault="00CF209D" w:rsidP="001527F3">
      <w:pPr>
        <w:pStyle w:val="Heading2"/>
      </w:pPr>
      <w:r w:rsidRPr="00C260AD">
        <w:t>2.1</w:t>
      </w:r>
      <w:r w:rsidRPr="00C260AD">
        <w:tab/>
        <w:t>Source de brouillage unique à p.i.r.e. constante avec affaiblissement de propagation constant</w:t>
      </w:r>
    </w:p>
    <w:p w14:paraId="00C538A9" w14:textId="33D9FC5C" w:rsidR="00CF209D" w:rsidRPr="00C260AD" w:rsidRDefault="00CF209D" w:rsidP="001527F3">
      <w:r w:rsidRPr="00C260AD">
        <w:t>Si la p.i.r.e. de l'émetteur responsable du brouillage est constante (c'est</w:t>
      </w:r>
      <w:r w:rsidRPr="00C260AD">
        <w:noBreakHyphen/>
        <w:t>à</w:t>
      </w:r>
      <w:r w:rsidRPr="00C260AD">
        <w:noBreakHyphen/>
        <w:t xml:space="preserve">dire que </w:t>
      </w:r>
      <w:r w:rsidRPr="00C260AD">
        <w:rPr>
          <w:i/>
          <w:iCs/>
        </w:rPr>
        <w:t>P</w:t>
      </w:r>
      <w:r w:rsidRPr="00C260AD">
        <w:rPr>
          <w:i/>
          <w:iCs/>
          <w:vertAlign w:val="subscript"/>
        </w:rPr>
        <w:t>t</w:t>
      </w:r>
      <w:r w:rsidRPr="00C260AD">
        <w:t xml:space="preserve"> et </w:t>
      </w:r>
      <w:r w:rsidRPr="00C260AD">
        <w:rPr>
          <w:i/>
          <w:iCs/>
        </w:rPr>
        <w:t>G</w:t>
      </w:r>
      <w:r w:rsidRPr="00C260AD">
        <w:rPr>
          <w:i/>
          <w:iCs/>
          <w:vertAlign w:val="subscript"/>
        </w:rPr>
        <w:t>t</w:t>
      </w:r>
      <w:r w:rsidRPr="00C260AD">
        <w:t xml:space="preserve"> sont constants), la fréquence est suffisamment basse et l'émetteur est fixe, de sorte que l'on peut considérer que </w:t>
      </w:r>
      <w:r w:rsidRPr="00C260AD">
        <w:rPr>
          <w:i/>
          <w:iCs/>
        </w:rPr>
        <w:t>L</w:t>
      </w:r>
      <w:r w:rsidRPr="00C260AD">
        <w:rPr>
          <w:i/>
          <w:iCs/>
          <w:vertAlign w:val="subscript"/>
        </w:rPr>
        <w:t>p</w:t>
      </w:r>
      <w:r w:rsidRPr="00C260AD">
        <w:rPr>
          <w:vertAlign w:val="subscript"/>
        </w:rPr>
        <w:t xml:space="preserve"> </w:t>
      </w:r>
      <w:r w:rsidRPr="00C260AD">
        <w:t xml:space="preserve">est constant, dans ce cas, la seule variable pendant toutes les observations est </w:t>
      </w:r>
      <w:r w:rsidRPr="00C260AD">
        <w:rPr>
          <w:i/>
          <w:iCs/>
        </w:rPr>
        <w:t>G</w:t>
      </w:r>
      <w:r w:rsidRPr="00C260AD">
        <w:rPr>
          <w:i/>
          <w:iCs/>
          <w:vertAlign w:val="subscript"/>
        </w:rPr>
        <w:t>r</w:t>
      </w:r>
      <w:r w:rsidRPr="00C260AD">
        <w:t>. Afin de simplifier le calcul, on considère que l'antenne de radioastronomie est fixe pendant l'observation.</w:t>
      </w:r>
    </w:p>
    <w:p w14:paraId="291B63E4" w14:textId="77777777" w:rsidR="00CF209D" w:rsidRPr="00C260AD" w:rsidRDefault="00CF209D" w:rsidP="001527F3">
      <w:r w:rsidRPr="00C260AD">
        <w:t>Il est alors possible d'appliquer la méthode indiquée dans la Recommandation UIT</w:t>
      </w:r>
      <w:r w:rsidRPr="00C260AD">
        <w:noBreakHyphen/>
        <w:t>R M.1583 pour obtenir les statistiques du gain d'antenne de la station de radioastronomie.</w:t>
      </w:r>
    </w:p>
    <w:p w14:paraId="1AD3FA06" w14:textId="10323C54" w:rsidR="00CF209D" w:rsidRPr="00C260AD" w:rsidRDefault="00CF209D" w:rsidP="001527F3">
      <w:r w:rsidRPr="00C260AD">
        <w:t>Les courbes de la Fig.</w:t>
      </w:r>
      <w:r w:rsidR="00981C70" w:rsidRPr="00C260AD">
        <w:t> </w:t>
      </w:r>
      <w:r w:rsidRPr="00C260AD">
        <w:t>1 ont été obtenues pour la fréquence de 1,4</w:t>
      </w:r>
      <w:r w:rsidR="00981C70" w:rsidRPr="00C260AD">
        <w:t> </w:t>
      </w:r>
      <w:r w:rsidRPr="00C260AD">
        <w:t>GHz à partir du diagramme d'antenne de grandes dimensions indiqué dans la Recommandation UIT-R SA.509 et d'un diamètre d'antenne de 100</w:t>
      </w:r>
      <w:r w:rsidR="00981C70" w:rsidRPr="00C260AD">
        <w:t> </w:t>
      </w:r>
      <w:r w:rsidRPr="00C260AD">
        <w:t>m. L'angle d'élévation de l'émetteur vu du radiotélescope est de 0</w:t>
      </w:r>
      <w:r w:rsidR="001C7343" w:rsidRPr="00C260AD">
        <w:t> degré</w:t>
      </w:r>
      <w:r w:rsidRPr="00C260AD">
        <w:t>. Ces courbes ne changent pas lorsqu'on tient compte d'autres bandes de fréquences ou d'autres diamètres d'antenne.</w:t>
      </w:r>
    </w:p>
    <w:p w14:paraId="512B6F24" w14:textId="118F8A84" w:rsidR="00CF209D" w:rsidRPr="00C260AD" w:rsidRDefault="00CF209D" w:rsidP="001527F3">
      <w:pPr>
        <w:pStyle w:val="FigureNo"/>
      </w:pPr>
      <w:r w:rsidRPr="00C260AD">
        <w:t>Figure</w:t>
      </w:r>
      <w:r w:rsidR="00AF691D" w:rsidRPr="00C260AD">
        <w:t> </w:t>
      </w:r>
      <w:r w:rsidRPr="00C260AD">
        <w:t>1</w:t>
      </w:r>
    </w:p>
    <w:p w14:paraId="0A5387B1" w14:textId="77777777" w:rsidR="00CF209D" w:rsidRPr="00C260AD" w:rsidRDefault="00CF209D" w:rsidP="001527F3">
      <w:pPr>
        <w:pStyle w:val="Figuretitle"/>
        <w:rPr>
          <w:rFonts w:eastAsia="MS Mincho"/>
          <w:lang w:eastAsia="ja-JP"/>
        </w:rPr>
      </w:pPr>
      <w:r w:rsidRPr="00C260AD">
        <w:t>Gain de l'antenne de radioastronomie en direction d'un émetteur à un angle d'élévation de 0°</w:t>
      </w:r>
    </w:p>
    <w:p w14:paraId="418957BC" w14:textId="7E92AEC2" w:rsidR="00CF209D" w:rsidRPr="00C260AD" w:rsidRDefault="00C25637" w:rsidP="00502DCF">
      <w:pPr>
        <w:pStyle w:val="Figure"/>
        <w:rPr>
          <w:rFonts w:eastAsia="MS Mincho"/>
          <w:lang w:eastAsia="ja-JP"/>
        </w:rPr>
      </w:pPr>
      <w:r>
        <w:object w:dxaOrig="9762" w:dyaOrig="9423" w14:anchorId="3C64EFD7">
          <v:shape id="_x0000_i1026" type="#_x0000_t75" style="width:366.5pt;height:352pt" o:ole="">
            <v:imagedata r:id="rId15" o:title=""/>
          </v:shape>
          <o:OLEObject Type="Embed" ProgID="CorelDraw.Graphic.17" ShapeID="_x0000_i1026" DrawAspect="Content" ObjectID="_1709115453" r:id="rId16"/>
        </w:object>
      </w:r>
    </w:p>
    <w:p w14:paraId="4CF7973F" w14:textId="4D9B1A52" w:rsidR="00CF209D" w:rsidRPr="00C260AD" w:rsidRDefault="00AA0444" w:rsidP="00852BE3">
      <w:pPr>
        <w:pStyle w:val="Normalaftertitle"/>
      </w:pPr>
      <w:r>
        <w:t>On voit sur cette f</w:t>
      </w:r>
      <w:r w:rsidR="00CF209D" w:rsidRPr="00C260AD">
        <w:t>igure qu'il est légitime de prendre une valeur de 0</w:t>
      </w:r>
      <w:r w:rsidR="00981C70" w:rsidRPr="00C260AD">
        <w:t> </w:t>
      </w:r>
      <w:r w:rsidR="00CF209D" w:rsidRPr="00C260AD">
        <w:t>dBi pour le gain d'antenne correspondant à une perte de données de 2%. L'affaiblissement de propagation nécessaire est alors indiqué par l'équation (3</w:t>
      </w:r>
      <w:proofErr w:type="gramStart"/>
      <w:r w:rsidR="00CF209D" w:rsidRPr="00C260AD">
        <w:t>):</w:t>
      </w:r>
      <w:proofErr w:type="gramEnd"/>
    </w:p>
    <w:p w14:paraId="51721E75" w14:textId="77777777" w:rsidR="00CF209D" w:rsidRPr="00C260AD" w:rsidRDefault="00CF209D" w:rsidP="00852BE3">
      <w:pPr>
        <w:pStyle w:val="Equation"/>
        <w:rPr>
          <w:lang w:eastAsia="ko-KR"/>
        </w:rPr>
      </w:pPr>
      <w:r w:rsidRPr="00C260AD">
        <w:tab/>
      </w:r>
      <w:r w:rsidRPr="00C260AD">
        <w:tab/>
      </w:r>
      <w:r w:rsidRPr="00C260AD">
        <w:object w:dxaOrig="1620" w:dyaOrig="340" w14:anchorId="42CE7DD1">
          <v:shape id="_x0000_i1027" type="#_x0000_t75" style="width:79pt;height:14.5pt" o:ole="">
            <v:imagedata r:id="rId17" o:title=""/>
          </v:shape>
          <o:OLEObject Type="Embed" ProgID="Equation.3" ShapeID="_x0000_i1027" DrawAspect="Content" ObjectID="_1709115454" r:id="rId18"/>
        </w:object>
      </w:r>
      <w:r w:rsidRPr="00C260AD">
        <w:tab/>
        <w:t>(3)</w:t>
      </w:r>
    </w:p>
    <w:p w14:paraId="22074ECA" w14:textId="77777777" w:rsidR="00CF209D" w:rsidRPr="00C260AD" w:rsidRDefault="00CF209D" w:rsidP="001527F3">
      <w:proofErr w:type="gramStart"/>
      <w:r w:rsidRPr="00C260AD">
        <w:t>où:</w:t>
      </w:r>
      <w:proofErr w:type="gramEnd"/>
    </w:p>
    <w:p w14:paraId="0D665E86" w14:textId="77777777" w:rsidR="00CF209D" w:rsidRPr="00C260AD" w:rsidRDefault="00CF209D" w:rsidP="001527F3">
      <w:pPr>
        <w:tabs>
          <w:tab w:val="clear" w:pos="794"/>
          <w:tab w:val="clear" w:pos="1191"/>
          <w:tab w:val="clear" w:pos="1588"/>
          <w:tab w:val="right" w:pos="1701"/>
        </w:tabs>
        <w:spacing w:before="80"/>
        <w:ind w:left="1985" w:hanging="1985"/>
      </w:pPr>
      <w:r w:rsidRPr="00C260AD">
        <w:tab/>
      </w:r>
      <w:proofErr w:type="gramStart"/>
      <w:r w:rsidRPr="00C260AD">
        <w:rPr>
          <w:i/>
          <w:iCs/>
        </w:rPr>
        <w:t>EIRP</w:t>
      </w:r>
      <w:r w:rsidRPr="00C260AD">
        <w:t>:</w:t>
      </w:r>
      <w:proofErr w:type="gramEnd"/>
      <w:r w:rsidRPr="00C260AD">
        <w:tab/>
        <w:t>p.i.r.e. de l'émetteur (dBW)</w:t>
      </w:r>
    </w:p>
    <w:p w14:paraId="2B44E491" w14:textId="77777777" w:rsidR="00CF209D" w:rsidRPr="00C260AD" w:rsidRDefault="00CF209D" w:rsidP="001527F3">
      <w:pPr>
        <w:tabs>
          <w:tab w:val="clear" w:pos="794"/>
          <w:tab w:val="clear" w:pos="1191"/>
          <w:tab w:val="clear" w:pos="1588"/>
          <w:tab w:val="right" w:pos="1701"/>
        </w:tabs>
        <w:spacing w:before="80"/>
        <w:ind w:left="1985" w:hanging="1985"/>
        <w:rPr>
          <w:lang w:eastAsia="ko-KR"/>
        </w:rPr>
      </w:pPr>
      <w:r w:rsidRPr="00C260AD">
        <w:tab/>
        <w:t>Δ</w:t>
      </w:r>
      <w:proofErr w:type="gramStart"/>
      <w:r w:rsidRPr="00C260AD">
        <w:rPr>
          <w:i/>
          <w:iCs/>
        </w:rPr>
        <w:t>P</w:t>
      </w:r>
      <w:r w:rsidRPr="00C260AD">
        <w:rPr>
          <w:i/>
          <w:iCs/>
          <w:szCs w:val="24"/>
          <w:vertAlign w:val="subscript"/>
        </w:rPr>
        <w:t>H</w:t>
      </w:r>
      <w:r w:rsidRPr="00C260AD">
        <w:t>:</w:t>
      </w:r>
      <w:proofErr w:type="gramEnd"/>
      <w:r w:rsidRPr="00C260AD">
        <w:tab/>
        <w:t>niveau indiqué dans la Recommandation UIT-R RA.769 (dBW).</w:t>
      </w:r>
    </w:p>
    <w:p w14:paraId="0D0156C3" w14:textId="0DA1F4B4" w:rsidR="00CF209D" w:rsidRPr="00C260AD" w:rsidRDefault="00CF209D" w:rsidP="001527F3">
      <w:pPr>
        <w:pStyle w:val="Heading2"/>
      </w:pPr>
      <w:r w:rsidRPr="00C260AD">
        <w:t>2.2</w:t>
      </w:r>
      <w:r w:rsidRPr="00C260AD">
        <w:tab/>
        <w:t>Autres cas</w:t>
      </w:r>
    </w:p>
    <w:p w14:paraId="076A2047" w14:textId="77777777" w:rsidR="00CF209D" w:rsidRPr="00C260AD" w:rsidRDefault="00CF209D" w:rsidP="001527F3">
      <w:r w:rsidRPr="00C260AD">
        <w:t>Pour couvrir d'autres cas comme des affaiblissements de propagation variables, une puissance d'émission variable ou encore un gain d'antenne variable en direction de la station de radioastronomie, il peut être nécessaire d'utiliser des outils de simulation comme la méthode de Monte-Carlo.</w:t>
      </w:r>
    </w:p>
    <w:p w14:paraId="0D65086E" w14:textId="77777777" w:rsidR="00CF209D" w:rsidRPr="00C260AD" w:rsidRDefault="00CF209D" w:rsidP="001527F3">
      <w:pPr>
        <w:pStyle w:val="Heading1"/>
      </w:pPr>
      <w:r w:rsidRPr="00C260AD">
        <w:t>3</w:t>
      </w:r>
      <w:r w:rsidRPr="00C260AD">
        <w:tab/>
        <w:t>Partage dans le cas de la visibilité directe</w:t>
      </w:r>
    </w:p>
    <w:p w14:paraId="7801261F" w14:textId="77777777" w:rsidR="00CF209D" w:rsidRPr="00C260AD" w:rsidRDefault="00CF209D" w:rsidP="001527F3">
      <w:r w:rsidRPr="00C260AD">
        <w:t xml:space="preserve">S'agissant d'une source de brouillage émise le long du trajet en visibilité directe dans la même bande que les observations de la station de radioastronomie, </w:t>
      </w:r>
      <w:r w:rsidRPr="00C260AD">
        <w:rPr>
          <w:i/>
          <w:iCs/>
        </w:rPr>
        <w:t>L</w:t>
      </w:r>
      <w:r w:rsidRPr="00C260AD">
        <w:rPr>
          <w:i/>
          <w:iCs/>
          <w:vertAlign w:val="subscript"/>
        </w:rPr>
        <w:t>p</w:t>
      </w:r>
      <w:r w:rsidRPr="00C260AD">
        <w:t xml:space="preserve"> a une forme analytique simple et </w:t>
      </w:r>
      <w:r w:rsidRPr="00C260AD">
        <w:br/>
        <w:t xml:space="preserve">l'équation (3) peut s'écrire comme </w:t>
      </w:r>
      <w:proofErr w:type="gramStart"/>
      <w:r w:rsidRPr="00C260AD">
        <w:t>suit:</w:t>
      </w:r>
      <w:proofErr w:type="gramEnd"/>
    </w:p>
    <w:p w14:paraId="5F205C03" w14:textId="77777777" w:rsidR="00CF209D" w:rsidRPr="00C260AD" w:rsidRDefault="00CF209D" w:rsidP="00852BE3">
      <w:pPr>
        <w:pStyle w:val="Equation"/>
      </w:pPr>
      <w:r w:rsidRPr="00C260AD">
        <w:tab/>
      </w:r>
      <w:r w:rsidRPr="00C260AD">
        <w:tab/>
        <w:t>20 log</w:t>
      </w:r>
      <w:r w:rsidRPr="00C260AD">
        <w:rPr>
          <w:rFonts w:ascii="Tms Rmn" w:hAnsi="Tms Rmn"/>
          <w:sz w:val="12"/>
        </w:rPr>
        <w:t> </w:t>
      </w:r>
      <w:r w:rsidRPr="00C260AD">
        <w:t>(4</w:t>
      </w:r>
      <w:r w:rsidRPr="00C260AD">
        <w:rPr>
          <w:rFonts w:ascii="Symbol" w:hAnsi="Symbol"/>
        </w:rPr>
        <w:t></w:t>
      </w:r>
      <w:r w:rsidRPr="00C260AD">
        <w:rPr>
          <w:rFonts w:ascii="Tms Rmn" w:hAnsi="Tms Rmn"/>
          <w:sz w:val="12"/>
        </w:rPr>
        <w:t> </w:t>
      </w:r>
      <w:r w:rsidRPr="00C260AD">
        <w:rPr>
          <w:i/>
        </w:rPr>
        <w:t>d</w:t>
      </w:r>
      <w:r w:rsidRPr="00C260AD">
        <w:t xml:space="preserve">) </w:t>
      </w:r>
      <w:proofErr w:type="gramStart"/>
      <w:r w:rsidRPr="00C260AD">
        <w:t>=  20</w:t>
      </w:r>
      <w:proofErr w:type="gramEnd"/>
      <w:r w:rsidRPr="00C260AD">
        <w:t xml:space="preserve"> log</w:t>
      </w:r>
      <w:r w:rsidRPr="00C260AD">
        <w:rPr>
          <w:rFonts w:ascii="Tms Rmn" w:hAnsi="Tms Rmn"/>
          <w:sz w:val="12"/>
        </w:rPr>
        <w:t> </w:t>
      </w:r>
      <w:r w:rsidRPr="00C260AD">
        <w:rPr>
          <w:rFonts w:ascii="Symbol" w:hAnsi="Symbol"/>
        </w:rPr>
        <w:t></w:t>
      </w:r>
      <w:r w:rsidRPr="00C260AD">
        <w:t xml:space="preserve">  +  </w:t>
      </w:r>
      <w:r w:rsidRPr="00C260AD">
        <w:rPr>
          <w:i/>
        </w:rPr>
        <w:t>EIRP</w:t>
      </w:r>
      <w:r w:rsidRPr="00C260AD">
        <w:t xml:space="preserve">  –  </w:t>
      </w:r>
      <w:r w:rsidRPr="00C260AD">
        <w:rPr>
          <w:position w:val="-10"/>
        </w:rPr>
        <w:object w:dxaOrig="460" w:dyaOrig="340" w14:anchorId="06BD85DC">
          <v:shape id="_x0000_i1035" type="#_x0000_t75" style="width:21.5pt;height:14.5pt" o:ole="">
            <v:imagedata r:id="rId19" o:title=""/>
          </v:shape>
          <o:OLEObject Type="Embed" ProgID="Equation.3" ShapeID="_x0000_i1035" DrawAspect="Content" ObjectID="_1709115455" r:id="rId20"/>
        </w:object>
      </w:r>
      <w:r w:rsidRPr="00C260AD">
        <w:tab/>
        <w:t>(4)</w:t>
      </w:r>
    </w:p>
    <w:p w14:paraId="7776B687" w14:textId="77777777" w:rsidR="00CF209D" w:rsidRPr="00C260AD" w:rsidRDefault="00CF209D" w:rsidP="001527F3">
      <w:pPr>
        <w:tabs>
          <w:tab w:val="clear" w:pos="1191"/>
          <w:tab w:val="clear" w:pos="1588"/>
          <w:tab w:val="clear" w:pos="1985"/>
          <w:tab w:val="center" w:pos="4820"/>
          <w:tab w:val="right" w:pos="9639"/>
        </w:tabs>
      </w:pPr>
      <w:proofErr w:type="gramStart"/>
      <w:r w:rsidRPr="00C260AD">
        <w:t>où:</w:t>
      </w:r>
      <w:proofErr w:type="gramEnd"/>
    </w:p>
    <w:p w14:paraId="20455846" w14:textId="77777777" w:rsidR="00CF209D" w:rsidRPr="00C260AD" w:rsidRDefault="00CF209D" w:rsidP="00852BE3">
      <w:pPr>
        <w:pStyle w:val="Equationlegend"/>
      </w:pPr>
      <w:r w:rsidRPr="00C260AD">
        <w:rPr>
          <w:i/>
        </w:rPr>
        <w:tab/>
        <w:t>d</w:t>
      </w:r>
      <w:r w:rsidRPr="00C260AD">
        <w:t>:</w:t>
      </w:r>
      <w:r w:rsidRPr="00C260AD">
        <w:tab/>
        <w:t>distance entre l'émetteur et le récepteur (m)</w:t>
      </w:r>
    </w:p>
    <w:p w14:paraId="1F583964" w14:textId="77777777" w:rsidR="00CF209D" w:rsidRPr="00C260AD" w:rsidRDefault="00CF209D" w:rsidP="00852BE3">
      <w:pPr>
        <w:pStyle w:val="Equationlegend"/>
      </w:pPr>
      <w:r w:rsidRPr="00C260AD">
        <w:rPr>
          <w:rFonts w:ascii="Symbol" w:hAnsi="Symbol"/>
        </w:rPr>
        <w:tab/>
      </w:r>
      <w:r w:rsidRPr="00C260AD">
        <w:rPr>
          <w:rFonts w:ascii="Symbol" w:hAnsi="Symbol"/>
        </w:rPr>
        <w:t></w:t>
      </w:r>
      <w:r w:rsidRPr="00C260AD">
        <w:t>:</w:t>
      </w:r>
      <w:r w:rsidRPr="00C260AD">
        <w:tab/>
        <w:t>longueur d'onde (m)</w:t>
      </w:r>
    </w:p>
    <w:p w14:paraId="169E8181" w14:textId="77777777" w:rsidR="00CF209D" w:rsidRPr="00C260AD" w:rsidRDefault="00CF209D" w:rsidP="00852BE3">
      <w:pPr>
        <w:pStyle w:val="Equationlegend"/>
      </w:pPr>
      <w:r w:rsidRPr="00C260AD">
        <w:tab/>
      </w:r>
      <w:r w:rsidRPr="00C260AD">
        <w:rPr>
          <w:rFonts w:ascii="Symbol" w:hAnsi="Symbol"/>
        </w:rPr>
        <w:t></w:t>
      </w:r>
      <w:r w:rsidRPr="00C260AD">
        <w:rPr>
          <w:i/>
          <w:iCs/>
        </w:rPr>
        <w:t>P</w:t>
      </w:r>
      <w:r w:rsidRPr="00C260AD">
        <w:rPr>
          <w:i/>
          <w:iCs/>
          <w:szCs w:val="24"/>
          <w:vertAlign w:val="subscript"/>
        </w:rPr>
        <w:t>H</w:t>
      </w:r>
      <w:r w:rsidRPr="00C260AD">
        <w:t xml:space="preserve">: </w:t>
      </w:r>
      <w:r w:rsidRPr="00C260AD">
        <w:tab/>
        <w:t>seuil de brouillage défini dans la Recommandation UIT-R RA.769 (dBW).</w:t>
      </w:r>
    </w:p>
    <w:p w14:paraId="59DAF2FA" w14:textId="068BEAC4" w:rsidR="00CF209D" w:rsidRPr="00C260AD" w:rsidRDefault="00CF209D" w:rsidP="001527F3">
      <w:r w:rsidRPr="00C260AD">
        <w:t>En radioastronomie, il n'est généralement pas possible de parvenir à un partage satisfaisant avec des services actifs dont les émetteurs sont en visibilité directe de l'antenne de radioastronomie. La Fig.</w:t>
      </w:r>
      <w:r w:rsidR="00981C70" w:rsidRPr="00C260AD">
        <w:t> </w:t>
      </w:r>
      <w:r w:rsidRPr="00C260AD">
        <w:t>2 illustre cet aspect. A partir des équations (3) et (4), on a calculé, pour deux distances de séparation, la valeur maximale possible pour la p.i.r.e. sans que le service de radioastronomie subisse de brouillage préjudiciable. La première distance correspond à peu près à celle d'un émetteur de Terre éloigné en visibilité directe, à savoir un émetteur aéroporté situé à l'horizon à une hauteur de 20</w:t>
      </w:r>
      <w:r w:rsidR="00981C70" w:rsidRPr="00C260AD">
        <w:t> </w:t>
      </w:r>
      <w:r w:rsidRPr="00C260AD">
        <w:t>km. La seconde distance est celle de l'orbite géostationnaire et représente donc la distance maximale de la plupart des émetteurs installés à bord d'un engin spatial qui n'effectue pas de missions dans l'espace lointain. Les seuils de brouillage préjudiciable indiqués dans le Tableau</w:t>
      </w:r>
      <w:r w:rsidR="00981C70" w:rsidRPr="00C260AD">
        <w:t> </w:t>
      </w:r>
      <w:r w:rsidRPr="00C260AD">
        <w:t>1 de la Recommandation UIT-R RA.769 ont été utilisés dans le cas de l'émetteur de Terre. Une protection supplémentaire de</w:t>
      </w:r>
      <w:r w:rsidR="00502DCF" w:rsidRPr="00C260AD">
        <w:t> </w:t>
      </w:r>
      <w:r w:rsidRPr="00C260AD">
        <w:t>15</w:t>
      </w:r>
      <w:r w:rsidR="00981C70" w:rsidRPr="00C260AD">
        <w:t> </w:t>
      </w:r>
      <w:r w:rsidRPr="00C260AD">
        <w:t>dB est souhaitable dans le cas de l'émetteur situé sur l'orbite géostationnaire, afin de permettre des observations à 5° des satellites géostationnaires. Les courbes sont valables dans le cas d'une atmosphère sèche, par temps clair.</w:t>
      </w:r>
    </w:p>
    <w:p w14:paraId="3FA834BE" w14:textId="792524D8" w:rsidR="00CF209D" w:rsidRPr="00C260AD" w:rsidRDefault="00CF209D" w:rsidP="001527F3">
      <w:r w:rsidRPr="00C260AD">
        <w:t>Il ressort clairement de la Fig. 2 que le partage des fréquences avec un émetteur de Terre en visibilité directe d'une antenne de radioastronomie n'est probablement pas possible aux fréquences inférieures à 10</w:t>
      </w:r>
      <w:r w:rsidR="00981C70" w:rsidRPr="00C260AD">
        <w:t> </w:t>
      </w:r>
      <w:r w:rsidRPr="00C260AD">
        <w:t>GHz par suite des fortes limitations que le partage imposerait à la p.i.r.e. de l'émetteur. Même pour les fréquences allant jusqu'à 40</w:t>
      </w:r>
      <w:r w:rsidR="00981C70" w:rsidRPr="00C260AD">
        <w:t> </w:t>
      </w:r>
      <w:r w:rsidRPr="00C260AD">
        <w:t>GHz, il faut que la puissance de l'émetteur soit de l'ordre de quelques milliwatts, ou que l'antenne de l'émetteur assure une discrimination élevée dans le sens de l'antenne de radioastronomie, afin que le partage soit possible.</w:t>
      </w:r>
    </w:p>
    <w:p w14:paraId="32FC2149" w14:textId="77777777" w:rsidR="00CF209D" w:rsidRPr="00C260AD" w:rsidRDefault="00CF209D" w:rsidP="001527F3">
      <w:pPr>
        <w:pStyle w:val="Heading1"/>
      </w:pPr>
      <w:r w:rsidRPr="00C260AD">
        <w:t>4</w:t>
      </w:r>
      <w:r w:rsidRPr="00C260AD">
        <w:tab/>
        <w:t>Partage au-delà de la visibilité directe moyennant l'utilisation des zones de coordination</w:t>
      </w:r>
    </w:p>
    <w:p w14:paraId="0D95B335" w14:textId="635EABC2" w:rsidR="00CF209D" w:rsidRPr="00C260AD" w:rsidRDefault="00CF209D" w:rsidP="001527F3">
      <w:r w:rsidRPr="00C260AD">
        <w:t>La création de zones de coordination autour des emplacements servant à la radioastronomie est une méthode qui permet d'éviter les brouillages causés par les émetteurs des stations de Terre et des stations terriennes partageant la même bande au-delà de la visibilité directe.</w:t>
      </w:r>
    </w:p>
    <w:p w14:paraId="0B54A229" w14:textId="77777777" w:rsidR="00CF209D" w:rsidRPr="00C260AD" w:rsidRDefault="00CF209D" w:rsidP="001527F3">
      <w:r w:rsidRPr="00C260AD">
        <w:t>La zone de coordination associée à une station de radioastronomie est, par définition, l'aire dans laquelle la totalité des émissions des émetteurs situés en dehors du périmètre de ladite zone répond aux critères des niveaux de perte de données indiqués dans la Recommandation UIT-R RA.1513.</w:t>
      </w:r>
    </w:p>
    <w:p w14:paraId="41F00E63" w14:textId="48DDB97D" w:rsidR="00CF209D" w:rsidRPr="00C260AD" w:rsidRDefault="00CF209D" w:rsidP="001527F3">
      <w:r w:rsidRPr="00C260AD">
        <w:t xml:space="preserve">La taille de la zone de coordination est fonction d'un certain nombre de facteurs. Le type de radiotélescope utilisé (monoparabole ou interférométrie à très grande base (VLBI, </w:t>
      </w:r>
      <w:r w:rsidRPr="00C260AD">
        <w:rPr>
          <w:i/>
          <w:iCs/>
        </w:rPr>
        <w:t>very long baseline interferometry</w:t>
      </w:r>
      <w:r w:rsidRPr="00C260AD">
        <w:t>)) détermine les seuils de brouillage correspondants qu'indique la Recommandation UIT-R RA.769. Le nombre et la répartition des émetteurs à l'extérieur de la zone, la p.i.r.e. des émissions dans la direction de l'emplacement de radioastronomie, la portion de temps pendant laquelle ces émissions sont actives et enfin, les caractéristiques de propagation sont autant d'éléments qui influent sur la densité de puissance brouilleuse dans l'emplacement de radioastronomie. Les caractéristiques de propagation sont liées à des facteurs tels que le profil du terrain, la présence d'arbres et les conditions atmosphériques. Les derniers modèles de propagation disponibles semblables à ceux qui figurent dans les Recommandations UIT-R P.452, UIT-R P.526 et UIT-R P.617 devraient être utilisés.</w:t>
      </w:r>
    </w:p>
    <w:p w14:paraId="4308A8E2" w14:textId="40E27FBD" w:rsidR="00CF209D" w:rsidRPr="00C260AD" w:rsidRDefault="00CF209D" w:rsidP="001527F3">
      <w:pPr>
        <w:pStyle w:val="FigureNo"/>
      </w:pPr>
      <w:r w:rsidRPr="00C260AD">
        <w:t>Figure</w:t>
      </w:r>
      <w:r w:rsidR="00AF691D" w:rsidRPr="00C260AD">
        <w:t> </w:t>
      </w:r>
      <w:r w:rsidRPr="00C260AD">
        <w:t>2</w:t>
      </w:r>
    </w:p>
    <w:p w14:paraId="3E43BB85" w14:textId="77777777" w:rsidR="00CF209D" w:rsidRPr="00C260AD" w:rsidRDefault="00CF209D" w:rsidP="001527F3">
      <w:pPr>
        <w:pStyle w:val="Figuretitle"/>
      </w:pPr>
      <w:r w:rsidRPr="00C260AD">
        <w:t>p.i.r.e. en fonction de la fréquence</w:t>
      </w:r>
    </w:p>
    <w:p w14:paraId="477DB9DA" w14:textId="3BE6688E" w:rsidR="00CF209D" w:rsidRPr="00C260AD" w:rsidRDefault="000845EF" w:rsidP="00502DCF">
      <w:pPr>
        <w:pStyle w:val="Figure"/>
      </w:pPr>
      <w:r>
        <w:object w:dxaOrig="8088" w:dyaOrig="5587" w14:anchorId="2CC31750">
          <v:shape id="_x0000_i1029" type="#_x0000_t75" style="width:364pt;height:254pt" o:ole="">
            <v:imagedata r:id="rId21" o:title=""/>
          </v:shape>
          <o:OLEObject Type="Embed" ProgID="CorelDraw.Graphic.17" ShapeID="_x0000_i1029" DrawAspect="Content" ObjectID="_1709115456" r:id="rId22"/>
        </w:object>
      </w:r>
    </w:p>
    <w:p w14:paraId="3880C758" w14:textId="1891C9D0" w:rsidR="00CF209D" w:rsidRPr="00C260AD" w:rsidRDefault="00CF209D" w:rsidP="00852BE3">
      <w:pPr>
        <w:pStyle w:val="Note"/>
      </w:pPr>
      <w:r w:rsidRPr="00C260AD">
        <w:rPr>
          <w:i/>
          <w:iCs/>
        </w:rPr>
        <w:t xml:space="preserve">Note </w:t>
      </w:r>
      <w:r w:rsidR="002F4499" w:rsidRPr="00C260AD">
        <w:rPr>
          <w:i/>
          <w:iCs/>
        </w:rPr>
        <w:t>pour la</w:t>
      </w:r>
      <w:r w:rsidRPr="00C260AD">
        <w:rPr>
          <w:i/>
          <w:iCs/>
        </w:rPr>
        <w:t xml:space="preserve"> Fig.</w:t>
      </w:r>
      <w:r w:rsidR="002F4499" w:rsidRPr="00C260AD">
        <w:rPr>
          <w:i/>
          <w:iCs/>
        </w:rPr>
        <w:t> </w:t>
      </w:r>
      <w:proofErr w:type="gramStart"/>
      <w:r w:rsidRPr="00C260AD">
        <w:rPr>
          <w:i/>
          <w:iCs/>
        </w:rPr>
        <w:t>2</w:t>
      </w:r>
      <w:r w:rsidRPr="00C260AD">
        <w:t>:</w:t>
      </w:r>
      <w:proofErr w:type="gramEnd"/>
      <w:r w:rsidRPr="00C260AD">
        <w:t xml:space="preserve"> </w:t>
      </w:r>
      <w:r w:rsidR="002F4499" w:rsidRPr="00C260AD">
        <w:t>La p.i.r.</w:t>
      </w:r>
      <w:r w:rsidRPr="00C260AD">
        <w:t>e.</w:t>
      </w:r>
      <w:r w:rsidR="002F4499" w:rsidRPr="00C260AD">
        <w:t xml:space="preserve"> au-dessus de laquelle le partage n</w:t>
      </w:r>
      <w:r w:rsidR="00502DCF" w:rsidRPr="00C260AD">
        <w:t>'</w:t>
      </w:r>
      <w:r w:rsidR="002F4499" w:rsidRPr="00C260AD">
        <w:t>est pas réalisable entre le service de radioastronomie et les services actifs dont les émetteurs sont situés dans un observatoire de radioastronomie en visibilité directe est indiqué dans les deux cas. Les largeurs de bande de r</w:t>
      </w:r>
      <w:r w:rsidR="00F21B9B" w:rsidRPr="00C260AD">
        <w:t>éfé</w:t>
      </w:r>
      <w:r w:rsidR="002F4499" w:rsidRPr="00C260AD">
        <w:t>rence pour la p.i.r.e. de l</w:t>
      </w:r>
      <w:r w:rsidR="00502DCF" w:rsidRPr="00C260AD">
        <w:t>'</w:t>
      </w:r>
      <w:r w:rsidR="002F4499" w:rsidRPr="00C260AD">
        <w:t>émetteur et pour le récepteur de radioastronomie sont celles qui sont attribuées au service de radioastronomie. La courbe </w:t>
      </w:r>
      <w:r w:rsidRPr="00C260AD">
        <w:t xml:space="preserve">A </w:t>
      </w:r>
      <w:r w:rsidR="002F4499" w:rsidRPr="00C260AD">
        <w:t>donne les résultats obtenus pour un émetteur sur l</w:t>
      </w:r>
      <w:r w:rsidR="00502DCF" w:rsidRPr="00C260AD">
        <w:t>'</w:t>
      </w:r>
      <w:r w:rsidR="002F4499" w:rsidRPr="00C260AD">
        <w:t>orbite géostationnaire et la courbe</w:t>
      </w:r>
      <w:r w:rsidR="009F366D" w:rsidRPr="00C260AD">
        <w:t> </w:t>
      </w:r>
      <w:r w:rsidRPr="00C260AD">
        <w:t xml:space="preserve">B </w:t>
      </w:r>
      <w:r w:rsidR="002F4499" w:rsidRPr="00C260AD">
        <w:t>donne les résultats obtenus pour un émetteur de Terre en visibilité directe situé à 600 km.</w:t>
      </w:r>
    </w:p>
    <w:p w14:paraId="3F6C56AE" w14:textId="2F08EE24" w:rsidR="00CF209D" w:rsidRPr="00C260AD" w:rsidRDefault="00CF209D" w:rsidP="001527F3">
      <w:r w:rsidRPr="00C260AD">
        <w:t>Compte tenu des divers facteurs en cause, les limites des zones de coordination devraient être fixées pour chaque emplacement de radioastronomie qui nécessite une telle zone. Il faut savoir que la distance de coordination, dans certains cas, peut atteindre 100</w:t>
      </w:r>
      <w:r w:rsidR="00981C70" w:rsidRPr="00C260AD">
        <w:t> </w:t>
      </w:r>
      <w:r w:rsidRPr="00C260AD">
        <w:t>km, voire plus. Pour certains petits pays, la zone de coordination nécessaire peut s'étendre au-delà des frontières nationales dans des pays où les attributions de bandes de fréquences peuvent être différentes. Par conséquent, il faudra peut</w:t>
      </w:r>
      <w:r w:rsidR="00502DCF" w:rsidRPr="00C260AD">
        <w:noBreakHyphen/>
      </w:r>
      <w:r w:rsidRPr="00C260AD">
        <w:t>être prévoir d'appliquer des conditions particulières lorsqu'on déterminera les zones de coordination visant à protéger la radioastronomie dans ces pays.</w:t>
      </w:r>
    </w:p>
    <w:p w14:paraId="3A4637A3" w14:textId="77777777" w:rsidR="00CF209D" w:rsidRPr="00C260AD" w:rsidRDefault="00CF209D" w:rsidP="001527F3">
      <w:r w:rsidRPr="00C260AD">
        <w:t>La zone de coordination décrit, autour d'un observatoire de radioastronomie, un périmètre en dehors duquel les utilisateurs du service actif peuvent émettre librement sans causer de brouillages préjudiciables aux observations de radioastronomie. Pour les utilisateurs situés à l'intérieur de la zone de coordination, il faut trouver les moyens techniques pour éviter de causer des brouillages de ce type.</w:t>
      </w:r>
    </w:p>
    <w:p w14:paraId="32D14DAB" w14:textId="77777777" w:rsidR="00CF209D" w:rsidRPr="00C260AD" w:rsidRDefault="00CF209D" w:rsidP="001527F3">
      <w:r w:rsidRPr="00C260AD">
        <w:t>En principe, on peut aussi créer des zones de coordination pour protéger les emplacements servant à la radioastronomie des émetteurs mobiles. Dans ce cas, l'usager mobile doit pouvoir, d'une façon ou d'une autre, déterminer à quel moment il pénètre dans la zone de coordination et aussi, d'une façon ou d'une autre, ramener la puissance reçue à l'emplacement de radioastronomie à un niveau inférieur au seuil de brouillage préjudiciable.</w:t>
      </w:r>
    </w:p>
    <w:p w14:paraId="551A5228" w14:textId="5EDB0E7C" w:rsidR="00502DCF" w:rsidRDefault="00CF209D" w:rsidP="00AA0444">
      <w:pPr>
        <w:pStyle w:val="Reasons"/>
        <w:spacing w:before="120"/>
        <w:rPr>
          <w:lang w:val="fr-FR"/>
        </w:rPr>
      </w:pPr>
      <w:r w:rsidRPr="00C260AD">
        <w:rPr>
          <w:lang w:val="fr-FR"/>
        </w:rPr>
        <w:t>Pour les émetteurs mobiles aéroportés, la taille des zones doit être sensiblement plus importante que pour les émetteurs basés au sol puisque les conditions de propagation en visibilité directe couvrent des distances plus grandes et augmentent avec l'altitude de l'aéronef.</w:t>
      </w:r>
    </w:p>
    <w:p w14:paraId="14C7863D" w14:textId="77777777" w:rsidR="00C25637" w:rsidRPr="00C25637" w:rsidRDefault="00C25637" w:rsidP="00AA0444">
      <w:pPr>
        <w:pStyle w:val="Reasons"/>
        <w:spacing w:before="120"/>
        <w:rPr>
          <w:sz w:val="8"/>
          <w:szCs w:val="8"/>
          <w:lang w:val="fr-FR"/>
        </w:rPr>
      </w:pPr>
    </w:p>
    <w:p w14:paraId="6DCEBA6B" w14:textId="643CD5A9" w:rsidR="00502DCF" w:rsidRPr="00C260AD" w:rsidRDefault="00502DCF" w:rsidP="00852BE3">
      <w:pPr>
        <w:pStyle w:val="Line"/>
      </w:pPr>
    </w:p>
    <w:sectPr w:rsidR="00502DCF" w:rsidRPr="00C260AD" w:rsidSect="00B230E4">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595C39" w14:textId="77777777" w:rsidR="00A20746" w:rsidRDefault="00A20746">
      <w:r>
        <w:separator/>
      </w:r>
    </w:p>
  </w:endnote>
  <w:endnote w:type="continuationSeparator" w:id="0">
    <w:p w14:paraId="759AB39B" w14:textId="77777777" w:rsidR="00A20746" w:rsidRDefault="00A20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3810B" w14:textId="77777777" w:rsidR="00A20746" w:rsidRDefault="00A20746">
      <w:r>
        <w:separator/>
      </w:r>
    </w:p>
  </w:footnote>
  <w:footnote w:type="continuationSeparator" w:id="0">
    <w:p w14:paraId="7CE7E396" w14:textId="77777777" w:rsidR="00A20746" w:rsidRDefault="00A207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542E6" w14:textId="77777777" w:rsidR="0000418C" w:rsidRDefault="0000418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CD3D6" w14:textId="77777777" w:rsidR="0000418C" w:rsidRDefault="0000418C" w:rsidP="00C668C8">
    <w:pPr>
      <w:pStyle w:val="Header"/>
      <w:ind w:right="360" w:firstLine="360"/>
    </w:pPr>
    <w:r>
      <w:rPr>
        <w:noProof/>
        <w:lang w:val="en-US"/>
      </w:rPr>
      <w:drawing>
        <wp:anchor distT="0" distB="0" distL="114300" distR="114300" simplePos="0" relativeHeight="251659264" behindDoc="1" locked="0" layoutInCell="1" allowOverlap="1" wp14:anchorId="5F83B1B3" wp14:editId="5A450FF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6E562" w14:textId="5300C217" w:rsidR="0000418C" w:rsidRPr="00837CB5" w:rsidRDefault="0000418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85726">
      <w:rPr>
        <w:rStyle w:val="PageNumber"/>
        <w:b/>
        <w:bCs/>
        <w:noProof/>
      </w:rPr>
      <w:t>ii</w:t>
    </w:r>
    <w:r>
      <w:rPr>
        <w:rStyle w:val="PageNumber"/>
        <w:b/>
        <w:bCs/>
      </w:rPr>
      <w:fldChar w:fldCharType="end"/>
    </w:r>
    <w:r w:rsidRPr="00837CB5">
      <w:tab/>
    </w:r>
    <w:fldSimple w:instr=" DOCPROPERTY &quot;Header&quot; \* MERGEFORMAT ">
      <w:r w:rsidR="00EA447E" w:rsidRPr="00EA447E">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273933">
      <w:rPr>
        <w:b/>
        <w:bCs/>
        <w:noProof/>
      </w:rPr>
      <w:t>UIT-R  RA.1031-3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15F59" w14:textId="5D99603F" w:rsidR="0000418C" w:rsidRDefault="0000418C">
    <w:pPr>
      <w:pStyle w:val="Header"/>
    </w:pPr>
    <w:r>
      <w:tab/>
    </w:r>
    <w:fldSimple w:instr=" DOCPROPERTY &quot;Header&quot; \* MERGEFORMAT ">
      <w:r w:rsidR="00EA447E" w:rsidRPr="00EA447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527F3">
      <w:rPr>
        <w:b/>
        <w:bCs/>
        <w:noProof/>
      </w:rPr>
      <w:t>UIT-R  RA.1031-3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12A14" w14:textId="18D63DB3"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85726">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A447E" w:rsidRPr="00EA447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73933">
      <w:rPr>
        <w:b/>
        <w:bCs/>
        <w:noProof/>
        <w:lang w:val="en-US"/>
      </w:rPr>
      <w:t>UIT-R  RA.1031-3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8C12C" w14:textId="5FA0C090" w:rsidR="00607D68" w:rsidRDefault="00607D68">
    <w:pPr>
      <w:pStyle w:val="Header"/>
    </w:pPr>
    <w:r>
      <w:tab/>
    </w:r>
    <w:fldSimple w:instr=" DOCPROPERTY &quot;Header&quot; \* MERGEFORMAT ">
      <w:r w:rsidR="00EA447E" w:rsidRPr="00EA447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73933">
      <w:rPr>
        <w:b/>
        <w:bCs/>
        <w:noProof/>
      </w:rPr>
      <w:t>UIT-R  RA.1031-3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85726">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18C"/>
    <w:rsid w:val="0000418C"/>
    <w:rsid w:val="00057D41"/>
    <w:rsid w:val="000845EF"/>
    <w:rsid w:val="00114418"/>
    <w:rsid w:val="001527F3"/>
    <w:rsid w:val="001C7343"/>
    <w:rsid w:val="00217EBF"/>
    <w:rsid w:val="00242AEE"/>
    <w:rsid w:val="00273933"/>
    <w:rsid w:val="002D76C4"/>
    <w:rsid w:val="002F2057"/>
    <w:rsid w:val="002F4499"/>
    <w:rsid w:val="00345BC2"/>
    <w:rsid w:val="004C5E07"/>
    <w:rsid w:val="00502DCF"/>
    <w:rsid w:val="00522623"/>
    <w:rsid w:val="0052529D"/>
    <w:rsid w:val="005C3867"/>
    <w:rsid w:val="00607D68"/>
    <w:rsid w:val="00612330"/>
    <w:rsid w:val="00654080"/>
    <w:rsid w:val="00685726"/>
    <w:rsid w:val="006E45E6"/>
    <w:rsid w:val="007468DA"/>
    <w:rsid w:val="007E4DDB"/>
    <w:rsid w:val="00852BE3"/>
    <w:rsid w:val="008A553B"/>
    <w:rsid w:val="00930DA5"/>
    <w:rsid w:val="00981C70"/>
    <w:rsid w:val="009B4AB4"/>
    <w:rsid w:val="009E00A8"/>
    <w:rsid w:val="009F366D"/>
    <w:rsid w:val="00A20746"/>
    <w:rsid w:val="00A6617B"/>
    <w:rsid w:val="00A76C2A"/>
    <w:rsid w:val="00AA0444"/>
    <w:rsid w:val="00AB0410"/>
    <w:rsid w:val="00AB0DC8"/>
    <w:rsid w:val="00AC7AB9"/>
    <w:rsid w:val="00AF691D"/>
    <w:rsid w:val="00B230E4"/>
    <w:rsid w:val="00B44E24"/>
    <w:rsid w:val="00B64ECD"/>
    <w:rsid w:val="00B708F6"/>
    <w:rsid w:val="00BC1697"/>
    <w:rsid w:val="00C25637"/>
    <w:rsid w:val="00C260AD"/>
    <w:rsid w:val="00CF209D"/>
    <w:rsid w:val="00DD6E9F"/>
    <w:rsid w:val="00DF4176"/>
    <w:rsid w:val="00EA447E"/>
    <w:rsid w:val="00F0291B"/>
    <w:rsid w:val="00F11A37"/>
    <w:rsid w:val="00F21B9B"/>
    <w:rsid w:val="00F964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783BA7EC"/>
  <w15:docId w15:val="{7EC2DE37-8C49-4CD9-AE7A-D6E0235A9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6E9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D6E9F"/>
    <w:pPr>
      <w:keepNext/>
      <w:keepLines/>
      <w:spacing w:before="480"/>
      <w:ind w:left="794" w:hanging="794"/>
      <w:outlineLvl w:val="0"/>
    </w:pPr>
    <w:rPr>
      <w:b/>
    </w:rPr>
  </w:style>
  <w:style w:type="paragraph" w:styleId="Heading2">
    <w:name w:val="heading 2"/>
    <w:basedOn w:val="Heading1"/>
    <w:next w:val="Normal"/>
    <w:qFormat/>
    <w:rsid w:val="00DD6E9F"/>
    <w:pPr>
      <w:spacing w:before="320"/>
      <w:outlineLvl w:val="1"/>
    </w:pPr>
  </w:style>
  <w:style w:type="paragraph" w:styleId="Heading3">
    <w:name w:val="heading 3"/>
    <w:basedOn w:val="Heading1"/>
    <w:next w:val="Normal"/>
    <w:qFormat/>
    <w:rsid w:val="00DD6E9F"/>
    <w:pPr>
      <w:spacing w:before="200"/>
      <w:outlineLvl w:val="2"/>
    </w:pPr>
  </w:style>
  <w:style w:type="paragraph" w:styleId="Heading4">
    <w:name w:val="heading 4"/>
    <w:basedOn w:val="Heading3"/>
    <w:next w:val="Normal"/>
    <w:qFormat/>
    <w:rsid w:val="00DD6E9F"/>
    <w:pPr>
      <w:tabs>
        <w:tab w:val="clear" w:pos="794"/>
        <w:tab w:val="left" w:pos="992"/>
      </w:tabs>
      <w:ind w:left="992" w:hanging="992"/>
      <w:outlineLvl w:val="3"/>
    </w:pPr>
  </w:style>
  <w:style w:type="paragraph" w:styleId="Heading5">
    <w:name w:val="heading 5"/>
    <w:basedOn w:val="Heading4"/>
    <w:next w:val="Normal"/>
    <w:qFormat/>
    <w:rsid w:val="00DD6E9F"/>
    <w:pPr>
      <w:outlineLvl w:val="4"/>
    </w:pPr>
  </w:style>
  <w:style w:type="paragraph" w:styleId="Heading6">
    <w:name w:val="heading 6"/>
    <w:basedOn w:val="Heading4"/>
    <w:next w:val="Normal"/>
    <w:qFormat/>
    <w:rsid w:val="00DD6E9F"/>
    <w:pPr>
      <w:tabs>
        <w:tab w:val="clear" w:pos="992"/>
        <w:tab w:val="clear" w:pos="1191"/>
      </w:tabs>
      <w:ind w:left="1588" w:hanging="1588"/>
      <w:outlineLvl w:val="5"/>
    </w:pPr>
  </w:style>
  <w:style w:type="paragraph" w:styleId="Heading7">
    <w:name w:val="heading 7"/>
    <w:basedOn w:val="Heading6"/>
    <w:next w:val="Normal"/>
    <w:qFormat/>
    <w:rsid w:val="00DD6E9F"/>
    <w:pPr>
      <w:outlineLvl w:val="6"/>
    </w:pPr>
  </w:style>
  <w:style w:type="paragraph" w:styleId="Heading8">
    <w:name w:val="heading 8"/>
    <w:basedOn w:val="Heading6"/>
    <w:next w:val="Normal"/>
    <w:qFormat/>
    <w:rsid w:val="00DD6E9F"/>
    <w:pPr>
      <w:outlineLvl w:val="7"/>
    </w:pPr>
  </w:style>
  <w:style w:type="paragraph" w:styleId="Heading9">
    <w:name w:val="heading 9"/>
    <w:basedOn w:val="Heading6"/>
    <w:next w:val="Normal"/>
    <w:qFormat/>
    <w:rsid w:val="00DD6E9F"/>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D6E9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D6E9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D6E9F"/>
  </w:style>
  <w:style w:type="paragraph" w:customStyle="1" w:styleId="Headingb">
    <w:name w:val="Heading_b"/>
    <w:basedOn w:val="Heading3"/>
    <w:next w:val="Normal"/>
    <w:rsid w:val="00DD6E9F"/>
    <w:pPr>
      <w:spacing w:before="160"/>
      <w:ind w:left="0" w:firstLine="0"/>
      <w:outlineLvl w:val="9"/>
    </w:pPr>
  </w:style>
  <w:style w:type="paragraph" w:customStyle="1" w:styleId="Headingi">
    <w:name w:val="Heading_i"/>
    <w:basedOn w:val="Heading3"/>
    <w:next w:val="Normal"/>
    <w:rsid w:val="00DD6E9F"/>
    <w:pPr>
      <w:spacing w:before="160"/>
      <w:ind w:left="0" w:firstLine="0"/>
    </w:pPr>
    <w:rPr>
      <w:b w:val="0"/>
      <w:i/>
    </w:rPr>
  </w:style>
  <w:style w:type="character" w:customStyle="1" w:styleId="href">
    <w:name w:val="href"/>
    <w:basedOn w:val="DefaultParagraphFont"/>
    <w:rsid w:val="00DD6E9F"/>
  </w:style>
  <w:style w:type="paragraph" w:customStyle="1" w:styleId="enumlev1">
    <w:name w:val="enumlev1"/>
    <w:basedOn w:val="Normal"/>
    <w:rsid w:val="00DD6E9F"/>
    <w:pPr>
      <w:spacing w:before="80"/>
      <w:ind w:left="794" w:hanging="794"/>
    </w:pPr>
  </w:style>
  <w:style w:type="paragraph" w:customStyle="1" w:styleId="enumlev2">
    <w:name w:val="enumlev2"/>
    <w:basedOn w:val="enumlev1"/>
    <w:rsid w:val="00DD6E9F"/>
    <w:pPr>
      <w:ind w:left="1191" w:hanging="397"/>
    </w:pPr>
  </w:style>
  <w:style w:type="paragraph" w:customStyle="1" w:styleId="enumlev3">
    <w:name w:val="enumlev3"/>
    <w:basedOn w:val="enumlev2"/>
    <w:rsid w:val="00DD6E9F"/>
    <w:pPr>
      <w:ind w:left="1588"/>
    </w:pPr>
  </w:style>
  <w:style w:type="paragraph" w:customStyle="1" w:styleId="Normalaftertitle">
    <w:name w:val="Normal_after_title"/>
    <w:basedOn w:val="Normal"/>
    <w:next w:val="Normal"/>
    <w:rsid w:val="00DD6E9F"/>
    <w:pPr>
      <w:spacing w:before="320"/>
    </w:pPr>
  </w:style>
  <w:style w:type="paragraph" w:customStyle="1" w:styleId="Note">
    <w:name w:val="Note"/>
    <w:basedOn w:val="Normal"/>
    <w:rsid w:val="00DD6E9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D6E9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D6E9F"/>
    <w:pPr>
      <w:spacing w:before="240"/>
    </w:pPr>
    <w:rPr>
      <w:sz w:val="22"/>
      <w:lang w:val="es-ES_tradnl"/>
    </w:rPr>
  </w:style>
  <w:style w:type="paragraph" w:customStyle="1" w:styleId="Recref">
    <w:name w:val="Rec_ref"/>
    <w:basedOn w:val="Normal"/>
    <w:next w:val="Recdate"/>
    <w:rsid w:val="00DD6E9F"/>
    <w:pPr>
      <w:jc w:val="center"/>
    </w:pPr>
  </w:style>
  <w:style w:type="paragraph" w:customStyle="1" w:styleId="Recdate">
    <w:name w:val="Rec_date"/>
    <w:basedOn w:val="Recref"/>
    <w:next w:val="Normalaftertitle"/>
    <w:rsid w:val="00DD6E9F"/>
    <w:pPr>
      <w:jc w:val="right"/>
    </w:pPr>
  </w:style>
  <w:style w:type="paragraph" w:customStyle="1" w:styleId="AnnexNoTitle">
    <w:name w:val="Annex_NoTitle"/>
    <w:basedOn w:val="Normal"/>
    <w:next w:val="Normalaftertitle"/>
    <w:rsid w:val="00A76C2A"/>
    <w:pPr>
      <w:keepNext/>
      <w:keepLines/>
      <w:spacing w:before="480" w:after="80"/>
      <w:jc w:val="center"/>
      <w:outlineLvl w:val="0"/>
    </w:pPr>
    <w:rPr>
      <w:b/>
      <w:sz w:val="28"/>
    </w:rPr>
  </w:style>
  <w:style w:type="paragraph" w:customStyle="1" w:styleId="AppendixNoTitle">
    <w:name w:val="Appendix_NoTitle"/>
    <w:basedOn w:val="AnnexNoTitle"/>
    <w:next w:val="Normal"/>
    <w:rsid w:val="00DD6E9F"/>
  </w:style>
  <w:style w:type="paragraph" w:customStyle="1" w:styleId="Tablefin">
    <w:name w:val="Table_fin"/>
    <w:basedOn w:val="Normal"/>
    <w:next w:val="Normal"/>
    <w:rsid w:val="00DD6E9F"/>
    <w:pPr>
      <w:spacing w:before="0"/>
    </w:pPr>
    <w:rPr>
      <w:sz w:val="20"/>
      <w:lang w:val="en-GB"/>
    </w:rPr>
  </w:style>
  <w:style w:type="paragraph" w:customStyle="1" w:styleId="Tablehead">
    <w:name w:val="Table_head"/>
    <w:basedOn w:val="Normal"/>
    <w:next w:val="Normal"/>
    <w:rsid w:val="00DD6E9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D6E9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D6E9F"/>
    <w:pPr>
      <w:keepNext/>
      <w:spacing w:before="360" w:after="120"/>
      <w:jc w:val="center"/>
    </w:pPr>
  </w:style>
  <w:style w:type="paragraph" w:customStyle="1" w:styleId="Tabletext">
    <w:name w:val="Table_text"/>
    <w:basedOn w:val="Normal"/>
    <w:rsid w:val="00DD6E9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D6E9F"/>
    <w:pPr>
      <w:tabs>
        <w:tab w:val="clear" w:pos="1191"/>
        <w:tab w:val="clear" w:pos="1588"/>
        <w:tab w:val="clear" w:pos="1985"/>
        <w:tab w:val="center" w:pos="4820"/>
        <w:tab w:val="right" w:pos="9639"/>
      </w:tabs>
    </w:pPr>
  </w:style>
  <w:style w:type="paragraph" w:customStyle="1" w:styleId="Equationlegend">
    <w:name w:val="Equation_legend"/>
    <w:basedOn w:val="NormalIndent"/>
    <w:rsid w:val="00DD6E9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D6E9F"/>
    <w:pPr>
      <w:ind w:left="794"/>
    </w:pPr>
  </w:style>
  <w:style w:type="paragraph" w:customStyle="1" w:styleId="Figurelegend">
    <w:name w:val="Figure_legend"/>
    <w:basedOn w:val="Normal"/>
    <w:rsid w:val="00DD6E9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D6E9F"/>
    <w:pPr>
      <w:keepNext/>
      <w:keepLines/>
      <w:spacing w:before="480" w:after="80"/>
      <w:jc w:val="center"/>
    </w:pPr>
    <w:rPr>
      <w:caps/>
      <w:sz w:val="18"/>
    </w:rPr>
  </w:style>
  <w:style w:type="paragraph" w:customStyle="1" w:styleId="tocpart">
    <w:name w:val="tocpart"/>
    <w:basedOn w:val="Normal"/>
    <w:rsid w:val="00DD6E9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D6E9F"/>
    <w:pPr>
      <w:keepNext/>
      <w:keepLines/>
      <w:spacing w:before="480"/>
      <w:jc w:val="center"/>
    </w:pPr>
    <w:rPr>
      <w:sz w:val="28"/>
    </w:rPr>
  </w:style>
  <w:style w:type="paragraph" w:customStyle="1" w:styleId="Arttitle">
    <w:name w:val="Art_title"/>
    <w:basedOn w:val="Normal"/>
    <w:next w:val="Normalaftertitle"/>
    <w:rsid w:val="00DD6E9F"/>
    <w:pPr>
      <w:keepNext/>
      <w:keepLines/>
      <w:spacing w:before="240"/>
      <w:jc w:val="center"/>
    </w:pPr>
    <w:rPr>
      <w:b/>
      <w:sz w:val="28"/>
    </w:rPr>
  </w:style>
  <w:style w:type="paragraph" w:customStyle="1" w:styleId="Blanc">
    <w:name w:val="Blanc"/>
    <w:basedOn w:val="Normal"/>
    <w:next w:val="Tabletext"/>
    <w:rsid w:val="00DD6E9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D6E9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D6E9F"/>
    <w:pPr>
      <w:keepNext/>
      <w:keepLines/>
      <w:spacing w:before="160"/>
      <w:ind w:left="794"/>
    </w:pPr>
    <w:rPr>
      <w:i/>
    </w:rPr>
  </w:style>
  <w:style w:type="paragraph" w:customStyle="1" w:styleId="ChapNo">
    <w:name w:val="Chap_No"/>
    <w:basedOn w:val="ArtNo"/>
    <w:next w:val="Chaptitle"/>
    <w:rsid w:val="00DD6E9F"/>
    <w:rPr>
      <w:b/>
    </w:rPr>
  </w:style>
  <w:style w:type="paragraph" w:customStyle="1" w:styleId="Chaptitle">
    <w:name w:val="Chap_title"/>
    <w:basedOn w:val="Arttitle"/>
    <w:next w:val="Normalaftertitle"/>
    <w:rsid w:val="00DD6E9F"/>
  </w:style>
  <w:style w:type="character" w:styleId="FootnoteReference">
    <w:name w:val="footnote reference"/>
    <w:basedOn w:val="DefaultParagraphFont"/>
    <w:semiHidden/>
    <w:rsid w:val="00DD6E9F"/>
    <w:rPr>
      <w:position w:val="6"/>
      <w:sz w:val="18"/>
    </w:rPr>
  </w:style>
  <w:style w:type="paragraph" w:styleId="FootnoteText">
    <w:name w:val="footnote text"/>
    <w:basedOn w:val="Normal"/>
    <w:semiHidden/>
    <w:rsid w:val="00DD6E9F"/>
    <w:pPr>
      <w:keepLines/>
      <w:tabs>
        <w:tab w:val="left" w:pos="255"/>
      </w:tabs>
      <w:ind w:left="255" w:hanging="255"/>
    </w:pPr>
    <w:rPr>
      <w:sz w:val="22"/>
    </w:rPr>
  </w:style>
  <w:style w:type="paragraph" w:styleId="Index1">
    <w:name w:val="index 1"/>
    <w:basedOn w:val="Normal"/>
    <w:next w:val="Normal"/>
    <w:semiHidden/>
    <w:rsid w:val="00DD6E9F"/>
  </w:style>
  <w:style w:type="paragraph" w:styleId="Index2">
    <w:name w:val="index 2"/>
    <w:basedOn w:val="Normal"/>
    <w:next w:val="Normal"/>
    <w:semiHidden/>
    <w:rsid w:val="00DD6E9F"/>
    <w:pPr>
      <w:ind w:left="283"/>
    </w:pPr>
  </w:style>
  <w:style w:type="paragraph" w:styleId="Index3">
    <w:name w:val="index 3"/>
    <w:basedOn w:val="Normal"/>
    <w:next w:val="Normal"/>
    <w:semiHidden/>
    <w:rsid w:val="00DD6E9F"/>
    <w:pPr>
      <w:ind w:left="566"/>
    </w:pPr>
  </w:style>
  <w:style w:type="paragraph" w:styleId="IndexHeading">
    <w:name w:val="index heading"/>
    <w:basedOn w:val="Normal"/>
    <w:next w:val="Index1"/>
    <w:semiHidden/>
    <w:rsid w:val="00DD6E9F"/>
  </w:style>
  <w:style w:type="paragraph" w:customStyle="1" w:styleId="Line">
    <w:name w:val="Line"/>
    <w:basedOn w:val="Normal"/>
    <w:next w:val="Normal"/>
    <w:rsid w:val="00DD6E9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D6E9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D6E9F"/>
  </w:style>
  <w:style w:type="paragraph" w:customStyle="1" w:styleId="Partref">
    <w:name w:val="Part_ref"/>
    <w:basedOn w:val="Normal"/>
    <w:next w:val="Normal"/>
    <w:rsid w:val="00DD6E9F"/>
    <w:pPr>
      <w:keepNext/>
      <w:keepLines/>
      <w:spacing w:after="280"/>
      <w:jc w:val="center"/>
    </w:pPr>
  </w:style>
  <w:style w:type="paragraph" w:customStyle="1" w:styleId="Parttitle">
    <w:name w:val="Part_title"/>
    <w:basedOn w:val="Normal"/>
    <w:next w:val="Normalaftertitle"/>
    <w:rsid w:val="00DD6E9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D6E9F"/>
  </w:style>
  <w:style w:type="paragraph" w:customStyle="1" w:styleId="QuestionNo">
    <w:name w:val="Question_No"/>
    <w:basedOn w:val="RecNo"/>
    <w:next w:val="Normal"/>
    <w:rsid w:val="00DD6E9F"/>
  </w:style>
  <w:style w:type="paragraph" w:customStyle="1" w:styleId="Questionref">
    <w:name w:val="Question_ref"/>
    <w:basedOn w:val="Recref"/>
    <w:next w:val="Questiondate"/>
    <w:rsid w:val="00DD6E9F"/>
  </w:style>
  <w:style w:type="paragraph" w:customStyle="1" w:styleId="Questiontitle">
    <w:name w:val="Question_title"/>
    <w:basedOn w:val="Normal"/>
    <w:next w:val="Questionref"/>
    <w:rsid w:val="00DD6E9F"/>
  </w:style>
  <w:style w:type="paragraph" w:customStyle="1" w:styleId="Reftext">
    <w:name w:val="Ref_text"/>
    <w:basedOn w:val="Normal"/>
    <w:rsid w:val="00DD6E9F"/>
    <w:pPr>
      <w:ind w:left="794" w:hanging="794"/>
    </w:pPr>
    <w:rPr>
      <w:sz w:val="22"/>
    </w:rPr>
  </w:style>
  <w:style w:type="paragraph" w:customStyle="1" w:styleId="Reftitle">
    <w:name w:val="Ref_title"/>
    <w:basedOn w:val="Normal"/>
    <w:next w:val="Reftext"/>
    <w:rsid w:val="00DD6E9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D6E9F"/>
  </w:style>
  <w:style w:type="paragraph" w:customStyle="1" w:styleId="RepNo">
    <w:name w:val="Rep_No"/>
    <w:basedOn w:val="RecNo"/>
    <w:next w:val="Reptitle"/>
    <w:rsid w:val="00DD6E9F"/>
  </w:style>
  <w:style w:type="paragraph" w:customStyle="1" w:styleId="Repref">
    <w:name w:val="Rep_ref"/>
    <w:basedOn w:val="Recref"/>
    <w:next w:val="Repdate"/>
    <w:rsid w:val="00DD6E9F"/>
  </w:style>
  <w:style w:type="paragraph" w:customStyle="1" w:styleId="Reptitle">
    <w:name w:val="Rep_title"/>
    <w:basedOn w:val="Rectitle"/>
    <w:next w:val="Repref"/>
    <w:rsid w:val="00DD6E9F"/>
  </w:style>
  <w:style w:type="paragraph" w:customStyle="1" w:styleId="Resdate">
    <w:name w:val="Res_date"/>
    <w:basedOn w:val="Recdate"/>
    <w:next w:val="Normalaftertitle"/>
    <w:rsid w:val="00DD6E9F"/>
  </w:style>
  <w:style w:type="paragraph" w:customStyle="1" w:styleId="ResNo">
    <w:name w:val="Res_No"/>
    <w:basedOn w:val="RecNo"/>
    <w:next w:val="Restitle"/>
    <w:rsid w:val="00DD6E9F"/>
  </w:style>
  <w:style w:type="paragraph" w:customStyle="1" w:styleId="Resref">
    <w:name w:val="Res_ref"/>
    <w:basedOn w:val="Recref"/>
    <w:next w:val="Resdate"/>
    <w:rsid w:val="00DD6E9F"/>
  </w:style>
  <w:style w:type="paragraph" w:customStyle="1" w:styleId="Restitle">
    <w:name w:val="Res_title"/>
    <w:basedOn w:val="Normal"/>
    <w:next w:val="Resref"/>
    <w:rsid w:val="00DD6E9F"/>
    <w:pPr>
      <w:spacing w:before="240"/>
      <w:jc w:val="center"/>
    </w:pPr>
    <w:rPr>
      <w:b/>
      <w:sz w:val="28"/>
    </w:rPr>
  </w:style>
  <w:style w:type="paragraph" w:customStyle="1" w:styleId="SectionNo">
    <w:name w:val="Section_No"/>
    <w:basedOn w:val="Normal"/>
    <w:next w:val="Normal"/>
    <w:rsid w:val="00DD6E9F"/>
  </w:style>
  <w:style w:type="paragraph" w:customStyle="1" w:styleId="Sectiontitle">
    <w:name w:val="Section_title"/>
    <w:basedOn w:val="Normal"/>
    <w:next w:val="Normalaftertitle"/>
    <w:rsid w:val="00DD6E9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D6E9F"/>
    <w:pPr>
      <w:tabs>
        <w:tab w:val="clear" w:pos="794"/>
        <w:tab w:val="clear" w:pos="1191"/>
        <w:tab w:val="clear" w:pos="1588"/>
        <w:tab w:val="clear" w:pos="1985"/>
        <w:tab w:val="right" w:pos="9611"/>
      </w:tabs>
    </w:pPr>
    <w:rPr>
      <w:i/>
    </w:rPr>
  </w:style>
  <w:style w:type="paragraph" w:styleId="TOC1">
    <w:name w:val="toc 1"/>
    <w:basedOn w:val="Normal"/>
    <w:semiHidden/>
    <w:rsid w:val="00DD6E9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D6E9F"/>
    <w:pPr>
      <w:tabs>
        <w:tab w:val="clear" w:pos="567"/>
        <w:tab w:val="left" w:pos="1276"/>
      </w:tabs>
      <w:spacing w:before="160"/>
      <w:ind w:left="1276" w:hanging="709"/>
    </w:pPr>
  </w:style>
  <w:style w:type="paragraph" w:styleId="TOC3">
    <w:name w:val="toc 3"/>
    <w:basedOn w:val="TOC2"/>
    <w:semiHidden/>
    <w:rsid w:val="00DD6E9F"/>
    <w:pPr>
      <w:tabs>
        <w:tab w:val="clear" w:pos="1276"/>
        <w:tab w:val="left" w:pos="2155"/>
      </w:tabs>
      <w:ind w:left="2155" w:hanging="879"/>
    </w:pPr>
  </w:style>
  <w:style w:type="paragraph" w:styleId="TOC4">
    <w:name w:val="toc 4"/>
    <w:basedOn w:val="TOC3"/>
    <w:semiHidden/>
    <w:rsid w:val="00DD6E9F"/>
    <w:pPr>
      <w:tabs>
        <w:tab w:val="left" w:pos="3261"/>
      </w:tabs>
      <w:spacing w:before="80"/>
      <w:ind w:left="3261" w:hanging="993"/>
    </w:pPr>
  </w:style>
  <w:style w:type="paragraph" w:styleId="TOC5">
    <w:name w:val="toc 5"/>
    <w:basedOn w:val="TOC4"/>
    <w:semiHidden/>
    <w:rsid w:val="00DD6E9F"/>
  </w:style>
  <w:style w:type="paragraph" w:styleId="TOC6">
    <w:name w:val="toc 6"/>
    <w:basedOn w:val="TOC4"/>
    <w:semiHidden/>
    <w:rsid w:val="00DD6E9F"/>
  </w:style>
  <w:style w:type="paragraph" w:styleId="TOC7">
    <w:name w:val="toc 7"/>
    <w:basedOn w:val="TOC4"/>
    <w:semiHidden/>
    <w:rsid w:val="00DD6E9F"/>
  </w:style>
  <w:style w:type="paragraph" w:styleId="TOC8">
    <w:name w:val="toc 8"/>
    <w:basedOn w:val="TOC4"/>
    <w:semiHidden/>
    <w:rsid w:val="00DD6E9F"/>
  </w:style>
  <w:style w:type="paragraph" w:customStyle="1" w:styleId="Rectitle">
    <w:name w:val="Rec_title"/>
    <w:basedOn w:val="Normal"/>
    <w:next w:val="Recref"/>
    <w:rsid w:val="00DD6E9F"/>
    <w:pPr>
      <w:keepNext/>
      <w:keepLines/>
      <w:spacing w:before="240"/>
      <w:jc w:val="center"/>
    </w:pPr>
    <w:rPr>
      <w:b/>
      <w:sz w:val="28"/>
    </w:rPr>
  </w:style>
  <w:style w:type="paragraph" w:customStyle="1" w:styleId="Annexref">
    <w:name w:val="Annex_ref"/>
    <w:basedOn w:val="Normal"/>
    <w:next w:val="Normalaftertitle"/>
    <w:rsid w:val="00DD6E9F"/>
    <w:pPr>
      <w:keepNext/>
      <w:keepLines/>
      <w:spacing w:after="280"/>
      <w:jc w:val="center"/>
    </w:pPr>
  </w:style>
  <w:style w:type="paragraph" w:customStyle="1" w:styleId="Appendixref">
    <w:name w:val="Appendix_ref"/>
    <w:basedOn w:val="Annexref"/>
    <w:next w:val="Normalaftertitle"/>
    <w:rsid w:val="00DD6E9F"/>
  </w:style>
  <w:style w:type="paragraph" w:customStyle="1" w:styleId="Figuretitle">
    <w:name w:val="Figure_title"/>
    <w:basedOn w:val="Normal"/>
    <w:next w:val="Figure"/>
    <w:rsid w:val="00DD6E9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D6E9F"/>
    <w:pPr>
      <w:keepNext/>
      <w:spacing w:before="0" w:after="120"/>
      <w:jc w:val="center"/>
    </w:pPr>
    <w:rPr>
      <w:b/>
    </w:rPr>
  </w:style>
  <w:style w:type="paragraph" w:customStyle="1" w:styleId="Summary">
    <w:name w:val="Summary"/>
    <w:basedOn w:val="Normal"/>
    <w:next w:val="Normalaftertitle"/>
    <w:autoRedefine/>
    <w:rsid w:val="00DD6E9F"/>
    <w:pPr>
      <w:spacing w:after="480"/>
    </w:pPr>
    <w:rPr>
      <w:sz w:val="22"/>
      <w:lang w:val="es-ES_tradnl"/>
    </w:rPr>
  </w:style>
  <w:style w:type="paragraph" w:customStyle="1" w:styleId="TableLegendNote">
    <w:name w:val="Table_Legend_Note"/>
    <w:basedOn w:val="Tablelegend"/>
    <w:next w:val="Tablelegend"/>
    <w:rsid w:val="00DD6E9F"/>
    <w:pPr>
      <w:ind w:left="-85" w:firstLine="0"/>
    </w:pPr>
    <w:rPr>
      <w:lang w:val="en-US"/>
    </w:rPr>
  </w:style>
  <w:style w:type="paragraph" w:customStyle="1" w:styleId="Figure">
    <w:name w:val="Figure"/>
    <w:basedOn w:val="FigureNo"/>
    <w:next w:val="Normal"/>
    <w:rsid w:val="00DD6E9F"/>
    <w:pPr>
      <w:keepNext w:val="0"/>
      <w:spacing w:before="0" w:after="240"/>
    </w:pPr>
  </w:style>
  <w:style w:type="character" w:customStyle="1" w:styleId="Heading1Char">
    <w:name w:val="Heading 1 Char"/>
    <w:basedOn w:val="DefaultParagraphFont"/>
    <w:link w:val="Heading1"/>
    <w:rsid w:val="0000418C"/>
    <w:rPr>
      <w:b/>
      <w:sz w:val="24"/>
      <w:lang w:val="fr-FR" w:eastAsia="en-US"/>
    </w:rPr>
  </w:style>
  <w:style w:type="character" w:customStyle="1" w:styleId="HeaderChar">
    <w:name w:val="Header Char"/>
    <w:basedOn w:val="DefaultParagraphFont"/>
    <w:link w:val="Header"/>
    <w:rsid w:val="0000418C"/>
    <w:rPr>
      <w:sz w:val="24"/>
      <w:lang w:val="fr-FR" w:eastAsia="en-US"/>
    </w:rPr>
  </w:style>
  <w:style w:type="character" w:styleId="Hyperlink">
    <w:name w:val="Hyperlink"/>
    <w:basedOn w:val="DefaultParagraphFont"/>
    <w:rsid w:val="0000418C"/>
    <w:rPr>
      <w:color w:val="0000FF"/>
      <w:u w:val="single"/>
    </w:rPr>
  </w:style>
  <w:style w:type="character" w:styleId="FollowedHyperlink">
    <w:name w:val="FollowedHyperlink"/>
    <w:basedOn w:val="DefaultParagraphFont"/>
    <w:semiHidden/>
    <w:unhideWhenUsed/>
    <w:rsid w:val="00502DCF"/>
    <w:rPr>
      <w:color w:val="800080" w:themeColor="followedHyperlink"/>
      <w:u w:val="single"/>
    </w:rPr>
  </w:style>
  <w:style w:type="paragraph" w:customStyle="1" w:styleId="Reasons">
    <w:name w:val="Reasons"/>
    <w:basedOn w:val="Normal"/>
    <w:qFormat/>
    <w:rsid w:val="00502DCF"/>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5.xml"/><Relationship Id="rId10" Type="http://schemas.openxmlformats.org/officeDocument/2006/relationships/hyperlink" Target="http://www.itu.int/publ/R-REC/fr" TargetMode="Externa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00D7E-2A95-4721-ADF0-3834B6D3E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67</TotalTime>
  <Pages>8</Pages>
  <Words>2735</Words>
  <Characters>15592</Characters>
  <Application>Microsoft Office Word</Application>
  <DocSecurity>0</DocSecurity>
  <Lines>299</Lines>
  <Paragraphs>130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Template BR_Rec_2005.dot</vt:lpstr>
      <vt:lpstr>Template BR_Rec_2005.dot</vt:lpstr>
    </vt:vector>
  </TitlesOfParts>
  <Manager/>
  <Company>ITU</Company>
  <LinksUpToDate>false</LinksUpToDate>
  <CharactersWithSpaces>18249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RA.1031-3 - Protection du service de radioastronomie dans les bandes de fréquences utilisées en partage avec des services actifs</dc:title>
  <dc:subject>Série RA = Radioastronomie</dc:subject>
  <dc:creator>Bureau des radiocommunications de l'UIT (BR)</dc:creator>
  <cp:keywords>RA,1031-3</cp:keywords>
  <dc:description>Gachetc, 18/03/2022, ITU51013811</dc:description>
  <cp:lastModifiedBy>Gachet, Christelle</cp:lastModifiedBy>
  <cp:revision>10</cp:revision>
  <cp:lastPrinted>2014-09-17T13:59:00Z</cp:lastPrinted>
  <dcterms:created xsi:type="dcterms:W3CDTF">2022-03-14T12:06:00Z</dcterms:created>
  <dcterms:modified xsi:type="dcterms:W3CDTF">2022-03-18T12:28:00Z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18 March 2022</vt:lpwstr>
  </property>
</Properties>
</file>