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DB4B02">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EC361D">
              <w:rPr>
                <w:rFonts w:ascii="Tahoma" w:hAnsi="Tahoma" w:cs="Tahoma"/>
                <w:b/>
                <w:bCs/>
                <w:iCs/>
                <w:color w:val="243285"/>
                <w:sz w:val="36"/>
                <w:szCs w:val="36"/>
              </w:rPr>
              <w:t>R</w:t>
            </w:r>
            <w:r w:rsidR="004822EF">
              <w:rPr>
                <w:rFonts w:ascii="Tahoma" w:hAnsi="Tahoma" w:cs="Tahoma"/>
                <w:b/>
                <w:bCs/>
                <w:iCs/>
                <w:color w:val="243285"/>
                <w:sz w:val="36"/>
                <w:szCs w:val="36"/>
              </w:rPr>
              <w:t>S</w:t>
            </w:r>
            <w:r w:rsidRPr="00A443C2">
              <w:rPr>
                <w:rFonts w:ascii="Tahoma" w:hAnsi="Tahoma" w:cs="Tahoma"/>
                <w:b/>
                <w:bCs/>
                <w:iCs/>
                <w:color w:val="243285"/>
                <w:sz w:val="36"/>
                <w:szCs w:val="36"/>
              </w:rPr>
              <w:t>.</w:t>
            </w:r>
            <w:r w:rsidR="00DB4B02">
              <w:rPr>
                <w:rFonts w:ascii="Tahoma" w:hAnsi="Tahoma" w:cs="Tahoma"/>
                <w:b/>
                <w:bCs/>
                <w:iCs/>
                <w:color w:val="243285"/>
                <w:sz w:val="36"/>
                <w:szCs w:val="36"/>
              </w:rPr>
              <w:t>1263-1</w:t>
            </w:r>
          </w:p>
          <w:p w:rsidR="00FE79FE" w:rsidRPr="00A443C2" w:rsidRDefault="00FE79FE" w:rsidP="00DB4B02">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DB4B02">
              <w:rPr>
                <w:rFonts w:ascii="Tahoma" w:hAnsi="Tahoma" w:cs="Tahoma"/>
                <w:b/>
                <w:bCs/>
                <w:iCs/>
                <w:color w:val="243285"/>
                <w:szCs w:val="24"/>
              </w:rPr>
              <w:t>01</w:t>
            </w:r>
            <w:r w:rsidRPr="00A443C2">
              <w:rPr>
                <w:rFonts w:ascii="Tahoma" w:hAnsi="Tahoma" w:cs="Tahoma"/>
                <w:b/>
                <w:bCs/>
                <w:iCs/>
                <w:color w:val="243285"/>
                <w:szCs w:val="24"/>
              </w:rPr>
              <w:t>/</w:t>
            </w:r>
            <w:r w:rsidR="00DB4B02">
              <w:rPr>
                <w:rFonts w:ascii="Tahoma" w:hAnsi="Tahoma" w:cs="Tahoma"/>
                <w:b/>
                <w:bCs/>
                <w:iCs/>
                <w:color w:val="243285"/>
                <w:szCs w:val="24"/>
              </w:rPr>
              <w:t>2010</w:t>
            </w:r>
            <w:r w:rsidRPr="00A443C2">
              <w:rPr>
                <w:rFonts w:ascii="Tahoma" w:hAnsi="Tahoma" w:cs="Tahoma"/>
                <w:b/>
                <w:bCs/>
                <w:iCs/>
                <w:color w:val="243285"/>
                <w:szCs w:val="24"/>
              </w:rPr>
              <w:t>)</w:t>
            </w:r>
          </w:p>
        </w:tc>
      </w:tr>
      <w:tr w:rsidR="00FE79FE" w:rsidRPr="00F54FBD">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DB4B02" w:rsidRDefault="00DB4B02" w:rsidP="00DB4B02">
            <w:pPr>
              <w:spacing w:before="80" w:line="500" w:lineRule="exact"/>
              <w:jc w:val="right"/>
              <w:rPr>
                <w:rFonts w:ascii="Tahoma" w:hAnsi="Tahoma" w:cs="Tahoma"/>
                <w:b/>
                <w:bCs/>
                <w:iCs/>
                <w:color w:val="243285"/>
                <w:sz w:val="44"/>
                <w:szCs w:val="44"/>
              </w:rPr>
            </w:pPr>
            <w:r w:rsidRPr="00DB4B02">
              <w:rPr>
                <w:rFonts w:ascii="Tahoma" w:hAnsi="Tahoma" w:cs="Tahoma"/>
                <w:b/>
                <w:bCs/>
                <w:iCs/>
                <w:color w:val="243285"/>
                <w:sz w:val="44"/>
                <w:szCs w:val="44"/>
              </w:rPr>
              <w:t xml:space="preserve">Critères de brouillage applicables au service des auxiliaires de la météorologie </w:t>
            </w:r>
          </w:p>
          <w:p w:rsidR="00DB4B02" w:rsidRDefault="00DB4B02" w:rsidP="00DB4B02">
            <w:pPr>
              <w:spacing w:before="80" w:line="500" w:lineRule="exact"/>
              <w:jc w:val="right"/>
              <w:rPr>
                <w:rFonts w:ascii="Tahoma" w:hAnsi="Tahoma" w:cs="Tahoma"/>
                <w:b/>
                <w:bCs/>
                <w:iCs/>
                <w:color w:val="243285"/>
                <w:sz w:val="44"/>
                <w:szCs w:val="44"/>
              </w:rPr>
            </w:pPr>
            <w:r w:rsidRPr="00DB4B02">
              <w:rPr>
                <w:rFonts w:ascii="Tahoma" w:hAnsi="Tahoma" w:cs="Tahoma"/>
                <w:b/>
                <w:bCs/>
                <w:iCs/>
                <w:color w:val="243285"/>
                <w:sz w:val="44"/>
                <w:szCs w:val="44"/>
              </w:rPr>
              <w:t xml:space="preserve">dans les bandes 400,15-406 MHz </w:t>
            </w:r>
          </w:p>
          <w:p w:rsidR="00FE79FE" w:rsidRDefault="00DB4B02" w:rsidP="00DB4B02">
            <w:pPr>
              <w:spacing w:before="80" w:line="500" w:lineRule="exact"/>
              <w:jc w:val="right"/>
              <w:rPr>
                <w:rFonts w:ascii="Tahoma" w:hAnsi="Tahoma" w:cs="Tahoma"/>
                <w:b/>
                <w:bCs/>
                <w:iCs/>
                <w:color w:val="243285"/>
                <w:sz w:val="44"/>
                <w:szCs w:val="44"/>
              </w:rPr>
            </w:pPr>
            <w:r w:rsidRPr="00DB4B02">
              <w:rPr>
                <w:rFonts w:ascii="Tahoma" w:hAnsi="Tahoma" w:cs="Tahoma"/>
                <w:b/>
                <w:bCs/>
                <w:iCs/>
                <w:color w:val="243285"/>
                <w:sz w:val="44"/>
                <w:szCs w:val="44"/>
              </w:rPr>
              <w:t>et 1 668,4-1 700 MHz</w:t>
            </w:r>
          </w:p>
          <w:p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4822EF">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EC361D">
              <w:rPr>
                <w:rFonts w:ascii="Tahoma" w:hAnsi="Tahoma" w:cs="Tahoma"/>
                <w:b/>
                <w:bCs/>
                <w:iCs/>
                <w:color w:val="243285"/>
                <w:sz w:val="36"/>
                <w:szCs w:val="36"/>
              </w:rPr>
              <w:t>R</w:t>
            </w:r>
            <w:r w:rsidR="004822EF">
              <w:rPr>
                <w:rFonts w:ascii="Tahoma" w:hAnsi="Tahoma" w:cs="Tahoma"/>
                <w:b/>
                <w:bCs/>
                <w:iCs/>
                <w:color w:val="243285"/>
                <w:sz w:val="36"/>
                <w:szCs w:val="36"/>
              </w:rPr>
              <w:t>S</w:t>
            </w:r>
          </w:p>
          <w:p w:rsidR="00FE79FE" w:rsidRPr="00F54FBD" w:rsidRDefault="004822EF"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Systèmes de télédétection</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A71FE5" w:rsidRPr="00F54FBD" w:rsidRDefault="00A71FE5"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8"/>
          <w:headerReference w:type="default" r:id="rId9"/>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FF6FA4"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1"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rsidTr="005E427C">
        <w:tc>
          <w:tcPr>
            <w:tcW w:w="1140" w:type="dxa"/>
            <w:tcBorders>
              <w:bottom w:val="nil"/>
            </w:tcBorders>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rsidTr="005E427C">
        <w:tc>
          <w:tcPr>
            <w:tcW w:w="1140" w:type="dxa"/>
            <w:tcBorders>
              <w:top w:val="nil"/>
              <w:bottom w:val="nil"/>
            </w:tcBorders>
            <w:shd w:val="clear" w:color="auto" w:fill="auto"/>
          </w:tcPr>
          <w:p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rsidTr="00E80F1D">
        <w:tc>
          <w:tcPr>
            <w:tcW w:w="1140" w:type="dxa"/>
            <w:tcBorders>
              <w:top w:val="nil"/>
              <w:bottom w:val="nil"/>
            </w:tcBorders>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rsidTr="00E80F1D">
        <w:tc>
          <w:tcPr>
            <w:tcW w:w="1140" w:type="dxa"/>
            <w:tcBorders>
              <w:top w:val="nil"/>
              <w:bottom w:val="nil"/>
            </w:tcBorders>
            <w:shd w:val="clear" w:color="auto" w:fill="auto"/>
          </w:tcPr>
          <w:p w:rsidR="00F54FBD" w:rsidRPr="00E80F1D" w:rsidRDefault="00F54F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F54FBD" w:rsidRPr="00E80F1D"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rsidTr="00DE5EA2">
        <w:tc>
          <w:tcPr>
            <w:tcW w:w="1140" w:type="dxa"/>
            <w:tcBorders>
              <w:top w:val="nil"/>
              <w:bottom w:val="nil"/>
            </w:tcBorders>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rsidTr="00DE5EA2">
        <w:tc>
          <w:tcPr>
            <w:tcW w:w="1140" w:type="dxa"/>
            <w:tcBorders>
              <w:top w:val="nil"/>
              <w:bottom w:val="nil"/>
            </w:tcBorders>
            <w:shd w:val="clear" w:color="auto" w:fill="auto"/>
          </w:tcPr>
          <w:p w:rsidR="00F54FBD" w:rsidRPr="00DE5EA2" w:rsidRDefault="00F54FBD"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F54FBD" w:rsidRPr="00DE5EA2"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rsidTr="00EC361D">
        <w:tc>
          <w:tcPr>
            <w:tcW w:w="1140" w:type="dxa"/>
            <w:tcBorders>
              <w:top w:val="nil"/>
              <w:bottom w:val="nil"/>
            </w:tcBorders>
            <w:shd w:val="clear" w:color="auto" w:fill="auto"/>
          </w:tcPr>
          <w:p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EC361D" w:rsidTr="004822EF">
        <w:tc>
          <w:tcPr>
            <w:tcW w:w="1140" w:type="dxa"/>
            <w:tcBorders>
              <w:top w:val="nil"/>
              <w:bottom w:val="nil"/>
            </w:tcBorders>
            <w:shd w:val="clear" w:color="auto" w:fill="auto"/>
          </w:tcPr>
          <w:p w:rsidR="00F54FBD" w:rsidRPr="00EC361D" w:rsidRDefault="00F54FBD" w:rsidP="00F336CC">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F54FBD" w:rsidRPr="00EC361D" w:rsidRDefault="00614CC6" w:rsidP="00F336CC">
            <w:pPr>
              <w:spacing w:before="30" w:after="30"/>
              <w:jc w:val="left"/>
              <w:rPr>
                <w:sz w:val="20"/>
                <w:lang w:val="fr-CH"/>
              </w:rPr>
            </w:pPr>
            <w:r w:rsidRPr="00EC361D">
              <w:rPr>
                <w:sz w:val="20"/>
              </w:rPr>
              <w:t>Propagation des ondes radioélectriques</w:t>
            </w:r>
          </w:p>
        </w:tc>
      </w:tr>
      <w:tr w:rsidR="00F54FBD" w:rsidRPr="004822EF" w:rsidTr="004822EF">
        <w:tc>
          <w:tcPr>
            <w:tcW w:w="1140" w:type="dxa"/>
            <w:tcBorders>
              <w:top w:val="nil"/>
              <w:bottom w:val="nil"/>
            </w:tcBorders>
            <w:shd w:val="clear" w:color="auto" w:fill="auto"/>
          </w:tcPr>
          <w:p w:rsidR="00F54FBD" w:rsidRPr="004822EF" w:rsidRDefault="00F54FBD" w:rsidP="00F336CC">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F54FBD" w:rsidRPr="004822EF"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F54FBD" w:rsidRPr="004822EF" w:rsidTr="004822EF">
        <w:tc>
          <w:tcPr>
            <w:tcW w:w="1140" w:type="dxa"/>
            <w:tcBorders>
              <w:top w:val="nil"/>
              <w:bottom w:val="nil"/>
            </w:tcBorders>
            <w:shd w:val="clear" w:color="auto" w:fill="F3F3F3"/>
          </w:tcPr>
          <w:p w:rsidR="00F54FBD" w:rsidRPr="004822EF" w:rsidRDefault="00F54FBD" w:rsidP="00F336CC">
            <w:pPr>
              <w:spacing w:before="30" w:after="30"/>
              <w:ind w:left="57"/>
              <w:jc w:val="left"/>
              <w:rPr>
                <w:b/>
                <w:bCs/>
                <w:color w:val="000080"/>
                <w:sz w:val="20"/>
                <w:lang w:val="en-US"/>
              </w:rPr>
            </w:pPr>
            <w:r w:rsidRPr="004822EF">
              <w:rPr>
                <w:b/>
                <w:bCs/>
                <w:color w:val="000080"/>
                <w:sz w:val="20"/>
                <w:lang w:val="en-US"/>
              </w:rPr>
              <w:t>RS</w:t>
            </w:r>
          </w:p>
        </w:tc>
        <w:tc>
          <w:tcPr>
            <w:tcW w:w="8220" w:type="dxa"/>
            <w:tcBorders>
              <w:top w:val="nil"/>
              <w:bottom w:val="nil"/>
            </w:tcBorders>
            <w:shd w:val="clear" w:color="auto" w:fill="F3F3F3"/>
          </w:tcPr>
          <w:p w:rsidR="00F54FBD" w:rsidRPr="004822EF"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n-US"/>
              </w:rPr>
            </w:pPr>
            <w:r w:rsidRPr="004822EF">
              <w:rPr>
                <w:b/>
                <w:bCs/>
                <w:color w:val="000080"/>
                <w:sz w:val="20"/>
              </w:rPr>
              <w:t>Systèmes de télédétection</w:t>
            </w:r>
          </w:p>
        </w:tc>
      </w:tr>
      <w:tr w:rsidR="00F54FBD" w:rsidRPr="00036EE3" w:rsidTr="004822EF">
        <w:tc>
          <w:tcPr>
            <w:tcW w:w="1140" w:type="dxa"/>
            <w:tcBorders>
              <w:top w:val="nil"/>
            </w:tcBorders>
          </w:tcPr>
          <w:p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Borders>
              <w:top w:val="nil"/>
            </w:tcBorders>
          </w:tcPr>
          <w:p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F336C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54FBD" w:rsidRPr="00756B4D">
        <w:tc>
          <w:tcPr>
            <w:tcW w:w="9360" w:type="dxa"/>
          </w:tcPr>
          <w:p w:rsidR="00F54FBD" w:rsidRPr="00756B4D" w:rsidRDefault="00756B4D" w:rsidP="00756B4D">
            <w:pPr>
              <w:spacing w:before="80" w:after="80"/>
              <w:jc w:val="left"/>
              <w:rPr>
                <w:i/>
                <w:iCs/>
                <w:sz w:val="20"/>
              </w:rPr>
            </w:pPr>
            <w:r>
              <w:rPr>
                <w:b/>
                <w:bCs/>
                <w:i/>
                <w:iCs/>
                <w:sz w:val="20"/>
              </w:rPr>
              <w:t xml:space="preserve">    </w:t>
            </w:r>
            <w:r w:rsidR="00F54FBD" w:rsidRPr="00756B4D">
              <w:rPr>
                <w:b/>
                <w:bCs/>
                <w:i/>
                <w:iCs/>
                <w:sz w:val="20"/>
              </w:rPr>
              <w:t>Note</w:t>
            </w:r>
            <w:r w:rsidR="00F54FBD" w:rsidRPr="00756B4D">
              <w:rPr>
                <w:i/>
                <w:iCs/>
                <w:sz w:val="20"/>
              </w:rPr>
              <w:t xml:space="preserve">: </w:t>
            </w:r>
            <w:r w:rsidRPr="00756B4D">
              <w:rPr>
                <w:i/>
                <w:iCs/>
                <w:sz w:val="20"/>
              </w:rPr>
              <w:t>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DB4B02">
      <w:pPr>
        <w:spacing w:before="0"/>
        <w:jc w:val="right"/>
        <w:rPr>
          <w:sz w:val="20"/>
        </w:rPr>
      </w:pPr>
      <w:r w:rsidRPr="00614CC6">
        <w:rPr>
          <w:sz w:val="20"/>
        </w:rPr>
        <w:t>G</w:t>
      </w:r>
      <w:r w:rsidR="00614CC6" w:rsidRPr="00614CC6">
        <w:rPr>
          <w:sz w:val="20"/>
        </w:rPr>
        <w:t>enève</w:t>
      </w:r>
      <w:r w:rsidRPr="00614CC6">
        <w:rPr>
          <w:sz w:val="20"/>
        </w:rPr>
        <w:t>, 20</w:t>
      </w:r>
      <w:r w:rsidR="00DA3200">
        <w:rPr>
          <w:sz w:val="20"/>
        </w:rPr>
        <w:t>1</w:t>
      </w:r>
      <w:r w:rsidR="00DB4B02">
        <w:rPr>
          <w:sz w:val="20"/>
        </w:rPr>
        <w:t>1</w:t>
      </w:r>
    </w:p>
    <w:p w:rsidR="00F54FBD" w:rsidRPr="00614CC6" w:rsidRDefault="00F54FBD" w:rsidP="00DB4B02">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1" w:name="iiannee"/>
      <w:bookmarkEnd w:id="1"/>
      <w:r w:rsidRPr="00614CC6">
        <w:rPr>
          <w:sz w:val="20"/>
        </w:rPr>
        <w:t>20</w:t>
      </w:r>
      <w:r w:rsidR="00DA3200">
        <w:rPr>
          <w:sz w:val="20"/>
        </w:rPr>
        <w:t>1</w:t>
      </w:r>
      <w:r w:rsidR="00DB4B02">
        <w:rPr>
          <w:sz w:val="20"/>
        </w:rPr>
        <w:t>1</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1C61C5">
          <w:headerReference w:type="even" r:id="rId12"/>
          <w:headerReference w:type="default" r:id="rId13"/>
          <w:pgSz w:w="11907" w:h="16834" w:code="9"/>
          <w:pgMar w:top="1418" w:right="1134" w:bottom="1134" w:left="1134" w:header="720" w:footer="482" w:gutter="0"/>
          <w:pgNumType w:fmt="lowerRoman"/>
          <w:cols w:space="720"/>
        </w:sectPr>
      </w:pPr>
    </w:p>
    <w:p w:rsidR="00934ED7" w:rsidRDefault="00FF6FA4" w:rsidP="00FF6FA4">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RS</w:t>
      </w:r>
      <w:r w:rsidRPr="00756B4D">
        <w:rPr>
          <w:rStyle w:val="href"/>
        </w:rPr>
        <w:t>.</w:t>
      </w:r>
      <w:r>
        <w:rPr>
          <w:rStyle w:val="href"/>
        </w:rPr>
        <w:t>1263-1</w:t>
      </w:r>
    </w:p>
    <w:p w:rsidR="00FF6FA4" w:rsidRDefault="00FF6FA4" w:rsidP="00FF6FA4">
      <w:pPr>
        <w:pStyle w:val="Rectitle"/>
      </w:pPr>
      <w:r>
        <w:t>Critères de brouillage applicables au service des auxiliaires de la météorologie dans les bandes 400,15-406 MHz et 1</w:t>
      </w:r>
      <w:r>
        <w:rPr>
          <w:sz w:val="12"/>
        </w:rPr>
        <w:t> </w:t>
      </w:r>
      <w:r>
        <w:t>668,4-1</w:t>
      </w:r>
      <w:r>
        <w:rPr>
          <w:sz w:val="12"/>
        </w:rPr>
        <w:t> </w:t>
      </w:r>
      <w:r>
        <w:t>700 MHz</w:t>
      </w:r>
    </w:p>
    <w:p w:rsidR="00FF6FA4" w:rsidRPr="00F623F5" w:rsidRDefault="00FF6FA4" w:rsidP="00FF6FA4">
      <w:pPr>
        <w:jc w:val="center"/>
        <w:rPr>
          <w:szCs w:val="24"/>
        </w:rPr>
      </w:pPr>
      <w:r w:rsidRPr="00F623F5">
        <w:rPr>
          <w:szCs w:val="24"/>
        </w:rPr>
        <w:t>(Question UIT-R 144/7)</w:t>
      </w:r>
    </w:p>
    <w:p w:rsidR="006767F0" w:rsidRDefault="006767F0" w:rsidP="001F6BEE">
      <w:pPr>
        <w:pStyle w:val="Recdate"/>
        <w:rPr>
          <w:szCs w:val="24"/>
        </w:rPr>
      </w:pPr>
    </w:p>
    <w:p w:rsidR="00FF6FA4" w:rsidRPr="00F623F5" w:rsidRDefault="00FF6FA4" w:rsidP="001F6BEE">
      <w:pPr>
        <w:pStyle w:val="Recdate"/>
      </w:pPr>
      <w:r w:rsidRPr="00F623F5">
        <w:rPr>
          <w:szCs w:val="24"/>
        </w:rPr>
        <w:t>(1997-2010)</w:t>
      </w:r>
    </w:p>
    <w:p w:rsidR="00FF6FA4" w:rsidRDefault="00FF6FA4" w:rsidP="00FF6FA4">
      <w:pPr>
        <w:pStyle w:val="headfoot"/>
      </w:pPr>
    </w:p>
    <w:p w:rsidR="006767F0" w:rsidRDefault="006767F0" w:rsidP="006767F0">
      <w:pPr>
        <w:rPr>
          <w:lang w:val="fr-CH"/>
        </w:rPr>
      </w:pPr>
    </w:p>
    <w:p w:rsidR="00FF6FA4" w:rsidRPr="00183EB4" w:rsidRDefault="00FF6FA4" w:rsidP="00A37CEC">
      <w:pPr>
        <w:pStyle w:val="HeadingSum"/>
        <w:rPr>
          <w:lang w:val="fr-CH"/>
        </w:rPr>
      </w:pPr>
      <w:r w:rsidRPr="00183EB4">
        <w:rPr>
          <w:lang w:val="fr-CH"/>
        </w:rPr>
        <w:t>Domaine d'application</w:t>
      </w:r>
    </w:p>
    <w:p w:rsidR="00FF6FA4" w:rsidRPr="006767F0" w:rsidRDefault="00FF6FA4" w:rsidP="006767F0">
      <w:pPr>
        <w:pStyle w:val="Summary"/>
        <w:rPr>
          <w:lang w:val="fr-CH"/>
        </w:rPr>
      </w:pPr>
      <w:r w:rsidRPr="006767F0">
        <w:rPr>
          <w:lang w:val="fr-CH"/>
        </w:rPr>
        <w:t>La présente Recommandation fournit des données sur les critères de brouillage à utiliser dans les études de compatibilité et de partage concernant le service des auxiliaires de la météorologie fonctionnant dans les bandes 400,15-406 MHz et 1668,4-1700 MHz.</w:t>
      </w:r>
    </w:p>
    <w:p w:rsidR="006767F0" w:rsidRDefault="006767F0" w:rsidP="006767F0"/>
    <w:p w:rsidR="00FF6FA4" w:rsidRDefault="00FF6FA4" w:rsidP="001F6BEE">
      <w:pPr>
        <w:pStyle w:val="Normalaftertitle"/>
      </w:pPr>
      <w:r>
        <w:t>L'Assemblée des radiocommunications de l'UIT,</w:t>
      </w:r>
    </w:p>
    <w:p w:rsidR="00FF6FA4" w:rsidRDefault="00FF6FA4" w:rsidP="001F6BEE">
      <w:pPr>
        <w:pStyle w:val="Call"/>
      </w:pPr>
      <w:r>
        <w:t>considérant</w:t>
      </w:r>
    </w:p>
    <w:p w:rsidR="00FF6FA4" w:rsidRDefault="00FF6FA4" w:rsidP="00FF6FA4">
      <w:r>
        <w:t>a)</w:t>
      </w:r>
      <w:r>
        <w:tab/>
        <w:t>qu'il est nécessaire d'établir des critères de brouillage, afin que les systèmes mis au point puissent offrir une qualité de fonctionnement satisfaisante en présence de brouillage;</w:t>
      </w:r>
    </w:p>
    <w:p w:rsidR="00FF6FA4" w:rsidRDefault="00FF6FA4" w:rsidP="00FF6FA4">
      <w:r>
        <w:t>b)</w:t>
      </w:r>
      <w:r>
        <w:tab/>
        <w:t>que les objectifs de qualité de fonctionnement applicables aux radiosondes, aux catasondes et aux fusées-sondes sont indiqués dans la Recommandation UIT-R RS.1165;</w:t>
      </w:r>
    </w:p>
    <w:p w:rsidR="00FF6FA4" w:rsidRDefault="00FF6FA4" w:rsidP="00FF6FA4">
      <w:r>
        <w:t>c)</w:t>
      </w:r>
      <w:r>
        <w:tab/>
        <w:t>que les critères de brouillage facilitent l'établissement de critères pour le partage de bandes de fréquences entre systèmes, y compris ceux qui sont exploités dans le cadre d'autres services;</w:t>
      </w:r>
    </w:p>
    <w:p w:rsidR="00FF6FA4" w:rsidRDefault="00FF6FA4" w:rsidP="00FF6FA4">
      <w:r>
        <w:t>d)</w:t>
      </w:r>
      <w:r>
        <w:tab/>
        <w:t>que les seuils de brouillage à définir pour les systèmes du service des auxiliaires de la météorologie doivent être au moins égaux aux niveaux admissibles,</w:t>
      </w:r>
    </w:p>
    <w:p w:rsidR="00FF6FA4" w:rsidRDefault="00FF6FA4" w:rsidP="001F6BEE">
      <w:pPr>
        <w:pStyle w:val="Call"/>
      </w:pPr>
      <w:r>
        <w:t>recommande</w:t>
      </w:r>
    </w:p>
    <w:p w:rsidR="00FF6FA4" w:rsidRDefault="00FF6FA4" w:rsidP="00FF6FA4">
      <w:r>
        <w:rPr>
          <w:b/>
        </w:rPr>
        <w:t>1</w:t>
      </w:r>
      <w:r>
        <w:tab/>
        <w:t xml:space="preserve">d'utiliser les niveaux de brouillage indiqués dans les Tableaux 1 et 2 comme niveaux totaux admissibles de puissance des signaux brouilleurs à la sortie de l'antenne des stations de réception exploitées dans le service des auxiliaires de la météorologie, </w:t>
      </w:r>
      <w:r w:rsidRPr="00D8612C">
        <w:t>sur la base des paramètres de systèmes représentatifs des auxiliaires de la météorologie indiqués dans l'Annexe 1</w:t>
      </w:r>
      <w:r>
        <w:t>.</w:t>
      </w:r>
    </w:p>
    <w:p w:rsidR="00FF6FA4" w:rsidRDefault="00FF6FA4" w:rsidP="00FF6FA4"/>
    <w:p w:rsidR="00FF6FA4" w:rsidRDefault="00FF6FA4" w:rsidP="00FF6FA4">
      <w:pPr>
        <w:sectPr w:rsidR="00FF6FA4" w:rsidSect="00DB4B02">
          <w:headerReference w:type="even" r:id="rId14"/>
          <w:headerReference w:type="default" r:id="rId15"/>
          <w:footerReference w:type="default" r:id="rId16"/>
          <w:pgSz w:w="11907" w:h="16840" w:code="9"/>
          <w:pgMar w:top="1418" w:right="1134" w:bottom="1418" w:left="1134" w:header="720" w:footer="720" w:gutter="0"/>
          <w:pgNumType w:start="1"/>
          <w:cols w:space="720"/>
          <w:docGrid w:linePitch="326"/>
        </w:sectPr>
      </w:pPr>
    </w:p>
    <w:p w:rsidR="00FF6FA4" w:rsidRDefault="00FF6FA4" w:rsidP="001F6BEE">
      <w:pPr>
        <w:pStyle w:val="TableNo"/>
      </w:pPr>
      <w:r>
        <w:lastRenderedPageBreak/>
        <w:t>TABLEAU 1</w:t>
      </w:r>
    </w:p>
    <w:p w:rsidR="00FF6FA4" w:rsidRDefault="00FF6FA4" w:rsidP="001F6BEE">
      <w:pPr>
        <w:pStyle w:val="Tabletitle"/>
      </w:pPr>
      <w:r>
        <w:t xml:space="preserve">Critères de brouillage applicables aux systèmes à radiosondes </w:t>
      </w:r>
      <w:r>
        <w:br/>
        <w:t>du service des auxiliaires de la météorologie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5556"/>
        <w:gridCol w:w="2153"/>
        <w:gridCol w:w="1828"/>
        <w:gridCol w:w="2066"/>
        <w:gridCol w:w="2296"/>
      </w:tblGrid>
      <w:tr w:rsidR="00FF6FA4" w:rsidRPr="001E0F1C" w:rsidTr="00882152">
        <w:trPr>
          <w:jc w:val="center"/>
        </w:trPr>
        <w:tc>
          <w:tcPr>
            <w:tcW w:w="5556" w:type="dxa"/>
            <w:vAlign w:val="center"/>
          </w:tcPr>
          <w:p w:rsidR="00FF6FA4" w:rsidRPr="001C61C5" w:rsidRDefault="00FF6FA4" w:rsidP="00882152">
            <w:pPr>
              <w:pStyle w:val="Tablehead"/>
            </w:pPr>
            <w:r w:rsidRPr="001C61C5">
              <w:t>Paramètre</w:t>
            </w:r>
          </w:p>
        </w:tc>
        <w:tc>
          <w:tcPr>
            <w:tcW w:w="2153" w:type="dxa"/>
            <w:vAlign w:val="center"/>
          </w:tcPr>
          <w:p w:rsidR="00FF6FA4" w:rsidRPr="001C61C5" w:rsidRDefault="00FF6FA4" w:rsidP="00882152">
            <w:pPr>
              <w:pStyle w:val="Tablehead"/>
            </w:pPr>
            <w:r w:rsidRPr="001C61C5">
              <w:t xml:space="preserve">Système à </w:t>
            </w:r>
            <w:r w:rsidRPr="001C61C5">
              <w:br/>
              <w:t>radiosondes de radiorepérage (RDF)</w:t>
            </w:r>
            <w:r w:rsidRPr="001C61C5">
              <w:br/>
              <w:t>1 668,4</w:t>
            </w:r>
            <w:r w:rsidRPr="001C61C5">
              <w:noBreakHyphen/>
              <w:t>1 700 MHz</w:t>
            </w:r>
          </w:p>
        </w:tc>
        <w:tc>
          <w:tcPr>
            <w:tcW w:w="1828" w:type="dxa"/>
            <w:vAlign w:val="center"/>
          </w:tcPr>
          <w:p w:rsidR="00FF6FA4" w:rsidRPr="001C61C5" w:rsidRDefault="00FF6FA4" w:rsidP="00882152">
            <w:pPr>
              <w:pStyle w:val="Tablehead"/>
            </w:pPr>
            <w:r w:rsidRPr="001C61C5">
              <w:t xml:space="preserve">Système à radiosondes GPS </w:t>
            </w:r>
            <w:r w:rsidRPr="001C61C5">
              <w:br/>
              <w:t>1 675-1 683 MHz</w:t>
            </w:r>
          </w:p>
        </w:tc>
        <w:tc>
          <w:tcPr>
            <w:tcW w:w="2066" w:type="dxa"/>
            <w:vAlign w:val="center"/>
          </w:tcPr>
          <w:p w:rsidR="00FF6FA4" w:rsidRPr="001C61C5" w:rsidRDefault="00FF6FA4" w:rsidP="00882152">
            <w:pPr>
              <w:pStyle w:val="Tablehead"/>
            </w:pPr>
            <w:r w:rsidRPr="001C61C5">
              <w:t xml:space="preserve">Système à radiosondes d'aide à la navigation aérienne (NAVAID) avec antenne directive </w:t>
            </w:r>
            <w:r w:rsidRPr="001C61C5">
              <w:br/>
              <w:t>400,15-406 MHz</w:t>
            </w:r>
          </w:p>
        </w:tc>
        <w:tc>
          <w:tcPr>
            <w:tcW w:w="2296" w:type="dxa"/>
            <w:vAlign w:val="center"/>
          </w:tcPr>
          <w:p w:rsidR="00FF6FA4" w:rsidRPr="001C61C5" w:rsidRDefault="00FF6FA4" w:rsidP="00882152">
            <w:pPr>
              <w:pStyle w:val="Tablehead"/>
            </w:pPr>
            <w:r w:rsidRPr="001C61C5">
              <w:t>Système à radiosondes NAVAID avec antenne équidirective</w:t>
            </w:r>
            <w:r w:rsidRPr="001C61C5">
              <w:br/>
              <w:t>400,15-406 MHz</w:t>
            </w:r>
          </w:p>
        </w:tc>
      </w:tr>
      <w:tr w:rsidR="00FF6FA4" w:rsidRPr="001E0F1C" w:rsidTr="001C61C5">
        <w:trPr>
          <w:jc w:val="center"/>
        </w:trPr>
        <w:tc>
          <w:tcPr>
            <w:tcW w:w="5556" w:type="dxa"/>
          </w:tcPr>
          <w:p w:rsidR="00FF6FA4" w:rsidRPr="001C61C5" w:rsidRDefault="00FF6FA4" w:rsidP="0075289C">
            <w:pPr>
              <w:pStyle w:val="Tabletext"/>
              <w:jc w:val="left"/>
            </w:pPr>
            <w:r w:rsidRPr="001C61C5">
              <w:t>Largeur de bande de référence du système</w:t>
            </w:r>
          </w:p>
        </w:tc>
        <w:tc>
          <w:tcPr>
            <w:tcW w:w="2153" w:type="dxa"/>
            <w:vAlign w:val="center"/>
          </w:tcPr>
          <w:p w:rsidR="00FF6FA4" w:rsidRPr="001C61C5" w:rsidRDefault="00FF6FA4" w:rsidP="001C61C5">
            <w:pPr>
              <w:pStyle w:val="Tabletext"/>
              <w:jc w:val="center"/>
            </w:pPr>
            <w:r w:rsidRPr="001C61C5">
              <w:t>1 300 kHz</w:t>
            </w:r>
          </w:p>
        </w:tc>
        <w:tc>
          <w:tcPr>
            <w:tcW w:w="1828" w:type="dxa"/>
            <w:vAlign w:val="center"/>
          </w:tcPr>
          <w:p w:rsidR="00FF6FA4" w:rsidRPr="001C61C5" w:rsidRDefault="00FF6FA4" w:rsidP="001C61C5">
            <w:pPr>
              <w:pStyle w:val="Tabletext"/>
              <w:jc w:val="center"/>
            </w:pPr>
            <w:r w:rsidRPr="001C61C5">
              <w:t>150 kHz</w:t>
            </w:r>
          </w:p>
        </w:tc>
        <w:tc>
          <w:tcPr>
            <w:tcW w:w="4362" w:type="dxa"/>
            <w:gridSpan w:val="2"/>
            <w:vAlign w:val="center"/>
          </w:tcPr>
          <w:p w:rsidR="00FF6FA4" w:rsidRPr="001C61C5" w:rsidRDefault="00FF6FA4" w:rsidP="001C61C5">
            <w:pPr>
              <w:pStyle w:val="Tabletext"/>
              <w:jc w:val="center"/>
            </w:pPr>
            <w:r w:rsidRPr="001C61C5">
              <w:t>300 kHz</w:t>
            </w:r>
          </w:p>
        </w:tc>
      </w:tr>
      <w:tr w:rsidR="00FF6FA4" w:rsidRPr="001E0F1C" w:rsidTr="001C61C5">
        <w:trPr>
          <w:jc w:val="center"/>
        </w:trPr>
        <w:tc>
          <w:tcPr>
            <w:tcW w:w="5556" w:type="dxa"/>
          </w:tcPr>
          <w:p w:rsidR="00FF6FA4" w:rsidRPr="001C61C5" w:rsidRDefault="00FF6FA4" w:rsidP="0075289C">
            <w:pPr>
              <w:pStyle w:val="Tabletext"/>
              <w:jc w:val="left"/>
            </w:pPr>
            <w:r w:rsidRPr="001C61C5">
              <w:t xml:space="preserve">Puissance des signaux brouilleurs (dBW) dans la largeur de bande de référence ne devant pas être dépassée pendant plus de </w:t>
            </w:r>
            <w:r w:rsidRPr="001C61C5">
              <w:rPr>
                <w:i/>
                <w:iCs/>
              </w:rPr>
              <w:t>P</w:t>
            </w:r>
            <w:r w:rsidRPr="001C61C5">
              <w:rPr>
                <w:i/>
                <w:iCs/>
                <w:vertAlign w:val="subscript"/>
              </w:rPr>
              <w:t>PERTE-VERROUILLAGE</w:t>
            </w:r>
            <w:r w:rsidRPr="001C61C5">
              <w:t>% du temps </w:t>
            </w:r>
          </w:p>
        </w:tc>
        <w:tc>
          <w:tcPr>
            <w:tcW w:w="2153" w:type="dxa"/>
            <w:shd w:val="clear" w:color="auto" w:fill="auto"/>
            <w:vAlign w:val="center"/>
          </w:tcPr>
          <w:p w:rsidR="00FF6FA4" w:rsidRPr="001C61C5" w:rsidRDefault="00FF6FA4" w:rsidP="001C61C5">
            <w:pPr>
              <w:pStyle w:val="Tabletext"/>
              <w:jc w:val="center"/>
            </w:pPr>
            <w:r w:rsidRPr="001C61C5">
              <w:t>–135,3</w:t>
            </w:r>
          </w:p>
        </w:tc>
        <w:tc>
          <w:tcPr>
            <w:tcW w:w="1828" w:type="dxa"/>
            <w:shd w:val="clear" w:color="auto" w:fill="auto"/>
            <w:vAlign w:val="center"/>
          </w:tcPr>
          <w:p w:rsidR="00FF6FA4" w:rsidRPr="001C61C5" w:rsidRDefault="00FF6FA4" w:rsidP="001C61C5">
            <w:pPr>
              <w:pStyle w:val="Tabletext"/>
              <w:jc w:val="center"/>
            </w:pPr>
            <w:r w:rsidRPr="001C61C5">
              <w:t>–137,2</w:t>
            </w:r>
          </w:p>
        </w:tc>
        <w:tc>
          <w:tcPr>
            <w:tcW w:w="2066" w:type="dxa"/>
            <w:shd w:val="clear" w:color="auto" w:fill="auto"/>
            <w:vAlign w:val="center"/>
          </w:tcPr>
          <w:p w:rsidR="00FF6FA4" w:rsidRPr="001C61C5" w:rsidRDefault="00FF6FA4" w:rsidP="001C61C5">
            <w:pPr>
              <w:pStyle w:val="Tabletext"/>
              <w:jc w:val="center"/>
            </w:pPr>
            <w:r w:rsidRPr="001C61C5">
              <w:t>–141,9</w:t>
            </w:r>
          </w:p>
        </w:tc>
        <w:tc>
          <w:tcPr>
            <w:tcW w:w="2296" w:type="dxa"/>
            <w:shd w:val="clear" w:color="auto" w:fill="auto"/>
            <w:vAlign w:val="center"/>
          </w:tcPr>
          <w:p w:rsidR="00FF6FA4" w:rsidRPr="001C61C5" w:rsidRDefault="00FF6FA4" w:rsidP="001C61C5">
            <w:pPr>
              <w:pStyle w:val="Tabletext"/>
              <w:jc w:val="center"/>
            </w:pPr>
            <w:r w:rsidRPr="001C61C5">
              <w:t>Sans objet</w:t>
            </w:r>
            <w:r w:rsidRPr="001C61C5">
              <w:rPr>
                <w:vertAlign w:val="superscript"/>
              </w:rPr>
              <w:t>(1)</w:t>
            </w:r>
          </w:p>
        </w:tc>
      </w:tr>
      <w:tr w:rsidR="00FF6FA4" w:rsidRPr="001E0F1C" w:rsidTr="001C61C5">
        <w:trPr>
          <w:jc w:val="center"/>
        </w:trPr>
        <w:tc>
          <w:tcPr>
            <w:tcW w:w="5556" w:type="dxa"/>
          </w:tcPr>
          <w:p w:rsidR="00FF6FA4" w:rsidRPr="001C61C5" w:rsidRDefault="00FF6FA4" w:rsidP="0075289C">
            <w:pPr>
              <w:pStyle w:val="Tabletext"/>
              <w:jc w:val="left"/>
            </w:pPr>
            <w:r w:rsidRPr="001C61C5">
              <w:t xml:space="preserve">Pourcentage de temps, </w:t>
            </w:r>
            <w:r w:rsidRPr="001C61C5">
              <w:rPr>
                <w:i/>
                <w:iCs/>
              </w:rPr>
              <w:t>P</w:t>
            </w:r>
            <w:r w:rsidRPr="001C61C5">
              <w:rPr>
                <w:i/>
                <w:iCs/>
                <w:vertAlign w:val="subscript"/>
              </w:rPr>
              <w:t>PERTE-VERROUILLAGE</w:t>
            </w:r>
            <w:r w:rsidRPr="001C61C5">
              <w:t>(%)</w:t>
            </w:r>
            <w:r w:rsidRPr="001C61C5">
              <w:rPr>
                <w:vertAlign w:val="superscript"/>
              </w:rPr>
              <w:t>(2)</w:t>
            </w:r>
          </w:p>
        </w:tc>
        <w:tc>
          <w:tcPr>
            <w:tcW w:w="2153" w:type="dxa"/>
            <w:shd w:val="clear" w:color="auto" w:fill="auto"/>
            <w:vAlign w:val="center"/>
          </w:tcPr>
          <w:p w:rsidR="00FF6FA4" w:rsidRPr="001C61C5" w:rsidRDefault="00FF6FA4" w:rsidP="001C61C5">
            <w:pPr>
              <w:pStyle w:val="Tabletext"/>
              <w:jc w:val="center"/>
            </w:pPr>
            <w:r w:rsidRPr="001C61C5">
              <w:t>0,02</w:t>
            </w:r>
          </w:p>
        </w:tc>
        <w:tc>
          <w:tcPr>
            <w:tcW w:w="1828" w:type="dxa"/>
            <w:shd w:val="clear" w:color="auto" w:fill="auto"/>
            <w:vAlign w:val="center"/>
          </w:tcPr>
          <w:p w:rsidR="00FF6FA4" w:rsidRPr="001C61C5" w:rsidRDefault="00FF6FA4" w:rsidP="001C61C5">
            <w:pPr>
              <w:pStyle w:val="Tabletext"/>
              <w:jc w:val="center"/>
            </w:pPr>
            <w:r w:rsidRPr="001C61C5">
              <w:t>0,025</w:t>
            </w:r>
          </w:p>
        </w:tc>
        <w:tc>
          <w:tcPr>
            <w:tcW w:w="2066" w:type="dxa"/>
            <w:shd w:val="clear" w:color="auto" w:fill="auto"/>
            <w:vAlign w:val="center"/>
          </w:tcPr>
          <w:p w:rsidR="00FF6FA4" w:rsidRPr="001C61C5" w:rsidRDefault="00FF6FA4" w:rsidP="001C61C5">
            <w:pPr>
              <w:pStyle w:val="Tabletext"/>
              <w:jc w:val="center"/>
            </w:pPr>
            <w:r w:rsidRPr="001C61C5">
              <w:t>0,02</w:t>
            </w:r>
          </w:p>
        </w:tc>
        <w:tc>
          <w:tcPr>
            <w:tcW w:w="2296" w:type="dxa"/>
            <w:shd w:val="clear" w:color="auto" w:fill="auto"/>
            <w:vAlign w:val="center"/>
          </w:tcPr>
          <w:p w:rsidR="00FF6FA4" w:rsidRPr="001C61C5" w:rsidRDefault="00FF6FA4" w:rsidP="001C61C5">
            <w:pPr>
              <w:pStyle w:val="Tabletext"/>
              <w:jc w:val="center"/>
            </w:pPr>
            <w:r w:rsidRPr="001C61C5">
              <w:t>Sans objet</w:t>
            </w:r>
            <w:r w:rsidRPr="001C61C5">
              <w:rPr>
                <w:vertAlign w:val="superscript"/>
              </w:rPr>
              <w:t>(1)</w:t>
            </w:r>
          </w:p>
        </w:tc>
      </w:tr>
      <w:tr w:rsidR="00FF6FA4" w:rsidRPr="001E0F1C" w:rsidTr="001C61C5">
        <w:trPr>
          <w:jc w:val="center"/>
        </w:trPr>
        <w:tc>
          <w:tcPr>
            <w:tcW w:w="5556" w:type="dxa"/>
          </w:tcPr>
          <w:p w:rsidR="00FF6FA4" w:rsidRPr="001C61C5" w:rsidRDefault="00FF6FA4" w:rsidP="0075289C">
            <w:pPr>
              <w:pStyle w:val="Tabletext"/>
              <w:jc w:val="left"/>
            </w:pPr>
            <w:r w:rsidRPr="001C61C5">
              <w:t xml:space="preserve">Puissance des signaux brouilleurs (dBW) dans la largeur de bande de référence ne devant pas être dépassée pendant plus de </w:t>
            </w:r>
            <w:r w:rsidRPr="001C61C5">
              <w:rPr>
                <w:i/>
                <w:iCs/>
              </w:rPr>
              <w:t>P</w:t>
            </w:r>
            <w:r w:rsidRPr="001C61C5">
              <w:rPr>
                <w:i/>
                <w:iCs/>
                <w:vertAlign w:val="subscript"/>
              </w:rPr>
              <w:t>PERTE-DONNÉES</w:t>
            </w:r>
            <w:r w:rsidRPr="001C61C5">
              <w:t>% du temps </w:t>
            </w:r>
          </w:p>
        </w:tc>
        <w:tc>
          <w:tcPr>
            <w:tcW w:w="2153" w:type="dxa"/>
            <w:shd w:val="clear" w:color="auto" w:fill="auto"/>
            <w:vAlign w:val="center"/>
          </w:tcPr>
          <w:p w:rsidR="00FF6FA4" w:rsidRPr="001C61C5" w:rsidRDefault="00FF6FA4" w:rsidP="001C61C5">
            <w:pPr>
              <w:pStyle w:val="Tabletext"/>
              <w:jc w:val="center"/>
            </w:pPr>
            <w:r w:rsidRPr="001C61C5">
              <w:t>–139,4</w:t>
            </w:r>
          </w:p>
        </w:tc>
        <w:tc>
          <w:tcPr>
            <w:tcW w:w="1828" w:type="dxa"/>
            <w:shd w:val="clear" w:color="auto" w:fill="auto"/>
            <w:vAlign w:val="center"/>
          </w:tcPr>
          <w:p w:rsidR="00FF6FA4" w:rsidRPr="001C61C5" w:rsidRDefault="00FF6FA4" w:rsidP="001C61C5">
            <w:pPr>
              <w:pStyle w:val="Tabletext"/>
              <w:jc w:val="center"/>
            </w:pPr>
            <w:r w:rsidRPr="001C61C5">
              <w:t>–145,7</w:t>
            </w:r>
          </w:p>
        </w:tc>
        <w:tc>
          <w:tcPr>
            <w:tcW w:w="2066" w:type="dxa"/>
            <w:shd w:val="clear" w:color="auto" w:fill="auto"/>
            <w:vAlign w:val="center"/>
          </w:tcPr>
          <w:p w:rsidR="00FF6FA4" w:rsidRPr="001C61C5" w:rsidRDefault="00FF6FA4" w:rsidP="001C61C5">
            <w:pPr>
              <w:pStyle w:val="Tabletext"/>
              <w:jc w:val="center"/>
            </w:pPr>
            <w:r w:rsidRPr="001C61C5">
              <w:t>–149,6</w:t>
            </w:r>
          </w:p>
        </w:tc>
        <w:tc>
          <w:tcPr>
            <w:tcW w:w="2296" w:type="dxa"/>
            <w:shd w:val="clear" w:color="auto" w:fill="auto"/>
            <w:vAlign w:val="center"/>
          </w:tcPr>
          <w:p w:rsidR="00FF6FA4" w:rsidRPr="001C61C5" w:rsidRDefault="00FF6FA4" w:rsidP="001C61C5">
            <w:pPr>
              <w:pStyle w:val="Tabletext"/>
              <w:jc w:val="center"/>
            </w:pPr>
            <w:r w:rsidRPr="001C61C5">
              <w:t>–154,4</w:t>
            </w:r>
          </w:p>
        </w:tc>
      </w:tr>
      <w:tr w:rsidR="00FF6FA4" w:rsidRPr="001E0F1C" w:rsidTr="001C61C5">
        <w:trPr>
          <w:jc w:val="center"/>
        </w:trPr>
        <w:tc>
          <w:tcPr>
            <w:tcW w:w="5556" w:type="dxa"/>
          </w:tcPr>
          <w:p w:rsidR="00FF6FA4" w:rsidRPr="001C61C5" w:rsidRDefault="00FF6FA4" w:rsidP="0075289C">
            <w:pPr>
              <w:pStyle w:val="Tabletext"/>
              <w:jc w:val="left"/>
            </w:pPr>
            <w:r w:rsidRPr="001C61C5">
              <w:t xml:space="preserve">Pourcentage de temps, </w:t>
            </w:r>
            <w:r w:rsidRPr="001C61C5">
              <w:rPr>
                <w:i/>
                <w:iCs/>
              </w:rPr>
              <w:t>P</w:t>
            </w:r>
            <w:r w:rsidRPr="001C61C5">
              <w:rPr>
                <w:i/>
                <w:iCs/>
                <w:vertAlign w:val="subscript"/>
              </w:rPr>
              <w:t>PERTE-DONNÉES</w:t>
            </w:r>
            <w:r w:rsidRPr="001C61C5">
              <w:t>(%)</w:t>
            </w:r>
            <w:r w:rsidRPr="001C61C5">
              <w:rPr>
                <w:vertAlign w:val="superscript"/>
              </w:rPr>
              <w:t>(2)</w:t>
            </w:r>
          </w:p>
        </w:tc>
        <w:tc>
          <w:tcPr>
            <w:tcW w:w="2153" w:type="dxa"/>
            <w:shd w:val="clear" w:color="auto" w:fill="auto"/>
            <w:vAlign w:val="center"/>
          </w:tcPr>
          <w:p w:rsidR="00FF6FA4" w:rsidRPr="001C61C5" w:rsidRDefault="00FF6FA4" w:rsidP="001C61C5">
            <w:pPr>
              <w:pStyle w:val="Tabletext"/>
              <w:jc w:val="center"/>
            </w:pPr>
            <w:r w:rsidRPr="001C61C5">
              <w:t>0,8</w:t>
            </w:r>
          </w:p>
        </w:tc>
        <w:tc>
          <w:tcPr>
            <w:tcW w:w="1828" w:type="dxa"/>
            <w:shd w:val="clear" w:color="auto" w:fill="auto"/>
            <w:vAlign w:val="center"/>
          </w:tcPr>
          <w:p w:rsidR="00FF6FA4" w:rsidRPr="001C61C5" w:rsidRDefault="00FF6FA4" w:rsidP="001C61C5">
            <w:pPr>
              <w:pStyle w:val="Tabletext"/>
              <w:jc w:val="center"/>
            </w:pPr>
            <w:r w:rsidRPr="001C61C5">
              <w:t>0,125</w:t>
            </w:r>
          </w:p>
        </w:tc>
        <w:tc>
          <w:tcPr>
            <w:tcW w:w="2066" w:type="dxa"/>
            <w:shd w:val="clear" w:color="auto" w:fill="auto"/>
            <w:vAlign w:val="center"/>
          </w:tcPr>
          <w:p w:rsidR="00FF6FA4" w:rsidRPr="001C61C5" w:rsidRDefault="00FF6FA4" w:rsidP="001C61C5">
            <w:pPr>
              <w:pStyle w:val="Tabletext"/>
              <w:jc w:val="center"/>
            </w:pPr>
            <w:r w:rsidRPr="001C61C5">
              <w:t>0,2</w:t>
            </w:r>
          </w:p>
        </w:tc>
        <w:tc>
          <w:tcPr>
            <w:tcW w:w="2296" w:type="dxa"/>
            <w:shd w:val="clear" w:color="auto" w:fill="auto"/>
            <w:vAlign w:val="center"/>
          </w:tcPr>
          <w:p w:rsidR="00FF6FA4" w:rsidRPr="001C61C5" w:rsidRDefault="00FF6FA4" w:rsidP="001C61C5">
            <w:pPr>
              <w:pStyle w:val="Tabletext"/>
              <w:jc w:val="center"/>
            </w:pPr>
            <w:r w:rsidRPr="001C61C5">
              <w:t>0,2</w:t>
            </w:r>
          </w:p>
        </w:tc>
      </w:tr>
      <w:tr w:rsidR="00FF6FA4" w:rsidRPr="001E0F1C" w:rsidTr="001C61C5">
        <w:trPr>
          <w:jc w:val="center"/>
        </w:trPr>
        <w:tc>
          <w:tcPr>
            <w:tcW w:w="5556" w:type="dxa"/>
          </w:tcPr>
          <w:p w:rsidR="00FF6FA4" w:rsidRPr="001C61C5" w:rsidRDefault="00FF6FA4" w:rsidP="0075289C">
            <w:pPr>
              <w:pStyle w:val="Tabletext"/>
              <w:jc w:val="left"/>
            </w:pPr>
            <w:r w:rsidRPr="001C61C5">
              <w:t>Puissance des signaux brouilleurs (dBW) dans la largeur de bande de référence ne devant pas être dépassée pendant plus de 20% du temps</w:t>
            </w:r>
            <w:r w:rsidRPr="001C61C5">
              <w:rPr>
                <w:vertAlign w:val="superscript"/>
              </w:rPr>
              <w:t>(2)</w:t>
            </w:r>
          </w:p>
        </w:tc>
        <w:tc>
          <w:tcPr>
            <w:tcW w:w="2153" w:type="dxa"/>
            <w:vAlign w:val="center"/>
          </w:tcPr>
          <w:p w:rsidR="00FF6FA4" w:rsidRPr="001C61C5" w:rsidRDefault="00FF6FA4" w:rsidP="001C61C5">
            <w:pPr>
              <w:pStyle w:val="Tabletext"/>
              <w:jc w:val="center"/>
            </w:pPr>
            <w:r w:rsidRPr="001C61C5">
              <w:t>–152,2</w:t>
            </w:r>
          </w:p>
        </w:tc>
        <w:tc>
          <w:tcPr>
            <w:tcW w:w="1828" w:type="dxa"/>
            <w:vAlign w:val="center"/>
          </w:tcPr>
          <w:p w:rsidR="00FF6FA4" w:rsidRPr="001C61C5" w:rsidRDefault="00FF6FA4" w:rsidP="001C61C5">
            <w:pPr>
              <w:pStyle w:val="Tabletext"/>
              <w:jc w:val="center"/>
            </w:pPr>
            <w:r w:rsidRPr="001C61C5">
              <w:t>–152,6</w:t>
            </w:r>
          </w:p>
        </w:tc>
        <w:tc>
          <w:tcPr>
            <w:tcW w:w="4362" w:type="dxa"/>
            <w:gridSpan w:val="2"/>
            <w:vAlign w:val="center"/>
          </w:tcPr>
          <w:p w:rsidR="00FF6FA4" w:rsidRPr="001C61C5" w:rsidRDefault="00FF6FA4" w:rsidP="001C61C5">
            <w:pPr>
              <w:pStyle w:val="Tabletext"/>
              <w:jc w:val="center"/>
            </w:pPr>
            <w:r w:rsidRPr="001C61C5">
              <w:t>–156,1</w:t>
            </w:r>
          </w:p>
        </w:tc>
      </w:tr>
      <w:tr w:rsidR="00FF6FA4" w:rsidRPr="001E0F1C" w:rsidTr="001C61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3899" w:type="dxa"/>
            <w:gridSpan w:val="5"/>
          </w:tcPr>
          <w:p w:rsidR="00FF6FA4" w:rsidRPr="001C61C5" w:rsidRDefault="00FF6FA4" w:rsidP="00882152">
            <w:pPr>
              <w:pStyle w:val="Tablelegend"/>
            </w:pPr>
            <w:r w:rsidRPr="001C61C5">
              <w:rPr>
                <w:vertAlign w:val="superscript"/>
              </w:rPr>
              <w:t>(1)</w:t>
            </w:r>
            <w:r w:rsidRPr="001C61C5">
              <w:tab/>
              <w:t>Les systèmes dotés d'antennes équidirectives ne risquent pas de perdre le verrouillage de l'antenne sur le signal en raison d'un brouillage ou d'un évanouissement du signal.</w:t>
            </w:r>
          </w:p>
          <w:p w:rsidR="00FF6FA4" w:rsidRPr="001C61C5" w:rsidRDefault="00FF6FA4" w:rsidP="00882152">
            <w:pPr>
              <w:pStyle w:val="Tablelegend"/>
            </w:pPr>
            <w:r w:rsidRPr="001C61C5">
              <w:rPr>
                <w:vertAlign w:val="superscript"/>
              </w:rPr>
              <w:t>(2)</w:t>
            </w:r>
            <w:r w:rsidRPr="001C61C5">
              <w:tab/>
              <w:t xml:space="preserve">Ce pourcentage de temps ne doit pas être dépassé pour chaque vol. </w:t>
            </w:r>
          </w:p>
        </w:tc>
      </w:tr>
    </w:tbl>
    <w:p w:rsidR="00FF6FA4" w:rsidRPr="00FF6FA4" w:rsidRDefault="00FF6FA4" w:rsidP="00FF6FA4">
      <w:pPr>
        <w:pStyle w:val="Tablefin"/>
        <w:rPr>
          <w:lang w:val="fr-CH"/>
        </w:rPr>
      </w:pPr>
    </w:p>
    <w:p w:rsidR="00FF6FA4" w:rsidRDefault="00FF6FA4" w:rsidP="001F6BEE">
      <w:pPr>
        <w:pStyle w:val="TableNo"/>
        <w:sectPr w:rsidR="00FF6FA4" w:rsidSect="00DB4B02">
          <w:footerReference w:type="even" r:id="rId17"/>
          <w:footerReference w:type="default" r:id="rId18"/>
          <w:headerReference w:type="first" r:id="rId19"/>
          <w:footerReference w:type="first" r:id="rId20"/>
          <w:pgSz w:w="16834" w:h="11907" w:orient="landscape" w:code="9"/>
          <w:pgMar w:top="1134" w:right="1418" w:bottom="1134" w:left="1418" w:header="720" w:footer="720" w:gutter="0"/>
          <w:paperSrc w:first="15" w:other="15"/>
          <w:cols w:space="720"/>
          <w:docGrid w:linePitch="326"/>
        </w:sectPr>
      </w:pPr>
    </w:p>
    <w:p w:rsidR="00FF6FA4" w:rsidRDefault="00FF6FA4" w:rsidP="001F6BEE">
      <w:pPr>
        <w:pStyle w:val="TableNo"/>
      </w:pPr>
      <w:r>
        <w:lastRenderedPageBreak/>
        <w:t>TABLEAU 2</w:t>
      </w:r>
    </w:p>
    <w:p w:rsidR="00FF6FA4" w:rsidRDefault="00FF6FA4" w:rsidP="001F6BEE">
      <w:pPr>
        <w:pStyle w:val="Tabletitle"/>
      </w:pPr>
      <w:r>
        <w:t xml:space="preserve">Critères de brouillage applicables aux systèmes à fusées-sondes et à catasondes </w:t>
      </w:r>
      <w:r>
        <w:br/>
        <w:t>du service des auxiliaires de la météorologie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3480"/>
        <w:gridCol w:w="2984"/>
        <w:gridCol w:w="3050"/>
      </w:tblGrid>
      <w:tr w:rsidR="00FF6FA4" w:rsidRPr="00363987" w:rsidTr="00882152">
        <w:trPr>
          <w:jc w:val="center"/>
        </w:trPr>
        <w:tc>
          <w:tcPr>
            <w:tcW w:w="3480" w:type="dxa"/>
            <w:vAlign w:val="center"/>
          </w:tcPr>
          <w:p w:rsidR="00FF6FA4" w:rsidRPr="00363987" w:rsidRDefault="00FF6FA4" w:rsidP="00882152">
            <w:pPr>
              <w:pStyle w:val="Tablehead"/>
            </w:pPr>
            <w:r w:rsidRPr="00363987">
              <w:t>Paramètre</w:t>
            </w:r>
          </w:p>
        </w:tc>
        <w:tc>
          <w:tcPr>
            <w:tcW w:w="2984" w:type="dxa"/>
            <w:vAlign w:val="center"/>
          </w:tcPr>
          <w:p w:rsidR="00FF6FA4" w:rsidRPr="00363987" w:rsidRDefault="00FF6FA4" w:rsidP="00882152">
            <w:pPr>
              <w:pStyle w:val="Tablehead"/>
            </w:pPr>
            <w:r w:rsidRPr="00363987">
              <w:t>Systèmes à catasondes embarquées 400,15-406 MHz</w:t>
            </w:r>
          </w:p>
        </w:tc>
        <w:tc>
          <w:tcPr>
            <w:tcW w:w="3050" w:type="dxa"/>
            <w:vAlign w:val="center"/>
          </w:tcPr>
          <w:p w:rsidR="00FF6FA4" w:rsidRPr="00363987" w:rsidRDefault="00FF6FA4" w:rsidP="00882152">
            <w:pPr>
              <w:pStyle w:val="Tablehead"/>
            </w:pPr>
            <w:r w:rsidRPr="00363987">
              <w:t>Système à fusées-sondes</w:t>
            </w:r>
            <w:r w:rsidRPr="00363987">
              <w:br/>
              <w:t>400,15-406 MHz</w:t>
            </w:r>
          </w:p>
        </w:tc>
      </w:tr>
      <w:tr w:rsidR="00FF6FA4" w:rsidTr="0075289C">
        <w:trPr>
          <w:jc w:val="center"/>
        </w:trPr>
        <w:tc>
          <w:tcPr>
            <w:tcW w:w="3480" w:type="dxa"/>
          </w:tcPr>
          <w:p w:rsidR="00FF6FA4" w:rsidRPr="00363987" w:rsidRDefault="00FF6FA4" w:rsidP="0075289C">
            <w:pPr>
              <w:pStyle w:val="Tabletext"/>
              <w:jc w:val="left"/>
            </w:pPr>
            <w:r w:rsidRPr="00363987">
              <w:t>Largeur de bande de référence du système</w:t>
            </w:r>
          </w:p>
        </w:tc>
        <w:tc>
          <w:tcPr>
            <w:tcW w:w="2984" w:type="dxa"/>
            <w:vAlign w:val="center"/>
          </w:tcPr>
          <w:p w:rsidR="00FF6FA4" w:rsidRPr="00363987" w:rsidRDefault="00FF6FA4" w:rsidP="0075289C">
            <w:pPr>
              <w:pStyle w:val="Tabletext"/>
              <w:jc w:val="center"/>
            </w:pPr>
            <w:r w:rsidRPr="00363987">
              <w:t>20 kHz</w:t>
            </w:r>
          </w:p>
        </w:tc>
        <w:tc>
          <w:tcPr>
            <w:tcW w:w="3050" w:type="dxa"/>
            <w:vAlign w:val="center"/>
          </w:tcPr>
          <w:p w:rsidR="00FF6FA4" w:rsidRPr="00363987" w:rsidRDefault="00FF6FA4" w:rsidP="0075289C">
            <w:pPr>
              <w:pStyle w:val="Tabletext"/>
              <w:jc w:val="center"/>
            </w:pPr>
            <w:r w:rsidRPr="00363987">
              <w:t>3 MHz</w:t>
            </w:r>
          </w:p>
        </w:tc>
      </w:tr>
      <w:tr w:rsidR="00FF6FA4" w:rsidTr="0075289C">
        <w:trPr>
          <w:jc w:val="center"/>
        </w:trPr>
        <w:tc>
          <w:tcPr>
            <w:tcW w:w="3480" w:type="dxa"/>
          </w:tcPr>
          <w:p w:rsidR="00FF6FA4" w:rsidRPr="00363987" w:rsidRDefault="00FF6FA4" w:rsidP="0075289C">
            <w:pPr>
              <w:pStyle w:val="Tabletext"/>
              <w:jc w:val="left"/>
            </w:pPr>
            <w:r w:rsidRPr="00363987">
              <w:t xml:space="preserve">Puissance des signaux brouilleurs (dBW) dans la largeur de bande de référence ne devant pas être dépassée pendant plus de </w:t>
            </w:r>
            <w:r w:rsidRPr="00363987">
              <w:rPr>
                <w:i/>
                <w:iCs/>
              </w:rPr>
              <w:t>P</w:t>
            </w:r>
            <w:r w:rsidRPr="00363987">
              <w:rPr>
                <w:i/>
                <w:iCs/>
                <w:vertAlign w:val="subscript"/>
              </w:rPr>
              <w:t>PERTE</w:t>
            </w:r>
            <w:r w:rsidR="00363987" w:rsidRPr="00363987">
              <w:rPr>
                <w:i/>
                <w:iCs/>
                <w:vertAlign w:val="subscript"/>
              </w:rPr>
              <w:noBreakHyphen/>
            </w:r>
            <w:r w:rsidRPr="00363987">
              <w:rPr>
                <w:i/>
                <w:iCs/>
                <w:vertAlign w:val="subscript"/>
              </w:rPr>
              <w:t>VERROUILLAGE</w:t>
            </w:r>
            <w:r w:rsidRPr="00363987">
              <w:t xml:space="preserve"> % du temps </w:t>
            </w:r>
          </w:p>
        </w:tc>
        <w:tc>
          <w:tcPr>
            <w:tcW w:w="2984" w:type="dxa"/>
            <w:shd w:val="clear" w:color="auto" w:fill="auto"/>
            <w:vAlign w:val="center"/>
          </w:tcPr>
          <w:p w:rsidR="00FF6FA4" w:rsidRPr="00363987" w:rsidRDefault="00FF6FA4" w:rsidP="0075289C">
            <w:pPr>
              <w:pStyle w:val="Tabletext"/>
              <w:jc w:val="center"/>
            </w:pPr>
            <w:r w:rsidRPr="00363987">
              <w:t>Sans objet</w:t>
            </w:r>
            <w:r w:rsidRPr="0075289C">
              <w:rPr>
                <w:vertAlign w:val="superscript"/>
              </w:rPr>
              <w:t>(1)</w:t>
            </w:r>
          </w:p>
        </w:tc>
        <w:tc>
          <w:tcPr>
            <w:tcW w:w="3050" w:type="dxa"/>
            <w:shd w:val="clear" w:color="auto" w:fill="auto"/>
            <w:vAlign w:val="center"/>
          </w:tcPr>
          <w:p w:rsidR="00FF6FA4" w:rsidRPr="00363987" w:rsidRDefault="00FF6FA4" w:rsidP="0075289C">
            <w:pPr>
              <w:pStyle w:val="Tabletext"/>
              <w:jc w:val="center"/>
            </w:pPr>
            <w:r w:rsidRPr="00363987">
              <w:t>–116,9</w:t>
            </w:r>
          </w:p>
        </w:tc>
      </w:tr>
      <w:tr w:rsidR="00FF6FA4" w:rsidTr="0075289C">
        <w:trPr>
          <w:jc w:val="center"/>
        </w:trPr>
        <w:tc>
          <w:tcPr>
            <w:tcW w:w="3480" w:type="dxa"/>
          </w:tcPr>
          <w:p w:rsidR="00FF6FA4" w:rsidRPr="00363987" w:rsidRDefault="00FF6FA4" w:rsidP="0075289C">
            <w:pPr>
              <w:pStyle w:val="Tabletext"/>
              <w:jc w:val="left"/>
            </w:pPr>
            <w:r w:rsidRPr="0075289C">
              <w:rPr>
                <w:i/>
                <w:iCs/>
              </w:rPr>
              <w:t>P</w:t>
            </w:r>
            <w:r w:rsidRPr="0075289C">
              <w:rPr>
                <w:i/>
                <w:iCs/>
                <w:vertAlign w:val="subscript"/>
              </w:rPr>
              <w:t>PERTE-VERROUILLAGE</w:t>
            </w:r>
            <w:r w:rsidRPr="00363987">
              <w:t>(%)</w:t>
            </w:r>
            <w:r w:rsidRPr="0075289C">
              <w:rPr>
                <w:vertAlign w:val="superscript"/>
              </w:rPr>
              <w:t>(2)</w:t>
            </w:r>
          </w:p>
        </w:tc>
        <w:tc>
          <w:tcPr>
            <w:tcW w:w="2984" w:type="dxa"/>
            <w:shd w:val="clear" w:color="auto" w:fill="auto"/>
            <w:vAlign w:val="center"/>
          </w:tcPr>
          <w:p w:rsidR="00FF6FA4" w:rsidRPr="00363987" w:rsidRDefault="00FF6FA4" w:rsidP="0075289C">
            <w:pPr>
              <w:pStyle w:val="Tabletext"/>
              <w:jc w:val="center"/>
            </w:pPr>
            <w:r w:rsidRPr="00363987">
              <w:t>Sans objet</w:t>
            </w:r>
            <w:r w:rsidRPr="0075289C">
              <w:rPr>
                <w:vertAlign w:val="superscript"/>
              </w:rPr>
              <w:t>(1)</w:t>
            </w:r>
          </w:p>
        </w:tc>
        <w:tc>
          <w:tcPr>
            <w:tcW w:w="3050" w:type="dxa"/>
            <w:shd w:val="clear" w:color="auto" w:fill="auto"/>
            <w:vAlign w:val="center"/>
          </w:tcPr>
          <w:p w:rsidR="00FF6FA4" w:rsidRPr="00363987" w:rsidRDefault="00FF6FA4" w:rsidP="0075289C">
            <w:pPr>
              <w:pStyle w:val="Tabletext"/>
              <w:jc w:val="center"/>
            </w:pPr>
            <w:r w:rsidRPr="00363987">
              <w:t>0,02</w:t>
            </w:r>
          </w:p>
        </w:tc>
      </w:tr>
      <w:tr w:rsidR="00FF6FA4" w:rsidTr="0075289C">
        <w:trPr>
          <w:jc w:val="center"/>
        </w:trPr>
        <w:tc>
          <w:tcPr>
            <w:tcW w:w="3480" w:type="dxa"/>
          </w:tcPr>
          <w:p w:rsidR="00FF6FA4" w:rsidRPr="00363987" w:rsidRDefault="00FF6FA4" w:rsidP="0075289C">
            <w:pPr>
              <w:pStyle w:val="Tabletext"/>
              <w:jc w:val="left"/>
            </w:pPr>
            <w:r w:rsidRPr="00363987">
              <w:t xml:space="preserve">Puissance des signaux brouilleurs (dBW) dans la largeur de bande de référence ne devant pas être dépassée pendant plus de </w:t>
            </w:r>
            <w:r w:rsidRPr="0075289C">
              <w:rPr>
                <w:i/>
                <w:iCs/>
              </w:rPr>
              <w:t>P</w:t>
            </w:r>
            <w:r w:rsidRPr="0075289C">
              <w:rPr>
                <w:i/>
                <w:iCs/>
                <w:vertAlign w:val="subscript"/>
              </w:rPr>
              <w:t>PERTE</w:t>
            </w:r>
            <w:r w:rsidR="0075289C" w:rsidRPr="0075289C">
              <w:rPr>
                <w:i/>
                <w:iCs/>
                <w:vertAlign w:val="subscript"/>
              </w:rPr>
              <w:noBreakHyphen/>
            </w:r>
            <w:r w:rsidRPr="0075289C">
              <w:rPr>
                <w:i/>
                <w:iCs/>
                <w:vertAlign w:val="subscript"/>
              </w:rPr>
              <w:t>DONNÉES</w:t>
            </w:r>
            <w:r w:rsidRPr="0075289C">
              <w:rPr>
                <w:i/>
                <w:iCs/>
              </w:rPr>
              <w:t xml:space="preserve"> </w:t>
            </w:r>
            <w:r w:rsidRPr="00363987">
              <w:t>% du temps</w:t>
            </w:r>
          </w:p>
        </w:tc>
        <w:tc>
          <w:tcPr>
            <w:tcW w:w="2984" w:type="dxa"/>
            <w:shd w:val="clear" w:color="auto" w:fill="auto"/>
            <w:vAlign w:val="center"/>
          </w:tcPr>
          <w:p w:rsidR="00FF6FA4" w:rsidRPr="00363987" w:rsidRDefault="00FF6FA4" w:rsidP="0075289C">
            <w:pPr>
              <w:pStyle w:val="Tabletext"/>
              <w:jc w:val="center"/>
            </w:pPr>
            <w:r w:rsidRPr="00363987">
              <w:t>–161,5</w:t>
            </w:r>
          </w:p>
        </w:tc>
        <w:tc>
          <w:tcPr>
            <w:tcW w:w="3050" w:type="dxa"/>
            <w:shd w:val="clear" w:color="auto" w:fill="auto"/>
            <w:vAlign w:val="center"/>
          </w:tcPr>
          <w:p w:rsidR="00FF6FA4" w:rsidRPr="00363987" w:rsidRDefault="00FF6FA4" w:rsidP="0075289C">
            <w:pPr>
              <w:pStyle w:val="Tabletext"/>
              <w:jc w:val="center"/>
            </w:pPr>
            <w:r w:rsidRPr="00363987">
              <w:t>–122,1</w:t>
            </w:r>
          </w:p>
        </w:tc>
      </w:tr>
      <w:tr w:rsidR="00FF6FA4" w:rsidTr="0075289C">
        <w:trPr>
          <w:jc w:val="center"/>
        </w:trPr>
        <w:tc>
          <w:tcPr>
            <w:tcW w:w="3480" w:type="dxa"/>
          </w:tcPr>
          <w:p w:rsidR="00FF6FA4" w:rsidRPr="00363987" w:rsidRDefault="00FF6FA4" w:rsidP="0075289C">
            <w:pPr>
              <w:pStyle w:val="Tabletext"/>
              <w:jc w:val="left"/>
            </w:pPr>
            <w:r w:rsidRPr="0075289C">
              <w:rPr>
                <w:i/>
                <w:iCs/>
              </w:rPr>
              <w:t>P</w:t>
            </w:r>
            <w:r w:rsidRPr="0075289C">
              <w:rPr>
                <w:i/>
                <w:iCs/>
                <w:vertAlign w:val="subscript"/>
              </w:rPr>
              <w:t>PERTE-DONNÉES</w:t>
            </w:r>
            <w:r w:rsidRPr="00363987">
              <w:t>(%)</w:t>
            </w:r>
            <w:r w:rsidRPr="0075289C">
              <w:rPr>
                <w:vertAlign w:val="superscript"/>
              </w:rPr>
              <w:t>(2)</w:t>
            </w:r>
          </w:p>
        </w:tc>
        <w:tc>
          <w:tcPr>
            <w:tcW w:w="2984" w:type="dxa"/>
            <w:shd w:val="clear" w:color="auto" w:fill="auto"/>
            <w:vAlign w:val="center"/>
          </w:tcPr>
          <w:p w:rsidR="00FF6FA4" w:rsidRPr="00363987" w:rsidRDefault="00FF6FA4" w:rsidP="0075289C">
            <w:pPr>
              <w:pStyle w:val="Tabletext"/>
              <w:jc w:val="center"/>
            </w:pPr>
            <w:r w:rsidRPr="00363987">
              <w:t>0,060</w:t>
            </w:r>
          </w:p>
        </w:tc>
        <w:tc>
          <w:tcPr>
            <w:tcW w:w="3050" w:type="dxa"/>
            <w:shd w:val="clear" w:color="auto" w:fill="auto"/>
            <w:vAlign w:val="center"/>
          </w:tcPr>
          <w:p w:rsidR="00FF6FA4" w:rsidRPr="00363987" w:rsidRDefault="00FF6FA4" w:rsidP="0075289C">
            <w:pPr>
              <w:pStyle w:val="Tabletext"/>
              <w:jc w:val="center"/>
            </w:pPr>
            <w:r w:rsidRPr="00363987">
              <w:t>0,060</w:t>
            </w:r>
          </w:p>
        </w:tc>
      </w:tr>
      <w:tr w:rsidR="00FF6FA4" w:rsidTr="0075289C">
        <w:trPr>
          <w:jc w:val="center"/>
        </w:trPr>
        <w:tc>
          <w:tcPr>
            <w:tcW w:w="3480" w:type="dxa"/>
          </w:tcPr>
          <w:p w:rsidR="00FF6FA4" w:rsidRPr="00363987" w:rsidRDefault="00FF6FA4" w:rsidP="0075289C">
            <w:pPr>
              <w:pStyle w:val="Tabletext"/>
              <w:jc w:val="left"/>
            </w:pPr>
            <w:r w:rsidRPr="00363987">
              <w:t>Puissance des signaux brouilleurs (dBW) dans la largeur de bande de référence ne devant pas être dépassée pendant plus de 20% du temps </w:t>
            </w:r>
          </w:p>
        </w:tc>
        <w:tc>
          <w:tcPr>
            <w:tcW w:w="2984" w:type="dxa"/>
            <w:vAlign w:val="center"/>
          </w:tcPr>
          <w:p w:rsidR="00FF6FA4" w:rsidRPr="00363987" w:rsidRDefault="00FF6FA4" w:rsidP="0075289C">
            <w:pPr>
              <w:pStyle w:val="Tabletext"/>
              <w:jc w:val="center"/>
            </w:pPr>
            <w:r w:rsidRPr="00363987">
              <w:t>–168,9</w:t>
            </w:r>
          </w:p>
        </w:tc>
        <w:tc>
          <w:tcPr>
            <w:tcW w:w="3050" w:type="dxa"/>
            <w:vAlign w:val="center"/>
          </w:tcPr>
          <w:p w:rsidR="00FF6FA4" w:rsidRPr="00363987" w:rsidRDefault="00FF6FA4" w:rsidP="0075289C">
            <w:pPr>
              <w:pStyle w:val="Tabletext"/>
              <w:jc w:val="center"/>
            </w:pPr>
            <w:r w:rsidRPr="00363987">
              <w:t>–135,6</w:t>
            </w:r>
          </w:p>
        </w:tc>
      </w:tr>
      <w:tr w:rsidR="00FF6FA4" w:rsidRPr="00E9431B" w:rsidTr="00DB4B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514" w:type="dxa"/>
            <w:gridSpan w:val="3"/>
          </w:tcPr>
          <w:p w:rsidR="00FF6FA4" w:rsidRPr="00363987" w:rsidRDefault="00FF6FA4" w:rsidP="00882152">
            <w:pPr>
              <w:pStyle w:val="Tablelegend"/>
            </w:pPr>
            <w:r w:rsidRPr="00363987">
              <w:rPr>
                <w:vertAlign w:val="superscript"/>
              </w:rPr>
              <w:t>(1)</w:t>
            </w:r>
            <w:r w:rsidRPr="00363987">
              <w:tab/>
              <w:t>Les systèmes dotés d'antennes équidirectives ne risquent pas de perdre le verrouillage de l'antenne sur le signal en raison d'un brouillage ou d'un évanouissement du signal.</w:t>
            </w:r>
          </w:p>
          <w:p w:rsidR="00FF6FA4" w:rsidRPr="00363987" w:rsidRDefault="00FF6FA4" w:rsidP="00882152">
            <w:pPr>
              <w:pStyle w:val="Tablelegend"/>
            </w:pPr>
            <w:r w:rsidRPr="00363987">
              <w:rPr>
                <w:vertAlign w:val="superscript"/>
              </w:rPr>
              <w:t>(2)</w:t>
            </w:r>
            <w:r w:rsidRPr="00363987">
              <w:tab/>
              <w:t>Ce pourcentage de temps ne doit pas être dépassé pour chaque vol.</w:t>
            </w:r>
          </w:p>
        </w:tc>
      </w:tr>
    </w:tbl>
    <w:p w:rsidR="00FF6FA4" w:rsidRPr="00183EB4" w:rsidRDefault="00FF6FA4" w:rsidP="001F6BEE">
      <w:pPr>
        <w:pStyle w:val="Tablefin"/>
        <w:rPr>
          <w:lang w:val="fr-CH"/>
        </w:rPr>
      </w:pPr>
    </w:p>
    <w:p w:rsidR="001F032A" w:rsidRDefault="001F032A" w:rsidP="001F032A"/>
    <w:p w:rsidR="001F032A" w:rsidRDefault="001F032A" w:rsidP="001F032A"/>
    <w:p w:rsidR="00FF6FA4" w:rsidRDefault="00FF6FA4" w:rsidP="001F6BEE">
      <w:pPr>
        <w:pStyle w:val="AnnexNoTitle"/>
      </w:pPr>
      <w:r w:rsidRPr="009D7F8F">
        <w:t>Annexe</w:t>
      </w:r>
      <w:r>
        <w:t xml:space="preserve"> </w:t>
      </w:r>
      <w:r w:rsidRPr="009D7F8F">
        <w:t>1</w:t>
      </w:r>
      <w:r>
        <w:br/>
      </w:r>
      <w:r>
        <w:br/>
        <w:t xml:space="preserve">Bases utilisées pour l'établissement des critères de qualité de fonctionnement et de brouillage applicables au service des auxiliaires de la météorologie dans </w:t>
      </w:r>
      <w:r>
        <w:br/>
        <w:t>les bandes 400,15-406 MHz et 1</w:t>
      </w:r>
      <w:r>
        <w:rPr>
          <w:sz w:val="12"/>
        </w:rPr>
        <w:t> </w:t>
      </w:r>
      <w:r>
        <w:t>668,4-1</w:t>
      </w:r>
      <w:r>
        <w:rPr>
          <w:sz w:val="12"/>
        </w:rPr>
        <w:t> </w:t>
      </w:r>
      <w:r>
        <w:t>700 MHz</w:t>
      </w:r>
    </w:p>
    <w:p w:rsidR="00FF6FA4" w:rsidRDefault="00FF6FA4" w:rsidP="001F6BEE">
      <w:pPr>
        <w:pStyle w:val="Heading1"/>
      </w:pPr>
      <w:bookmarkStart w:id="3" w:name="_Toc393257585"/>
      <w:r>
        <w:t>1</w:t>
      </w:r>
      <w:r>
        <w:tab/>
        <w:t>Introduction</w:t>
      </w:r>
      <w:bookmarkEnd w:id="3"/>
    </w:p>
    <w:p w:rsidR="00FF6FA4" w:rsidRDefault="00FF6FA4" w:rsidP="001F6BEE">
      <w:r>
        <w:t>Les bandes 400,15-406 MHz (désignée ici par le terme bande des 403 MHz) et 1</w:t>
      </w:r>
      <w:r>
        <w:rPr>
          <w:sz w:val="12"/>
        </w:rPr>
        <w:t> </w:t>
      </w:r>
      <w:r>
        <w:t>668,4-1</w:t>
      </w:r>
      <w:r>
        <w:rPr>
          <w:sz w:val="12"/>
        </w:rPr>
        <w:t> </w:t>
      </w:r>
      <w:r>
        <w:t>700 MHz (désignée ici par le terme bande des 1</w:t>
      </w:r>
      <w:r>
        <w:rPr>
          <w:sz w:val="12"/>
        </w:rPr>
        <w:t> </w:t>
      </w:r>
      <w:r>
        <w:t>680 MHz) sont attribuées au service des auxiliaires de la météorologie à titre primaire. Les bandes 400,15-403 MHz et 1</w:t>
      </w:r>
      <w:r>
        <w:rPr>
          <w:sz w:val="12"/>
        </w:rPr>
        <w:t> </w:t>
      </w:r>
      <w:r>
        <w:t>670-1</w:t>
      </w:r>
      <w:r>
        <w:rPr>
          <w:sz w:val="12"/>
        </w:rPr>
        <w:t> </w:t>
      </w:r>
      <w:r>
        <w:t xml:space="preserve">700 MHz sont de plus attribuées aux utilisateurs du service de météorologie par satellite à titre primaire avec égalité des droits. De plus, la bande 400,15-401 MHz est attribuée à l'échelle mondiale au service mobile par satellite </w:t>
      </w:r>
      <w:r w:rsidRPr="00D8612C">
        <w:t>et la bande 1</w:t>
      </w:r>
      <w:r w:rsidRPr="00D8612C">
        <w:rPr>
          <w:sz w:val="12"/>
        </w:rPr>
        <w:t> </w:t>
      </w:r>
      <w:r w:rsidRPr="00D8612C">
        <w:t>668,4-1</w:t>
      </w:r>
      <w:r w:rsidRPr="00D8612C">
        <w:rPr>
          <w:sz w:val="12"/>
        </w:rPr>
        <w:t> </w:t>
      </w:r>
      <w:r>
        <w:t>675 MHz est attribuée à l'é</w:t>
      </w:r>
      <w:r w:rsidRPr="00D8612C">
        <w:t>chelle mondiale au service mobile par satellite (SMS).</w:t>
      </w:r>
    </w:p>
    <w:p w:rsidR="00FF6FA4" w:rsidRDefault="00FF6FA4" w:rsidP="0075289C">
      <w:pPr>
        <w:keepNext/>
        <w:keepLines/>
      </w:pPr>
      <w:r>
        <w:lastRenderedPageBreak/>
        <w:t xml:space="preserve">L'expression «auxiliaires de météorologie» désigne divers types d'équipements météorologiques: radiosondes, catasondes et fusées-sondes. Des auxiliaires de météorologie sont lancés dans le monde entier en vue de la collecte de données météorologiques dans la haute atmosphère pour les prévisions météorologiques et la prévision des violentes tempêtes, de la collecte de données sur la concentration d'ozone et de la mesure de paramètres atmosphériques pour diverses </w:t>
      </w:r>
      <w:r w:rsidRPr="00D8612C">
        <w:t>autres</w:t>
      </w:r>
      <w:r>
        <w:t xml:space="preserve"> applications. Les données recueillies pendant ces vols ou ces sondages sont très importantes pour la protection des biens et des personnes, car elles permettent de prévoir les violentes tempêtes et fournissent des renseignements vitaux aux compagnies de transport aérien.</w:t>
      </w:r>
    </w:p>
    <w:p w:rsidR="00FF6FA4" w:rsidRDefault="00FF6FA4" w:rsidP="00FF6FA4">
      <w:pPr>
        <w:pStyle w:val="Heading1"/>
      </w:pPr>
      <w:bookmarkStart w:id="4" w:name="_Toc393257586"/>
      <w:r>
        <w:t>2</w:t>
      </w:r>
      <w:r>
        <w:tab/>
        <w:t>Méthode de calcul des critères de brouillage applicables au service des auxiliaires de la météorologie</w:t>
      </w:r>
      <w:bookmarkEnd w:id="4"/>
    </w:p>
    <w:p w:rsidR="00FF6FA4" w:rsidRDefault="00FF6FA4" w:rsidP="00FF6FA4">
      <w:r>
        <w:t xml:space="preserve">La sensibilité des auxiliaires de la météorologie au brouillage étant généralement maximale à la portée oblique maximale de fonctionnement, les critères de brouillage seront établis sur la base de la marge pour la liaison correspondant à cette portée. Cette hypothèse ne permet pas aux autres utilisateurs potentiels de la bande de tirer parti des marges pour les liaisons plus élevées aux portées obliques plus courtes, mais ce facteur peut être utilisé, le cas échéant, dans les études de partage détaillées. La portée oblique maximale sera une portée caractéristique pour la plus grande partie du monde, mais pas en ce qui concerne les conditions extrêmes rencontrées en hiver aux latitudes élevées. </w:t>
      </w:r>
    </w:p>
    <w:p w:rsidR="00FF6FA4" w:rsidRDefault="00FF6FA4" w:rsidP="00FF6FA4">
      <w:r>
        <w:t xml:space="preserve">Les critères de brouillage applicables au service des auxiliaires de la météorologie seront au nombre de trois </w:t>
      </w:r>
      <w:r w:rsidRPr="00D8612C">
        <w:t>en ce qui concerne les systèmes dotés d'antennes directive</w:t>
      </w:r>
      <w:r>
        <w:t xml:space="preserve">s: un niveau de brouillage et un pourcentage de temps pour la perte de verrouillage de phase dans le récepteur, un niveau de brouillage et un pourcentage de temps pour la perte de données et un niveau de brouillage à long terme </w:t>
      </w:r>
      <w:r w:rsidRPr="00D8612C">
        <w:t>ne devant pas être dépassé pendant plus de</w:t>
      </w:r>
      <w:r>
        <w:t xml:space="preserve"> 20% du temps. </w:t>
      </w:r>
      <w:r w:rsidRPr="00D8612C">
        <w:t>En ce qui</w:t>
      </w:r>
      <w:r>
        <w:t xml:space="preserve"> </w:t>
      </w:r>
      <w:r w:rsidRPr="00D8612C">
        <w:t xml:space="preserve">concerne les systèmes du service des auxiliaires de la météorologie dotés d'antennes équidirectives, les valeurs relatives à la perte de verrouillage </w:t>
      </w:r>
      <w:r>
        <w:t>dans le</w:t>
      </w:r>
      <w:r w:rsidRPr="00D8612C">
        <w:t xml:space="preserve"> récepteur sont sans objet, car ces antennes ne peuvent pas perdre leur verrouillage sur le signal pendant une période de perte de signal ou de brouillage. Dans le cas des systèmes du service des auxiliaires de la météorologie, un niveau de brouillage et un pourcentage de temps seront calculés pour la perte de données et pour un niveau de brouillage à long terme ne devant pas être dépassé pendant plus de 20% du temps.</w:t>
      </w:r>
      <w:r>
        <w:t xml:space="preserve"> Etant donné que les différents types d'auxiliaires de la météorologie sont utilisés dans diverses applications et présentent des caractéristiques différentes, des critères seront établis pour chacun d'entre eux.</w:t>
      </w:r>
    </w:p>
    <w:p w:rsidR="00FF6FA4" w:rsidRDefault="00FF6FA4" w:rsidP="00FF6FA4">
      <w:r>
        <w:t xml:space="preserve">Le premier niveau </w:t>
      </w:r>
      <w:r w:rsidRPr="00D8612C">
        <w:t>de critères de brouillage à court terme à établir, qui n'est applicable qu'aux systèmes dotés d'antennes de poursuite directives, est le niveau associé à la perte de verrouillage de phase dans le récepteur, qui n'est admissible que pendant une courte durée. Il s'agit de la durée maximale pendant laquelle le récepteur peut tolérer une perte de signal et reverrouiller l'antenne de poursuite sur le signal quand celui-ci réapparaît.</w:t>
      </w:r>
      <w:r>
        <w:t xml:space="preserve"> Le pourcentage de temps total, </w:t>
      </w:r>
      <w:r>
        <w:rPr>
          <w:i/>
        </w:rPr>
        <w:t>P</w:t>
      </w:r>
      <w:r>
        <w:t>%</w:t>
      </w:r>
      <w:r>
        <w:rPr>
          <w:i/>
          <w:position w:val="-4"/>
          <w:sz w:val="16"/>
        </w:rPr>
        <w:t>TOTAL</w:t>
      </w:r>
      <w:r>
        <w:t>, pendant lequel une perte de verrouillage de phase peut se produire sera calculé en fonction du système et de l'application. Ce pourcentage sera alors subdivisé en un pourcentage pour les sources intrasystème et en un pourcentage pour les sources intersystèmes. Dans le cas considéré, la perte de verrouillage sera subdivisée de façon que le pourcentage attribué au brouillage entre systèmes soit égal à 25% de </w:t>
      </w:r>
      <w:r>
        <w:rPr>
          <w:i/>
        </w:rPr>
        <w:t>P</w:t>
      </w:r>
      <w:r>
        <w:t>%</w:t>
      </w:r>
      <w:r>
        <w:rPr>
          <w:i/>
          <w:position w:val="-4"/>
          <w:sz w:val="16"/>
        </w:rPr>
        <w:t>TOTAL</w:t>
      </w:r>
      <w:r>
        <w:t>.</w:t>
      </w:r>
    </w:p>
    <w:p w:rsidR="00FF6FA4" w:rsidRDefault="00FF6FA4" w:rsidP="00FF6FA4">
      <w:r>
        <w:t>Les critères de brouillage applicables à la perte du verrouillage seront calculés de la manière suivante:</w:t>
      </w:r>
    </w:p>
    <w:p w:rsidR="00FF6FA4" w:rsidRPr="0003679E" w:rsidRDefault="00FF6FA4" w:rsidP="0075289C">
      <w:pPr>
        <w:pStyle w:val="Equation"/>
        <w:rPr>
          <w:lang w:val="fr-CH"/>
        </w:rPr>
      </w:pPr>
      <w:r>
        <w:tab/>
      </w:r>
      <w:r>
        <w:tab/>
      </w:r>
      <w:r w:rsidR="001F032A" w:rsidRPr="0075289C">
        <w:rPr>
          <w:position w:val="-12"/>
        </w:rPr>
        <w:object w:dxaOrig="4819"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45pt;height:21.05pt" o:ole="">
            <v:imagedata r:id="rId21" o:title=""/>
          </v:shape>
          <o:OLEObject Type="Embed" ProgID="Equation.3" ShapeID="_x0000_i1025" DrawAspect="Content" ObjectID="_1363498311" r:id="rId22"/>
        </w:object>
      </w:r>
      <w:r w:rsidRPr="0003679E">
        <w:rPr>
          <w:lang w:val="fr-CH"/>
        </w:rPr>
        <w:tab/>
        <w:t>(1)</w:t>
      </w:r>
    </w:p>
    <w:p w:rsidR="00FF6FA4" w:rsidRDefault="00FF6FA4" w:rsidP="00FF6FA4">
      <w:pPr>
        <w:tabs>
          <w:tab w:val="clear" w:pos="794"/>
          <w:tab w:val="clear" w:pos="1191"/>
          <w:tab w:val="clear" w:pos="1588"/>
          <w:tab w:val="clear" w:pos="1985"/>
        </w:tabs>
        <w:overflowPunct/>
        <w:autoSpaceDE/>
        <w:autoSpaceDN/>
        <w:adjustRightInd/>
        <w:spacing w:before="0"/>
        <w:textAlignment w:val="auto"/>
      </w:pPr>
      <w:r>
        <w:br w:type="page"/>
      </w:r>
    </w:p>
    <w:p w:rsidR="00FF6FA4" w:rsidRDefault="00FF6FA4" w:rsidP="00FF6FA4">
      <w:r>
        <w:lastRenderedPageBreak/>
        <w:t>où:</w:t>
      </w:r>
    </w:p>
    <w:p w:rsidR="00FF6FA4" w:rsidRPr="00A37CEC" w:rsidRDefault="00FF6FA4" w:rsidP="00A37CEC">
      <w:pPr>
        <w:pStyle w:val="Equationlegend"/>
        <w:rPr>
          <w:lang w:val="fr-CH"/>
        </w:rPr>
      </w:pPr>
      <w:r w:rsidRPr="00183EB4">
        <w:rPr>
          <w:lang w:val="fr-CH"/>
        </w:rPr>
        <w:tab/>
      </w:r>
      <w:r w:rsidRPr="00A37CEC">
        <w:rPr>
          <w:i/>
          <w:lang w:val="fr-CH"/>
        </w:rPr>
        <w:t>N</w:t>
      </w:r>
      <w:r w:rsidRPr="00A37CEC">
        <w:rPr>
          <w:i/>
          <w:position w:val="-4"/>
          <w:sz w:val="16"/>
          <w:lang w:val="fr-CH"/>
        </w:rPr>
        <w:t>RX</w:t>
      </w:r>
      <w:r w:rsidR="00A37CEC" w:rsidRPr="00A37CEC">
        <w:rPr>
          <w:lang w:val="fr-CH"/>
        </w:rPr>
        <w:t xml:space="preserve"> </w:t>
      </w:r>
      <w:r w:rsidRPr="00A37CEC">
        <w:rPr>
          <w:lang w:val="fr-CH"/>
        </w:rPr>
        <w:t>:</w:t>
      </w:r>
      <w:r w:rsidRPr="00A37CEC">
        <w:rPr>
          <w:lang w:val="fr-CH"/>
        </w:rPr>
        <w:tab/>
        <w:t>densité spectrale de bruit du récepteur, extraite du bilan de liaison (voir les Tableaux 4 et 5)</w:t>
      </w:r>
    </w:p>
    <w:p w:rsidR="00FF6FA4" w:rsidRPr="00A37CEC" w:rsidRDefault="00FF6FA4" w:rsidP="00A37CEC">
      <w:pPr>
        <w:pStyle w:val="Equationlegend"/>
        <w:rPr>
          <w:lang w:val="fr-CH"/>
        </w:rPr>
      </w:pPr>
      <w:r w:rsidRPr="00A37CEC">
        <w:rPr>
          <w:lang w:val="fr-CH"/>
        </w:rPr>
        <w:tab/>
      </w:r>
      <w:r w:rsidRPr="00A37CEC">
        <w:rPr>
          <w:i/>
          <w:lang w:val="fr-CH"/>
        </w:rPr>
        <w:t>M</w:t>
      </w:r>
      <w:r w:rsidRPr="00A37CEC">
        <w:rPr>
          <w:sz w:val="12"/>
          <w:lang w:val="fr-CH"/>
        </w:rPr>
        <w:t> </w:t>
      </w:r>
      <w:r w:rsidR="00A37CEC" w:rsidRPr="00A37CEC">
        <w:rPr>
          <w:lang w:val="fr-CH"/>
        </w:rPr>
        <w:t>:</w:t>
      </w:r>
      <w:r w:rsidR="00A37CEC" w:rsidRPr="00A37CEC">
        <w:rPr>
          <w:lang w:val="fr-CH"/>
        </w:rPr>
        <w:tab/>
      </w:r>
      <w:r w:rsidRPr="00A37CEC">
        <w:rPr>
          <w:lang w:val="fr-CH"/>
        </w:rPr>
        <w:t>marge calculée pour la perte du verrouillage, extraite du bilan de liaison (voir les Tableaux 4 et 5).</w:t>
      </w:r>
    </w:p>
    <w:p w:rsidR="00FF6FA4" w:rsidRDefault="00FF6FA4" w:rsidP="00FF6FA4">
      <w:pPr>
        <w:spacing w:before="100"/>
      </w:pPr>
      <w:r>
        <w:t xml:space="preserve">Le niveau </w:t>
      </w:r>
      <w:r>
        <w:rPr>
          <w:i/>
        </w:rPr>
        <w:t>I</w:t>
      </w:r>
      <w:r>
        <w:rPr>
          <w:i/>
          <w:position w:val="-4"/>
          <w:sz w:val="16"/>
        </w:rPr>
        <w:t>PERTE-VERROUILLAGE</w:t>
      </w:r>
      <w:r>
        <w:t xml:space="preserve"> ne doit pas être dépassé pendant plus de</w:t>
      </w:r>
      <w:r>
        <w:rPr>
          <w:i/>
        </w:rPr>
        <w:t xml:space="preserve"> P</w:t>
      </w:r>
      <w:r>
        <w:t>%</w:t>
      </w:r>
      <w:r>
        <w:rPr>
          <w:i/>
          <w:position w:val="-4"/>
          <w:sz w:val="16"/>
        </w:rPr>
        <w:t>PERTE-VERROUILLAGE</w:t>
      </w:r>
      <w:r>
        <w:t>, où:</w:t>
      </w:r>
    </w:p>
    <w:p w:rsidR="00FF6FA4" w:rsidRDefault="00FF6FA4" w:rsidP="00FF6FA4">
      <w:pPr>
        <w:pStyle w:val="Equation"/>
      </w:pPr>
      <w:r>
        <w:tab/>
      </w:r>
      <w:r>
        <w:tab/>
      </w:r>
      <w:r>
        <w:rPr>
          <w:i/>
        </w:rPr>
        <w:t>P</w:t>
      </w:r>
      <w:r>
        <w:t>%</w:t>
      </w:r>
      <w:r>
        <w:rPr>
          <w:i/>
          <w:position w:val="-4"/>
          <w:sz w:val="18"/>
        </w:rPr>
        <w:t>PERTE-VERROUILLAGE</w:t>
      </w:r>
      <w:r>
        <w:t xml:space="preserve"> </w:t>
      </w:r>
      <w:r>
        <w:rPr>
          <w:rFonts w:ascii="Symbol" w:hAnsi="Symbol"/>
        </w:rPr>
        <w:t></w:t>
      </w:r>
      <w:r>
        <w:t xml:space="preserve"> 0,25 (</w:t>
      </w:r>
      <w:r>
        <w:rPr>
          <w:i/>
        </w:rPr>
        <w:t>P</w:t>
      </w:r>
      <w:r>
        <w:t>%</w:t>
      </w:r>
      <w:r>
        <w:rPr>
          <w:i/>
          <w:position w:val="-4"/>
          <w:sz w:val="18"/>
        </w:rPr>
        <w:t>TOTAL</w:t>
      </w:r>
      <w:r>
        <w:t>)</w:t>
      </w:r>
    </w:p>
    <w:p w:rsidR="00FF6FA4" w:rsidRDefault="00FF6FA4" w:rsidP="00A37CEC">
      <w:r>
        <w:t xml:space="preserve">Le deuxième niveau </w:t>
      </w:r>
      <w:r w:rsidRPr="00D8612C">
        <w:t>de critères</w:t>
      </w:r>
      <w:r>
        <w:t xml:space="preserve"> de brouillage </w:t>
      </w:r>
      <w:r w:rsidRPr="00D8612C">
        <w:t>à court terme, qui s'applique à tous les systèmes,</w:t>
      </w:r>
      <w:r>
        <w:t xml:space="preserve"> est le niveau à partir duquel des données seront perdues. Le pourcentage de temps correspondant peut être obtenu à partir des objectifs de disponibilité des données fixés par les utilisateurs. Les objectifs de disponibilité des données publiés concernant le service des auxiliaires de la météorologie s'appliquent généralement à toutes les sources de perte de données et d'erreur de données. Pendant le vol des auxiliaires de la météorologie, on observe – en plus des pertes de données – des erreurs de données de capteur, qui sont éliminées par filtrage au cours du traitement des données. Vingt-cinq pour cent du pourcentage de temps total </w:t>
      </w:r>
      <w:r>
        <w:rPr>
          <w:i/>
        </w:rPr>
        <w:t>P</w:t>
      </w:r>
      <w:r>
        <w:t>%</w:t>
      </w:r>
      <w:r>
        <w:rPr>
          <w:i/>
          <w:position w:val="-4"/>
          <w:sz w:val="16"/>
        </w:rPr>
        <w:t>TOTAL</w:t>
      </w:r>
      <w:r>
        <w:t xml:space="preserve"> pendant lequel des pertes et des erreurs de données peuvent se produire seront attribués au brouillage et 25% de cette valeur peuvent être attribués au brouillage entre systèmes; d'où:</w:t>
      </w:r>
    </w:p>
    <w:p w:rsidR="00FF6FA4" w:rsidRPr="00AF54E8" w:rsidRDefault="00FF6FA4" w:rsidP="00FF6FA4">
      <w:pPr>
        <w:pStyle w:val="Equation"/>
        <w:rPr>
          <w:lang w:val="fr-CH"/>
        </w:rPr>
      </w:pPr>
      <w:r>
        <w:tab/>
      </w:r>
      <w:r>
        <w:tab/>
      </w:r>
      <w:r w:rsidRPr="00AF54E8">
        <w:rPr>
          <w:i/>
          <w:lang w:val="fr-CH"/>
        </w:rPr>
        <w:t>P</w:t>
      </w:r>
      <w:r w:rsidRPr="00AF54E8">
        <w:rPr>
          <w:lang w:val="fr-CH"/>
        </w:rPr>
        <w:t>%</w:t>
      </w:r>
      <w:r w:rsidRPr="00AF54E8">
        <w:rPr>
          <w:i/>
          <w:position w:val="-4"/>
          <w:sz w:val="18"/>
          <w:lang w:val="fr-CH"/>
        </w:rPr>
        <w:t>PERTE-DONNÉES</w:t>
      </w:r>
      <w:r>
        <w:rPr>
          <w:lang w:val="fr-CH"/>
        </w:rPr>
        <w:t xml:space="preserve"> </w:t>
      </w:r>
      <w:r>
        <w:rPr>
          <w:rFonts w:ascii="Symbol" w:hAnsi="Symbol"/>
        </w:rPr>
        <w:t></w:t>
      </w:r>
      <w:r>
        <w:rPr>
          <w:lang w:val="fr-CH"/>
        </w:rPr>
        <w:t xml:space="preserve"> </w:t>
      </w:r>
      <w:r w:rsidRPr="00AF54E8">
        <w:rPr>
          <w:lang w:val="fr-CH"/>
        </w:rPr>
        <w:t>(25%) (25%) (</w:t>
      </w:r>
      <w:r w:rsidRPr="00AF54E8">
        <w:rPr>
          <w:i/>
          <w:lang w:val="fr-CH"/>
        </w:rPr>
        <w:t>P</w:t>
      </w:r>
      <w:r w:rsidRPr="00AF54E8">
        <w:rPr>
          <w:lang w:val="fr-CH"/>
        </w:rPr>
        <w:t>%</w:t>
      </w:r>
      <w:r w:rsidRPr="00AF54E8">
        <w:rPr>
          <w:i/>
          <w:position w:val="-4"/>
          <w:sz w:val="18"/>
          <w:lang w:val="fr-CH"/>
        </w:rPr>
        <w:t>TOTAL</w:t>
      </w:r>
      <w:r w:rsidRPr="00AF54E8">
        <w:rPr>
          <w:lang w:val="fr-CH"/>
        </w:rPr>
        <w:t>)</w:t>
      </w:r>
      <w:r>
        <w:rPr>
          <w:lang w:val="fr-CH"/>
        </w:rPr>
        <w:t xml:space="preserve"> </w:t>
      </w:r>
      <w:r>
        <w:rPr>
          <w:rFonts w:ascii="Symbol" w:hAnsi="Symbol"/>
        </w:rPr>
        <w:t></w:t>
      </w:r>
      <w:r>
        <w:rPr>
          <w:lang w:val="fr-CH"/>
        </w:rPr>
        <w:t xml:space="preserve"> </w:t>
      </w:r>
      <w:r w:rsidRPr="00AF54E8">
        <w:rPr>
          <w:lang w:val="fr-CH"/>
        </w:rPr>
        <w:t>(6,25%) (</w:t>
      </w:r>
      <w:r w:rsidRPr="00AF54E8">
        <w:rPr>
          <w:i/>
          <w:lang w:val="fr-CH"/>
        </w:rPr>
        <w:t>P</w:t>
      </w:r>
      <w:r w:rsidRPr="00AF54E8">
        <w:rPr>
          <w:lang w:val="fr-CH"/>
        </w:rPr>
        <w:t>%</w:t>
      </w:r>
      <w:r w:rsidRPr="00AF54E8">
        <w:rPr>
          <w:i/>
          <w:position w:val="-4"/>
          <w:sz w:val="18"/>
          <w:lang w:val="fr-CH"/>
        </w:rPr>
        <w:t>TOTAL</w:t>
      </w:r>
      <w:r w:rsidRPr="00AF54E8">
        <w:rPr>
          <w:lang w:val="fr-CH"/>
        </w:rPr>
        <w:t>)</w:t>
      </w:r>
    </w:p>
    <w:p w:rsidR="00FF6FA4" w:rsidRDefault="00FF6FA4" w:rsidP="00FF6FA4">
      <w:pPr>
        <w:spacing w:before="100"/>
      </w:pPr>
      <w:r>
        <w:t>Les critères de brouillage applicables à la perte de données seront calculés de la manière suivante:</w:t>
      </w:r>
    </w:p>
    <w:p w:rsidR="00FF6FA4" w:rsidRPr="00AF54E8" w:rsidRDefault="00FF6FA4" w:rsidP="00FF6FA4">
      <w:pPr>
        <w:pStyle w:val="Equation"/>
        <w:rPr>
          <w:lang w:val="fr-CH"/>
        </w:rPr>
      </w:pPr>
      <w:r>
        <w:tab/>
      </w:r>
      <w:r>
        <w:tab/>
      </w:r>
      <w:r w:rsidRPr="00AF54E8">
        <w:rPr>
          <w:i/>
          <w:lang w:val="fr-CH"/>
        </w:rPr>
        <w:t>I</w:t>
      </w:r>
      <w:r w:rsidRPr="00AF54E8">
        <w:rPr>
          <w:i/>
          <w:position w:val="-4"/>
          <w:sz w:val="18"/>
          <w:lang w:val="fr-CH"/>
        </w:rPr>
        <w:t>PERTE-DONNÉES</w:t>
      </w:r>
      <w:r>
        <w:rPr>
          <w:lang w:val="fr-CH"/>
        </w:rPr>
        <w:t xml:space="preserve"> </w:t>
      </w:r>
      <w:r>
        <w:rPr>
          <w:rFonts w:ascii="Symbol" w:hAnsi="Symbol"/>
        </w:rPr>
        <w:t></w:t>
      </w:r>
      <w:r>
        <w:rPr>
          <w:lang w:val="fr-CH"/>
        </w:rPr>
        <w:t xml:space="preserve"> </w:t>
      </w:r>
      <w:r w:rsidRPr="00AF54E8">
        <w:rPr>
          <w:i/>
          <w:lang w:val="fr-CH"/>
        </w:rPr>
        <w:t>N</w:t>
      </w:r>
      <w:r w:rsidRPr="00AF54E8">
        <w:rPr>
          <w:i/>
          <w:position w:val="-4"/>
          <w:sz w:val="18"/>
          <w:lang w:val="fr-CH"/>
        </w:rPr>
        <w:t>RX</w:t>
      </w:r>
      <w:r>
        <w:rPr>
          <w:lang w:val="fr-CH"/>
        </w:rPr>
        <w:t xml:space="preserve"> </w:t>
      </w:r>
      <w:r w:rsidRPr="00AF54E8">
        <w:rPr>
          <w:lang w:val="fr-CH"/>
        </w:rPr>
        <w:t>+</w:t>
      </w:r>
      <w:r>
        <w:rPr>
          <w:lang w:val="fr-CH"/>
        </w:rPr>
        <w:t xml:space="preserve"> </w:t>
      </w:r>
      <w:r w:rsidRPr="00AF54E8">
        <w:rPr>
          <w:lang w:val="fr-CH"/>
        </w:rPr>
        <w:t>10 log (10</w:t>
      </w:r>
      <w:r w:rsidRPr="00AF54E8">
        <w:rPr>
          <w:i/>
          <w:position w:val="6"/>
          <w:sz w:val="18"/>
          <w:lang w:val="fr-CH"/>
        </w:rPr>
        <w:t>M</w:t>
      </w:r>
      <w:r w:rsidRPr="00AF54E8">
        <w:rPr>
          <w:position w:val="6"/>
          <w:sz w:val="18"/>
          <w:lang w:val="fr-CH"/>
        </w:rPr>
        <w:t>/10</w:t>
      </w:r>
      <w:r w:rsidRPr="00AF54E8">
        <w:rPr>
          <w:lang w:val="fr-CH"/>
        </w:rPr>
        <w:t xml:space="preserve"> –</w:t>
      </w:r>
      <w:r w:rsidRPr="00AF54E8">
        <w:rPr>
          <w:sz w:val="4"/>
          <w:lang w:val="fr-CH"/>
        </w:rPr>
        <w:t> </w:t>
      </w:r>
      <w:r w:rsidRPr="00AF54E8">
        <w:rPr>
          <w:lang w:val="fr-CH"/>
        </w:rPr>
        <w:t>1)</w:t>
      </w:r>
      <w:r w:rsidRPr="00AF54E8">
        <w:rPr>
          <w:lang w:val="fr-CH"/>
        </w:rPr>
        <w:tab/>
        <w:t>(2)</w:t>
      </w:r>
    </w:p>
    <w:p w:rsidR="00FF6FA4" w:rsidRDefault="00FF6FA4" w:rsidP="00FF6FA4">
      <w:r>
        <w:t>où:</w:t>
      </w:r>
    </w:p>
    <w:p w:rsidR="00FF6FA4" w:rsidRPr="00183EB4" w:rsidRDefault="00FF6FA4" w:rsidP="00A37CEC">
      <w:pPr>
        <w:pStyle w:val="Equationlegend"/>
        <w:rPr>
          <w:lang w:val="fr-CH"/>
        </w:rPr>
      </w:pPr>
      <w:r w:rsidRPr="00183EB4">
        <w:rPr>
          <w:lang w:val="fr-CH"/>
        </w:rPr>
        <w:tab/>
      </w:r>
      <w:r w:rsidRPr="00183EB4">
        <w:rPr>
          <w:i/>
          <w:lang w:val="fr-CH"/>
        </w:rPr>
        <w:t>N</w:t>
      </w:r>
      <w:r w:rsidRPr="00183EB4">
        <w:rPr>
          <w:i/>
          <w:position w:val="-4"/>
          <w:sz w:val="16"/>
          <w:lang w:val="fr-CH"/>
        </w:rPr>
        <w:t>RX</w:t>
      </w:r>
      <w:r w:rsidRPr="00183EB4">
        <w:rPr>
          <w:sz w:val="12"/>
          <w:lang w:val="fr-CH"/>
        </w:rPr>
        <w:t> </w:t>
      </w:r>
      <w:r w:rsidRPr="00183EB4">
        <w:rPr>
          <w:lang w:val="fr-CH"/>
        </w:rPr>
        <w:t>:</w:t>
      </w:r>
      <w:r w:rsidRPr="00183EB4">
        <w:rPr>
          <w:lang w:val="fr-CH"/>
        </w:rPr>
        <w:tab/>
        <w:t>densité spectrale de bruit du récepteur extraite du bilan de liaison (voir les Tableaux 4 et 5)</w:t>
      </w:r>
    </w:p>
    <w:p w:rsidR="00FF6FA4" w:rsidRPr="00A37CEC" w:rsidRDefault="00FF6FA4" w:rsidP="00A37CEC">
      <w:pPr>
        <w:pStyle w:val="Equationlegend"/>
        <w:rPr>
          <w:lang w:val="fr-CH"/>
        </w:rPr>
      </w:pPr>
      <w:r w:rsidRPr="00183EB4">
        <w:rPr>
          <w:lang w:val="fr-CH"/>
        </w:rPr>
        <w:tab/>
      </w:r>
      <w:r w:rsidRPr="00A37CEC">
        <w:rPr>
          <w:i/>
          <w:lang w:val="fr-CH"/>
        </w:rPr>
        <w:t>M</w:t>
      </w:r>
      <w:r w:rsidRPr="00A37CEC">
        <w:rPr>
          <w:sz w:val="12"/>
          <w:lang w:val="fr-CH"/>
        </w:rPr>
        <w:t> </w:t>
      </w:r>
      <w:r w:rsidR="00A37CEC" w:rsidRPr="00A37CEC">
        <w:rPr>
          <w:lang w:val="fr-CH"/>
        </w:rPr>
        <w:t>:</w:t>
      </w:r>
      <w:r w:rsidR="00A37CEC" w:rsidRPr="00A37CEC">
        <w:rPr>
          <w:lang w:val="fr-CH"/>
        </w:rPr>
        <w:tab/>
      </w:r>
      <w:r w:rsidRPr="00A37CEC">
        <w:rPr>
          <w:lang w:val="fr-CH"/>
        </w:rPr>
        <w:t>marge calculée pour la perte de données extraite du bilan de liaison (voir les Tableaux 4 et 5).</w:t>
      </w:r>
    </w:p>
    <w:p w:rsidR="00FF6FA4" w:rsidRDefault="00FF6FA4" w:rsidP="00FF6FA4">
      <w:pPr>
        <w:spacing w:before="100"/>
      </w:pPr>
      <w:r>
        <w:t xml:space="preserve">Le niveau </w:t>
      </w:r>
      <w:r>
        <w:rPr>
          <w:i/>
        </w:rPr>
        <w:t>I</w:t>
      </w:r>
      <w:r>
        <w:rPr>
          <w:i/>
          <w:position w:val="-4"/>
          <w:sz w:val="16"/>
        </w:rPr>
        <w:t>PERTE-DONNÉES</w:t>
      </w:r>
      <w:r>
        <w:t xml:space="preserve"> ne doit pas être dépassé pendant plus de </w:t>
      </w:r>
      <w:r>
        <w:rPr>
          <w:i/>
        </w:rPr>
        <w:t>P</w:t>
      </w:r>
      <w:r>
        <w:t>%</w:t>
      </w:r>
      <w:r>
        <w:rPr>
          <w:i/>
          <w:position w:val="-4"/>
          <w:sz w:val="16"/>
        </w:rPr>
        <w:t>PERTE-DONNÉES</w:t>
      </w:r>
      <w:r>
        <w:t>.</w:t>
      </w:r>
    </w:p>
    <w:p w:rsidR="00FF6FA4" w:rsidRDefault="00FF6FA4" w:rsidP="00FF6FA4">
      <w:pPr>
        <w:spacing w:before="100"/>
      </w:pPr>
      <w:r>
        <w:t xml:space="preserve">Le troisième niveau de brouillage sera le niveau à long terme, </w:t>
      </w:r>
      <w:r w:rsidRPr="00D8612C">
        <w:t>qui ne doit pas être dépassé pendant plus de</w:t>
      </w:r>
      <w:r>
        <w:t xml:space="preserve"> 20% du temps. Ce niveau peut être calculé à partir des marges à court terme associées à la perte du verrouillage de phase </w:t>
      </w:r>
      <w:r w:rsidRPr="00D8612C">
        <w:t>(le cas échéant)</w:t>
      </w:r>
      <w:r>
        <w:t xml:space="preserve"> et à la perte de données. Le niveau calculé à partir de la marge associée à la perte de verrouillage de phase à court terme est négligeable comparativement au niveau calculé à partir de la marge associée à la perte de données. En ce qui concerne le long terme (20%), les deux tiers de la marge associée à la perte de données seront retenus pour le service des auxiliaires de la météorologie. Les critères de brouillage applicables à la perte de données seront calculés de la manière suivante:</w:t>
      </w:r>
    </w:p>
    <w:p w:rsidR="00FF6FA4" w:rsidRDefault="00FF6FA4" w:rsidP="00FF6FA4">
      <w:pPr>
        <w:pStyle w:val="Equation"/>
        <w:spacing w:before="100"/>
      </w:pPr>
      <w:r>
        <w:tab/>
      </w:r>
      <w:r>
        <w:tab/>
      </w:r>
      <w:r>
        <w:rPr>
          <w:i/>
        </w:rPr>
        <w:t>I</w:t>
      </w:r>
      <w:r>
        <w:rPr>
          <w:position w:val="-4"/>
          <w:sz w:val="18"/>
        </w:rPr>
        <w:t>20%</w:t>
      </w:r>
      <w:r>
        <w:t xml:space="preserve"> </w:t>
      </w:r>
      <w:r>
        <w:rPr>
          <w:rFonts w:ascii="Symbol" w:hAnsi="Symbol"/>
        </w:rPr>
        <w:t></w:t>
      </w:r>
      <w:r>
        <w:t xml:space="preserve"> </w:t>
      </w:r>
      <w:r>
        <w:rPr>
          <w:i/>
        </w:rPr>
        <w:t>N</w:t>
      </w:r>
      <w:r>
        <w:rPr>
          <w:i/>
          <w:position w:val="-4"/>
          <w:sz w:val="18"/>
        </w:rPr>
        <w:t>RX</w:t>
      </w:r>
      <w:r>
        <w:t xml:space="preserve"> + 10 log (10</w:t>
      </w:r>
      <w:r>
        <w:rPr>
          <w:i/>
          <w:position w:val="6"/>
          <w:sz w:val="18"/>
        </w:rPr>
        <w:t>M</w:t>
      </w:r>
      <w:r>
        <w:rPr>
          <w:position w:val="6"/>
          <w:sz w:val="18"/>
        </w:rPr>
        <w:t>/30</w:t>
      </w:r>
      <w:r>
        <w:t xml:space="preserve"> –</w:t>
      </w:r>
      <w:r>
        <w:rPr>
          <w:sz w:val="4"/>
        </w:rPr>
        <w:t> </w:t>
      </w:r>
      <w:r>
        <w:t>1)</w:t>
      </w:r>
      <w:r>
        <w:tab/>
      </w:r>
      <w:r>
        <w:br/>
        <w:t>ou</w:t>
      </w:r>
      <w:r>
        <w:br/>
      </w:r>
      <w:r>
        <w:tab/>
      </w:r>
      <w:r>
        <w:tab/>
      </w:r>
      <w:r>
        <w:rPr>
          <w:i/>
        </w:rPr>
        <w:t>N</w:t>
      </w:r>
      <w:r>
        <w:rPr>
          <w:i/>
          <w:position w:val="-4"/>
          <w:sz w:val="18"/>
        </w:rPr>
        <w:t>RX</w:t>
      </w:r>
      <w:r>
        <w:t xml:space="preserve"> – 10 dB, si cette dernière valeur est plus élevée</w:t>
      </w:r>
      <w:r>
        <w:tab/>
        <w:t>(3)</w:t>
      </w:r>
    </w:p>
    <w:p w:rsidR="00FF6FA4" w:rsidRDefault="00FF6FA4" w:rsidP="00FF6FA4">
      <w:r>
        <w:t>où:</w:t>
      </w:r>
    </w:p>
    <w:p w:rsidR="00FF6FA4" w:rsidRPr="00183EB4" w:rsidRDefault="00FF6FA4" w:rsidP="00183EB4">
      <w:pPr>
        <w:pStyle w:val="Equationlegend"/>
        <w:rPr>
          <w:lang w:val="fr-CH"/>
        </w:rPr>
      </w:pPr>
      <w:r w:rsidRPr="006767F0">
        <w:rPr>
          <w:lang w:val="fr-CH"/>
        </w:rPr>
        <w:tab/>
      </w:r>
      <w:r w:rsidRPr="00183EB4">
        <w:rPr>
          <w:i/>
          <w:lang w:val="fr-CH"/>
        </w:rPr>
        <w:t>N</w:t>
      </w:r>
      <w:r w:rsidRPr="00183EB4">
        <w:rPr>
          <w:i/>
          <w:position w:val="-4"/>
          <w:sz w:val="16"/>
          <w:lang w:val="fr-CH"/>
        </w:rPr>
        <w:t>RX</w:t>
      </w:r>
      <w:r w:rsidRPr="00183EB4">
        <w:rPr>
          <w:sz w:val="12"/>
          <w:lang w:val="fr-CH"/>
        </w:rPr>
        <w:t> </w:t>
      </w:r>
      <w:r w:rsidRPr="00183EB4">
        <w:rPr>
          <w:lang w:val="fr-CH"/>
        </w:rPr>
        <w:t>:</w:t>
      </w:r>
      <w:r w:rsidRPr="00183EB4">
        <w:rPr>
          <w:lang w:val="fr-CH"/>
        </w:rPr>
        <w:tab/>
        <w:t>densité spectrale de bruit du récepteur extraite du bilan de liaison (voir le Tableau 4)</w:t>
      </w:r>
    </w:p>
    <w:p w:rsidR="00FF6FA4" w:rsidRPr="00183EB4" w:rsidRDefault="00FF6FA4" w:rsidP="00183EB4">
      <w:pPr>
        <w:pStyle w:val="Equationlegend"/>
        <w:rPr>
          <w:lang w:val="fr-CH"/>
        </w:rPr>
      </w:pPr>
      <w:r w:rsidRPr="00183EB4">
        <w:rPr>
          <w:lang w:val="fr-CH"/>
        </w:rPr>
        <w:tab/>
      </w:r>
      <w:r w:rsidRPr="00183EB4">
        <w:rPr>
          <w:i/>
          <w:lang w:val="fr-CH"/>
        </w:rPr>
        <w:t>M</w:t>
      </w:r>
      <w:r w:rsidRPr="00183EB4">
        <w:rPr>
          <w:sz w:val="12"/>
          <w:lang w:val="fr-CH"/>
        </w:rPr>
        <w:t> </w:t>
      </w:r>
      <w:r w:rsidR="009C3E07">
        <w:rPr>
          <w:lang w:val="fr-CH"/>
        </w:rPr>
        <w:t>:</w:t>
      </w:r>
      <w:r w:rsidR="009C3E07">
        <w:rPr>
          <w:lang w:val="fr-CH"/>
        </w:rPr>
        <w:tab/>
      </w:r>
      <w:r w:rsidRPr="00183EB4">
        <w:rPr>
          <w:lang w:val="fr-CH"/>
        </w:rPr>
        <w:t>marge calculée pour la perte de données extraite du bilan de liaison (voir le Tableau 4).</w:t>
      </w:r>
    </w:p>
    <w:p w:rsidR="00FF6FA4" w:rsidRDefault="00FF6FA4" w:rsidP="00FF6FA4">
      <w:r>
        <w:t xml:space="preserve">Le niveau </w:t>
      </w:r>
      <w:r>
        <w:rPr>
          <w:i/>
        </w:rPr>
        <w:t>I</w:t>
      </w:r>
      <w:r>
        <w:rPr>
          <w:position w:val="-4"/>
          <w:sz w:val="16"/>
        </w:rPr>
        <w:t>20%</w:t>
      </w:r>
      <w:r>
        <w:t xml:space="preserve"> ne doit pas être dépassé pendant plus de 20% du temps.</w:t>
      </w:r>
    </w:p>
    <w:p w:rsidR="00FF6FA4" w:rsidRDefault="00FF6FA4" w:rsidP="001F6BEE">
      <w:pPr>
        <w:pStyle w:val="TableNo"/>
      </w:pPr>
      <w:r>
        <w:lastRenderedPageBreak/>
        <w:t>TABLEAU 3</w:t>
      </w:r>
    </w:p>
    <w:p w:rsidR="00FF6FA4" w:rsidRDefault="00FF6FA4" w:rsidP="00183EB4">
      <w:pPr>
        <w:pStyle w:val="Tabletitle"/>
      </w:pPr>
      <w:r w:rsidRPr="00D8612C">
        <w:t xml:space="preserve">Pourcentages de temps associés à des systèmes représentatifs </w:t>
      </w:r>
      <w:r>
        <w:br/>
      </w:r>
      <w:r w:rsidRPr="00D8612C">
        <w:t>du service des auxiliaires de la météorologie</w:t>
      </w:r>
      <w:r w:rsidRPr="00FF6FA4">
        <w:rPr>
          <w:highlight w:val="lightGray"/>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417"/>
        <w:gridCol w:w="1264"/>
        <w:gridCol w:w="1266"/>
        <w:gridCol w:w="1448"/>
        <w:gridCol w:w="1122"/>
        <w:gridCol w:w="1137"/>
      </w:tblGrid>
      <w:tr w:rsidR="00FF6FA4" w:rsidRPr="00940045" w:rsidTr="00104F0D">
        <w:trPr>
          <w:tblHeader/>
          <w:jc w:val="center"/>
        </w:trPr>
        <w:tc>
          <w:tcPr>
            <w:tcW w:w="1985" w:type="dxa"/>
            <w:vAlign w:val="center"/>
          </w:tcPr>
          <w:p w:rsidR="00FF6FA4" w:rsidRPr="00104F0D" w:rsidRDefault="00FF6FA4" w:rsidP="00183EB4">
            <w:pPr>
              <w:pStyle w:val="Tablehead"/>
              <w:rPr>
                <w:sz w:val="18"/>
                <w:szCs w:val="18"/>
              </w:rPr>
            </w:pPr>
            <w:r w:rsidRPr="00104F0D">
              <w:rPr>
                <w:sz w:val="18"/>
                <w:szCs w:val="18"/>
              </w:rPr>
              <w:t>Pourcentage</w:t>
            </w:r>
          </w:p>
        </w:tc>
        <w:tc>
          <w:tcPr>
            <w:tcW w:w="1417" w:type="dxa"/>
            <w:vAlign w:val="center"/>
          </w:tcPr>
          <w:p w:rsidR="00FF6FA4" w:rsidRPr="00104F0D" w:rsidRDefault="00FF6FA4" w:rsidP="00183EB4">
            <w:pPr>
              <w:pStyle w:val="Tablehead"/>
              <w:rPr>
                <w:sz w:val="18"/>
                <w:szCs w:val="18"/>
              </w:rPr>
            </w:pPr>
            <w:r w:rsidRPr="00104F0D">
              <w:rPr>
                <w:sz w:val="18"/>
                <w:szCs w:val="18"/>
              </w:rPr>
              <w:t>Système RDF</w:t>
            </w:r>
            <w:r w:rsidRPr="00104F0D">
              <w:rPr>
                <w:sz w:val="18"/>
                <w:szCs w:val="18"/>
              </w:rPr>
              <w:br/>
              <w:t>1 668,4-1 700 MHz</w:t>
            </w:r>
          </w:p>
        </w:tc>
        <w:tc>
          <w:tcPr>
            <w:tcW w:w="1264" w:type="dxa"/>
            <w:vAlign w:val="center"/>
          </w:tcPr>
          <w:p w:rsidR="00FF6FA4" w:rsidRPr="00104F0D" w:rsidRDefault="00FF6FA4" w:rsidP="00183EB4">
            <w:pPr>
              <w:pStyle w:val="Tablehead"/>
              <w:rPr>
                <w:sz w:val="18"/>
                <w:szCs w:val="18"/>
              </w:rPr>
            </w:pPr>
            <w:r w:rsidRPr="00104F0D">
              <w:rPr>
                <w:sz w:val="18"/>
                <w:szCs w:val="18"/>
              </w:rPr>
              <w:t>Système GPS</w:t>
            </w:r>
            <w:r w:rsidRPr="00104F0D">
              <w:rPr>
                <w:sz w:val="18"/>
                <w:szCs w:val="18"/>
              </w:rPr>
              <w:br/>
              <w:t>1 675-1 683 MHz</w:t>
            </w:r>
          </w:p>
        </w:tc>
        <w:tc>
          <w:tcPr>
            <w:tcW w:w="1266" w:type="dxa"/>
            <w:vAlign w:val="center"/>
          </w:tcPr>
          <w:p w:rsidR="00FF6FA4" w:rsidRPr="00104F0D" w:rsidRDefault="00FF6FA4" w:rsidP="00183EB4">
            <w:pPr>
              <w:pStyle w:val="Tablehead"/>
              <w:rPr>
                <w:sz w:val="18"/>
                <w:szCs w:val="18"/>
              </w:rPr>
            </w:pPr>
            <w:r w:rsidRPr="00104F0D">
              <w:rPr>
                <w:sz w:val="18"/>
                <w:szCs w:val="18"/>
              </w:rPr>
              <w:t>Système NAVAID avec antenne directive</w:t>
            </w:r>
          </w:p>
        </w:tc>
        <w:tc>
          <w:tcPr>
            <w:tcW w:w="1448" w:type="dxa"/>
            <w:vAlign w:val="center"/>
          </w:tcPr>
          <w:p w:rsidR="00FF6FA4" w:rsidRPr="00104F0D" w:rsidRDefault="00FF6FA4" w:rsidP="00183EB4">
            <w:pPr>
              <w:pStyle w:val="Tablehead"/>
              <w:rPr>
                <w:sz w:val="18"/>
                <w:szCs w:val="18"/>
              </w:rPr>
            </w:pPr>
            <w:r w:rsidRPr="00104F0D">
              <w:rPr>
                <w:sz w:val="18"/>
                <w:szCs w:val="18"/>
              </w:rPr>
              <w:t>Système NAVAID avec antenne équidirective</w:t>
            </w:r>
          </w:p>
        </w:tc>
        <w:tc>
          <w:tcPr>
            <w:tcW w:w="1122" w:type="dxa"/>
            <w:vAlign w:val="center"/>
          </w:tcPr>
          <w:p w:rsidR="00FF6FA4" w:rsidRPr="00104F0D" w:rsidRDefault="00FF6FA4" w:rsidP="00183EB4">
            <w:pPr>
              <w:pStyle w:val="Tablehead"/>
              <w:rPr>
                <w:sz w:val="18"/>
                <w:szCs w:val="18"/>
              </w:rPr>
            </w:pPr>
            <w:r w:rsidRPr="00104F0D">
              <w:rPr>
                <w:sz w:val="18"/>
                <w:szCs w:val="18"/>
              </w:rPr>
              <w:t>Système à catasondes</w:t>
            </w:r>
          </w:p>
        </w:tc>
        <w:tc>
          <w:tcPr>
            <w:tcW w:w="1137" w:type="dxa"/>
            <w:vAlign w:val="center"/>
          </w:tcPr>
          <w:p w:rsidR="00FF6FA4" w:rsidRPr="00104F0D" w:rsidRDefault="00FF6FA4" w:rsidP="00183EB4">
            <w:pPr>
              <w:pStyle w:val="Tablehead"/>
              <w:rPr>
                <w:sz w:val="18"/>
                <w:szCs w:val="18"/>
              </w:rPr>
            </w:pPr>
            <w:r w:rsidRPr="00104F0D">
              <w:rPr>
                <w:sz w:val="18"/>
                <w:szCs w:val="18"/>
              </w:rPr>
              <w:t>Système à fusées- sondes</w:t>
            </w:r>
          </w:p>
        </w:tc>
      </w:tr>
      <w:tr w:rsidR="00FF6FA4" w:rsidRPr="00940045" w:rsidTr="00104F0D">
        <w:trPr>
          <w:jc w:val="center"/>
        </w:trPr>
        <w:tc>
          <w:tcPr>
            <w:tcW w:w="1985" w:type="dxa"/>
          </w:tcPr>
          <w:p w:rsidR="00FF6FA4" w:rsidRPr="00104F0D" w:rsidRDefault="00FF6FA4" w:rsidP="006767F0">
            <w:pPr>
              <w:pStyle w:val="Tabletext"/>
              <w:jc w:val="left"/>
              <w:rPr>
                <w:sz w:val="18"/>
                <w:szCs w:val="18"/>
              </w:rPr>
            </w:pPr>
            <w:r w:rsidRPr="00104F0D">
              <w:rPr>
                <w:sz w:val="18"/>
                <w:szCs w:val="18"/>
              </w:rPr>
              <w:t>Pourcentage de temps de perte de poursuite (</w:t>
            </w:r>
            <w:r w:rsidRPr="00104F0D">
              <w:rPr>
                <w:i/>
                <w:sz w:val="18"/>
                <w:szCs w:val="18"/>
              </w:rPr>
              <w:t>P%</w:t>
            </w:r>
            <w:r w:rsidRPr="00104F0D">
              <w:rPr>
                <w:i/>
                <w:sz w:val="18"/>
                <w:szCs w:val="18"/>
                <w:vertAlign w:val="subscript"/>
              </w:rPr>
              <w:t>VERROUILLAGE-TOTAL</w:t>
            </w:r>
            <w:r w:rsidRPr="00104F0D">
              <w:rPr>
                <w:sz w:val="18"/>
                <w:szCs w:val="18"/>
              </w:rPr>
              <w:t>)</w:t>
            </w:r>
          </w:p>
        </w:tc>
        <w:tc>
          <w:tcPr>
            <w:tcW w:w="1417" w:type="dxa"/>
            <w:vAlign w:val="center"/>
          </w:tcPr>
          <w:p w:rsidR="00FF6FA4" w:rsidRPr="00104F0D" w:rsidRDefault="00FF6FA4" w:rsidP="00DB4B02">
            <w:pPr>
              <w:pStyle w:val="Tabletext"/>
              <w:jc w:val="center"/>
              <w:rPr>
                <w:sz w:val="18"/>
                <w:szCs w:val="18"/>
              </w:rPr>
            </w:pPr>
            <w:r w:rsidRPr="00104F0D">
              <w:rPr>
                <w:sz w:val="18"/>
                <w:szCs w:val="18"/>
              </w:rPr>
              <w:t>0,08%</w:t>
            </w:r>
          </w:p>
        </w:tc>
        <w:tc>
          <w:tcPr>
            <w:tcW w:w="1264" w:type="dxa"/>
            <w:vAlign w:val="center"/>
          </w:tcPr>
          <w:p w:rsidR="00FF6FA4" w:rsidRPr="00104F0D" w:rsidRDefault="00FF6FA4" w:rsidP="00DB4B02">
            <w:pPr>
              <w:pStyle w:val="Tabletext"/>
              <w:jc w:val="center"/>
              <w:rPr>
                <w:sz w:val="18"/>
                <w:szCs w:val="18"/>
              </w:rPr>
            </w:pPr>
            <w:r w:rsidRPr="00104F0D">
              <w:rPr>
                <w:sz w:val="18"/>
                <w:szCs w:val="18"/>
              </w:rPr>
              <w:t>0,1%</w:t>
            </w:r>
          </w:p>
        </w:tc>
        <w:tc>
          <w:tcPr>
            <w:tcW w:w="1266" w:type="dxa"/>
            <w:vAlign w:val="center"/>
          </w:tcPr>
          <w:p w:rsidR="00FF6FA4" w:rsidRPr="00104F0D" w:rsidRDefault="00FF6FA4" w:rsidP="00DB4B02">
            <w:pPr>
              <w:pStyle w:val="Tabletext"/>
              <w:jc w:val="center"/>
              <w:rPr>
                <w:sz w:val="18"/>
                <w:szCs w:val="18"/>
              </w:rPr>
            </w:pPr>
            <w:r w:rsidRPr="00104F0D">
              <w:rPr>
                <w:sz w:val="18"/>
                <w:szCs w:val="18"/>
              </w:rPr>
              <w:t>0,08%</w:t>
            </w:r>
          </w:p>
        </w:tc>
        <w:tc>
          <w:tcPr>
            <w:tcW w:w="1448" w:type="dxa"/>
            <w:vAlign w:val="center"/>
          </w:tcPr>
          <w:p w:rsidR="00FF6FA4" w:rsidRPr="00104F0D" w:rsidRDefault="00FF6FA4" w:rsidP="00DB4B02">
            <w:pPr>
              <w:pStyle w:val="Tabletext"/>
              <w:jc w:val="center"/>
              <w:rPr>
                <w:sz w:val="18"/>
                <w:szCs w:val="18"/>
              </w:rPr>
            </w:pPr>
            <w:r w:rsidRPr="00104F0D">
              <w:rPr>
                <w:sz w:val="18"/>
                <w:szCs w:val="18"/>
              </w:rPr>
              <w:t>s.o.</w:t>
            </w:r>
            <w:r w:rsidRPr="00104F0D">
              <w:rPr>
                <w:sz w:val="18"/>
                <w:szCs w:val="18"/>
                <w:vertAlign w:val="superscript"/>
              </w:rPr>
              <w:t>(1)</w:t>
            </w:r>
          </w:p>
        </w:tc>
        <w:tc>
          <w:tcPr>
            <w:tcW w:w="1122" w:type="dxa"/>
            <w:vAlign w:val="center"/>
          </w:tcPr>
          <w:p w:rsidR="00FF6FA4" w:rsidRPr="00104F0D" w:rsidRDefault="00FF6FA4" w:rsidP="00DB4B02">
            <w:pPr>
              <w:pStyle w:val="Tabletext"/>
              <w:jc w:val="center"/>
              <w:rPr>
                <w:sz w:val="18"/>
                <w:szCs w:val="18"/>
              </w:rPr>
            </w:pPr>
            <w:r w:rsidRPr="00104F0D">
              <w:rPr>
                <w:sz w:val="18"/>
                <w:szCs w:val="18"/>
              </w:rPr>
              <w:t>s.o.</w:t>
            </w:r>
            <w:r w:rsidRPr="00104F0D">
              <w:rPr>
                <w:sz w:val="18"/>
                <w:szCs w:val="18"/>
                <w:vertAlign w:val="superscript"/>
              </w:rPr>
              <w:t>(1)</w:t>
            </w:r>
          </w:p>
        </w:tc>
        <w:tc>
          <w:tcPr>
            <w:tcW w:w="1137" w:type="dxa"/>
            <w:vAlign w:val="center"/>
          </w:tcPr>
          <w:p w:rsidR="00FF6FA4" w:rsidRPr="00104F0D" w:rsidRDefault="00FF6FA4" w:rsidP="00DB4B02">
            <w:pPr>
              <w:pStyle w:val="Tabletext"/>
              <w:jc w:val="center"/>
              <w:rPr>
                <w:sz w:val="18"/>
                <w:szCs w:val="18"/>
              </w:rPr>
            </w:pPr>
            <w:r w:rsidRPr="00104F0D">
              <w:rPr>
                <w:sz w:val="18"/>
                <w:szCs w:val="18"/>
              </w:rPr>
              <w:t>0,08%</w:t>
            </w:r>
          </w:p>
        </w:tc>
      </w:tr>
      <w:tr w:rsidR="00FF6FA4" w:rsidRPr="00940045" w:rsidTr="00104F0D">
        <w:trPr>
          <w:jc w:val="center"/>
        </w:trPr>
        <w:tc>
          <w:tcPr>
            <w:tcW w:w="1985" w:type="dxa"/>
          </w:tcPr>
          <w:p w:rsidR="00FF6FA4" w:rsidRPr="00104F0D" w:rsidRDefault="00FF6FA4" w:rsidP="006767F0">
            <w:pPr>
              <w:pStyle w:val="Tabletext"/>
              <w:jc w:val="left"/>
              <w:rPr>
                <w:sz w:val="18"/>
                <w:szCs w:val="18"/>
              </w:rPr>
            </w:pPr>
            <w:r w:rsidRPr="00104F0D">
              <w:rPr>
                <w:sz w:val="18"/>
                <w:szCs w:val="18"/>
              </w:rPr>
              <w:t xml:space="preserve">Pourcentage de perte de poursuite attribuée au brouillage entre systèmes </w:t>
            </w:r>
            <w:r w:rsidR="001F032A">
              <w:rPr>
                <w:sz w:val="18"/>
                <w:szCs w:val="18"/>
              </w:rPr>
              <w:br/>
            </w:r>
            <w:r w:rsidRPr="00104F0D">
              <w:rPr>
                <w:sz w:val="18"/>
                <w:szCs w:val="18"/>
              </w:rPr>
              <w:t>(</w:t>
            </w:r>
            <w:r w:rsidRPr="00104F0D">
              <w:rPr>
                <w:i/>
                <w:sz w:val="18"/>
                <w:szCs w:val="18"/>
              </w:rPr>
              <w:t>P%</w:t>
            </w:r>
            <w:r w:rsidRPr="00104F0D">
              <w:rPr>
                <w:i/>
                <w:sz w:val="18"/>
                <w:szCs w:val="18"/>
                <w:vertAlign w:val="subscript"/>
              </w:rPr>
              <w:t>PP-INTERSYSTEMES</w:t>
            </w:r>
            <w:r w:rsidRPr="00104F0D">
              <w:rPr>
                <w:sz w:val="18"/>
                <w:szCs w:val="18"/>
              </w:rPr>
              <w:t>)</w:t>
            </w:r>
          </w:p>
        </w:tc>
        <w:tc>
          <w:tcPr>
            <w:tcW w:w="1417" w:type="dxa"/>
            <w:vAlign w:val="center"/>
          </w:tcPr>
          <w:p w:rsidR="00FF6FA4" w:rsidRPr="00104F0D" w:rsidRDefault="00FF6FA4" w:rsidP="00DB4B02">
            <w:pPr>
              <w:pStyle w:val="Tabletext"/>
              <w:jc w:val="center"/>
              <w:rPr>
                <w:sz w:val="18"/>
                <w:szCs w:val="18"/>
              </w:rPr>
            </w:pPr>
            <w:r w:rsidRPr="00104F0D">
              <w:rPr>
                <w:sz w:val="18"/>
                <w:szCs w:val="18"/>
              </w:rPr>
              <w:t>25%</w:t>
            </w:r>
          </w:p>
        </w:tc>
        <w:tc>
          <w:tcPr>
            <w:tcW w:w="1264" w:type="dxa"/>
            <w:vAlign w:val="center"/>
          </w:tcPr>
          <w:p w:rsidR="00FF6FA4" w:rsidRPr="00104F0D" w:rsidRDefault="00FF6FA4" w:rsidP="00DB4B02">
            <w:pPr>
              <w:pStyle w:val="Tabletext"/>
              <w:jc w:val="center"/>
              <w:rPr>
                <w:sz w:val="18"/>
                <w:szCs w:val="18"/>
              </w:rPr>
            </w:pPr>
            <w:r w:rsidRPr="00104F0D">
              <w:rPr>
                <w:sz w:val="18"/>
                <w:szCs w:val="18"/>
              </w:rPr>
              <w:t>25%</w:t>
            </w:r>
          </w:p>
        </w:tc>
        <w:tc>
          <w:tcPr>
            <w:tcW w:w="1266" w:type="dxa"/>
            <w:vAlign w:val="center"/>
          </w:tcPr>
          <w:p w:rsidR="00FF6FA4" w:rsidRPr="00104F0D" w:rsidRDefault="00FF6FA4" w:rsidP="00DB4B02">
            <w:pPr>
              <w:pStyle w:val="Tabletext"/>
              <w:jc w:val="center"/>
              <w:rPr>
                <w:sz w:val="18"/>
                <w:szCs w:val="18"/>
              </w:rPr>
            </w:pPr>
            <w:r w:rsidRPr="00104F0D">
              <w:rPr>
                <w:sz w:val="18"/>
                <w:szCs w:val="18"/>
              </w:rPr>
              <w:t>25%</w:t>
            </w:r>
          </w:p>
        </w:tc>
        <w:tc>
          <w:tcPr>
            <w:tcW w:w="1448" w:type="dxa"/>
            <w:vAlign w:val="center"/>
          </w:tcPr>
          <w:p w:rsidR="00FF6FA4" w:rsidRPr="00104F0D" w:rsidRDefault="00FF6FA4" w:rsidP="00DB4B02">
            <w:pPr>
              <w:pStyle w:val="Tabletext"/>
              <w:jc w:val="center"/>
              <w:rPr>
                <w:sz w:val="18"/>
                <w:szCs w:val="18"/>
              </w:rPr>
            </w:pPr>
            <w:r w:rsidRPr="00104F0D">
              <w:rPr>
                <w:sz w:val="18"/>
                <w:szCs w:val="18"/>
              </w:rPr>
              <w:t>s.o.</w:t>
            </w:r>
            <w:r w:rsidRPr="00104F0D">
              <w:rPr>
                <w:sz w:val="18"/>
                <w:szCs w:val="18"/>
                <w:vertAlign w:val="superscript"/>
              </w:rPr>
              <w:t>(1)</w:t>
            </w:r>
          </w:p>
        </w:tc>
        <w:tc>
          <w:tcPr>
            <w:tcW w:w="1122" w:type="dxa"/>
            <w:vAlign w:val="center"/>
          </w:tcPr>
          <w:p w:rsidR="00FF6FA4" w:rsidRPr="00104F0D" w:rsidRDefault="00FF6FA4" w:rsidP="00DB4B02">
            <w:pPr>
              <w:pStyle w:val="Tabletext"/>
              <w:jc w:val="center"/>
              <w:rPr>
                <w:sz w:val="18"/>
                <w:szCs w:val="18"/>
              </w:rPr>
            </w:pPr>
            <w:r w:rsidRPr="00104F0D">
              <w:rPr>
                <w:sz w:val="18"/>
                <w:szCs w:val="18"/>
              </w:rPr>
              <w:t>s.o.</w:t>
            </w:r>
            <w:r w:rsidRPr="00104F0D">
              <w:rPr>
                <w:sz w:val="18"/>
                <w:szCs w:val="18"/>
                <w:vertAlign w:val="superscript"/>
              </w:rPr>
              <w:t>(1)</w:t>
            </w:r>
          </w:p>
        </w:tc>
        <w:tc>
          <w:tcPr>
            <w:tcW w:w="1137" w:type="dxa"/>
            <w:vAlign w:val="center"/>
          </w:tcPr>
          <w:p w:rsidR="00FF6FA4" w:rsidRPr="00104F0D" w:rsidRDefault="00FF6FA4" w:rsidP="00DB4B02">
            <w:pPr>
              <w:pStyle w:val="Tabletext"/>
              <w:jc w:val="center"/>
              <w:rPr>
                <w:sz w:val="18"/>
                <w:szCs w:val="18"/>
              </w:rPr>
            </w:pPr>
            <w:r w:rsidRPr="00104F0D">
              <w:rPr>
                <w:sz w:val="18"/>
                <w:szCs w:val="18"/>
              </w:rPr>
              <w:t>25%</w:t>
            </w:r>
          </w:p>
        </w:tc>
      </w:tr>
      <w:tr w:rsidR="00FF6FA4" w:rsidRPr="00940045" w:rsidTr="00104F0D">
        <w:trPr>
          <w:jc w:val="center"/>
        </w:trPr>
        <w:tc>
          <w:tcPr>
            <w:tcW w:w="1985" w:type="dxa"/>
          </w:tcPr>
          <w:p w:rsidR="00FF6FA4" w:rsidRPr="00104F0D" w:rsidRDefault="00FF6FA4" w:rsidP="006767F0">
            <w:pPr>
              <w:pStyle w:val="Tabletext"/>
              <w:jc w:val="left"/>
              <w:rPr>
                <w:sz w:val="18"/>
                <w:szCs w:val="18"/>
              </w:rPr>
            </w:pPr>
            <w:r w:rsidRPr="00104F0D">
              <w:rPr>
                <w:sz w:val="18"/>
                <w:szCs w:val="18"/>
              </w:rPr>
              <w:t>Pourcentage de temps d'indisponibilité maximale de la liaison (</w:t>
            </w:r>
            <w:r w:rsidRPr="00104F0D">
              <w:rPr>
                <w:i/>
                <w:sz w:val="18"/>
                <w:szCs w:val="18"/>
              </w:rPr>
              <w:t>P%</w:t>
            </w:r>
            <w:r w:rsidRPr="00104F0D">
              <w:rPr>
                <w:i/>
                <w:sz w:val="18"/>
                <w:szCs w:val="18"/>
                <w:vertAlign w:val="subscript"/>
              </w:rPr>
              <w:t>TOTAL</w:t>
            </w:r>
            <w:r w:rsidRPr="00104F0D">
              <w:rPr>
                <w:sz w:val="18"/>
                <w:szCs w:val="18"/>
              </w:rPr>
              <w:t>)</w:t>
            </w:r>
            <w:r w:rsidRPr="00104F0D">
              <w:rPr>
                <w:sz w:val="18"/>
                <w:szCs w:val="18"/>
                <w:vertAlign w:val="superscript"/>
              </w:rPr>
              <w:t>(2)</w:t>
            </w:r>
          </w:p>
        </w:tc>
        <w:tc>
          <w:tcPr>
            <w:tcW w:w="1417" w:type="dxa"/>
            <w:vAlign w:val="center"/>
          </w:tcPr>
          <w:p w:rsidR="00FF6FA4" w:rsidRPr="00104F0D" w:rsidRDefault="00FF6FA4" w:rsidP="00DB4B02">
            <w:pPr>
              <w:pStyle w:val="Tabletext"/>
              <w:jc w:val="center"/>
              <w:rPr>
                <w:sz w:val="18"/>
                <w:szCs w:val="18"/>
              </w:rPr>
            </w:pPr>
            <w:r w:rsidRPr="00104F0D">
              <w:rPr>
                <w:sz w:val="18"/>
                <w:szCs w:val="18"/>
              </w:rPr>
              <w:t>13,5%</w:t>
            </w:r>
          </w:p>
        </w:tc>
        <w:tc>
          <w:tcPr>
            <w:tcW w:w="1264" w:type="dxa"/>
            <w:vAlign w:val="center"/>
          </w:tcPr>
          <w:p w:rsidR="00FF6FA4" w:rsidRPr="00104F0D" w:rsidRDefault="00FF6FA4" w:rsidP="00DB4B02">
            <w:pPr>
              <w:pStyle w:val="Tabletext"/>
              <w:jc w:val="center"/>
              <w:rPr>
                <w:sz w:val="18"/>
                <w:szCs w:val="18"/>
              </w:rPr>
            </w:pPr>
            <w:r w:rsidRPr="00104F0D">
              <w:rPr>
                <w:sz w:val="18"/>
                <w:szCs w:val="18"/>
              </w:rPr>
              <w:t>2,0%</w:t>
            </w:r>
          </w:p>
        </w:tc>
        <w:tc>
          <w:tcPr>
            <w:tcW w:w="1266" w:type="dxa"/>
            <w:vAlign w:val="center"/>
          </w:tcPr>
          <w:p w:rsidR="00FF6FA4" w:rsidRPr="00104F0D" w:rsidRDefault="00FF6FA4" w:rsidP="00DB4B02">
            <w:pPr>
              <w:pStyle w:val="Tabletext"/>
              <w:jc w:val="center"/>
              <w:rPr>
                <w:sz w:val="18"/>
                <w:szCs w:val="18"/>
              </w:rPr>
            </w:pPr>
            <w:r w:rsidRPr="00104F0D">
              <w:rPr>
                <w:sz w:val="18"/>
                <w:szCs w:val="18"/>
              </w:rPr>
              <w:t>1%</w:t>
            </w:r>
          </w:p>
        </w:tc>
        <w:tc>
          <w:tcPr>
            <w:tcW w:w="1448" w:type="dxa"/>
            <w:vAlign w:val="center"/>
          </w:tcPr>
          <w:p w:rsidR="00FF6FA4" w:rsidRPr="00104F0D" w:rsidRDefault="00FF6FA4" w:rsidP="00DB4B02">
            <w:pPr>
              <w:pStyle w:val="Tabletext"/>
              <w:jc w:val="center"/>
              <w:rPr>
                <w:sz w:val="18"/>
                <w:szCs w:val="18"/>
              </w:rPr>
            </w:pPr>
            <w:r w:rsidRPr="00104F0D">
              <w:rPr>
                <w:sz w:val="18"/>
                <w:szCs w:val="18"/>
              </w:rPr>
              <w:t>1%</w:t>
            </w:r>
          </w:p>
        </w:tc>
        <w:tc>
          <w:tcPr>
            <w:tcW w:w="1122" w:type="dxa"/>
            <w:vAlign w:val="center"/>
          </w:tcPr>
          <w:p w:rsidR="00FF6FA4" w:rsidRPr="00104F0D" w:rsidRDefault="00FF6FA4" w:rsidP="00DB4B02">
            <w:pPr>
              <w:pStyle w:val="Tabletext"/>
              <w:jc w:val="center"/>
              <w:rPr>
                <w:sz w:val="18"/>
                <w:szCs w:val="18"/>
              </w:rPr>
            </w:pPr>
            <w:r w:rsidRPr="00104F0D">
              <w:rPr>
                <w:sz w:val="18"/>
                <w:szCs w:val="18"/>
              </w:rPr>
              <w:t>1,0%</w:t>
            </w:r>
          </w:p>
        </w:tc>
        <w:tc>
          <w:tcPr>
            <w:tcW w:w="1137" w:type="dxa"/>
            <w:vAlign w:val="center"/>
          </w:tcPr>
          <w:p w:rsidR="00FF6FA4" w:rsidRPr="00104F0D" w:rsidRDefault="00FF6FA4" w:rsidP="00DB4B02">
            <w:pPr>
              <w:pStyle w:val="Tabletext"/>
              <w:jc w:val="center"/>
              <w:rPr>
                <w:sz w:val="18"/>
                <w:szCs w:val="18"/>
              </w:rPr>
            </w:pPr>
            <w:r w:rsidRPr="00104F0D">
              <w:rPr>
                <w:sz w:val="18"/>
                <w:szCs w:val="18"/>
              </w:rPr>
              <w:t>1,0%</w:t>
            </w:r>
          </w:p>
        </w:tc>
      </w:tr>
      <w:tr w:rsidR="00FF6FA4" w:rsidRPr="00940045" w:rsidTr="00104F0D">
        <w:trPr>
          <w:jc w:val="center"/>
        </w:trPr>
        <w:tc>
          <w:tcPr>
            <w:tcW w:w="1985" w:type="dxa"/>
          </w:tcPr>
          <w:p w:rsidR="00FF6FA4" w:rsidRPr="00104F0D" w:rsidRDefault="00FF6FA4" w:rsidP="006767F0">
            <w:pPr>
              <w:pStyle w:val="Tabletext"/>
              <w:jc w:val="left"/>
              <w:rPr>
                <w:sz w:val="18"/>
                <w:szCs w:val="18"/>
              </w:rPr>
            </w:pPr>
            <w:r w:rsidRPr="00104F0D">
              <w:rPr>
                <w:sz w:val="18"/>
                <w:szCs w:val="18"/>
              </w:rPr>
              <w:t>Pourcentage de perte de données attribuée au brouillage</w:t>
            </w:r>
            <w:r w:rsidRPr="00104F0D">
              <w:rPr>
                <w:sz w:val="18"/>
                <w:szCs w:val="18"/>
              </w:rPr>
              <w:br/>
              <w:t>(</w:t>
            </w:r>
            <w:r w:rsidRPr="00104F0D">
              <w:rPr>
                <w:i/>
                <w:sz w:val="18"/>
                <w:szCs w:val="18"/>
              </w:rPr>
              <w:t>P%</w:t>
            </w:r>
            <w:r w:rsidRPr="00104F0D">
              <w:rPr>
                <w:i/>
                <w:sz w:val="18"/>
                <w:szCs w:val="18"/>
                <w:vertAlign w:val="subscript"/>
              </w:rPr>
              <w:t>PD-BROUILLAGE</w:t>
            </w:r>
            <w:r w:rsidRPr="00104F0D">
              <w:rPr>
                <w:sz w:val="18"/>
                <w:szCs w:val="18"/>
              </w:rPr>
              <w:t>)</w:t>
            </w:r>
          </w:p>
        </w:tc>
        <w:tc>
          <w:tcPr>
            <w:tcW w:w="1417" w:type="dxa"/>
            <w:vAlign w:val="center"/>
          </w:tcPr>
          <w:p w:rsidR="00FF6FA4" w:rsidRPr="00104F0D" w:rsidRDefault="00FF6FA4" w:rsidP="00DB4B02">
            <w:pPr>
              <w:pStyle w:val="Tabletext"/>
              <w:jc w:val="center"/>
              <w:rPr>
                <w:sz w:val="18"/>
                <w:szCs w:val="18"/>
              </w:rPr>
            </w:pPr>
            <w:r w:rsidRPr="00104F0D">
              <w:rPr>
                <w:sz w:val="18"/>
                <w:szCs w:val="18"/>
              </w:rPr>
              <w:t>25%</w:t>
            </w:r>
          </w:p>
        </w:tc>
        <w:tc>
          <w:tcPr>
            <w:tcW w:w="1264" w:type="dxa"/>
            <w:vAlign w:val="center"/>
          </w:tcPr>
          <w:p w:rsidR="00FF6FA4" w:rsidRPr="00104F0D" w:rsidRDefault="00FF6FA4" w:rsidP="00DB4B02">
            <w:pPr>
              <w:pStyle w:val="Tabletext"/>
              <w:jc w:val="center"/>
              <w:rPr>
                <w:sz w:val="18"/>
                <w:szCs w:val="18"/>
              </w:rPr>
            </w:pPr>
            <w:r w:rsidRPr="00104F0D">
              <w:rPr>
                <w:sz w:val="18"/>
                <w:szCs w:val="18"/>
              </w:rPr>
              <w:t>25%</w:t>
            </w:r>
          </w:p>
        </w:tc>
        <w:tc>
          <w:tcPr>
            <w:tcW w:w="1266" w:type="dxa"/>
            <w:vAlign w:val="center"/>
          </w:tcPr>
          <w:p w:rsidR="00FF6FA4" w:rsidRPr="00104F0D" w:rsidRDefault="00FF6FA4" w:rsidP="00DB4B02">
            <w:pPr>
              <w:pStyle w:val="Tabletext"/>
              <w:jc w:val="center"/>
              <w:rPr>
                <w:sz w:val="18"/>
                <w:szCs w:val="18"/>
              </w:rPr>
            </w:pPr>
            <w:r w:rsidRPr="00104F0D">
              <w:rPr>
                <w:sz w:val="18"/>
                <w:szCs w:val="18"/>
              </w:rPr>
              <w:t>25%</w:t>
            </w:r>
          </w:p>
        </w:tc>
        <w:tc>
          <w:tcPr>
            <w:tcW w:w="1448" w:type="dxa"/>
            <w:vAlign w:val="center"/>
          </w:tcPr>
          <w:p w:rsidR="00FF6FA4" w:rsidRPr="00104F0D" w:rsidRDefault="00FF6FA4" w:rsidP="00DB4B02">
            <w:pPr>
              <w:pStyle w:val="Tabletext"/>
              <w:jc w:val="center"/>
              <w:rPr>
                <w:sz w:val="18"/>
                <w:szCs w:val="18"/>
              </w:rPr>
            </w:pPr>
            <w:r w:rsidRPr="00104F0D">
              <w:rPr>
                <w:sz w:val="18"/>
                <w:szCs w:val="18"/>
              </w:rPr>
              <w:t>25%</w:t>
            </w:r>
          </w:p>
        </w:tc>
        <w:tc>
          <w:tcPr>
            <w:tcW w:w="1122" w:type="dxa"/>
            <w:vAlign w:val="center"/>
          </w:tcPr>
          <w:p w:rsidR="00FF6FA4" w:rsidRPr="00104F0D" w:rsidRDefault="00FF6FA4" w:rsidP="00DB4B02">
            <w:pPr>
              <w:pStyle w:val="Tabletext"/>
              <w:jc w:val="center"/>
              <w:rPr>
                <w:sz w:val="18"/>
                <w:szCs w:val="18"/>
              </w:rPr>
            </w:pPr>
            <w:r w:rsidRPr="00104F0D">
              <w:rPr>
                <w:sz w:val="18"/>
                <w:szCs w:val="18"/>
              </w:rPr>
              <w:t>25%</w:t>
            </w:r>
          </w:p>
        </w:tc>
        <w:tc>
          <w:tcPr>
            <w:tcW w:w="1137" w:type="dxa"/>
            <w:vAlign w:val="center"/>
          </w:tcPr>
          <w:p w:rsidR="00FF6FA4" w:rsidRPr="00104F0D" w:rsidRDefault="00FF6FA4" w:rsidP="00DB4B02">
            <w:pPr>
              <w:pStyle w:val="Tabletext"/>
              <w:jc w:val="center"/>
              <w:rPr>
                <w:sz w:val="18"/>
                <w:szCs w:val="18"/>
              </w:rPr>
            </w:pPr>
            <w:r w:rsidRPr="00104F0D">
              <w:rPr>
                <w:sz w:val="18"/>
                <w:szCs w:val="18"/>
              </w:rPr>
              <w:t>25%</w:t>
            </w:r>
          </w:p>
        </w:tc>
      </w:tr>
      <w:tr w:rsidR="00FF6FA4" w:rsidRPr="00940045" w:rsidTr="00104F0D">
        <w:trPr>
          <w:jc w:val="center"/>
        </w:trPr>
        <w:tc>
          <w:tcPr>
            <w:tcW w:w="1985" w:type="dxa"/>
          </w:tcPr>
          <w:p w:rsidR="00FF6FA4" w:rsidRPr="00104F0D" w:rsidRDefault="00FF6FA4" w:rsidP="006767F0">
            <w:pPr>
              <w:pStyle w:val="Tabletext"/>
              <w:jc w:val="left"/>
              <w:rPr>
                <w:sz w:val="18"/>
                <w:szCs w:val="18"/>
              </w:rPr>
            </w:pPr>
            <w:r w:rsidRPr="00104F0D">
              <w:rPr>
                <w:sz w:val="18"/>
                <w:szCs w:val="18"/>
              </w:rPr>
              <w:t>Pourcentage de perte de données attribuée au brouillage entre systèmes (</w:t>
            </w:r>
            <w:r w:rsidRPr="00104F0D">
              <w:rPr>
                <w:i/>
                <w:sz w:val="18"/>
                <w:szCs w:val="18"/>
              </w:rPr>
              <w:t>P%</w:t>
            </w:r>
            <w:r w:rsidRPr="00104F0D">
              <w:rPr>
                <w:i/>
                <w:sz w:val="18"/>
                <w:szCs w:val="18"/>
                <w:vertAlign w:val="subscript"/>
              </w:rPr>
              <w:t>PD</w:t>
            </w:r>
            <w:r w:rsidR="00183EB4" w:rsidRPr="00104F0D">
              <w:rPr>
                <w:i/>
                <w:sz w:val="18"/>
                <w:szCs w:val="18"/>
                <w:vertAlign w:val="subscript"/>
              </w:rPr>
              <w:noBreakHyphen/>
            </w:r>
            <w:r w:rsidRPr="00104F0D">
              <w:rPr>
                <w:i/>
                <w:sz w:val="18"/>
                <w:szCs w:val="18"/>
                <w:vertAlign w:val="subscript"/>
              </w:rPr>
              <w:t>INTERSYSTEMES</w:t>
            </w:r>
            <w:r w:rsidRPr="00104F0D">
              <w:rPr>
                <w:sz w:val="18"/>
                <w:szCs w:val="18"/>
              </w:rPr>
              <w:t>)</w:t>
            </w:r>
          </w:p>
        </w:tc>
        <w:tc>
          <w:tcPr>
            <w:tcW w:w="1417" w:type="dxa"/>
            <w:vAlign w:val="center"/>
          </w:tcPr>
          <w:p w:rsidR="00FF6FA4" w:rsidRPr="00104F0D" w:rsidRDefault="00FF6FA4" w:rsidP="00DB4B02">
            <w:pPr>
              <w:pStyle w:val="Tabletext"/>
              <w:jc w:val="center"/>
              <w:rPr>
                <w:sz w:val="18"/>
                <w:szCs w:val="18"/>
              </w:rPr>
            </w:pPr>
            <w:r w:rsidRPr="00104F0D">
              <w:rPr>
                <w:sz w:val="18"/>
                <w:szCs w:val="18"/>
              </w:rPr>
              <w:t>25%</w:t>
            </w:r>
          </w:p>
        </w:tc>
        <w:tc>
          <w:tcPr>
            <w:tcW w:w="1264" w:type="dxa"/>
            <w:vAlign w:val="center"/>
          </w:tcPr>
          <w:p w:rsidR="00FF6FA4" w:rsidRPr="00104F0D" w:rsidRDefault="00FF6FA4" w:rsidP="00DB4B02">
            <w:pPr>
              <w:pStyle w:val="Tabletext"/>
              <w:jc w:val="center"/>
              <w:rPr>
                <w:sz w:val="18"/>
                <w:szCs w:val="18"/>
              </w:rPr>
            </w:pPr>
            <w:r w:rsidRPr="00104F0D">
              <w:rPr>
                <w:sz w:val="18"/>
                <w:szCs w:val="18"/>
              </w:rPr>
              <w:t>25%</w:t>
            </w:r>
          </w:p>
        </w:tc>
        <w:tc>
          <w:tcPr>
            <w:tcW w:w="1266" w:type="dxa"/>
            <w:vAlign w:val="center"/>
          </w:tcPr>
          <w:p w:rsidR="00FF6FA4" w:rsidRPr="00104F0D" w:rsidRDefault="00FF6FA4" w:rsidP="00DB4B02">
            <w:pPr>
              <w:pStyle w:val="Tabletext"/>
              <w:jc w:val="center"/>
              <w:rPr>
                <w:sz w:val="18"/>
                <w:szCs w:val="18"/>
              </w:rPr>
            </w:pPr>
            <w:r w:rsidRPr="00104F0D">
              <w:rPr>
                <w:sz w:val="18"/>
                <w:szCs w:val="18"/>
              </w:rPr>
              <w:t>25%</w:t>
            </w:r>
          </w:p>
        </w:tc>
        <w:tc>
          <w:tcPr>
            <w:tcW w:w="1448" w:type="dxa"/>
            <w:vAlign w:val="center"/>
          </w:tcPr>
          <w:p w:rsidR="00FF6FA4" w:rsidRPr="00104F0D" w:rsidRDefault="00FF6FA4" w:rsidP="00DB4B02">
            <w:pPr>
              <w:pStyle w:val="Tabletext"/>
              <w:jc w:val="center"/>
              <w:rPr>
                <w:sz w:val="18"/>
                <w:szCs w:val="18"/>
              </w:rPr>
            </w:pPr>
            <w:r w:rsidRPr="00104F0D">
              <w:rPr>
                <w:sz w:val="18"/>
                <w:szCs w:val="18"/>
              </w:rPr>
              <w:t>25%</w:t>
            </w:r>
          </w:p>
        </w:tc>
        <w:tc>
          <w:tcPr>
            <w:tcW w:w="1122" w:type="dxa"/>
            <w:vAlign w:val="center"/>
          </w:tcPr>
          <w:p w:rsidR="00FF6FA4" w:rsidRPr="00104F0D" w:rsidRDefault="00FF6FA4" w:rsidP="00DB4B02">
            <w:pPr>
              <w:pStyle w:val="Tabletext"/>
              <w:jc w:val="center"/>
              <w:rPr>
                <w:sz w:val="18"/>
                <w:szCs w:val="18"/>
              </w:rPr>
            </w:pPr>
            <w:r w:rsidRPr="00104F0D">
              <w:rPr>
                <w:sz w:val="18"/>
                <w:szCs w:val="18"/>
              </w:rPr>
              <w:t>25%</w:t>
            </w:r>
          </w:p>
        </w:tc>
        <w:tc>
          <w:tcPr>
            <w:tcW w:w="1137" w:type="dxa"/>
            <w:vAlign w:val="center"/>
          </w:tcPr>
          <w:p w:rsidR="00FF6FA4" w:rsidRPr="00104F0D" w:rsidRDefault="00FF6FA4" w:rsidP="00DB4B02">
            <w:pPr>
              <w:pStyle w:val="Tabletext"/>
              <w:jc w:val="center"/>
              <w:rPr>
                <w:sz w:val="18"/>
                <w:szCs w:val="18"/>
              </w:rPr>
            </w:pPr>
            <w:r w:rsidRPr="00104F0D">
              <w:rPr>
                <w:sz w:val="18"/>
                <w:szCs w:val="18"/>
              </w:rPr>
              <w:t>25%</w:t>
            </w:r>
          </w:p>
        </w:tc>
      </w:tr>
      <w:tr w:rsidR="00FF6FA4" w:rsidRPr="00940045" w:rsidTr="00104F0D">
        <w:trPr>
          <w:jc w:val="center"/>
        </w:trPr>
        <w:tc>
          <w:tcPr>
            <w:tcW w:w="1985" w:type="dxa"/>
          </w:tcPr>
          <w:p w:rsidR="00FF6FA4" w:rsidRPr="00104F0D" w:rsidRDefault="00FF6FA4" w:rsidP="006767F0">
            <w:pPr>
              <w:pStyle w:val="Tabletext"/>
              <w:jc w:val="left"/>
              <w:rPr>
                <w:sz w:val="18"/>
                <w:szCs w:val="18"/>
              </w:rPr>
            </w:pPr>
            <w:r w:rsidRPr="00104F0D">
              <w:rPr>
                <w:sz w:val="18"/>
                <w:szCs w:val="18"/>
              </w:rPr>
              <w:t>Pourcentage de temps obtenu pour les critères de brouillage applicables à la perte de verrouillage de phase (</w:t>
            </w:r>
            <w:r w:rsidRPr="00104F0D">
              <w:rPr>
                <w:i/>
                <w:iCs/>
                <w:sz w:val="18"/>
                <w:szCs w:val="18"/>
              </w:rPr>
              <w:t>P%</w:t>
            </w:r>
            <w:r w:rsidRPr="00104F0D">
              <w:rPr>
                <w:i/>
                <w:iCs/>
                <w:sz w:val="18"/>
                <w:szCs w:val="18"/>
                <w:vertAlign w:val="subscript"/>
              </w:rPr>
              <w:t>PERTE-VERROUILLAGE</w:t>
            </w:r>
            <w:r w:rsidRPr="00104F0D">
              <w:rPr>
                <w:sz w:val="18"/>
                <w:szCs w:val="18"/>
              </w:rPr>
              <w:t xml:space="preserve">) </w:t>
            </w:r>
          </w:p>
        </w:tc>
        <w:tc>
          <w:tcPr>
            <w:tcW w:w="1417" w:type="dxa"/>
            <w:vAlign w:val="center"/>
          </w:tcPr>
          <w:p w:rsidR="00FF6FA4" w:rsidRPr="00104F0D" w:rsidRDefault="00FF6FA4" w:rsidP="00DB4B02">
            <w:pPr>
              <w:pStyle w:val="Tabletext"/>
              <w:jc w:val="center"/>
              <w:rPr>
                <w:sz w:val="18"/>
                <w:szCs w:val="18"/>
              </w:rPr>
            </w:pPr>
            <w:r w:rsidRPr="00104F0D">
              <w:rPr>
                <w:sz w:val="18"/>
                <w:szCs w:val="18"/>
              </w:rPr>
              <w:t>0,02%</w:t>
            </w:r>
          </w:p>
        </w:tc>
        <w:tc>
          <w:tcPr>
            <w:tcW w:w="1264" w:type="dxa"/>
            <w:vAlign w:val="center"/>
          </w:tcPr>
          <w:p w:rsidR="00FF6FA4" w:rsidRPr="00104F0D" w:rsidRDefault="00FF6FA4" w:rsidP="00DB4B02">
            <w:pPr>
              <w:pStyle w:val="Tabletext"/>
              <w:jc w:val="center"/>
              <w:rPr>
                <w:sz w:val="18"/>
                <w:szCs w:val="18"/>
              </w:rPr>
            </w:pPr>
            <w:r w:rsidRPr="00104F0D">
              <w:rPr>
                <w:sz w:val="18"/>
                <w:szCs w:val="18"/>
              </w:rPr>
              <w:t>0,025%</w:t>
            </w:r>
          </w:p>
        </w:tc>
        <w:tc>
          <w:tcPr>
            <w:tcW w:w="1266" w:type="dxa"/>
            <w:vAlign w:val="center"/>
          </w:tcPr>
          <w:p w:rsidR="00FF6FA4" w:rsidRPr="00104F0D" w:rsidRDefault="00FF6FA4" w:rsidP="00DB4B02">
            <w:pPr>
              <w:pStyle w:val="Tabletext"/>
              <w:jc w:val="center"/>
              <w:rPr>
                <w:sz w:val="18"/>
                <w:szCs w:val="18"/>
              </w:rPr>
            </w:pPr>
            <w:r w:rsidRPr="00104F0D">
              <w:rPr>
                <w:sz w:val="18"/>
                <w:szCs w:val="18"/>
              </w:rPr>
              <w:t>0,02%</w:t>
            </w:r>
          </w:p>
        </w:tc>
        <w:tc>
          <w:tcPr>
            <w:tcW w:w="1448" w:type="dxa"/>
            <w:vAlign w:val="center"/>
          </w:tcPr>
          <w:p w:rsidR="00FF6FA4" w:rsidRPr="00104F0D" w:rsidRDefault="00FF6FA4" w:rsidP="00DB4B02">
            <w:pPr>
              <w:pStyle w:val="Tabletext"/>
              <w:jc w:val="center"/>
              <w:rPr>
                <w:sz w:val="18"/>
                <w:szCs w:val="18"/>
              </w:rPr>
            </w:pPr>
            <w:r w:rsidRPr="00104F0D">
              <w:rPr>
                <w:sz w:val="18"/>
                <w:szCs w:val="18"/>
              </w:rPr>
              <w:t>s.o.</w:t>
            </w:r>
            <w:r w:rsidRPr="00104F0D">
              <w:rPr>
                <w:sz w:val="18"/>
                <w:szCs w:val="18"/>
                <w:vertAlign w:val="superscript"/>
              </w:rPr>
              <w:t>(1)</w:t>
            </w:r>
          </w:p>
        </w:tc>
        <w:tc>
          <w:tcPr>
            <w:tcW w:w="1122" w:type="dxa"/>
            <w:vAlign w:val="center"/>
          </w:tcPr>
          <w:p w:rsidR="00FF6FA4" w:rsidRPr="00104F0D" w:rsidRDefault="00FF6FA4" w:rsidP="00DB4B02">
            <w:pPr>
              <w:pStyle w:val="Tabletext"/>
              <w:jc w:val="center"/>
              <w:rPr>
                <w:sz w:val="18"/>
                <w:szCs w:val="18"/>
              </w:rPr>
            </w:pPr>
            <w:r w:rsidRPr="00104F0D">
              <w:rPr>
                <w:sz w:val="18"/>
                <w:szCs w:val="18"/>
              </w:rPr>
              <w:t>s.o.</w:t>
            </w:r>
            <w:r w:rsidRPr="00104F0D">
              <w:rPr>
                <w:sz w:val="18"/>
                <w:szCs w:val="18"/>
                <w:vertAlign w:val="superscript"/>
              </w:rPr>
              <w:t>(1)</w:t>
            </w:r>
          </w:p>
        </w:tc>
        <w:tc>
          <w:tcPr>
            <w:tcW w:w="1137" w:type="dxa"/>
            <w:vAlign w:val="center"/>
          </w:tcPr>
          <w:p w:rsidR="00FF6FA4" w:rsidRPr="00104F0D" w:rsidRDefault="00FF6FA4" w:rsidP="00DB4B02">
            <w:pPr>
              <w:pStyle w:val="Tabletext"/>
              <w:jc w:val="center"/>
              <w:rPr>
                <w:sz w:val="18"/>
                <w:szCs w:val="18"/>
              </w:rPr>
            </w:pPr>
            <w:r w:rsidRPr="00104F0D">
              <w:rPr>
                <w:sz w:val="18"/>
                <w:szCs w:val="18"/>
              </w:rPr>
              <w:t>0,02%</w:t>
            </w:r>
          </w:p>
        </w:tc>
      </w:tr>
      <w:tr w:rsidR="00FF6FA4" w:rsidRPr="00940045" w:rsidTr="00104F0D">
        <w:trPr>
          <w:jc w:val="center"/>
        </w:trPr>
        <w:tc>
          <w:tcPr>
            <w:tcW w:w="1985" w:type="dxa"/>
            <w:tcBorders>
              <w:bottom w:val="single" w:sz="4" w:space="0" w:color="auto"/>
            </w:tcBorders>
          </w:tcPr>
          <w:p w:rsidR="00FF6FA4" w:rsidRPr="00104F0D" w:rsidRDefault="00FF6FA4" w:rsidP="006767F0">
            <w:pPr>
              <w:pStyle w:val="Tabletext"/>
              <w:keepNext/>
              <w:keepLines/>
              <w:jc w:val="left"/>
              <w:rPr>
                <w:sz w:val="18"/>
                <w:szCs w:val="18"/>
              </w:rPr>
            </w:pPr>
            <w:r w:rsidRPr="00104F0D">
              <w:rPr>
                <w:sz w:val="18"/>
                <w:szCs w:val="18"/>
              </w:rPr>
              <w:t xml:space="preserve">Pourcentage de temps obtenu pour les critères de brouillage applicables à la perte de données </w:t>
            </w:r>
            <w:r w:rsidR="001F032A">
              <w:rPr>
                <w:sz w:val="18"/>
                <w:szCs w:val="18"/>
              </w:rPr>
              <w:br/>
            </w:r>
            <w:r w:rsidRPr="00104F0D">
              <w:rPr>
                <w:sz w:val="18"/>
                <w:szCs w:val="18"/>
              </w:rPr>
              <w:t>(</w:t>
            </w:r>
            <w:r w:rsidRPr="00104F0D">
              <w:rPr>
                <w:i/>
                <w:sz w:val="18"/>
                <w:szCs w:val="18"/>
              </w:rPr>
              <w:t>P</w:t>
            </w:r>
            <w:r w:rsidRPr="00104F0D">
              <w:rPr>
                <w:sz w:val="18"/>
                <w:szCs w:val="18"/>
              </w:rPr>
              <w:t>%</w:t>
            </w:r>
            <w:r w:rsidRPr="001F032A">
              <w:rPr>
                <w:i/>
                <w:position w:val="-4"/>
                <w:sz w:val="18"/>
                <w:szCs w:val="18"/>
                <w:vertAlign w:val="subscript"/>
              </w:rPr>
              <w:t>PERTE-DONNÉES</w:t>
            </w:r>
            <w:r w:rsidRPr="00104F0D">
              <w:rPr>
                <w:position w:val="-4"/>
                <w:sz w:val="18"/>
                <w:szCs w:val="18"/>
              </w:rPr>
              <w:t>)</w:t>
            </w:r>
          </w:p>
        </w:tc>
        <w:tc>
          <w:tcPr>
            <w:tcW w:w="1417" w:type="dxa"/>
            <w:tcBorders>
              <w:bottom w:val="single" w:sz="4" w:space="0" w:color="auto"/>
            </w:tcBorders>
            <w:vAlign w:val="center"/>
          </w:tcPr>
          <w:p w:rsidR="00FF6FA4" w:rsidRPr="00104F0D" w:rsidRDefault="00FF6FA4" w:rsidP="00DB4B02">
            <w:pPr>
              <w:pStyle w:val="Tabletext"/>
              <w:keepNext/>
              <w:keepLines/>
              <w:jc w:val="center"/>
              <w:rPr>
                <w:sz w:val="18"/>
                <w:szCs w:val="18"/>
              </w:rPr>
            </w:pPr>
            <w:r w:rsidRPr="00104F0D">
              <w:rPr>
                <w:sz w:val="18"/>
                <w:szCs w:val="18"/>
              </w:rPr>
              <w:t>0,8%</w:t>
            </w:r>
          </w:p>
        </w:tc>
        <w:tc>
          <w:tcPr>
            <w:tcW w:w="1264" w:type="dxa"/>
            <w:tcBorders>
              <w:bottom w:val="single" w:sz="4" w:space="0" w:color="auto"/>
            </w:tcBorders>
            <w:vAlign w:val="center"/>
          </w:tcPr>
          <w:p w:rsidR="00FF6FA4" w:rsidRPr="00104F0D" w:rsidRDefault="00FF6FA4" w:rsidP="00DB4B02">
            <w:pPr>
              <w:pStyle w:val="Tabletext"/>
              <w:keepNext/>
              <w:keepLines/>
              <w:jc w:val="center"/>
              <w:rPr>
                <w:sz w:val="18"/>
                <w:szCs w:val="18"/>
              </w:rPr>
            </w:pPr>
            <w:r w:rsidRPr="00104F0D">
              <w:rPr>
                <w:sz w:val="18"/>
                <w:szCs w:val="18"/>
              </w:rPr>
              <w:t>0,125%</w:t>
            </w:r>
          </w:p>
        </w:tc>
        <w:tc>
          <w:tcPr>
            <w:tcW w:w="1266" w:type="dxa"/>
            <w:tcBorders>
              <w:bottom w:val="single" w:sz="4" w:space="0" w:color="auto"/>
            </w:tcBorders>
            <w:vAlign w:val="center"/>
          </w:tcPr>
          <w:p w:rsidR="00FF6FA4" w:rsidRPr="00104F0D" w:rsidRDefault="00FF6FA4" w:rsidP="00DB4B02">
            <w:pPr>
              <w:pStyle w:val="Tabletext"/>
              <w:keepNext/>
              <w:keepLines/>
              <w:jc w:val="center"/>
              <w:rPr>
                <w:sz w:val="18"/>
                <w:szCs w:val="18"/>
              </w:rPr>
            </w:pPr>
            <w:r w:rsidRPr="00104F0D">
              <w:rPr>
                <w:sz w:val="18"/>
                <w:szCs w:val="18"/>
              </w:rPr>
              <w:t>0,2%</w:t>
            </w:r>
          </w:p>
        </w:tc>
        <w:tc>
          <w:tcPr>
            <w:tcW w:w="1448" w:type="dxa"/>
            <w:tcBorders>
              <w:bottom w:val="single" w:sz="4" w:space="0" w:color="auto"/>
            </w:tcBorders>
            <w:vAlign w:val="center"/>
          </w:tcPr>
          <w:p w:rsidR="00FF6FA4" w:rsidRPr="00104F0D" w:rsidRDefault="00FF6FA4" w:rsidP="00DB4B02">
            <w:pPr>
              <w:pStyle w:val="Tabletext"/>
              <w:keepNext/>
              <w:keepLines/>
              <w:jc w:val="center"/>
              <w:rPr>
                <w:sz w:val="18"/>
                <w:szCs w:val="18"/>
              </w:rPr>
            </w:pPr>
            <w:r w:rsidRPr="00104F0D">
              <w:rPr>
                <w:sz w:val="18"/>
                <w:szCs w:val="18"/>
              </w:rPr>
              <w:t>0,2%</w:t>
            </w:r>
          </w:p>
        </w:tc>
        <w:tc>
          <w:tcPr>
            <w:tcW w:w="1122" w:type="dxa"/>
            <w:tcBorders>
              <w:bottom w:val="single" w:sz="4" w:space="0" w:color="auto"/>
            </w:tcBorders>
            <w:vAlign w:val="center"/>
          </w:tcPr>
          <w:p w:rsidR="00FF6FA4" w:rsidRPr="00104F0D" w:rsidRDefault="00FF6FA4" w:rsidP="00DB4B02">
            <w:pPr>
              <w:pStyle w:val="Tabletext"/>
              <w:keepNext/>
              <w:keepLines/>
              <w:jc w:val="center"/>
              <w:rPr>
                <w:sz w:val="18"/>
                <w:szCs w:val="18"/>
              </w:rPr>
            </w:pPr>
            <w:r w:rsidRPr="00104F0D">
              <w:rPr>
                <w:sz w:val="18"/>
                <w:szCs w:val="18"/>
              </w:rPr>
              <w:t>0,06%</w:t>
            </w:r>
          </w:p>
        </w:tc>
        <w:tc>
          <w:tcPr>
            <w:tcW w:w="1137" w:type="dxa"/>
            <w:tcBorders>
              <w:bottom w:val="single" w:sz="4" w:space="0" w:color="auto"/>
            </w:tcBorders>
            <w:vAlign w:val="center"/>
          </w:tcPr>
          <w:p w:rsidR="00FF6FA4" w:rsidRPr="00104F0D" w:rsidRDefault="00FF6FA4" w:rsidP="00DB4B02">
            <w:pPr>
              <w:pStyle w:val="Tabletext"/>
              <w:keepNext/>
              <w:keepLines/>
              <w:jc w:val="center"/>
              <w:rPr>
                <w:sz w:val="18"/>
                <w:szCs w:val="18"/>
              </w:rPr>
            </w:pPr>
            <w:r w:rsidRPr="00104F0D">
              <w:rPr>
                <w:sz w:val="18"/>
                <w:szCs w:val="18"/>
              </w:rPr>
              <w:t>0,06%</w:t>
            </w:r>
          </w:p>
        </w:tc>
      </w:tr>
      <w:tr w:rsidR="00FF6FA4" w:rsidRPr="00940045" w:rsidTr="00104F0D">
        <w:trPr>
          <w:jc w:val="center"/>
        </w:trPr>
        <w:tc>
          <w:tcPr>
            <w:tcW w:w="9639" w:type="dxa"/>
            <w:gridSpan w:val="7"/>
            <w:tcBorders>
              <w:left w:val="nil"/>
              <w:bottom w:val="nil"/>
              <w:right w:val="nil"/>
            </w:tcBorders>
          </w:tcPr>
          <w:p w:rsidR="00FF6FA4" w:rsidRPr="00104F0D" w:rsidRDefault="00FF6FA4" w:rsidP="00183EB4">
            <w:pPr>
              <w:pStyle w:val="Tablelegend"/>
              <w:rPr>
                <w:sz w:val="18"/>
                <w:szCs w:val="18"/>
                <w:lang w:val="fr-CH"/>
              </w:rPr>
            </w:pPr>
            <w:r w:rsidRPr="00104F0D">
              <w:rPr>
                <w:sz w:val="18"/>
                <w:szCs w:val="18"/>
                <w:lang w:val="fr-CH"/>
              </w:rPr>
              <w:t>s.o.: Sans objet.</w:t>
            </w:r>
          </w:p>
          <w:p w:rsidR="00FF6FA4" w:rsidRPr="00104F0D" w:rsidRDefault="00FF6FA4" w:rsidP="00183EB4">
            <w:pPr>
              <w:pStyle w:val="Tablelegend"/>
              <w:rPr>
                <w:sz w:val="18"/>
                <w:szCs w:val="18"/>
              </w:rPr>
            </w:pPr>
            <w:r w:rsidRPr="00104F0D">
              <w:rPr>
                <w:sz w:val="18"/>
                <w:szCs w:val="18"/>
                <w:vertAlign w:val="superscript"/>
              </w:rPr>
              <w:t>(1)</w:t>
            </w:r>
            <w:r w:rsidRPr="00104F0D">
              <w:rPr>
                <w:sz w:val="18"/>
                <w:szCs w:val="18"/>
              </w:rPr>
              <w:tab/>
              <w:t>Les systèmes dotés antennes équidirectives ne risquent pas de perdre le verrouillage de l'antenne sur le signal en raison d'un brouillage ou d'un évanouissement du signal.</w:t>
            </w:r>
          </w:p>
          <w:p w:rsidR="00FF6FA4" w:rsidRPr="00104F0D" w:rsidRDefault="00FF6FA4" w:rsidP="00183EB4">
            <w:pPr>
              <w:pStyle w:val="Tablelegend"/>
              <w:rPr>
                <w:sz w:val="18"/>
                <w:szCs w:val="18"/>
              </w:rPr>
            </w:pPr>
            <w:r w:rsidRPr="00104F0D">
              <w:rPr>
                <w:sz w:val="18"/>
                <w:szCs w:val="18"/>
                <w:vertAlign w:val="superscript"/>
              </w:rPr>
              <w:t>(2)</w:t>
            </w:r>
            <w:r w:rsidRPr="00104F0D">
              <w:rPr>
                <w:sz w:val="18"/>
                <w:szCs w:val="18"/>
              </w:rPr>
              <w:tab/>
              <w:t>Les éléments du présent tableau sont tirés des données relatives à la disponibilité des données sur l'ensemble du vol figurant dans la Recommandation UIT-R RS.1165-2.</w:t>
            </w:r>
          </w:p>
        </w:tc>
      </w:tr>
    </w:tbl>
    <w:p w:rsidR="00183EB4" w:rsidRPr="006767F0" w:rsidRDefault="00183EB4" w:rsidP="00183EB4">
      <w:pPr>
        <w:pStyle w:val="Tablefin"/>
        <w:rPr>
          <w:lang w:val="fr-CH"/>
        </w:rPr>
      </w:pPr>
      <w:bookmarkStart w:id="5" w:name="_Toc393257592"/>
    </w:p>
    <w:p w:rsidR="00FF6FA4" w:rsidRDefault="00FF6FA4" w:rsidP="00FF6FA4">
      <w:pPr>
        <w:pStyle w:val="Heading1"/>
      </w:pPr>
      <w:r>
        <w:t>3</w:t>
      </w:r>
      <w:r>
        <w:tab/>
        <w:t>Analyse des bilans de liaison applicables au service des auxiliaires de la météorologie</w:t>
      </w:r>
      <w:bookmarkEnd w:id="5"/>
    </w:p>
    <w:p w:rsidR="00FF6FA4" w:rsidRDefault="00FF6FA4" w:rsidP="00FF6FA4">
      <w:r>
        <w:t xml:space="preserve">Les divers types d'auxiliaires de météorologie sont utilisés à des fins différentes </w:t>
      </w:r>
      <w:r w:rsidRPr="00D8612C">
        <w:t>et présentent des caractéristiques de système différentes,</w:t>
      </w:r>
      <w:r>
        <w:t xml:space="preserve"> de sorte que les calculs du bilan de liaison correspondants sont différents. </w:t>
      </w:r>
      <w:r w:rsidRPr="00D8612C">
        <w:t>On trouvera dans les Tableaux 4 et 5 ci-dessous les calculs du bilan de liaison pour des systèmes représentatifs utilisés dans le monde entier</w:t>
      </w:r>
      <w:r>
        <w:t>.</w:t>
      </w:r>
    </w:p>
    <w:p w:rsidR="00FF6FA4" w:rsidRDefault="00FF6FA4" w:rsidP="00FF6FA4">
      <w:pPr>
        <w:tabs>
          <w:tab w:val="clear" w:pos="794"/>
          <w:tab w:val="clear" w:pos="1191"/>
          <w:tab w:val="clear" w:pos="1588"/>
          <w:tab w:val="clear" w:pos="1985"/>
        </w:tabs>
        <w:overflowPunct/>
        <w:autoSpaceDE/>
        <w:autoSpaceDN/>
        <w:adjustRightInd/>
        <w:spacing w:before="0"/>
        <w:textAlignment w:val="auto"/>
        <w:rPr>
          <w:caps/>
        </w:rPr>
      </w:pPr>
      <w:r>
        <w:br w:type="page"/>
      </w:r>
    </w:p>
    <w:p w:rsidR="00FF6FA4" w:rsidRDefault="00FF6FA4" w:rsidP="001F6BEE">
      <w:pPr>
        <w:pStyle w:val="TableNo"/>
      </w:pPr>
      <w:r>
        <w:lastRenderedPageBreak/>
        <w:t>TABLEAU 4</w:t>
      </w:r>
    </w:p>
    <w:p w:rsidR="00FF6FA4" w:rsidRDefault="00FF6FA4" w:rsidP="00183EB4">
      <w:pPr>
        <w:pStyle w:val="Tabletitle"/>
      </w:pPr>
      <w:r w:rsidRPr="00D8612C">
        <w:t xml:space="preserve">Calculs du bilan de liaison pour le service des auxiliaires de la météorologie </w:t>
      </w:r>
      <w:r>
        <w:br/>
      </w:r>
      <w:r w:rsidRPr="00D8612C">
        <w:t>fonctionnant dans la bande 400,15-406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3600"/>
        <w:gridCol w:w="754"/>
        <w:gridCol w:w="788"/>
        <w:gridCol w:w="1415"/>
        <w:gridCol w:w="1350"/>
        <w:gridCol w:w="749"/>
        <w:gridCol w:w="814"/>
      </w:tblGrid>
      <w:tr w:rsidR="00FF6FA4" w:rsidRPr="00E03BD0" w:rsidTr="00183EB4">
        <w:trPr>
          <w:trHeight w:val="970"/>
          <w:jc w:val="center"/>
        </w:trPr>
        <w:tc>
          <w:tcPr>
            <w:tcW w:w="3600" w:type="dxa"/>
            <w:vAlign w:val="center"/>
          </w:tcPr>
          <w:p w:rsidR="00FF6FA4" w:rsidRPr="00E03BD0" w:rsidRDefault="00FF6FA4" w:rsidP="00183EB4">
            <w:pPr>
              <w:pStyle w:val="Tablehead"/>
              <w:rPr>
                <w:sz w:val="18"/>
                <w:szCs w:val="18"/>
              </w:rPr>
            </w:pPr>
            <w:r w:rsidRPr="00E03BD0">
              <w:rPr>
                <w:sz w:val="18"/>
                <w:szCs w:val="18"/>
              </w:rPr>
              <w:t xml:space="preserve">Facteur de qualité </w:t>
            </w:r>
            <w:r w:rsidRPr="00E03BD0">
              <w:rPr>
                <w:sz w:val="18"/>
                <w:szCs w:val="18"/>
              </w:rPr>
              <w:br/>
              <w:t>de fonctionnement</w:t>
            </w:r>
          </w:p>
        </w:tc>
        <w:tc>
          <w:tcPr>
            <w:tcW w:w="1542" w:type="dxa"/>
            <w:gridSpan w:val="2"/>
            <w:vAlign w:val="center"/>
          </w:tcPr>
          <w:p w:rsidR="00FF6FA4" w:rsidRPr="00E03BD0" w:rsidRDefault="00FF6FA4" w:rsidP="00183EB4">
            <w:pPr>
              <w:pStyle w:val="Tablehead"/>
              <w:rPr>
                <w:sz w:val="18"/>
                <w:szCs w:val="18"/>
              </w:rPr>
            </w:pPr>
            <w:r w:rsidRPr="00E03BD0">
              <w:rPr>
                <w:sz w:val="18"/>
                <w:szCs w:val="18"/>
              </w:rPr>
              <w:t>Système NAVAID</w:t>
            </w:r>
            <w:r w:rsidRPr="00E03BD0">
              <w:rPr>
                <w:sz w:val="18"/>
                <w:szCs w:val="18"/>
              </w:rPr>
              <w:br/>
              <w:t xml:space="preserve">avec antenne </w:t>
            </w:r>
            <w:r w:rsidRPr="00E03BD0">
              <w:rPr>
                <w:sz w:val="18"/>
                <w:szCs w:val="18"/>
              </w:rPr>
              <w:br/>
              <w:t>directive</w:t>
            </w:r>
          </w:p>
        </w:tc>
        <w:tc>
          <w:tcPr>
            <w:tcW w:w="1415" w:type="dxa"/>
            <w:vAlign w:val="center"/>
          </w:tcPr>
          <w:p w:rsidR="00FF6FA4" w:rsidRPr="00E03BD0" w:rsidRDefault="00FF6FA4" w:rsidP="00183EB4">
            <w:pPr>
              <w:pStyle w:val="Tablehead"/>
              <w:rPr>
                <w:sz w:val="18"/>
                <w:szCs w:val="18"/>
              </w:rPr>
            </w:pPr>
            <w:r w:rsidRPr="00E03BD0">
              <w:rPr>
                <w:sz w:val="18"/>
                <w:szCs w:val="18"/>
              </w:rPr>
              <w:t>Système NAVAID</w:t>
            </w:r>
            <w:r w:rsidRPr="00E03BD0">
              <w:rPr>
                <w:sz w:val="18"/>
                <w:szCs w:val="18"/>
              </w:rPr>
              <w:br/>
              <w:t>avec antenne équidirective</w:t>
            </w:r>
          </w:p>
        </w:tc>
        <w:tc>
          <w:tcPr>
            <w:tcW w:w="1350" w:type="dxa"/>
            <w:vAlign w:val="center"/>
          </w:tcPr>
          <w:p w:rsidR="00FF6FA4" w:rsidRPr="00E03BD0" w:rsidRDefault="00FF6FA4" w:rsidP="00183EB4">
            <w:pPr>
              <w:pStyle w:val="Tablehead"/>
              <w:rPr>
                <w:sz w:val="18"/>
                <w:szCs w:val="18"/>
              </w:rPr>
            </w:pPr>
            <w:r w:rsidRPr="00E03BD0">
              <w:rPr>
                <w:sz w:val="18"/>
                <w:szCs w:val="18"/>
              </w:rPr>
              <w:t>Catasondes</w:t>
            </w:r>
          </w:p>
        </w:tc>
        <w:tc>
          <w:tcPr>
            <w:tcW w:w="1563" w:type="dxa"/>
            <w:gridSpan w:val="2"/>
            <w:vAlign w:val="center"/>
          </w:tcPr>
          <w:p w:rsidR="00FF6FA4" w:rsidRPr="00E03BD0" w:rsidRDefault="00FF6FA4" w:rsidP="00183EB4">
            <w:pPr>
              <w:pStyle w:val="Tablehead"/>
              <w:rPr>
                <w:sz w:val="18"/>
                <w:szCs w:val="18"/>
              </w:rPr>
            </w:pPr>
            <w:r w:rsidRPr="00E03BD0">
              <w:rPr>
                <w:sz w:val="18"/>
                <w:szCs w:val="18"/>
              </w:rPr>
              <w:t>Fusées-sondes</w:t>
            </w:r>
          </w:p>
        </w:tc>
      </w:tr>
      <w:tr w:rsidR="00FF6FA4" w:rsidRPr="00E03BD0" w:rsidTr="001F032A">
        <w:trPr>
          <w:jc w:val="center"/>
        </w:trPr>
        <w:tc>
          <w:tcPr>
            <w:tcW w:w="3600" w:type="dxa"/>
          </w:tcPr>
          <w:p w:rsidR="00FF6FA4" w:rsidRPr="00E03BD0" w:rsidRDefault="00FF6FA4" w:rsidP="006767F0">
            <w:pPr>
              <w:pStyle w:val="Tabletext"/>
              <w:jc w:val="left"/>
              <w:rPr>
                <w:sz w:val="18"/>
                <w:szCs w:val="18"/>
              </w:rPr>
            </w:pPr>
            <w:r w:rsidRPr="00E03BD0">
              <w:rPr>
                <w:sz w:val="18"/>
                <w:szCs w:val="18"/>
              </w:rPr>
              <w:t>Type de modulation</w:t>
            </w:r>
          </w:p>
        </w:tc>
        <w:tc>
          <w:tcPr>
            <w:tcW w:w="4307" w:type="dxa"/>
            <w:gridSpan w:val="4"/>
          </w:tcPr>
          <w:p w:rsidR="00FF6FA4" w:rsidRPr="00E03BD0" w:rsidRDefault="00FF6FA4" w:rsidP="00DB4B02">
            <w:pPr>
              <w:pStyle w:val="Tabletext"/>
              <w:jc w:val="center"/>
              <w:rPr>
                <w:sz w:val="18"/>
                <w:szCs w:val="18"/>
              </w:rPr>
            </w:pPr>
            <w:r w:rsidRPr="00E03BD0">
              <w:rPr>
                <w:sz w:val="18"/>
                <w:szCs w:val="18"/>
              </w:rPr>
              <w:t>MF</w:t>
            </w:r>
          </w:p>
        </w:tc>
        <w:tc>
          <w:tcPr>
            <w:tcW w:w="1563" w:type="dxa"/>
            <w:gridSpan w:val="2"/>
          </w:tcPr>
          <w:p w:rsidR="00FF6FA4" w:rsidRPr="00E03BD0" w:rsidRDefault="00FF6FA4" w:rsidP="00DB4B02">
            <w:pPr>
              <w:pStyle w:val="Tabletext"/>
              <w:jc w:val="center"/>
              <w:rPr>
                <w:sz w:val="18"/>
                <w:szCs w:val="18"/>
              </w:rPr>
            </w:pPr>
            <w:r w:rsidRPr="00E03BD0">
              <w:rPr>
                <w:sz w:val="18"/>
                <w:szCs w:val="18"/>
              </w:rPr>
              <w:t>MA</w:t>
            </w:r>
          </w:p>
        </w:tc>
      </w:tr>
      <w:tr w:rsidR="00FF6FA4" w:rsidRPr="00E03BD0" w:rsidTr="00DB4B02">
        <w:trPr>
          <w:jc w:val="center"/>
        </w:trPr>
        <w:tc>
          <w:tcPr>
            <w:tcW w:w="3600" w:type="dxa"/>
          </w:tcPr>
          <w:p w:rsidR="00FF6FA4" w:rsidRPr="00E03BD0" w:rsidRDefault="00FF6FA4" w:rsidP="006767F0">
            <w:pPr>
              <w:pStyle w:val="Tabletext"/>
              <w:jc w:val="left"/>
              <w:rPr>
                <w:sz w:val="18"/>
                <w:szCs w:val="18"/>
              </w:rPr>
            </w:pPr>
            <w:r w:rsidRPr="00E03BD0">
              <w:rPr>
                <w:sz w:val="18"/>
                <w:szCs w:val="18"/>
              </w:rPr>
              <w:t>Gamme de fréquences (MHz)</w:t>
            </w:r>
          </w:p>
        </w:tc>
        <w:tc>
          <w:tcPr>
            <w:tcW w:w="5870" w:type="dxa"/>
            <w:gridSpan w:val="6"/>
          </w:tcPr>
          <w:p w:rsidR="00FF6FA4" w:rsidRPr="00E03BD0" w:rsidRDefault="00FF6FA4" w:rsidP="00DB4B02">
            <w:pPr>
              <w:pStyle w:val="Tabletext"/>
              <w:jc w:val="center"/>
              <w:rPr>
                <w:sz w:val="18"/>
                <w:szCs w:val="18"/>
              </w:rPr>
            </w:pPr>
            <w:r w:rsidRPr="00E03BD0">
              <w:rPr>
                <w:sz w:val="18"/>
                <w:szCs w:val="18"/>
              </w:rPr>
              <w:t>400,15-406</w:t>
            </w:r>
          </w:p>
        </w:tc>
      </w:tr>
      <w:tr w:rsidR="00FF6FA4" w:rsidRPr="00E03BD0" w:rsidTr="00DB4B02">
        <w:trPr>
          <w:jc w:val="center"/>
        </w:trPr>
        <w:tc>
          <w:tcPr>
            <w:tcW w:w="3600" w:type="dxa"/>
          </w:tcPr>
          <w:p w:rsidR="00FF6FA4" w:rsidRPr="00E03BD0" w:rsidRDefault="00FF6FA4" w:rsidP="006767F0">
            <w:pPr>
              <w:pStyle w:val="Tabletext"/>
              <w:jc w:val="left"/>
              <w:rPr>
                <w:sz w:val="18"/>
                <w:szCs w:val="18"/>
              </w:rPr>
            </w:pPr>
            <w:r w:rsidRPr="00E03BD0">
              <w:rPr>
                <w:sz w:val="18"/>
                <w:szCs w:val="18"/>
              </w:rPr>
              <w:t>Pourcentage de temps ne devant pas être dépassé (%)</w:t>
            </w:r>
          </w:p>
        </w:tc>
        <w:tc>
          <w:tcPr>
            <w:tcW w:w="754" w:type="dxa"/>
          </w:tcPr>
          <w:p w:rsidR="00FF6FA4" w:rsidRPr="00E03BD0" w:rsidRDefault="00FF6FA4" w:rsidP="00DB4B02">
            <w:pPr>
              <w:pStyle w:val="Tabletext"/>
              <w:jc w:val="center"/>
              <w:rPr>
                <w:sz w:val="18"/>
                <w:szCs w:val="18"/>
              </w:rPr>
            </w:pPr>
            <w:r w:rsidRPr="00E03BD0">
              <w:rPr>
                <w:sz w:val="18"/>
                <w:szCs w:val="18"/>
              </w:rPr>
              <w:t xml:space="preserve">0,02 </w:t>
            </w:r>
            <w:r w:rsidRPr="00E03BD0">
              <w:rPr>
                <w:sz w:val="18"/>
                <w:szCs w:val="18"/>
              </w:rPr>
              <w:br/>
              <w:t>Perte de verrouil</w:t>
            </w:r>
            <w:r>
              <w:rPr>
                <w:sz w:val="18"/>
                <w:szCs w:val="18"/>
              </w:rPr>
              <w:t>-</w:t>
            </w:r>
            <w:r w:rsidRPr="00E03BD0">
              <w:rPr>
                <w:sz w:val="18"/>
                <w:szCs w:val="18"/>
              </w:rPr>
              <w:t>lage de phase</w:t>
            </w:r>
          </w:p>
        </w:tc>
        <w:tc>
          <w:tcPr>
            <w:tcW w:w="788" w:type="dxa"/>
          </w:tcPr>
          <w:p w:rsidR="00FF6FA4" w:rsidRPr="00E03BD0" w:rsidRDefault="00FF6FA4" w:rsidP="00DB4B02">
            <w:pPr>
              <w:pStyle w:val="Tabletext"/>
              <w:jc w:val="center"/>
              <w:rPr>
                <w:sz w:val="18"/>
                <w:szCs w:val="18"/>
              </w:rPr>
            </w:pPr>
            <w:r w:rsidRPr="00E03BD0">
              <w:rPr>
                <w:sz w:val="18"/>
                <w:szCs w:val="18"/>
              </w:rPr>
              <w:t xml:space="preserve">0,2 </w:t>
            </w:r>
            <w:r>
              <w:rPr>
                <w:sz w:val="18"/>
                <w:szCs w:val="18"/>
              </w:rPr>
              <w:br/>
            </w:r>
            <w:r w:rsidRPr="00E03BD0">
              <w:rPr>
                <w:sz w:val="18"/>
                <w:szCs w:val="18"/>
              </w:rPr>
              <w:t>Perte de données</w:t>
            </w:r>
          </w:p>
        </w:tc>
        <w:tc>
          <w:tcPr>
            <w:tcW w:w="1415" w:type="dxa"/>
          </w:tcPr>
          <w:p w:rsidR="00FF6FA4" w:rsidRPr="00E03BD0" w:rsidRDefault="00FF6FA4" w:rsidP="00DB4B02">
            <w:pPr>
              <w:pStyle w:val="Tabletext"/>
              <w:jc w:val="center"/>
              <w:rPr>
                <w:sz w:val="18"/>
                <w:szCs w:val="18"/>
              </w:rPr>
            </w:pPr>
            <w:r w:rsidRPr="00E03BD0">
              <w:rPr>
                <w:sz w:val="18"/>
                <w:szCs w:val="18"/>
              </w:rPr>
              <w:t xml:space="preserve">0,2 </w:t>
            </w:r>
            <w:r w:rsidRPr="00E03BD0">
              <w:rPr>
                <w:sz w:val="18"/>
                <w:szCs w:val="18"/>
              </w:rPr>
              <w:br/>
              <w:t>Perte de données</w:t>
            </w:r>
          </w:p>
        </w:tc>
        <w:tc>
          <w:tcPr>
            <w:tcW w:w="1350" w:type="dxa"/>
          </w:tcPr>
          <w:p w:rsidR="00FF6FA4" w:rsidRPr="00E03BD0" w:rsidRDefault="00FF6FA4" w:rsidP="00DB4B02">
            <w:pPr>
              <w:pStyle w:val="Tabletext"/>
              <w:jc w:val="center"/>
              <w:rPr>
                <w:sz w:val="18"/>
                <w:szCs w:val="18"/>
              </w:rPr>
            </w:pPr>
            <w:r w:rsidRPr="00E03BD0">
              <w:rPr>
                <w:sz w:val="18"/>
                <w:szCs w:val="18"/>
              </w:rPr>
              <w:t xml:space="preserve">0,06 </w:t>
            </w:r>
            <w:r w:rsidRPr="00E03BD0">
              <w:rPr>
                <w:sz w:val="18"/>
                <w:szCs w:val="18"/>
              </w:rPr>
              <w:br/>
              <w:t>Perte de données</w:t>
            </w:r>
          </w:p>
        </w:tc>
        <w:tc>
          <w:tcPr>
            <w:tcW w:w="749" w:type="dxa"/>
          </w:tcPr>
          <w:p w:rsidR="00FF6FA4" w:rsidRPr="00E03BD0" w:rsidRDefault="00FF6FA4" w:rsidP="00DB4B02">
            <w:pPr>
              <w:pStyle w:val="Tabletext"/>
              <w:jc w:val="center"/>
              <w:rPr>
                <w:sz w:val="18"/>
                <w:szCs w:val="18"/>
              </w:rPr>
            </w:pPr>
            <w:r w:rsidRPr="00E03BD0">
              <w:rPr>
                <w:sz w:val="18"/>
                <w:szCs w:val="18"/>
              </w:rPr>
              <w:t>0,02 Perte de verrouil</w:t>
            </w:r>
            <w:r>
              <w:rPr>
                <w:sz w:val="18"/>
                <w:szCs w:val="18"/>
              </w:rPr>
              <w:t>-</w:t>
            </w:r>
            <w:r w:rsidRPr="00E03BD0">
              <w:rPr>
                <w:sz w:val="18"/>
                <w:szCs w:val="18"/>
              </w:rPr>
              <w:t>lage de phase</w:t>
            </w:r>
          </w:p>
        </w:tc>
        <w:tc>
          <w:tcPr>
            <w:tcW w:w="814" w:type="dxa"/>
          </w:tcPr>
          <w:p w:rsidR="00FF6FA4" w:rsidRPr="00E03BD0" w:rsidRDefault="00FF6FA4" w:rsidP="00DB4B02">
            <w:pPr>
              <w:pStyle w:val="Tabletext"/>
              <w:jc w:val="center"/>
              <w:rPr>
                <w:sz w:val="18"/>
                <w:szCs w:val="18"/>
              </w:rPr>
            </w:pPr>
            <w:r w:rsidRPr="00E03BD0">
              <w:rPr>
                <w:sz w:val="18"/>
                <w:szCs w:val="18"/>
              </w:rPr>
              <w:t>0,06</w:t>
            </w:r>
            <w:r w:rsidRPr="00E03BD0">
              <w:rPr>
                <w:sz w:val="18"/>
                <w:szCs w:val="18"/>
              </w:rPr>
              <w:br/>
              <w:t xml:space="preserve">Perte de </w:t>
            </w:r>
            <w:r w:rsidRPr="00E03BD0">
              <w:rPr>
                <w:sz w:val="18"/>
                <w:szCs w:val="18"/>
              </w:rPr>
              <w:br/>
              <w:t>données</w:t>
            </w:r>
          </w:p>
        </w:tc>
      </w:tr>
      <w:tr w:rsidR="00FF6FA4" w:rsidRPr="00E03BD0" w:rsidTr="00DB4B02">
        <w:trPr>
          <w:jc w:val="center"/>
        </w:trPr>
        <w:tc>
          <w:tcPr>
            <w:tcW w:w="3600" w:type="dxa"/>
          </w:tcPr>
          <w:p w:rsidR="00FF6FA4" w:rsidRPr="00E03BD0" w:rsidRDefault="00FF6FA4" w:rsidP="006767F0">
            <w:pPr>
              <w:pStyle w:val="Tabletext"/>
              <w:jc w:val="left"/>
              <w:rPr>
                <w:sz w:val="18"/>
                <w:szCs w:val="18"/>
              </w:rPr>
            </w:pPr>
            <w:r>
              <w:rPr>
                <w:sz w:val="18"/>
                <w:szCs w:val="18"/>
              </w:rPr>
              <w:t>1</w:t>
            </w:r>
            <w:r w:rsidRPr="00E03BD0">
              <w:rPr>
                <w:sz w:val="18"/>
                <w:szCs w:val="18"/>
              </w:rPr>
              <w:tab/>
              <w:t>Puissance de sortie de l'émetteur (dBW)</w:t>
            </w:r>
          </w:p>
        </w:tc>
        <w:tc>
          <w:tcPr>
            <w:tcW w:w="1542" w:type="dxa"/>
            <w:gridSpan w:val="2"/>
          </w:tcPr>
          <w:p w:rsidR="00FF6FA4" w:rsidRPr="00E03BD0" w:rsidRDefault="00FF6FA4" w:rsidP="00DB4B02">
            <w:pPr>
              <w:pStyle w:val="Tabletext"/>
              <w:jc w:val="center"/>
              <w:rPr>
                <w:sz w:val="18"/>
                <w:szCs w:val="18"/>
              </w:rPr>
            </w:pPr>
            <w:r>
              <w:rPr>
                <w:sz w:val="18"/>
                <w:szCs w:val="18"/>
              </w:rPr>
              <w:t>–</w:t>
            </w:r>
            <w:r w:rsidRPr="00E03BD0">
              <w:rPr>
                <w:sz w:val="18"/>
                <w:szCs w:val="18"/>
              </w:rPr>
              <w:t>6,0</w:t>
            </w:r>
          </w:p>
        </w:tc>
        <w:tc>
          <w:tcPr>
            <w:tcW w:w="1415" w:type="dxa"/>
          </w:tcPr>
          <w:p w:rsidR="00FF6FA4" w:rsidRPr="00E03BD0" w:rsidRDefault="00FF6FA4" w:rsidP="00DB4B02">
            <w:pPr>
              <w:pStyle w:val="Tabletext"/>
              <w:jc w:val="center"/>
              <w:rPr>
                <w:sz w:val="18"/>
                <w:szCs w:val="18"/>
              </w:rPr>
            </w:pPr>
            <w:r>
              <w:rPr>
                <w:sz w:val="18"/>
                <w:szCs w:val="18"/>
              </w:rPr>
              <w:t>–</w:t>
            </w:r>
            <w:r w:rsidRPr="00E03BD0">
              <w:rPr>
                <w:sz w:val="18"/>
                <w:szCs w:val="18"/>
              </w:rPr>
              <w:t>6,2</w:t>
            </w:r>
          </w:p>
        </w:tc>
        <w:tc>
          <w:tcPr>
            <w:tcW w:w="1350" w:type="dxa"/>
          </w:tcPr>
          <w:p w:rsidR="00FF6FA4" w:rsidRPr="00E03BD0" w:rsidRDefault="00FF6FA4" w:rsidP="00DB4B02">
            <w:pPr>
              <w:pStyle w:val="Tabletext"/>
              <w:jc w:val="center"/>
              <w:rPr>
                <w:sz w:val="18"/>
                <w:szCs w:val="18"/>
              </w:rPr>
            </w:pPr>
            <w:r>
              <w:rPr>
                <w:sz w:val="18"/>
                <w:szCs w:val="18"/>
              </w:rPr>
              <w:t>–</w:t>
            </w:r>
            <w:r w:rsidRPr="00E03BD0">
              <w:rPr>
                <w:sz w:val="18"/>
                <w:szCs w:val="18"/>
              </w:rPr>
              <w:t>8,5</w:t>
            </w:r>
          </w:p>
        </w:tc>
        <w:tc>
          <w:tcPr>
            <w:tcW w:w="1563" w:type="dxa"/>
            <w:gridSpan w:val="2"/>
          </w:tcPr>
          <w:p w:rsidR="00FF6FA4" w:rsidRPr="00E03BD0" w:rsidRDefault="00FF6FA4" w:rsidP="00DB4B02">
            <w:pPr>
              <w:pStyle w:val="Tabletext"/>
              <w:jc w:val="center"/>
              <w:rPr>
                <w:sz w:val="18"/>
                <w:szCs w:val="18"/>
              </w:rPr>
            </w:pPr>
            <w:r>
              <w:rPr>
                <w:sz w:val="18"/>
                <w:szCs w:val="18"/>
              </w:rPr>
              <w:t>–</w:t>
            </w:r>
            <w:r w:rsidRPr="00E03BD0">
              <w:rPr>
                <w:sz w:val="18"/>
                <w:szCs w:val="18"/>
              </w:rPr>
              <w:t>5,2</w:t>
            </w:r>
          </w:p>
        </w:tc>
      </w:tr>
      <w:tr w:rsidR="00FF6FA4" w:rsidRPr="00E03BD0" w:rsidTr="00DB4B02">
        <w:trPr>
          <w:jc w:val="center"/>
        </w:trPr>
        <w:tc>
          <w:tcPr>
            <w:tcW w:w="3600" w:type="dxa"/>
          </w:tcPr>
          <w:p w:rsidR="00FF6FA4" w:rsidRPr="00E03BD0" w:rsidRDefault="00FF6FA4" w:rsidP="006767F0">
            <w:pPr>
              <w:pStyle w:val="Tabletext"/>
              <w:jc w:val="left"/>
              <w:rPr>
                <w:sz w:val="18"/>
                <w:szCs w:val="18"/>
              </w:rPr>
            </w:pPr>
            <w:r>
              <w:rPr>
                <w:sz w:val="18"/>
                <w:szCs w:val="18"/>
              </w:rPr>
              <w:t>2</w:t>
            </w:r>
            <w:r w:rsidRPr="00E03BD0">
              <w:rPr>
                <w:sz w:val="18"/>
                <w:szCs w:val="18"/>
              </w:rPr>
              <w:tab/>
              <w:t>Gain d'antenne moyen (dBi)</w:t>
            </w:r>
          </w:p>
        </w:tc>
        <w:tc>
          <w:tcPr>
            <w:tcW w:w="1542" w:type="dxa"/>
            <w:gridSpan w:val="2"/>
          </w:tcPr>
          <w:p w:rsidR="00FF6FA4" w:rsidRPr="00E03BD0" w:rsidRDefault="00FF6FA4" w:rsidP="00DB4B02">
            <w:pPr>
              <w:pStyle w:val="Tabletext"/>
              <w:jc w:val="center"/>
              <w:rPr>
                <w:sz w:val="18"/>
                <w:szCs w:val="18"/>
              </w:rPr>
            </w:pPr>
            <w:r w:rsidRPr="00E03BD0">
              <w:rPr>
                <w:sz w:val="18"/>
                <w:szCs w:val="18"/>
              </w:rPr>
              <w:t>2,0</w:t>
            </w:r>
          </w:p>
        </w:tc>
        <w:tc>
          <w:tcPr>
            <w:tcW w:w="1415" w:type="dxa"/>
          </w:tcPr>
          <w:p w:rsidR="00FF6FA4" w:rsidRPr="00E03BD0" w:rsidRDefault="00FF6FA4" w:rsidP="00DB4B02">
            <w:pPr>
              <w:pStyle w:val="Tabletext"/>
              <w:jc w:val="center"/>
              <w:rPr>
                <w:sz w:val="18"/>
                <w:szCs w:val="18"/>
              </w:rPr>
            </w:pPr>
            <w:r w:rsidRPr="00E03BD0">
              <w:rPr>
                <w:sz w:val="18"/>
                <w:szCs w:val="18"/>
              </w:rPr>
              <w:t>–4</w:t>
            </w:r>
          </w:p>
        </w:tc>
        <w:tc>
          <w:tcPr>
            <w:tcW w:w="1350" w:type="dxa"/>
          </w:tcPr>
          <w:p w:rsidR="00FF6FA4" w:rsidRPr="00E03BD0" w:rsidRDefault="00FF6FA4" w:rsidP="00DB4B02">
            <w:pPr>
              <w:pStyle w:val="Tabletext"/>
              <w:jc w:val="center"/>
              <w:rPr>
                <w:sz w:val="18"/>
                <w:szCs w:val="18"/>
              </w:rPr>
            </w:pPr>
            <w:r w:rsidRPr="00E03BD0">
              <w:rPr>
                <w:sz w:val="18"/>
                <w:szCs w:val="18"/>
              </w:rPr>
              <w:t>2,0</w:t>
            </w:r>
          </w:p>
        </w:tc>
        <w:tc>
          <w:tcPr>
            <w:tcW w:w="1563" w:type="dxa"/>
            <w:gridSpan w:val="2"/>
          </w:tcPr>
          <w:p w:rsidR="00FF6FA4" w:rsidRPr="00E03BD0" w:rsidRDefault="00FF6FA4" w:rsidP="00DB4B02">
            <w:pPr>
              <w:pStyle w:val="Tabletext"/>
              <w:jc w:val="center"/>
              <w:rPr>
                <w:sz w:val="18"/>
                <w:szCs w:val="18"/>
              </w:rPr>
            </w:pPr>
            <w:r w:rsidRPr="00E03BD0">
              <w:rPr>
                <w:sz w:val="18"/>
                <w:szCs w:val="18"/>
              </w:rPr>
              <w:t>0,0</w:t>
            </w:r>
          </w:p>
        </w:tc>
      </w:tr>
      <w:tr w:rsidR="00FF6FA4" w:rsidRPr="00E03BD0" w:rsidTr="00DB4B02">
        <w:trPr>
          <w:jc w:val="center"/>
        </w:trPr>
        <w:tc>
          <w:tcPr>
            <w:tcW w:w="3600" w:type="dxa"/>
          </w:tcPr>
          <w:p w:rsidR="00FF6FA4" w:rsidRPr="00E03BD0" w:rsidRDefault="00FF6FA4" w:rsidP="006767F0">
            <w:pPr>
              <w:pStyle w:val="Tabletext"/>
              <w:jc w:val="left"/>
              <w:rPr>
                <w:sz w:val="18"/>
                <w:szCs w:val="18"/>
              </w:rPr>
            </w:pPr>
            <w:r>
              <w:rPr>
                <w:sz w:val="18"/>
                <w:szCs w:val="18"/>
              </w:rPr>
              <w:t>3</w:t>
            </w:r>
            <w:r w:rsidRPr="00E03BD0">
              <w:rPr>
                <w:sz w:val="18"/>
                <w:szCs w:val="18"/>
              </w:rPr>
              <w:tab/>
              <w:t>p.i.r.e</w:t>
            </w:r>
            <w:r>
              <w:rPr>
                <w:sz w:val="18"/>
                <w:szCs w:val="18"/>
              </w:rPr>
              <w:t>.</w:t>
            </w:r>
            <w:r w:rsidRPr="00E03BD0">
              <w:rPr>
                <w:sz w:val="18"/>
                <w:szCs w:val="18"/>
              </w:rPr>
              <w:t xml:space="preserve"> de l'émetteur (dBW)</w:t>
            </w:r>
          </w:p>
        </w:tc>
        <w:tc>
          <w:tcPr>
            <w:tcW w:w="1542" w:type="dxa"/>
            <w:gridSpan w:val="2"/>
          </w:tcPr>
          <w:p w:rsidR="00FF6FA4" w:rsidRPr="00E03BD0" w:rsidRDefault="00FF6FA4" w:rsidP="00DB4B02">
            <w:pPr>
              <w:pStyle w:val="Tabletext"/>
              <w:jc w:val="center"/>
              <w:rPr>
                <w:sz w:val="18"/>
                <w:szCs w:val="18"/>
              </w:rPr>
            </w:pPr>
            <w:r>
              <w:rPr>
                <w:sz w:val="18"/>
                <w:szCs w:val="18"/>
              </w:rPr>
              <w:t>–</w:t>
            </w:r>
            <w:r w:rsidRPr="00E03BD0">
              <w:rPr>
                <w:sz w:val="18"/>
                <w:szCs w:val="18"/>
              </w:rPr>
              <w:t>4,0</w:t>
            </w:r>
          </w:p>
        </w:tc>
        <w:tc>
          <w:tcPr>
            <w:tcW w:w="1415" w:type="dxa"/>
          </w:tcPr>
          <w:p w:rsidR="00FF6FA4" w:rsidRPr="00E03BD0" w:rsidRDefault="00FF6FA4" w:rsidP="00DB4B02">
            <w:pPr>
              <w:pStyle w:val="Tabletext"/>
              <w:jc w:val="center"/>
              <w:rPr>
                <w:sz w:val="18"/>
                <w:szCs w:val="18"/>
              </w:rPr>
            </w:pPr>
            <w:r>
              <w:rPr>
                <w:sz w:val="18"/>
                <w:szCs w:val="18"/>
              </w:rPr>
              <w:t>–</w:t>
            </w:r>
            <w:r w:rsidRPr="00E03BD0">
              <w:rPr>
                <w:sz w:val="18"/>
                <w:szCs w:val="18"/>
              </w:rPr>
              <w:t>10,2</w:t>
            </w:r>
          </w:p>
        </w:tc>
        <w:tc>
          <w:tcPr>
            <w:tcW w:w="1350" w:type="dxa"/>
          </w:tcPr>
          <w:p w:rsidR="00FF6FA4" w:rsidRPr="00E03BD0" w:rsidRDefault="00FF6FA4" w:rsidP="00DB4B02">
            <w:pPr>
              <w:pStyle w:val="Tabletext"/>
              <w:jc w:val="center"/>
              <w:rPr>
                <w:sz w:val="18"/>
                <w:szCs w:val="18"/>
              </w:rPr>
            </w:pPr>
            <w:r>
              <w:rPr>
                <w:sz w:val="18"/>
                <w:szCs w:val="18"/>
              </w:rPr>
              <w:t>–</w:t>
            </w:r>
            <w:r w:rsidRPr="00E03BD0">
              <w:rPr>
                <w:sz w:val="18"/>
                <w:szCs w:val="18"/>
              </w:rPr>
              <w:t>6,5</w:t>
            </w:r>
          </w:p>
        </w:tc>
        <w:tc>
          <w:tcPr>
            <w:tcW w:w="1563" w:type="dxa"/>
            <w:gridSpan w:val="2"/>
          </w:tcPr>
          <w:p w:rsidR="00FF6FA4" w:rsidRPr="00E03BD0" w:rsidRDefault="00FF6FA4" w:rsidP="00DB4B02">
            <w:pPr>
              <w:pStyle w:val="Tabletext"/>
              <w:jc w:val="center"/>
              <w:rPr>
                <w:sz w:val="18"/>
                <w:szCs w:val="18"/>
              </w:rPr>
            </w:pPr>
            <w:r>
              <w:rPr>
                <w:sz w:val="18"/>
                <w:szCs w:val="18"/>
              </w:rPr>
              <w:t>–</w:t>
            </w:r>
            <w:r w:rsidRPr="00E03BD0">
              <w:rPr>
                <w:sz w:val="18"/>
                <w:szCs w:val="18"/>
              </w:rPr>
              <w:t>5,2</w:t>
            </w:r>
          </w:p>
        </w:tc>
      </w:tr>
      <w:tr w:rsidR="00FF6FA4" w:rsidRPr="00E03BD0" w:rsidTr="00DB4B02">
        <w:trPr>
          <w:jc w:val="center"/>
        </w:trPr>
        <w:tc>
          <w:tcPr>
            <w:tcW w:w="3600" w:type="dxa"/>
          </w:tcPr>
          <w:p w:rsidR="00FF6FA4" w:rsidRPr="00E03BD0" w:rsidRDefault="00FF6FA4" w:rsidP="006767F0">
            <w:pPr>
              <w:pStyle w:val="Tabletext"/>
              <w:jc w:val="left"/>
              <w:rPr>
                <w:sz w:val="18"/>
                <w:szCs w:val="18"/>
              </w:rPr>
            </w:pPr>
            <w:r>
              <w:rPr>
                <w:sz w:val="18"/>
                <w:szCs w:val="18"/>
              </w:rPr>
              <w:t>4</w:t>
            </w:r>
            <w:r w:rsidRPr="00E03BD0">
              <w:rPr>
                <w:sz w:val="18"/>
                <w:szCs w:val="18"/>
              </w:rPr>
              <w:tab/>
              <w:t>Longueur maximale de la liaison (km)</w:t>
            </w:r>
          </w:p>
        </w:tc>
        <w:tc>
          <w:tcPr>
            <w:tcW w:w="1542" w:type="dxa"/>
            <w:gridSpan w:val="2"/>
          </w:tcPr>
          <w:p w:rsidR="00FF6FA4" w:rsidRPr="00E03BD0" w:rsidRDefault="00FF6FA4" w:rsidP="00DB4B02">
            <w:pPr>
              <w:pStyle w:val="Tabletext"/>
              <w:jc w:val="center"/>
              <w:rPr>
                <w:sz w:val="18"/>
                <w:szCs w:val="18"/>
              </w:rPr>
            </w:pPr>
            <w:r w:rsidRPr="00E03BD0">
              <w:rPr>
                <w:sz w:val="18"/>
                <w:szCs w:val="18"/>
              </w:rPr>
              <w:t>250</w:t>
            </w:r>
          </w:p>
        </w:tc>
        <w:tc>
          <w:tcPr>
            <w:tcW w:w="1415" w:type="dxa"/>
          </w:tcPr>
          <w:p w:rsidR="00FF6FA4" w:rsidRPr="00E03BD0" w:rsidRDefault="00FF6FA4" w:rsidP="00DB4B02">
            <w:pPr>
              <w:pStyle w:val="Tabletext"/>
              <w:jc w:val="center"/>
              <w:rPr>
                <w:sz w:val="18"/>
                <w:szCs w:val="18"/>
              </w:rPr>
            </w:pPr>
            <w:r w:rsidRPr="00E03BD0">
              <w:rPr>
                <w:sz w:val="18"/>
                <w:szCs w:val="18"/>
              </w:rPr>
              <w:t>150</w:t>
            </w:r>
          </w:p>
        </w:tc>
        <w:tc>
          <w:tcPr>
            <w:tcW w:w="1350" w:type="dxa"/>
          </w:tcPr>
          <w:p w:rsidR="00FF6FA4" w:rsidRPr="00E03BD0" w:rsidRDefault="00FF6FA4" w:rsidP="00DB4B02">
            <w:pPr>
              <w:pStyle w:val="Tabletext"/>
              <w:jc w:val="center"/>
              <w:rPr>
                <w:sz w:val="18"/>
                <w:szCs w:val="18"/>
              </w:rPr>
            </w:pPr>
            <w:r w:rsidRPr="00E03BD0">
              <w:rPr>
                <w:sz w:val="18"/>
                <w:szCs w:val="18"/>
              </w:rPr>
              <w:t>350</w:t>
            </w:r>
          </w:p>
        </w:tc>
        <w:tc>
          <w:tcPr>
            <w:tcW w:w="1563" w:type="dxa"/>
            <w:gridSpan w:val="2"/>
          </w:tcPr>
          <w:p w:rsidR="00FF6FA4" w:rsidRPr="00E03BD0" w:rsidRDefault="00FF6FA4" w:rsidP="00DB4B02">
            <w:pPr>
              <w:pStyle w:val="Tabletext"/>
              <w:jc w:val="center"/>
              <w:rPr>
                <w:sz w:val="18"/>
                <w:szCs w:val="18"/>
              </w:rPr>
            </w:pPr>
            <w:r w:rsidRPr="00E03BD0">
              <w:rPr>
                <w:sz w:val="18"/>
                <w:szCs w:val="18"/>
              </w:rPr>
              <w:t>70</w:t>
            </w:r>
          </w:p>
        </w:tc>
      </w:tr>
      <w:tr w:rsidR="00FF6FA4" w:rsidRPr="00E03BD0" w:rsidTr="00DB4B02">
        <w:trPr>
          <w:jc w:val="center"/>
        </w:trPr>
        <w:tc>
          <w:tcPr>
            <w:tcW w:w="3600" w:type="dxa"/>
          </w:tcPr>
          <w:p w:rsidR="00FF6FA4" w:rsidRPr="00E03BD0" w:rsidRDefault="00FF6FA4" w:rsidP="006767F0">
            <w:pPr>
              <w:pStyle w:val="Tabletext"/>
              <w:ind w:left="284" w:hanging="284"/>
              <w:jc w:val="left"/>
              <w:rPr>
                <w:sz w:val="18"/>
                <w:szCs w:val="18"/>
              </w:rPr>
            </w:pPr>
            <w:r>
              <w:rPr>
                <w:sz w:val="18"/>
                <w:szCs w:val="18"/>
              </w:rPr>
              <w:t>5</w:t>
            </w:r>
            <w:r w:rsidRPr="00E03BD0">
              <w:rPr>
                <w:sz w:val="18"/>
                <w:szCs w:val="18"/>
              </w:rPr>
              <w:tab/>
              <w:t>Affaiblissement sur le trajet en espace libre (dB)</w:t>
            </w:r>
          </w:p>
        </w:tc>
        <w:tc>
          <w:tcPr>
            <w:tcW w:w="1542" w:type="dxa"/>
            <w:gridSpan w:val="2"/>
          </w:tcPr>
          <w:p w:rsidR="00FF6FA4" w:rsidRPr="00E03BD0" w:rsidRDefault="00FF6FA4" w:rsidP="00DB4B02">
            <w:pPr>
              <w:pStyle w:val="Tabletext"/>
              <w:jc w:val="center"/>
              <w:rPr>
                <w:sz w:val="18"/>
                <w:szCs w:val="18"/>
              </w:rPr>
            </w:pPr>
            <w:r w:rsidRPr="00E03BD0">
              <w:rPr>
                <w:sz w:val="18"/>
                <w:szCs w:val="18"/>
              </w:rPr>
              <w:t>132,5</w:t>
            </w:r>
          </w:p>
        </w:tc>
        <w:tc>
          <w:tcPr>
            <w:tcW w:w="1415" w:type="dxa"/>
          </w:tcPr>
          <w:p w:rsidR="00FF6FA4" w:rsidRPr="00E03BD0" w:rsidRDefault="00FF6FA4" w:rsidP="00DB4B02">
            <w:pPr>
              <w:pStyle w:val="Tabletext"/>
              <w:jc w:val="center"/>
              <w:rPr>
                <w:sz w:val="18"/>
                <w:szCs w:val="18"/>
              </w:rPr>
            </w:pPr>
            <w:r w:rsidRPr="00E03BD0">
              <w:rPr>
                <w:sz w:val="18"/>
                <w:szCs w:val="18"/>
              </w:rPr>
              <w:t>128,0</w:t>
            </w:r>
          </w:p>
        </w:tc>
        <w:tc>
          <w:tcPr>
            <w:tcW w:w="1350" w:type="dxa"/>
          </w:tcPr>
          <w:p w:rsidR="00FF6FA4" w:rsidRPr="00E03BD0" w:rsidRDefault="00FF6FA4" w:rsidP="00DB4B02">
            <w:pPr>
              <w:pStyle w:val="Tabletext"/>
              <w:jc w:val="center"/>
              <w:rPr>
                <w:sz w:val="18"/>
                <w:szCs w:val="18"/>
              </w:rPr>
            </w:pPr>
            <w:r w:rsidRPr="00E03BD0">
              <w:rPr>
                <w:sz w:val="18"/>
                <w:szCs w:val="18"/>
              </w:rPr>
              <w:t>135,4</w:t>
            </w:r>
          </w:p>
        </w:tc>
        <w:tc>
          <w:tcPr>
            <w:tcW w:w="1563" w:type="dxa"/>
            <w:gridSpan w:val="2"/>
          </w:tcPr>
          <w:p w:rsidR="00FF6FA4" w:rsidRPr="00E03BD0" w:rsidRDefault="00FF6FA4" w:rsidP="00DB4B02">
            <w:pPr>
              <w:pStyle w:val="Tabletext"/>
              <w:jc w:val="center"/>
              <w:rPr>
                <w:sz w:val="18"/>
                <w:szCs w:val="18"/>
              </w:rPr>
            </w:pPr>
            <w:r w:rsidRPr="00E03BD0">
              <w:rPr>
                <w:sz w:val="18"/>
                <w:szCs w:val="18"/>
              </w:rPr>
              <w:t>121,4</w:t>
            </w:r>
          </w:p>
        </w:tc>
      </w:tr>
      <w:tr w:rsidR="00FF6FA4" w:rsidRPr="00E03BD0" w:rsidTr="00DB4B02">
        <w:trPr>
          <w:jc w:val="center"/>
        </w:trPr>
        <w:tc>
          <w:tcPr>
            <w:tcW w:w="3600" w:type="dxa"/>
          </w:tcPr>
          <w:p w:rsidR="00FF6FA4" w:rsidRPr="00E03BD0" w:rsidRDefault="00FF6FA4" w:rsidP="006767F0">
            <w:pPr>
              <w:pStyle w:val="Tabletext"/>
              <w:ind w:left="284" w:hanging="284"/>
              <w:jc w:val="left"/>
              <w:rPr>
                <w:sz w:val="18"/>
                <w:szCs w:val="18"/>
              </w:rPr>
            </w:pPr>
            <w:r>
              <w:rPr>
                <w:sz w:val="18"/>
                <w:szCs w:val="18"/>
              </w:rPr>
              <w:t>6</w:t>
            </w:r>
            <w:r w:rsidRPr="00E03BD0">
              <w:rPr>
                <w:sz w:val="18"/>
                <w:szCs w:val="18"/>
              </w:rPr>
              <w:tab/>
              <w:t>Affaiblissement supplémentaire sur le trajet (pluie, évanouissements, etc.) (dB)</w:t>
            </w:r>
          </w:p>
        </w:tc>
        <w:tc>
          <w:tcPr>
            <w:tcW w:w="1542" w:type="dxa"/>
            <w:gridSpan w:val="2"/>
          </w:tcPr>
          <w:p w:rsidR="00FF6FA4" w:rsidRPr="00E03BD0" w:rsidRDefault="00FF6FA4" w:rsidP="00DB4B02">
            <w:pPr>
              <w:pStyle w:val="Tabletext"/>
              <w:jc w:val="center"/>
              <w:rPr>
                <w:sz w:val="18"/>
                <w:szCs w:val="18"/>
              </w:rPr>
            </w:pPr>
            <w:r w:rsidRPr="00E03BD0">
              <w:rPr>
                <w:sz w:val="18"/>
                <w:szCs w:val="18"/>
              </w:rPr>
              <w:t>1,5</w:t>
            </w:r>
          </w:p>
        </w:tc>
        <w:tc>
          <w:tcPr>
            <w:tcW w:w="1415" w:type="dxa"/>
          </w:tcPr>
          <w:p w:rsidR="00FF6FA4" w:rsidRPr="00E03BD0" w:rsidRDefault="00FF6FA4" w:rsidP="00DB4B02">
            <w:pPr>
              <w:pStyle w:val="Tabletext"/>
              <w:jc w:val="center"/>
              <w:rPr>
                <w:sz w:val="18"/>
                <w:szCs w:val="18"/>
              </w:rPr>
            </w:pPr>
            <w:r w:rsidRPr="00E03BD0">
              <w:rPr>
                <w:sz w:val="18"/>
                <w:szCs w:val="18"/>
              </w:rPr>
              <w:t>1,0</w:t>
            </w:r>
          </w:p>
        </w:tc>
        <w:tc>
          <w:tcPr>
            <w:tcW w:w="1350" w:type="dxa"/>
          </w:tcPr>
          <w:p w:rsidR="00FF6FA4" w:rsidRPr="00E03BD0" w:rsidRDefault="00FF6FA4" w:rsidP="00DB4B02">
            <w:pPr>
              <w:pStyle w:val="Tabletext"/>
              <w:jc w:val="center"/>
              <w:rPr>
                <w:sz w:val="18"/>
                <w:szCs w:val="18"/>
              </w:rPr>
            </w:pPr>
            <w:r w:rsidRPr="00E03BD0">
              <w:rPr>
                <w:sz w:val="18"/>
                <w:szCs w:val="18"/>
              </w:rPr>
              <w:t>4,0</w:t>
            </w:r>
          </w:p>
        </w:tc>
        <w:tc>
          <w:tcPr>
            <w:tcW w:w="1563" w:type="dxa"/>
            <w:gridSpan w:val="2"/>
          </w:tcPr>
          <w:p w:rsidR="00FF6FA4" w:rsidRPr="00E03BD0" w:rsidRDefault="00FF6FA4" w:rsidP="00DB4B02">
            <w:pPr>
              <w:pStyle w:val="Tabletext"/>
              <w:jc w:val="center"/>
              <w:rPr>
                <w:sz w:val="18"/>
                <w:szCs w:val="18"/>
              </w:rPr>
            </w:pPr>
            <w:r w:rsidRPr="00E03BD0">
              <w:rPr>
                <w:sz w:val="18"/>
                <w:szCs w:val="18"/>
              </w:rPr>
              <w:t>0,25</w:t>
            </w:r>
          </w:p>
        </w:tc>
      </w:tr>
      <w:tr w:rsidR="00FF6FA4" w:rsidRPr="00E03BD0" w:rsidTr="00DB4B02">
        <w:trPr>
          <w:jc w:val="center"/>
        </w:trPr>
        <w:tc>
          <w:tcPr>
            <w:tcW w:w="3600" w:type="dxa"/>
          </w:tcPr>
          <w:p w:rsidR="00FF6FA4" w:rsidRPr="00E03BD0" w:rsidRDefault="00FF6FA4" w:rsidP="006767F0">
            <w:pPr>
              <w:pStyle w:val="Tabletext"/>
              <w:jc w:val="left"/>
              <w:rPr>
                <w:sz w:val="18"/>
                <w:szCs w:val="18"/>
              </w:rPr>
            </w:pPr>
            <w:r>
              <w:rPr>
                <w:sz w:val="18"/>
                <w:szCs w:val="18"/>
              </w:rPr>
              <w:t>7</w:t>
            </w:r>
            <w:r w:rsidRPr="00E03BD0">
              <w:rPr>
                <w:sz w:val="18"/>
                <w:szCs w:val="18"/>
              </w:rPr>
              <w:tab/>
              <w:t>Gain d'antenne de la station au sol (dBi)</w:t>
            </w:r>
          </w:p>
        </w:tc>
        <w:tc>
          <w:tcPr>
            <w:tcW w:w="1542" w:type="dxa"/>
            <w:gridSpan w:val="2"/>
          </w:tcPr>
          <w:p w:rsidR="00FF6FA4" w:rsidRPr="00E03BD0" w:rsidRDefault="00FF6FA4" w:rsidP="00DB4B02">
            <w:pPr>
              <w:pStyle w:val="Tabletext"/>
              <w:jc w:val="center"/>
              <w:rPr>
                <w:sz w:val="18"/>
                <w:szCs w:val="18"/>
              </w:rPr>
            </w:pPr>
            <w:r w:rsidRPr="00E03BD0">
              <w:rPr>
                <w:sz w:val="18"/>
                <w:szCs w:val="18"/>
              </w:rPr>
              <w:t>8,0</w:t>
            </w:r>
          </w:p>
        </w:tc>
        <w:tc>
          <w:tcPr>
            <w:tcW w:w="1415" w:type="dxa"/>
          </w:tcPr>
          <w:p w:rsidR="00FF6FA4" w:rsidRPr="00E03BD0" w:rsidRDefault="00FF6FA4" w:rsidP="00DB4B02">
            <w:pPr>
              <w:pStyle w:val="Tabletext"/>
              <w:jc w:val="center"/>
              <w:rPr>
                <w:sz w:val="18"/>
                <w:szCs w:val="18"/>
              </w:rPr>
            </w:pPr>
            <w:r w:rsidRPr="00E03BD0">
              <w:rPr>
                <w:sz w:val="18"/>
                <w:szCs w:val="18"/>
              </w:rPr>
              <w:t>2,0</w:t>
            </w:r>
          </w:p>
        </w:tc>
        <w:tc>
          <w:tcPr>
            <w:tcW w:w="1350" w:type="dxa"/>
          </w:tcPr>
          <w:p w:rsidR="00FF6FA4" w:rsidRPr="00E03BD0" w:rsidRDefault="00FF6FA4" w:rsidP="00DB4B02">
            <w:pPr>
              <w:pStyle w:val="Tabletext"/>
              <w:jc w:val="center"/>
              <w:rPr>
                <w:sz w:val="18"/>
                <w:szCs w:val="18"/>
              </w:rPr>
            </w:pPr>
            <w:r w:rsidRPr="00E03BD0">
              <w:rPr>
                <w:sz w:val="18"/>
                <w:szCs w:val="18"/>
              </w:rPr>
              <w:t>0,0</w:t>
            </w:r>
          </w:p>
        </w:tc>
        <w:tc>
          <w:tcPr>
            <w:tcW w:w="1563" w:type="dxa"/>
            <w:gridSpan w:val="2"/>
          </w:tcPr>
          <w:p w:rsidR="00FF6FA4" w:rsidRPr="00E03BD0" w:rsidRDefault="00FF6FA4" w:rsidP="00DB4B02">
            <w:pPr>
              <w:pStyle w:val="Tabletext"/>
              <w:jc w:val="center"/>
              <w:rPr>
                <w:sz w:val="18"/>
                <w:szCs w:val="18"/>
              </w:rPr>
            </w:pPr>
            <w:r w:rsidRPr="00E03BD0">
              <w:rPr>
                <w:sz w:val="18"/>
                <w:szCs w:val="18"/>
              </w:rPr>
              <w:t>20</w:t>
            </w:r>
          </w:p>
        </w:tc>
      </w:tr>
      <w:tr w:rsidR="00FF6FA4" w:rsidRPr="00E03BD0" w:rsidTr="00DB4B02">
        <w:trPr>
          <w:jc w:val="center"/>
        </w:trPr>
        <w:tc>
          <w:tcPr>
            <w:tcW w:w="3600" w:type="dxa"/>
          </w:tcPr>
          <w:p w:rsidR="00FF6FA4" w:rsidRPr="00E03BD0" w:rsidRDefault="00FF6FA4" w:rsidP="006767F0">
            <w:pPr>
              <w:pStyle w:val="Tabletext"/>
              <w:ind w:left="284" w:hanging="284"/>
              <w:jc w:val="left"/>
              <w:rPr>
                <w:sz w:val="18"/>
                <w:szCs w:val="18"/>
              </w:rPr>
            </w:pPr>
            <w:r>
              <w:rPr>
                <w:sz w:val="18"/>
                <w:szCs w:val="18"/>
              </w:rPr>
              <w:t>8</w:t>
            </w:r>
            <w:r w:rsidRPr="00E03BD0">
              <w:rPr>
                <w:sz w:val="18"/>
                <w:szCs w:val="18"/>
              </w:rPr>
              <w:tab/>
              <w:t>Erreur de pointage de l'antenne de la station au sol (dB)</w:t>
            </w:r>
          </w:p>
        </w:tc>
        <w:tc>
          <w:tcPr>
            <w:tcW w:w="4307" w:type="dxa"/>
            <w:gridSpan w:val="4"/>
          </w:tcPr>
          <w:p w:rsidR="00FF6FA4" w:rsidRPr="00E03BD0" w:rsidRDefault="00FF6FA4" w:rsidP="00DB4B02">
            <w:pPr>
              <w:pStyle w:val="Tabletext"/>
              <w:jc w:val="center"/>
              <w:rPr>
                <w:sz w:val="18"/>
                <w:szCs w:val="18"/>
              </w:rPr>
            </w:pPr>
            <w:r w:rsidRPr="00E03BD0">
              <w:rPr>
                <w:sz w:val="18"/>
                <w:szCs w:val="18"/>
              </w:rPr>
              <w:t>0,0</w:t>
            </w:r>
          </w:p>
        </w:tc>
        <w:tc>
          <w:tcPr>
            <w:tcW w:w="1563" w:type="dxa"/>
            <w:gridSpan w:val="2"/>
          </w:tcPr>
          <w:p w:rsidR="00FF6FA4" w:rsidRPr="00E03BD0" w:rsidRDefault="00FF6FA4" w:rsidP="00DB4B02">
            <w:pPr>
              <w:pStyle w:val="Tabletext"/>
              <w:jc w:val="center"/>
              <w:rPr>
                <w:sz w:val="18"/>
                <w:szCs w:val="18"/>
              </w:rPr>
            </w:pPr>
            <w:r w:rsidRPr="00E03BD0">
              <w:rPr>
                <w:sz w:val="18"/>
                <w:szCs w:val="18"/>
              </w:rPr>
              <w:t>0,5</w:t>
            </w:r>
          </w:p>
        </w:tc>
      </w:tr>
      <w:tr w:rsidR="00FF6FA4" w:rsidRPr="00E03BD0" w:rsidTr="00DB4B02">
        <w:trPr>
          <w:jc w:val="center"/>
        </w:trPr>
        <w:tc>
          <w:tcPr>
            <w:tcW w:w="3600" w:type="dxa"/>
          </w:tcPr>
          <w:p w:rsidR="00FF6FA4" w:rsidRPr="00E03BD0" w:rsidRDefault="00FF6FA4" w:rsidP="006767F0">
            <w:pPr>
              <w:pStyle w:val="Tabletext"/>
              <w:ind w:left="284" w:hanging="284"/>
              <w:jc w:val="left"/>
              <w:rPr>
                <w:sz w:val="18"/>
                <w:szCs w:val="18"/>
              </w:rPr>
            </w:pPr>
            <w:r>
              <w:rPr>
                <w:sz w:val="18"/>
                <w:szCs w:val="18"/>
              </w:rPr>
              <w:t>9</w:t>
            </w:r>
            <w:r w:rsidRPr="00E03BD0">
              <w:rPr>
                <w:sz w:val="18"/>
                <w:szCs w:val="18"/>
              </w:rPr>
              <w:tab/>
              <w:t>Affaiblissement dans le système de réception (alimentation d'antennes, câbles, etc.) (dB)</w:t>
            </w:r>
          </w:p>
        </w:tc>
        <w:tc>
          <w:tcPr>
            <w:tcW w:w="2957" w:type="dxa"/>
            <w:gridSpan w:val="3"/>
          </w:tcPr>
          <w:p w:rsidR="00FF6FA4" w:rsidRPr="00E03BD0" w:rsidRDefault="00FF6FA4" w:rsidP="00DB4B02">
            <w:pPr>
              <w:pStyle w:val="Tabletext"/>
              <w:jc w:val="center"/>
              <w:rPr>
                <w:sz w:val="18"/>
                <w:szCs w:val="18"/>
              </w:rPr>
            </w:pPr>
            <w:r w:rsidRPr="00E03BD0">
              <w:rPr>
                <w:sz w:val="18"/>
                <w:szCs w:val="18"/>
              </w:rPr>
              <w:t>2,0</w:t>
            </w:r>
          </w:p>
        </w:tc>
        <w:tc>
          <w:tcPr>
            <w:tcW w:w="1350" w:type="dxa"/>
          </w:tcPr>
          <w:p w:rsidR="00FF6FA4" w:rsidRPr="00E03BD0" w:rsidRDefault="00FF6FA4" w:rsidP="00DB4B02">
            <w:pPr>
              <w:pStyle w:val="Tabletext"/>
              <w:jc w:val="center"/>
              <w:rPr>
                <w:sz w:val="18"/>
                <w:szCs w:val="18"/>
              </w:rPr>
            </w:pPr>
            <w:r w:rsidRPr="00E03BD0">
              <w:rPr>
                <w:sz w:val="18"/>
                <w:szCs w:val="18"/>
              </w:rPr>
              <w:t>0,0</w:t>
            </w:r>
          </w:p>
        </w:tc>
        <w:tc>
          <w:tcPr>
            <w:tcW w:w="1563" w:type="dxa"/>
            <w:gridSpan w:val="2"/>
          </w:tcPr>
          <w:p w:rsidR="00FF6FA4" w:rsidRPr="00E03BD0" w:rsidRDefault="00FF6FA4" w:rsidP="00DB4B02">
            <w:pPr>
              <w:pStyle w:val="Tabletext"/>
              <w:jc w:val="center"/>
              <w:rPr>
                <w:sz w:val="18"/>
                <w:szCs w:val="18"/>
              </w:rPr>
            </w:pPr>
            <w:r w:rsidRPr="00E03BD0">
              <w:rPr>
                <w:sz w:val="18"/>
                <w:szCs w:val="18"/>
              </w:rPr>
              <w:t>2,0</w:t>
            </w:r>
          </w:p>
        </w:tc>
      </w:tr>
      <w:tr w:rsidR="00FF6FA4" w:rsidRPr="00E03BD0" w:rsidTr="00DB4B02">
        <w:trPr>
          <w:jc w:val="center"/>
        </w:trPr>
        <w:tc>
          <w:tcPr>
            <w:tcW w:w="3600" w:type="dxa"/>
          </w:tcPr>
          <w:p w:rsidR="00FF6FA4" w:rsidRPr="00E03BD0" w:rsidRDefault="00FF6FA4" w:rsidP="006767F0">
            <w:pPr>
              <w:pStyle w:val="Tabletext"/>
              <w:ind w:left="284" w:hanging="284"/>
              <w:jc w:val="left"/>
              <w:rPr>
                <w:sz w:val="18"/>
                <w:szCs w:val="18"/>
              </w:rPr>
            </w:pPr>
            <w:r>
              <w:rPr>
                <w:sz w:val="18"/>
                <w:szCs w:val="18"/>
              </w:rPr>
              <w:t>10</w:t>
            </w:r>
            <w:r w:rsidRPr="00E03BD0">
              <w:rPr>
                <w:sz w:val="18"/>
                <w:szCs w:val="18"/>
              </w:rPr>
              <w:tab/>
              <w:t>Affaiblissement par défaut d'adaptation de la polarisation (dB)</w:t>
            </w:r>
          </w:p>
        </w:tc>
        <w:tc>
          <w:tcPr>
            <w:tcW w:w="2957" w:type="dxa"/>
            <w:gridSpan w:val="3"/>
          </w:tcPr>
          <w:p w:rsidR="00FF6FA4" w:rsidRPr="00E03BD0" w:rsidRDefault="00FF6FA4" w:rsidP="00DB4B02">
            <w:pPr>
              <w:pStyle w:val="Tabletext"/>
              <w:jc w:val="center"/>
              <w:rPr>
                <w:sz w:val="18"/>
                <w:szCs w:val="18"/>
              </w:rPr>
            </w:pPr>
            <w:r w:rsidRPr="00E03BD0">
              <w:rPr>
                <w:sz w:val="18"/>
                <w:szCs w:val="18"/>
              </w:rPr>
              <w:t>0,5</w:t>
            </w:r>
          </w:p>
        </w:tc>
        <w:tc>
          <w:tcPr>
            <w:tcW w:w="1350" w:type="dxa"/>
          </w:tcPr>
          <w:p w:rsidR="00FF6FA4" w:rsidRPr="00E03BD0" w:rsidRDefault="00FF6FA4" w:rsidP="00DB4B02">
            <w:pPr>
              <w:pStyle w:val="Tabletext"/>
              <w:jc w:val="center"/>
              <w:rPr>
                <w:sz w:val="18"/>
                <w:szCs w:val="18"/>
              </w:rPr>
            </w:pPr>
            <w:r w:rsidRPr="00E03BD0">
              <w:rPr>
                <w:sz w:val="18"/>
                <w:szCs w:val="18"/>
              </w:rPr>
              <w:t>0,0</w:t>
            </w:r>
          </w:p>
        </w:tc>
        <w:tc>
          <w:tcPr>
            <w:tcW w:w="1563" w:type="dxa"/>
            <w:gridSpan w:val="2"/>
          </w:tcPr>
          <w:p w:rsidR="00FF6FA4" w:rsidRPr="00E03BD0" w:rsidRDefault="00FF6FA4" w:rsidP="00DB4B02">
            <w:pPr>
              <w:pStyle w:val="Tabletext"/>
              <w:jc w:val="center"/>
              <w:rPr>
                <w:sz w:val="18"/>
                <w:szCs w:val="18"/>
              </w:rPr>
            </w:pPr>
            <w:r w:rsidRPr="00E03BD0">
              <w:rPr>
                <w:sz w:val="18"/>
                <w:szCs w:val="18"/>
              </w:rPr>
              <w:t>0,5</w:t>
            </w:r>
          </w:p>
        </w:tc>
      </w:tr>
      <w:tr w:rsidR="00FF6FA4" w:rsidRPr="00E03BD0" w:rsidTr="00DB4B02">
        <w:trPr>
          <w:jc w:val="center"/>
        </w:trPr>
        <w:tc>
          <w:tcPr>
            <w:tcW w:w="3600" w:type="dxa"/>
          </w:tcPr>
          <w:p w:rsidR="00FF6FA4" w:rsidRPr="00E03BD0" w:rsidRDefault="00FF6FA4" w:rsidP="006767F0">
            <w:pPr>
              <w:pStyle w:val="Tabletext"/>
              <w:jc w:val="left"/>
              <w:rPr>
                <w:sz w:val="18"/>
                <w:szCs w:val="18"/>
              </w:rPr>
            </w:pPr>
            <w:r>
              <w:rPr>
                <w:sz w:val="18"/>
                <w:szCs w:val="18"/>
              </w:rPr>
              <w:t>11</w:t>
            </w:r>
            <w:r w:rsidRPr="00E03BD0">
              <w:rPr>
                <w:sz w:val="18"/>
                <w:szCs w:val="18"/>
              </w:rPr>
              <w:tab/>
              <w:t>Puissance du signal reçu (dBW)</w:t>
            </w:r>
          </w:p>
        </w:tc>
        <w:tc>
          <w:tcPr>
            <w:tcW w:w="1542" w:type="dxa"/>
            <w:gridSpan w:val="2"/>
          </w:tcPr>
          <w:p w:rsidR="00FF6FA4" w:rsidRPr="00E03BD0" w:rsidRDefault="00FF6FA4" w:rsidP="00DB4B02">
            <w:pPr>
              <w:pStyle w:val="Tabletext"/>
              <w:jc w:val="center"/>
              <w:rPr>
                <w:sz w:val="18"/>
                <w:szCs w:val="18"/>
              </w:rPr>
            </w:pPr>
            <w:r>
              <w:rPr>
                <w:sz w:val="18"/>
                <w:szCs w:val="18"/>
              </w:rPr>
              <w:t>–</w:t>
            </w:r>
            <w:r w:rsidRPr="00E03BD0">
              <w:rPr>
                <w:sz w:val="18"/>
                <w:szCs w:val="18"/>
              </w:rPr>
              <w:t>132,5</w:t>
            </w:r>
          </w:p>
        </w:tc>
        <w:tc>
          <w:tcPr>
            <w:tcW w:w="1415" w:type="dxa"/>
          </w:tcPr>
          <w:p w:rsidR="00FF6FA4" w:rsidRPr="00E03BD0" w:rsidRDefault="00FF6FA4" w:rsidP="00DB4B02">
            <w:pPr>
              <w:pStyle w:val="Tabletext"/>
              <w:jc w:val="center"/>
              <w:rPr>
                <w:sz w:val="18"/>
                <w:szCs w:val="18"/>
              </w:rPr>
            </w:pPr>
            <w:r>
              <w:rPr>
                <w:sz w:val="18"/>
                <w:szCs w:val="18"/>
              </w:rPr>
              <w:t>–</w:t>
            </w:r>
            <w:r w:rsidRPr="00E03BD0">
              <w:rPr>
                <w:sz w:val="18"/>
                <w:szCs w:val="18"/>
              </w:rPr>
              <w:t>133,5</w:t>
            </w:r>
          </w:p>
        </w:tc>
        <w:tc>
          <w:tcPr>
            <w:tcW w:w="1350" w:type="dxa"/>
          </w:tcPr>
          <w:p w:rsidR="00FF6FA4" w:rsidRPr="00E03BD0" w:rsidRDefault="00FF6FA4" w:rsidP="00DB4B02">
            <w:pPr>
              <w:pStyle w:val="Tabletext"/>
              <w:jc w:val="center"/>
              <w:rPr>
                <w:sz w:val="18"/>
                <w:szCs w:val="18"/>
              </w:rPr>
            </w:pPr>
            <w:r>
              <w:rPr>
                <w:sz w:val="18"/>
                <w:szCs w:val="18"/>
              </w:rPr>
              <w:t>–</w:t>
            </w:r>
            <w:r w:rsidRPr="00E03BD0">
              <w:rPr>
                <w:sz w:val="18"/>
                <w:szCs w:val="18"/>
              </w:rPr>
              <w:t>145,9</w:t>
            </w:r>
          </w:p>
        </w:tc>
        <w:tc>
          <w:tcPr>
            <w:tcW w:w="1563" w:type="dxa"/>
            <w:gridSpan w:val="2"/>
          </w:tcPr>
          <w:p w:rsidR="00FF6FA4" w:rsidRPr="00E03BD0" w:rsidRDefault="00FF6FA4" w:rsidP="00DB4B02">
            <w:pPr>
              <w:pStyle w:val="Tabletext"/>
              <w:jc w:val="center"/>
              <w:rPr>
                <w:sz w:val="18"/>
                <w:szCs w:val="18"/>
              </w:rPr>
            </w:pPr>
            <w:r>
              <w:rPr>
                <w:sz w:val="18"/>
                <w:szCs w:val="18"/>
              </w:rPr>
              <w:t>–</w:t>
            </w:r>
            <w:r w:rsidRPr="00E03BD0">
              <w:rPr>
                <w:sz w:val="18"/>
                <w:szCs w:val="18"/>
              </w:rPr>
              <w:t>109,85</w:t>
            </w:r>
          </w:p>
        </w:tc>
      </w:tr>
      <w:tr w:rsidR="00FF6FA4" w:rsidRPr="00E03BD0" w:rsidTr="00DB4B02">
        <w:trPr>
          <w:jc w:val="center"/>
        </w:trPr>
        <w:tc>
          <w:tcPr>
            <w:tcW w:w="3600" w:type="dxa"/>
          </w:tcPr>
          <w:p w:rsidR="00FF6FA4" w:rsidRPr="00E03BD0" w:rsidRDefault="00FF6FA4" w:rsidP="006767F0">
            <w:pPr>
              <w:pStyle w:val="Tabletext"/>
              <w:ind w:left="284" w:hanging="284"/>
              <w:jc w:val="left"/>
              <w:rPr>
                <w:sz w:val="18"/>
                <w:szCs w:val="18"/>
              </w:rPr>
            </w:pPr>
            <w:r w:rsidRPr="00E03BD0">
              <w:rPr>
                <w:sz w:val="18"/>
                <w:szCs w:val="18"/>
              </w:rPr>
              <w:t>12.</w:t>
            </w:r>
            <w:r w:rsidRPr="00E03BD0">
              <w:rPr>
                <w:sz w:val="18"/>
                <w:szCs w:val="18"/>
              </w:rPr>
              <w:tab/>
              <w:t>Largeur de bande de référence du récepteur (kHz)</w:t>
            </w:r>
          </w:p>
        </w:tc>
        <w:tc>
          <w:tcPr>
            <w:tcW w:w="2957" w:type="dxa"/>
            <w:gridSpan w:val="3"/>
          </w:tcPr>
          <w:p w:rsidR="00FF6FA4" w:rsidRPr="00E03BD0" w:rsidRDefault="00FF6FA4" w:rsidP="00DB4B02">
            <w:pPr>
              <w:pStyle w:val="Tabletext"/>
              <w:jc w:val="center"/>
              <w:rPr>
                <w:sz w:val="18"/>
                <w:szCs w:val="18"/>
              </w:rPr>
            </w:pPr>
            <w:r w:rsidRPr="00E03BD0">
              <w:rPr>
                <w:sz w:val="18"/>
                <w:szCs w:val="18"/>
              </w:rPr>
              <w:t>300</w:t>
            </w:r>
          </w:p>
        </w:tc>
        <w:tc>
          <w:tcPr>
            <w:tcW w:w="1350" w:type="dxa"/>
          </w:tcPr>
          <w:p w:rsidR="00FF6FA4" w:rsidRPr="00E03BD0" w:rsidRDefault="00FF6FA4" w:rsidP="00DB4B02">
            <w:pPr>
              <w:pStyle w:val="Tabletext"/>
              <w:jc w:val="center"/>
              <w:rPr>
                <w:sz w:val="18"/>
                <w:szCs w:val="18"/>
              </w:rPr>
            </w:pPr>
            <w:r w:rsidRPr="00E03BD0">
              <w:rPr>
                <w:sz w:val="18"/>
                <w:szCs w:val="18"/>
              </w:rPr>
              <w:t>20</w:t>
            </w:r>
          </w:p>
        </w:tc>
        <w:tc>
          <w:tcPr>
            <w:tcW w:w="1563" w:type="dxa"/>
            <w:gridSpan w:val="2"/>
          </w:tcPr>
          <w:p w:rsidR="00FF6FA4" w:rsidRPr="00E03BD0" w:rsidRDefault="00FF6FA4" w:rsidP="00DB4B02">
            <w:pPr>
              <w:pStyle w:val="Tabletext"/>
              <w:jc w:val="center"/>
              <w:rPr>
                <w:sz w:val="18"/>
                <w:szCs w:val="18"/>
              </w:rPr>
            </w:pPr>
            <w:r w:rsidRPr="00E03BD0">
              <w:rPr>
                <w:sz w:val="18"/>
                <w:szCs w:val="18"/>
              </w:rPr>
              <w:t>3 000</w:t>
            </w:r>
          </w:p>
        </w:tc>
      </w:tr>
      <w:tr w:rsidR="00FF6FA4" w:rsidRPr="00E03BD0" w:rsidTr="00DB4B02">
        <w:trPr>
          <w:jc w:val="center"/>
        </w:trPr>
        <w:tc>
          <w:tcPr>
            <w:tcW w:w="3600" w:type="dxa"/>
          </w:tcPr>
          <w:p w:rsidR="00FF6FA4" w:rsidRPr="00E03BD0" w:rsidRDefault="00FF6FA4" w:rsidP="006767F0">
            <w:pPr>
              <w:pStyle w:val="Tabletext"/>
              <w:jc w:val="left"/>
              <w:rPr>
                <w:sz w:val="18"/>
                <w:szCs w:val="18"/>
              </w:rPr>
            </w:pPr>
            <w:r>
              <w:rPr>
                <w:sz w:val="18"/>
                <w:szCs w:val="18"/>
              </w:rPr>
              <w:t>13</w:t>
            </w:r>
            <w:r w:rsidRPr="00E03BD0">
              <w:rPr>
                <w:sz w:val="18"/>
                <w:szCs w:val="18"/>
              </w:rPr>
              <w:tab/>
              <w:t>Largeur de bande de référence (dBHz)</w:t>
            </w:r>
          </w:p>
        </w:tc>
        <w:tc>
          <w:tcPr>
            <w:tcW w:w="2957" w:type="dxa"/>
            <w:gridSpan w:val="3"/>
          </w:tcPr>
          <w:p w:rsidR="00FF6FA4" w:rsidRPr="00E03BD0" w:rsidRDefault="00FF6FA4" w:rsidP="00DB4B02">
            <w:pPr>
              <w:pStyle w:val="Tabletext"/>
              <w:jc w:val="center"/>
              <w:rPr>
                <w:sz w:val="18"/>
                <w:szCs w:val="18"/>
              </w:rPr>
            </w:pPr>
            <w:r w:rsidRPr="00E03BD0">
              <w:rPr>
                <w:sz w:val="18"/>
                <w:szCs w:val="18"/>
              </w:rPr>
              <w:t>54,8</w:t>
            </w:r>
          </w:p>
        </w:tc>
        <w:tc>
          <w:tcPr>
            <w:tcW w:w="1350" w:type="dxa"/>
          </w:tcPr>
          <w:p w:rsidR="00FF6FA4" w:rsidRPr="00E03BD0" w:rsidRDefault="00FF6FA4" w:rsidP="00DB4B02">
            <w:pPr>
              <w:pStyle w:val="Tabletext"/>
              <w:jc w:val="center"/>
              <w:rPr>
                <w:sz w:val="18"/>
                <w:szCs w:val="18"/>
              </w:rPr>
            </w:pPr>
            <w:r w:rsidRPr="00E03BD0">
              <w:rPr>
                <w:sz w:val="18"/>
                <w:szCs w:val="18"/>
              </w:rPr>
              <w:t>42,5</w:t>
            </w:r>
          </w:p>
        </w:tc>
        <w:tc>
          <w:tcPr>
            <w:tcW w:w="1563" w:type="dxa"/>
            <w:gridSpan w:val="2"/>
          </w:tcPr>
          <w:p w:rsidR="00FF6FA4" w:rsidRPr="00E03BD0" w:rsidRDefault="00FF6FA4" w:rsidP="00DB4B02">
            <w:pPr>
              <w:pStyle w:val="Tabletext"/>
              <w:jc w:val="center"/>
              <w:rPr>
                <w:sz w:val="18"/>
                <w:szCs w:val="18"/>
              </w:rPr>
            </w:pPr>
            <w:r w:rsidRPr="00E03BD0">
              <w:rPr>
                <w:sz w:val="18"/>
                <w:szCs w:val="18"/>
              </w:rPr>
              <w:t>64,8</w:t>
            </w:r>
          </w:p>
        </w:tc>
      </w:tr>
      <w:tr w:rsidR="00FF6FA4" w:rsidRPr="00E03BD0" w:rsidTr="00DB4B02">
        <w:trPr>
          <w:jc w:val="center"/>
        </w:trPr>
        <w:tc>
          <w:tcPr>
            <w:tcW w:w="3600" w:type="dxa"/>
          </w:tcPr>
          <w:p w:rsidR="00FF6FA4" w:rsidRPr="00E03BD0" w:rsidRDefault="00FF6FA4" w:rsidP="006767F0">
            <w:pPr>
              <w:pStyle w:val="Tabletext"/>
              <w:jc w:val="left"/>
              <w:rPr>
                <w:sz w:val="18"/>
                <w:szCs w:val="18"/>
              </w:rPr>
            </w:pPr>
            <w:r>
              <w:rPr>
                <w:sz w:val="18"/>
                <w:szCs w:val="18"/>
              </w:rPr>
              <w:t>14</w:t>
            </w:r>
            <w:r w:rsidRPr="00E03BD0">
              <w:rPr>
                <w:sz w:val="18"/>
                <w:szCs w:val="18"/>
              </w:rPr>
              <w:tab/>
              <w:t xml:space="preserve">Energie reçue par Hz, </w:t>
            </w:r>
            <w:r w:rsidRPr="00E03BD0">
              <w:rPr>
                <w:i/>
                <w:sz w:val="18"/>
                <w:szCs w:val="18"/>
              </w:rPr>
              <w:t>C</w:t>
            </w:r>
            <w:r w:rsidRPr="00E03BD0">
              <w:rPr>
                <w:position w:val="-4"/>
                <w:sz w:val="18"/>
                <w:szCs w:val="18"/>
              </w:rPr>
              <w:t>0</w:t>
            </w:r>
            <w:r w:rsidRPr="00E03BD0">
              <w:rPr>
                <w:sz w:val="18"/>
                <w:szCs w:val="18"/>
              </w:rPr>
              <w:t xml:space="preserve"> (dB(W/Hz))</w:t>
            </w:r>
          </w:p>
        </w:tc>
        <w:tc>
          <w:tcPr>
            <w:tcW w:w="1542" w:type="dxa"/>
            <w:gridSpan w:val="2"/>
          </w:tcPr>
          <w:p w:rsidR="00FF6FA4" w:rsidRPr="00E03BD0" w:rsidRDefault="00FF6FA4" w:rsidP="00DB4B02">
            <w:pPr>
              <w:pStyle w:val="Tabletext"/>
              <w:jc w:val="center"/>
              <w:rPr>
                <w:sz w:val="18"/>
                <w:szCs w:val="18"/>
              </w:rPr>
            </w:pPr>
            <w:r>
              <w:rPr>
                <w:sz w:val="18"/>
                <w:szCs w:val="18"/>
              </w:rPr>
              <w:t>–</w:t>
            </w:r>
            <w:r w:rsidRPr="00E03BD0">
              <w:rPr>
                <w:sz w:val="18"/>
                <w:szCs w:val="18"/>
              </w:rPr>
              <w:t>187,3</w:t>
            </w:r>
          </w:p>
        </w:tc>
        <w:tc>
          <w:tcPr>
            <w:tcW w:w="1415" w:type="dxa"/>
          </w:tcPr>
          <w:p w:rsidR="00FF6FA4" w:rsidRPr="00E03BD0" w:rsidRDefault="00FF6FA4" w:rsidP="00DB4B02">
            <w:pPr>
              <w:pStyle w:val="Tabletext"/>
              <w:jc w:val="center"/>
              <w:rPr>
                <w:sz w:val="18"/>
                <w:szCs w:val="18"/>
              </w:rPr>
            </w:pPr>
            <w:r>
              <w:rPr>
                <w:sz w:val="18"/>
                <w:szCs w:val="18"/>
              </w:rPr>
              <w:t>–</w:t>
            </w:r>
            <w:r w:rsidRPr="00E03BD0">
              <w:rPr>
                <w:sz w:val="18"/>
                <w:szCs w:val="18"/>
              </w:rPr>
              <w:t>188,3</w:t>
            </w:r>
          </w:p>
        </w:tc>
        <w:tc>
          <w:tcPr>
            <w:tcW w:w="1350" w:type="dxa"/>
          </w:tcPr>
          <w:p w:rsidR="00FF6FA4" w:rsidRPr="00E03BD0" w:rsidRDefault="00FF6FA4" w:rsidP="00DB4B02">
            <w:pPr>
              <w:pStyle w:val="Tabletext"/>
              <w:jc w:val="center"/>
              <w:rPr>
                <w:sz w:val="18"/>
                <w:szCs w:val="18"/>
              </w:rPr>
            </w:pPr>
            <w:r>
              <w:rPr>
                <w:sz w:val="18"/>
                <w:szCs w:val="18"/>
              </w:rPr>
              <w:t>–</w:t>
            </w:r>
            <w:r w:rsidRPr="00E03BD0">
              <w:rPr>
                <w:sz w:val="18"/>
                <w:szCs w:val="18"/>
              </w:rPr>
              <w:t>188,4</w:t>
            </w:r>
          </w:p>
        </w:tc>
        <w:tc>
          <w:tcPr>
            <w:tcW w:w="1563" w:type="dxa"/>
            <w:gridSpan w:val="2"/>
          </w:tcPr>
          <w:p w:rsidR="00FF6FA4" w:rsidRPr="00E03BD0" w:rsidRDefault="00FF6FA4" w:rsidP="00DB4B02">
            <w:pPr>
              <w:pStyle w:val="Tabletext"/>
              <w:jc w:val="center"/>
              <w:rPr>
                <w:sz w:val="18"/>
                <w:szCs w:val="18"/>
              </w:rPr>
            </w:pPr>
            <w:r w:rsidRPr="00E03BD0">
              <w:rPr>
                <w:sz w:val="18"/>
                <w:szCs w:val="18"/>
              </w:rPr>
              <w:t>174,65</w:t>
            </w:r>
          </w:p>
        </w:tc>
      </w:tr>
      <w:tr w:rsidR="00FF6FA4" w:rsidRPr="00E03BD0" w:rsidTr="00DB4B02">
        <w:trPr>
          <w:jc w:val="center"/>
        </w:trPr>
        <w:tc>
          <w:tcPr>
            <w:tcW w:w="3600" w:type="dxa"/>
          </w:tcPr>
          <w:p w:rsidR="00FF6FA4" w:rsidRPr="00E03BD0" w:rsidRDefault="00FF6FA4" w:rsidP="006767F0">
            <w:pPr>
              <w:pStyle w:val="Tabletext"/>
              <w:ind w:left="284" w:hanging="284"/>
              <w:jc w:val="left"/>
              <w:rPr>
                <w:sz w:val="18"/>
                <w:szCs w:val="18"/>
              </w:rPr>
            </w:pPr>
            <w:r>
              <w:rPr>
                <w:sz w:val="18"/>
                <w:szCs w:val="18"/>
              </w:rPr>
              <w:t>15</w:t>
            </w:r>
            <w:r w:rsidRPr="00E03BD0">
              <w:rPr>
                <w:sz w:val="18"/>
                <w:szCs w:val="18"/>
              </w:rPr>
              <w:tab/>
              <w:t>Température de bruit du système de réception (K)</w:t>
            </w:r>
          </w:p>
        </w:tc>
        <w:tc>
          <w:tcPr>
            <w:tcW w:w="2957" w:type="dxa"/>
            <w:gridSpan w:val="3"/>
          </w:tcPr>
          <w:p w:rsidR="00FF6FA4" w:rsidRPr="00E03BD0" w:rsidRDefault="00FF6FA4" w:rsidP="00DB4B02">
            <w:pPr>
              <w:pStyle w:val="Tabletext"/>
              <w:jc w:val="center"/>
              <w:rPr>
                <w:sz w:val="18"/>
                <w:szCs w:val="18"/>
              </w:rPr>
            </w:pPr>
            <w:r w:rsidRPr="00E03BD0">
              <w:rPr>
                <w:sz w:val="18"/>
                <w:szCs w:val="18"/>
              </w:rPr>
              <w:t>600</w:t>
            </w:r>
          </w:p>
        </w:tc>
        <w:tc>
          <w:tcPr>
            <w:tcW w:w="1350" w:type="dxa"/>
          </w:tcPr>
          <w:p w:rsidR="00FF6FA4" w:rsidRPr="00E03BD0" w:rsidRDefault="00FF6FA4" w:rsidP="00DB4B02">
            <w:pPr>
              <w:pStyle w:val="Tabletext"/>
              <w:jc w:val="center"/>
              <w:rPr>
                <w:sz w:val="18"/>
                <w:szCs w:val="18"/>
              </w:rPr>
            </w:pPr>
            <w:r w:rsidRPr="00E03BD0">
              <w:rPr>
                <w:sz w:val="18"/>
                <w:szCs w:val="18"/>
              </w:rPr>
              <w:t>410</w:t>
            </w:r>
          </w:p>
        </w:tc>
        <w:tc>
          <w:tcPr>
            <w:tcW w:w="1563" w:type="dxa"/>
            <w:gridSpan w:val="2"/>
          </w:tcPr>
          <w:p w:rsidR="00FF6FA4" w:rsidRPr="00E03BD0" w:rsidRDefault="00FF6FA4" w:rsidP="00DB4B02">
            <w:pPr>
              <w:pStyle w:val="Tabletext"/>
              <w:jc w:val="center"/>
              <w:rPr>
                <w:sz w:val="18"/>
                <w:szCs w:val="18"/>
              </w:rPr>
            </w:pPr>
            <w:r w:rsidRPr="00E03BD0">
              <w:rPr>
                <w:sz w:val="18"/>
                <w:szCs w:val="18"/>
              </w:rPr>
              <w:t>738</w:t>
            </w:r>
          </w:p>
        </w:tc>
      </w:tr>
      <w:tr w:rsidR="00FF6FA4" w:rsidRPr="00E03BD0" w:rsidTr="00DB4B02">
        <w:trPr>
          <w:jc w:val="center"/>
        </w:trPr>
        <w:tc>
          <w:tcPr>
            <w:tcW w:w="3600" w:type="dxa"/>
          </w:tcPr>
          <w:p w:rsidR="00FF6FA4" w:rsidRPr="00E03BD0" w:rsidRDefault="00FF6FA4" w:rsidP="006767F0">
            <w:pPr>
              <w:pStyle w:val="Tabletext"/>
              <w:ind w:left="284" w:hanging="284"/>
              <w:jc w:val="left"/>
              <w:rPr>
                <w:sz w:val="18"/>
                <w:szCs w:val="18"/>
              </w:rPr>
            </w:pPr>
            <w:r>
              <w:rPr>
                <w:sz w:val="18"/>
                <w:szCs w:val="18"/>
              </w:rPr>
              <w:t>16</w:t>
            </w:r>
            <w:r>
              <w:rPr>
                <w:sz w:val="18"/>
                <w:szCs w:val="18"/>
              </w:rPr>
              <w:tab/>
            </w:r>
            <w:r w:rsidRPr="00E03BD0">
              <w:rPr>
                <w:sz w:val="18"/>
                <w:szCs w:val="18"/>
              </w:rPr>
              <w:t xml:space="preserve"> Puissance de bruit du système de réception (dBW)</w:t>
            </w:r>
          </w:p>
        </w:tc>
        <w:tc>
          <w:tcPr>
            <w:tcW w:w="2957" w:type="dxa"/>
            <w:gridSpan w:val="3"/>
          </w:tcPr>
          <w:p w:rsidR="00FF6FA4" w:rsidRPr="00E03BD0" w:rsidRDefault="00FF6FA4" w:rsidP="00DB4B02">
            <w:pPr>
              <w:pStyle w:val="Tabletext"/>
              <w:jc w:val="center"/>
              <w:rPr>
                <w:sz w:val="18"/>
                <w:szCs w:val="18"/>
              </w:rPr>
            </w:pPr>
            <w:r w:rsidRPr="00E03BD0">
              <w:rPr>
                <w:sz w:val="18"/>
                <w:szCs w:val="18"/>
              </w:rPr>
              <w:t>–146</w:t>
            </w:r>
          </w:p>
        </w:tc>
        <w:tc>
          <w:tcPr>
            <w:tcW w:w="1350" w:type="dxa"/>
          </w:tcPr>
          <w:p w:rsidR="00FF6FA4" w:rsidRPr="00E03BD0" w:rsidRDefault="00FF6FA4" w:rsidP="00DB4B02">
            <w:pPr>
              <w:pStyle w:val="Tabletext"/>
              <w:jc w:val="center"/>
              <w:rPr>
                <w:sz w:val="18"/>
                <w:szCs w:val="18"/>
              </w:rPr>
            </w:pPr>
            <w:r w:rsidRPr="00E03BD0">
              <w:rPr>
                <w:sz w:val="18"/>
                <w:szCs w:val="18"/>
              </w:rPr>
              <w:t>–160</w:t>
            </w:r>
          </w:p>
        </w:tc>
        <w:tc>
          <w:tcPr>
            <w:tcW w:w="1563" w:type="dxa"/>
            <w:gridSpan w:val="2"/>
          </w:tcPr>
          <w:p w:rsidR="00FF6FA4" w:rsidRPr="00E03BD0" w:rsidRDefault="00FF6FA4" w:rsidP="00DB4B02">
            <w:pPr>
              <w:pStyle w:val="Tabletext"/>
              <w:jc w:val="center"/>
              <w:rPr>
                <w:sz w:val="18"/>
                <w:szCs w:val="18"/>
              </w:rPr>
            </w:pPr>
            <w:r w:rsidRPr="00E03BD0">
              <w:rPr>
                <w:sz w:val="18"/>
                <w:szCs w:val="18"/>
              </w:rPr>
              <w:t>–165</w:t>
            </w:r>
          </w:p>
        </w:tc>
      </w:tr>
      <w:tr w:rsidR="00FF6FA4" w:rsidRPr="00E03BD0" w:rsidTr="00DB4B02">
        <w:trPr>
          <w:jc w:val="center"/>
        </w:trPr>
        <w:tc>
          <w:tcPr>
            <w:tcW w:w="3600" w:type="dxa"/>
          </w:tcPr>
          <w:p w:rsidR="00FF6FA4" w:rsidRPr="00E03BD0" w:rsidRDefault="00FF6FA4" w:rsidP="006767F0">
            <w:pPr>
              <w:pStyle w:val="Tabletext"/>
              <w:ind w:left="284" w:hanging="284"/>
              <w:jc w:val="left"/>
              <w:rPr>
                <w:sz w:val="18"/>
                <w:szCs w:val="18"/>
              </w:rPr>
            </w:pPr>
            <w:r>
              <w:rPr>
                <w:sz w:val="18"/>
                <w:szCs w:val="18"/>
              </w:rPr>
              <w:t>17</w:t>
            </w:r>
            <w:r w:rsidRPr="00E03BD0">
              <w:rPr>
                <w:sz w:val="18"/>
                <w:szCs w:val="18"/>
              </w:rPr>
              <w:tab/>
              <w:t>Densité spectrale de bruit du récepteur,</w:t>
            </w:r>
            <w:r w:rsidRPr="00E03BD0">
              <w:rPr>
                <w:sz w:val="18"/>
                <w:szCs w:val="18"/>
              </w:rPr>
              <w:br/>
            </w:r>
            <w:r w:rsidRPr="00E03BD0">
              <w:rPr>
                <w:i/>
                <w:sz w:val="18"/>
                <w:szCs w:val="18"/>
              </w:rPr>
              <w:t>N</w:t>
            </w:r>
            <w:r w:rsidRPr="00E03BD0">
              <w:rPr>
                <w:position w:val="-4"/>
                <w:sz w:val="18"/>
                <w:szCs w:val="18"/>
              </w:rPr>
              <w:t>0</w:t>
            </w:r>
            <w:r w:rsidRPr="00E03BD0">
              <w:rPr>
                <w:sz w:val="18"/>
                <w:szCs w:val="18"/>
              </w:rPr>
              <w:t xml:space="preserve"> (dB(W/Hz))</w:t>
            </w:r>
          </w:p>
        </w:tc>
        <w:tc>
          <w:tcPr>
            <w:tcW w:w="2957" w:type="dxa"/>
            <w:gridSpan w:val="3"/>
          </w:tcPr>
          <w:p w:rsidR="00FF6FA4" w:rsidRPr="00E03BD0" w:rsidRDefault="00FF6FA4" w:rsidP="00DB4B02">
            <w:pPr>
              <w:pStyle w:val="Tabletext"/>
              <w:jc w:val="center"/>
              <w:rPr>
                <w:sz w:val="18"/>
                <w:szCs w:val="18"/>
              </w:rPr>
            </w:pPr>
            <w:r>
              <w:rPr>
                <w:sz w:val="18"/>
                <w:szCs w:val="18"/>
              </w:rPr>
              <w:t>–</w:t>
            </w:r>
            <w:r w:rsidRPr="00E03BD0">
              <w:rPr>
                <w:sz w:val="18"/>
                <w:szCs w:val="18"/>
              </w:rPr>
              <w:t>200,9</w:t>
            </w:r>
          </w:p>
        </w:tc>
        <w:tc>
          <w:tcPr>
            <w:tcW w:w="1350" w:type="dxa"/>
          </w:tcPr>
          <w:p w:rsidR="00FF6FA4" w:rsidRPr="00E03BD0" w:rsidRDefault="00FF6FA4" w:rsidP="00DB4B02">
            <w:pPr>
              <w:pStyle w:val="Tabletext"/>
              <w:jc w:val="center"/>
              <w:rPr>
                <w:sz w:val="18"/>
                <w:szCs w:val="18"/>
              </w:rPr>
            </w:pPr>
            <w:r>
              <w:rPr>
                <w:sz w:val="18"/>
                <w:szCs w:val="18"/>
              </w:rPr>
              <w:t>–</w:t>
            </w:r>
            <w:r w:rsidRPr="00E03BD0">
              <w:rPr>
                <w:sz w:val="18"/>
                <w:szCs w:val="18"/>
              </w:rPr>
              <w:t>202,5</w:t>
            </w:r>
          </w:p>
        </w:tc>
        <w:tc>
          <w:tcPr>
            <w:tcW w:w="1563" w:type="dxa"/>
            <w:gridSpan w:val="2"/>
          </w:tcPr>
          <w:p w:rsidR="00FF6FA4" w:rsidRPr="00E03BD0" w:rsidRDefault="00FF6FA4" w:rsidP="00DB4B02">
            <w:pPr>
              <w:pStyle w:val="Tabletext"/>
              <w:jc w:val="center"/>
              <w:rPr>
                <w:sz w:val="18"/>
                <w:szCs w:val="18"/>
              </w:rPr>
            </w:pPr>
            <w:r>
              <w:rPr>
                <w:sz w:val="18"/>
                <w:szCs w:val="18"/>
              </w:rPr>
              <w:t>–</w:t>
            </w:r>
            <w:r w:rsidRPr="00E03BD0">
              <w:rPr>
                <w:sz w:val="18"/>
                <w:szCs w:val="18"/>
              </w:rPr>
              <w:t>200,5</w:t>
            </w:r>
          </w:p>
        </w:tc>
      </w:tr>
      <w:tr w:rsidR="00FF6FA4" w:rsidRPr="00E03BD0" w:rsidTr="00DB4B02">
        <w:trPr>
          <w:jc w:val="center"/>
        </w:trPr>
        <w:tc>
          <w:tcPr>
            <w:tcW w:w="3600" w:type="dxa"/>
          </w:tcPr>
          <w:p w:rsidR="00FF6FA4" w:rsidRPr="00E03BD0" w:rsidRDefault="00FF6FA4" w:rsidP="006767F0">
            <w:pPr>
              <w:pStyle w:val="Tabletext"/>
              <w:jc w:val="left"/>
              <w:rPr>
                <w:sz w:val="18"/>
                <w:szCs w:val="18"/>
              </w:rPr>
            </w:pPr>
            <w:r>
              <w:rPr>
                <w:sz w:val="18"/>
                <w:szCs w:val="18"/>
              </w:rPr>
              <w:t>18</w:t>
            </w:r>
            <w:r w:rsidRPr="00E03BD0">
              <w:rPr>
                <w:sz w:val="18"/>
                <w:szCs w:val="18"/>
              </w:rPr>
              <w:tab/>
            </w:r>
            <w:r w:rsidRPr="00E03BD0">
              <w:rPr>
                <w:i/>
                <w:sz w:val="18"/>
                <w:szCs w:val="18"/>
              </w:rPr>
              <w:t>C</w:t>
            </w:r>
            <w:r w:rsidRPr="00E03BD0">
              <w:rPr>
                <w:position w:val="-4"/>
                <w:sz w:val="18"/>
                <w:szCs w:val="18"/>
              </w:rPr>
              <w:t>0 </w:t>
            </w:r>
            <w:r w:rsidRPr="00E03BD0">
              <w:rPr>
                <w:sz w:val="18"/>
                <w:szCs w:val="18"/>
              </w:rPr>
              <w:t>/</w:t>
            </w:r>
            <w:r w:rsidRPr="00E03BD0">
              <w:rPr>
                <w:i/>
                <w:sz w:val="18"/>
                <w:szCs w:val="18"/>
              </w:rPr>
              <w:t>N</w:t>
            </w:r>
            <w:r w:rsidRPr="00E03BD0">
              <w:rPr>
                <w:position w:val="-4"/>
                <w:sz w:val="18"/>
                <w:szCs w:val="18"/>
              </w:rPr>
              <w:t>0</w:t>
            </w:r>
            <w:r w:rsidRPr="00E03BD0">
              <w:rPr>
                <w:sz w:val="18"/>
                <w:szCs w:val="18"/>
              </w:rPr>
              <w:t xml:space="preserve"> minimal (dB)</w:t>
            </w:r>
          </w:p>
        </w:tc>
        <w:tc>
          <w:tcPr>
            <w:tcW w:w="754" w:type="dxa"/>
          </w:tcPr>
          <w:p w:rsidR="00FF6FA4" w:rsidRPr="00E03BD0" w:rsidRDefault="00FF6FA4" w:rsidP="00DB4B02">
            <w:pPr>
              <w:pStyle w:val="Tabletext"/>
              <w:jc w:val="center"/>
              <w:rPr>
                <w:sz w:val="18"/>
                <w:szCs w:val="18"/>
              </w:rPr>
            </w:pPr>
            <w:r w:rsidRPr="00E03BD0">
              <w:rPr>
                <w:sz w:val="18"/>
                <w:szCs w:val="18"/>
              </w:rPr>
              <w:t>7</w:t>
            </w:r>
          </w:p>
        </w:tc>
        <w:tc>
          <w:tcPr>
            <w:tcW w:w="788" w:type="dxa"/>
          </w:tcPr>
          <w:p w:rsidR="00FF6FA4" w:rsidRPr="00E03BD0" w:rsidRDefault="00FF6FA4" w:rsidP="00DB4B02">
            <w:pPr>
              <w:pStyle w:val="Tabletext"/>
              <w:jc w:val="center"/>
              <w:rPr>
                <w:sz w:val="18"/>
                <w:szCs w:val="18"/>
              </w:rPr>
            </w:pPr>
            <w:r w:rsidRPr="00E03BD0">
              <w:rPr>
                <w:sz w:val="18"/>
                <w:szCs w:val="18"/>
              </w:rPr>
              <w:t>12</w:t>
            </w:r>
          </w:p>
        </w:tc>
        <w:tc>
          <w:tcPr>
            <w:tcW w:w="1415" w:type="dxa"/>
          </w:tcPr>
          <w:p w:rsidR="00FF6FA4" w:rsidRPr="00E03BD0" w:rsidRDefault="00FF6FA4" w:rsidP="00DB4B02">
            <w:pPr>
              <w:pStyle w:val="Tabletext"/>
              <w:jc w:val="center"/>
              <w:rPr>
                <w:sz w:val="18"/>
                <w:szCs w:val="18"/>
              </w:rPr>
            </w:pPr>
            <w:r w:rsidRPr="00E03BD0">
              <w:rPr>
                <w:sz w:val="18"/>
                <w:szCs w:val="18"/>
              </w:rPr>
              <w:t>12</w:t>
            </w:r>
          </w:p>
        </w:tc>
        <w:tc>
          <w:tcPr>
            <w:tcW w:w="1350" w:type="dxa"/>
          </w:tcPr>
          <w:p w:rsidR="00FF6FA4" w:rsidRPr="00E03BD0" w:rsidRDefault="00FF6FA4" w:rsidP="00DB4B02">
            <w:pPr>
              <w:pStyle w:val="Tabletext"/>
              <w:jc w:val="center"/>
              <w:rPr>
                <w:sz w:val="18"/>
                <w:szCs w:val="18"/>
              </w:rPr>
            </w:pPr>
            <w:r w:rsidRPr="00E03BD0">
              <w:rPr>
                <w:sz w:val="18"/>
                <w:szCs w:val="18"/>
              </w:rPr>
              <w:t>12</w:t>
            </w:r>
          </w:p>
        </w:tc>
        <w:tc>
          <w:tcPr>
            <w:tcW w:w="749" w:type="dxa"/>
          </w:tcPr>
          <w:p w:rsidR="00FF6FA4" w:rsidRPr="00E03BD0" w:rsidRDefault="00FF6FA4" w:rsidP="00DB4B02">
            <w:pPr>
              <w:pStyle w:val="Tabletext"/>
              <w:jc w:val="center"/>
              <w:rPr>
                <w:sz w:val="18"/>
                <w:szCs w:val="18"/>
              </w:rPr>
            </w:pPr>
            <w:r w:rsidRPr="00E03BD0">
              <w:rPr>
                <w:sz w:val="18"/>
                <w:szCs w:val="18"/>
              </w:rPr>
              <w:t>7</w:t>
            </w:r>
          </w:p>
        </w:tc>
        <w:tc>
          <w:tcPr>
            <w:tcW w:w="814" w:type="dxa"/>
          </w:tcPr>
          <w:p w:rsidR="00FF6FA4" w:rsidRPr="00E03BD0" w:rsidRDefault="00FF6FA4" w:rsidP="00DB4B02">
            <w:pPr>
              <w:pStyle w:val="Tabletext"/>
              <w:jc w:val="center"/>
              <w:rPr>
                <w:sz w:val="18"/>
                <w:szCs w:val="18"/>
              </w:rPr>
            </w:pPr>
            <w:r w:rsidRPr="00E03BD0">
              <w:rPr>
                <w:sz w:val="18"/>
                <w:szCs w:val="18"/>
              </w:rPr>
              <w:t>12</w:t>
            </w:r>
          </w:p>
        </w:tc>
      </w:tr>
      <w:tr w:rsidR="00FF6FA4" w:rsidRPr="00E03BD0" w:rsidTr="00DB4B02">
        <w:trPr>
          <w:jc w:val="center"/>
        </w:trPr>
        <w:tc>
          <w:tcPr>
            <w:tcW w:w="3600" w:type="dxa"/>
          </w:tcPr>
          <w:p w:rsidR="00FF6FA4" w:rsidRPr="00E03BD0" w:rsidRDefault="00FF6FA4" w:rsidP="006767F0">
            <w:pPr>
              <w:pStyle w:val="Tabletext"/>
              <w:jc w:val="left"/>
              <w:rPr>
                <w:sz w:val="18"/>
                <w:szCs w:val="18"/>
              </w:rPr>
            </w:pPr>
            <w:r>
              <w:rPr>
                <w:sz w:val="18"/>
                <w:szCs w:val="18"/>
              </w:rPr>
              <w:t>19</w:t>
            </w:r>
            <w:r w:rsidRPr="00E03BD0">
              <w:rPr>
                <w:sz w:val="18"/>
                <w:szCs w:val="18"/>
              </w:rPr>
              <w:tab/>
            </w:r>
            <w:r w:rsidRPr="00E03BD0">
              <w:rPr>
                <w:i/>
                <w:sz w:val="18"/>
                <w:szCs w:val="18"/>
              </w:rPr>
              <w:t>C</w:t>
            </w:r>
            <w:r w:rsidRPr="00E03BD0">
              <w:rPr>
                <w:position w:val="-4"/>
                <w:sz w:val="18"/>
                <w:szCs w:val="18"/>
              </w:rPr>
              <w:t>0 </w:t>
            </w:r>
            <w:r w:rsidRPr="00E03BD0">
              <w:rPr>
                <w:sz w:val="18"/>
                <w:szCs w:val="18"/>
              </w:rPr>
              <w:t>/</w:t>
            </w:r>
            <w:r w:rsidRPr="00E03BD0">
              <w:rPr>
                <w:i/>
                <w:sz w:val="18"/>
                <w:szCs w:val="18"/>
              </w:rPr>
              <w:t>N</w:t>
            </w:r>
            <w:r w:rsidRPr="00E03BD0">
              <w:rPr>
                <w:position w:val="-4"/>
                <w:sz w:val="18"/>
                <w:szCs w:val="18"/>
              </w:rPr>
              <w:t>0</w:t>
            </w:r>
            <w:r w:rsidRPr="00E03BD0">
              <w:rPr>
                <w:sz w:val="18"/>
                <w:szCs w:val="18"/>
              </w:rPr>
              <w:t xml:space="preserve"> effectif pour le vol (dB)</w:t>
            </w:r>
          </w:p>
        </w:tc>
        <w:tc>
          <w:tcPr>
            <w:tcW w:w="1542" w:type="dxa"/>
            <w:gridSpan w:val="2"/>
          </w:tcPr>
          <w:p w:rsidR="00FF6FA4" w:rsidRPr="00E03BD0" w:rsidRDefault="00FF6FA4" w:rsidP="00DB4B02">
            <w:pPr>
              <w:pStyle w:val="Tabletext"/>
              <w:jc w:val="center"/>
              <w:rPr>
                <w:sz w:val="18"/>
                <w:szCs w:val="18"/>
              </w:rPr>
            </w:pPr>
            <w:r w:rsidRPr="00E03BD0">
              <w:rPr>
                <w:sz w:val="18"/>
                <w:szCs w:val="18"/>
              </w:rPr>
              <w:t>13,6</w:t>
            </w:r>
          </w:p>
        </w:tc>
        <w:tc>
          <w:tcPr>
            <w:tcW w:w="1415" w:type="dxa"/>
          </w:tcPr>
          <w:p w:rsidR="00FF6FA4" w:rsidRPr="00E03BD0" w:rsidRDefault="00FF6FA4" w:rsidP="00DB4B02">
            <w:pPr>
              <w:pStyle w:val="Tabletext"/>
              <w:jc w:val="center"/>
              <w:rPr>
                <w:sz w:val="18"/>
                <w:szCs w:val="18"/>
              </w:rPr>
            </w:pPr>
            <w:r w:rsidRPr="00E03BD0">
              <w:rPr>
                <w:sz w:val="18"/>
                <w:szCs w:val="18"/>
              </w:rPr>
              <w:t>12,6</w:t>
            </w:r>
          </w:p>
        </w:tc>
        <w:tc>
          <w:tcPr>
            <w:tcW w:w="1350" w:type="dxa"/>
          </w:tcPr>
          <w:p w:rsidR="00FF6FA4" w:rsidRPr="00E03BD0" w:rsidRDefault="00FF6FA4" w:rsidP="00DB4B02">
            <w:pPr>
              <w:pStyle w:val="Tabletext"/>
              <w:jc w:val="center"/>
              <w:rPr>
                <w:sz w:val="18"/>
                <w:szCs w:val="18"/>
              </w:rPr>
            </w:pPr>
            <w:r w:rsidRPr="00E03BD0">
              <w:rPr>
                <w:sz w:val="18"/>
                <w:szCs w:val="18"/>
              </w:rPr>
              <w:t>14,1</w:t>
            </w:r>
          </w:p>
        </w:tc>
        <w:tc>
          <w:tcPr>
            <w:tcW w:w="1563" w:type="dxa"/>
            <w:gridSpan w:val="2"/>
          </w:tcPr>
          <w:p w:rsidR="00FF6FA4" w:rsidRPr="00E03BD0" w:rsidRDefault="00FF6FA4" w:rsidP="00DB4B02">
            <w:pPr>
              <w:pStyle w:val="Tabletext"/>
              <w:jc w:val="center"/>
              <w:rPr>
                <w:sz w:val="18"/>
                <w:szCs w:val="18"/>
              </w:rPr>
            </w:pPr>
            <w:r w:rsidRPr="00E03BD0">
              <w:rPr>
                <w:sz w:val="18"/>
                <w:szCs w:val="18"/>
              </w:rPr>
              <w:t>25,8</w:t>
            </w:r>
          </w:p>
        </w:tc>
      </w:tr>
      <w:tr w:rsidR="00FF6FA4" w:rsidRPr="00E03BD0" w:rsidTr="00DB4B02">
        <w:trPr>
          <w:jc w:val="center"/>
        </w:trPr>
        <w:tc>
          <w:tcPr>
            <w:tcW w:w="3600" w:type="dxa"/>
          </w:tcPr>
          <w:p w:rsidR="00FF6FA4" w:rsidRPr="00E03BD0" w:rsidRDefault="00FF6FA4" w:rsidP="006767F0">
            <w:pPr>
              <w:pStyle w:val="Tabletext"/>
              <w:jc w:val="left"/>
              <w:rPr>
                <w:sz w:val="18"/>
                <w:szCs w:val="18"/>
              </w:rPr>
            </w:pPr>
            <w:r>
              <w:rPr>
                <w:sz w:val="18"/>
                <w:szCs w:val="18"/>
              </w:rPr>
              <w:t>20</w:t>
            </w:r>
            <w:r w:rsidRPr="00E03BD0">
              <w:rPr>
                <w:sz w:val="18"/>
                <w:szCs w:val="18"/>
              </w:rPr>
              <w:tab/>
              <w:t>Marge (dB)</w:t>
            </w:r>
          </w:p>
        </w:tc>
        <w:tc>
          <w:tcPr>
            <w:tcW w:w="754" w:type="dxa"/>
          </w:tcPr>
          <w:p w:rsidR="00FF6FA4" w:rsidRPr="00E03BD0" w:rsidRDefault="00FF6FA4" w:rsidP="00DB4B02">
            <w:pPr>
              <w:pStyle w:val="Tabletext"/>
              <w:jc w:val="center"/>
              <w:rPr>
                <w:sz w:val="18"/>
                <w:szCs w:val="18"/>
              </w:rPr>
            </w:pPr>
            <w:r w:rsidRPr="00E03BD0">
              <w:rPr>
                <w:sz w:val="18"/>
                <w:szCs w:val="18"/>
              </w:rPr>
              <w:t>5,6</w:t>
            </w:r>
          </w:p>
        </w:tc>
        <w:tc>
          <w:tcPr>
            <w:tcW w:w="788" w:type="dxa"/>
          </w:tcPr>
          <w:p w:rsidR="00FF6FA4" w:rsidRPr="00E03BD0" w:rsidRDefault="00FF6FA4" w:rsidP="00DB4B02">
            <w:pPr>
              <w:pStyle w:val="Tabletext"/>
              <w:jc w:val="center"/>
              <w:rPr>
                <w:sz w:val="18"/>
                <w:szCs w:val="18"/>
              </w:rPr>
            </w:pPr>
            <w:r w:rsidRPr="00E03BD0">
              <w:rPr>
                <w:sz w:val="18"/>
                <w:szCs w:val="18"/>
              </w:rPr>
              <w:t>1,6</w:t>
            </w:r>
          </w:p>
        </w:tc>
        <w:tc>
          <w:tcPr>
            <w:tcW w:w="1415" w:type="dxa"/>
          </w:tcPr>
          <w:p w:rsidR="00FF6FA4" w:rsidRPr="00E03BD0" w:rsidRDefault="00FF6FA4" w:rsidP="00DB4B02">
            <w:pPr>
              <w:pStyle w:val="Tabletext"/>
              <w:jc w:val="center"/>
              <w:rPr>
                <w:sz w:val="18"/>
                <w:szCs w:val="18"/>
              </w:rPr>
            </w:pPr>
            <w:r w:rsidRPr="00E03BD0">
              <w:rPr>
                <w:sz w:val="18"/>
                <w:szCs w:val="18"/>
              </w:rPr>
              <w:t>0,6</w:t>
            </w:r>
          </w:p>
        </w:tc>
        <w:tc>
          <w:tcPr>
            <w:tcW w:w="1350" w:type="dxa"/>
          </w:tcPr>
          <w:p w:rsidR="00FF6FA4" w:rsidRPr="00E03BD0" w:rsidRDefault="00FF6FA4" w:rsidP="00DB4B02">
            <w:pPr>
              <w:pStyle w:val="Tabletext"/>
              <w:jc w:val="center"/>
              <w:rPr>
                <w:sz w:val="18"/>
                <w:szCs w:val="18"/>
              </w:rPr>
            </w:pPr>
            <w:r w:rsidRPr="00E03BD0">
              <w:rPr>
                <w:sz w:val="18"/>
                <w:szCs w:val="18"/>
              </w:rPr>
              <w:t>2,1</w:t>
            </w:r>
          </w:p>
        </w:tc>
        <w:tc>
          <w:tcPr>
            <w:tcW w:w="749" w:type="dxa"/>
          </w:tcPr>
          <w:p w:rsidR="00FF6FA4" w:rsidRPr="00E03BD0" w:rsidRDefault="00FF6FA4" w:rsidP="00DB4B02">
            <w:pPr>
              <w:pStyle w:val="Tabletext"/>
              <w:jc w:val="center"/>
              <w:rPr>
                <w:sz w:val="18"/>
                <w:szCs w:val="18"/>
              </w:rPr>
            </w:pPr>
            <w:r w:rsidRPr="00E03BD0">
              <w:rPr>
                <w:sz w:val="18"/>
                <w:szCs w:val="18"/>
              </w:rPr>
              <w:t>18,9</w:t>
            </w:r>
          </w:p>
        </w:tc>
        <w:tc>
          <w:tcPr>
            <w:tcW w:w="814" w:type="dxa"/>
          </w:tcPr>
          <w:p w:rsidR="00FF6FA4" w:rsidRPr="00E03BD0" w:rsidRDefault="00FF6FA4" w:rsidP="00DB4B02">
            <w:pPr>
              <w:pStyle w:val="Tabletext"/>
              <w:jc w:val="center"/>
              <w:rPr>
                <w:sz w:val="18"/>
                <w:szCs w:val="18"/>
              </w:rPr>
            </w:pPr>
            <w:r w:rsidRPr="00E03BD0">
              <w:rPr>
                <w:sz w:val="18"/>
                <w:szCs w:val="18"/>
              </w:rPr>
              <w:t>13,8</w:t>
            </w:r>
          </w:p>
        </w:tc>
      </w:tr>
    </w:tbl>
    <w:p w:rsidR="00FF6FA4" w:rsidRPr="00812793" w:rsidRDefault="00FF6FA4" w:rsidP="00183EB4">
      <w:pPr>
        <w:pStyle w:val="TableNo"/>
      </w:pPr>
      <w:r>
        <w:br w:type="page"/>
      </w:r>
      <w:r w:rsidRPr="00812793">
        <w:lastRenderedPageBreak/>
        <w:t>TABLEAU 5</w:t>
      </w:r>
    </w:p>
    <w:p w:rsidR="00FF6FA4" w:rsidRPr="00812793" w:rsidRDefault="00FF6FA4" w:rsidP="00183EB4">
      <w:pPr>
        <w:pStyle w:val="Tabletitle"/>
      </w:pPr>
      <w:r w:rsidRPr="00812793">
        <w:t xml:space="preserve">Calculs du bilan de liaison pour le service des auxiliaires </w:t>
      </w:r>
      <w:r>
        <w:t xml:space="preserve">de la météorologie </w:t>
      </w:r>
      <w:r>
        <w:br/>
        <w:t xml:space="preserve">fonctionnant </w:t>
      </w:r>
      <w:r w:rsidRPr="00812793">
        <w:t>dans la bande 1 668,4-1 700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3600"/>
        <w:gridCol w:w="1285"/>
        <w:gridCol w:w="1176"/>
        <w:gridCol w:w="1306"/>
        <w:gridCol w:w="1318"/>
      </w:tblGrid>
      <w:tr w:rsidR="00FF6FA4" w:rsidRPr="007C7A4C" w:rsidTr="00DB4B02">
        <w:trPr>
          <w:jc w:val="center"/>
        </w:trPr>
        <w:tc>
          <w:tcPr>
            <w:tcW w:w="3600" w:type="dxa"/>
            <w:vAlign w:val="center"/>
          </w:tcPr>
          <w:p w:rsidR="00FF6FA4" w:rsidRPr="007C7A4C" w:rsidRDefault="00FF6FA4" w:rsidP="00DB4B02">
            <w:pPr>
              <w:pStyle w:val="Tablehead"/>
              <w:rPr>
                <w:sz w:val="20"/>
              </w:rPr>
            </w:pPr>
          </w:p>
        </w:tc>
        <w:tc>
          <w:tcPr>
            <w:tcW w:w="2461" w:type="dxa"/>
            <w:gridSpan w:val="2"/>
            <w:vAlign w:val="center"/>
          </w:tcPr>
          <w:p w:rsidR="00FF6FA4" w:rsidRPr="007C7A4C" w:rsidRDefault="00FF6FA4" w:rsidP="00DB4B02">
            <w:pPr>
              <w:pStyle w:val="Tablehead"/>
              <w:rPr>
                <w:sz w:val="20"/>
              </w:rPr>
            </w:pPr>
            <w:r w:rsidRPr="007C7A4C">
              <w:rPr>
                <w:sz w:val="20"/>
              </w:rPr>
              <w:t>Système RDF</w:t>
            </w:r>
          </w:p>
        </w:tc>
        <w:tc>
          <w:tcPr>
            <w:tcW w:w="2624" w:type="dxa"/>
            <w:gridSpan w:val="2"/>
            <w:vAlign w:val="center"/>
          </w:tcPr>
          <w:p w:rsidR="00FF6FA4" w:rsidRPr="007C7A4C" w:rsidRDefault="00FF6FA4" w:rsidP="00DB4B02">
            <w:pPr>
              <w:pStyle w:val="Tablehead"/>
              <w:rPr>
                <w:sz w:val="20"/>
              </w:rPr>
            </w:pPr>
            <w:r w:rsidRPr="007C7A4C">
              <w:rPr>
                <w:sz w:val="20"/>
              </w:rPr>
              <w:t>Système GPS</w:t>
            </w:r>
          </w:p>
        </w:tc>
      </w:tr>
      <w:tr w:rsidR="009C3E07" w:rsidRPr="00AF6A89" w:rsidTr="009C3E07">
        <w:trPr>
          <w:jc w:val="center"/>
        </w:trPr>
        <w:tc>
          <w:tcPr>
            <w:tcW w:w="3600" w:type="dxa"/>
            <w:tcBorders>
              <w:top w:val="single" w:sz="6" w:space="0" w:color="auto"/>
              <w:left w:val="single" w:sz="6" w:space="0" w:color="auto"/>
              <w:bottom w:val="single" w:sz="6" w:space="0" w:color="auto"/>
              <w:right w:val="single" w:sz="6" w:space="0" w:color="auto"/>
            </w:tcBorders>
            <w:vAlign w:val="center"/>
          </w:tcPr>
          <w:p w:rsidR="009C3E07" w:rsidRPr="00AF6A89" w:rsidRDefault="009C3E07" w:rsidP="009C3E07">
            <w:pPr>
              <w:pStyle w:val="Tabletext"/>
              <w:rPr>
                <w:sz w:val="20"/>
              </w:rPr>
            </w:pPr>
            <w:r w:rsidRPr="00AF6A89">
              <w:rPr>
                <w:sz w:val="20"/>
              </w:rPr>
              <w:t>Type de modulation</w:t>
            </w:r>
          </w:p>
        </w:tc>
        <w:tc>
          <w:tcPr>
            <w:tcW w:w="2461" w:type="dxa"/>
            <w:gridSpan w:val="2"/>
            <w:tcBorders>
              <w:top w:val="single" w:sz="6" w:space="0" w:color="auto"/>
              <w:left w:val="single" w:sz="6" w:space="0" w:color="auto"/>
              <w:bottom w:val="single" w:sz="6" w:space="0" w:color="auto"/>
              <w:right w:val="single" w:sz="6" w:space="0" w:color="auto"/>
            </w:tcBorders>
            <w:vAlign w:val="center"/>
          </w:tcPr>
          <w:p w:rsidR="009C3E07" w:rsidRPr="00AF6A89" w:rsidRDefault="009C3E07" w:rsidP="009C3E07">
            <w:pPr>
              <w:pStyle w:val="Tabletext"/>
              <w:jc w:val="center"/>
              <w:rPr>
                <w:sz w:val="20"/>
              </w:rPr>
            </w:pPr>
            <w:r w:rsidRPr="00AF6A89">
              <w:rPr>
                <w:sz w:val="20"/>
              </w:rPr>
              <w:t>MA</w:t>
            </w:r>
          </w:p>
        </w:tc>
        <w:tc>
          <w:tcPr>
            <w:tcW w:w="2624" w:type="dxa"/>
            <w:gridSpan w:val="2"/>
            <w:tcBorders>
              <w:top w:val="single" w:sz="6" w:space="0" w:color="auto"/>
              <w:left w:val="single" w:sz="6" w:space="0" w:color="auto"/>
              <w:bottom w:val="single" w:sz="6" w:space="0" w:color="auto"/>
              <w:right w:val="single" w:sz="6" w:space="0" w:color="auto"/>
            </w:tcBorders>
            <w:vAlign w:val="center"/>
          </w:tcPr>
          <w:p w:rsidR="009C3E07" w:rsidRPr="00AF6A89" w:rsidRDefault="009C3E07" w:rsidP="009C3E07">
            <w:pPr>
              <w:pStyle w:val="Tabletext"/>
              <w:jc w:val="center"/>
              <w:rPr>
                <w:sz w:val="20"/>
              </w:rPr>
            </w:pPr>
            <w:r w:rsidRPr="00AF6A89">
              <w:rPr>
                <w:sz w:val="20"/>
              </w:rPr>
              <w:t>MF</w:t>
            </w:r>
          </w:p>
        </w:tc>
      </w:tr>
      <w:tr w:rsidR="009C3E07" w:rsidRPr="00AF6A89" w:rsidTr="009C3E07">
        <w:trPr>
          <w:jc w:val="center"/>
        </w:trPr>
        <w:tc>
          <w:tcPr>
            <w:tcW w:w="3600" w:type="dxa"/>
            <w:tcBorders>
              <w:top w:val="single" w:sz="6" w:space="0" w:color="auto"/>
              <w:left w:val="single" w:sz="6" w:space="0" w:color="auto"/>
              <w:bottom w:val="single" w:sz="6" w:space="0" w:color="auto"/>
              <w:right w:val="single" w:sz="6" w:space="0" w:color="auto"/>
            </w:tcBorders>
            <w:vAlign w:val="center"/>
          </w:tcPr>
          <w:p w:rsidR="009C3E07" w:rsidRPr="00AF6A89" w:rsidRDefault="009C3E07" w:rsidP="009C3E07">
            <w:pPr>
              <w:pStyle w:val="Tabletext"/>
              <w:rPr>
                <w:sz w:val="20"/>
              </w:rPr>
            </w:pPr>
            <w:r w:rsidRPr="00AF6A89">
              <w:rPr>
                <w:sz w:val="20"/>
              </w:rPr>
              <w:t>Gamme de fréquences (MHz)</w:t>
            </w:r>
          </w:p>
        </w:tc>
        <w:tc>
          <w:tcPr>
            <w:tcW w:w="2461" w:type="dxa"/>
            <w:gridSpan w:val="2"/>
            <w:tcBorders>
              <w:top w:val="single" w:sz="6" w:space="0" w:color="auto"/>
              <w:left w:val="single" w:sz="6" w:space="0" w:color="auto"/>
              <w:bottom w:val="single" w:sz="6" w:space="0" w:color="auto"/>
              <w:right w:val="single" w:sz="6" w:space="0" w:color="auto"/>
            </w:tcBorders>
            <w:vAlign w:val="center"/>
          </w:tcPr>
          <w:p w:rsidR="009C3E07" w:rsidRPr="00AF6A89" w:rsidRDefault="009C3E07" w:rsidP="009C3E07">
            <w:pPr>
              <w:pStyle w:val="Tabletext"/>
              <w:jc w:val="center"/>
              <w:rPr>
                <w:sz w:val="20"/>
              </w:rPr>
            </w:pPr>
            <w:r w:rsidRPr="00AF6A89">
              <w:rPr>
                <w:sz w:val="20"/>
              </w:rPr>
              <w:t>1 668,4-1 700</w:t>
            </w:r>
          </w:p>
        </w:tc>
        <w:tc>
          <w:tcPr>
            <w:tcW w:w="2624" w:type="dxa"/>
            <w:gridSpan w:val="2"/>
            <w:tcBorders>
              <w:top w:val="single" w:sz="6" w:space="0" w:color="auto"/>
              <w:left w:val="single" w:sz="6" w:space="0" w:color="auto"/>
              <w:bottom w:val="single" w:sz="6" w:space="0" w:color="auto"/>
              <w:right w:val="single" w:sz="6" w:space="0" w:color="auto"/>
            </w:tcBorders>
            <w:vAlign w:val="center"/>
          </w:tcPr>
          <w:p w:rsidR="009C3E07" w:rsidRPr="00AF6A89" w:rsidRDefault="009C3E07" w:rsidP="009C3E07">
            <w:pPr>
              <w:pStyle w:val="Tabletext"/>
              <w:jc w:val="center"/>
              <w:rPr>
                <w:sz w:val="20"/>
              </w:rPr>
            </w:pPr>
            <w:r w:rsidRPr="00AF6A89">
              <w:rPr>
                <w:sz w:val="20"/>
              </w:rPr>
              <w:t>1 675-1 683</w:t>
            </w:r>
          </w:p>
        </w:tc>
      </w:tr>
      <w:tr w:rsidR="00FF6FA4" w:rsidRPr="007C7A4C" w:rsidTr="001F032A">
        <w:trPr>
          <w:jc w:val="center"/>
        </w:trPr>
        <w:tc>
          <w:tcPr>
            <w:tcW w:w="3600" w:type="dxa"/>
          </w:tcPr>
          <w:p w:rsidR="00FF6FA4" w:rsidRPr="007C7A4C" w:rsidRDefault="00FF6FA4" w:rsidP="006767F0">
            <w:pPr>
              <w:pStyle w:val="Tabletext"/>
              <w:jc w:val="left"/>
              <w:rPr>
                <w:sz w:val="20"/>
              </w:rPr>
            </w:pPr>
            <w:r w:rsidRPr="007C7A4C">
              <w:rPr>
                <w:sz w:val="20"/>
              </w:rPr>
              <w:t>Pourcentage de temps ne devant pas être dépassé (%)</w:t>
            </w:r>
            <w:bookmarkStart w:id="6" w:name="_GoBack"/>
            <w:bookmarkEnd w:id="6"/>
          </w:p>
        </w:tc>
        <w:tc>
          <w:tcPr>
            <w:tcW w:w="1285" w:type="dxa"/>
          </w:tcPr>
          <w:p w:rsidR="00FF6FA4" w:rsidRPr="007C7A4C" w:rsidRDefault="00FF6FA4" w:rsidP="00DB4B02">
            <w:pPr>
              <w:pStyle w:val="Tabletext"/>
              <w:jc w:val="center"/>
              <w:rPr>
                <w:sz w:val="20"/>
              </w:rPr>
            </w:pPr>
            <w:r w:rsidRPr="007C7A4C">
              <w:rPr>
                <w:sz w:val="20"/>
              </w:rPr>
              <w:t xml:space="preserve">0,02 </w:t>
            </w:r>
            <w:r w:rsidRPr="007C7A4C">
              <w:rPr>
                <w:sz w:val="20"/>
              </w:rPr>
              <w:br/>
              <w:t xml:space="preserve">Perte de verrouillage </w:t>
            </w:r>
            <w:r w:rsidRPr="007C7A4C">
              <w:rPr>
                <w:sz w:val="20"/>
              </w:rPr>
              <w:br/>
              <w:t>de phase</w:t>
            </w:r>
          </w:p>
        </w:tc>
        <w:tc>
          <w:tcPr>
            <w:tcW w:w="1176" w:type="dxa"/>
          </w:tcPr>
          <w:p w:rsidR="00FF6FA4" w:rsidRPr="007C7A4C" w:rsidRDefault="00FF6FA4" w:rsidP="00DB4B02">
            <w:pPr>
              <w:pStyle w:val="Tabletext"/>
              <w:jc w:val="center"/>
              <w:rPr>
                <w:sz w:val="20"/>
              </w:rPr>
            </w:pPr>
            <w:r w:rsidRPr="007C7A4C">
              <w:rPr>
                <w:sz w:val="20"/>
              </w:rPr>
              <w:t xml:space="preserve">0,8 </w:t>
            </w:r>
            <w:r>
              <w:rPr>
                <w:sz w:val="20"/>
              </w:rPr>
              <w:br/>
            </w:r>
            <w:r w:rsidRPr="007C7A4C">
              <w:rPr>
                <w:sz w:val="20"/>
              </w:rPr>
              <w:t>Perte de données</w:t>
            </w:r>
          </w:p>
        </w:tc>
        <w:tc>
          <w:tcPr>
            <w:tcW w:w="1306" w:type="dxa"/>
          </w:tcPr>
          <w:p w:rsidR="00FF6FA4" w:rsidRPr="007C7A4C" w:rsidRDefault="00FF6FA4" w:rsidP="00DB4B02">
            <w:pPr>
              <w:pStyle w:val="Tabletext"/>
              <w:jc w:val="center"/>
              <w:rPr>
                <w:sz w:val="20"/>
              </w:rPr>
            </w:pPr>
            <w:r w:rsidRPr="007C7A4C">
              <w:rPr>
                <w:sz w:val="20"/>
              </w:rPr>
              <w:t xml:space="preserve">0,025 </w:t>
            </w:r>
            <w:r>
              <w:rPr>
                <w:sz w:val="20"/>
              </w:rPr>
              <w:br/>
            </w:r>
            <w:r w:rsidRPr="007C7A4C">
              <w:rPr>
                <w:sz w:val="20"/>
              </w:rPr>
              <w:t>Perte de verrouillage de phase</w:t>
            </w:r>
          </w:p>
        </w:tc>
        <w:tc>
          <w:tcPr>
            <w:tcW w:w="1318" w:type="dxa"/>
          </w:tcPr>
          <w:p w:rsidR="00FF6FA4" w:rsidRPr="007C7A4C" w:rsidRDefault="00FF6FA4" w:rsidP="00DB4B02">
            <w:pPr>
              <w:pStyle w:val="Tabletext"/>
              <w:jc w:val="center"/>
              <w:rPr>
                <w:sz w:val="20"/>
              </w:rPr>
            </w:pPr>
            <w:r w:rsidRPr="007C7A4C">
              <w:rPr>
                <w:sz w:val="20"/>
              </w:rPr>
              <w:t>0,125</w:t>
            </w:r>
            <w:r w:rsidRPr="007C7A4C">
              <w:rPr>
                <w:sz w:val="20"/>
              </w:rPr>
              <w:br/>
              <w:t xml:space="preserve">Perte de </w:t>
            </w:r>
            <w:r w:rsidRPr="007C7A4C">
              <w:rPr>
                <w:sz w:val="20"/>
              </w:rPr>
              <w:br/>
              <w:t>données</w:t>
            </w:r>
          </w:p>
        </w:tc>
      </w:tr>
      <w:tr w:rsidR="00FF6FA4" w:rsidRPr="007C7A4C" w:rsidTr="00DB4B02">
        <w:trPr>
          <w:jc w:val="center"/>
        </w:trPr>
        <w:tc>
          <w:tcPr>
            <w:tcW w:w="3600" w:type="dxa"/>
          </w:tcPr>
          <w:p w:rsidR="00FF6FA4" w:rsidRPr="007C7A4C" w:rsidRDefault="00FF6FA4" w:rsidP="006767F0">
            <w:pPr>
              <w:pStyle w:val="Tabletext"/>
              <w:ind w:left="284" w:hanging="284"/>
              <w:jc w:val="left"/>
              <w:rPr>
                <w:sz w:val="20"/>
              </w:rPr>
            </w:pPr>
            <w:r>
              <w:rPr>
                <w:sz w:val="20"/>
              </w:rPr>
              <w:t>1</w:t>
            </w:r>
            <w:r w:rsidRPr="007C7A4C">
              <w:rPr>
                <w:sz w:val="20"/>
              </w:rPr>
              <w:tab/>
              <w:t>Puissance de sortie de l'émetteur (dBW)</w:t>
            </w:r>
          </w:p>
        </w:tc>
        <w:tc>
          <w:tcPr>
            <w:tcW w:w="2461" w:type="dxa"/>
            <w:gridSpan w:val="2"/>
          </w:tcPr>
          <w:p w:rsidR="00FF6FA4" w:rsidRPr="007C7A4C" w:rsidRDefault="00FF6FA4" w:rsidP="00DB4B02">
            <w:pPr>
              <w:pStyle w:val="Tabletext"/>
              <w:jc w:val="center"/>
              <w:rPr>
                <w:sz w:val="20"/>
              </w:rPr>
            </w:pPr>
            <w:r w:rsidRPr="007C7A4C">
              <w:rPr>
                <w:sz w:val="20"/>
              </w:rPr>
              <w:t>–6,0</w:t>
            </w:r>
          </w:p>
        </w:tc>
        <w:tc>
          <w:tcPr>
            <w:tcW w:w="2624" w:type="dxa"/>
            <w:gridSpan w:val="2"/>
          </w:tcPr>
          <w:p w:rsidR="00FF6FA4" w:rsidRPr="007C7A4C" w:rsidRDefault="00FF6FA4" w:rsidP="00DB4B02">
            <w:pPr>
              <w:pStyle w:val="Tabletext"/>
              <w:jc w:val="center"/>
              <w:rPr>
                <w:sz w:val="20"/>
              </w:rPr>
            </w:pPr>
            <w:r w:rsidRPr="007C7A4C">
              <w:rPr>
                <w:sz w:val="20"/>
              </w:rPr>
              <w:t>–5,0</w:t>
            </w:r>
          </w:p>
        </w:tc>
      </w:tr>
      <w:tr w:rsidR="00FF6FA4" w:rsidRPr="007C7A4C" w:rsidTr="00DB4B02">
        <w:trPr>
          <w:jc w:val="center"/>
        </w:trPr>
        <w:tc>
          <w:tcPr>
            <w:tcW w:w="3600" w:type="dxa"/>
          </w:tcPr>
          <w:p w:rsidR="00FF6FA4" w:rsidRPr="007C7A4C" w:rsidRDefault="00FF6FA4" w:rsidP="006767F0">
            <w:pPr>
              <w:pStyle w:val="Tabletext"/>
              <w:jc w:val="left"/>
              <w:rPr>
                <w:sz w:val="20"/>
              </w:rPr>
            </w:pPr>
            <w:r>
              <w:rPr>
                <w:sz w:val="20"/>
              </w:rPr>
              <w:t>2</w:t>
            </w:r>
            <w:r w:rsidRPr="007C7A4C">
              <w:rPr>
                <w:sz w:val="20"/>
              </w:rPr>
              <w:tab/>
              <w:t>Gain d'antenne moyen (dBi)</w:t>
            </w:r>
          </w:p>
        </w:tc>
        <w:tc>
          <w:tcPr>
            <w:tcW w:w="2461" w:type="dxa"/>
            <w:gridSpan w:val="2"/>
          </w:tcPr>
          <w:p w:rsidR="00FF6FA4" w:rsidRPr="007C7A4C" w:rsidRDefault="00FF6FA4" w:rsidP="00DB4B02">
            <w:pPr>
              <w:pStyle w:val="Tabletext"/>
              <w:jc w:val="center"/>
              <w:rPr>
                <w:sz w:val="20"/>
              </w:rPr>
            </w:pPr>
            <w:r w:rsidRPr="007C7A4C">
              <w:rPr>
                <w:sz w:val="20"/>
              </w:rPr>
              <w:t>2,0</w:t>
            </w:r>
          </w:p>
        </w:tc>
        <w:tc>
          <w:tcPr>
            <w:tcW w:w="2624" w:type="dxa"/>
            <w:gridSpan w:val="2"/>
          </w:tcPr>
          <w:p w:rsidR="00FF6FA4" w:rsidRPr="007C7A4C" w:rsidRDefault="00FF6FA4" w:rsidP="00DB4B02">
            <w:pPr>
              <w:pStyle w:val="Tabletext"/>
              <w:jc w:val="center"/>
              <w:rPr>
                <w:sz w:val="20"/>
              </w:rPr>
            </w:pPr>
            <w:r w:rsidRPr="007C7A4C">
              <w:rPr>
                <w:sz w:val="20"/>
              </w:rPr>
              <w:t>–2</w:t>
            </w:r>
          </w:p>
        </w:tc>
      </w:tr>
      <w:tr w:rsidR="00FF6FA4" w:rsidRPr="007C7A4C" w:rsidTr="00DB4B02">
        <w:trPr>
          <w:jc w:val="center"/>
        </w:trPr>
        <w:tc>
          <w:tcPr>
            <w:tcW w:w="3600" w:type="dxa"/>
          </w:tcPr>
          <w:p w:rsidR="00FF6FA4" w:rsidRPr="007C7A4C" w:rsidRDefault="00FF6FA4" w:rsidP="006767F0">
            <w:pPr>
              <w:pStyle w:val="Tabletext"/>
              <w:jc w:val="left"/>
              <w:rPr>
                <w:sz w:val="20"/>
              </w:rPr>
            </w:pPr>
            <w:r>
              <w:rPr>
                <w:sz w:val="20"/>
              </w:rPr>
              <w:t>3</w:t>
            </w:r>
            <w:r w:rsidRPr="007C7A4C">
              <w:rPr>
                <w:sz w:val="20"/>
              </w:rPr>
              <w:tab/>
              <w:t>p.i.r.e</w:t>
            </w:r>
            <w:r>
              <w:rPr>
                <w:sz w:val="20"/>
              </w:rPr>
              <w:t>.</w:t>
            </w:r>
            <w:r w:rsidRPr="007C7A4C">
              <w:rPr>
                <w:sz w:val="20"/>
              </w:rPr>
              <w:t xml:space="preserve"> de la radiosonde (dBW)</w:t>
            </w:r>
          </w:p>
        </w:tc>
        <w:tc>
          <w:tcPr>
            <w:tcW w:w="2461" w:type="dxa"/>
            <w:gridSpan w:val="2"/>
          </w:tcPr>
          <w:p w:rsidR="00FF6FA4" w:rsidRPr="007C7A4C" w:rsidRDefault="00FF6FA4" w:rsidP="00DB4B02">
            <w:pPr>
              <w:pStyle w:val="Tabletext"/>
              <w:jc w:val="center"/>
              <w:rPr>
                <w:sz w:val="20"/>
              </w:rPr>
            </w:pPr>
            <w:r w:rsidRPr="007C7A4C">
              <w:rPr>
                <w:sz w:val="20"/>
              </w:rPr>
              <w:t>–4,0</w:t>
            </w:r>
          </w:p>
        </w:tc>
        <w:tc>
          <w:tcPr>
            <w:tcW w:w="2624" w:type="dxa"/>
            <w:gridSpan w:val="2"/>
          </w:tcPr>
          <w:p w:rsidR="00FF6FA4" w:rsidRPr="007C7A4C" w:rsidRDefault="00FF6FA4" w:rsidP="00DB4B02">
            <w:pPr>
              <w:pStyle w:val="Tabletext"/>
              <w:jc w:val="center"/>
              <w:rPr>
                <w:sz w:val="20"/>
              </w:rPr>
            </w:pPr>
            <w:r w:rsidRPr="007C7A4C">
              <w:rPr>
                <w:sz w:val="20"/>
              </w:rPr>
              <w:t>–3,0</w:t>
            </w:r>
          </w:p>
        </w:tc>
      </w:tr>
      <w:tr w:rsidR="00FF6FA4" w:rsidRPr="007C7A4C" w:rsidTr="00DB4B02">
        <w:trPr>
          <w:jc w:val="center"/>
        </w:trPr>
        <w:tc>
          <w:tcPr>
            <w:tcW w:w="3600" w:type="dxa"/>
          </w:tcPr>
          <w:p w:rsidR="00FF6FA4" w:rsidRPr="007C7A4C" w:rsidRDefault="00FF6FA4" w:rsidP="006767F0">
            <w:pPr>
              <w:pStyle w:val="Tabletext"/>
              <w:jc w:val="left"/>
              <w:rPr>
                <w:sz w:val="20"/>
              </w:rPr>
            </w:pPr>
            <w:r>
              <w:rPr>
                <w:sz w:val="20"/>
              </w:rPr>
              <w:t>4</w:t>
            </w:r>
            <w:r w:rsidRPr="007C7A4C">
              <w:rPr>
                <w:sz w:val="20"/>
              </w:rPr>
              <w:tab/>
              <w:t>Longueur maximale de la liaison (km)</w:t>
            </w:r>
          </w:p>
        </w:tc>
        <w:tc>
          <w:tcPr>
            <w:tcW w:w="5085" w:type="dxa"/>
            <w:gridSpan w:val="4"/>
          </w:tcPr>
          <w:p w:rsidR="00FF6FA4" w:rsidRPr="007C7A4C" w:rsidRDefault="00FF6FA4" w:rsidP="00DB4B02">
            <w:pPr>
              <w:pStyle w:val="Tabletext"/>
              <w:jc w:val="center"/>
              <w:rPr>
                <w:sz w:val="20"/>
              </w:rPr>
            </w:pPr>
            <w:r w:rsidRPr="007C7A4C">
              <w:rPr>
                <w:sz w:val="20"/>
              </w:rPr>
              <w:t>250</w:t>
            </w:r>
          </w:p>
        </w:tc>
      </w:tr>
      <w:tr w:rsidR="00FF6FA4" w:rsidRPr="007C7A4C" w:rsidTr="00DB4B02">
        <w:trPr>
          <w:jc w:val="center"/>
        </w:trPr>
        <w:tc>
          <w:tcPr>
            <w:tcW w:w="3600" w:type="dxa"/>
          </w:tcPr>
          <w:p w:rsidR="00FF6FA4" w:rsidRPr="007C7A4C" w:rsidRDefault="00FF6FA4" w:rsidP="006767F0">
            <w:pPr>
              <w:pStyle w:val="Tabletext"/>
              <w:ind w:left="284" w:hanging="284"/>
              <w:jc w:val="left"/>
              <w:rPr>
                <w:sz w:val="20"/>
              </w:rPr>
            </w:pPr>
            <w:r>
              <w:rPr>
                <w:sz w:val="20"/>
              </w:rPr>
              <w:t>5</w:t>
            </w:r>
            <w:r w:rsidRPr="007C7A4C">
              <w:rPr>
                <w:sz w:val="20"/>
              </w:rPr>
              <w:tab/>
              <w:t>Affaiblissement sur le trajet en espace libre (dB)</w:t>
            </w:r>
          </w:p>
        </w:tc>
        <w:tc>
          <w:tcPr>
            <w:tcW w:w="5085" w:type="dxa"/>
            <w:gridSpan w:val="4"/>
          </w:tcPr>
          <w:p w:rsidR="00FF6FA4" w:rsidRPr="007C7A4C" w:rsidRDefault="00FF6FA4" w:rsidP="00DB4B02">
            <w:pPr>
              <w:pStyle w:val="Tabletext"/>
              <w:jc w:val="center"/>
              <w:rPr>
                <w:sz w:val="20"/>
              </w:rPr>
            </w:pPr>
            <w:r w:rsidRPr="007C7A4C">
              <w:rPr>
                <w:sz w:val="20"/>
              </w:rPr>
              <w:t>144,9</w:t>
            </w:r>
          </w:p>
        </w:tc>
      </w:tr>
      <w:tr w:rsidR="00FF6FA4" w:rsidRPr="007C7A4C" w:rsidTr="00DB4B02">
        <w:trPr>
          <w:jc w:val="center"/>
        </w:trPr>
        <w:tc>
          <w:tcPr>
            <w:tcW w:w="3600" w:type="dxa"/>
          </w:tcPr>
          <w:p w:rsidR="00FF6FA4" w:rsidRPr="007C7A4C" w:rsidRDefault="00FF6FA4" w:rsidP="006767F0">
            <w:pPr>
              <w:pStyle w:val="Tabletext"/>
              <w:ind w:left="284" w:hanging="284"/>
              <w:jc w:val="left"/>
              <w:rPr>
                <w:sz w:val="20"/>
              </w:rPr>
            </w:pPr>
            <w:r>
              <w:rPr>
                <w:sz w:val="20"/>
              </w:rPr>
              <w:t>6</w:t>
            </w:r>
            <w:r w:rsidRPr="007C7A4C">
              <w:rPr>
                <w:sz w:val="20"/>
              </w:rPr>
              <w:tab/>
              <w:t>Affaiblissement supplémentaire sur le trajet (pluie, évanouissements, etc.) (dB)</w:t>
            </w:r>
          </w:p>
        </w:tc>
        <w:tc>
          <w:tcPr>
            <w:tcW w:w="2461" w:type="dxa"/>
            <w:gridSpan w:val="2"/>
          </w:tcPr>
          <w:p w:rsidR="00FF6FA4" w:rsidRPr="007C7A4C" w:rsidRDefault="00FF6FA4" w:rsidP="00DB4B02">
            <w:pPr>
              <w:pStyle w:val="Tabletext"/>
              <w:jc w:val="center"/>
              <w:rPr>
                <w:sz w:val="20"/>
              </w:rPr>
            </w:pPr>
            <w:r w:rsidRPr="007C7A4C">
              <w:rPr>
                <w:sz w:val="20"/>
              </w:rPr>
              <w:t>2,0</w:t>
            </w:r>
          </w:p>
        </w:tc>
        <w:tc>
          <w:tcPr>
            <w:tcW w:w="2624" w:type="dxa"/>
            <w:gridSpan w:val="2"/>
          </w:tcPr>
          <w:p w:rsidR="00FF6FA4" w:rsidRPr="007C7A4C" w:rsidRDefault="00FF6FA4" w:rsidP="00DB4B02">
            <w:pPr>
              <w:pStyle w:val="Tabletext"/>
              <w:jc w:val="center"/>
              <w:rPr>
                <w:sz w:val="20"/>
              </w:rPr>
            </w:pPr>
            <w:r w:rsidRPr="007C7A4C">
              <w:rPr>
                <w:sz w:val="20"/>
              </w:rPr>
              <w:t>5,0</w:t>
            </w:r>
          </w:p>
        </w:tc>
      </w:tr>
      <w:tr w:rsidR="00FF6FA4" w:rsidRPr="007C7A4C" w:rsidTr="00DB4B02">
        <w:trPr>
          <w:jc w:val="center"/>
        </w:trPr>
        <w:tc>
          <w:tcPr>
            <w:tcW w:w="3600" w:type="dxa"/>
          </w:tcPr>
          <w:p w:rsidR="00FF6FA4" w:rsidRPr="007C7A4C" w:rsidRDefault="00FF6FA4" w:rsidP="006767F0">
            <w:pPr>
              <w:pStyle w:val="Tabletext"/>
              <w:ind w:left="284" w:hanging="284"/>
              <w:jc w:val="left"/>
              <w:rPr>
                <w:sz w:val="20"/>
              </w:rPr>
            </w:pPr>
            <w:r>
              <w:rPr>
                <w:sz w:val="20"/>
              </w:rPr>
              <w:t>7</w:t>
            </w:r>
            <w:r w:rsidRPr="007C7A4C">
              <w:rPr>
                <w:sz w:val="20"/>
              </w:rPr>
              <w:tab/>
              <w:t>Gain d'antenne de la station au sol (dBi)</w:t>
            </w:r>
          </w:p>
        </w:tc>
        <w:tc>
          <w:tcPr>
            <w:tcW w:w="2461" w:type="dxa"/>
            <w:gridSpan w:val="2"/>
          </w:tcPr>
          <w:p w:rsidR="00FF6FA4" w:rsidRPr="007C7A4C" w:rsidRDefault="00FF6FA4" w:rsidP="00DB4B02">
            <w:pPr>
              <w:pStyle w:val="Tabletext"/>
              <w:jc w:val="center"/>
              <w:rPr>
                <w:sz w:val="20"/>
              </w:rPr>
            </w:pPr>
            <w:r w:rsidRPr="007C7A4C">
              <w:rPr>
                <w:sz w:val="20"/>
              </w:rPr>
              <w:t>28</w:t>
            </w:r>
          </w:p>
        </w:tc>
        <w:tc>
          <w:tcPr>
            <w:tcW w:w="2624" w:type="dxa"/>
            <w:gridSpan w:val="2"/>
          </w:tcPr>
          <w:p w:rsidR="00FF6FA4" w:rsidRPr="007C7A4C" w:rsidRDefault="00FF6FA4" w:rsidP="00DB4B02">
            <w:pPr>
              <w:pStyle w:val="Tabletext"/>
              <w:jc w:val="center"/>
              <w:rPr>
                <w:sz w:val="20"/>
              </w:rPr>
            </w:pPr>
            <w:r w:rsidRPr="007C7A4C">
              <w:rPr>
                <w:sz w:val="20"/>
              </w:rPr>
              <w:t>26</w:t>
            </w:r>
          </w:p>
        </w:tc>
      </w:tr>
      <w:tr w:rsidR="00FF6FA4" w:rsidRPr="007C7A4C" w:rsidTr="00DB4B02">
        <w:trPr>
          <w:jc w:val="center"/>
        </w:trPr>
        <w:tc>
          <w:tcPr>
            <w:tcW w:w="3600" w:type="dxa"/>
          </w:tcPr>
          <w:p w:rsidR="00FF6FA4" w:rsidRPr="007C7A4C" w:rsidRDefault="00FF6FA4" w:rsidP="006767F0">
            <w:pPr>
              <w:pStyle w:val="Tabletext"/>
              <w:ind w:left="284" w:hanging="284"/>
              <w:jc w:val="left"/>
              <w:rPr>
                <w:sz w:val="20"/>
              </w:rPr>
            </w:pPr>
            <w:r>
              <w:rPr>
                <w:sz w:val="20"/>
              </w:rPr>
              <w:t>8</w:t>
            </w:r>
            <w:r w:rsidRPr="007C7A4C">
              <w:rPr>
                <w:sz w:val="20"/>
              </w:rPr>
              <w:tab/>
              <w:t>Erreur de pointage de l'antenne de la station au sol (dB)</w:t>
            </w:r>
          </w:p>
        </w:tc>
        <w:tc>
          <w:tcPr>
            <w:tcW w:w="2461" w:type="dxa"/>
            <w:gridSpan w:val="2"/>
          </w:tcPr>
          <w:p w:rsidR="00FF6FA4" w:rsidRPr="007C7A4C" w:rsidRDefault="00FF6FA4" w:rsidP="00DB4B02">
            <w:pPr>
              <w:pStyle w:val="Tabletext"/>
              <w:jc w:val="center"/>
              <w:rPr>
                <w:sz w:val="20"/>
              </w:rPr>
            </w:pPr>
            <w:r w:rsidRPr="007C7A4C">
              <w:rPr>
                <w:sz w:val="20"/>
              </w:rPr>
              <w:t>0,5</w:t>
            </w:r>
          </w:p>
        </w:tc>
        <w:tc>
          <w:tcPr>
            <w:tcW w:w="2624" w:type="dxa"/>
            <w:gridSpan w:val="2"/>
          </w:tcPr>
          <w:p w:rsidR="00FF6FA4" w:rsidRPr="007C7A4C" w:rsidRDefault="00FF6FA4" w:rsidP="00DB4B02">
            <w:pPr>
              <w:pStyle w:val="Tabletext"/>
              <w:jc w:val="center"/>
              <w:rPr>
                <w:sz w:val="20"/>
              </w:rPr>
            </w:pPr>
            <w:r w:rsidRPr="007C7A4C">
              <w:rPr>
                <w:sz w:val="20"/>
              </w:rPr>
              <w:t>0,0</w:t>
            </w:r>
          </w:p>
        </w:tc>
      </w:tr>
      <w:tr w:rsidR="00FF6FA4" w:rsidRPr="007C7A4C" w:rsidTr="00DB4B02">
        <w:trPr>
          <w:jc w:val="center"/>
        </w:trPr>
        <w:tc>
          <w:tcPr>
            <w:tcW w:w="3600" w:type="dxa"/>
          </w:tcPr>
          <w:p w:rsidR="00FF6FA4" w:rsidRPr="007C7A4C" w:rsidRDefault="00FF6FA4" w:rsidP="006767F0">
            <w:pPr>
              <w:pStyle w:val="Tabletext"/>
              <w:ind w:left="284" w:hanging="284"/>
              <w:jc w:val="left"/>
              <w:rPr>
                <w:sz w:val="20"/>
              </w:rPr>
            </w:pPr>
            <w:r>
              <w:rPr>
                <w:sz w:val="20"/>
              </w:rPr>
              <w:t>9</w:t>
            </w:r>
            <w:r w:rsidRPr="007C7A4C">
              <w:rPr>
                <w:sz w:val="20"/>
              </w:rPr>
              <w:tab/>
              <w:t>Affaiblissement dans le système de réception (alimentation d'antennes, câbles, etc.) (dB)</w:t>
            </w:r>
          </w:p>
        </w:tc>
        <w:tc>
          <w:tcPr>
            <w:tcW w:w="2461" w:type="dxa"/>
            <w:gridSpan w:val="2"/>
          </w:tcPr>
          <w:p w:rsidR="00FF6FA4" w:rsidRPr="007C7A4C" w:rsidRDefault="00FF6FA4" w:rsidP="00DB4B02">
            <w:pPr>
              <w:pStyle w:val="Tabletext"/>
              <w:jc w:val="center"/>
              <w:rPr>
                <w:sz w:val="20"/>
              </w:rPr>
            </w:pPr>
            <w:r w:rsidRPr="007C7A4C">
              <w:rPr>
                <w:sz w:val="20"/>
              </w:rPr>
              <w:t>3,0</w:t>
            </w:r>
          </w:p>
        </w:tc>
        <w:tc>
          <w:tcPr>
            <w:tcW w:w="2624" w:type="dxa"/>
            <w:gridSpan w:val="2"/>
          </w:tcPr>
          <w:p w:rsidR="00FF6FA4" w:rsidRPr="007C7A4C" w:rsidRDefault="00FF6FA4" w:rsidP="00DB4B02">
            <w:pPr>
              <w:pStyle w:val="Tabletext"/>
              <w:jc w:val="center"/>
              <w:rPr>
                <w:sz w:val="20"/>
              </w:rPr>
            </w:pPr>
            <w:r w:rsidRPr="007C7A4C">
              <w:rPr>
                <w:sz w:val="20"/>
              </w:rPr>
              <w:t>0,5</w:t>
            </w:r>
          </w:p>
        </w:tc>
      </w:tr>
      <w:tr w:rsidR="00FF6FA4" w:rsidRPr="007C7A4C" w:rsidTr="00DB4B02">
        <w:trPr>
          <w:jc w:val="center"/>
        </w:trPr>
        <w:tc>
          <w:tcPr>
            <w:tcW w:w="3600" w:type="dxa"/>
          </w:tcPr>
          <w:p w:rsidR="00FF6FA4" w:rsidRPr="007C7A4C" w:rsidRDefault="00FF6FA4" w:rsidP="006767F0">
            <w:pPr>
              <w:pStyle w:val="Tabletext"/>
              <w:ind w:left="284" w:hanging="284"/>
              <w:jc w:val="left"/>
              <w:rPr>
                <w:sz w:val="20"/>
              </w:rPr>
            </w:pPr>
            <w:r>
              <w:rPr>
                <w:sz w:val="20"/>
              </w:rPr>
              <w:t>10</w:t>
            </w:r>
            <w:r w:rsidRPr="007C7A4C">
              <w:rPr>
                <w:sz w:val="20"/>
              </w:rPr>
              <w:tab/>
              <w:t>Affaiblissement par défaut d'adaptation de la polarisation (dB)</w:t>
            </w:r>
          </w:p>
        </w:tc>
        <w:tc>
          <w:tcPr>
            <w:tcW w:w="2461" w:type="dxa"/>
            <w:gridSpan w:val="2"/>
          </w:tcPr>
          <w:p w:rsidR="00FF6FA4" w:rsidRPr="007C7A4C" w:rsidRDefault="00FF6FA4" w:rsidP="00DB4B02">
            <w:pPr>
              <w:pStyle w:val="Tabletext"/>
              <w:jc w:val="center"/>
              <w:rPr>
                <w:sz w:val="20"/>
              </w:rPr>
            </w:pPr>
            <w:r w:rsidRPr="007C7A4C">
              <w:rPr>
                <w:sz w:val="20"/>
              </w:rPr>
              <w:t>0,5</w:t>
            </w:r>
          </w:p>
        </w:tc>
        <w:tc>
          <w:tcPr>
            <w:tcW w:w="2624" w:type="dxa"/>
            <w:gridSpan w:val="2"/>
          </w:tcPr>
          <w:p w:rsidR="00FF6FA4" w:rsidRPr="007C7A4C" w:rsidRDefault="00FF6FA4" w:rsidP="00DB4B02">
            <w:pPr>
              <w:pStyle w:val="Tabletext"/>
              <w:jc w:val="center"/>
              <w:rPr>
                <w:sz w:val="20"/>
              </w:rPr>
            </w:pPr>
            <w:r w:rsidRPr="007C7A4C">
              <w:rPr>
                <w:sz w:val="20"/>
              </w:rPr>
              <w:t>3</w:t>
            </w:r>
          </w:p>
        </w:tc>
      </w:tr>
      <w:tr w:rsidR="00FF6FA4" w:rsidRPr="007C7A4C" w:rsidTr="00DB4B02">
        <w:trPr>
          <w:jc w:val="center"/>
        </w:trPr>
        <w:tc>
          <w:tcPr>
            <w:tcW w:w="3600" w:type="dxa"/>
          </w:tcPr>
          <w:p w:rsidR="00FF6FA4" w:rsidRPr="007C7A4C" w:rsidRDefault="00FF6FA4" w:rsidP="006767F0">
            <w:pPr>
              <w:pStyle w:val="Tabletext"/>
              <w:jc w:val="left"/>
              <w:rPr>
                <w:sz w:val="20"/>
              </w:rPr>
            </w:pPr>
            <w:r>
              <w:rPr>
                <w:sz w:val="20"/>
              </w:rPr>
              <w:t>11</w:t>
            </w:r>
            <w:r>
              <w:rPr>
                <w:sz w:val="20"/>
              </w:rPr>
              <w:tab/>
            </w:r>
            <w:r w:rsidRPr="007C7A4C">
              <w:rPr>
                <w:sz w:val="20"/>
              </w:rPr>
              <w:t>Puissance du signal reçu (dBW)</w:t>
            </w:r>
          </w:p>
        </w:tc>
        <w:tc>
          <w:tcPr>
            <w:tcW w:w="2461" w:type="dxa"/>
            <w:gridSpan w:val="2"/>
          </w:tcPr>
          <w:p w:rsidR="00FF6FA4" w:rsidRPr="007C7A4C" w:rsidRDefault="00FF6FA4" w:rsidP="00DB4B02">
            <w:pPr>
              <w:pStyle w:val="Tabletext"/>
              <w:jc w:val="center"/>
              <w:rPr>
                <w:sz w:val="20"/>
              </w:rPr>
            </w:pPr>
            <w:r w:rsidRPr="007C7A4C">
              <w:rPr>
                <w:sz w:val="20"/>
              </w:rPr>
              <w:t>–126,9</w:t>
            </w:r>
          </w:p>
        </w:tc>
        <w:tc>
          <w:tcPr>
            <w:tcW w:w="2624" w:type="dxa"/>
            <w:gridSpan w:val="2"/>
          </w:tcPr>
          <w:p w:rsidR="00FF6FA4" w:rsidRPr="007C7A4C" w:rsidRDefault="00FF6FA4" w:rsidP="00DB4B02">
            <w:pPr>
              <w:pStyle w:val="Tabletext"/>
              <w:jc w:val="center"/>
              <w:rPr>
                <w:sz w:val="20"/>
              </w:rPr>
            </w:pPr>
            <w:r w:rsidRPr="007C7A4C">
              <w:rPr>
                <w:sz w:val="20"/>
              </w:rPr>
              <w:t>–130,4</w:t>
            </w:r>
          </w:p>
        </w:tc>
      </w:tr>
      <w:tr w:rsidR="00FF6FA4" w:rsidRPr="007C7A4C" w:rsidTr="00DB4B02">
        <w:trPr>
          <w:jc w:val="center"/>
        </w:trPr>
        <w:tc>
          <w:tcPr>
            <w:tcW w:w="3600" w:type="dxa"/>
          </w:tcPr>
          <w:p w:rsidR="00FF6FA4" w:rsidRPr="007C7A4C" w:rsidRDefault="00FF6FA4" w:rsidP="006767F0">
            <w:pPr>
              <w:pStyle w:val="Tabletext"/>
              <w:ind w:left="284" w:hanging="284"/>
              <w:jc w:val="left"/>
              <w:rPr>
                <w:sz w:val="20"/>
              </w:rPr>
            </w:pPr>
            <w:r>
              <w:rPr>
                <w:sz w:val="20"/>
              </w:rPr>
              <w:t>12</w:t>
            </w:r>
            <w:r>
              <w:rPr>
                <w:sz w:val="20"/>
              </w:rPr>
              <w:tab/>
            </w:r>
            <w:r w:rsidRPr="007C7A4C">
              <w:rPr>
                <w:sz w:val="20"/>
              </w:rPr>
              <w:t>Largeur de bande de référence du récepteur (kHz)</w:t>
            </w:r>
          </w:p>
        </w:tc>
        <w:tc>
          <w:tcPr>
            <w:tcW w:w="2461" w:type="dxa"/>
            <w:gridSpan w:val="2"/>
          </w:tcPr>
          <w:p w:rsidR="00FF6FA4" w:rsidRPr="007C7A4C" w:rsidRDefault="00FF6FA4" w:rsidP="00DB4B02">
            <w:pPr>
              <w:pStyle w:val="Tabletext"/>
              <w:jc w:val="center"/>
              <w:rPr>
                <w:sz w:val="20"/>
              </w:rPr>
            </w:pPr>
            <w:r w:rsidRPr="007C7A4C">
              <w:rPr>
                <w:sz w:val="20"/>
              </w:rPr>
              <w:t>1 300</w:t>
            </w:r>
          </w:p>
        </w:tc>
        <w:tc>
          <w:tcPr>
            <w:tcW w:w="2624" w:type="dxa"/>
            <w:gridSpan w:val="2"/>
          </w:tcPr>
          <w:p w:rsidR="00FF6FA4" w:rsidRPr="007C7A4C" w:rsidRDefault="00FF6FA4" w:rsidP="00DB4B02">
            <w:pPr>
              <w:pStyle w:val="Tabletext"/>
              <w:jc w:val="center"/>
              <w:rPr>
                <w:sz w:val="20"/>
              </w:rPr>
            </w:pPr>
            <w:r w:rsidRPr="007C7A4C">
              <w:rPr>
                <w:sz w:val="20"/>
              </w:rPr>
              <w:t>150</w:t>
            </w:r>
          </w:p>
        </w:tc>
      </w:tr>
      <w:tr w:rsidR="00FF6FA4" w:rsidRPr="007C7A4C" w:rsidTr="00DB4B02">
        <w:trPr>
          <w:jc w:val="center"/>
        </w:trPr>
        <w:tc>
          <w:tcPr>
            <w:tcW w:w="3600" w:type="dxa"/>
          </w:tcPr>
          <w:p w:rsidR="00FF6FA4" w:rsidRPr="007C7A4C" w:rsidRDefault="00FF6FA4" w:rsidP="006767F0">
            <w:pPr>
              <w:pStyle w:val="Tabletext"/>
              <w:jc w:val="left"/>
              <w:rPr>
                <w:sz w:val="20"/>
              </w:rPr>
            </w:pPr>
            <w:r w:rsidRPr="007C7A4C">
              <w:rPr>
                <w:sz w:val="20"/>
              </w:rPr>
              <w:t>13</w:t>
            </w:r>
            <w:r w:rsidRPr="007C7A4C">
              <w:rPr>
                <w:sz w:val="20"/>
              </w:rPr>
              <w:tab/>
              <w:t>Largeur de bande de référence (dBHz)</w:t>
            </w:r>
          </w:p>
        </w:tc>
        <w:tc>
          <w:tcPr>
            <w:tcW w:w="2461" w:type="dxa"/>
            <w:gridSpan w:val="2"/>
          </w:tcPr>
          <w:p w:rsidR="00FF6FA4" w:rsidRPr="007C7A4C" w:rsidRDefault="00FF6FA4" w:rsidP="00DB4B02">
            <w:pPr>
              <w:pStyle w:val="Tabletext"/>
              <w:jc w:val="center"/>
              <w:rPr>
                <w:sz w:val="20"/>
              </w:rPr>
            </w:pPr>
            <w:r w:rsidRPr="007C7A4C">
              <w:rPr>
                <w:sz w:val="20"/>
              </w:rPr>
              <w:t>61,1</w:t>
            </w:r>
          </w:p>
        </w:tc>
        <w:tc>
          <w:tcPr>
            <w:tcW w:w="2624" w:type="dxa"/>
            <w:gridSpan w:val="2"/>
          </w:tcPr>
          <w:p w:rsidR="00FF6FA4" w:rsidRPr="007C7A4C" w:rsidRDefault="00FF6FA4" w:rsidP="00DB4B02">
            <w:pPr>
              <w:pStyle w:val="Tabletext"/>
              <w:jc w:val="center"/>
              <w:rPr>
                <w:sz w:val="20"/>
              </w:rPr>
            </w:pPr>
            <w:r w:rsidRPr="007C7A4C">
              <w:rPr>
                <w:sz w:val="20"/>
              </w:rPr>
              <w:t>52</w:t>
            </w:r>
          </w:p>
        </w:tc>
      </w:tr>
      <w:tr w:rsidR="00FF6FA4" w:rsidRPr="007C7A4C" w:rsidTr="00DB4B02">
        <w:trPr>
          <w:jc w:val="center"/>
        </w:trPr>
        <w:tc>
          <w:tcPr>
            <w:tcW w:w="3600" w:type="dxa"/>
          </w:tcPr>
          <w:p w:rsidR="00FF6FA4" w:rsidRPr="007C7A4C" w:rsidRDefault="00FF6FA4" w:rsidP="006767F0">
            <w:pPr>
              <w:pStyle w:val="Tabletext"/>
              <w:jc w:val="left"/>
              <w:rPr>
                <w:sz w:val="20"/>
              </w:rPr>
            </w:pPr>
            <w:r>
              <w:rPr>
                <w:sz w:val="20"/>
              </w:rPr>
              <w:t>14</w:t>
            </w:r>
            <w:r w:rsidRPr="007C7A4C">
              <w:rPr>
                <w:sz w:val="20"/>
              </w:rPr>
              <w:tab/>
              <w:t xml:space="preserve">Energie reçue par Hz, </w:t>
            </w:r>
            <w:r w:rsidRPr="007C7A4C">
              <w:rPr>
                <w:i/>
                <w:sz w:val="20"/>
              </w:rPr>
              <w:t>C</w:t>
            </w:r>
            <w:r w:rsidRPr="007C7A4C">
              <w:rPr>
                <w:position w:val="-4"/>
                <w:sz w:val="20"/>
              </w:rPr>
              <w:t>0</w:t>
            </w:r>
            <w:r w:rsidRPr="007C7A4C">
              <w:rPr>
                <w:sz w:val="20"/>
              </w:rPr>
              <w:t xml:space="preserve"> (dB(W/Hz))</w:t>
            </w:r>
          </w:p>
        </w:tc>
        <w:tc>
          <w:tcPr>
            <w:tcW w:w="2461" w:type="dxa"/>
            <w:gridSpan w:val="2"/>
          </w:tcPr>
          <w:p w:rsidR="00FF6FA4" w:rsidRPr="007C7A4C" w:rsidRDefault="00FF6FA4" w:rsidP="00DB4B02">
            <w:pPr>
              <w:pStyle w:val="Tabletext"/>
              <w:jc w:val="center"/>
              <w:rPr>
                <w:sz w:val="20"/>
              </w:rPr>
            </w:pPr>
            <w:r w:rsidRPr="007C7A4C">
              <w:rPr>
                <w:sz w:val="20"/>
              </w:rPr>
              <w:t>–188,0</w:t>
            </w:r>
          </w:p>
        </w:tc>
        <w:tc>
          <w:tcPr>
            <w:tcW w:w="2624" w:type="dxa"/>
            <w:gridSpan w:val="2"/>
          </w:tcPr>
          <w:p w:rsidR="00FF6FA4" w:rsidRPr="007C7A4C" w:rsidRDefault="00FF6FA4" w:rsidP="00DB4B02">
            <w:pPr>
              <w:pStyle w:val="Tabletext"/>
              <w:jc w:val="center"/>
              <w:rPr>
                <w:sz w:val="20"/>
              </w:rPr>
            </w:pPr>
            <w:r w:rsidRPr="007C7A4C">
              <w:rPr>
                <w:sz w:val="20"/>
              </w:rPr>
              <w:t>–182,4</w:t>
            </w:r>
          </w:p>
        </w:tc>
      </w:tr>
      <w:tr w:rsidR="00FF6FA4" w:rsidRPr="007C7A4C" w:rsidTr="00DB4B02">
        <w:trPr>
          <w:jc w:val="center"/>
        </w:trPr>
        <w:tc>
          <w:tcPr>
            <w:tcW w:w="3600" w:type="dxa"/>
          </w:tcPr>
          <w:p w:rsidR="00FF6FA4" w:rsidRPr="007C7A4C" w:rsidRDefault="00FF6FA4" w:rsidP="006767F0">
            <w:pPr>
              <w:pStyle w:val="Tabletext"/>
              <w:ind w:left="284" w:hanging="284"/>
              <w:jc w:val="left"/>
              <w:rPr>
                <w:sz w:val="20"/>
              </w:rPr>
            </w:pPr>
            <w:r>
              <w:rPr>
                <w:sz w:val="20"/>
              </w:rPr>
              <w:t>15</w:t>
            </w:r>
            <w:r w:rsidRPr="007C7A4C">
              <w:rPr>
                <w:sz w:val="20"/>
              </w:rPr>
              <w:tab/>
              <w:t>Température de bruit du système de réception (K)</w:t>
            </w:r>
          </w:p>
        </w:tc>
        <w:tc>
          <w:tcPr>
            <w:tcW w:w="2461" w:type="dxa"/>
            <w:gridSpan w:val="2"/>
          </w:tcPr>
          <w:p w:rsidR="00FF6FA4" w:rsidRPr="007C7A4C" w:rsidRDefault="00FF6FA4" w:rsidP="00DB4B02">
            <w:pPr>
              <w:pStyle w:val="Tabletext"/>
              <w:jc w:val="center"/>
              <w:rPr>
                <w:sz w:val="20"/>
              </w:rPr>
            </w:pPr>
            <w:r w:rsidRPr="007C7A4C">
              <w:rPr>
                <w:sz w:val="20"/>
              </w:rPr>
              <w:t>738</w:t>
            </w:r>
          </w:p>
        </w:tc>
        <w:tc>
          <w:tcPr>
            <w:tcW w:w="2624" w:type="dxa"/>
            <w:gridSpan w:val="2"/>
          </w:tcPr>
          <w:p w:rsidR="00FF6FA4" w:rsidRPr="007C7A4C" w:rsidRDefault="00FF6FA4" w:rsidP="00DB4B02">
            <w:pPr>
              <w:pStyle w:val="Tabletext"/>
              <w:jc w:val="center"/>
              <w:rPr>
                <w:sz w:val="20"/>
              </w:rPr>
            </w:pPr>
            <w:r w:rsidRPr="007C7A4C">
              <w:rPr>
                <w:sz w:val="20"/>
              </w:rPr>
              <w:t>1 000</w:t>
            </w:r>
          </w:p>
        </w:tc>
      </w:tr>
      <w:tr w:rsidR="00FF6FA4" w:rsidRPr="007C7A4C" w:rsidTr="00DB4B02">
        <w:trPr>
          <w:jc w:val="center"/>
        </w:trPr>
        <w:tc>
          <w:tcPr>
            <w:tcW w:w="3600" w:type="dxa"/>
          </w:tcPr>
          <w:p w:rsidR="00FF6FA4" w:rsidRPr="00FF6FA4" w:rsidRDefault="00FF6FA4" w:rsidP="006767F0">
            <w:pPr>
              <w:pStyle w:val="Tabletext"/>
              <w:ind w:left="284" w:hanging="284"/>
              <w:jc w:val="left"/>
              <w:rPr>
                <w:sz w:val="20"/>
                <w:highlight w:val="lightGray"/>
              </w:rPr>
            </w:pPr>
            <w:r>
              <w:rPr>
                <w:sz w:val="20"/>
              </w:rPr>
              <w:t>16</w:t>
            </w:r>
            <w:r>
              <w:rPr>
                <w:sz w:val="20"/>
              </w:rPr>
              <w:tab/>
            </w:r>
            <w:r w:rsidRPr="007C7A4C">
              <w:rPr>
                <w:sz w:val="20"/>
              </w:rPr>
              <w:t>Puissance de bruit du système de réception (dBW)</w:t>
            </w:r>
          </w:p>
        </w:tc>
        <w:tc>
          <w:tcPr>
            <w:tcW w:w="2461" w:type="dxa"/>
            <w:gridSpan w:val="2"/>
          </w:tcPr>
          <w:p w:rsidR="00FF6FA4" w:rsidRPr="007C7A4C" w:rsidRDefault="00FF6FA4" w:rsidP="00DB4B02">
            <w:pPr>
              <w:pStyle w:val="Tabletext"/>
              <w:jc w:val="center"/>
              <w:rPr>
                <w:sz w:val="20"/>
              </w:rPr>
            </w:pPr>
            <w:r w:rsidRPr="007C7A4C">
              <w:rPr>
                <w:sz w:val="20"/>
              </w:rPr>
              <w:t>–168,7</w:t>
            </w:r>
          </w:p>
        </w:tc>
        <w:tc>
          <w:tcPr>
            <w:tcW w:w="2624" w:type="dxa"/>
            <w:gridSpan w:val="2"/>
          </w:tcPr>
          <w:p w:rsidR="00FF6FA4" w:rsidRPr="007C7A4C" w:rsidRDefault="00FF6FA4" w:rsidP="00DB4B02">
            <w:pPr>
              <w:pStyle w:val="Tabletext"/>
              <w:jc w:val="center"/>
              <w:rPr>
                <w:sz w:val="20"/>
              </w:rPr>
            </w:pPr>
            <w:r w:rsidRPr="007C7A4C">
              <w:rPr>
                <w:sz w:val="20"/>
              </w:rPr>
              <w:t>–146,8</w:t>
            </w:r>
          </w:p>
        </w:tc>
      </w:tr>
      <w:tr w:rsidR="00FF6FA4" w:rsidRPr="007C7A4C" w:rsidTr="00DB4B02">
        <w:trPr>
          <w:jc w:val="center"/>
        </w:trPr>
        <w:tc>
          <w:tcPr>
            <w:tcW w:w="3600" w:type="dxa"/>
          </w:tcPr>
          <w:p w:rsidR="00FF6FA4" w:rsidRPr="007C7A4C" w:rsidRDefault="00FF6FA4" w:rsidP="006767F0">
            <w:pPr>
              <w:pStyle w:val="Tabletext"/>
              <w:ind w:left="284" w:hanging="284"/>
              <w:jc w:val="left"/>
              <w:rPr>
                <w:sz w:val="20"/>
              </w:rPr>
            </w:pPr>
            <w:r>
              <w:rPr>
                <w:sz w:val="20"/>
              </w:rPr>
              <w:t>17</w:t>
            </w:r>
            <w:r>
              <w:rPr>
                <w:sz w:val="20"/>
              </w:rPr>
              <w:tab/>
            </w:r>
            <w:r w:rsidRPr="007C7A4C">
              <w:rPr>
                <w:sz w:val="20"/>
              </w:rPr>
              <w:t>Densité spectrale de bruit du récepteur,</w:t>
            </w:r>
            <w:r w:rsidRPr="007C7A4C">
              <w:rPr>
                <w:sz w:val="20"/>
              </w:rPr>
              <w:br/>
            </w:r>
            <w:r w:rsidRPr="007C7A4C">
              <w:rPr>
                <w:i/>
                <w:sz w:val="20"/>
              </w:rPr>
              <w:t>N</w:t>
            </w:r>
            <w:r w:rsidRPr="007C7A4C">
              <w:rPr>
                <w:position w:val="-4"/>
                <w:sz w:val="20"/>
              </w:rPr>
              <w:t>0</w:t>
            </w:r>
            <w:r w:rsidRPr="007C7A4C">
              <w:rPr>
                <w:sz w:val="20"/>
              </w:rPr>
              <w:t xml:space="preserve"> (dB(W/Hz))</w:t>
            </w:r>
          </w:p>
        </w:tc>
        <w:tc>
          <w:tcPr>
            <w:tcW w:w="2461" w:type="dxa"/>
            <w:gridSpan w:val="2"/>
          </w:tcPr>
          <w:p w:rsidR="00FF6FA4" w:rsidRPr="007C7A4C" w:rsidRDefault="00FF6FA4" w:rsidP="00DB4B02">
            <w:pPr>
              <w:pStyle w:val="Tabletext"/>
              <w:jc w:val="center"/>
              <w:rPr>
                <w:sz w:val="20"/>
              </w:rPr>
            </w:pPr>
            <w:r w:rsidRPr="007C7A4C">
              <w:rPr>
                <w:sz w:val="20"/>
              </w:rPr>
              <w:t>–200,5</w:t>
            </w:r>
          </w:p>
        </w:tc>
        <w:tc>
          <w:tcPr>
            <w:tcW w:w="2624" w:type="dxa"/>
            <w:gridSpan w:val="2"/>
          </w:tcPr>
          <w:p w:rsidR="00FF6FA4" w:rsidRPr="007C7A4C" w:rsidRDefault="00FF6FA4" w:rsidP="00DB4B02">
            <w:pPr>
              <w:pStyle w:val="Tabletext"/>
              <w:jc w:val="center"/>
              <w:rPr>
                <w:sz w:val="20"/>
              </w:rPr>
            </w:pPr>
            <w:r w:rsidRPr="007C7A4C">
              <w:rPr>
                <w:sz w:val="20"/>
              </w:rPr>
              <w:t>–197,4</w:t>
            </w:r>
          </w:p>
        </w:tc>
      </w:tr>
      <w:tr w:rsidR="00FF6FA4" w:rsidRPr="007C7A4C" w:rsidTr="001F032A">
        <w:trPr>
          <w:jc w:val="center"/>
        </w:trPr>
        <w:tc>
          <w:tcPr>
            <w:tcW w:w="3600" w:type="dxa"/>
          </w:tcPr>
          <w:p w:rsidR="00FF6FA4" w:rsidRPr="007C7A4C" w:rsidRDefault="00FF6FA4" w:rsidP="006767F0">
            <w:pPr>
              <w:pStyle w:val="Tabletext"/>
              <w:jc w:val="left"/>
              <w:rPr>
                <w:sz w:val="20"/>
              </w:rPr>
            </w:pPr>
            <w:r>
              <w:rPr>
                <w:sz w:val="20"/>
              </w:rPr>
              <w:t>18</w:t>
            </w:r>
            <w:r>
              <w:rPr>
                <w:sz w:val="20"/>
              </w:rPr>
              <w:tab/>
            </w:r>
            <w:r w:rsidRPr="007C7A4C">
              <w:rPr>
                <w:i/>
                <w:sz w:val="20"/>
              </w:rPr>
              <w:t>C</w:t>
            </w:r>
            <w:r w:rsidRPr="007C7A4C">
              <w:rPr>
                <w:position w:val="-4"/>
                <w:sz w:val="20"/>
              </w:rPr>
              <w:t>0 </w:t>
            </w:r>
            <w:r w:rsidRPr="007C7A4C">
              <w:rPr>
                <w:sz w:val="20"/>
              </w:rPr>
              <w:t>/</w:t>
            </w:r>
            <w:r w:rsidRPr="007C7A4C">
              <w:rPr>
                <w:i/>
                <w:sz w:val="20"/>
              </w:rPr>
              <w:t>N</w:t>
            </w:r>
            <w:r w:rsidRPr="007C7A4C">
              <w:rPr>
                <w:position w:val="-4"/>
                <w:sz w:val="20"/>
              </w:rPr>
              <w:t>0</w:t>
            </w:r>
            <w:r w:rsidRPr="007C7A4C">
              <w:rPr>
                <w:sz w:val="20"/>
              </w:rPr>
              <w:t xml:space="preserve"> minimal (dB)</w:t>
            </w:r>
          </w:p>
        </w:tc>
        <w:tc>
          <w:tcPr>
            <w:tcW w:w="1285" w:type="dxa"/>
          </w:tcPr>
          <w:p w:rsidR="00FF6FA4" w:rsidRPr="007C7A4C" w:rsidRDefault="00FF6FA4" w:rsidP="00DB4B02">
            <w:pPr>
              <w:pStyle w:val="Tabletext"/>
              <w:jc w:val="center"/>
              <w:rPr>
                <w:sz w:val="20"/>
              </w:rPr>
            </w:pPr>
            <w:r w:rsidRPr="007C7A4C">
              <w:rPr>
                <w:sz w:val="20"/>
              </w:rPr>
              <w:t>7</w:t>
            </w:r>
          </w:p>
        </w:tc>
        <w:tc>
          <w:tcPr>
            <w:tcW w:w="1176" w:type="dxa"/>
          </w:tcPr>
          <w:p w:rsidR="00FF6FA4" w:rsidRPr="007C7A4C" w:rsidRDefault="00FF6FA4" w:rsidP="00DB4B02">
            <w:pPr>
              <w:pStyle w:val="Tabletext"/>
              <w:jc w:val="center"/>
              <w:rPr>
                <w:sz w:val="20"/>
              </w:rPr>
            </w:pPr>
            <w:r w:rsidRPr="007C7A4C">
              <w:rPr>
                <w:sz w:val="20"/>
              </w:rPr>
              <w:t>12</w:t>
            </w:r>
          </w:p>
        </w:tc>
        <w:tc>
          <w:tcPr>
            <w:tcW w:w="1306" w:type="dxa"/>
          </w:tcPr>
          <w:p w:rsidR="00FF6FA4" w:rsidRPr="007C7A4C" w:rsidRDefault="00FF6FA4" w:rsidP="00DB4B02">
            <w:pPr>
              <w:pStyle w:val="Tabletext"/>
              <w:jc w:val="center"/>
              <w:rPr>
                <w:sz w:val="20"/>
              </w:rPr>
            </w:pPr>
            <w:r w:rsidRPr="007C7A4C">
              <w:rPr>
                <w:sz w:val="20"/>
              </w:rPr>
              <w:t>6</w:t>
            </w:r>
          </w:p>
        </w:tc>
        <w:tc>
          <w:tcPr>
            <w:tcW w:w="1318" w:type="dxa"/>
          </w:tcPr>
          <w:p w:rsidR="00FF6FA4" w:rsidRPr="007C7A4C" w:rsidRDefault="00FF6FA4" w:rsidP="00DB4B02">
            <w:pPr>
              <w:pStyle w:val="Tabletext"/>
              <w:jc w:val="center"/>
              <w:rPr>
                <w:sz w:val="20"/>
              </w:rPr>
            </w:pPr>
            <w:r w:rsidRPr="007C7A4C">
              <w:rPr>
                <w:sz w:val="20"/>
              </w:rPr>
              <w:t>12</w:t>
            </w:r>
          </w:p>
        </w:tc>
      </w:tr>
      <w:tr w:rsidR="00FF6FA4" w:rsidRPr="007C7A4C" w:rsidTr="00DB4B02">
        <w:trPr>
          <w:jc w:val="center"/>
        </w:trPr>
        <w:tc>
          <w:tcPr>
            <w:tcW w:w="3600" w:type="dxa"/>
          </w:tcPr>
          <w:p w:rsidR="00FF6FA4" w:rsidRPr="007C7A4C" w:rsidRDefault="00FF6FA4" w:rsidP="006767F0">
            <w:pPr>
              <w:pStyle w:val="Tabletext"/>
              <w:jc w:val="left"/>
              <w:rPr>
                <w:sz w:val="20"/>
              </w:rPr>
            </w:pPr>
            <w:r>
              <w:rPr>
                <w:sz w:val="20"/>
              </w:rPr>
              <w:t>19</w:t>
            </w:r>
            <w:r w:rsidRPr="007C7A4C">
              <w:rPr>
                <w:sz w:val="20"/>
              </w:rPr>
              <w:tab/>
            </w:r>
            <w:r w:rsidRPr="007C7A4C">
              <w:rPr>
                <w:i/>
                <w:sz w:val="20"/>
              </w:rPr>
              <w:t>C</w:t>
            </w:r>
            <w:r w:rsidRPr="007C7A4C">
              <w:rPr>
                <w:position w:val="-4"/>
                <w:sz w:val="20"/>
              </w:rPr>
              <w:t>0 </w:t>
            </w:r>
            <w:r w:rsidRPr="007C7A4C">
              <w:rPr>
                <w:sz w:val="20"/>
              </w:rPr>
              <w:t>/</w:t>
            </w:r>
            <w:r w:rsidRPr="007C7A4C">
              <w:rPr>
                <w:i/>
                <w:sz w:val="20"/>
              </w:rPr>
              <w:t>N</w:t>
            </w:r>
            <w:r w:rsidRPr="007C7A4C">
              <w:rPr>
                <w:position w:val="-4"/>
                <w:sz w:val="20"/>
              </w:rPr>
              <w:t>0</w:t>
            </w:r>
            <w:r w:rsidRPr="007C7A4C">
              <w:rPr>
                <w:sz w:val="20"/>
              </w:rPr>
              <w:t xml:space="preserve"> effectif pour le vol (dB)</w:t>
            </w:r>
          </w:p>
        </w:tc>
        <w:tc>
          <w:tcPr>
            <w:tcW w:w="2461" w:type="dxa"/>
            <w:gridSpan w:val="2"/>
          </w:tcPr>
          <w:p w:rsidR="00FF6FA4" w:rsidRPr="007C7A4C" w:rsidRDefault="00FF6FA4" w:rsidP="00DB4B02">
            <w:pPr>
              <w:pStyle w:val="Tabletext"/>
              <w:jc w:val="center"/>
              <w:rPr>
                <w:sz w:val="20"/>
              </w:rPr>
            </w:pPr>
            <w:r w:rsidRPr="007C7A4C">
              <w:rPr>
                <w:sz w:val="20"/>
              </w:rPr>
              <w:t>12,5</w:t>
            </w:r>
          </w:p>
        </w:tc>
        <w:tc>
          <w:tcPr>
            <w:tcW w:w="2624" w:type="dxa"/>
            <w:gridSpan w:val="2"/>
          </w:tcPr>
          <w:p w:rsidR="00FF6FA4" w:rsidRPr="007C7A4C" w:rsidRDefault="00FF6FA4" w:rsidP="00DB4B02">
            <w:pPr>
              <w:pStyle w:val="Tabletext"/>
              <w:jc w:val="center"/>
              <w:rPr>
                <w:sz w:val="20"/>
              </w:rPr>
            </w:pPr>
            <w:r w:rsidRPr="007C7A4C">
              <w:rPr>
                <w:sz w:val="20"/>
              </w:rPr>
              <w:t>15</w:t>
            </w:r>
          </w:p>
        </w:tc>
      </w:tr>
      <w:tr w:rsidR="00FF6FA4" w:rsidRPr="007C7A4C" w:rsidTr="001F032A">
        <w:trPr>
          <w:jc w:val="center"/>
        </w:trPr>
        <w:tc>
          <w:tcPr>
            <w:tcW w:w="3600" w:type="dxa"/>
          </w:tcPr>
          <w:p w:rsidR="00FF6FA4" w:rsidRPr="007C7A4C" w:rsidRDefault="00FF6FA4" w:rsidP="006767F0">
            <w:pPr>
              <w:pStyle w:val="Tabletext"/>
              <w:jc w:val="left"/>
              <w:rPr>
                <w:sz w:val="20"/>
              </w:rPr>
            </w:pPr>
            <w:r>
              <w:rPr>
                <w:sz w:val="20"/>
              </w:rPr>
              <w:t>20</w:t>
            </w:r>
            <w:r w:rsidRPr="007C7A4C">
              <w:rPr>
                <w:sz w:val="20"/>
              </w:rPr>
              <w:tab/>
              <w:t>Marge (dB)</w:t>
            </w:r>
          </w:p>
        </w:tc>
        <w:tc>
          <w:tcPr>
            <w:tcW w:w="1285" w:type="dxa"/>
          </w:tcPr>
          <w:p w:rsidR="00FF6FA4" w:rsidRPr="007C7A4C" w:rsidRDefault="00FF6FA4" w:rsidP="00DB4B02">
            <w:pPr>
              <w:pStyle w:val="Tabletext"/>
              <w:jc w:val="center"/>
              <w:rPr>
                <w:sz w:val="20"/>
              </w:rPr>
            </w:pPr>
            <w:r w:rsidRPr="007C7A4C">
              <w:rPr>
                <w:sz w:val="20"/>
              </w:rPr>
              <w:t>5,5</w:t>
            </w:r>
          </w:p>
        </w:tc>
        <w:tc>
          <w:tcPr>
            <w:tcW w:w="1176" w:type="dxa"/>
          </w:tcPr>
          <w:p w:rsidR="00FF6FA4" w:rsidRPr="007C7A4C" w:rsidRDefault="00FF6FA4" w:rsidP="00DB4B02">
            <w:pPr>
              <w:pStyle w:val="Tabletext"/>
              <w:jc w:val="center"/>
              <w:rPr>
                <w:sz w:val="20"/>
              </w:rPr>
            </w:pPr>
            <w:r w:rsidRPr="007C7A4C">
              <w:rPr>
                <w:sz w:val="20"/>
              </w:rPr>
              <w:t>0,5</w:t>
            </w:r>
          </w:p>
        </w:tc>
        <w:tc>
          <w:tcPr>
            <w:tcW w:w="1306" w:type="dxa"/>
          </w:tcPr>
          <w:p w:rsidR="00FF6FA4" w:rsidRPr="007C7A4C" w:rsidRDefault="00FF6FA4" w:rsidP="00DB4B02">
            <w:pPr>
              <w:pStyle w:val="Tabletext"/>
              <w:jc w:val="center"/>
              <w:rPr>
                <w:sz w:val="20"/>
              </w:rPr>
            </w:pPr>
            <w:r w:rsidRPr="007C7A4C">
              <w:rPr>
                <w:sz w:val="20"/>
              </w:rPr>
              <w:t>9,0</w:t>
            </w:r>
          </w:p>
        </w:tc>
        <w:tc>
          <w:tcPr>
            <w:tcW w:w="1318" w:type="dxa"/>
          </w:tcPr>
          <w:p w:rsidR="00FF6FA4" w:rsidRPr="007C7A4C" w:rsidRDefault="00FF6FA4" w:rsidP="00DB4B02">
            <w:pPr>
              <w:pStyle w:val="Tabletext"/>
              <w:jc w:val="center"/>
              <w:rPr>
                <w:sz w:val="20"/>
              </w:rPr>
            </w:pPr>
            <w:r w:rsidRPr="007C7A4C">
              <w:rPr>
                <w:sz w:val="20"/>
              </w:rPr>
              <w:t>3,0</w:t>
            </w:r>
          </w:p>
        </w:tc>
      </w:tr>
    </w:tbl>
    <w:p w:rsidR="00183EB4" w:rsidRDefault="00183EB4" w:rsidP="00183EB4">
      <w:pPr>
        <w:pStyle w:val="Tablefin"/>
      </w:pPr>
    </w:p>
    <w:p w:rsidR="00FF6FA4" w:rsidRDefault="00FF6FA4" w:rsidP="00FF6FA4">
      <w:pPr>
        <w:pStyle w:val="Heading1"/>
      </w:pPr>
      <w:r>
        <w:br w:type="page"/>
      </w:r>
      <w:bookmarkStart w:id="7" w:name="_Toc393257593"/>
      <w:r>
        <w:lastRenderedPageBreak/>
        <w:t>4</w:t>
      </w:r>
      <w:r>
        <w:tab/>
        <w:t>Calcul des critères de brouillage applicables au service des auxiliaires de la météorologie</w:t>
      </w:r>
      <w:bookmarkEnd w:id="7"/>
    </w:p>
    <w:p w:rsidR="00FF6FA4" w:rsidRDefault="00FF6FA4" w:rsidP="00FF6FA4">
      <w:pPr>
        <w:pStyle w:val="Heading2"/>
      </w:pPr>
      <w:bookmarkStart w:id="8" w:name="_Toc393257594"/>
      <w:r>
        <w:t>4.1</w:t>
      </w:r>
      <w:r>
        <w:tab/>
        <w:t>Radiosondes</w:t>
      </w:r>
      <w:bookmarkEnd w:id="8"/>
    </w:p>
    <w:p w:rsidR="00FF6FA4" w:rsidRDefault="00FF6FA4" w:rsidP="00FF6FA4">
      <w:r>
        <w:t xml:space="preserve">Les critères de brouillage peuvent être calculés à l'aide des équations (1), (2) et (3) et des résultats de l'analyse des bilans de liaison présentée dans le Tableau 4. Les critères de brouillage établis pour chacun des trois systèmes à radiosondes sont donnés dans </w:t>
      </w:r>
      <w:r w:rsidRPr="00D8612C">
        <w:t>les Tableaux 6 et 7</w:t>
      </w:r>
      <w:r>
        <w:t>.</w:t>
      </w:r>
    </w:p>
    <w:p w:rsidR="00FF6FA4" w:rsidRDefault="00FF6FA4" w:rsidP="00183EB4">
      <w:pPr>
        <w:pStyle w:val="TableNo"/>
      </w:pPr>
      <w:r w:rsidRPr="00183EB4">
        <w:t>TABLEAU</w:t>
      </w:r>
      <w:r>
        <w:t xml:space="preserve"> </w:t>
      </w:r>
      <w:r w:rsidRPr="00D8612C">
        <w:t>6</w:t>
      </w:r>
    </w:p>
    <w:p w:rsidR="00FF6FA4" w:rsidRDefault="00FF6FA4" w:rsidP="00183EB4">
      <w:pPr>
        <w:pStyle w:val="Tabletitle"/>
      </w:pPr>
      <w:r>
        <w:t xml:space="preserve">Critères de brouillage applicables aux systèmes à radiosondes </w:t>
      </w:r>
      <w:r>
        <w:br/>
      </w:r>
      <w:r w:rsidRPr="00D8612C">
        <w:t>fonctionnant dans la bande 400,15-406 MHz</w:t>
      </w:r>
    </w:p>
    <w:tbl>
      <w:tblPr>
        <w:tblW w:w="0" w:type="auto"/>
        <w:jc w:val="center"/>
        <w:tblInd w:w="-1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4098"/>
        <w:gridCol w:w="2738"/>
        <w:gridCol w:w="2887"/>
      </w:tblGrid>
      <w:tr w:rsidR="00FF6FA4" w:rsidRPr="00B15ADD" w:rsidTr="00183EB4">
        <w:trPr>
          <w:jc w:val="center"/>
        </w:trPr>
        <w:tc>
          <w:tcPr>
            <w:tcW w:w="4098" w:type="dxa"/>
            <w:vAlign w:val="center"/>
          </w:tcPr>
          <w:p w:rsidR="00FF6FA4" w:rsidRPr="00B15ADD" w:rsidRDefault="00FF6FA4" w:rsidP="00183EB4">
            <w:pPr>
              <w:pStyle w:val="Tablehead"/>
              <w:rPr>
                <w:szCs w:val="22"/>
              </w:rPr>
            </w:pPr>
            <w:r w:rsidRPr="00B15ADD">
              <w:rPr>
                <w:szCs w:val="22"/>
              </w:rPr>
              <w:t>Paramètre</w:t>
            </w:r>
          </w:p>
        </w:tc>
        <w:tc>
          <w:tcPr>
            <w:tcW w:w="2738" w:type="dxa"/>
            <w:vAlign w:val="center"/>
          </w:tcPr>
          <w:p w:rsidR="00FF6FA4" w:rsidRPr="00B15ADD" w:rsidRDefault="00FF6FA4" w:rsidP="00183EB4">
            <w:pPr>
              <w:pStyle w:val="Tablehead"/>
              <w:rPr>
                <w:szCs w:val="22"/>
              </w:rPr>
            </w:pPr>
            <w:r w:rsidRPr="00B15ADD">
              <w:rPr>
                <w:szCs w:val="22"/>
              </w:rPr>
              <w:t xml:space="preserve">Système NAVAID </w:t>
            </w:r>
            <w:r w:rsidRPr="00B15ADD">
              <w:rPr>
                <w:szCs w:val="22"/>
              </w:rPr>
              <w:br/>
              <w:t xml:space="preserve">(avec antenne directive) </w:t>
            </w:r>
            <w:r w:rsidRPr="00B15ADD">
              <w:rPr>
                <w:szCs w:val="22"/>
              </w:rPr>
              <w:br/>
              <w:t>400,15-406 MHz</w:t>
            </w:r>
          </w:p>
        </w:tc>
        <w:tc>
          <w:tcPr>
            <w:tcW w:w="2887" w:type="dxa"/>
            <w:vAlign w:val="center"/>
          </w:tcPr>
          <w:p w:rsidR="00FF6FA4" w:rsidRPr="00B15ADD" w:rsidRDefault="00FF6FA4" w:rsidP="00183EB4">
            <w:pPr>
              <w:pStyle w:val="Tablehead"/>
              <w:rPr>
                <w:szCs w:val="22"/>
              </w:rPr>
            </w:pPr>
            <w:r w:rsidRPr="00B15ADD">
              <w:rPr>
                <w:szCs w:val="22"/>
              </w:rPr>
              <w:t xml:space="preserve">Système NAVAID </w:t>
            </w:r>
            <w:r w:rsidRPr="00B15ADD">
              <w:rPr>
                <w:szCs w:val="22"/>
              </w:rPr>
              <w:br/>
              <w:t xml:space="preserve">(avec antenne équidirective) </w:t>
            </w:r>
            <w:r w:rsidRPr="00B15ADD">
              <w:rPr>
                <w:szCs w:val="22"/>
              </w:rPr>
              <w:br/>
              <w:t>400,15-406 MHz</w:t>
            </w:r>
          </w:p>
        </w:tc>
      </w:tr>
      <w:tr w:rsidR="00FF6FA4" w:rsidRPr="00B15ADD" w:rsidTr="00DB4B02">
        <w:trPr>
          <w:jc w:val="center"/>
        </w:trPr>
        <w:tc>
          <w:tcPr>
            <w:tcW w:w="4098" w:type="dxa"/>
          </w:tcPr>
          <w:p w:rsidR="00FF6FA4" w:rsidRPr="00B15ADD" w:rsidRDefault="00FF6FA4" w:rsidP="006767F0">
            <w:pPr>
              <w:pStyle w:val="Tabletext"/>
              <w:jc w:val="left"/>
              <w:rPr>
                <w:szCs w:val="22"/>
              </w:rPr>
            </w:pPr>
            <w:r w:rsidRPr="00B15ADD">
              <w:rPr>
                <w:szCs w:val="22"/>
              </w:rPr>
              <w:t>Densité spectrale de bruit du récepteur (dB(W/Hz))</w:t>
            </w:r>
          </w:p>
        </w:tc>
        <w:tc>
          <w:tcPr>
            <w:tcW w:w="5625" w:type="dxa"/>
            <w:gridSpan w:val="2"/>
            <w:vAlign w:val="center"/>
          </w:tcPr>
          <w:p w:rsidR="00FF6FA4" w:rsidRPr="00B15ADD" w:rsidRDefault="00FF6FA4" w:rsidP="00DB4B02">
            <w:pPr>
              <w:pStyle w:val="Tabletext"/>
              <w:jc w:val="center"/>
              <w:rPr>
                <w:szCs w:val="22"/>
              </w:rPr>
            </w:pPr>
            <w:r w:rsidRPr="00B15ADD">
              <w:rPr>
                <w:szCs w:val="22"/>
              </w:rPr>
              <w:t>–200,9</w:t>
            </w:r>
          </w:p>
        </w:tc>
      </w:tr>
      <w:tr w:rsidR="00FF6FA4" w:rsidRPr="00B15ADD" w:rsidTr="00DB4B02">
        <w:trPr>
          <w:jc w:val="center"/>
        </w:trPr>
        <w:tc>
          <w:tcPr>
            <w:tcW w:w="4098" w:type="dxa"/>
          </w:tcPr>
          <w:p w:rsidR="00FF6FA4" w:rsidRPr="00B15ADD" w:rsidRDefault="00FF6FA4" w:rsidP="006767F0">
            <w:pPr>
              <w:pStyle w:val="Tabletext"/>
              <w:jc w:val="left"/>
              <w:rPr>
                <w:szCs w:val="22"/>
              </w:rPr>
            </w:pPr>
            <w:r w:rsidRPr="00B15ADD">
              <w:rPr>
                <w:szCs w:val="22"/>
              </w:rPr>
              <w:t>Largeur de bande de référence du récepteur (dB/Hz)</w:t>
            </w:r>
          </w:p>
        </w:tc>
        <w:tc>
          <w:tcPr>
            <w:tcW w:w="5625" w:type="dxa"/>
            <w:gridSpan w:val="2"/>
            <w:vAlign w:val="center"/>
          </w:tcPr>
          <w:p w:rsidR="00FF6FA4" w:rsidRPr="00B15ADD" w:rsidRDefault="00FF6FA4" w:rsidP="00DB4B02">
            <w:pPr>
              <w:pStyle w:val="Tabletext"/>
              <w:jc w:val="center"/>
              <w:rPr>
                <w:szCs w:val="22"/>
              </w:rPr>
            </w:pPr>
            <w:r w:rsidRPr="00B15ADD">
              <w:rPr>
                <w:szCs w:val="22"/>
              </w:rPr>
              <w:t>54,8</w:t>
            </w:r>
          </w:p>
        </w:tc>
      </w:tr>
      <w:tr w:rsidR="00FF6FA4" w:rsidRPr="00B15ADD" w:rsidTr="00DB4B02">
        <w:trPr>
          <w:jc w:val="center"/>
        </w:trPr>
        <w:tc>
          <w:tcPr>
            <w:tcW w:w="4098" w:type="dxa"/>
          </w:tcPr>
          <w:p w:rsidR="00FF6FA4" w:rsidRPr="00B15ADD" w:rsidRDefault="00FF6FA4" w:rsidP="006767F0">
            <w:pPr>
              <w:pStyle w:val="Tabletext"/>
              <w:jc w:val="left"/>
              <w:rPr>
                <w:szCs w:val="22"/>
              </w:rPr>
            </w:pPr>
            <w:r w:rsidRPr="00B15ADD">
              <w:rPr>
                <w:szCs w:val="22"/>
              </w:rPr>
              <w:t xml:space="preserve">Marge de liaison (dB) </w:t>
            </w:r>
            <w:r w:rsidRPr="00B15ADD">
              <w:rPr>
                <w:i/>
                <w:szCs w:val="22"/>
              </w:rPr>
              <w:t>P</w:t>
            </w:r>
            <w:r w:rsidRPr="00B15ADD">
              <w:rPr>
                <w:i/>
                <w:szCs w:val="22"/>
                <w:vertAlign w:val="subscript"/>
              </w:rPr>
              <w:t>PERTE-VERROUILLAGE</w:t>
            </w:r>
            <w:r w:rsidRPr="00B15ADD">
              <w:rPr>
                <w:szCs w:val="22"/>
                <w:vertAlign w:val="subscript"/>
              </w:rPr>
              <w:t xml:space="preserve"> </w:t>
            </w:r>
            <w:r w:rsidRPr="00B15ADD">
              <w:rPr>
                <w:szCs w:val="22"/>
              </w:rPr>
              <w:t xml:space="preserve">= 0,02% </w:t>
            </w:r>
          </w:p>
        </w:tc>
        <w:tc>
          <w:tcPr>
            <w:tcW w:w="2738" w:type="dxa"/>
            <w:vAlign w:val="center"/>
          </w:tcPr>
          <w:p w:rsidR="00FF6FA4" w:rsidRPr="00B15ADD" w:rsidRDefault="00FF6FA4" w:rsidP="00DB4B02">
            <w:pPr>
              <w:pStyle w:val="Tabletext"/>
              <w:jc w:val="center"/>
              <w:rPr>
                <w:szCs w:val="22"/>
              </w:rPr>
            </w:pPr>
            <w:r w:rsidRPr="00B15ADD">
              <w:rPr>
                <w:szCs w:val="22"/>
              </w:rPr>
              <w:t>5,6</w:t>
            </w:r>
          </w:p>
        </w:tc>
        <w:tc>
          <w:tcPr>
            <w:tcW w:w="2887" w:type="dxa"/>
            <w:vAlign w:val="center"/>
          </w:tcPr>
          <w:p w:rsidR="00FF6FA4" w:rsidRPr="00B15ADD" w:rsidRDefault="00FF6FA4" w:rsidP="00DB4B02">
            <w:pPr>
              <w:pStyle w:val="Tabletext"/>
              <w:jc w:val="center"/>
              <w:rPr>
                <w:szCs w:val="22"/>
              </w:rPr>
            </w:pPr>
            <w:r w:rsidRPr="00B15ADD">
              <w:rPr>
                <w:szCs w:val="22"/>
              </w:rPr>
              <w:t>Sans objet</w:t>
            </w:r>
            <w:r w:rsidRPr="00B15ADD">
              <w:rPr>
                <w:szCs w:val="22"/>
                <w:vertAlign w:val="superscript"/>
              </w:rPr>
              <w:t>(1)</w:t>
            </w:r>
          </w:p>
        </w:tc>
      </w:tr>
      <w:tr w:rsidR="00FF6FA4" w:rsidRPr="00B15ADD" w:rsidTr="00DB4B02">
        <w:trPr>
          <w:jc w:val="center"/>
        </w:trPr>
        <w:tc>
          <w:tcPr>
            <w:tcW w:w="4098" w:type="dxa"/>
          </w:tcPr>
          <w:p w:rsidR="00FF6FA4" w:rsidRPr="00B15ADD" w:rsidRDefault="00FF6FA4" w:rsidP="006767F0">
            <w:pPr>
              <w:pStyle w:val="Tabletext"/>
              <w:jc w:val="left"/>
              <w:rPr>
                <w:szCs w:val="22"/>
              </w:rPr>
            </w:pPr>
            <w:r w:rsidRPr="00B15ADD">
              <w:rPr>
                <w:szCs w:val="22"/>
              </w:rPr>
              <w:t xml:space="preserve">Marge de liaison (dB) </w:t>
            </w:r>
            <w:r w:rsidRPr="00B15ADD">
              <w:rPr>
                <w:i/>
                <w:szCs w:val="22"/>
              </w:rPr>
              <w:t>P</w:t>
            </w:r>
            <w:r w:rsidRPr="00B15ADD">
              <w:rPr>
                <w:i/>
                <w:szCs w:val="22"/>
                <w:vertAlign w:val="subscript"/>
              </w:rPr>
              <w:t>PERTE-DONN</w:t>
            </w:r>
            <w:r>
              <w:rPr>
                <w:i/>
                <w:vertAlign w:val="subscript"/>
              </w:rPr>
              <w:t>É</w:t>
            </w:r>
            <w:r w:rsidRPr="00B15ADD">
              <w:rPr>
                <w:i/>
                <w:szCs w:val="22"/>
                <w:vertAlign w:val="subscript"/>
              </w:rPr>
              <w:t>ES</w:t>
            </w:r>
            <w:r w:rsidRPr="00B15ADD">
              <w:rPr>
                <w:szCs w:val="22"/>
                <w:vertAlign w:val="subscript"/>
              </w:rPr>
              <w:t xml:space="preserve"> </w:t>
            </w:r>
            <w:r w:rsidRPr="00B15ADD">
              <w:rPr>
                <w:szCs w:val="22"/>
              </w:rPr>
              <w:t xml:space="preserve">= 0,2% </w:t>
            </w:r>
          </w:p>
        </w:tc>
        <w:tc>
          <w:tcPr>
            <w:tcW w:w="2738" w:type="dxa"/>
            <w:vAlign w:val="center"/>
          </w:tcPr>
          <w:p w:rsidR="00FF6FA4" w:rsidRPr="00B15ADD" w:rsidRDefault="00FF6FA4" w:rsidP="00DB4B02">
            <w:pPr>
              <w:pStyle w:val="Tabletext"/>
              <w:jc w:val="center"/>
              <w:rPr>
                <w:szCs w:val="22"/>
              </w:rPr>
            </w:pPr>
            <w:r w:rsidRPr="00B15ADD">
              <w:rPr>
                <w:szCs w:val="22"/>
              </w:rPr>
              <w:t>1,6</w:t>
            </w:r>
          </w:p>
        </w:tc>
        <w:tc>
          <w:tcPr>
            <w:tcW w:w="2887" w:type="dxa"/>
            <w:vAlign w:val="center"/>
          </w:tcPr>
          <w:p w:rsidR="00FF6FA4" w:rsidRPr="00B15ADD" w:rsidRDefault="00FF6FA4" w:rsidP="00DB4B02">
            <w:pPr>
              <w:pStyle w:val="Tabletext"/>
              <w:jc w:val="center"/>
              <w:rPr>
                <w:szCs w:val="22"/>
              </w:rPr>
            </w:pPr>
            <w:r w:rsidRPr="00B15ADD">
              <w:rPr>
                <w:szCs w:val="22"/>
              </w:rPr>
              <w:t>0,6</w:t>
            </w:r>
          </w:p>
        </w:tc>
      </w:tr>
      <w:tr w:rsidR="00FF6FA4" w:rsidRPr="00B15ADD" w:rsidTr="00DB4B02">
        <w:trPr>
          <w:jc w:val="center"/>
        </w:trPr>
        <w:tc>
          <w:tcPr>
            <w:tcW w:w="4098" w:type="dxa"/>
          </w:tcPr>
          <w:p w:rsidR="00FF6FA4" w:rsidRPr="00B15ADD" w:rsidRDefault="00FF6FA4" w:rsidP="006767F0">
            <w:pPr>
              <w:pStyle w:val="Tabletext"/>
              <w:jc w:val="left"/>
              <w:rPr>
                <w:szCs w:val="22"/>
              </w:rPr>
            </w:pPr>
            <w:r w:rsidRPr="00B15ADD">
              <w:rPr>
                <w:szCs w:val="22"/>
              </w:rPr>
              <w:t xml:space="preserve">Niveau de brouillage ne devant pas être dépassé pendant plus de </w:t>
            </w:r>
            <w:r w:rsidRPr="00B15ADD">
              <w:rPr>
                <w:i/>
                <w:szCs w:val="22"/>
              </w:rPr>
              <w:t>P</w:t>
            </w:r>
            <w:r w:rsidRPr="00B15ADD">
              <w:rPr>
                <w:i/>
                <w:szCs w:val="22"/>
                <w:vertAlign w:val="subscript"/>
              </w:rPr>
              <w:t>PERTE-VERROUILLAGE</w:t>
            </w:r>
            <w:r w:rsidRPr="00B15ADD">
              <w:rPr>
                <w:szCs w:val="22"/>
                <w:vertAlign w:val="subscript"/>
              </w:rPr>
              <w:t xml:space="preserve"> </w:t>
            </w:r>
            <w:r w:rsidRPr="00B15ADD">
              <w:rPr>
                <w:szCs w:val="22"/>
              </w:rPr>
              <w:t>= 0,02% du temps (équation (1))</w:t>
            </w:r>
          </w:p>
        </w:tc>
        <w:tc>
          <w:tcPr>
            <w:tcW w:w="2738" w:type="dxa"/>
            <w:vAlign w:val="center"/>
          </w:tcPr>
          <w:p w:rsidR="00FF6FA4" w:rsidRPr="00B15ADD" w:rsidRDefault="00FF6FA4" w:rsidP="00DB4B02">
            <w:pPr>
              <w:pStyle w:val="Tabletext"/>
              <w:jc w:val="center"/>
              <w:rPr>
                <w:szCs w:val="22"/>
              </w:rPr>
            </w:pPr>
            <w:r w:rsidRPr="00B15ADD">
              <w:rPr>
                <w:szCs w:val="22"/>
              </w:rPr>
              <w:t>–141,9 dBW (300 kHz)</w:t>
            </w:r>
          </w:p>
        </w:tc>
        <w:tc>
          <w:tcPr>
            <w:tcW w:w="2887" w:type="dxa"/>
            <w:vAlign w:val="center"/>
          </w:tcPr>
          <w:p w:rsidR="00FF6FA4" w:rsidRPr="00B15ADD" w:rsidRDefault="00FF6FA4" w:rsidP="00DB4B02">
            <w:pPr>
              <w:pStyle w:val="Tabletext"/>
              <w:jc w:val="center"/>
              <w:rPr>
                <w:szCs w:val="22"/>
              </w:rPr>
            </w:pPr>
            <w:r w:rsidRPr="00B15ADD">
              <w:rPr>
                <w:szCs w:val="22"/>
              </w:rPr>
              <w:t>Sans objet</w:t>
            </w:r>
            <w:r w:rsidRPr="00B15ADD">
              <w:rPr>
                <w:szCs w:val="22"/>
                <w:vertAlign w:val="superscript"/>
              </w:rPr>
              <w:t>(1)</w:t>
            </w:r>
          </w:p>
        </w:tc>
      </w:tr>
      <w:tr w:rsidR="00FF6FA4" w:rsidRPr="00B15ADD" w:rsidTr="00DB4B02">
        <w:trPr>
          <w:jc w:val="center"/>
        </w:trPr>
        <w:tc>
          <w:tcPr>
            <w:tcW w:w="4098" w:type="dxa"/>
          </w:tcPr>
          <w:p w:rsidR="00FF6FA4" w:rsidRPr="00B15ADD" w:rsidRDefault="00FF6FA4" w:rsidP="006767F0">
            <w:pPr>
              <w:pStyle w:val="Tabletext"/>
              <w:jc w:val="left"/>
              <w:rPr>
                <w:szCs w:val="22"/>
              </w:rPr>
            </w:pPr>
            <w:r w:rsidRPr="00B15ADD">
              <w:rPr>
                <w:szCs w:val="22"/>
              </w:rPr>
              <w:t xml:space="preserve">Niveau de brouillage ne devant pas être dépassé pendant plus de </w:t>
            </w:r>
            <w:r w:rsidRPr="00B15ADD">
              <w:rPr>
                <w:i/>
                <w:szCs w:val="22"/>
              </w:rPr>
              <w:t>P</w:t>
            </w:r>
            <w:r w:rsidRPr="00B15ADD">
              <w:rPr>
                <w:i/>
                <w:szCs w:val="22"/>
                <w:vertAlign w:val="subscript"/>
              </w:rPr>
              <w:t>PERTE-DONN</w:t>
            </w:r>
            <w:r>
              <w:rPr>
                <w:i/>
                <w:vertAlign w:val="subscript"/>
              </w:rPr>
              <w:t>É</w:t>
            </w:r>
            <w:r w:rsidRPr="00B15ADD">
              <w:rPr>
                <w:i/>
                <w:szCs w:val="22"/>
                <w:vertAlign w:val="subscript"/>
              </w:rPr>
              <w:t>ES</w:t>
            </w:r>
            <w:r w:rsidRPr="00B15ADD">
              <w:rPr>
                <w:szCs w:val="22"/>
                <w:vertAlign w:val="subscript"/>
              </w:rPr>
              <w:t xml:space="preserve"> </w:t>
            </w:r>
            <w:r w:rsidRPr="00B15ADD">
              <w:rPr>
                <w:szCs w:val="22"/>
              </w:rPr>
              <w:t>= 0,2% du temps (équation (2))</w:t>
            </w:r>
          </w:p>
        </w:tc>
        <w:tc>
          <w:tcPr>
            <w:tcW w:w="2738" w:type="dxa"/>
            <w:vAlign w:val="center"/>
          </w:tcPr>
          <w:p w:rsidR="00FF6FA4" w:rsidRPr="00B15ADD" w:rsidRDefault="00FF6FA4" w:rsidP="00DB4B02">
            <w:pPr>
              <w:pStyle w:val="Tabletext"/>
              <w:jc w:val="center"/>
              <w:rPr>
                <w:szCs w:val="22"/>
              </w:rPr>
            </w:pPr>
            <w:r w:rsidRPr="00B15ADD">
              <w:rPr>
                <w:szCs w:val="22"/>
              </w:rPr>
              <w:t>–149,6 dBW (300 kHz)</w:t>
            </w:r>
          </w:p>
        </w:tc>
        <w:tc>
          <w:tcPr>
            <w:tcW w:w="2887" w:type="dxa"/>
            <w:vAlign w:val="center"/>
          </w:tcPr>
          <w:p w:rsidR="00FF6FA4" w:rsidRPr="00B15ADD" w:rsidRDefault="00FF6FA4" w:rsidP="00DB4B02">
            <w:pPr>
              <w:pStyle w:val="Tabletext"/>
              <w:jc w:val="center"/>
              <w:rPr>
                <w:szCs w:val="22"/>
              </w:rPr>
            </w:pPr>
            <w:r w:rsidRPr="00B15ADD">
              <w:rPr>
                <w:szCs w:val="22"/>
              </w:rPr>
              <w:t>–154,4 dBW (300 kHz)</w:t>
            </w:r>
          </w:p>
        </w:tc>
      </w:tr>
      <w:tr w:rsidR="00FF6FA4" w:rsidRPr="00B15ADD" w:rsidTr="00DB4B02">
        <w:trPr>
          <w:jc w:val="center"/>
        </w:trPr>
        <w:tc>
          <w:tcPr>
            <w:tcW w:w="4098" w:type="dxa"/>
            <w:tcBorders>
              <w:bottom w:val="single" w:sz="6" w:space="0" w:color="000000"/>
            </w:tcBorders>
          </w:tcPr>
          <w:p w:rsidR="00FF6FA4" w:rsidRPr="00B15ADD" w:rsidRDefault="00FF6FA4" w:rsidP="006767F0">
            <w:pPr>
              <w:pStyle w:val="Tabletext"/>
              <w:jc w:val="left"/>
              <w:rPr>
                <w:szCs w:val="22"/>
              </w:rPr>
            </w:pPr>
            <w:r w:rsidRPr="00B15ADD">
              <w:rPr>
                <w:szCs w:val="22"/>
              </w:rPr>
              <w:t>Niveau de brouillage ne devant pas être dépassé pendant plus de 20% du temps (équation (3))</w:t>
            </w:r>
          </w:p>
        </w:tc>
        <w:tc>
          <w:tcPr>
            <w:tcW w:w="5625" w:type="dxa"/>
            <w:gridSpan w:val="2"/>
            <w:tcBorders>
              <w:bottom w:val="single" w:sz="6" w:space="0" w:color="000000"/>
            </w:tcBorders>
            <w:vAlign w:val="center"/>
          </w:tcPr>
          <w:p w:rsidR="00FF6FA4" w:rsidRPr="00B15ADD" w:rsidRDefault="00FF6FA4" w:rsidP="00DB4B02">
            <w:pPr>
              <w:pStyle w:val="Tabletext"/>
              <w:jc w:val="center"/>
              <w:rPr>
                <w:szCs w:val="22"/>
              </w:rPr>
            </w:pPr>
            <w:r w:rsidRPr="00B15ADD">
              <w:rPr>
                <w:szCs w:val="22"/>
              </w:rPr>
              <w:t>–156,1 dBW (300 kHz)</w:t>
            </w:r>
          </w:p>
        </w:tc>
      </w:tr>
      <w:tr w:rsidR="00FF6FA4" w:rsidRPr="00B15ADD" w:rsidTr="00DB4B02">
        <w:trPr>
          <w:jc w:val="center"/>
        </w:trPr>
        <w:tc>
          <w:tcPr>
            <w:tcW w:w="9723" w:type="dxa"/>
            <w:gridSpan w:val="3"/>
            <w:tcBorders>
              <w:left w:val="nil"/>
              <w:bottom w:val="nil"/>
              <w:right w:val="nil"/>
            </w:tcBorders>
          </w:tcPr>
          <w:p w:rsidR="00FF6FA4" w:rsidRPr="00B15ADD" w:rsidRDefault="00FF6FA4" w:rsidP="00183EB4">
            <w:pPr>
              <w:pStyle w:val="Tablelegend"/>
            </w:pPr>
            <w:r w:rsidRPr="00B15ADD">
              <w:rPr>
                <w:vertAlign w:val="superscript"/>
                <w:lang w:val="fr-CH"/>
              </w:rPr>
              <w:t>(1)</w:t>
            </w:r>
            <w:r w:rsidRPr="00B15ADD">
              <w:rPr>
                <w:lang w:val="fr-CH"/>
              </w:rPr>
              <w:tab/>
            </w:r>
            <w:r w:rsidRPr="00B15ADD">
              <w:t>Les systèmes à antennes équidirectives ne risquent pas de perdre le verrouillage de l'antenne sur le signal en raison d'un brouillage ou d'un évanouissement du signal.</w:t>
            </w:r>
          </w:p>
        </w:tc>
      </w:tr>
    </w:tbl>
    <w:p w:rsidR="00183EB4" w:rsidRPr="006767F0" w:rsidRDefault="00183EB4" w:rsidP="00183EB4">
      <w:pPr>
        <w:pStyle w:val="Tablefin"/>
        <w:rPr>
          <w:lang w:val="fr-CH"/>
        </w:rPr>
      </w:pPr>
    </w:p>
    <w:p w:rsidR="00FF6FA4" w:rsidRDefault="00FF6FA4" w:rsidP="00FF6FA4">
      <w:pPr>
        <w:tabs>
          <w:tab w:val="clear" w:pos="794"/>
          <w:tab w:val="clear" w:pos="1191"/>
          <w:tab w:val="clear" w:pos="1588"/>
          <w:tab w:val="clear" w:pos="1985"/>
        </w:tabs>
        <w:overflowPunct/>
        <w:autoSpaceDE/>
        <w:autoSpaceDN/>
        <w:adjustRightInd/>
        <w:spacing w:before="0"/>
        <w:textAlignment w:val="auto"/>
        <w:rPr>
          <w:caps/>
        </w:rPr>
      </w:pPr>
      <w:r>
        <w:br w:type="page"/>
      </w:r>
    </w:p>
    <w:p w:rsidR="00FF6FA4" w:rsidRDefault="00FF6FA4" w:rsidP="001F6BEE">
      <w:pPr>
        <w:pStyle w:val="TableNo"/>
      </w:pPr>
      <w:r>
        <w:lastRenderedPageBreak/>
        <w:t>TABLEAU 7</w:t>
      </w:r>
    </w:p>
    <w:p w:rsidR="00FF6FA4" w:rsidRPr="004F4011" w:rsidRDefault="00FF6FA4" w:rsidP="00F50C37">
      <w:pPr>
        <w:pStyle w:val="Tabletitle"/>
        <w:rPr>
          <w:lang w:val="fr-CH"/>
        </w:rPr>
      </w:pPr>
      <w:r w:rsidRPr="004F4011">
        <w:rPr>
          <w:lang w:val="fr-CH"/>
        </w:rPr>
        <w:t xml:space="preserve">Critères de brouillage applicables aux systèmes à radiosondes </w:t>
      </w:r>
      <w:r>
        <w:rPr>
          <w:lang w:val="fr-CH"/>
        </w:rPr>
        <w:br/>
      </w:r>
      <w:r w:rsidRPr="004F4011">
        <w:rPr>
          <w:lang w:val="fr-CH"/>
        </w:rPr>
        <w:t>fonctionnant</w:t>
      </w:r>
      <w:r>
        <w:rPr>
          <w:lang w:val="fr-CH"/>
        </w:rPr>
        <w:t xml:space="preserve"> </w:t>
      </w:r>
      <w:r w:rsidRPr="004F4011">
        <w:rPr>
          <w:lang w:val="fr-CH"/>
        </w:rPr>
        <w:t>dans la bande 400,15-406 MHz</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right w:w="107" w:type="dxa"/>
        </w:tblCellMar>
        <w:tblLook w:val="00A0" w:firstRow="1" w:lastRow="0" w:firstColumn="1" w:lastColumn="0" w:noHBand="0" w:noVBand="0"/>
      </w:tblPr>
      <w:tblGrid>
        <w:gridCol w:w="4243"/>
        <w:gridCol w:w="2806"/>
        <w:gridCol w:w="2804"/>
      </w:tblGrid>
      <w:tr w:rsidR="00FF6FA4" w:rsidRPr="00812793" w:rsidTr="00F50C37">
        <w:tc>
          <w:tcPr>
            <w:tcW w:w="2153" w:type="pct"/>
            <w:vAlign w:val="center"/>
          </w:tcPr>
          <w:p w:rsidR="00FF6FA4" w:rsidRDefault="00FF6FA4" w:rsidP="00F50C37">
            <w:pPr>
              <w:pStyle w:val="Tablehead"/>
            </w:pPr>
            <w:r>
              <w:t>Paramètre</w:t>
            </w:r>
          </w:p>
        </w:tc>
        <w:tc>
          <w:tcPr>
            <w:tcW w:w="1424" w:type="pct"/>
            <w:vAlign w:val="center"/>
          </w:tcPr>
          <w:p w:rsidR="00FF6FA4" w:rsidRDefault="00FF6FA4" w:rsidP="00F50C37">
            <w:pPr>
              <w:pStyle w:val="Tablehead"/>
            </w:pPr>
            <w:r>
              <w:t xml:space="preserve">Système RDF </w:t>
            </w:r>
            <w:r>
              <w:br/>
              <w:t>1 668,4-1 700 MHz</w:t>
            </w:r>
          </w:p>
        </w:tc>
        <w:tc>
          <w:tcPr>
            <w:tcW w:w="1423" w:type="pct"/>
            <w:vAlign w:val="center"/>
          </w:tcPr>
          <w:p w:rsidR="00FF6FA4" w:rsidRDefault="00FF6FA4" w:rsidP="00F50C37">
            <w:pPr>
              <w:pStyle w:val="Tablehead"/>
            </w:pPr>
            <w:r>
              <w:t xml:space="preserve">Système GPS </w:t>
            </w:r>
            <w:r>
              <w:br/>
              <w:t>1 675-1 683 MHz</w:t>
            </w:r>
          </w:p>
        </w:tc>
      </w:tr>
      <w:tr w:rsidR="00FF6FA4" w:rsidTr="00DB4B02">
        <w:tc>
          <w:tcPr>
            <w:tcW w:w="2153" w:type="pct"/>
          </w:tcPr>
          <w:p w:rsidR="00FF6FA4" w:rsidRDefault="00FF6FA4" w:rsidP="006767F0">
            <w:pPr>
              <w:pStyle w:val="Tabletext"/>
              <w:jc w:val="left"/>
            </w:pPr>
            <w:r>
              <w:t>Densité spectrale de bruit du récepteur (dB(W/Hz))</w:t>
            </w:r>
          </w:p>
        </w:tc>
        <w:tc>
          <w:tcPr>
            <w:tcW w:w="1424" w:type="pct"/>
            <w:vAlign w:val="center"/>
          </w:tcPr>
          <w:p w:rsidR="00FF6FA4" w:rsidRDefault="00FF6FA4" w:rsidP="00DB4B02">
            <w:pPr>
              <w:pStyle w:val="Tabletext"/>
              <w:jc w:val="center"/>
            </w:pPr>
            <w:r>
              <w:t>–200,5</w:t>
            </w:r>
          </w:p>
        </w:tc>
        <w:tc>
          <w:tcPr>
            <w:tcW w:w="1423" w:type="pct"/>
            <w:vAlign w:val="center"/>
          </w:tcPr>
          <w:p w:rsidR="00FF6FA4" w:rsidRDefault="00FF6FA4" w:rsidP="00DB4B02">
            <w:pPr>
              <w:pStyle w:val="Tabletext"/>
              <w:jc w:val="center"/>
            </w:pPr>
            <w:r>
              <w:t>–197,4</w:t>
            </w:r>
          </w:p>
        </w:tc>
      </w:tr>
      <w:tr w:rsidR="00FF6FA4" w:rsidTr="00DB4B02">
        <w:tc>
          <w:tcPr>
            <w:tcW w:w="2153" w:type="pct"/>
          </w:tcPr>
          <w:p w:rsidR="00FF6FA4" w:rsidRDefault="00FF6FA4" w:rsidP="006767F0">
            <w:pPr>
              <w:pStyle w:val="Tabletext"/>
              <w:jc w:val="left"/>
            </w:pPr>
            <w:r>
              <w:t>Largeur de bande de référence du récepteur (dB/Hz)</w:t>
            </w:r>
          </w:p>
        </w:tc>
        <w:tc>
          <w:tcPr>
            <w:tcW w:w="1424" w:type="pct"/>
            <w:vAlign w:val="center"/>
          </w:tcPr>
          <w:p w:rsidR="00FF6FA4" w:rsidRDefault="00FF6FA4" w:rsidP="00DB4B02">
            <w:pPr>
              <w:pStyle w:val="Tabletext"/>
              <w:jc w:val="center"/>
            </w:pPr>
            <w:r>
              <w:t>1 300</w:t>
            </w:r>
          </w:p>
        </w:tc>
        <w:tc>
          <w:tcPr>
            <w:tcW w:w="1423" w:type="pct"/>
            <w:vAlign w:val="center"/>
          </w:tcPr>
          <w:p w:rsidR="00FF6FA4" w:rsidRDefault="00FF6FA4" w:rsidP="00DB4B02">
            <w:pPr>
              <w:pStyle w:val="Tabletext"/>
              <w:jc w:val="center"/>
            </w:pPr>
            <w:r>
              <w:t>150</w:t>
            </w:r>
          </w:p>
        </w:tc>
      </w:tr>
      <w:tr w:rsidR="00FF6FA4" w:rsidTr="00DB4B02">
        <w:tc>
          <w:tcPr>
            <w:tcW w:w="2153" w:type="pct"/>
          </w:tcPr>
          <w:p w:rsidR="00FF6FA4" w:rsidRDefault="00FF6FA4" w:rsidP="006767F0">
            <w:pPr>
              <w:pStyle w:val="Tabletext"/>
              <w:jc w:val="left"/>
            </w:pPr>
            <w:r w:rsidRPr="00D8612C">
              <w:t>Première marge de liaison à court terme (dB),</w:t>
            </w:r>
            <w:r>
              <w:t xml:space="preserve"> </w:t>
            </w:r>
            <w:r w:rsidRPr="00D8612C">
              <w:rPr>
                <w:i/>
              </w:rPr>
              <w:t>P</w:t>
            </w:r>
            <w:r w:rsidRPr="00D8612C">
              <w:rPr>
                <w:i/>
                <w:vertAlign w:val="subscript"/>
              </w:rPr>
              <w:t>PERTE-VERROUILLAGE</w:t>
            </w:r>
          </w:p>
        </w:tc>
        <w:tc>
          <w:tcPr>
            <w:tcW w:w="1424" w:type="pct"/>
            <w:vAlign w:val="center"/>
          </w:tcPr>
          <w:p w:rsidR="00FF6FA4" w:rsidRDefault="00FF6FA4" w:rsidP="00DB4B02">
            <w:pPr>
              <w:pStyle w:val="Tabletext"/>
              <w:jc w:val="center"/>
            </w:pPr>
            <w:r>
              <w:t>5,5</w:t>
            </w:r>
          </w:p>
        </w:tc>
        <w:tc>
          <w:tcPr>
            <w:tcW w:w="1423" w:type="pct"/>
            <w:vAlign w:val="center"/>
          </w:tcPr>
          <w:p w:rsidR="00FF6FA4" w:rsidRDefault="00FF6FA4" w:rsidP="00DB4B02">
            <w:pPr>
              <w:pStyle w:val="Tabletext"/>
              <w:jc w:val="center"/>
            </w:pPr>
            <w:r>
              <w:t>9,0</w:t>
            </w:r>
          </w:p>
        </w:tc>
      </w:tr>
      <w:tr w:rsidR="00FF6FA4" w:rsidTr="00DB4B02">
        <w:tc>
          <w:tcPr>
            <w:tcW w:w="2153" w:type="pct"/>
          </w:tcPr>
          <w:p w:rsidR="00FF6FA4" w:rsidRPr="00147684" w:rsidRDefault="00FF6FA4" w:rsidP="006767F0">
            <w:pPr>
              <w:pStyle w:val="Tabletext"/>
              <w:jc w:val="left"/>
            </w:pPr>
            <w:r w:rsidRPr="00D8612C">
              <w:t xml:space="preserve">Premier pourcentage de temps à court terme, </w:t>
            </w:r>
            <w:r w:rsidRPr="00D8612C">
              <w:rPr>
                <w:i/>
              </w:rPr>
              <w:t>P</w:t>
            </w:r>
            <w:r w:rsidRPr="00D8612C">
              <w:rPr>
                <w:i/>
                <w:vertAlign w:val="subscript"/>
              </w:rPr>
              <w:t xml:space="preserve">PERTE-VERROUILLAGE </w:t>
            </w:r>
            <w:r w:rsidRPr="00D8612C">
              <w:t>(%)</w:t>
            </w:r>
          </w:p>
        </w:tc>
        <w:tc>
          <w:tcPr>
            <w:tcW w:w="1424" w:type="pct"/>
            <w:vAlign w:val="center"/>
          </w:tcPr>
          <w:p w:rsidR="00FF6FA4" w:rsidRDefault="00FF6FA4" w:rsidP="00DB4B02">
            <w:pPr>
              <w:pStyle w:val="Tabletext"/>
              <w:jc w:val="center"/>
            </w:pPr>
            <w:r>
              <w:t>0,02</w:t>
            </w:r>
          </w:p>
        </w:tc>
        <w:tc>
          <w:tcPr>
            <w:tcW w:w="1423" w:type="pct"/>
            <w:vAlign w:val="center"/>
          </w:tcPr>
          <w:p w:rsidR="00FF6FA4" w:rsidRDefault="00FF6FA4" w:rsidP="00DB4B02">
            <w:pPr>
              <w:pStyle w:val="Tabletext"/>
              <w:jc w:val="center"/>
            </w:pPr>
            <w:r>
              <w:t>0,025</w:t>
            </w:r>
          </w:p>
        </w:tc>
      </w:tr>
      <w:tr w:rsidR="00FF6FA4" w:rsidTr="00DB4B02">
        <w:tc>
          <w:tcPr>
            <w:tcW w:w="2153" w:type="pct"/>
          </w:tcPr>
          <w:p w:rsidR="00FF6FA4" w:rsidRDefault="00FF6FA4" w:rsidP="006767F0">
            <w:pPr>
              <w:pStyle w:val="Tabletext"/>
              <w:jc w:val="left"/>
            </w:pPr>
            <w:r w:rsidRPr="00D8612C">
              <w:t xml:space="preserve">Deuxième marge de liaison à court terme (dB), </w:t>
            </w:r>
            <w:r w:rsidRPr="00D8612C">
              <w:rPr>
                <w:i/>
              </w:rPr>
              <w:t>P</w:t>
            </w:r>
            <w:r w:rsidRPr="00D8612C">
              <w:rPr>
                <w:i/>
                <w:vertAlign w:val="subscript"/>
              </w:rPr>
              <w:t>PERTE-DONN</w:t>
            </w:r>
            <w:r>
              <w:rPr>
                <w:i/>
                <w:vertAlign w:val="subscript"/>
              </w:rPr>
              <w:t>É</w:t>
            </w:r>
            <w:r w:rsidRPr="00D8612C">
              <w:rPr>
                <w:i/>
                <w:vertAlign w:val="subscript"/>
              </w:rPr>
              <w:t>ES</w:t>
            </w:r>
            <w:r>
              <w:t xml:space="preserve"> </w:t>
            </w:r>
          </w:p>
        </w:tc>
        <w:tc>
          <w:tcPr>
            <w:tcW w:w="1424" w:type="pct"/>
            <w:vAlign w:val="center"/>
          </w:tcPr>
          <w:p w:rsidR="00FF6FA4" w:rsidRDefault="00FF6FA4" w:rsidP="00DB4B02">
            <w:pPr>
              <w:pStyle w:val="Tabletext"/>
              <w:jc w:val="center"/>
            </w:pPr>
            <w:r>
              <w:t>0,5</w:t>
            </w:r>
          </w:p>
        </w:tc>
        <w:tc>
          <w:tcPr>
            <w:tcW w:w="1423" w:type="pct"/>
            <w:vAlign w:val="center"/>
          </w:tcPr>
          <w:p w:rsidR="00FF6FA4" w:rsidRDefault="00FF6FA4" w:rsidP="00DB4B02">
            <w:pPr>
              <w:pStyle w:val="Tabletext"/>
              <w:jc w:val="center"/>
            </w:pPr>
            <w:r>
              <w:t>3,0</w:t>
            </w:r>
          </w:p>
        </w:tc>
      </w:tr>
      <w:tr w:rsidR="00FF6FA4" w:rsidTr="00DB4B02">
        <w:tc>
          <w:tcPr>
            <w:tcW w:w="2153" w:type="pct"/>
          </w:tcPr>
          <w:p w:rsidR="00FF6FA4" w:rsidRDefault="00FF6FA4" w:rsidP="006767F0">
            <w:pPr>
              <w:pStyle w:val="Tabletext"/>
              <w:jc w:val="left"/>
            </w:pPr>
            <w:r w:rsidRPr="00D8612C">
              <w:t xml:space="preserve">Deuxième pourcentage de temps à court terme, </w:t>
            </w:r>
            <w:r w:rsidRPr="00D8612C">
              <w:rPr>
                <w:i/>
              </w:rPr>
              <w:t>P</w:t>
            </w:r>
            <w:r w:rsidRPr="00D8612C">
              <w:rPr>
                <w:i/>
                <w:vertAlign w:val="subscript"/>
              </w:rPr>
              <w:t>PERTE-DONN</w:t>
            </w:r>
            <w:r>
              <w:rPr>
                <w:i/>
                <w:vertAlign w:val="subscript"/>
              </w:rPr>
              <w:t>É</w:t>
            </w:r>
            <w:r w:rsidRPr="00D8612C">
              <w:rPr>
                <w:i/>
                <w:vertAlign w:val="subscript"/>
              </w:rPr>
              <w:t>ES</w:t>
            </w:r>
            <w:r>
              <w:rPr>
                <w:vertAlign w:val="subscript"/>
              </w:rPr>
              <w:t xml:space="preserve"> </w:t>
            </w:r>
            <w:r w:rsidRPr="00D8612C">
              <w:t>(%)</w:t>
            </w:r>
            <w:r>
              <w:t xml:space="preserve"> </w:t>
            </w:r>
          </w:p>
        </w:tc>
        <w:tc>
          <w:tcPr>
            <w:tcW w:w="1424" w:type="pct"/>
            <w:vAlign w:val="center"/>
          </w:tcPr>
          <w:p w:rsidR="00FF6FA4" w:rsidRDefault="00FF6FA4" w:rsidP="00DB4B02">
            <w:pPr>
              <w:pStyle w:val="Tabletext"/>
              <w:jc w:val="center"/>
            </w:pPr>
            <w:r>
              <w:t>0,8</w:t>
            </w:r>
          </w:p>
        </w:tc>
        <w:tc>
          <w:tcPr>
            <w:tcW w:w="1423" w:type="pct"/>
            <w:vAlign w:val="center"/>
          </w:tcPr>
          <w:p w:rsidR="00FF6FA4" w:rsidRDefault="00FF6FA4" w:rsidP="00DB4B02">
            <w:pPr>
              <w:pStyle w:val="Tabletext"/>
              <w:jc w:val="center"/>
            </w:pPr>
            <w:r>
              <w:t>0,125</w:t>
            </w:r>
          </w:p>
        </w:tc>
      </w:tr>
      <w:tr w:rsidR="00FF6FA4" w:rsidTr="00DB4B02">
        <w:tc>
          <w:tcPr>
            <w:tcW w:w="2153" w:type="pct"/>
          </w:tcPr>
          <w:p w:rsidR="00FF6FA4" w:rsidRDefault="00FF6FA4" w:rsidP="006767F0">
            <w:pPr>
              <w:pStyle w:val="Tabletext"/>
              <w:jc w:val="left"/>
            </w:pPr>
            <w:r>
              <w:t xml:space="preserve">Niveau de brouillage ne devant pas être dépassé pendant plus de </w:t>
            </w:r>
            <w:r w:rsidRPr="00D8612C">
              <w:rPr>
                <w:i/>
              </w:rPr>
              <w:t>P</w:t>
            </w:r>
            <w:r w:rsidRPr="00D8612C">
              <w:rPr>
                <w:i/>
                <w:vertAlign w:val="subscript"/>
              </w:rPr>
              <w:t>PERTE-VERROUILLAGE</w:t>
            </w:r>
            <w:r w:rsidRPr="00D8612C">
              <w:rPr>
                <w:vertAlign w:val="subscript"/>
              </w:rPr>
              <w:t xml:space="preserve"> </w:t>
            </w:r>
            <w:r>
              <w:t xml:space="preserve">% du temps (équation (1)) </w:t>
            </w:r>
            <w:r w:rsidRPr="00D8612C">
              <w:t>(dBW dans la largeur de bande de référence)</w:t>
            </w:r>
          </w:p>
        </w:tc>
        <w:tc>
          <w:tcPr>
            <w:tcW w:w="1424" w:type="pct"/>
            <w:vAlign w:val="center"/>
          </w:tcPr>
          <w:p w:rsidR="00FF6FA4" w:rsidRDefault="00FF6FA4" w:rsidP="00DB4B02">
            <w:pPr>
              <w:pStyle w:val="Tabletext"/>
              <w:jc w:val="center"/>
            </w:pPr>
            <w:r>
              <w:t>–135,3</w:t>
            </w:r>
          </w:p>
        </w:tc>
        <w:tc>
          <w:tcPr>
            <w:tcW w:w="1423" w:type="pct"/>
            <w:vAlign w:val="center"/>
          </w:tcPr>
          <w:p w:rsidR="00FF6FA4" w:rsidRDefault="00FF6FA4" w:rsidP="00DB4B02">
            <w:pPr>
              <w:pStyle w:val="Tabletext"/>
              <w:jc w:val="center"/>
            </w:pPr>
            <w:r>
              <w:t>–137,2</w:t>
            </w:r>
          </w:p>
        </w:tc>
      </w:tr>
      <w:tr w:rsidR="00FF6FA4" w:rsidTr="00DB4B02">
        <w:tc>
          <w:tcPr>
            <w:tcW w:w="2153" w:type="pct"/>
          </w:tcPr>
          <w:p w:rsidR="00FF6FA4" w:rsidRDefault="00FF6FA4" w:rsidP="006767F0">
            <w:pPr>
              <w:pStyle w:val="Tabletext"/>
              <w:jc w:val="left"/>
            </w:pPr>
            <w:r>
              <w:t xml:space="preserve">Niveau de brouillage ne devant pas être dépassé pendant plus </w:t>
            </w:r>
            <w:r w:rsidRPr="00D8612C">
              <w:t>de</w:t>
            </w:r>
            <w:r>
              <w:t xml:space="preserve"> </w:t>
            </w:r>
            <w:r w:rsidRPr="00D8612C">
              <w:rPr>
                <w:i/>
              </w:rPr>
              <w:t>P</w:t>
            </w:r>
            <w:r w:rsidRPr="00D8612C">
              <w:rPr>
                <w:i/>
                <w:vertAlign w:val="subscript"/>
              </w:rPr>
              <w:t>PERTE-DONN</w:t>
            </w:r>
            <w:r>
              <w:rPr>
                <w:i/>
                <w:vertAlign w:val="subscript"/>
              </w:rPr>
              <w:t>É</w:t>
            </w:r>
            <w:r w:rsidRPr="00D8612C">
              <w:rPr>
                <w:i/>
                <w:vertAlign w:val="subscript"/>
              </w:rPr>
              <w:t>ES</w:t>
            </w:r>
            <w:r w:rsidRPr="00D8612C">
              <w:rPr>
                <w:vertAlign w:val="subscript"/>
              </w:rPr>
              <w:t xml:space="preserve"> </w:t>
            </w:r>
            <w:r>
              <w:t xml:space="preserve">% du temps (équation (2)) </w:t>
            </w:r>
            <w:r w:rsidRPr="00D8612C">
              <w:t>(dBW dans la largeur de bande de référence)</w:t>
            </w:r>
          </w:p>
        </w:tc>
        <w:tc>
          <w:tcPr>
            <w:tcW w:w="1424" w:type="pct"/>
            <w:vAlign w:val="center"/>
          </w:tcPr>
          <w:p w:rsidR="00FF6FA4" w:rsidRDefault="00FF6FA4" w:rsidP="00DB4B02">
            <w:pPr>
              <w:pStyle w:val="Tabletext"/>
              <w:jc w:val="center"/>
            </w:pPr>
            <w:r>
              <w:t>–139,4</w:t>
            </w:r>
          </w:p>
        </w:tc>
        <w:tc>
          <w:tcPr>
            <w:tcW w:w="1423" w:type="pct"/>
            <w:vAlign w:val="center"/>
          </w:tcPr>
          <w:p w:rsidR="00FF6FA4" w:rsidRDefault="00FF6FA4" w:rsidP="00DB4B02">
            <w:pPr>
              <w:pStyle w:val="Tabletext"/>
              <w:jc w:val="center"/>
            </w:pPr>
            <w:r>
              <w:t>–145,7</w:t>
            </w:r>
          </w:p>
        </w:tc>
      </w:tr>
      <w:tr w:rsidR="00FF6FA4" w:rsidTr="00DB4B02">
        <w:tc>
          <w:tcPr>
            <w:tcW w:w="2153" w:type="pct"/>
          </w:tcPr>
          <w:p w:rsidR="00FF6FA4" w:rsidRDefault="00FF6FA4" w:rsidP="006767F0">
            <w:pPr>
              <w:pStyle w:val="Tabletext"/>
              <w:jc w:val="left"/>
            </w:pPr>
            <w:r>
              <w:t xml:space="preserve">Niveau de brouillage ne devant pas être dépassé pendant plus de 20% du temps (équation (3)) </w:t>
            </w:r>
            <w:r w:rsidRPr="00D8612C">
              <w:t>(dBW dans la largeur de bande de référence)</w:t>
            </w:r>
          </w:p>
        </w:tc>
        <w:tc>
          <w:tcPr>
            <w:tcW w:w="1424" w:type="pct"/>
            <w:vAlign w:val="center"/>
          </w:tcPr>
          <w:p w:rsidR="00FF6FA4" w:rsidRDefault="00FF6FA4" w:rsidP="00DB4B02">
            <w:pPr>
              <w:pStyle w:val="Tabletext"/>
              <w:jc w:val="center"/>
            </w:pPr>
            <w:r>
              <w:t>–155,2</w:t>
            </w:r>
          </w:p>
        </w:tc>
        <w:tc>
          <w:tcPr>
            <w:tcW w:w="1424" w:type="pct"/>
            <w:vAlign w:val="center"/>
          </w:tcPr>
          <w:p w:rsidR="00FF6FA4" w:rsidRDefault="00FF6FA4" w:rsidP="00DB4B02">
            <w:pPr>
              <w:pStyle w:val="Tabletext"/>
              <w:jc w:val="center"/>
            </w:pPr>
            <w:r>
              <w:t>–152,6</w:t>
            </w:r>
          </w:p>
        </w:tc>
      </w:tr>
    </w:tbl>
    <w:p w:rsidR="00F50C37" w:rsidRDefault="00F50C37" w:rsidP="00F50C37">
      <w:pPr>
        <w:pStyle w:val="Tablefin"/>
      </w:pPr>
      <w:bookmarkStart w:id="9" w:name="_Toc393257595"/>
    </w:p>
    <w:p w:rsidR="00FF6FA4" w:rsidRDefault="00FF6FA4" w:rsidP="00FF6FA4">
      <w:pPr>
        <w:pStyle w:val="Heading2"/>
      </w:pPr>
      <w:r>
        <w:t>4.2</w:t>
      </w:r>
      <w:r>
        <w:tab/>
        <w:t>Catasondes</w:t>
      </w:r>
      <w:bookmarkEnd w:id="9"/>
    </w:p>
    <w:p w:rsidR="00FF6FA4" w:rsidRDefault="00FF6FA4" w:rsidP="00FF6FA4">
      <w:r>
        <w:t>Les équations (1), (2) et (3) peuvent être utilisées pour le calcul des critères de brouillage applicables aux catasondes. Ces critères sont donnés dans le Tableau </w:t>
      </w:r>
      <w:r w:rsidRPr="00D8612C">
        <w:t>8</w:t>
      </w:r>
      <w:r>
        <w:t>.</w:t>
      </w:r>
    </w:p>
    <w:p w:rsidR="00FF6FA4" w:rsidRDefault="00FF6FA4" w:rsidP="00FF6FA4">
      <w:pPr>
        <w:tabs>
          <w:tab w:val="clear" w:pos="794"/>
          <w:tab w:val="clear" w:pos="1191"/>
          <w:tab w:val="clear" w:pos="1588"/>
          <w:tab w:val="clear" w:pos="1985"/>
        </w:tabs>
        <w:overflowPunct/>
        <w:autoSpaceDE/>
        <w:autoSpaceDN/>
        <w:adjustRightInd/>
        <w:spacing w:before="0"/>
        <w:textAlignment w:val="auto"/>
        <w:rPr>
          <w:caps/>
        </w:rPr>
      </w:pPr>
      <w:r>
        <w:br w:type="page"/>
      </w:r>
    </w:p>
    <w:p w:rsidR="00FF6FA4" w:rsidRDefault="00FF6FA4" w:rsidP="001F6BEE">
      <w:pPr>
        <w:pStyle w:val="TableNo"/>
      </w:pPr>
      <w:r>
        <w:lastRenderedPageBreak/>
        <w:t>TABLEAU 8</w:t>
      </w:r>
    </w:p>
    <w:p w:rsidR="00FF6FA4" w:rsidRDefault="00FF6FA4" w:rsidP="00F50C37">
      <w:pPr>
        <w:pStyle w:val="Tabletitle"/>
      </w:pPr>
      <w:r>
        <w:t>Critères de brouillage applicables aux systèmes à catasondes</w:t>
      </w:r>
    </w:p>
    <w:tbl>
      <w:tblPr>
        <w:tblW w:w="0" w:type="auto"/>
        <w:jc w:val="center"/>
        <w:tblInd w:w="-3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5373"/>
        <w:gridCol w:w="3387"/>
      </w:tblGrid>
      <w:tr w:rsidR="00FF6FA4" w:rsidTr="00F50C37">
        <w:trPr>
          <w:jc w:val="center"/>
        </w:trPr>
        <w:tc>
          <w:tcPr>
            <w:tcW w:w="5373" w:type="dxa"/>
            <w:vAlign w:val="center"/>
          </w:tcPr>
          <w:p w:rsidR="00FF6FA4" w:rsidRDefault="00FF6FA4" w:rsidP="00F50C37">
            <w:pPr>
              <w:pStyle w:val="Tablehead"/>
            </w:pPr>
            <w:r>
              <w:t>Paramètre</w:t>
            </w:r>
          </w:p>
        </w:tc>
        <w:tc>
          <w:tcPr>
            <w:tcW w:w="3387" w:type="dxa"/>
            <w:vAlign w:val="center"/>
          </w:tcPr>
          <w:p w:rsidR="00FF6FA4" w:rsidRDefault="00FF6FA4" w:rsidP="00F50C37">
            <w:pPr>
              <w:pStyle w:val="Tablehead"/>
            </w:pPr>
            <w:r>
              <w:t>Système à catasondes</w:t>
            </w:r>
            <w:r>
              <w:br/>
              <w:t>400,15-406 MHz</w:t>
            </w:r>
          </w:p>
        </w:tc>
      </w:tr>
      <w:tr w:rsidR="00FF6FA4" w:rsidTr="00DB4B02">
        <w:trPr>
          <w:jc w:val="center"/>
        </w:trPr>
        <w:tc>
          <w:tcPr>
            <w:tcW w:w="5373" w:type="dxa"/>
          </w:tcPr>
          <w:p w:rsidR="00FF6FA4" w:rsidRDefault="00FF6FA4" w:rsidP="006767F0">
            <w:pPr>
              <w:pStyle w:val="Tabletext"/>
              <w:jc w:val="left"/>
            </w:pPr>
            <w:r>
              <w:t>Densité spectrale de bruit du récepteur (dB(W/Hz))</w:t>
            </w:r>
          </w:p>
        </w:tc>
        <w:tc>
          <w:tcPr>
            <w:tcW w:w="3387" w:type="dxa"/>
          </w:tcPr>
          <w:p w:rsidR="00FF6FA4" w:rsidRDefault="00FF6FA4" w:rsidP="00DB4B02">
            <w:pPr>
              <w:pStyle w:val="Tabletext"/>
              <w:jc w:val="center"/>
            </w:pPr>
            <w:r>
              <w:t>–202,5</w:t>
            </w:r>
          </w:p>
        </w:tc>
      </w:tr>
      <w:tr w:rsidR="00FF6FA4" w:rsidTr="00DB4B02">
        <w:trPr>
          <w:jc w:val="center"/>
        </w:trPr>
        <w:tc>
          <w:tcPr>
            <w:tcW w:w="5373" w:type="dxa"/>
          </w:tcPr>
          <w:p w:rsidR="00FF6FA4" w:rsidRDefault="00FF6FA4" w:rsidP="006767F0">
            <w:pPr>
              <w:pStyle w:val="Tabletext"/>
              <w:jc w:val="left"/>
            </w:pPr>
            <w:r>
              <w:t>Largeur de bande de référence du récepteur (dB/Hz)</w:t>
            </w:r>
          </w:p>
        </w:tc>
        <w:tc>
          <w:tcPr>
            <w:tcW w:w="3387" w:type="dxa"/>
          </w:tcPr>
          <w:p w:rsidR="00FF6FA4" w:rsidRDefault="00FF6FA4" w:rsidP="00DB4B02">
            <w:pPr>
              <w:pStyle w:val="Tabletext"/>
              <w:jc w:val="center"/>
            </w:pPr>
            <w:r>
              <w:t>42,5</w:t>
            </w:r>
          </w:p>
        </w:tc>
      </w:tr>
      <w:tr w:rsidR="00FF6FA4" w:rsidTr="00DB4B02">
        <w:trPr>
          <w:jc w:val="center"/>
        </w:trPr>
        <w:tc>
          <w:tcPr>
            <w:tcW w:w="5373" w:type="dxa"/>
          </w:tcPr>
          <w:p w:rsidR="00FF6FA4" w:rsidRDefault="00FF6FA4" w:rsidP="006767F0">
            <w:pPr>
              <w:pStyle w:val="Tabletext"/>
              <w:jc w:val="left"/>
            </w:pPr>
            <w:r>
              <w:t xml:space="preserve">Marge de liaison (dB) </w:t>
            </w:r>
            <w:r w:rsidRPr="00D8612C">
              <w:rPr>
                <w:i/>
              </w:rPr>
              <w:t>P</w:t>
            </w:r>
            <w:r w:rsidRPr="00D8612C">
              <w:rPr>
                <w:i/>
                <w:vertAlign w:val="subscript"/>
              </w:rPr>
              <w:t>PERTE-DONN</w:t>
            </w:r>
            <w:r>
              <w:rPr>
                <w:i/>
                <w:vertAlign w:val="subscript"/>
              </w:rPr>
              <w:t>É</w:t>
            </w:r>
            <w:r w:rsidRPr="00D8612C">
              <w:rPr>
                <w:i/>
                <w:vertAlign w:val="subscript"/>
              </w:rPr>
              <w:t>ES</w:t>
            </w:r>
            <w:r>
              <w:rPr>
                <w:vertAlign w:val="subscript"/>
              </w:rPr>
              <w:t xml:space="preserve"> </w:t>
            </w:r>
            <w:r>
              <w:t>= 0,06%</w:t>
            </w:r>
          </w:p>
        </w:tc>
        <w:tc>
          <w:tcPr>
            <w:tcW w:w="3387" w:type="dxa"/>
          </w:tcPr>
          <w:p w:rsidR="00FF6FA4" w:rsidRDefault="00FF6FA4" w:rsidP="00DB4B02">
            <w:pPr>
              <w:pStyle w:val="Tabletext"/>
              <w:jc w:val="center"/>
            </w:pPr>
            <w:r>
              <w:t>2,1</w:t>
            </w:r>
          </w:p>
        </w:tc>
      </w:tr>
      <w:tr w:rsidR="00FF6FA4" w:rsidTr="00DB4B02">
        <w:trPr>
          <w:jc w:val="center"/>
        </w:trPr>
        <w:tc>
          <w:tcPr>
            <w:tcW w:w="5373" w:type="dxa"/>
          </w:tcPr>
          <w:p w:rsidR="00FF6FA4" w:rsidRDefault="00FF6FA4" w:rsidP="006767F0">
            <w:pPr>
              <w:pStyle w:val="Tabletext"/>
              <w:jc w:val="left"/>
            </w:pPr>
            <w:r>
              <w:t xml:space="preserve">Niveau de brouillage ne devant pas être dépassé pendant plus de </w:t>
            </w:r>
            <w:r w:rsidRPr="00D8612C">
              <w:rPr>
                <w:i/>
              </w:rPr>
              <w:t>P</w:t>
            </w:r>
            <w:r w:rsidRPr="00D8612C">
              <w:rPr>
                <w:i/>
                <w:vertAlign w:val="subscript"/>
              </w:rPr>
              <w:t>PERTE-DONN</w:t>
            </w:r>
            <w:r>
              <w:rPr>
                <w:i/>
                <w:vertAlign w:val="subscript"/>
              </w:rPr>
              <w:t>É</w:t>
            </w:r>
            <w:r w:rsidRPr="00D8612C">
              <w:rPr>
                <w:i/>
                <w:vertAlign w:val="subscript"/>
              </w:rPr>
              <w:t>ES</w:t>
            </w:r>
            <w:r w:rsidRPr="00D8612C">
              <w:rPr>
                <w:vertAlign w:val="subscript"/>
              </w:rPr>
              <w:t xml:space="preserve"> </w:t>
            </w:r>
            <w:r w:rsidRPr="00D8612C">
              <w:t>% =</w:t>
            </w:r>
            <w:r>
              <w:t xml:space="preserve"> 0,06% du temps (équation (2))</w:t>
            </w:r>
          </w:p>
        </w:tc>
        <w:tc>
          <w:tcPr>
            <w:tcW w:w="3387" w:type="dxa"/>
          </w:tcPr>
          <w:p w:rsidR="00FF6FA4" w:rsidRDefault="00FF6FA4" w:rsidP="00DB4B02">
            <w:pPr>
              <w:pStyle w:val="Tabletext"/>
              <w:jc w:val="center"/>
            </w:pPr>
            <w:r>
              <w:t>–161,6 dBW (20 kHz)</w:t>
            </w:r>
          </w:p>
        </w:tc>
      </w:tr>
      <w:tr w:rsidR="00FF6FA4" w:rsidTr="00DB4B02">
        <w:trPr>
          <w:jc w:val="center"/>
        </w:trPr>
        <w:tc>
          <w:tcPr>
            <w:tcW w:w="5373" w:type="dxa"/>
          </w:tcPr>
          <w:p w:rsidR="00FF6FA4" w:rsidRDefault="00FF6FA4" w:rsidP="006767F0">
            <w:pPr>
              <w:pStyle w:val="Tabletext"/>
              <w:jc w:val="left"/>
            </w:pPr>
            <w:r>
              <w:t>Niveau de brouillage ne devant pas être dépassé pendant plus de 20% du temps (équation (3))</w:t>
            </w:r>
          </w:p>
        </w:tc>
        <w:tc>
          <w:tcPr>
            <w:tcW w:w="3387" w:type="dxa"/>
          </w:tcPr>
          <w:p w:rsidR="00FF6FA4" w:rsidRDefault="00FF6FA4" w:rsidP="00DB4B02">
            <w:pPr>
              <w:pStyle w:val="Tabletext"/>
              <w:jc w:val="center"/>
            </w:pPr>
            <w:r>
              <w:t>–168,9 dBW (20 kHz)</w:t>
            </w:r>
          </w:p>
        </w:tc>
      </w:tr>
    </w:tbl>
    <w:p w:rsidR="00F50C37" w:rsidRDefault="00F50C37" w:rsidP="00F50C37">
      <w:pPr>
        <w:pStyle w:val="Tablefin"/>
      </w:pPr>
      <w:bookmarkStart w:id="10" w:name="_Toc393257596"/>
    </w:p>
    <w:p w:rsidR="00FF6FA4" w:rsidRDefault="00FF6FA4" w:rsidP="00FF6FA4">
      <w:pPr>
        <w:pStyle w:val="Heading2"/>
        <w:tabs>
          <w:tab w:val="clear" w:pos="794"/>
          <w:tab w:val="clear" w:pos="1191"/>
          <w:tab w:val="clear" w:pos="1588"/>
          <w:tab w:val="clear" w:pos="1985"/>
        </w:tabs>
        <w:spacing w:before="313"/>
        <w:ind w:left="0" w:firstLine="0"/>
        <w:rPr>
          <w:b w:val="0"/>
        </w:rPr>
      </w:pPr>
      <w:r>
        <w:t>4.3</w:t>
      </w:r>
      <w:r>
        <w:tab/>
        <w:t>Fusées-sondes</w:t>
      </w:r>
      <w:bookmarkEnd w:id="10"/>
    </w:p>
    <w:p w:rsidR="00FF6FA4" w:rsidRPr="009213E4" w:rsidRDefault="00FF6FA4" w:rsidP="00FF6FA4">
      <w:r w:rsidRPr="009213E4">
        <w:t>Les équations (1), (2) et (3) peuvent être utilisées pour le calcul des critères de brouillage applicables aux fusées-sondes. Ces critères sont donnés dans le Tableau </w:t>
      </w:r>
      <w:r w:rsidRPr="00D8612C">
        <w:t>9</w:t>
      </w:r>
      <w:r w:rsidRPr="009213E4">
        <w:t>.</w:t>
      </w:r>
    </w:p>
    <w:p w:rsidR="00FF6FA4" w:rsidRDefault="00FF6FA4" w:rsidP="001F6BEE">
      <w:pPr>
        <w:pStyle w:val="TableNo"/>
      </w:pPr>
      <w:r>
        <w:t>TABLEAU 9</w:t>
      </w:r>
    </w:p>
    <w:p w:rsidR="00FF6FA4" w:rsidRDefault="00FF6FA4" w:rsidP="00F50C37">
      <w:pPr>
        <w:pStyle w:val="Tabletitle"/>
      </w:pPr>
      <w:r>
        <w:t>Critères de brouillage applicables aux systèmes à fusées-sondes</w:t>
      </w:r>
    </w:p>
    <w:tbl>
      <w:tblPr>
        <w:tblW w:w="0" w:type="auto"/>
        <w:jc w:val="center"/>
        <w:tblInd w:w="-3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5216"/>
        <w:gridCol w:w="3402"/>
      </w:tblGrid>
      <w:tr w:rsidR="00FF6FA4" w:rsidRPr="00E9431B" w:rsidTr="00F50C37">
        <w:trPr>
          <w:jc w:val="center"/>
        </w:trPr>
        <w:tc>
          <w:tcPr>
            <w:tcW w:w="5216" w:type="dxa"/>
            <w:vAlign w:val="center"/>
          </w:tcPr>
          <w:p w:rsidR="00FF6FA4" w:rsidRDefault="00FF6FA4" w:rsidP="00F50C37">
            <w:pPr>
              <w:pStyle w:val="Tablehead"/>
            </w:pPr>
            <w:r>
              <w:t>Paramètre</w:t>
            </w:r>
          </w:p>
        </w:tc>
        <w:tc>
          <w:tcPr>
            <w:tcW w:w="3402" w:type="dxa"/>
            <w:vAlign w:val="center"/>
          </w:tcPr>
          <w:p w:rsidR="00FF6FA4" w:rsidRDefault="00FF6FA4" w:rsidP="00F50C37">
            <w:pPr>
              <w:pStyle w:val="Tablehead"/>
            </w:pPr>
            <w:r>
              <w:t>Système à fusées-sondes</w:t>
            </w:r>
            <w:r>
              <w:br/>
              <w:t>400,15-406 MHz</w:t>
            </w:r>
          </w:p>
        </w:tc>
      </w:tr>
      <w:tr w:rsidR="00FF6FA4" w:rsidTr="00DB4B02">
        <w:trPr>
          <w:jc w:val="center"/>
        </w:trPr>
        <w:tc>
          <w:tcPr>
            <w:tcW w:w="5216" w:type="dxa"/>
          </w:tcPr>
          <w:p w:rsidR="00FF6FA4" w:rsidRDefault="00FF6FA4" w:rsidP="006767F0">
            <w:pPr>
              <w:pStyle w:val="Tabletext"/>
              <w:jc w:val="left"/>
            </w:pPr>
            <w:r>
              <w:t>Densité spectrale de bruit du récepteur (dB(W/Hz))</w:t>
            </w:r>
          </w:p>
        </w:tc>
        <w:tc>
          <w:tcPr>
            <w:tcW w:w="3402" w:type="dxa"/>
          </w:tcPr>
          <w:p w:rsidR="00FF6FA4" w:rsidRDefault="00FF6FA4" w:rsidP="00DB4B02">
            <w:pPr>
              <w:pStyle w:val="Tabletext"/>
              <w:jc w:val="center"/>
            </w:pPr>
            <w:r>
              <w:t>–200,5</w:t>
            </w:r>
          </w:p>
        </w:tc>
      </w:tr>
      <w:tr w:rsidR="00FF6FA4" w:rsidTr="00DB4B02">
        <w:trPr>
          <w:jc w:val="center"/>
        </w:trPr>
        <w:tc>
          <w:tcPr>
            <w:tcW w:w="5216" w:type="dxa"/>
          </w:tcPr>
          <w:p w:rsidR="00FF6FA4" w:rsidRDefault="00FF6FA4" w:rsidP="006767F0">
            <w:pPr>
              <w:pStyle w:val="Tabletext"/>
              <w:jc w:val="left"/>
            </w:pPr>
            <w:r>
              <w:t>Largeur de bande de référence du récepteur (dB/Hz)</w:t>
            </w:r>
          </w:p>
        </w:tc>
        <w:tc>
          <w:tcPr>
            <w:tcW w:w="3402" w:type="dxa"/>
          </w:tcPr>
          <w:p w:rsidR="00FF6FA4" w:rsidRDefault="00FF6FA4" w:rsidP="00DB4B02">
            <w:pPr>
              <w:pStyle w:val="Tabletext"/>
              <w:jc w:val="center"/>
            </w:pPr>
            <w:r>
              <w:t>64,8</w:t>
            </w:r>
          </w:p>
        </w:tc>
      </w:tr>
      <w:tr w:rsidR="00FF6FA4" w:rsidTr="00DB4B02">
        <w:trPr>
          <w:jc w:val="center"/>
        </w:trPr>
        <w:tc>
          <w:tcPr>
            <w:tcW w:w="5216" w:type="dxa"/>
          </w:tcPr>
          <w:p w:rsidR="00FF6FA4" w:rsidRDefault="00FF6FA4" w:rsidP="006767F0">
            <w:pPr>
              <w:pStyle w:val="Tabletext"/>
              <w:jc w:val="left"/>
            </w:pPr>
            <w:r>
              <w:t xml:space="preserve">Marge de liaison (dB) </w:t>
            </w:r>
            <w:r w:rsidRPr="00D8612C">
              <w:rPr>
                <w:i/>
              </w:rPr>
              <w:t>P</w:t>
            </w:r>
            <w:r w:rsidRPr="00D8612C">
              <w:rPr>
                <w:i/>
                <w:vertAlign w:val="subscript"/>
              </w:rPr>
              <w:t>PERTE-VERROUILLAGE</w:t>
            </w:r>
            <w:r>
              <w:rPr>
                <w:vertAlign w:val="subscript"/>
              </w:rPr>
              <w:t xml:space="preserve"> </w:t>
            </w:r>
            <w:r w:rsidRPr="00F303E1">
              <w:t>=</w:t>
            </w:r>
            <w:r>
              <w:t xml:space="preserve"> 0,02%</w:t>
            </w:r>
          </w:p>
        </w:tc>
        <w:tc>
          <w:tcPr>
            <w:tcW w:w="3402" w:type="dxa"/>
          </w:tcPr>
          <w:p w:rsidR="00FF6FA4" w:rsidRDefault="00FF6FA4" w:rsidP="00DB4B02">
            <w:pPr>
              <w:pStyle w:val="Tabletext"/>
              <w:jc w:val="center"/>
            </w:pPr>
            <w:r>
              <w:t>18,9</w:t>
            </w:r>
          </w:p>
        </w:tc>
      </w:tr>
      <w:tr w:rsidR="00FF6FA4" w:rsidTr="00DB4B02">
        <w:trPr>
          <w:jc w:val="center"/>
        </w:trPr>
        <w:tc>
          <w:tcPr>
            <w:tcW w:w="5216" w:type="dxa"/>
          </w:tcPr>
          <w:p w:rsidR="00FF6FA4" w:rsidRDefault="00FF6FA4" w:rsidP="006767F0">
            <w:pPr>
              <w:pStyle w:val="Tabletext"/>
              <w:jc w:val="left"/>
            </w:pPr>
            <w:r>
              <w:t xml:space="preserve">Marge de liaison (dB) </w:t>
            </w:r>
            <w:r w:rsidRPr="00D8612C">
              <w:rPr>
                <w:i/>
              </w:rPr>
              <w:t>P</w:t>
            </w:r>
            <w:r w:rsidRPr="00D8612C">
              <w:rPr>
                <w:i/>
                <w:vertAlign w:val="subscript"/>
              </w:rPr>
              <w:t>PERTE-DONN</w:t>
            </w:r>
            <w:r>
              <w:rPr>
                <w:i/>
                <w:vertAlign w:val="subscript"/>
              </w:rPr>
              <w:t>É</w:t>
            </w:r>
            <w:r w:rsidRPr="00D8612C">
              <w:rPr>
                <w:i/>
                <w:vertAlign w:val="subscript"/>
              </w:rPr>
              <w:t>ES</w:t>
            </w:r>
            <w:r w:rsidRPr="00D8612C">
              <w:rPr>
                <w:vertAlign w:val="subscript"/>
              </w:rPr>
              <w:t xml:space="preserve"> </w:t>
            </w:r>
            <w:r w:rsidRPr="00D8612C">
              <w:t>% =</w:t>
            </w:r>
            <w:r>
              <w:t xml:space="preserve"> 0,06%</w:t>
            </w:r>
          </w:p>
        </w:tc>
        <w:tc>
          <w:tcPr>
            <w:tcW w:w="3402" w:type="dxa"/>
          </w:tcPr>
          <w:p w:rsidR="00FF6FA4" w:rsidRDefault="00FF6FA4" w:rsidP="00DB4B02">
            <w:pPr>
              <w:pStyle w:val="Tabletext"/>
              <w:jc w:val="center"/>
            </w:pPr>
            <w:r>
              <w:t>13,85</w:t>
            </w:r>
          </w:p>
        </w:tc>
      </w:tr>
      <w:tr w:rsidR="00FF6FA4" w:rsidTr="00DB4B02">
        <w:trPr>
          <w:jc w:val="center"/>
        </w:trPr>
        <w:tc>
          <w:tcPr>
            <w:tcW w:w="5216" w:type="dxa"/>
          </w:tcPr>
          <w:p w:rsidR="00FF6FA4" w:rsidRDefault="00FF6FA4" w:rsidP="006767F0">
            <w:pPr>
              <w:pStyle w:val="Tabletext"/>
              <w:jc w:val="left"/>
            </w:pPr>
            <w:r>
              <w:t xml:space="preserve">Niveau de brouillage ne devant pas être dépassé pendant plus de </w:t>
            </w:r>
            <w:r w:rsidRPr="00D8612C">
              <w:rPr>
                <w:i/>
              </w:rPr>
              <w:t>P</w:t>
            </w:r>
            <w:r w:rsidRPr="00D8612C">
              <w:rPr>
                <w:i/>
                <w:vertAlign w:val="subscript"/>
              </w:rPr>
              <w:t>PERTE-VERROUILLAGE</w:t>
            </w:r>
            <w:r>
              <w:rPr>
                <w:vertAlign w:val="subscript"/>
              </w:rPr>
              <w:t xml:space="preserve"> </w:t>
            </w:r>
            <w:r w:rsidRPr="00F303E1">
              <w:t>=</w:t>
            </w:r>
            <w:r>
              <w:t xml:space="preserve"> 0,02% du temps (équation (1))</w:t>
            </w:r>
          </w:p>
        </w:tc>
        <w:tc>
          <w:tcPr>
            <w:tcW w:w="3402" w:type="dxa"/>
          </w:tcPr>
          <w:p w:rsidR="00FF6FA4" w:rsidRDefault="00FF6FA4" w:rsidP="00DB4B02">
            <w:pPr>
              <w:pStyle w:val="Tabletext"/>
              <w:jc w:val="center"/>
            </w:pPr>
            <w:r>
              <w:t>–1164,9 dB W (3 MHz)</w:t>
            </w:r>
          </w:p>
        </w:tc>
      </w:tr>
      <w:tr w:rsidR="00FF6FA4" w:rsidTr="00DB4B02">
        <w:trPr>
          <w:jc w:val="center"/>
        </w:trPr>
        <w:tc>
          <w:tcPr>
            <w:tcW w:w="5216" w:type="dxa"/>
          </w:tcPr>
          <w:p w:rsidR="00FF6FA4" w:rsidRDefault="00FF6FA4" w:rsidP="006767F0">
            <w:pPr>
              <w:pStyle w:val="Tabletext"/>
              <w:jc w:val="left"/>
            </w:pPr>
            <w:r>
              <w:t xml:space="preserve">Niveau de brouillage ne devant pas être dépassé pendant plus de </w:t>
            </w:r>
            <w:r w:rsidRPr="00D8612C">
              <w:rPr>
                <w:i/>
              </w:rPr>
              <w:t>P</w:t>
            </w:r>
            <w:r w:rsidRPr="00D8612C">
              <w:rPr>
                <w:i/>
                <w:vertAlign w:val="subscript"/>
              </w:rPr>
              <w:t>PERTE-DONN</w:t>
            </w:r>
            <w:r>
              <w:rPr>
                <w:i/>
                <w:vertAlign w:val="subscript"/>
              </w:rPr>
              <w:t>É</w:t>
            </w:r>
            <w:r w:rsidRPr="00D8612C">
              <w:rPr>
                <w:i/>
                <w:vertAlign w:val="subscript"/>
              </w:rPr>
              <w:t>ES</w:t>
            </w:r>
            <w:r w:rsidRPr="00D8612C">
              <w:rPr>
                <w:vertAlign w:val="subscript"/>
              </w:rPr>
              <w:t xml:space="preserve"> </w:t>
            </w:r>
            <w:r w:rsidRPr="00D8612C">
              <w:t>% =</w:t>
            </w:r>
            <w:r>
              <w:t xml:space="preserve"> 0,06% du temps (équation (2))</w:t>
            </w:r>
          </w:p>
        </w:tc>
        <w:tc>
          <w:tcPr>
            <w:tcW w:w="3402" w:type="dxa"/>
          </w:tcPr>
          <w:p w:rsidR="00FF6FA4" w:rsidRDefault="00FF6FA4" w:rsidP="00DB4B02">
            <w:pPr>
              <w:pStyle w:val="Tabletext"/>
              <w:jc w:val="center"/>
            </w:pPr>
            <w:r>
              <w:t>–122,1 dBW (3 MHz)</w:t>
            </w:r>
          </w:p>
        </w:tc>
      </w:tr>
      <w:tr w:rsidR="00FF6FA4" w:rsidTr="00DB4B02">
        <w:trPr>
          <w:jc w:val="center"/>
        </w:trPr>
        <w:tc>
          <w:tcPr>
            <w:tcW w:w="5216" w:type="dxa"/>
          </w:tcPr>
          <w:p w:rsidR="00FF6FA4" w:rsidRDefault="00FF6FA4" w:rsidP="006767F0">
            <w:pPr>
              <w:pStyle w:val="Tabletext"/>
              <w:jc w:val="left"/>
            </w:pPr>
            <w:r>
              <w:t>Niveau de brouillage ne devant pas être dépassé pendant plus de 20% du temps (équation (3))</w:t>
            </w:r>
          </w:p>
        </w:tc>
        <w:tc>
          <w:tcPr>
            <w:tcW w:w="3402" w:type="dxa"/>
          </w:tcPr>
          <w:p w:rsidR="00FF6FA4" w:rsidRDefault="00FF6FA4" w:rsidP="00DB4B02">
            <w:pPr>
              <w:pStyle w:val="Tabletext"/>
              <w:jc w:val="center"/>
            </w:pPr>
            <w:r>
              <w:t>–135,6 dBW (3 MHz)</w:t>
            </w:r>
          </w:p>
        </w:tc>
      </w:tr>
    </w:tbl>
    <w:p w:rsidR="00F50C37" w:rsidRDefault="00F50C37" w:rsidP="00F50C37">
      <w:pPr>
        <w:pStyle w:val="Tablefin"/>
      </w:pPr>
    </w:p>
    <w:p w:rsidR="00FF6FA4" w:rsidRDefault="00FF6FA4" w:rsidP="00FF6FA4"/>
    <w:p w:rsidR="00FF6FA4" w:rsidRDefault="00FF6FA4" w:rsidP="00FF6FA4"/>
    <w:p w:rsidR="00FF6FA4" w:rsidRPr="00FF6FA4" w:rsidRDefault="00FF6FA4" w:rsidP="00FF6FA4">
      <w:pPr>
        <w:pStyle w:val="Line"/>
      </w:pPr>
    </w:p>
    <w:sectPr w:rsidR="00FF6FA4" w:rsidRPr="00FF6FA4" w:rsidSect="00DB4B02">
      <w:headerReference w:type="even" r:id="rId23"/>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2152" w:rsidRDefault="00882152">
      <w:r>
        <w:separator/>
      </w:r>
    </w:p>
  </w:endnote>
  <w:endnote w:type="continuationSeparator" w:id="0">
    <w:p w:rsidR="00882152" w:rsidRDefault="00882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152" w:rsidRPr="00DB4B02" w:rsidRDefault="00882152" w:rsidP="00DB4B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152" w:rsidRPr="00DB4B02" w:rsidRDefault="00882152" w:rsidP="00DB4B0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152" w:rsidRPr="00DB4B02" w:rsidRDefault="00882152" w:rsidP="00DB4B0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152" w:rsidRPr="00DB4B02" w:rsidRDefault="00882152" w:rsidP="00DB4B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2152" w:rsidRDefault="00882152">
      <w:r>
        <w:separator/>
      </w:r>
    </w:p>
  </w:footnote>
  <w:footnote w:type="continuationSeparator" w:id="0">
    <w:p w:rsidR="00882152" w:rsidRDefault="008821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152" w:rsidRDefault="00882152">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152" w:rsidRDefault="00882152" w:rsidP="00C668C8">
    <w:pPr>
      <w:ind w:right="360" w:firstLine="360"/>
    </w:pPr>
    <w:r>
      <w:rPr>
        <w:noProof/>
        <w:lang w:val="en-US" w:eastAsia="zh-CN"/>
      </w:rPr>
      <w:drawing>
        <wp:anchor distT="0" distB="0" distL="114300" distR="114300" simplePos="0" relativeHeight="251657728" behindDoc="1" locked="0" layoutInCell="1" allowOverlap="1" wp14:anchorId="5492ABD7" wp14:editId="19D73166">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152" w:rsidRPr="001C61C5" w:rsidRDefault="00882152" w:rsidP="001F032A">
    <w:pPr>
      <w:pStyle w:val="Header"/>
      <w:jc w:val="left"/>
      <w:rPr>
        <w:b/>
        <w:bCs/>
      </w:rPr>
    </w:pPr>
    <w:r w:rsidRPr="001C61C5">
      <w:rPr>
        <w:b/>
        <w:bCs/>
      </w:rPr>
      <w:fldChar w:fldCharType="begin"/>
    </w:r>
    <w:r w:rsidRPr="001C61C5">
      <w:rPr>
        <w:b/>
        <w:bCs/>
      </w:rPr>
      <w:instrText xml:space="preserve"> PAGE   \* MERGEFORMAT </w:instrText>
    </w:r>
    <w:r w:rsidRPr="001C61C5">
      <w:rPr>
        <w:b/>
        <w:bCs/>
      </w:rPr>
      <w:fldChar w:fldCharType="separate"/>
    </w:r>
    <w:r w:rsidR="00AF6A89">
      <w:rPr>
        <w:b/>
        <w:bCs/>
        <w:noProof/>
      </w:rPr>
      <w:t>ii</w:t>
    </w:r>
    <w:r w:rsidRPr="001C61C5">
      <w:rPr>
        <w:b/>
        <w:bCs/>
        <w:noProof/>
      </w:rPr>
      <w:fldChar w:fldCharType="end"/>
    </w:r>
    <w:r w:rsidRPr="001C61C5">
      <w:rPr>
        <w:b/>
        <w:bCs/>
        <w:noProof/>
      </w:rPr>
      <w:tab/>
      <w:t>Rec.  UIT-</w:t>
    </w:r>
    <w:r w:rsidR="001F032A">
      <w:rPr>
        <w:b/>
        <w:bCs/>
        <w:noProof/>
      </w:rPr>
      <w:t>R</w:t>
    </w:r>
    <w:r w:rsidRPr="001C61C5">
      <w:rPr>
        <w:b/>
        <w:bCs/>
        <w:noProof/>
      </w:rPr>
      <w:t xml:space="preserve">  RS.1263-1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152" w:rsidRDefault="00882152">
    <w:r>
      <w:tab/>
    </w:r>
    <w:r w:rsidR="00AF6A89">
      <w:fldChar w:fldCharType="begin"/>
    </w:r>
    <w:r w:rsidR="00AF6A89">
      <w:instrText xml:space="preserve"> DOCPROPERTY "Header" \* MERGEFORMAT </w:instrText>
    </w:r>
    <w:r w:rsidR="00AF6A89">
      <w:fldChar w:fldCharType="separate"/>
    </w:r>
    <w:r w:rsidR="00104F0D" w:rsidRPr="00104F0D">
      <w:rPr>
        <w:b/>
        <w:bCs/>
      </w:rPr>
      <w:t xml:space="preserve">Rec. </w:t>
    </w:r>
    <w:r w:rsidR="00AF6A89">
      <w:rPr>
        <w:b/>
        <w:bCs/>
      </w:rPr>
      <w:fldChar w:fldCharType="end"/>
    </w:r>
    <w:r>
      <w:rPr>
        <w:b/>
        <w:bCs/>
      </w:rPr>
      <w:t xml:space="preserve"> </w:t>
    </w:r>
    <w:r>
      <w:rPr>
        <w:b/>
        <w:bCs/>
      </w:rPr>
      <w:fldChar w:fldCharType="begin"/>
    </w:r>
    <w:r>
      <w:rPr>
        <w:b/>
        <w:bCs/>
      </w:rPr>
      <w:instrText>styleref href</w:instrText>
    </w:r>
    <w:r>
      <w:rPr>
        <w:b/>
        <w:bCs/>
      </w:rPr>
      <w:fldChar w:fldCharType="separate"/>
    </w:r>
    <w:r w:rsidR="00104F0D">
      <w:rPr>
        <w:b/>
        <w:bCs/>
        <w:noProof/>
      </w:rPr>
      <w:t>UIT-R  RS.1263-1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152" w:rsidRPr="001C61C5" w:rsidRDefault="00882152" w:rsidP="001F032A">
    <w:pPr>
      <w:pStyle w:val="Header"/>
      <w:tabs>
        <w:tab w:val="clear" w:pos="4848"/>
        <w:tab w:val="clear" w:pos="9696"/>
        <w:tab w:val="center" w:pos="7258"/>
        <w:tab w:val="left" w:pos="14515"/>
      </w:tabs>
      <w:jc w:val="left"/>
      <w:rPr>
        <w:b/>
        <w:bCs/>
      </w:rPr>
    </w:pPr>
    <w:r w:rsidRPr="00363987">
      <w:rPr>
        <w:b/>
        <w:bCs/>
        <w:noProof/>
      </w:rPr>
      <w:fldChar w:fldCharType="begin"/>
    </w:r>
    <w:r w:rsidRPr="00363987">
      <w:rPr>
        <w:b/>
        <w:bCs/>
        <w:noProof/>
      </w:rPr>
      <w:instrText xml:space="preserve"> PAGE   \* MERGEFORMAT </w:instrText>
    </w:r>
    <w:r w:rsidRPr="00363987">
      <w:rPr>
        <w:b/>
        <w:bCs/>
        <w:noProof/>
      </w:rPr>
      <w:fldChar w:fldCharType="separate"/>
    </w:r>
    <w:r w:rsidR="00AF6A89">
      <w:rPr>
        <w:b/>
        <w:bCs/>
        <w:noProof/>
      </w:rPr>
      <w:t>2</w:t>
    </w:r>
    <w:r w:rsidRPr="00363987">
      <w:rPr>
        <w:b/>
        <w:bCs/>
        <w:noProof/>
      </w:rPr>
      <w:fldChar w:fldCharType="end"/>
    </w:r>
    <w:r>
      <w:rPr>
        <w:b/>
        <w:bCs/>
        <w:noProof/>
      </w:rPr>
      <w:ptab w:relativeTo="margin" w:alignment="center" w:leader="none"/>
    </w:r>
    <w:r w:rsidRPr="001C61C5">
      <w:rPr>
        <w:b/>
        <w:bCs/>
        <w:noProof/>
      </w:rPr>
      <w:t>Rec.  UIT-</w:t>
    </w:r>
    <w:r w:rsidR="001F032A">
      <w:rPr>
        <w:b/>
        <w:bCs/>
        <w:noProof/>
      </w:rPr>
      <w:t>R</w:t>
    </w:r>
    <w:r w:rsidRPr="001C61C5">
      <w:rPr>
        <w:b/>
        <w:bCs/>
        <w:noProof/>
      </w:rPr>
      <w:t xml:space="preserve">  RS.1263-1</w:t>
    </w:r>
    <w:r>
      <w:rPr>
        <w:b/>
        <w:bCs/>
        <w:noProof/>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152" w:rsidRPr="001C61C5" w:rsidRDefault="00882152" w:rsidP="001F032A">
    <w:pPr>
      <w:pStyle w:val="Header"/>
      <w:jc w:val="left"/>
      <w:rPr>
        <w:b/>
        <w:bCs/>
      </w:rPr>
    </w:pPr>
    <w:r>
      <w:rPr>
        <w:b/>
        <w:bCs/>
        <w:noProof/>
      </w:rPr>
      <w:ptab w:relativeTo="margin" w:alignment="center" w:leader="none"/>
    </w:r>
    <w:r w:rsidRPr="001C61C5">
      <w:rPr>
        <w:b/>
        <w:bCs/>
        <w:noProof/>
      </w:rPr>
      <w:t>Rec.  UIT-</w:t>
    </w:r>
    <w:r w:rsidR="001F032A">
      <w:rPr>
        <w:b/>
        <w:bCs/>
        <w:noProof/>
      </w:rPr>
      <w:t>R</w:t>
    </w:r>
    <w:r w:rsidRPr="001C61C5">
      <w:rPr>
        <w:b/>
        <w:bCs/>
        <w:noProof/>
      </w:rPr>
      <w:t xml:space="preserve">  RS.1263-1</w:t>
    </w:r>
    <w:r>
      <w:rPr>
        <w:b/>
        <w:bCs/>
        <w:noProof/>
      </w:rPr>
      <w:tab/>
    </w:r>
    <w:r w:rsidRPr="001C61C5">
      <w:rPr>
        <w:b/>
        <w:bCs/>
        <w:noProof/>
      </w:rPr>
      <w:fldChar w:fldCharType="begin"/>
    </w:r>
    <w:r w:rsidRPr="001C61C5">
      <w:rPr>
        <w:b/>
        <w:bCs/>
        <w:noProof/>
      </w:rPr>
      <w:instrText xml:space="preserve"> PAGE   \* MERGEFORMAT </w:instrText>
    </w:r>
    <w:r w:rsidRPr="001C61C5">
      <w:rPr>
        <w:b/>
        <w:bCs/>
        <w:noProof/>
      </w:rPr>
      <w:fldChar w:fldCharType="separate"/>
    </w:r>
    <w:r w:rsidR="00AF6A89">
      <w:rPr>
        <w:b/>
        <w:bCs/>
        <w:noProof/>
      </w:rPr>
      <w:t>7</w:t>
    </w:r>
    <w:r w:rsidRPr="001C61C5">
      <w:rPr>
        <w:b/>
        <w:bCs/>
        <w:noProof/>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152" w:rsidRPr="00837CB5" w:rsidRDefault="00AF6A89" w:rsidP="00DB4B02">
    <w:r>
      <w:fldChar w:fldCharType="begin"/>
    </w:r>
    <w:r>
      <w:instrText xml:space="preserve"> DOCPROPERTY "Header" \* MERGEFORMAT </w:instrText>
    </w:r>
    <w:r>
      <w:fldChar w:fldCharType="separate"/>
    </w:r>
    <w:r w:rsidR="00104F0D" w:rsidRPr="00104F0D">
      <w:rPr>
        <w:b/>
        <w:bCs/>
      </w:rPr>
      <w:t xml:space="preserve">Rec. </w:t>
    </w:r>
    <w:r>
      <w:rPr>
        <w:b/>
        <w:bCs/>
      </w:rPr>
      <w:fldChar w:fldCharType="end"/>
    </w:r>
    <w:r w:rsidR="00882152">
      <w:rPr>
        <w:b/>
        <w:bCs/>
      </w:rPr>
      <w:t xml:space="preserve"> </w:t>
    </w:r>
    <w:r w:rsidR="00882152">
      <w:rPr>
        <w:b/>
        <w:bCs/>
      </w:rPr>
      <w:fldChar w:fldCharType="begin"/>
    </w:r>
    <w:r w:rsidR="00882152" w:rsidRPr="00837CB5">
      <w:rPr>
        <w:b/>
        <w:bCs/>
      </w:rPr>
      <w:instrText>styleref href</w:instrText>
    </w:r>
    <w:r w:rsidR="00882152">
      <w:rPr>
        <w:b/>
        <w:bCs/>
      </w:rPr>
      <w:fldChar w:fldCharType="separate"/>
    </w:r>
    <w:r w:rsidR="00104F0D">
      <w:rPr>
        <w:b/>
        <w:bCs/>
        <w:noProof/>
      </w:rPr>
      <w:t>UIT-R  RS.1263-1</w:t>
    </w:r>
    <w:r w:rsidR="00882152">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152" w:rsidRPr="00363987" w:rsidRDefault="00882152" w:rsidP="001F032A">
    <w:pPr>
      <w:pStyle w:val="Header"/>
      <w:jc w:val="left"/>
      <w:rPr>
        <w:b/>
        <w:bCs/>
      </w:rPr>
    </w:pPr>
    <w:r w:rsidRPr="001C61C5">
      <w:rPr>
        <w:b/>
        <w:bCs/>
      </w:rPr>
      <w:fldChar w:fldCharType="begin"/>
    </w:r>
    <w:r w:rsidRPr="001C61C5">
      <w:rPr>
        <w:b/>
        <w:bCs/>
      </w:rPr>
      <w:instrText xml:space="preserve"> PAGE   \* MERGEFORMAT </w:instrText>
    </w:r>
    <w:r w:rsidRPr="001C61C5">
      <w:rPr>
        <w:b/>
        <w:bCs/>
      </w:rPr>
      <w:fldChar w:fldCharType="separate"/>
    </w:r>
    <w:r w:rsidR="00AF6A89">
      <w:rPr>
        <w:b/>
        <w:bCs/>
        <w:noProof/>
      </w:rPr>
      <w:t>8</w:t>
    </w:r>
    <w:r w:rsidRPr="001C61C5">
      <w:rPr>
        <w:b/>
        <w:bCs/>
        <w:noProof/>
      </w:rPr>
      <w:fldChar w:fldCharType="end"/>
    </w:r>
    <w:r w:rsidRPr="001C61C5">
      <w:rPr>
        <w:b/>
        <w:bCs/>
        <w:noProof/>
      </w:rPr>
      <w:tab/>
      <w:t>Rec.  UIT-</w:t>
    </w:r>
    <w:r w:rsidR="001F032A">
      <w:rPr>
        <w:b/>
        <w:bCs/>
        <w:noProof/>
      </w:rPr>
      <w:t>R</w:t>
    </w:r>
    <w:r w:rsidRPr="001C61C5">
      <w:rPr>
        <w:b/>
        <w:bCs/>
        <w:noProof/>
      </w:rPr>
      <w:t xml:space="preserve">  RS.1263-1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37510"/>
    <w:multiLevelType w:val="hybridMultilevel"/>
    <w:tmpl w:val="3B9A080C"/>
    <w:lvl w:ilvl="0" w:tplc="46382A1E">
      <w:start w:val="1"/>
      <w:numFmt w:val="decimal"/>
      <w:lvlText w:val="(%1)"/>
      <w:lvlJc w:val="left"/>
      <w:pPr>
        <w:tabs>
          <w:tab w:val="num" w:pos="720"/>
        </w:tabs>
        <w:ind w:left="720" w:hanging="360"/>
      </w:pPr>
      <w:rPr>
        <w:rFonts w:hint="default"/>
        <w:sz w:val="1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20AC18D7"/>
    <w:multiLevelType w:val="multilevel"/>
    <w:tmpl w:val="B3041254"/>
    <w:lvl w:ilvl="0">
      <w:start w:val="4"/>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nsid w:val="7BB05025"/>
    <w:multiLevelType w:val="hybridMultilevel"/>
    <w:tmpl w:val="3D6E0292"/>
    <w:lvl w:ilvl="0" w:tplc="964C701C">
      <w:start w:val="1"/>
      <w:numFmt w:val="decimal"/>
      <w:lvlText w:val="(%1)"/>
      <w:lvlJc w:val="left"/>
      <w:pPr>
        <w:tabs>
          <w:tab w:val="num" w:pos="720"/>
        </w:tabs>
        <w:ind w:left="720" w:hanging="360"/>
      </w:pPr>
      <w:rPr>
        <w:rFonts w:hint="default"/>
        <w:sz w:val="1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150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57FB"/>
    <w:rsid w:val="00072484"/>
    <w:rsid w:val="00076BD8"/>
    <w:rsid w:val="00086C50"/>
    <w:rsid w:val="00096612"/>
    <w:rsid w:val="000A0A78"/>
    <w:rsid w:val="000B7683"/>
    <w:rsid w:val="00102934"/>
    <w:rsid w:val="00104F0D"/>
    <w:rsid w:val="00123FD5"/>
    <w:rsid w:val="00125B6D"/>
    <w:rsid w:val="00126AF2"/>
    <w:rsid w:val="00147110"/>
    <w:rsid w:val="00183EB4"/>
    <w:rsid w:val="001A27FE"/>
    <w:rsid w:val="001C61C5"/>
    <w:rsid w:val="001F032A"/>
    <w:rsid w:val="001F6BEE"/>
    <w:rsid w:val="00202D10"/>
    <w:rsid w:val="002058CE"/>
    <w:rsid w:val="002165F1"/>
    <w:rsid w:val="00227626"/>
    <w:rsid w:val="00276D21"/>
    <w:rsid w:val="00296D7F"/>
    <w:rsid w:val="002B3CF6"/>
    <w:rsid w:val="002C768A"/>
    <w:rsid w:val="002D76C4"/>
    <w:rsid w:val="00363367"/>
    <w:rsid w:val="00363987"/>
    <w:rsid w:val="003B52FE"/>
    <w:rsid w:val="003B7D3D"/>
    <w:rsid w:val="003E6469"/>
    <w:rsid w:val="00420DFD"/>
    <w:rsid w:val="00470E28"/>
    <w:rsid w:val="004822EF"/>
    <w:rsid w:val="004934C5"/>
    <w:rsid w:val="004A4D65"/>
    <w:rsid w:val="00556548"/>
    <w:rsid w:val="00567DC0"/>
    <w:rsid w:val="00586EF8"/>
    <w:rsid w:val="00592F9F"/>
    <w:rsid w:val="00593B96"/>
    <w:rsid w:val="005B49AB"/>
    <w:rsid w:val="005B50E7"/>
    <w:rsid w:val="005B65B9"/>
    <w:rsid w:val="005E427C"/>
    <w:rsid w:val="005E6DCC"/>
    <w:rsid w:val="005E7B4F"/>
    <w:rsid w:val="005F6BBB"/>
    <w:rsid w:val="0060611D"/>
    <w:rsid w:val="00607D68"/>
    <w:rsid w:val="006149B1"/>
    <w:rsid w:val="00614CC6"/>
    <w:rsid w:val="00647E80"/>
    <w:rsid w:val="006767F0"/>
    <w:rsid w:val="00680D2B"/>
    <w:rsid w:val="00681B32"/>
    <w:rsid w:val="006C7827"/>
    <w:rsid w:val="006E2037"/>
    <w:rsid w:val="006F154D"/>
    <w:rsid w:val="00712870"/>
    <w:rsid w:val="00731BD8"/>
    <w:rsid w:val="00743D85"/>
    <w:rsid w:val="0075289C"/>
    <w:rsid w:val="00753CF4"/>
    <w:rsid w:val="007565CC"/>
    <w:rsid w:val="00756B4D"/>
    <w:rsid w:val="00763B9A"/>
    <w:rsid w:val="00776E56"/>
    <w:rsid w:val="007A308E"/>
    <w:rsid w:val="007A6AA8"/>
    <w:rsid w:val="008310C9"/>
    <w:rsid w:val="00837CB5"/>
    <w:rsid w:val="00872472"/>
    <w:rsid w:val="00882152"/>
    <w:rsid w:val="008C7848"/>
    <w:rsid w:val="00917AF2"/>
    <w:rsid w:val="0092418A"/>
    <w:rsid w:val="00934ED7"/>
    <w:rsid w:val="009454F8"/>
    <w:rsid w:val="009543C3"/>
    <w:rsid w:val="00966E1B"/>
    <w:rsid w:val="009B5551"/>
    <w:rsid w:val="009C3E07"/>
    <w:rsid w:val="009F21FC"/>
    <w:rsid w:val="009F2D2C"/>
    <w:rsid w:val="00A37CEC"/>
    <w:rsid w:val="00A443C2"/>
    <w:rsid w:val="00A52DB0"/>
    <w:rsid w:val="00A6617B"/>
    <w:rsid w:val="00A71FE5"/>
    <w:rsid w:val="00A8108B"/>
    <w:rsid w:val="00AA3AD8"/>
    <w:rsid w:val="00AB0DC8"/>
    <w:rsid w:val="00AB52D1"/>
    <w:rsid w:val="00AD267B"/>
    <w:rsid w:val="00AF6A89"/>
    <w:rsid w:val="00B033C8"/>
    <w:rsid w:val="00B21066"/>
    <w:rsid w:val="00B33425"/>
    <w:rsid w:val="00B44E24"/>
    <w:rsid w:val="00B54ECC"/>
    <w:rsid w:val="00B714F3"/>
    <w:rsid w:val="00B750F4"/>
    <w:rsid w:val="00BC0651"/>
    <w:rsid w:val="00BC5D77"/>
    <w:rsid w:val="00BF487A"/>
    <w:rsid w:val="00C2085A"/>
    <w:rsid w:val="00C268B9"/>
    <w:rsid w:val="00C362C3"/>
    <w:rsid w:val="00C46BD9"/>
    <w:rsid w:val="00C55258"/>
    <w:rsid w:val="00C668C8"/>
    <w:rsid w:val="00C73560"/>
    <w:rsid w:val="00CB0F14"/>
    <w:rsid w:val="00CD659B"/>
    <w:rsid w:val="00CD7DC8"/>
    <w:rsid w:val="00D017C0"/>
    <w:rsid w:val="00D31EB8"/>
    <w:rsid w:val="00D70C4E"/>
    <w:rsid w:val="00DA3200"/>
    <w:rsid w:val="00DB4B02"/>
    <w:rsid w:val="00DE5EA2"/>
    <w:rsid w:val="00DF4176"/>
    <w:rsid w:val="00DF693C"/>
    <w:rsid w:val="00E02402"/>
    <w:rsid w:val="00E17240"/>
    <w:rsid w:val="00E44C45"/>
    <w:rsid w:val="00E44CBB"/>
    <w:rsid w:val="00E73AFE"/>
    <w:rsid w:val="00E80F1D"/>
    <w:rsid w:val="00EA6E8E"/>
    <w:rsid w:val="00EC361D"/>
    <w:rsid w:val="00EE57AA"/>
    <w:rsid w:val="00F30C9B"/>
    <w:rsid w:val="00F316C4"/>
    <w:rsid w:val="00F336CC"/>
    <w:rsid w:val="00F354B1"/>
    <w:rsid w:val="00F50C37"/>
    <w:rsid w:val="00F54FBD"/>
    <w:rsid w:val="00FB0E4E"/>
    <w:rsid w:val="00FE79FE"/>
    <w:rsid w:val="00FF6F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C61C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C61C5"/>
    <w:pPr>
      <w:keepNext/>
      <w:keepLines/>
      <w:spacing w:before="480"/>
      <w:ind w:left="794" w:hanging="794"/>
      <w:outlineLvl w:val="0"/>
    </w:pPr>
    <w:rPr>
      <w:b/>
    </w:rPr>
  </w:style>
  <w:style w:type="paragraph" w:styleId="Heading2">
    <w:name w:val="heading 2"/>
    <w:basedOn w:val="Heading1"/>
    <w:next w:val="Normal"/>
    <w:link w:val="Heading2Char"/>
    <w:qFormat/>
    <w:rsid w:val="001C61C5"/>
    <w:pPr>
      <w:spacing w:before="320"/>
      <w:outlineLvl w:val="1"/>
    </w:pPr>
  </w:style>
  <w:style w:type="paragraph" w:styleId="Heading3">
    <w:name w:val="heading 3"/>
    <w:basedOn w:val="Heading1"/>
    <w:next w:val="Normal"/>
    <w:link w:val="Heading3Char"/>
    <w:qFormat/>
    <w:rsid w:val="001C61C5"/>
    <w:pPr>
      <w:spacing w:before="200"/>
      <w:outlineLvl w:val="2"/>
    </w:pPr>
  </w:style>
  <w:style w:type="paragraph" w:styleId="Heading4">
    <w:name w:val="heading 4"/>
    <w:basedOn w:val="Heading3"/>
    <w:next w:val="Normal"/>
    <w:link w:val="Heading4Char"/>
    <w:qFormat/>
    <w:rsid w:val="001C61C5"/>
    <w:pPr>
      <w:tabs>
        <w:tab w:val="clear" w:pos="794"/>
        <w:tab w:val="left" w:pos="992"/>
      </w:tabs>
      <w:ind w:left="992" w:hanging="992"/>
      <w:outlineLvl w:val="3"/>
    </w:pPr>
  </w:style>
  <w:style w:type="paragraph" w:styleId="Heading5">
    <w:name w:val="heading 5"/>
    <w:basedOn w:val="Heading4"/>
    <w:next w:val="Normal"/>
    <w:link w:val="Heading5Char"/>
    <w:qFormat/>
    <w:rsid w:val="001C61C5"/>
    <w:pPr>
      <w:outlineLvl w:val="4"/>
    </w:pPr>
  </w:style>
  <w:style w:type="paragraph" w:styleId="Heading6">
    <w:name w:val="heading 6"/>
    <w:basedOn w:val="Heading4"/>
    <w:next w:val="Normal"/>
    <w:link w:val="Heading6Char"/>
    <w:qFormat/>
    <w:rsid w:val="001C61C5"/>
    <w:pPr>
      <w:tabs>
        <w:tab w:val="clear" w:pos="992"/>
        <w:tab w:val="clear" w:pos="1191"/>
      </w:tabs>
      <w:ind w:left="1588" w:hanging="1588"/>
      <w:outlineLvl w:val="5"/>
    </w:pPr>
  </w:style>
  <w:style w:type="paragraph" w:styleId="Heading7">
    <w:name w:val="heading 7"/>
    <w:basedOn w:val="Heading6"/>
    <w:next w:val="Normal"/>
    <w:link w:val="Heading7Char"/>
    <w:qFormat/>
    <w:rsid w:val="001C61C5"/>
    <w:pPr>
      <w:outlineLvl w:val="6"/>
    </w:pPr>
  </w:style>
  <w:style w:type="paragraph" w:styleId="Heading8">
    <w:name w:val="heading 8"/>
    <w:basedOn w:val="Heading6"/>
    <w:next w:val="Normal"/>
    <w:link w:val="Heading8Char"/>
    <w:qFormat/>
    <w:rsid w:val="001C61C5"/>
    <w:pPr>
      <w:outlineLvl w:val="7"/>
    </w:pPr>
  </w:style>
  <w:style w:type="paragraph" w:styleId="Heading9">
    <w:name w:val="heading 9"/>
    <w:basedOn w:val="Heading6"/>
    <w:next w:val="Normal"/>
    <w:link w:val="Heading9Char"/>
    <w:qFormat/>
    <w:rsid w:val="001C61C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F6FA4"/>
    <w:rPr>
      <w:b/>
      <w:sz w:val="24"/>
      <w:lang w:val="fr-FR" w:eastAsia="en-US"/>
    </w:rPr>
  </w:style>
  <w:style w:type="character" w:customStyle="1" w:styleId="Heading2Char">
    <w:name w:val="Heading 2 Char"/>
    <w:basedOn w:val="DefaultParagraphFont"/>
    <w:link w:val="Heading2"/>
    <w:rsid w:val="00FF6FA4"/>
    <w:rPr>
      <w:b/>
      <w:sz w:val="24"/>
      <w:lang w:val="fr-FR" w:eastAsia="en-US"/>
    </w:rPr>
  </w:style>
  <w:style w:type="character" w:customStyle="1" w:styleId="Heading3Char">
    <w:name w:val="Heading 3 Char"/>
    <w:basedOn w:val="DefaultParagraphFont"/>
    <w:link w:val="Heading3"/>
    <w:rsid w:val="00FF6FA4"/>
    <w:rPr>
      <w:b/>
      <w:sz w:val="24"/>
      <w:lang w:val="fr-FR" w:eastAsia="en-US"/>
    </w:rPr>
  </w:style>
  <w:style w:type="character" w:customStyle="1" w:styleId="Heading4Char">
    <w:name w:val="Heading 4 Char"/>
    <w:basedOn w:val="DefaultParagraphFont"/>
    <w:link w:val="Heading4"/>
    <w:rsid w:val="00FF6FA4"/>
    <w:rPr>
      <w:b/>
      <w:sz w:val="24"/>
      <w:lang w:val="fr-FR" w:eastAsia="en-US"/>
    </w:rPr>
  </w:style>
  <w:style w:type="character" w:customStyle="1" w:styleId="Heading5Char">
    <w:name w:val="Heading 5 Char"/>
    <w:basedOn w:val="DefaultParagraphFont"/>
    <w:link w:val="Heading5"/>
    <w:rsid w:val="00FF6FA4"/>
    <w:rPr>
      <w:b/>
      <w:sz w:val="24"/>
      <w:lang w:val="fr-FR" w:eastAsia="en-US"/>
    </w:rPr>
  </w:style>
  <w:style w:type="character" w:customStyle="1" w:styleId="Heading6Char">
    <w:name w:val="Heading 6 Char"/>
    <w:basedOn w:val="DefaultParagraphFont"/>
    <w:link w:val="Heading6"/>
    <w:rsid w:val="00FF6FA4"/>
    <w:rPr>
      <w:b/>
      <w:sz w:val="24"/>
      <w:lang w:val="fr-FR" w:eastAsia="en-US"/>
    </w:rPr>
  </w:style>
  <w:style w:type="character" w:customStyle="1" w:styleId="Heading7Char">
    <w:name w:val="Heading 7 Char"/>
    <w:basedOn w:val="DefaultParagraphFont"/>
    <w:link w:val="Heading7"/>
    <w:rsid w:val="00FF6FA4"/>
    <w:rPr>
      <w:b/>
      <w:sz w:val="24"/>
      <w:lang w:val="fr-FR" w:eastAsia="en-US"/>
    </w:rPr>
  </w:style>
  <w:style w:type="character" w:customStyle="1" w:styleId="Heading8Char">
    <w:name w:val="Heading 8 Char"/>
    <w:basedOn w:val="DefaultParagraphFont"/>
    <w:link w:val="Heading8"/>
    <w:rsid w:val="00FF6FA4"/>
    <w:rPr>
      <w:b/>
      <w:sz w:val="24"/>
      <w:lang w:val="fr-FR" w:eastAsia="en-US"/>
    </w:rPr>
  </w:style>
  <w:style w:type="character" w:customStyle="1" w:styleId="Heading9Char">
    <w:name w:val="Heading 9 Char"/>
    <w:basedOn w:val="DefaultParagraphFont"/>
    <w:link w:val="Heading9"/>
    <w:rsid w:val="00FF6FA4"/>
    <w:rPr>
      <w:b/>
      <w:sz w:val="24"/>
      <w:lang w:val="fr-FR" w:eastAsia="en-US"/>
    </w:rPr>
  </w:style>
  <w:style w:type="paragraph" w:styleId="Footer">
    <w:name w:val="footer"/>
    <w:basedOn w:val="Normal"/>
    <w:link w:val="FooterChar"/>
    <w:rsid w:val="001C61C5"/>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FF6FA4"/>
    <w:rPr>
      <w:noProof/>
      <w:sz w:val="18"/>
      <w:lang w:val="fr-FR" w:eastAsia="en-US"/>
    </w:rPr>
  </w:style>
  <w:style w:type="character" w:styleId="PageNumber">
    <w:name w:val="page number"/>
    <w:basedOn w:val="DefaultParagraphFont"/>
    <w:rsid w:val="001C61C5"/>
  </w:style>
  <w:style w:type="paragraph" w:customStyle="1" w:styleId="Headingb">
    <w:name w:val="Heading_b"/>
    <w:basedOn w:val="Heading3"/>
    <w:next w:val="Normal"/>
    <w:rsid w:val="001C61C5"/>
    <w:pPr>
      <w:spacing w:before="160"/>
      <w:ind w:left="0" w:firstLine="0"/>
      <w:outlineLvl w:val="9"/>
    </w:pPr>
  </w:style>
  <w:style w:type="paragraph" w:customStyle="1" w:styleId="Headingi">
    <w:name w:val="Heading_i"/>
    <w:basedOn w:val="Heading3"/>
    <w:next w:val="Normal"/>
    <w:rsid w:val="001C61C5"/>
    <w:pPr>
      <w:spacing w:before="160"/>
      <w:ind w:left="0" w:firstLine="0"/>
    </w:pPr>
    <w:rPr>
      <w:b w:val="0"/>
      <w:i/>
    </w:rPr>
  </w:style>
  <w:style w:type="character" w:customStyle="1" w:styleId="href">
    <w:name w:val="href"/>
    <w:basedOn w:val="DefaultParagraphFont"/>
    <w:rsid w:val="001C61C5"/>
  </w:style>
  <w:style w:type="paragraph" w:customStyle="1" w:styleId="AnnexNoTitle">
    <w:name w:val="Annex_NoTitle"/>
    <w:basedOn w:val="Normal"/>
    <w:next w:val="Normalaftertitle"/>
    <w:rsid w:val="001C61C5"/>
    <w:pPr>
      <w:keepNext/>
      <w:keepLines/>
      <w:spacing w:before="480" w:after="80"/>
      <w:jc w:val="center"/>
    </w:pPr>
    <w:rPr>
      <w:b/>
      <w:sz w:val="28"/>
    </w:rPr>
  </w:style>
  <w:style w:type="paragraph" w:customStyle="1" w:styleId="Normalaftertitle">
    <w:name w:val="Normal_after_title"/>
    <w:basedOn w:val="Normal"/>
    <w:next w:val="Normal"/>
    <w:rsid w:val="001C61C5"/>
    <w:pPr>
      <w:spacing w:before="320"/>
    </w:pPr>
  </w:style>
  <w:style w:type="paragraph" w:customStyle="1" w:styleId="enumlev2">
    <w:name w:val="enumlev2"/>
    <w:basedOn w:val="enumlev1"/>
    <w:rsid w:val="001C61C5"/>
    <w:pPr>
      <w:ind w:left="1191" w:hanging="397"/>
    </w:pPr>
  </w:style>
  <w:style w:type="paragraph" w:customStyle="1" w:styleId="enumlev1">
    <w:name w:val="enumlev1"/>
    <w:basedOn w:val="Normal"/>
    <w:rsid w:val="001C61C5"/>
    <w:pPr>
      <w:spacing w:before="80"/>
      <w:ind w:left="794" w:hanging="794"/>
    </w:pPr>
  </w:style>
  <w:style w:type="paragraph" w:customStyle="1" w:styleId="enumlev3">
    <w:name w:val="enumlev3"/>
    <w:basedOn w:val="enumlev2"/>
    <w:rsid w:val="001C61C5"/>
    <w:pPr>
      <w:ind w:left="1588"/>
    </w:pPr>
  </w:style>
  <w:style w:type="paragraph" w:customStyle="1" w:styleId="Note">
    <w:name w:val="Note"/>
    <w:basedOn w:val="Normal"/>
    <w:rsid w:val="001C61C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C61C5"/>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C61C5"/>
    <w:pPr>
      <w:keepNext/>
      <w:keepLines/>
      <w:spacing w:before="240"/>
      <w:jc w:val="center"/>
    </w:pPr>
    <w:rPr>
      <w:b/>
      <w:sz w:val="28"/>
    </w:rPr>
  </w:style>
  <w:style w:type="paragraph" w:customStyle="1" w:styleId="Recref">
    <w:name w:val="Rec_ref"/>
    <w:basedOn w:val="Normal"/>
    <w:next w:val="Recdate"/>
    <w:rsid w:val="001C61C5"/>
    <w:pPr>
      <w:jc w:val="center"/>
    </w:pPr>
  </w:style>
  <w:style w:type="paragraph" w:customStyle="1" w:styleId="Recdate">
    <w:name w:val="Rec_date"/>
    <w:basedOn w:val="Recref"/>
    <w:next w:val="Normalaftertitle"/>
    <w:rsid w:val="001C61C5"/>
    <w:pPr>
      <w:jc w:val="right"/>
    </w:pPr>
  </w:style>
  <w:style w:type="paragraph" w:customStyle="1" w:styleId="HeadingSum">
    <w:name w:val="Heading_Sum"/>
    <w:basedOn w:val="Headingb"/>
    <w:next w:val="Normal"/>
    <w:rsid w:val="001C61C5"/>
    <w:pPr>
      <w:spacing w:before="240"/>
    </w:pPr>
    <w:rPr>
      <w:sz w:val="22"/>
      <w:lang w:val="es-ES_tradnl"/>
    </w:rPr>
  </w:style>
  <w:style w:type="paragraph" w:customStyle="1" w:styleId="AppendixNoTitle">
    <w:name w:val="Appendix_NoTitle"/>
    <w:basedOn w:val="AnnexNoTitle"/>
    <w:next w:val="Normal"/>
    <w:rsid w:val="001C61C5"/>
  </w:style>
  <w:style w:type="paragraph" w:customStyle="1" w:styleId="Tablefin">
    <w:name w:val="Table_fin"/>
    <w:basedOn w:val="Normal"/>
    <w:next w:val="Normal"/>
    <w:rsid w:val="001C61C5"/>
    <w:pPr>
      <w:spacing w:before="0"/>
    </w:pPr>
    <w:rPr>
      <w:sz w:val="20"/>
      <w:lang w:val="en-GB"/>
    </w:rPr>
  </w:style>
  <w:style w:type="paragraph" w:customStyle="1" w:styleId="Tablehead">
    <w:name w:val="Table_head"/>
    <w:basedOn w:val="Normal"/>
    <w:next w:val="Normal"/>
    <w:rsid w:val="001C61C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C61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C61C5"/>
    <w:pPr>
      <w:keepNext/>
      <w:spacing w:before="360" w:after="120"/>
      <w:jc w:val="center"/>
    </w:pPr>
  </w:style>
  <w:style w:type="paragraph" w:customStyle="1" w:styleId="Tabletext">
    <w:name w:val="Table_text"/>
    <w:basedOn w:val="Normal"/>
    <w:rsid w:val="001C61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C61C5"/>
    <w:pPr>
      <w:tabs>
        <w:tab w:val="clear" w:pos="1191"/>
        <w:tab w:val="clear" w:pos="1588"/>
        <w:tab w:val="clear" w:pos="1985"/>
        <w:tab w:val="center" w:pos="4820"/>
        <w:tab w:val="right" w:pos="9639"/>
      </w:tabs>
    </w:pPr>
  </w:style>
  <w:style w:type="paragraph" w:customStyle="1" w:styleId="Equationlegend">
    <w:name w:val="Equation_legend"/>
    <w:basedOn w:val="NormalIndent"/>
    <w:rsid w:val="001C61C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C61C5"/>
    <w:pPr>
      <w:ind w:left="794"/>
    </w:pPr>
  </w:style>
  <w:style w:type="paragraph" w:customStyle="1" w:styleId="Figurelegend">
    <w:name w:val="Figure_legend"/>
    <w:basedOn w:val="Normal"/>
    <w:rsid w:val="001C61C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C61C5"/>
    <w:pPr>
      <w:keepNext/>
      <w:keepLines/>
      <w:spacing w:before="480" w:after="80"/>
      <w:jc w:val="center"/>
    </w:pPr>
    <w:rPr>
      <w:caps/>
      <w:sz w:val="18"/>
    </w:rPr>
  </w:style>
  <w:style w:type="paragraph" w:customStyle="1" w:styleId="Figuretitle">
    <w:name w:val="Figure_title"/>
    <w:basedOn w:val="Normal"/>
    <w:next w:val="Figure"/>
    <w:rsid w:val="001C61C5"/>
    <w:pPr>
      <w:keepNext/>
      <w:spacing w:before="0" w:after="120"/>
      <w:jc w:val="center"/>
    </w:pPr>
    <w:rPr>
      <w:rFonts w:ascii="Times New Roman Bold" w:hAnsi="Times New Roman Bold"/>
      <w:b/>
      <w:sz w:val="18"/>
    </w:rPr>
  </w:style>
  <w:style w:type="paragraph" w:customStyle="1" w:styleId="Figure">
    <w:name w:val="Figure"/>
    <w:basedOn w:val="FigureNo"/>
    <w:next w:val="Normal"/>
    <w:rsid w:val="001C61C5"/>
    <w:pPr>
      <w:keepNext w:val="0"/>
      <w:spacing w:before="0" w:after="240"/>
    </w:pPr>
  </w:style>
  <w:style w:type="paragraph" w:customStyle="1" w:styleId="tocpart">
    <w:name w:val="tocpart"/>
    <w:basedOn w:val="Normal"/>
    <w:rsid w:val="001C61C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C61C5"/>
    <w:pPr>
      <w:keepNext/>
      <w:keepLines/>
      <w:spacing w:before="480"/>
      <w:jc w:val="center"/>
    </w:pPr>
    <w:rPr>
      <w:sz w:val="28"/>
    </w:rPr>
  </w:style>
  <w:style w:type="paragraph" w:customStyle="1" w:styleId="Arttitle">
    <w:name w:val="Art_title"/>
    <w:basedOn w:val="Normal"/>
    <w:next w:val="Normalaftertitle"/>
    <w:rsid w:val="001C61C5"/>
    <w:pPr>
      <w:keepNext/>
      <w:keepLines/>
      <w:spacing w:before="240"/>
      <w:jc w:val="center"/>
    </w:pPr>
    <w:rPr>
      <w:b/>
      <w:sz w:val="28"/>
    </w:rPr>
  </w:style>
  <w:style w:type="paragraph" w:customStyle="1" w:styleId="Blanc">
    <w:name w:val="Blanc"/>
    <w:basedOn w:val="Normal"/>
    <w:next w:val="Tabletext"/>
    <w:rsid w:val="001C61C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C61C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C61C5"/>
    <w:pPr>
      <w:keepNext/>
      <w:keepLines/>
      <w:spacing w:before="160"/>
      <w:ind w:left="794"/>
    </w:pPr>
    <w:rPr>
      <w:i/>
    </w:rPr>
  </w:style>
  <w:style w:type="paragraph" w:customStyle="1" w:styleId="ChapNo">
    <w:name w:val="Chap_No"/>
    <w:basedOn w:val="ArtNo"/>
    <w:next w:val="Chaptitle"/>
    <w:rsid w:val="001C61C5"/>
    <w:rPr>
      <w:b/>
    </w:rPr>
  </w:style>
  <w:style w:type="paragraph" w:customStyle="1" w:styleId="Chaptitle">
    <w:name w:val="Chap_title"/>
    <w:basedOn w:val="Arttitle"/>
    <w:next w:val="Normalaftertitle"/>
    <w:rsid w:val="001C61C5"/>
  </w:style>
  <w:style w:type="character" w:styleId="FootnoteReference">
    <w:name w:val="footnote reference"/>
    <w:basedOn w:val="DefaultParagraphFont"/>
    <w:rsid w:val="001C61C5"/>
    <w:rPr>
      <w:position w:val="6"/>
      <w:sz w:val="18"/>
    </w:rPr>
  </w:style>
  <w:style w:type="paragraph" w:styleId="FootnoteText">
    <w:name w:val="footnote text"/>
    <w:basedOn w:val="Normal"/>
    <w:link w:val="FootnoteTextChar"/>
    <w:rsid w:val="001C61C5"/>
    <w:pPr>
      <w:keepLines/>
      <w:tabs>
        <w:tab w:val="left" w:pos="255"/>
      </w:tabs>
      <w:ind w:left="255" w:hanging="255"/>
    </w:pPr>
    <w:rPr>
      <w:sz w:val="22"/>
    </w:rPr>
  </w:style>
  <w:style w:type="character" w:customStyle="1" w:styleId="FootnoteTextChar">
    <w:name w:val="Footnote Text Char"/>
    <w:basedOn w:val="DefaultParagraphFont"/>
    <w:link w:val="FootnoteText"/>
    <w:rsid w:val="00FF6FA4"/>
    <w:rPr>
      <w:sz w:val="22"/>
      <w:lang w:val="fr-FR" w:eastAsia="en-US"/>
    </w:rPr>
  </w:style>
  <w:style w:type="paragraph" w:styleId="Index1">
    <w:name w:val="index 1"/>
    <w:basedOn w:val="Normal"/>
    <w:next w:val="Normal"/>
    <w:rsid w:val="001C61C5"/>
  </w:style>
  <w:style w:type="paragraph" w:styleId="Index2">
    <w:name w:val="index 2"/>
    <w:basedOn w:val="Normal"/>
    <w:next w:val="Normal"/>
    <w:rsid w:val="001C61C5"/>
    <w:pPr>
      <w:ind w:left="283"/>
    </w:pPr>
  </w:style>
  <w:style w:type="paragraph" w:styleId="Index3">
    <w:name w:val="index 3"/>
    <w:basedOn w:val="Normal"/>
    <w:next w:val="Normal"/>
    <w:rsid w:val="001C61C5"/>
    <w:pPr>
      <w:ind w:left="566"/>
    </w:pPr>
  </w:style>
  <w:style w:type="paragraph" w:styleId="IndexHeading">
    <w:name w:val="index heading"/>
    <w:basedOn w:val="Normal"/>
    <w:next w:val="Index1"/>
    <w:rsid w:val="001C61C5"/>
  </w:style>
  <w:style w:type="paragraph" w:customStyle="1" w:styleId="Line">
    <w:name w:val="Line"/>
    <w:basedOn w:val="Normal"/>
    <w:next w:val="Normal"/>
    <w:rsid w:val="001C61C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C61C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C61C5"/>
  </w:style>
  <w:style w:type="paragraph" w:customStyle="1" w:styleId="Partref">
    <w:name w:val="Part_ref"/>
    <w:basedOn w:val="Normal"/>
    <w:next w:val="Normal"/>
    <w:rsid w:val="001C61C5"/>
    <w:pPr>
      <w:keepNext/>
      <w:keepLines/>
      <w:spacing w:after="280"/>
      <w:jc w:val="center"/>
    </w:pPr>
  </w:style>
  <w:style w:type="paragraph" w:customStyle="1" w:styleId="Parttitle">
    <w:name w:val="Part_title"/>
    <w:basedOn w:val="Normal"/>
    <w:next w:val="Normalaftertitle"/>
    <w:rsid w:val="001C61C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C61C5"/>
  </w:style>
  <w:style w:type="paragraph" w:customStyle="1" w:styleId="QuestionNo">
    <w:name w:val="Question_No"/>
    <w:basedOn w:val="RecNo"/>
    <w:next w:val="Normal"/>
    <w:rsid w:val="001C61C5"/>
  </w:style>
  <w:style w:type="paragraph" w:customStyle="1" w:styleId="Questionref">
    <w:name w:val="Question_ref"/>
    <w:basedOn w:val="Recref"/>
    <w:next w:val="Questiondate"/>
    <w:rsid w:val="001C61C5"/>
  </w:style>
  <w:style w:type="paragraph" w:customStyle="1" w:styleId="Questiontitle">
    <w:name w:val="Question_title"/>
    <w:basedOn w:val="Normal"/>
    <w:next w:val="Questionref"/>
    <w:rsid w:val="001C61C5"/>
  </w:style>
  <w:style w:type="paragraph" w:customStyle="1" w:styleId="Reftext">
    <w:name w:val="Ref_text"/>
    <w:basedOn w:val="Normal"/>
    <w:rsid w:val="001C61C5"/>
    <w:pPr>
      <w:ind w:left="794" w:hanging="794"/>
    </w:pPr>
    <w:rPr>
      <w:sz w:val="22"/>
    </w:rPr>
  </w:style>
  <w:style w:type="paragraph" w:customStyle="1" w:styleId="Reftitle">
    <w:name w:val="Ref_title"/>
    <w:basedOn w:val="Normal"/>
    <w:next w:val="Reftext"/>
    <w:rsid w:val="001C61C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C61C5"/>
  </w:style>
  <w:style w:type="paragraph" w:customStyle="1" w:styleId="RepNo">
    <w:name w:val="Rep_No"/>
    <w:basedOn w:val="RecNo"/>
    <w:next w:val="Reptitle"/>
    <w:rsid w:val="001C61C5"/>
  </w:style>
  <w:style w:type="paragraph" w:customStyle="1" w:styleId="Reptitle">
    <w:name w:val="Rep_title"/>
    <w:basedOn w:val="Rectitle"/>
    <w:next w:val="Repref"/>
    <w:rsid w:val="001C61C5"/>
  </w:style>
  <w:style w:type="paragraph" w:customStyle="1" w:styleId="Repref">
    <w:name w:val="Rep_ref"/>
    <w:basedOn w:val="Recref"/>
    <w:next w:val="Repdate"/>
    <w:rsid w:val="001C61C5"/>
  </w:style>
  <w:style w:type="paragraph" w:customStyle="1" w:styleId="Resdate">
    <w:name w:val="Res_date"/>
    <w:basedOn w:val="Recdate"/>
    <w:next w:val="Normalaftertitle"/>
    <w:rsid w:val="001C61C5"/>
  </w:style>
  <w:style w:type="paragraph" w:customStyle="1" w:styleId="ResNo">
    <w:name w:val="Res_No"/>
    <w:basedOn w:val="RecNo"/>
    <w:next w:val="Restitle"/>
    <w:rsid w:val="001C61C5"/>
  </w:style>
  <w:style w:type="paragraph" w:customStyle="1" w:styleId="Restitle">
    <w:name w:val="Res_title"/>
    <w:basedOn w:val="Normal"/>
    <w:next w:val="Resref"/>
    <w:rsid w:val="001C61C5"/>
    <w:pPr>
      <w:spacing w:before="240"/>
      <w:jc w:val="center"/>
    </w:pPr>
    <w:rPr>
      <w:b/>
      <w:sz w:val="28"/>
    </w:rPr>
  </w:style>
  <w:style w:type="paragraph" w:customStyle="1" w:styleId="Resref">
    <w:name w:val="Res_ref"/>
    <w:basedOn w:val="Recref"/>
    <w:next w:val="Resdate"/>
    <w:rsid w:val="001C61C5"/>
  </w:style>
  <w:style w:type="paragraph" w:customStyle="1" w:styleId="SectionNo">
    <w:name w:val="Section_No"/>
    <w:basedOn w:val="Normal"/>
    <w:next w:val="Normal"/>
    <w:rsid w:val="001C61C5"/>
  </w:style>
  <w:style w:type="paragraph" w:customStyle="1" w:styleId="Sectiontitle">
    <w:name w:val="Section_title"/>
    <w:basedOn w:val="Normal"/>
    <w:next w:val="Normalaftertitle"/>
    <w:rsid w:val="001C61C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C61C5"/>
    <w:pPr>
      <w:tabs>
        <w:tab w:val="clear" w:pos="794"/>
        <w:tab w:val="clear" w:pos="1191"/>
        <w:tab w:val="clear" w:pos="1588"/>
        <w:tab w:val="clear" w:pos="1985"/>
        <w:tab w:val="right" w:pos="9611"/>
      </w:tabs>
    </w:pPr>
    <w:rPr>
      <w:i/>
    </w:rPr>
  </w:style>
  <w:style w:type="paragraph" w:styleId="TOC1">
    <w:name w:val="toc 1"/>
    <w:basedOn w:val="Normal"/>
    <w:rsid w:val="001C61C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C61C5"/>
    <w:pPr>
      <w:tabs>
        <w:tab w:val="clear" w:pos="567"/>
        <w:tab w:val="left" w:pos="1276"/>
      </w:tabs>
      <w:spacing w:before="160"/>
      <w:ind w:left="1276" w:hanging="709"/>
    </w:pPr>
  </w:style>
  <w:style w:type="paragraph" w:styleId="TOC3">
    <w:name w:val="toc 3"/>
    <w:basedOn w:val="TOC2"/>
    <w:rsid w:val="001C61C5"/>
    <w:pPr>
      <w:tabs>
        <w:tab w:val="clear" w:pos="1276"/>
        <w:tab w:val="left" w:pos="2155"/>
      </w:tabs>
      <w:ind w:left="2155" w:hanging="879"/>
    </w:pPr>
  </w:style>
  <w:style w:type="paragraph" w:styleId="TOC4">
    <w:name w:val="toc 4"/>
    <w:basedOn w:val="TOC3"/>
    <w:rsid w:val="001C61C5"/>
    <w:pPr>
      <w:tabs>
        <w:tab w:val="left" w:pos="3261"/>
      </w:tabs>
      <w:spacing w:before="80"/>
      <w:ind w:left="3261" w:hanging="993"/>
    </w:pPr>
  </w:style>
  <w:style w:type="paragraph" w:styleId="TOC5">
    <w:name w:val="toc 5"/>
    <w:basedOn w:val="TOC4"/>
    <w:rsid w:val="001C61C5"/>
  </w:style>
  <w:style w:type="paragraph" w:styleId="TOC6">
    <w:name w:val="toc 6"/>
    <w:basedOn w:val="TOC4"/>
    <w:rsid w:val="001C61C5"/>
  </w:style>
  <w:style w:type="paragraph" w:styleId="TOC7">
    <w:name w:val="toc 7"/>
    <w:basedOn w:val="TOC4"/>
    <w:rsid w:val="001C61C5"/>
  </w:style>
  <w:style w:type="paragraph" w:styleId="TOC8">
    <w:name w:val="toc 8"/>
    <w:basedOn w:val="TOC4"/>
    <w:rsid w:val="001C61C5"/>
  </w:style>
  <w:style w:type="paragraph" w:customStyle="1" w:styleId="Annexref">
    <w:name w:val="Annex_ref"/>
    <w:basedOn w:val="Normal"/>
    <w:next w:val="Normalaftertitle"/>
    <w:rsid w:val="001C61C5"/>
    <w:pPr>
      <w:keepNext/>
      <w:keepLines/>
      <w:spacing w:after="280"/>
      <w:jc w:val="center"/>
    </w:pPr>
  </w:style>
  <w:style w:type="paragraph" w:customStyle="1" w:styleId="Appendixref">
    <w:name w:val="Appendix_ref"/>
    <w:basedOn w:val="Annexref"/>
    <w:next w:val="Normalaftertitle"/>
    <w:rsid w:val="001C61C5"/>
  </w:style>
  <w:style w:type="paragraph" w:customStyle="1" w:styleId="Tabletitle">
    <w:name w:val="Table_title"/>
    <w:basedOn w:val="Normal"/>
    <w:next w:val="Tablehead"/>
    <w:rsid w:val="001C61C5"/>
    <w:pPr>
      <w:keepNext/>
      <w:spacing w:before="0" w:after="120"/>
      <w:jc w:val="center"/>
    </w:pPr>
    <w:rPr>
      <w:b/>
    </w:rPr>
  </w:style>
  <w:style w:type="paragraph" w:customStyle="1" w:styleId="Summary">
    <w:name w:val="Summary"/>
    <w:basedOn w:val="Normal"/>
    <w:next w:val="Normalaftertitle"/>
    <w:rsid w:val="001C61C5"/>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1C61C5"/>
    <w:pPr>
      <w:ind w:left="-85" w:firstLine="0"/>
    </w:pPr>
    <w:rPr>
      <w:lang w:val="en-US"/>
    </w:rPr>
  </w:style>
  <w:style w:type="paragraph" w:customStyle="1" w:styleId="TableNotitle">
    <w:name w:val="Table_No &amp; title"/>
    <w:basedOn w:val="Normal"/>
    <w:next w:val="Tablehead"/>
    <w:rsid w:val="00FF6FA4"/>
    <w:pPr>
      <w:keepNext/>
      <w:keepLines/>
      <w:spacing w:before="360" w:after="120"/>
      <w:jc w:val="center"/>
    </w:pPr>
    <w:rPr>
      <w:b/>
    </w:rPr>
  </w:style>
  <w:style w:type="paragraph" w:customStyle="1" w:styleId="headfoot">
    <w:name w:val="head_foot"/>
    <w:basedOn w:val="Normal"/>
    <w:next w:val="Normal"/>
    <w:rsid w:val="00FF6FA4"/>
    <w:pPr>
      <w:tabs>
        <w:tab w:val="clear" w:pos="794"/>
        <w:tab w:val="clear" w:pos="1191"/>
        <w:tab w:val="clear" w:pos="1588"/>
        <w:tab w:val="clear" w:pos="1985"/>
      </w:tabs>
      <w:spacing w:before="0"/>
      <w:jc w:val="left"/>
    </w:pPr>
    <w:rPr>
      <w:b/>
      <w:color w:val="FFFFFF"/>
      <w:sz w:val="8"/>
    </w:rPr>
  </w:style>
  <w:style w:type="paragraph" w:styleId="Header">
    <w:name w:val="header"/>
    <w:basedOn w:val="Normal"/>
    <w:link w:val="HeaderChar"/>
    <w:rsid w:val="001C61C5"/>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1C61C5"/>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C61C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C61C5"/>
    <w:pPr>
      <w:keepNext/>
      <w:keepLines/>
      <w:spacing w:before="480"/>
      <w:ind w:left="794" w:hanging="794"/>
      <w:outlineLvl w:val="0"/>
    </w:pPr>
    <w:rPr>
      <w:b/>
    </w:rPr>
  </w:style>
  <w:style w:type="paragraph" w:styleId="Heading2">
    <w:name w:val="heading 2"/>
    <w:basedOn w:val="Heading1"/>
    <w:next w:val="Normal"/>
    <w:link w:val="Heading2Char"/>
    <w:qFormat/>
    <w:rsid w:val="001C61C5"/>
    <w:pPr>
      <w:spacing w:before="320"/>
      <w:outlineLvl w:val="1"/>
    </w:pPr>
  </w:style>
  <w:style w:type="paragraph" w:styleId="Heading3">
    <w:name w:val="heading 3"/>
    <w:basedOn w:val="Heading1"/>
    <w:next w:val="Normal"/>
    <w:link w:val="Heading3Char"/>
    <w:qFormat/>
    <w:rsid w:val="001C61C5"/>
    <w:pPr>
      <w:spacing w:before="200"/>
      <w:outlineLvl w:val="2"/>
    </w:pPr>
  </w:style>
  <w:style w:type="paragraph" w:styleId="Heading4">
    <w:name w:val="heading 4"/>
    <w:basedOn w:val="Heading3"/>
    <w:next w:val="Normal"/>
    <w:link w:val="Heading4Char"/>
    <w:qFormat/>
    <w:rsid w:val="001C61C5"/>
    <w:pPr>
      <w:tabs>
        <w:tab w:val="clear" w:pos="794"/>
        <w:tab w:val="left" w:pos="992"/>
      </w:tabs>
      <w:ind w:left="992" w:hanging="992"/>
      <w:outlineLvl w:val="3"/>
    </w:pPr>
  </w:style>
  <w:style w:type="paragraph" w:styleId="Heading5">
    <w:name w:val="heading 5"/>
    <w:basedOn w:val="Heading4"/>
    <w:next w:val="Normal"/>
    <w:link w:val="Heading5Char"/>
    <w:qFormat/>
    <w:rsid w:val="001C61C5"/>
    <w:pPr>
      <w:outlineLvl w:val="4"/>
    </w:pPr>
  </w:style>
  <w:style w:type="paragraph" w:styleId="Heading6">
    <w:name w:val="heading 6"/>
    <w:basedOn w:val="Heading4"/>
    <w:next w:val="Normal"/>
    <w:link w:val="Heading6Char"/>
    <w:qFormat/>
    <w:rsid w:val="001C61C5"/>
    <w:pPr>
      <w:tabs>
        <w:tab w:val="clear" w:pos="992"/>
        <w:tab w:val="clear" w:pos="1191"/>
      </w:tabs>
      <w:ind w:left="1588" w:hanging="1588"/>
      <w:outlineLvl w:val="5"/>
    </w:pPr>
  </w:style>
  <w:style w:type="paragraph" w:styleId="Heading7">
    <w:name w:val="heading 7"/>
    <w:basedOn w:val="Heading6"/>
    <w:next w:val="Normal"/>
    <w:link w:val="Heading7Char"/>
    <w:qFormat/>
    <w:rsid w:val="001C61C5"/>
    <w:pPr>
      <w:outlineLvl w:val="6"/>
    </w:pPr>
  </w:style>
  <w:style w:type="paragraph" w:styleId="Heading8">
    <w:name w:val="heading 8"/>
    <w:basedOn w:val="Heading6"/>
    <w:next w:val="Normal"/>
    <w:link w:val="Heading8Char"/>
    <w:qFormat/>
    <w:rsid w:val="001C61C5"/>
    <w:pPr>
      <w:outlineLvl w:val="7"/>
    </w:pPr>
  </w:style>
  <w:style w:type="paragraph" w:styleId="Heading9">
    <w:name w:val="heading 9"/>
    <w:basedOn w:val="Heading6"/>
    <w:next w:val="Normal"/>
    <w:link w:val="Heading9Char"/>
    <w:qFormat/>
    <w:rsid w:val="001C61C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F6FA4"/>
    <w:rPr>
      <w:b/>
      <w:sz w:val="24"/>
      <w:lang w:val="fr-FR" w:eastAsia="en-US"/>
    </w:rPr>
  </w:style>
  <w:style w:type="character" w:customStyle="1" w:styleId="Heading2Char">
    <w:name w:val="Heading 2 Char"/>
    <w:basedOn w:val="DefaultParagraphFont"/>
    <w:link w:val="Heading2"/>
    <w:rsid w:val="00FF6FA4"/>
    <w:rPr>
      <w:b/>
      <w:sz w:val="24"/>
      <w:lang w:val="fr-FR" w:eastAsia="en-US"/>
    </w:rPr>
  </w:style>
  <w:style w:type="character" w:customStyle="1" w:styleId="Heading3Char">
    <w:name w:val="Heading 3 Char"/>
    <w:basedOn w:val="DefaultParagraphFont"/>
    <w:link w:val="Heading3"/>
    <w:rsid w:val="00FF6FA4"/>
    <w:rPr>
      <w:b/>
      <w:sz w:val="24"/>
      <w:lang w:val="fr-FR" w:eastAsia="en-US"/>
    </w:rPr>
  </w:style>
  <w:style w:type="character" w:customStyle="1" w:styleId="Heading4Char">
    <w:name w:val="Heading 4 Char"/>
    <w:basedOn w:val="DefaultParagraphFont"/>
    <w:link w:val="Heading4"/>
    <w:rsid w:val="00FF6FA4"/>
    <w:rPr>
      <w:b/>
      <w:sz w:val="24"/>
      <w:lang w:val="fr-FR" w:eastAsia="en-US"/>
    </w:rPr>
  </w:style>
  <w:style w:type="character" w:customStyle="1" w:styleId="Heading5Char">
    <w:name w:val="Heading 5 Char"/>
    <w:basedOn w:val="DefaultParagraphFont"/>
    <w:link w:val="Heading5"/>
    <w:rsid w:val="00FF6FA4"/>
    <w:rPr>
      <w:b/>
      <w:sz w:val="24"/>
      <w:lang w:val="fr-FR" w:eastAsia="en-US"/>
    </w:rPr>
  </w:style>
  <w:style w:type="character" w:customStyle="1" w:styleId="Heading6Char">
    <w:name w:val="Heading 6 Char"/>
    <w:basedOn w:val="DefaultParagraphFont"/>
    <w:link w:val="Heading6"/>
    <w:rsid w:val="00FF6FA4"/>
    <w:rPr>
      <w:b/>
      <w:sz w:val="24"/>
      <w:lang w:val="fr-FR" w:eastAsia="en-US"/>
    </w:rPr>
  </w:style>
  <w:style w:type="character" w:customStyle="1" w:styleId="Heading7Char">
    <w:name w:val="Heading 7 Char"/>
    <w:basedOn w:val="DefaultParagraphFont"/>
    <w:link w:val="Heading7"/>
    <w:rsid w:val="00FF6FA4"/>
    <w:rPr>
      <w:b/>
      <w:sz w:val="24"/>
      <w:lang w:val="fr-FR" w:eastAsia="en-US"/>
    </w:rPr>
  </w:style>
  <w:style w:type="character" w:customStyle="1" w:styleId="Heading8Char">
    <w:name w:val="Heading 8 Char"/>
    <w:basedOn w:val="DefaultParagraphFont"/>
    <w:link w:val="Heading8"/>
    <w:rsid w:val="00FF6FA4"/>
    <w:rPr>
      <w:b/>
      <w:sz w:val="24"/>
      <w:lang w:val="fr-FR" w:eastAsia="en-US"/>
    </w:rPr>
  </w:style>
  <w:style w:type="character" w:customStyle="1" w:styleId="Heading9Char">
    <w:name w:val="Heading 9 Char"/>
    <w:basedOn w:val="DefaultParagraphFont"/>
    <w:link w:val="Heading9"/>
    <w:rsid w:val="00FF6FA4"/>
    <w:rPr>
      <w:b/>
      <w:sz w:val="24"/>
      <w:lang w:val="fr-FR" w:eastAsia="en-US"/>
    </w:rPr>
  </w:style>
  <w:style w:type="paragraph" w:styleId="Footer">
    <w:name w:val="footer"/>
    <w:basedOn w:val="Normal"/>
    <w:link w:val="FooterChar"/>
    <w:rsid w:val="001C61C5"/>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FF6FA4"/>
    <w:rPr>
      <w:noProof/>
      <w:sz w:val="18"/>
      <w:lang w:val="fr-FR" w:eastAsia="en-US"/>
    </w:rPr>
  </w:style>
  <w:style w:type="character" w:styleId="PageNumber">
    <w:name w:val="page number"/>
    <w:basedOn w:val="DefaultParagraphFont"/>
    <w:rsid w:val="001C61C5"/>
  </w:style>
  <w:style w:type="paragraph" w:customStyle="1" w:styleId="Headingb">
    <w:name w:val="Heading_b"/>
    <w:basedOn w:val="Heading3"/>
    <w:next w:val="Normal"/>
    <w:rsid w:val="001C61C5"/>
    <w:pPr>
      <w:spacing w:before="160"/>
      <w:ind w:left="0" w:firstLine="0"/>
      <w:outlineLvl w:val="9"/>
    </w:pPr>
  </w:style>
  <w:style w:type="paragraph" w:customStyle="1" w:styleId="Headingi">
    <w:name w:val="Heading_i"/>
    <w:basedOn w:val="Heading3"/>
    <w:next w:val="Normal"/>
    <w:rsid w:val="001C61C5"/>
    <w:pPr>
      <w:spacing w:before="160"/>
      <w:ind w:left="0" w:firstLine="0"/>
    </w:pPr>
    <w:rPr>
      <w:b w:val="0"/>
      <w:i/>
    </w:rPr>
  </w:style>
  <w:style w:type="character" w:customStyle="1" w:styleId="href">
    <w:name w:val="href"/>
    <w:basedOn w:val="DefaultParagraphFont"/>
    <w:rsid w:val="001C61C5"/>
  </w:style>
  <w:style w:type="paragraph" w:customStyle="1" w:styleId="AnnexNoTitle">
    <w:name w:val="Annex_NoTitle"/>
    <w:basedOn w:val="Normal"/>
    <w:next w:val="Normalaftertitle"/>
    <w:rsid w:val="001C61C5"/>
    <w:pPr>
      <w:keepNext/>
      <w:keepLines/>
      <w:spacing w:before="480" w:after="80"/>
      <w:jc w:val="center"/>
    </w:pPr>
    <w:rPr>
      <w:b/>
      <w:sz w:val="28"/>
    </w:rPr>
  </w:style>
  <w:style w:type="paragraph" w:customStyle="1" w:styleId="Normalaftertitle">
    <w:name w:val="Normal_after_title"/>
    <w:basedOn w:val="Normal"/>
    <w:next w:val="Normal"/>
    <w:rsid w:val="001C61C5"/>
    <w:pPr>
      <w:spacing w:before="320"/>
    </w:pPr>
  </w:style>
  <w:style w:type="paragraph" w:customStyle="1" w:styleId="enumlev2">
    <w:name w:val="enumlev2"/>
    <w:basedOn w:val="enumlev1"/>
    <w:rsid w:val="001C61C5"/>
    <w:pPr>
      <w:ind w:left="1191" w:hanging="397"/>
    </w:pPr>
  </w:style>
  <w:style w:type="paragraph" w:customStyle="1" w:styleId="enumlev1">
    <w:name w:val="enumlev1"/>
    <w:basedOn w:val="Normal"/>
    <w:rsid w:val="001C61C5"/>
    <w:pPr>
      <w:spacing w:before="80"/>
      <w:ind w:left="794" w:hanging="794"/>
    </w:pPr>
  </w:style>
  <w:style w:type="paragraph" w:customStyle="1" w:styleId="enumlev3">
    <w:name w:val="enumlev3"/>
    <w:basedOn w:val="enumlev2"/>
    <w:rsid w:val="001C61C5"/>
    <w:pPr>
      <w:ind w:left="1588"/>
    </w:pPr>
  </w:style>
  <w:style w:type="paragraph" w:customStyle="1" w:styleId="Note">
    <w:name w:val="Note"/>
    <w:basedOn w:val="Normal"/>
    <w:rsid w:val="001C61C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C61C5"/>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C61C5"/>
    <w:pPr>
      <w:keepNext/>
      <w:keepLines/>
      <w:spacing w:before="240"/>
      <w:jc w:val="center"/>
    </w:pPr>
    <w:rPr>
      <w:b/>
      <w:sz w:val="28"/>
    </w:rPr>
  </w:style>
  <w:style w:type="paragraph" w:customStyle="1" w:styleId="Recref">
    <w:name w:val="Rec_ref"/>
    <w:basedOn w:val="Normal"/>
    <w:next w:val="Recdate"/>
    <w:rsid w:val="001C61C5"/>
    <w:pPr>
      <w:jc w:val="center"/>
    </w:pPr>
  </w:style>
  <w:style w:type="paragraph" w:customStyle="1" w:styleId="Recdate">
    <w:name w:val="Rec_date"/>
    <w:basedOn w:val="Recref"/>
    <w:next w:val="Normalaftertitle"/>
    <w:rsid w:val="001C61C5"/>
    <w:pPr>
      <w:jc w:val="right"/>
    </w:pPr>
  </w:style>
  <w:style w:type="paragraph" w:customStyle="1" w:styleId="HeadingSum">
    <w:name w:val="Heading_Sum"/>
    <w:basedOn w:val="Headingb"/>
    <w:next w:val="Normal"/>
    <w:rsid w:val="001C61C5"/>
    <w:pPr>
      <w:spacing w:before="240"/>
    </w:pPr>
    <w:rPr>
      <w:sz w:val="22"/>
      <w:lang w:val="es-ES_tradnl"/>
    </w:rPr>
  </w:style>
  <w:style w:type="paragraph" w:customStyle="1" w:styleId="AppendixNoTitle">
    <w:name w:val="Appendix_NoTitle"/>
    <w:basedOn w:val="AnnexNoTitle"/>
    <w:next w:val="Normal"/>
    <w:rsid w:val="001C61C5"/>
  </w:style>
  <w:style w:type="paragraph" w:customStyle="1" w:styleId="Tablefin">
    <w:name w:val="Table_fin"/>
    <w:basedOn w:val="Normal"/>
    <w:next w:val="Normal"/>
    <w:rsid w:val="001C61C5"/>
    <w:pPr>
      <w:spacing w:before="0"/>
    </w:pPr>
    <w:rPr>
      <w:sz w:val="20"/>
      <w:lang w:val="en-GB"/>
    </w:rPr>
  </w:style>
  <w:style w:type="paragraph" w:customStyle="1" w:styleId="Tablehead">
    <w:name w:val="Table_head"/>
    <w:basedOn w:val="Normal"/>
    <w:next w:val="Normal"/>
    <w:rsid w:val="001C61C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C61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C61C5"/>
    <w:pPr>
      <w:keepNext/>
      <w:spacing w:before="360" w:after="120"/>
      <w:jc w:val="center"/>
    </w:pPr>
  </w:style>
  <w:style w:type="paragraph" w:customStyle="1" w:styleId="Tabletext">
    <w:name w:val="Table_text"/>
    <w:basedOn w:val="Normal"/>
    <w:rsid w:val="001C61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C61C5"/>
    <w:pPr>
      <w:tabs>
        <w:tab w:val="clear" w:pos="1191"/>
        <w:tab w:val="clear" w:pos="1588"/>
        <w:tab w:val="clear" w:pos="1985"/>
        <w:tab w:val="center" w:pos="4820"/>
        <w:tab w:val="right" w:pos="9639"/>
      </w:tabs>
    </w:pPr>
  </w:style>
  <w:style w:type="paragraph" w:customStyle="1" w:styleId="Equationlegend">
    <w:name w:val="Equation_legend"/>
    <w:basedOn w:val="NormalIndent"/>
    <w:rsid w:val="001C61C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C61C5"/>
    <w:pPr>
      <w:ind w:left="794"/>
    </w:pPr>
  </w:style>
  <w:style w:type="paragraph" w:customStyle="1" w:styleId="Figurelegend">
    <w:name w:val="Figure_legend"/>
    <w:basedOn w:val="Normal"/>
    <w:rsid w:val="001C61C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C61C5"/>
    <w:pPr>
      <w:keepNext/>
      <w:keepLines/>
      <w:spacing w:before="480" w:after="80"/>
      <w:jc w:val="center"/>
    </w:pPr>
    <w:rPr>
      <w:caps/>
      <w:sz w:val="18"/>
    </w:rPr>
  </w:style>
  <w:style w:type="paragraph" w:customStyle="1" w:styleId="Figuretitle">
    <w:name w:val="Figure_title"/>
    <w:basedOn w:val="Normal"/>
    <w:next w:val="Figure"/>
    <w:rsid w:val="001C61C5"/>
    <w:pPr>
      <w:keepNext/>
      <w:spacing w:before="0" w:after="120"/>
      <w:jc w:val="center"/>
    </w:pPr>
    <w:rPr>
      <w:rFonts w:ascii="Times New Roman Bold" w:hAnsi="Times New Roman Bold"/>
      <w:b/>
      <w:sz w:val="18"/>
    </w:rPr>
  </w:style>
  <w:style w:type="paragraph" w:customStyle="1" w:styleId="Figure">
    <w:name w:val="Figure"/>
    <w:basedOn w:val="FigureNo"/>
    <w:next w:val="Normal"/>
    <w:rsid w:val="001C61C5"/>
    <w:pPr>
      <w:keepNext w:val="0"/>
      <w:spacing w:before="0" w:after="240"/>
    </w:pPr>
  </w:style>
  <w:style w:type="paragraph" w:customStyle="1" w:styleId="tocpart">
    <w:name w:val="tocpart"/>
    <w:basedOn w:val="Normal"/>
    <w:rsid w:val="001C61C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C61C5"/>
    <w:pPr>
      <w:keepNext/>
      <w:keepLines/>
      <w:spacing w:before="480"/>
      <w:jc w:val="center"/>
    </w:pPr>
    <w:rPr>
      <w:sz w:val="28"/>
    </w:rPr>
  </w:style>
  <w:style w:type="paragraph" w:customStyle="1" w:styleId="Arttitle">
    <w:name w:val="Art_title"/>
    <w:basedOn w:val="Normal"/>
    <w:next w:val="Normalaftertitle"/>
    <w:rsid w:val="001C61C5"/>
    <w:pPr>
      <w:keepNext/>
      <w:keepLines/>
      <w:spacing w:before="240"/>
      <w:jc w:val="center"/>
    </w:pPr>
    <w:rPr>
      <w:b/>
      <w:sz w:val="28"/>
    </w:rPr>
  </w:style>
  <w:style w:type="paragraph" w:customStyle="1" w:styleId="Blanc">
    <w:name w:val="Blanc"/>
    <w:basedOn w:val="Normal"/>
    <w:next w:val="Tabletext"/>
    <w:rsid w:val="001C61C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C61C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C61C5"/>
    <w:pPr>
      <w:keepNext/>
      <w:keepLines/>
      <w:spacing w:before="160"/>
      <w:ind w:left="794"/>
    </w:pPr>
    <w:rPr>
      <w:i/>
    </w:rPr>
  </w:style>
  <w:style w:type="paragraph" w:customStyle="1" w:styleId="ChapNo">
    <w:name w:val="Chap_No"/>
    <w:basedOn w:val="ArtNo"/>
    <w:next w:val="Chaptitle"/>
    <w:rsid w:val="001C61C5"/>
    <w:rPr>
      <w:b/>
    </w:rPr>
  </w:style>
  <w:style w:type="paragraph" w:customStyle="1" w:styleId="Chaptitle">
    <w:name w:val="Chap_title"/>
    <w:basedOn w:val="Arttitle"/>
    <w:next w:val="Normalaftertitle"/>
    <w:rsid w:val="001C61C5"/>
  </w:style>
  <w:style w:type="character" w:styleId="FootnoteReference">
    <w:name w:val="footnote reference"/>
    <w:basedOn w:val="DefaultParagraphFont"/>
    <w:rsid w:val="001C61C5"/>
    <w:rPr>
      <w:position w:val="6"/>
      <w:sz w:val="18"/>
    </w:rPr>
  </w:style>
  <w:style w:type="paragraph" w:styleId="FootnoteText">
    <w:name w:val="footnote text"/>
    <w:basedOn w:val="Normal"/>
    <w:link w:val="FootnoteTextChar"/>
    <w:rsid w:val="001C61C5"/>
    <w:pPr>
      <w:keepLines/>
      <w:tabs>
        <w:tab w:val="left" w:pos="255"/>
      </w:tabs>
      <w:ind w:left="255" w:hanging="255"/>
    </w:pPr>
    <w:rPr>
      <w:sz w:val="22"/>
    </w:rPr>
  </w:style>
  <w:style w:type="character" w:customStyle="1" w:styleId="FootnoteTextChar">
    <w:name w:val="Footnote Text Char"/>
    <w:basedOn w:val="DefaultParagraphFont"/>
    <w:link w:val="FootnoteText"/>
    <w:rsid w:val="00FF6FA4"/>
    <w:rPr>
      <w:sz w:val="22"/>
      <w:lang w:val="fr-FR" w:eastAsia="en-US"/>
    </w:rPr>
  </w:style>
  <w:style w:type="paragraph" w:styleId="Index1">
    <w:name w:val="index 1"/>
    <w:basedOn w:val="Normal"/>
    <w:next w:val="Normal"/>
    <w:rsid w:val="001C61C5"/>
  </w:style>
  <w:style w:type="paragraph" w:styleId="Index2">
    <w:name w:val="index 2"/>
    <w:basedOn w:val="Normal"/>
    <w:next w:val="Normal"/>
    <w:rsid w:val="001C61C5"/>
    <w:pPr>
      <w:ind w:left="283"/>
    </w:pPr>
  </w:style>
  <w:style w:type="paragraph" w:styleId="Index3">
    <w:name w:val="index 3"/>
    <w:basedOn w:val="Normal"/>
    <w:next w:val="Normal"/>
    <w:rsid w:val="001C61C5"/>
    <w:pPr>
      <w:ind w:left="566"/>
    </w:pPr>
  </w:style>
  <w:style w:type="paragraph" w:styleId="IndexHeading">
    <w:name w:val="index heading"/>
    <w:basedOn w:val="Normal"/>
    <w:next w:val="Index1"/>
    <w:rsid w:val="001C61C5"/>
  </w:style>
  <w:style w:type="paragraph" w:customStyle="1" w:styleId="Line">
    <w:name w:val="Line"/>
    <w:basedOn w:val="Normal"/>
    <w:next w:val="Normal"/>
    <w:rsid w:val="001C61C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C61C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C61C5"/>
  </w:style>
  <w:style w:type="paragraph" w:customStyle="1" w:styleId="Partref">
    <w:name w:val="Part_ref"/>
    <w:basedOn w:val="Normal"/>
    <w:next w:val="Normal"/>
    <w:rsid w:val="001C61C5"/>
    <w:pPr>
      <w:keepNext/>
      <w:keepLines/>
      <w:spacing w:after="280"/>
      <w:jc w:val="center"/>
    </w:pPr>
  </w:style>
  <w:style w:type="paragraph" w:customStyle="1" w:styleId="Parttitle">
    <w:name w:val="Part_title"/>
    <w:basedOn w:val="Normal"/>
    <w:next w:val="Normalaftertitle"/>
    <w:rsid w:val="001C61C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C61C5"/>
  </w:style>
  <w:style w:type="paragraph" w:customStyle="1" w:styleId="QuestionNo">
    <w:name w:val="Question_No"/>
    <w:basedOn w:val="RecNo"/>
    <w:next w:val="Normal"/>
    <w:rsid w:val="001C61C5"/>
  </w:style>
  <w:style w:type="paragraph" w:customStyle="1" w:styleId="Questionref">
    <w:name w:val="Question_ref"/>
    <w:basedOn w:val="Recref"/>
    <w:next w:val="Questiondate"/>
    <w:rsid w:val="001C61C5"/>
  </w:style>
  <w:style w:type="paragraph" w:customStyle="1" w:styleId="Questiontitle">
    <w:name w:val="Question_title"/>
    <w:basedOn w:val="Normal"/>
    <w:next w:val="Questionref"/>
    <w:rsid w:val="001C61C5"/>
  </w:style>
  <w:style w:type="paragraph" w:customStyle="1" w:styleId="Reftext">
    <w:name w:val="Ref_text"/>
    <w:basedOn w:val="Normal"/>
    <w:rsid w:val="001C61C5"/>
    <w:pPr>
      <w:ind w:left="794" w:hanging="794"/>
    </w:pPr>
    <w:rPr>
      <w:sz w:val="22"/>
    </w:rPr>
  </w:style>
  <w:style w:type="paragraph" w:customStyle="1" w:styleId="Reftitle">
    <w:name w:val="Ref_title"/>
    <w:basedOn w:val="Normal"/>
    <w:next w:val="Reftext"/>
    <w:rsid w:val="001C61C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C61C5"/>
  </w:style>
  <w:style w:type="paragraph" w:customStyle="1" w:styleId="RepNo">
    <w:name w:val="Rep_No"/>
    <w:basedOn w:val="RecNo"/>
    <w:next w:val="Reptitle"/>
    <w:rsid w:val="001C61C5"/>
  </w:style>
  <w:style w:type="paragraph" w:customStyle="1" w:styleId="Reptitle">
    <w:name w:val="Rep_title"/>
    <w:basedOn w:val="Rectitle"/>
    <w:next w:val="Repref"/>
    <w:rsid w:val="001C61C5"/>
  </w:style>
  <w:style w:type="paragraph" w:customStyle="1" w:styleId="Repref">
    <w:name w:val="Rep_ref"/>
    <w:basedOn w:val="Recref"/>
    <w:next w:val="Repdate"/>
    <w:rsid w:val="001C61C5"/>
  </w:style>
  <w:style w:type="paragraph" w:customStyle="1" w:styleId="Resdate">
    <w:name w:val="Res_date"/>
    <w:basedOn w:val="Recdate"/>
    <w:next w:val="Normalaftertitle"/>
    <w:rsid w:val="001C61C5"/>
  </w:style>
  <w:style w:type="paragraph" w:customStyle="1" w:styleId="ResNo">
    <w:name w:val="Res_No"/>
    <w:basedOn w:val="RecNo"/>
    <w:next w:val="Restitle"/>
    <w:rsid w:val="001C61C5"/>
  </w:style>
  <w:style w:type="paragraph" w:customStyle="1" w:styleId="Restitle">
    <w:name w:val="Res_title"/>
    <w:basedOn w:val="Normal"/>
    <w:next w:val="Resref"/>
    <w:rsid w:val="001C61C5"/>
    <w:pPr>
      <w:spacing w:before="240"/>
      <w:jc w:val="center"/>
    </w:pPr>
    <w:rPr>
      <w:b/>
      <w:sz w:val="28"/>
    </w:rPr>
  </w:style>
  <w:style w:type="paragraph" w:customStyle="1" w:styleId="Resref">
    <w:name w:val="Res_ref"/>
    <w:basedOn w:val="Recref"/>
    <w:next w:val="Resdate"/>
    <w:rsid w:val="001C61C5"/>
  </w:style>
  <w:style w:type="paragraph" w:customStyle="1" w:styleId="SectionNo">
    <w:name w:val="Section_No"/>
    <w:basedOn w:val="Normal"/>
    <w:next w:val="Normal"/>
    <w:rsid w:val="001C61C5"/>
  </w:style>
  <w:style w:type="paragraph" w:customStyle="1" w:styleId="Sectiontitle">
    <w:name w:val="Section_title"/>
    <w:basedOn w:val="Normal"/>
    <w:next w:val="Normalaftertitle"/>
    <w:rsid w:val="001C61C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C61C5"/>
    <w:pPr>
      <w:tabs>
        <w:tab w:val="clear" w:pos="794"/>
        <w:tab w:val="clear" w:pos="1191"/>
        <w:tab w:val="clear" w:pos="1588"/>
        <w:tab w:val="clear" w:pos="1985"/>
        <w:tab w:val="right" w:pos="9611"/>
      </w:tabs>
    </w:pPr>
    <w:rPr>
      <w:i/>
    </w:rPr>
  </w:style>
  <w:style w:type="paragraph" w:styleId="TOC1">
    <w:name w:val="toc 1"/>
    <w:basedOn w:val="Normal"/>
    <w:rsid w:val="001C61C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C61C5"/>
    <w:pPr>
      <w:tabs>
        <w:tab w:val="clear" w:pos="567"/>
        <w:tab w:val="left" w:pos="1276"/>
      </w:tabs>
      <w:spacing w:before="160"/>
      <w:ind w:left="1276" w:hanging="709"/>
    </w:pPr>
  </w:style>
  <w:style w:type="paragraph" w:styleId="TOC3">
    <w:name w:val="toc 3"/>
    <w:basedOn w:val="TOC2"/>
    <w:rsid w:val="001C61C5"/>
    <w:pPr>
      <w:tabs>
        <w:tab w:val="clear" w:pos="1276"/>
        <w:tab w:val="left" w:pos="2155"/>
      </w:tabs>
      <w:ind w:left="2155" w:hanging="879"/>
    </w:pPr>
  </w:style>
  <w:style w:type="paragraph" w:styleId="TOC4">
    <w:name w:val="toc 4"/>
    <w:basedOn w:val="TOC3"/>
    <w:rsid w:val="001C61C5"/>
    <w:pPr>
      <w:tabs>
        <w:tab w:val="left" w:pos="3261"/>
      </w:tabs>
      <w:spacing w:before="80"/>
      <w:ind w:left="3261" w:hanging="993"/>
    </w:pPr>
  </w:style>
  <w:style w:type="paragraph" w:styleId="TOC5">
    <w:name w:val="toc 5"/>
    <w:basedOn w:val="TOC4"/>
    <w:rsid w:val="001C61C5"/>
  </w:style>
  <w:style w:type="paragraph" w:styleId="TOC6">
    <w:name w:val="toc 6"/>
    <w:basedOn w:val="TOC4"/>
    <w:rsid w:val="001C61C5"/>
  </w:style>
  <w:style w:type="paragraph" w:styleId="TOC7">
    <w:name w:val="toc 7"/>
    <w:basedOn w:val="TOC4"/>
    <w:rsid w:val="001C61C5"/>
  </w:style>
  <w:style w:type="paragraph" w:styleId="TOC8">
    <w:name w:val="toc 8"/>
    <w:basedOn w:val="TOC4"/>
    <w:rsid w:val="001C61C5"/>
  </w:style>
  <w:style w:type="paragraph" w:customStyle="1" w:styleId="Annexref">
    <w:name w:val="Annex_ref"/>
    <w:basedOn w:val="Normal"/>
    <w:next w:val="Normalaftertitle"/>
    <w:rsid w:val="001C61C5"/>
    <w:pPr>
      <w:keepNext/>
      <w:keepLines/>
      <w:spacing w:after="280"/>
      <w:jc w:val="center"/>
    </w:pPr>
  </w:style>
  <w:style w:type="paragraph" w:customStyle="1" w:styleId="Appendixref">
    <w:name w:val="Appendix_ref"/>
    <w:basedOn w:val="Annexref"/>
    <w:next w:val="Normalaftertitle"/>
    <w:rsid w:val="001C61C5"/>
  </w:style>
  <w:style w:type="paragraph" w:customStyle="1" w:styleId="Tabletitle">
    <w:name w:val="Table_title"/>
    <w:basedOn w:val="Normal"/>
    <w:next w:val="Tablehead"/>
    <w:rsid w:val="001C61C5"/>
    <w:pPr>
      <w:keepNext/>
      <w:spacing w:before="0" w:after="120"/>
      <w:jc w:val="center"/>
    </w:pPr>
    <w:rPr>
      <w:b/>
    </w:rPr>
  </w:style>
  <w:style w:type="paragraph" w:customStyle="1" w:styleId="Summary">
    <w:name w:val="Summary"/>
    <w:basedOn w:val="Normal"/>
    <w:next w:val="Normalaftertitle"/>
    <w:rsid w:val="001C61C5"/>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1C61C5"/>
    <w:pPr>
      <w:ind w:left="-85" w:firstLine="0"/>
    </w:pPr>
    <w:rPr>
      <w:lang w:val="en-US"/>
    </w:rPr>
  </w:style>
  <w:style w:type="paragraph" w:customStyle="1" w:styleId="TableNotitle">
    <w:name w:val="Table_No &amp; title"/>
    <w:basedOn w:val="Normal"/>
    <w:next w:val="Tablehead"/>
    <w:rsid w:val="00FF6FA4"/>
    <w:pPr>
      <w:keepNext/>
      <w:keepLines/>
      <w:spacing w:before="360" w:after="120"/>
      <w:jc w:val="center"/>
    </w:pPr>
    <w:rPr>
      <w:b/>
    </w:rPr>
  </w:style>
  <w:style w:type="paragraph" w:customStyle="1" w:styleId="headfoot">
    <w:name w:val="head_foot"/>
    <w:basedOn w:val="Normal"/>
    <w:next w:val="Normal"/>
    <w:rsid w:val="00FF6FA4"/>
    <w:pPr>
      <w:tabs>
        <w:tab w:val="clear" w:pos="794"/>
        <w:tab w:val="clear" w:pos="1191"/>
        <w:tab w:val="clear" w:pos="1588"/>
        <w:tab w:val="clear" w:pos="1985"/>
      </w:tabs>
      <w:spacing w:before="0"/>
      <w:jc w:val="left"/>
    </w:pPr>
    <w:rPr>
      <w:b/>
      <w:color w:val="FFFFFF"/>
      <w:sz w:val="8"/>
    </w:rPr>
  </w:style>
  <w:style w:type="paragraph" w:styleId="Header">
    <w:name w:val="header"/>
    <w:basedOn w:val="Normal"/>
    <w:link w:val="HeaderChar"/>
    <w:rsid w:val="001C61C5"/>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1C61C5"/>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image" Target="media/image2.w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8.xml"/><Relationship Id="rId10" Type="http://schemas.openxmlformats.org/officeDocument/2006/relationships/hyperlink" Target="http://www.itu.int/ITU-R/go/patents/fr" TargetMode="Externa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oby\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83</TotalTime>
  <Pages>13</Pages>
  <Words>3779</Words>
  <Characters>20499</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24230</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RS.1263-1 - Critères de brouillage applicables au service des auxiliaires de la météorologie dans les bandes 400,15-406 MHz et 1 668,4-1 700 MHz</dc:title>
  <dc:subject/>
  <dc:creator>Bureau des radiocommunications de l'UIT (BR)</dc:creator>
  <cp:keywords>RS,1263-1</cp:keywords>
  <dc:description>Soby, 04.04.2011, MS-106344</dc:description>
  <cp:lastModifiedBy>soby</cp:lastModifiedBy>
  <cp:revision>12</cp:revision>
  <cp:lastPrinted>2009-07-01T12:03:00Z</cp:lastPrinted>
  <dcterms:created xsi:type="dcterms:W3CDTF">2011-03-11T14:51:00Z</dcterms:created>
  <dcterms:modified xsi:type="dcterms:W3CDTF">2011-04-05T06:44:00Z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Soby</vt:lpwstr>
  </property>
  <property fmtid="{D5CDD505-2E9C-101B-9397-08002B2CF9AE}" pid="11" name="Date completed">
    <vt:lpwstr>lundi, 4. avril 2011</vt:lpwstr>
  </property>
</Properties>
</file>