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716E" w14:textId="77777777" w:rsidR="003B14C2" w:rsidRDefault="003B14C2" w:rsidP="003B14C2"/>
    <w:p w14:paraId="69923CA9" w14:textId="77777777" w:rsidR="003B14C2" w:rsidRDefault="003B14C2" w:rsidP="003B14C2">
      <w:pPr>
        <w:tabs>
          <w:tab w:val="clear" w:pos="794"/>
          <w:tab w:val="clear" w:pos="1191"/>
          <w:tab w:val="clear" w:pos="1588"/>
          <w:tab w:val="clear" w:pos="1985"/>
        </w:tabs>
      </w:pPr>
    </w:p>
    <w:p w14:paraId="2A2E05F9" w14:textId="2783B65D" w:rsidR="003B14C2" w:rsidRPr="00700609" w:rsidRDefault="003B14C2" w:rsidP="003B14C2">
      <w:pPr>
        <w:pStyle w:val="CoverNumber"/>
        <w:rPr>
          <w:lang w:val="en-GB"/>
        </w:rPr>
      </w:pPr>
      <w:r w:rsidRPr="00700609">
        <w:rPr>
          <w:lang w:val="en-GB"/>
        </w:rPr>
        <w:t>Recommendation ITU-R RS.</w:t>
      </w:r>
      <w:r w:rsidR="00700609" w:rsidRPr="00700609">
        <w:rPr>
          <w:lang w:val="en-GB"/>
        </w:rPr>
        <w:t>1</w:t>
      </w:r>
      <w:r w:rsidR="00700609">
        <w:rPr>
          <w:lang w:val="en-GB"/>
        </w:rPr>
        <w:t>263-3</w:t>
      </w:r>
    </w:p>
    <w:p w14:paraId="42A7EE7C" w14:textId="680080A1" w:rsidR="003B14C2" w:rsidRPr="00700609" w:rsidRDefault="003B14C2" w:rsidP="003B14C2">
      <w:pPr>
        <w:pStyle w:val="CoverDate"/>
        <w:rPr>
          <w:lang w:val="en-GB"/>
        </w:rPr>
      </w:pPr>
      <w:r w:rsidRPr="00700609">
        <w:rPr>
          <w:lang w:val="en-GB"/>
        </w:rPr>
        <w:t>(12/2023)</w:t>
      </w:r>
    </w:p>
    <w:p w14:paraId="3F74DA65" w14:textId="77777777" w:rsidR="003B14C2" w:rsidRPr="004A6FEB" w:rsidRDefault="003B14C2" w:rsidP="003B14C2">
      <w:pPr>
        <w:pStyle w:val="CoverSeries"/>
      </w:pPr>
      <w:r>
        <w:t>RS</w:t>
      </w:r>
      <w:r w:rsidRPr="00A86DD2">
        <w:t xml:space="preserve"> </w:t>
      </w:r>
      <w:r w:rsidRPr="004A6FEB">
        <w:t>Series:</w:t>
      </w:r>
      <w:r w:rsidRPr="00A86DD2">
        <w:t xml:space="preserve"> </w:t>
      </w:r>
      <w:r w:rsidRPr="003B14C2">
        <w:rPr>
          <w:bCs w:val="0"/>
          <w:lang w:val="en-GB"/>
        </w:rPr>
        <w:t>Remote sensing systems</w:t>
      </w:r>
    </w:p>
    <w:p w14:paraId="00EB3C3F" w14:textId="37CC9733" w:rsidR="003B14C2" w:rsidRPr="004A6FEB" w:rsidRDefault="00700609" w:rsidP="003B14C2">
      <w:pPr>
        <w:pStyle w:val="CoverTitle"/>
      </w:pPr>
      <w:r w:rsidRPr="00700609">
        <w:rPr>
          <w:lang w:val="en-GB"/>
        </w:rPr>
        <w:t>Interference criteria for meteorological aids operated in the 400.15-406 MHz</w:t>
      </w:r>
      <w:r>
        <w:rPr>
          <w:lang w:val="en-GB"/>
        </w:rPr>
        <w:t xml:space="preserve"> </w:t>
      </w:r>
      <w:r w:rsidRPr="00700609">
        <w:rPr>
          <w:lang w:val="en-GB"/>
        </w:rPr>
        <w:t>and 1 668.4-1 700 MHz bands</w:t>
      </w:r>
    </w:p>
    <w:p w14:paraId="5B72F169" w14:textId="77777777" w:rsidR="003B14C2" w:rsidRPr="005373E0" w:rsidRDefault="003B14C2" w:rsidP="003B14C2">
      <w:pPr>
        <w:rPr>
          <w:lang w:val="en-US"/>
        </w:rPr>
      </w:pPr>
    </w:p>
    <w:p w14:paraId="63A42FA5" w14:textId="77777777" w:rsidR="003B14C2" w:rsidRPr="005373E0" w:rsidRDefault="003B14C2" w:rsidP="003B14C2"/>
    <w:p w14:paraId="2CC4C4D4" w14:textId="77777777" w:rsidR="003B14C2" w:rsidRPr="005373E0" w:rsidRDefault="003B14C2" w:rsidP="003B14C2">
      <w:pPr>
        <w:sectPr w:rsidR="003B14C2" w:rsidRPr="005373E0" w:rsidSect="0027411A">
          <w:headerReference w:type="even" r:id="rId6"/>
          <w:headerReference w:type="default" r:id="rId7"/>
          <w:footerReference w:type="even" r:id="rId8"/>
          <w:footerReference w:type="default" r:id="rId9"/>
          <w:headerReference w:type="first" r:id="rId10"/>
          <w:footerReference w:type="first" r:id="rId11"/>
          <w:pgSz w:w="11907" w:h="16840" w:code="9"/>
          <w:pgMar w:top="1089" w:right="1089" w:bottom="284" w:left="1089" w:header="737" w:footer="284" w:gutter="0"/>
          <w:pgNumType w:start="1"/>
          <w:cols w:space="720"/>
          <w:docGrid w:linePitch="326"/>
        </w:sectPr>
      </w:pPr>
    </w:p>
    <w:p w14:paraId="13BFC479" w14:textId="77777777" w:rsidR="003B14C2" w:rsidRPr="00586EF8" w:rsidRDefault="003B14C2" w:rsidP="003B14C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3EE10610" w14:textId="77777777" w:rsidR="003B14C2" w:rsidRDefault="003B14C2" w:rsidP="003B14C2">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59B25ED1" w14:textId="77777777" w:rsidR="003B14C2" w:rsidRDefault="003B14C2" w:rsidP="003B14C2">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2AEC4AF3" w14:textId="77777777" w:rsidR="003B14C2" w:rsidRPr="00B714F3" w:rsidRDefault="003B14C2" w:rsidP="003B14C2">
      <w:pPr>
        <w:pStyle w:val="Heading1"/>
        <w:spacing w:before="680"/>
        <w:jc w:val="center"/>
        <w:rPr>
          <w:szCs w:val="24"/>
          <w:lang w:val="en-US"/>
        </w:rPr>
      </w:pPr>
      <w:r w:rsidRPr="00B714F3">
        <w:rPr>
          <w:szCs w:val="24"/>
          <w:lang w:val="en-US"/>
        </w:rPr>
        <w:t>Policy on Intellectual Property Right (IPR)</w:t>
      </w:r>
    </w:p>
    <w:p w14:paraId="460409A5" w14:textId="77777777" w:rsidR="003B14C2" w:rsidRPr="00B714F3" w:rsidRDefault="003B14C2" w:rsidP="003B14C2">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12" w:history="1">
        <w:r w:rsidRPr="00B714F3">
          <w:rPr>
            <w:rStyle w:val="Hyperlink"/>
            <w:sz w:val="20"/>
            <w:lang w:val="en-US"/>
          </w:rPr>
          <w:t>http://www.itu.int/ITU</w:t>
        </w:r>
        <w:r>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23F2CFB7" w14:textId="77777777" w:rsidR="003B14C2" w:rsidRDefault="003B14C2" w:rsidP="003B14C2">
      <w:pPr>
        <w:jc w:val="center"/>
        <w:rPr>
          <w:sz w:val="22"/>
          <w:lang w:val="en-US"/>
        </w:rPr>
      </w:pPr>
    </w:p>
    <w:p w14:paraId="351771FA" w14:textId="77777777" w:rsidR="003B14C2" w:rsidRDefault="003B14C2" w:rsidP="003B14C2">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3B14C2" w:rsidRPr="00576D47" w14:paraId="49C9F655" w14:textId="77777777" w:rsidTr="00681BA8">
        <w:tc>
          <w:tcPr>
            <w:tcW w:w="9360" w:type="dxa"/>
            <w:gridSpan w:val="2"/>
          </w:tcPr>
          <w:p w14:paraId="5F7C5D22" w14:textId="77777777" w:rsidR="003B14C2" w:rsidRPr="00036EE3" w:rsidRDefault="003B14C2" w:rsidP="00681BA8">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410DCEF9" w14:textId="77777777" w:rsidR="003B14C2" w:rsidRPr="00036EE3"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3" w:history="1">
              <w:r w:rsidRPr="00590EE8">
                <w:rPr>
                  <w:rStyle w:val="Hyperlink"/>
                  <w:b w:val="0"/>
                  <w:sz w:val="18"/>
                  <w:szCs w:val="18"/>
                  <w:lang w:val="en-US"/>
                </w:rPr>
                <w:t>https://www.itu.int/publ/R-REC/en</w:t>
              </w:r>
            </w:hyperlink>
            <w:r w:rsidRPr="00CE0A43">
              <w:rPr>
                <w:b w:val="0"/>
                <w:sz w:val="18"/>
                <w:szCs w:val="18"/>
                <w:lang w:val="en-US"/>
              </w:rPr>
              <w:t>)</w:t>
            </w:r>
          </w:p>
        </w:tc>
      </w:tr>
      <w:tr w:rsidR="003B14C2" w:rsidRPr="00036EE3" w14:paraId="2F58F21E" w14:textId="77777777" w:rsidTr="00681BA8">
        <w:tc>
          <w:tcPr>
            <w:tcW w:w="1140" w:type="dxa"/>
            <w:tcBorders>
              <w:bottom w:val="nil"/>
            </w:tcBorders>
            <w:vAlign w:val="bottom"/>
          </w:tcPr>
          <w:p w14:paraId="63FBE67B" w14:textId="77777777" w:rsidR="003B14C2" w:rsidRPr="00036EE3" w:rsidRDefault="003B14C2" w:rsidP="00681BA8">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51C5E116" w14:textId="77777777" w:rsidR="003B14C2" w:rsidRPr="00036EE3"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3B14C2" w:rsidRPr="00F92A40" w14:paraId="467EFB20" w14:textId="77777777" w:rsidTr="00681BA8">
        <w:tc>
          <w:tcPr>
            <w:tcW w:w="1140" w:type="dxa"/>
            <w:tcBorders>
              <w:top w:val="nil"/>
              <w:bottom w:val="nil"/>
            </w:tcBorders>
            <w:shd w:val="clear" w:color="auto" w:fill="auto"/>
          </w:tcPr>
          <w:p w14:paraId="024D3CAC" w14:textId="77777777" w:rsidR="003B14C2" w:rsidRPr="00F92A40" w:rsidRDefault="003B14C2" w:rsidP="00681BA8">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681D48CE" w14:textId="77777777" w:rsidR="003B14C2" w:rsidRPr="00F92A40"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3B14C2" w:rsidRPr="00576D47" w14:paraId="6B715AFD" w14:textId="77777777" w:rsidTr="00681BA8">
        <w:tc>
          <w:tcPr>
            <w:tcW w:w="1140" w:type="dxa"/>
            <w:tcBorders>
              <w:top w:val="nil"/>
            </w:tcBorders>
            <w:shd w:val="clear" w:color="auto" w:fill="FFFFFF" w:themeFill="background1"/>
          </w:tcPr>
          <w:p w14:paraId="1074E7E0" w14:textId="77777777" w:rsidR="003B14C2" w:rsidRPr="00B51DD9" w:rsidRDefault="003B14C2" w:rsidP="00681BA8">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6FF02968" w14:textId="77777777" w:rsidR="003B14C2" w:rsidRPr="00B51DD9"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3B14C2" w:rsidRPr="00036EE3" w14:paraId="44E69BE3" w14:textId="77777777" w:rsidTr="00681BA8">
        <w:tc>
          <w:tcPr>
            <w:tcW w:w="1140" w:type="dxa"/>
          </w:tcPr>
          <w:p w14:paraId="76BC7E70" w14:textId="77777777" w:rsidR="003B14C2" w:rsidRPr="00036EE3" w:rsidRDefault="003B14C2" w:rsidP="00681BA8">
            <w:pPr>
              <w:spacing w:before="30" w:after="30"/>
              <w:ind w:left="57"/>
              <w:jc w:val="left"/>
              <w:rPr>
                <w:b/>
                <w:bCs/>
                <w:sz w:val="20"/>
                <w:lang w:val="en-US"/>
              </w:rPr>
            </w:pPr>
            <w:r w:rsidRPr="00036EE3">
              <w:rPr>
                <w:b/>
                <w:bCs/>
                <w:sz w:val="20"/>
                <w:lang w:val="en-US"/>
              </w:rPr>
              <w:t>BS</w:t>
            </w:r>
          </w:p>
        </w:tc>
        <w:tc>
          <w:tcPr>
            <w:tcW w:w="8220" w:type="dxa"/>
          </w:tcPr>
          <w:p w14:paraId="384B897F" w14:textId="77777777" w:rsidR="003B14C2" w:rsidRPr="00036EE3"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3B14C2" w:rsidRPr="00ED2695" w14:paraId="51117079" w14:textId="77777777" w:rsidTr="00681BA8">
        <w:tc>
          <w:tcPr>
            <w:tcW w:w="1140" w:type="dxa"/>
            <w:shd w:val="clear" w:color="auto" w:fill="auto"/>
          </w:tcPr>
          <w:p w14:paraId="5DF729A2" w14:textId="77777777" w:rsidR="003B14C2" w:rsidRPr="00ED2695" w:rsidRDefault="003B14C2" w:rsidP="00681BA8">
            <w:pPr>
              <w:spacing w:before="30" w:after="30"/>
              <w:ind w:left="57"/>
              <w:jc w:val="left"/>
              <w:rPr>
                <w:b/>
                <w:bCs/>
                <w:sz w:val="20"/>
                <w:lang w:val="en-US"/>
              </w:rPr>
            </w:pPr>
            <w:r w:rsidRPr="00ED2695">
              <w:rPr>
                <w:b/>
                <w:bCs/>
                <w:sz w:val="20"/>
                <w:lang w:val="en-US"/>
              </w:rPr>
              <w:t>BT</w:t>
            </w:r>
          </w:p>
        </w:tc>
        <w:tc>
          <w:tcPr>
            <w:tcW w:w="8220" w:type="dxa"/>
            <w:shd w:val="clear" w:color="auto" w:fill="auto"/>
          </w:tcPr>
          <w:p w14:paraId="6E050158" w14:textId="77777777" w:rsidR="003B14C2" w:rsidRPr="00ED2695"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3B14C2" w:rsidRPr="00036EE3" w14:paraId="1DE75FCD" w14:textId="77777777" w:rsidTr="00681BA8">
        <w:tc>
          <w:tcPr>
            <w:tcW w:w="1140" w:type="dxa"/>
            <w:shd w:val="clear" w:color="auto" w:fill="auto"/>
          </w:tcPr>
          <w:p w14:paraId="2514B431" w14:textId="77777777" w:rsidR="003B14C2" w:rsidRPr="00036EE3" w:rsidRDefault="003B14C2" w:rsidP="00681BA8">
            <w:pPr>
              <w:spacing w:before="30" w:after="30"/>
              <w:ind w:left="57"/>
              <w:jc w:val="left"/>
              <w:rPr>
                <w:b/>
                <w:bCs/>
                <w:sz w:val="20"/>
                <w:lang w:val="fr-CH"/>
              </w:rPr>
            </w:pPr>
            <w:r w:rsidRPr="00036EE3">
              <w:rPr>
                <w:b/>
                <w:bCs/>
                <w:sz w:val="20"/>
                <w:lang w:val="fr-CH"/>
              </w:rPr>
              <w:t>F</w:t>
            </w:r>
          </w:p>
        </w:tc>
        <w:tc>
          <w:tcPr>
            <w:tcW w:w="8220" w:type="dxa"/>
            <w:shd w:val="clear" w:color="auto" w:fill="auto"/>
          </w:tcPr>
          <w:p w14:paraId="2651744C" w14:textId="77777777" w:rsidR="003B14C2" w:rsidRPr="00036EE3" w:rsidRDefault="003B14C2" w:rsidP="00681B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36EE3">
              <w:rPr>
                <w:sz w:val="20"/>
                <w:lang w:val="fr-CH"/>
              </w:rPr>
              <w:t>Fixed service</w:t>
            </w:r>
          </w:p>
        </w:tc>
      </w:tr>
      <w:tr w:rsidR="003B14C2" w:rsidRPr="00512A4E" w14:paraId="1D0E1663" w14:textId="77777777" w:rsidTr="00681BA8">
        <w:tc>
          <w:tcPr>
            <w:tcW w:w="1140" w:type="dxa"/>
            <w:shd w:val="clear" w:color="auto" w:fill="FFFFFF" w:themeFill="background1"/>
          </w:tcPr>
          <w:p w14:paraId="50530D4B" w14:textId="77777777" w:rsidR="003B14C2" w:rsidRPr="00512A4E" w:rsidRDefault="003B14C2" w:rsidP="00681BA8">
            <w:pPr>
              <w:spacing w:before="30" w:after="30"/>
              <w:ind w:left="57"/>
              <w:jc w:val="left"/>
              <w:rPr>
                <w:b/>
                <w:bCs/>
                <w:sz w:val="20"/>
                <w:lang w:val="en-US"/>
              </w:rPr>
            </w:pPr>
            <w:r w:rsidRPr="00512A4E">
              <w:rPr>
                <w:b/>
                <w:bCs/>
                <w:sz w:val="20"/>
                <w:lang w:val="en-US"/>
              </w:rPr>
              <w:t>M</w:t>
            </w:r>
          </w:p>
        </w:tc>
        <w:tc>
          <w:tcPr>
            <w:tcW w:w="8220" w:type="dxa"/>
            <w:shd w:val="clear" w:color="auto" w:fill="FFFFFF" w:themeFill="background1"/>
          </w:tcPr>
          <w:p w14:paraId="1D31DD93" w14:textId="77777777" w:rsidR="003B14C2" w:rsidRPr="00B0442F"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B0442F">
              <w:rPr>
                <w:b w:val="0"/>
                <w:bCs/>
                <w:sz w:val="20"/>
                <w:lang w:val="en-US"/>
              </w:rPr>
              <w:t>Mobile, radiodetermination, amateur and related satellite services</w:t>
            </w:r>
          </w:p>
        </w:tc>
      </w:tr>
      <w:tr w:rsidR="003B14C2" w:rsidRPr="00512A4E" w14:paraId="478F7914" w14:textId="77777777" w:rsidTr="00681BA8">
        <w:tc>
          <w:tcPr>
            <w:tcW w:w="1140" w:type="dxa"/>
            <w:shd w:val="clear" w:color="auto" w:fill="FFFFFF" w:themeFill="background1"/>
          </w:tcPr>
          <w:p w14:paraId="407DA078" w14:textId="77777777" w:rsidR="003B14C2" w:rsidRPr="00E830F9" w:rsidRDefault="003B14C2" w:rsidP="00681BA8">
            <w:pPr>
              <w:spacing w:before="30" w:after="30"/>
              <w:ind w:left="57"/>
              <w:jc w:val="left"/>
              <w:rPr>
                <w:b/>
                <w:bCs/>
                <w:sz w:val="20"/>
                <w:lang w:val="en-US"/>
              </w:rPr>
            </w:pPr>
            <w:r w:rsidRPr="00E830F9">
              <w:rPr>
                <w:b/>
                <w:bCs/>
                <w:sz w:val="20"/>
                <w:lang w:val="en-US"/>
              </w:rPr>
              <w:t>P</w:t>
            </w:r>
          </w:p>
        </w:tc>
        <w:tc>
          <w:tcPr>
            <w:tcW w:w="8220" w:type="dxa"/>
            <w:shd w:val="clear" w:color="auto" w:fill="FFFFFF" w:themeFill="background1"/>
          </w:tcPr>
          <w:p w14:paraId="2E81E087" w14:textId="77777777" w:rsidR="003B14C2" w:rsidRPr="00512A4E" w:rsidRDefault="003B14C2" w:rsidP="00681BA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rFonts w:hAnsi="Times New Roman Bold"/>
                <w:color w:val="000080"/>
                <w:sz w:val="20"/>
                <w:lang w:val="en-US"/>
              </w:rPr>
            </w:pPr>
            <w:r w:rsidRPr="00E830F9">
              <w:rPr>
                <w:sz w:val="20"/>
                <w:lang w:val="en-US"/>
              </w:rPr>
              <w:t>Radiowave propagation</w:t>
            </w:r>
          </w:p>
        </w:tc>
      </w:tr>
      <w:tr w:rsidR="003B14C2" w:rsidRPr="00036EE3" w14:paraId="76429F5E" w14:textId="77777777" w:rsidTr="00681BA8">
        <w:tc>
          <w:tcPr>
            <w:tcW w:w="1140" w:type="dxa"/>
            <w:shd w:val="clear" w:color="auto" w:fill="FFFFFF" w:themeFill="background1"/>
          </w:tcPr>
          <w:p w14:paraId="6624CC87" w14:textId="77777777" w:rsidR="003B14C2" w:rsidRPr="00441DCF" w:rsidRDefault="003B14C2" w:rsidP="00681BA8">
            <w:pPr>
              <w:spacing w:before="30" w:after="30"/>
              <w:ind w:left="57"/>
              <w:jc w:val="left"/>
              <w:rPr>
                <w:b/>
                <w:bCs/>
                <w:sz w:val="20"/>
                <w:lang w:val="en-US"/>
              </w:rPr>
            </w:pPr>
            <w:r w:rsidRPr="00441DCF">
              <w:rPr>
                <w:b/>
                <w:bCs/>
                <w:sz w:val="20"/>
                <w:lang w:val="en-US"/>
              </w:rPr>
              <w:t>RA</w:t>
            </w:r>
          </w:p>
        </w:tc>
        <w:tc>
          <w:tcPr>
            <w:tcW w:w="8220" w:type="dxa"/>
            <w:shd w:val="clear" w:color="auto" w:fill="FFFFFF" w:themeFill="background1"/>
          </w:tcPr>
          <w:p w14:paraId="2CC75633" w14:textId="77777777" w:rsidR="003B14C2" w:rsidRPr="00036EE3" w:rsidRDefault="003B14C2" w:rsidP="00681BA8">
            <w:pPr>
              <w:spacing w:before="30" w:after="30"/>
              <w:jc w:val="left"/>
              <w:rPr>
                <w:sz w:val="20"/>
                <w:lang w:val="en-US"/>
              </w:rPr>
            </w:pPr>
            <w:r w:rsidRPr="00441DCF">
              <w:rPr>
                <w:sz w:val="20"/>
                <w:lang w:val="en-US"/>
              </w:rPr>
              <w:t>Radio astronomy</w:t>
            </w:r>
          </w:p>
        </w:tc>
      </w:tr>
      <w:tr w:rsidR="003B14C2" w:rsidRPr="00036EE3" w14:paraId="75C3FAE8" w14:textId="77777777" w:rsidTr="00681BA8">
        <w:tc>
          <w:tcPr>
            <w:tcW w:w="1140" w:type="dxa"/>
            <w:shd w:val="clear" w:color="auto" w:fill="F2F2F2" w:themeFill="background1" w:themeFillShade="F2"/>
          </w:tcPr>
          <w:p w14:paraId="74E8C5DE" w14:textId="77777777" w:rsidR="003B14C2" w:rsidRPr="00441DCF" w:rsidRDefault="003B14C2" w:rsidP="00681BA8">
            <w:pPr>
              <w:spacing w:before="30" w:after="30"/>
              <w:ind w:left="57"/>
              <w:jc w:val="left"/>
              <w:rPr>
                <w:rFonts w:hAnsi="Times New Roman Bold"/>
                <w:b/>
                <w:color w:val="000080"/>
                <w:sz w:val="20"/>
                <w:lang w:val="en-US"/>
              </w:rPr>
            </w:pPr>
            <w:r w:rsidRPr="00441DCF">
              <w:rPr>
                <w:rFonts w:hAnsi="Times New Roman Bold"/>
                <w:b/>
                <w:color w:val="000080"/>
                <w:sz w:val="20"/>
                <w:lang w:val="en-US"/>
              </w:rPr>
              <w:t>RS</w:t>
            </w:r>
          </w:p>
        </w:tc>
        <w:tc>
          <w:tcPr>
            <w:tcW w:w="8220" w:type="dxa"/>
            <w:shd w:val="clear" w:color="auto" w:fill="F2F2F2" w:themeFill="background1" w:themeFillShade="F2"/>
          </w:tcPr>
          <w:p w14:paraId="20FBC512" w14:textId="77777777" w:rsidR="003B14C2" w:rsidRPr="00441DCF" w:rsidRDefault="003B14C2" w:rsidP="00681BA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41DCF">
              <w:rPr>
                <w:rFonts w:hAnsi="Times New Roman Bold"/>
                <w:color w:val="000080"/>
                <w:sz w:val="20"/>
                <w:lang w:val="en-US"/>
              </w:rPr>
              <w:t>Remote sensing systems</w:t>
            </w:r>
          </w:p>
        </w:tc>
      </w:tr>
      <w:tr w:rsidR="003B14C2" w:rsidRPr="00036EE3" w14:paraId="2FCE390A" w14:textId="77777777" w:rsidTr="00681BA8">
        <w:tc>
          <w:tcPr>
            <w:tcW w:w="1140" w:type="dxa"/>
          </w:tcPr>
          <w:p w14:paraId="7A7D9F66" w14:textId="77777777" w:rsidR="003B14C2" w:rsidRPr="00036EE3" w:rsidRDefault="003B14C2" w:rsidP="00681BA8">
            <w:pPr>
              <w:spacing w:before="30" w:after="30"/>
              <w:ind w:left="57"/>
              <w:jc w:val="left"/>
              <w:rPr>
                <w:b/>
                <w:bCs/>
                <w:sz w:val="20"/>
                <w:lang w:val="en-US"/>
              </w:rPr>
            </w:pPr>
            <w:r w:rsidRPr="00036EE3">
              <w:rPr>
                <w:b/>
                <w:bCs/>
                <w:sz w:val="20"/>
                <w:lang w:val="en-US"/>
              </w:rPr>
              <w:t>S</w:t>
            </w:r>
          </w:p>
        </w:tc>
        <w:tc>
          <w:tcPr>
            <w:tcW w:w="8220" w:type="dxa"/>
          </w:tcPr>
          <w:p w14:paraId="4058F57B" w14:textId="77777777" w:rsidR="003B14C2" w:rsidRPr="00036EE3" w:rsidRDefault="003B14C2" w:rsidP="00681BA8">
            <w:pPr>
              <w:spacing w:before="30" w:after="30"/>
              <w:jc w:val="left"/>
              <w:rPr>
                <w:sz w:val="20"/>
                <w:lang w:val="en-US"/>
              </w:rPr>
            </w:pPr>
            <w:r w:rsidRPr="00036EE3">
              <w:rPr>
                <w:sz w:val="20"/>
                <w:lang w:val="en-US"/>
              </w:rPr>
              <w:t>Fixed-satellite service</w:t>
            </w:r>
          </w:p>
        </w:tc>
      </w:tr>
      <w:tr w:rsidR="003B14C2" w:rsidRPr="00036EE3" w14:paraId="7A826E9B" w14:textId="77777777" w:rsidTr="00681BA8">
        <w:tc>
          <w:tcPr>
            <w:tcW w:w="1140" w:type="dxa"/>
          </w:tcPr>
          <w:p w14:paraId="156F07CE" w14:textId="77777777" w:rsidR="003B14C2" w:rsidRPr="00036EE3" w:rsidRDefault="003B14C2" w:rsidP="00681BA8">
            <w:pPr>
              <w:spacing w:before="30" w:after="30"/>
              <w:ind w:left="57"/>
              <w:jc w:val="left"/>
              <w:rPr>
                <w:b/>
                <w:bCs/>
                <w:sz w:val="20"/>
                <w:lang w:val="en-US"/>
              </w:rPr>
            </w:pPr>
            <w:r w:rsidRPr="00036EE3">
              <w:rPr>
                <w:b/>
                <w:bCs/>
                <w:sz w:val="20"/>
                <w:lang w:val="en-US"/>
              </w:rPr>
              <w:t>SA</w:t>
            </w:r>
          </w:p>
        </w:tc>
        <w:tc>
          <w:tcPr>
            <w:tcW w:w="8220" w:type="dxa"/>
          </w:tcPr>
          <w:p w14:paraId="5F8B3523" w14:textId="77777777" w:rsidR="003B14C2" w:rsidRPr="00036EE3" w:rsidRDefault="003B14C2" w:rsidP="00681BA8">
            <w:pPr>
              <w:spacing w:before="30" w:after="30"/>
              <w:jc w:val="left"/>
              <w:rPr>
                <w:sz w:val="20"/>
                <w:lang w:val="en-US"/>
              </w:rPr>
            </w:pPr>
            <w:r w:rsidRPr="00036EE3">
              <w:rPr>
                <w:sz w:val="20"/>
                <w:lang w:val="en-US"/>
              </w:rPr>
              <w:t>Space applications and meteorology</w:t>
            </w:r>
          </w:p>
        </w:tc>
      </w:tr>
      <w:tr w:rsidR="003B14C2" w:rsidRPr="00576D47" w14:paraId="2780D44C" w14:textId="77777777" w:rsidTr="00681BA8">
        <w:tc>
          <w:tcPr>
            <w:tcW w:w="1140" w:type="dxa"/>
            <w:tcBorders>
              <w:bottom w:val="nil"/>
            </w:tcBorders>
          </w:tcPr>
          <w:p w14:paraId="78DA29EA" w14:textId="77777777" w:rsidR="003B14C2" w:rsidRPr="00036EE3" w:rsidRDefault="003B14C2" w:rsidP="00681BA8">
            <w:pPr>
              <w:spacing w:before="30" w:after="30"/>
              <w:ind w:left="57"/>
              <w:jc w:val="left"/>
              <w:rPr>
                <w:b/>
                <w:bCs/>
                <w:sz w:val="20"/>
                <w:lang w:val="en-US"/>
              </w:rPr>
            </w:pPr>
            <w:r w:rsidRPr="00036EE3">
              <w:rPr>
                <w:b/>
                <w:bCs/>
                <w:sz w:val="20"/>
                <w:lang w:val="en-US"/>
              </w:rPr>
              <w:t>SF</w:t>
            </w:r>
          </w:p>
        </w:tc>
        <w:tc>
          <w:tcPr>
            <w:tcW w:w="8220" w:type="dxa"/>
            <w:tcBorders>
              <w:bottom w:val="nil"/>
            </w:tcBorders>
          </w:tcPr>
          <w:p w14:paraId="6486EEB7" w14:textId="77777777" w:rsidR="003B14C2" w:rsidRPr="00036EE3" w:rsidRDefault="003B14C2" w:rsidP="00681BA8">
            <w:pPr>
              <w:spacing w:before="30" w:after="30"/>
              <w:jc w:val="left"/>
              <w:rPr>
                <w:sz w:val="20"/>
                <w:lang w:val="en-US"/>
              </w:rPr>
            </w:pPr>
            <w:r w:rsidRPr="00036EE3">
              <w:rPr>
                <w:sz w:val="20"/>
                <w:lang w:val="en-US"/>
              </w:rPr>
              <w:t>Frequency sharing and coordination between fixed-satellite and fixed service systems</w:t>
            </w:r>
          </w:p>
        </w:tc>
      </w:tr>
      <w:tr w:rsidR="003B14C2" w:rsidRPr="00036EE3" w14:paraId="5DCB3A16" w14:textId="77777777" w:rsidTr="00681BA8">
        <w:tc>
          <w:tcPr>
            <w:tcW w:w="1140" w:type="dxa"/>
            <w:tcBorders>
              <w:top w:val="nil"/>
              <w:bottom w:val="nil"/>
            </w:tcBorders>
            <w:shd w:val="clear" w:color="auto" w:fill="auto"/>
          </w:tcPr>
          <w:p w14:paraId="145D3E14" w14:textId="77777777" w:rsidR="003B14C2" w:rsidRPr="001B164E" w:rsidRDefault="003B14C2" w:rsidP="00681BA8">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58235045" w14:textId="77777777" w:rsidR="003B14C2" w:rsidRPr="001B164E" w:rsidRDefault="003B14C2" w:rsidP="00681BA8">
            <w:pPr>
              <w:spacing w:before="30" w:after="30"/>
              <w:jc w:val="left"/>
              <w:rPr>
                <w:rFonts w:hAnsi="Times New Roman Bold"/>
                <w:sz w:val="20"/>
                <w:lang w:val="en-US"/>
              </w:rPr>
            </w:pPr>
            <w:r w:rsidRPr="001B164E">
              <w:rPr>
                <w:rFonts w:hAnsi="Times New Roman Bold"/>
                <w:sz w:val="20"/>
                <w:lang w:val="en-US"/>
              </w:rPr>
              <w:t>Spectrum management</w:t>
            </w:r>
          </w:p>
        </w:tc>
      </w:tr>
      <w:tr w:rsidR="003B14C2" w:rsidRPr="00036EE3" w14:paraId="28F23DAE" w14:textId="77777777" w:rsidTr="00681BA8">
        <w:tc>
          <w:tcPr>
            <w:tcW w:w="1140" w:type="dxa"/>
            <w:tcBorders>
              <w:top w:val="nil"/>
            </w:tcBorders>
          </w:tcPr>
          <w:p w14:paraId="588041B8" w14:textId="77777777" w:rsidR="003B14C2" w:rsidRPr="00036EE3" w:rsidRDefault="003B14C2" w:rsidP="00681BA8">
            <w:pPr>
              <w:spacing w:before="30" w:after="30"/>
              <w:ind w:left="57"/>
              <w:jc w:val="left"/>
              <w:rPr>
                <w:b/>
                <w:bCs/>
                <w:sz w:val="20"/>
                <w:lang w:val="en-US"/>
              </w:rPr>
            </w:pPr>
            <w:r w:rsidRPr="00036EE3">
              <w:rPr>
                <w:b/>
                <w:bCs/>
                <w:sz w:val="20"/>
                <w:lang w:val="en-US"/>
              </w:rPr>
              <w:t>SNG</w:t>
            </w:r>
          </w:p>
        </w:tc>
        <w:tc>
          <w:tcPr>
            <w:tcW w:w="8220" w:type="dxa"/>
            <w:tcBorders>
              <w:top w:val="nil"/>
            </w:tcBorders>
          </w:tcPr>
          <w:p w14:paraId="4B6626FB" w14:textId="77777777" w:rsidR="003B14C2" w:rsidRPr="00036EE3" w:rsidRDefault="003B14C2" w:rsidP="00681BA8">
            <w:pPr>
              <w:spacing w:before="30" w:after="30"/>
              <w:jc w:val="left"/>
              <w:rPr>
                <w:sz w:val="20"/>
                <w:lang w:val="en-US"/>
              </w:rPr>
            </w:pPr>
            <w:r w:rsidRPr="00036EE3">
              <w:rPr>
                <w:sz w:val="20"/>
                <w:lang w:val="en-US"/>
              </w:rPr>
              <w:t>Satellite news gathering</w:t>
            </w:r>
          </w:p>
        </w:tc>
      </w:tr>
      <w:tr w:rsidR="003B14C2" w:rsidRPr="00576D47" w14:paraId="519090EC" w14:textId="77777777" w:rsidTr="00681BA8">
        <w:tc>
          <w:tcPr>
            <w:tcW w:w="1140" w:type="dxa"/>
          </w:tcPr>
          <w:p w14:paraId="70351586" w14:textId="77777777" w:rsidR="003B14C2" w:rsidRPr="00036EE3" w:rsidRDefault="003B14C2" w:rsidP="00681BA8">
            <w:pPr>
              <w:spacing w:before="30" w:after="30"/>
              <w:ind w:left="57"/>
              <w:jc w:val="left"/>
              <w:rPr>
                <w:b/>
                <w:bCs/>
                <w:sz w:val="20"/>
                <w:lang w:val="en-US"/>
              </w:rPr>
            </w:pPr>
            <w:r w:rsidRPr="00036EE3">
              <w:rPr>
                <w:b/>
                <w:bCs/>
                <w:sz w:val="20"/>
                <w:lang w:val="en-US"/>
              </w:rPr>
              <w:t>TF</w:t>
            </w:r>
          </w:p>
        </w:tc>
        <w:tc>
          <w:tcPr>
            <w:tcW w:w="8220" w:type="dxa"/>
          </w:tcPr>
          <w:p w14:paraId="3F87A34D" w14:textId="77777777" w:rsidR="003B14C2" w:rsidRPr="00036EE3" w:rsidRDefault="003B14C2" w:rsidP="00681BA8">
            <w:pPr>
              <w:spacing w:before="30" w:after="30"/>
              <w:jc w:val="left"/>
              <w:rPr>
                <w:sz w:val="20"/>
                <w:lang w:val="en-US"/>
              </w:rPr>
            </w:pPr>
            <w:r w:rsidRPr="00036EE3">
              <w:rPr>
                <w:sz w:val="20"/>
                <w:lang w:val="en-US"/>
              </w:rPr>
              <w:t>Time signals and frequency standards emissions</w:t>
            </w:r>
          </w:p>
        </w:tc>
      </w:tr>
      <w:tr w:rsidR="003B14C2" w:rsidRPr="00036EE3" w14:paraId="0D0966E7" w14:textId="77777777" w:rsidTr="00681BA8">
        <w:tc>
          <w:tcPr>
            <w:tcW w:w="1140" w:type="dxa"/>
          </w:tcPr>
          <w:p w14:paraId="3214804E" w14:textId="77777777" w:rsidR="003B14C2" w:rsidRPr="00036EE3" w:rsidRDefault="003B14C2" w:rsidP="00681BA8">
            <w:pPr>
              <w:spacing w:before="30" w:after="30"/>
              <w:ind w:left="57"/>
              <w:jc w:val="left"/>
              <w:rPr>
                <w:b/>
                <w:bCs/>
                <w:sz w:val="20"/>
                <w:lang w:val="en-US"/>
              </w:rPr>
            </w:pPr>
            <w:r w:rsidRPr="00036EE3">
              <w:rPr>
                <w:b/>
                <w:bCs/>
                <w:sz w:val="20"/>
                <w:lang w:val="en-US"/>
              </w:rPr>
              <w:t>V</w:t>
            </w:r>
          </w:p>
        </w:tc>
        <w:tc>
          <w:tcPr>
            <w:tcW w:w="8220" w:type="dxa"/>
          </w:tcPr>
          <w:p w14:paraId="578B109E" w14:textId="77777777" w:rsidR="003B14C2" w:rsidRPr="00036EE3" w:rsidRDefault="003B14C2" w:rsidP="00681BA8">
            <w:pPr>
              <w:spacing w:before="30" w:after="180"/>
              <w:jc w:val="left"/>
              <w:rPr>
                <w:sz w:val="20"/>
                <w:lang w:val="en-US"/>
              </w:rPr>
            </w:pPr>
            <w:r w:rsidRPr="00036EE3">
              <w:rPr>
                <w:sz w:val="20"/>
                <w:lang w:val="en-US"/>
              </w:rPr>
              <w:t>Vocabulary and related subjects</w:t>
            </w:r>
          </w:p>
        </w:tc>
      </w:tr>
    </w:tbl>
    <w:p w14:paraId="3CBD55CE" w14:textId="77777777" w:rsidR="003B14C2" w:rsidRPr="00036EE3" w:rsidRDefault="003B14C2" w:rsidP="003B14C2">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3B14C2" w14:paraId="5818122B" w14:textId="77777777" w:rsidTr="00681BA8">
        <w:tc>
          <w:tcPr>
            <w:tcW w:w="720" w:type="dxa"/>
          </w:tcPr>
          <w:p w14:paraId="469187EB" w14:textId="77777777" w:rsidR="003B14C2" w:rsidRDefault="003B14C2" w:rsidP="00681BA8">
            <w:pPr>
              <w:jc w:val="center"/>
              <w:rPr>
                <w:sz w:val="22"/>
                <w:lang w:val="en-US"/>
              </w:rPr>
            </w:pPr>
          </w:p>
        </w:tc>
      </w:tr>
    </w:tbl>
    <w:p w14:paraId="2E7DE69F" w14:textId="77777777" w:rsidR="003B14C2" w:rsidRPr="00036EE3" w:rsidRDefault="003B14C2" w:rsidP="003B14C2">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3B14C2" w:rsidRPr="00576D47" w14:paraId="733FFD7B" w14:textId="77777777" w:rsidTr="00681BA8">
        <w:tc>
          <w:tcPr>
            <w:tcW w:w="9360" w:type="dxa"/>
          </w:tcPr>
          <w:p w14:paraId="2F0523ED" w14:textId="77777777" w:rsidR="003B14C2" w:rsidRPr="002F5199" w:rsidRDefault="003B14C2" w:rsidP="00681BA8">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78EC5556" w14:textId="77777777" w:rsidR="003B14C2" w:rsidRDefault="003B14C2" w:rsidP="003B14C2">
      <w:pPr>
        <w:spacing w:before="0"/>
        <w:jc w:val="center"/>
        <w:rPr>
          <w:sz w:val="22"/>
          <w:lang w:val="en-US"/>
        </w:rPr>
      </w:pPr>
    </w:p>
    <w:p w14:paraId="1D92B59C" w14:textId="77777777" w:rsidR="003B14C2" w:rsidRDefault="003B14C2" w:rsidP="003B14C2">
      <w:pPr>
        <w:spacing w:before="0"/>
        <w:jc w:val="center"/>
        <w:rPr>
          <w:sz w:val="22"/>
          <w:lang w:val="en-US"/>
        </w:rPr>
      </w:pPr>
    </w:p>
    <w:p w14:paraId="204DF4C5" w14:textId="77777777" w:rsidR="003B14C2" w:rsidRPr="002F5199" w:rsidRDefault="003B14C2" w:rsidP="003B14C2">
      <w:pPr>
        <w:spacing w:before="0"/>
        <w:jc w:val="right"/>
        <w:rPr>
          <w:i/>
          <w:iCs/>
          <w:sz w:val="20"/>
          <w:lang w:val="en-US"/>
        </w:rPr>
      </w:pPr>
      <w:r w:rsidRPr="002F5199">
        <w:rPr>
          <w:i/>
          <w:iCs/>
          <w:sz w:val="20"/>
          <w:lang w:val="en-US"/>
        </w:rPr>
        <w:t>Electronic Publication</w:t>
      </w:r>
    </w:p>
    <w:p w14:paraId="69B3EDE6" w14:textId="44E93850" w:rsidR="003B14C2" w:rsidRPr="002F5199" w:rsidRDefault="003B14C2" w:rsidP="003B14C2">
      <w:pPr>
        <w:spacing w:before="0"/>
        <w:jc w:val="right"/>
        <w:rPr>
          <w:sz w:val="20"/>
          <w:lang w:val="en-US"/>
        </w:rPr>
      </w:pPr>
      <w:smartTag w:uri="urn:schemas-microsoft-com:office:smarttags" w:element="City">
        <w:smartTag w:uri="urn:schemas-microsoft-com:office:smarttags" w:element="place">
          <w:r w:rsidRPr="002F5199">
            <w:rPr>
              <w:sz w:val="20"/>
              <w:lang w:val="en-US"/>
            </w:rPr>
            <w:t>Geneva</w:t>
          </w:r>
        </w:smartTag>
      </w:smartTag>
      <w:r w:rsidRPr="002F5199">
        <w:rPr>
          <w:sz w:val="20"/>
          <w:lang w:val="en-US"/>
        </w:rPr>
        <w:t>, 20</w:t>
      </w:r>
      <w:r>
        <w:rPr>
          <w:sz w:val="20"/>
          <w:lang w:val="en-US"/>
        </w:rPr>
        <w:t>24</w:t>
      </w:r>
    </w:p>
    <w:p w14:paraId="36BA8392" w14:textId="77777777" w:rsidR="003B14C2" w:rsidRDefault="003B14C2" w:rsidP="003B14C2">
      <w:pPr>
        <w:jc w:val="center"/>
        <w:rPr>
          <w:sz w:val="22"/>
          <w:lang w:val="en-US"/>
        </w:rPr>
      </w:pPr>
    </w:p>
    <w:p w14:paraId="2C564AE9" w14:textId="7D0FF932" w:rsidR="003B14C2" w:rsidRPr="00470E28" w:rsidRDefault="003B14C2" w:rsidP="003B14C2">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Pr>
          <w:sz w:val="20"/>
          <w:lang w:val="en-US"/>
        </w:rPr>
        <w:t>24</w:t>
      </w:r>
    </w:p>
    <w:p w14:paraId="0584A271" w14:textId="77777777" w:rsidR="003B14C2" w:rsidRPr="00470E28" w:rsidRDefault="003B14C2" w:rsidP="003B14C2">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4C587BB4" w14:textId="77777777" w:rsidR="003B14C2" w:rsidRDefault="003B14C2" w:rsidP="003B14C2">
      <w:pPr>
        <w:spacing w:before="160"/>
        <w:rPr>
          <w:i/>
          <w:sz w:val="20"/>
          <w:lang w:val="en-US"/>
        </w:rPr>
        <w:sectPr w:rsidR="003B14C2" w:rsidSect="002058CE">
          <w:headerReference w:type="even" r:id="rId14"/>
          <w:headerReference w:type="default" r:id="rId15"/>
          <w:pgSz w:w="11907" w:h="16834" w:code="9"/>
          <w:pgMar w:top="1418" w:right="1134" w:bottom="1134" w:left="1134" w:header="720" w:footer="482" w:gutter="0"/>
          <w:paperSrc w:first="15" w:other="15"/>
          <w:pgNumType w:fmt="lowerRoman" w:start="2"/>
          <w:cols w:space="720"/>
        </w:sectPr>
      </w:pPr>
    </w:p>
    <w:p w14:paraId="798E7A22" w14:textId="57244FFC" w:rsidR="003B14C2" w:rsidRPr="00B874C6" w:rsidRDefault="003B14C2" w:rsidP="003B14C2">
      <w:pPr>
        <w:pStyle w:val="RecNo"/>
        <w:spacing w:before="0"/>
        <w:rPr>
          <w:lang w:val="en-US"/>
        </w:rPr>
      </w:pPr>
      <w:bookmarkStart w:id="2" w:name="irecnoe"/>
      <w:bookmarkEnd w:id="2"/>
      <w:r w:rsidRPr="00BF487A">
        <w:lastRenderedPageBreak/>
        <w:t xml:space="preserve">RECOMMENDATION  </w:t>
      </w:r>
      <w:r w:rsidRPr="00BF487A">
        <w:rPr>
          <w:rStyle w:val="href"/>
          <w:lang w:val="en-US"/>
        </w:rPr>
        <w:t xml:space="preserve">ITU-R  </w:t>
      </w:r>
      <w:r>
        <w:rPr>
          <w:rStyle w:val="href"/>
          <w:lang w:val="en-US"/>
        </w:rPr>
        <w:t>RS</w:t>
      </w:r>
      <w:r w:rsidRPr="00BF487A">
        <w:rPr>
          <w:rStyle w:val="href"/>
          <w:lang w:val="en-US"/>
        </w:rPr>
        <w:t>.</w:t>
      </w:r>
      <w:r w:rsidR="00700609">
        <w:rPr>
          <w:rStyle w:val="href"/>
          <w:lang w:val="en-US"/>
        </w:rPr>
        <w:t>1263-3</w:t>
      </w:r>
    </w:p>
    <w:p w14:paraId="69F07112" w14:textId="45ED6F99" w:rsidR="003B14C2" w:rsidRDefault="00700609" w:rsidP="003B14C2">
      <w:pPr>
        <w:pStyle w:val="Rectitle"/>
      </w:pPr>
      <w:bookmarkStart w:id="3" w:name="_Hlk116556578"/>
      <w:r w:rsidRPr="00700609">
        <w:rPr>
          <w:rFonts w:eastAsia="SimSun"/>
          <w:lang w:eastAsia="zh-CN"/>
        </w:rPr>
        <w:t>Interference criteria for meteorological aids operated in the 400.15-406 MHz</w:t>
      </w:r>
      <w:r w:rsidRPr="00700609">
        <w:rPr>
          <w:rFonts w:eastAsia="SimSun"/>
          <w:lang w:eastAsia="zh-CN"/>
        </w:rPr>
        <w:br/>
        <w:t>and 1 668.4-1 700 MHz bands</w:t>
      </w:r>
      <w:bookmarkEnd w:id="3"/>
    </w:p>
    <w:p w14:paraId="1836008B" w14:textId="77777777" w:rsidR="00700609" w:rsidRPr="00AE3A31" w:rsidRDefault="00700609" w:rsidP="00700609">
      <w:pPr>
        <w:pStyle w:val="Recdate"/>
        <w:rPr>
          <w:b/>
        </w:rPr>
      </w:pPr>
      <w:r w:rsidRPr="00AE3A31">
        <w:t>(1997-2010-2018-2023)</w:t>
      </w:r>
    </w:p>
    <w:p w14:paraId="6ABF8D70" w14:textId="77777777" w:rsidR="00700609" w:rsidRPr="00AE3A31" w:rsidRDefault="00700609" w:rsidP="00700609">
      <w:pPr>
        <w:pStyle w:val="HeadingSum"/>
        <w:rPr>
          <w:lang w:val="en-GB"/>
        </w:rPr>
      </w:pPr>
      <w:r w:rsidRPr="00AE3A31">
        <w:rPr>
          <w:lang w:val="en-GB"/>
        </w:rPr>
        <w:t>Scope</w:t>
      </w:r>
    </w:p>
    <w:p w14:paraId="51A203B0" w14:textId="77777777" w:rsidR="00700609" w:rsidRPr="00AE3A31" w:rsidRDefault="00700609" w:rsidP="00700609">
      <w:pPr>
        <w:pStyle w:val="Summary"/>
        <w:rPr>
          <w:lang w:val="en-GB"/>
        </w:rPr>
      </w:pPr>
      <w:r w:rsidRPr="00AE3A31">
        <w:rPr>
          <w:lang w:val="en-GB"/>
        </w:rPr>
        <w:t>This Recommendation provides interference criteria data which should be used for compatibility and sharing studies for MetAids operating in the 400.15-406 MHz and 1 668.4-1 700 MHz bands.</w:t>
      </w:r>
    </w:p>
    <w:p w14:paraId="4F745665" w14:textId="77777777" w:rsidR="00700609" w:rsidRPr="00AE3A31" w:rsidRDefault="00700609" w:rsidP="00700609">
      <w:pPr>
        <w:pStyle w:val="Headingb"/>
      </w:pPr>
      <w:r w:rsidRPr="00AE3A31">
        <w:t>Related ITU-R Recommendations and Reports</w:t>
      </w:r>
    </w:p>
    <w:p w14:paraId="0DE4E9EC" w14:textId="77777777" w:rsidR="00700609" w:rsidRPr="00700609" w:rsidRDefault="00700609" w:rsidP="00700609">
      <w:pPr>
        <w:pStyle w:val="Reftext"/>
      </w:pPr>
      <w:r w:rsidRPr="00700609">
        <w:t xml:space="preserve">Recommendation </w:t>
      </w:r>
      <w:hyperlink r:id="rId16" w:history="1">
        <w:r w:rsidRPr="00700609">
          <w:rPr>
            <w:rStyle w:val="Hyperlink"/>
            <w:color w:val="auto"/>
            <w:u w:val="none"/>
          </w:rPr>
          <w:t>ITU-R P.528</w:t>
        </w:r>
      </w:hyperlink>
      <w:r w:rsidRPr="00700609">
        <w:t xml:space="preserve"> – Propagation curves for aeronautical mobile and radionavigation services using the VHF, UHF and SHF bands</w:t>
      </w:r>
    </w:p>
    <w:p w14:paraId="28CF9370" w14:textId="77777777" w:rsidR="00F67101" w:rsidRPr="00700609" w:rsidRDefault="00F67101" w:rsidP="00F67101">
      <w:pPr>
        <w:pStyle w:val="Reftext"/>
      </w:pPr>
      <w:r w:rsidRPr="00700609">
        <w:t xml:space="preserve">Recommendation </w:t>
      </w:r>
      <w:hyperlink r:id="rId17" w:history="1">
        <w:r w:rsidRPr="00700609">
          <w:rPr>
            <w:rStyle w:val="Hyperlink"/>
            <w:color w:val="auto"/>
            <w:u w:val="none"/>
          </w:rPr>
          <w:t>ITU-R RS.1165</w:t>
        </w:r>
      </w:hyperlink>
      <w:r w:rsidRPr="00700609">
        <w:t xml:space="preserve"> – Technical characteristics and performance criteria for systems in the meteorological aids service in the 403 MHz and 1 680 MHz bands</w:t>
      </w:r>
    </w:p>
    <w:p w14:paraId="21EEC6B2" w14:textId="424A373B" w:rsidR="00700609" w:rsidRPr="00AE3A31" w:rsidRDefault="00700609" w:rsidP="00700609">
      <w:pPr>
        <w:pStyle w:val="Reftext"/>
      </w:pPr>
      <w:r w:rsidRPr="00700609">
        <w:t xml:space="preserve">Recommendation </w:t>
      </w:r>
      <w:hyperlink r:id="rId18" w:history="1">
        <w:r w:rsidRPr="00700609">
          <w:rPr>
            <w:rStyle w:val="Hyperlink"/>
            <w:color w:val="auto"/>
            <w:u w:val="none"/>
          </w:rPr>
          <w:t>ITU-R SA.1021</w:t>
        </w:r>
      </w:hyperlink>
      <w:r w:rsidRPr="00700609">
        <w:t xml:space="preserve"> – Methodology for determining performance objectives for systems in the </w:t>
      </w:r>
      <w:r w:rsidRPr="00AE3A31">
        <w:t>Earth exploration-satellite and meteorological-satellite services</w:t>
      </w:r>
    </w:p>
    <w:p w14:paraId="60496AD6" w14:textId="77777777" w:rsidR="00700609" w:rsidRPr="00AE3A31" w:rsidRDefault="00700609" w:rsidP="00700609">
      <w:pPr>
        <w:pStyle w:val="Headingb"/>
      </w:pPr>
      <w:r w:rsidRPr="00AE3A31">
        <w:t>Keywords</w:t>
      </w:r>
    </w:p>
    <w:p w14:paraId="7B947B37" w14:textId="77777777" w:rsidR="00700609" w:rsidRPr="00AE3A31" w:rsidRDefault="00700609" w:rsidP="00700609">
      <w:r w:rsidRPr="00AE3A31">
        <w:t>MetAids, radiosondes, rocketsondes, dropsondes</w:t>
      </w:r>
    </w:p>
    <w:p w14:paraId="0A47E744" w14:textId="77777777" w:rsidR="00700609" w:rsidRPr="00AE3A31" w:rsidRDefault="00700609" w:rsidP="00700609">
      <w:pPr>
        <w:pStyle w:val="Headingb"/>
      </w:pPr>
      <w:r w:rsidRPr="00AE3A31">
        <w:t>Abbreviations/Glossary</w:t>
      </w:r>
    </w:p>
    <w:p w14:paraId="037FDFF8" w14:textId="5982A947" w:rsidR="00700609" w:rsidRPr="00AE3A31" w:rsidRDefault="00700609" w:rsidP="00F67101">
      <w:pPr>
        <w:tabs>
          <w:tab w:val="clear" w:pos="794"/>
        </w:tabs>
      </w:pPr>
      <w:r w:rsidRPr="00AE3A31">
        <w:t>AM</w:t>
      </w:r>
      <w:r w:rsidRPr="00AE3A31">
        <w:tab/>
        <w:t>Amplitude modulation</w:t>
      </w:r>
    </w:p>
    <w:p w14:paraId="5BBFCC6A" w14:textId="4C0E0446" w:rsidR="00700609" w:rsidRPr="00AE3A31" w:rsidRDefault="00700609" w:rsidP="00F67101">
      <w:pPr>
        <w:tabs>
          <w:tab w:val="clear" w:pos="794"/>
        </w:tabs>
      </w:pPr>
      <w:r w:rsidRPr="00AE3A31">
        <w:t>FM</w:t>
      </w:r>
      <w:r w:rsidRPr="00AE3A31">
        <w:tab/>
        <w:t>Frequency modulation</w:t>
      </w:r>
    </w:p>
    <w:p w14:paraId="6811D57F" w14:textId="1174D32E" w:rsidR="00700609" w:rsidRPr="00AE3A31" w:rsidRDefault="00700609" w:rsidP="00F67101">
      <w:pPr>
        <w:tabs>
          <w:tab w:val="clear" w:pos="794"/>
        </w:tabs>
      </w:pPr>
      <w:r w:rsidRPr="00AE3A31">
        <w:t>FSK</w:t>
      </w:r>
      <w:r w:rsidRPr="00AE3A31">
        <w:tab/>
        <w:t>Frequency shift keying</w:t>
      </w:r>
    </w:p>
    <w:p w14:paraId="0F3864EC" w14:textId="181E29D2" w:rsidR="00700609" w:rsidRPr="00AE3A31" w:rsidRDefault="00700609" w:rsidP="00F67101">
      <w:pPr>
        <w:tabs>
          <w:tab w:val="clear" w:pos="794"/>
        </w:tabs>
      </w:pPr>
      <w:r w:rsidRPr="00AE3A31">
        <w:t>GFSK</w:t>
      </w:r>
      <w:r w:rsidRPr="00AE3A31">
        <w:tab/>
        <w:t>Gaussian frequency shift keying</w:t>
      </w:r>
    </w:p>
    <w:p w14:paraId="018467E9" w14:textId="56391D76" w:rsidR="00700609" w:rsidRPr="00AE3A31" w:rsidRDefault="00700609" w:rsidP="00F67101">
      <w:pPr>
        <w:tabs>
          <w:tab w:val="clear" w:pos="794"/>
        </w:tabs>
      </w:pPr>
      <w:r w:rsidRPr="00AE3A31">
        <w:t>MetAids</w:t>
      </w:r>
      <w:r w:rsidRPr="00AE3A31">
        <w:tab/>
        <w:t>Meteorological aids</w:t>
      </w:r>
    </w:p>
    <w:p w14:paraId="4F9315A2" w14:textId="17497C7C" w:rsidR="00700609" w:rsidRPr="00AE3A31" w:rsidRDefault="00700609" w:rsidP="00F67101">
      <w:pPr>
        <w:tabs>
          <w:tab w:val="clear" w:pos="794"/>
        </w:tabs>
      </w:pPr>
      <w:r w:rsidRPr="00AE3A31">
        <w:t>METSAT</w:t>
      </w:r>
      <w:r w:rsidRPr="00AE3A31">
        <w:tab/>
        <w:t>Meteorological satellite</w:t>
      </w:r>
    </w:p>
    <w:p w14:paraId="58B1C656" w14:textId="125B6CA8" w:rsidR="00700609" w:rsidRPr="00AE3A31" w:rsidRDefault="00700609" w:rsidP="00F67101">
      <w:pPr>
        <w:tabs>
          <w:tab w:val="clear" w:pos="794"/>
        </w:tabs>
      </w:pPr>
      <w:r w:rsidRPr="00AE3A31">
        <w:t>MSS</w:t>
      </w:r>
      <w:r w:rsidRPr="00AE3A31">
        <w:tab/>
        <w:t>Mobile satellite service</w:t>
      </w:r>
    </w:p>
    <w:p w14:paraId="3712B86B" w14:textId="7BF55C17" w:rsidR="00700609" w:rsidRPr="00AE3A31" w:rsidRDefault="00700609" w:rsidP="00F67101">
      <w:pPr>
        <w:tabs>
          <w:tab w:val="clear" w:pos="794"/>
        </w:tabs>
      </w:pPr>
      <w:r w:rsidRPr="00AE3A31">
        <w:t>NAVAID</w:t>
      </w:r>
      <w:r w:rsidRPr="00AE3A31">
        <w:tab/>
        <w:t>Navigational aid</w:t>
      </w:r>
    </w:p>
    <w:p w14:paraId="6439BF47" w14:textId="63E16229" w:rsidR="00700609" w:rsidRPr="00AE3A31" w:rsidRDefault="00700609" w:rsidP="00F67101">
      <w:pPr>
        <w:tabs>
          <w:tab w:val="clear" w:pos="794"/>
        </w:tabs>
      </w:pPr>
      <w:r w:rsidRPr="00AE3A31">
        <w:t>QAM</w:t>
      </w:r>
      <w:r w:rsidRPr="00AE3A31">
        <w:tab/>
        <w:t>Quadrature amplitude modulation</w:t>
      </w:r>
    </w:p>
    <w:p w14:paraId="166C01E7" w14:textId="77777777" w:rsidR="00700609" w:rsidRPr="00AE3A31" w:rsidRDefault="00700609" w:rsidP="00700609">
      <w:pPr>
        <w:pStyle w:val="Normalaftertitle"/>
      </w:pPr>
      <w:r w:rsidRPr="00AE3A31">
        <w:t>The ITU Radiocommunication Assembly,</w:t>
      </w:r>
    </w:p>
    <w:p w14:paraId="4891BF1A" w14:textId="77777777" w:rsidR="00700609" w:rsidRPr="00AE3A31" w:rsidRDefault="00700609" w:rsidP="00700609">
      <w:pPr>
        <w:pStyle w:val="Call"/>
      </w:pPr>
      <w:r w:rsidRPr="00AE3A31">
        <w:t>considering</w:t>
      </w:r>
    </w:p>
    <w:p w14:paraId="1A5D2D87" w14:textId="77777777" w:rsidR="00700609" w:rsidRPr="00AE3A31" w:rsidRDefault="00700609" w:rsidP="00700609">
      <w:r w:rsidRPr="00AE3A31">
        <w:rPr>
          <w:i/>
          <w:iCs/>
        </w:rPr>
        <w:t>a)</w:t>
      </w:r>
      <w:r w:rsidRPr="00AE3A31">
        <w:tab/>
        <w:t>that interference criteria are needed to ensure that systems can be designed to achieve adequate performance in the presence of interference;</w:t>
      </w:r>
    </w:p>
    <w:p w14:paraId="03A848CC" w14:textId="77777777" w:rsidR="00700609" w:rsidRPr="00F67101" w:rsidRDefault="00700609" w:rsidP="00700609">
      <w:pPr>
        <w:keepNext/>
      </w:pPr>
      <w:r w:rsidRPr="00AE3A31">
        <w:rPr>
          <w:i/>
          <w:iCs/>
        </w:rPr>
        <w:t>b)</w:t>
      </w:r>
      <w:r w:rsidRPr="00AE3A31">
        <w:tab/>
        <w:t xml:space="preserve">that the performance objectives for radiosonde, dropsonde, and rocketsonde systems are </w:t>
      </w:r>
      <w:r w:rsidRPr="00F67101">
        <w:t xml:space="preserve">specified in Recommendation </w:t>
      </w:r>
      <w:hyperlink r:id="rId19" w:history="1">
        <w:r w:rsidRPr="00F67101">
          <w:rPr>
            <w:rStyle w:val="Hyperlink"/>
            <w:color w:val="auto"/>
            <w:u w:val="none"/>
          </w:rPr>
          <w:t>ITU-R RS.1165</w:t>
        </w:r>
      </w:hyperlink>
      <w:r w:rsidRPr="00F67101">
        <w:t>;</w:t>
      </w:r>
    </w:p>
    <w:p w14:paraId="69FD68CA" w14:textId="77777777" w:rsidR="00700609" w:rsidRPr="00AE3A31" w:rsidRDefault="00700609" w:rsidP="00700609">
      <w:r w:rsidRPr="00AE3A31">
        <w:rPr>
          <w:i/>
          <w:iCs/>
        </w:rPr>
        <w:t>c)</w:t>
      </w:r>
      <w:r w:rsidRPr="00AE3A31">
        <w:tab/>
        <w:t>that interference criteria assist in the development of criteria for sharing bands among systems, including those operating in other services;</w:t>
      </w:r>
    </w:p>
    <w:p w14:paraId="39A9ED71" w14:textId="77777777" w:rsidR="00700609" w:rsidRPr="00AE3A31" w:rsidRDefault="00700609" w:rsidP="00700609">
      <w:r w:rsidRPr="00AE3A31">
        <w:rPr>
          <w:i/>
          <w:iCs/>
        </w:rPr>
        <w:t>d)</w:t>
      </w:r>
      <w:r w:rsidRPr="00AE3A31">
        <w:tab/>
        <w:t>that systems in the meteorological aids (MetAids) service must specify interference thresholds at least equal to the permissible levels,</w:t>
      </w:r>
    </w:p>
    <w:p w14:paraId="4706DCA5" w14:textId="77777777" w:rsidR="00700609" w:rsidRPr="00AE3A31" w:rsidRDefault="00700609" w:rsidP="00700609">
      <w:pPr>
        <w:pStyle w:val="Call"/>
      </w:pPr>
      <w:r w:rsidRPr="00AE3A31">
        <w:lastRenderedPageBreak/>
        <w:t>recommends</w:t>
      </w:r>
    </w:p>
    <w:p w14:paraId="6D4B828D" w14:textId="77777777" w:rsidR="00700609" w:rsidRPr="00AE3A31" w:rsidRDefault="00700609" w:rsidP="00700609">
      <w:r w:rsidRPr="00AE3A31">
        <w:t>that the interference levels specified in Tables 1, 2 and 3 should be used as the permissible total levels of interfering signal power at the antenna output of receiving stations operating in the MetAids service based on the MetAids parameters of representative systems as provided in Annex 1.</w:t>
      </w:r>
    </w:p>
    <w:p w14:paraId="04DC488C" w14:textId="77777777" w:rsidR="00700609" w:rsidRPr="00AE3A31" w:rsidRDefault="00700609" w:rsidP="00700609">
      <w:pPr>
        <w:pStyle w:val="TableNo"/>
      </w:pPr>
      <w:r w:rsidRPr="00AE3A31">
        <w:t>TABLE 1</w:t>
      </w:r>
    </w:p>
    <w:p w14:paraId="11D7D6F0" w14:textId="77777777" w:rsidR="00700609" w:rsidRPr="00AE3A31" w:rsidRDefault="00700609" w:rsidP="00700609">
      <w:pPr>
        <w:pStyle w:val="Tabletitle"/>
      </w:pPr>
      <w:r w:rsidRPr="00AE3A31">
        <w:t xml:space="preserve">Interference criteria for radiosonde systems in the MetAids service operating </w:t>
      </w:r>
      <w:r w:rsidRPr="00AE3A31">
        <w:br/>
        <w:t>in the frequency band 1 668.4</w:t>
      </w:r>
      <w:r w:rsidRPr="00AE3A31">
        <w:noBreakHyphen/>
        <w:t>1 700 MHz</w:t>
      </w:r>
      <w:r w:rsidRPr="00AE3A31">
        <w:rPr>
          <w:vertAlign w:val="superscript"/>
        </w:rPr>
        <w:t>(1)</w:t>
      </w:r>
    </w:p>
    <w:tbl>
      <w:tblPr>
        <w:tblStyle w:val="TableGrid"/>
        <w:tblW w:w="9639" w:type="dxa"/>
        <w:jc w:val="center"/>
        <w:tblLook w:val="04A0" w:firstRow="1" w:lastRow="0" w:firstColumn="1" w:lastColumn="0" w:noHBand="0" w:noVBand="1"/>
      </w:tblPr>
      <w:tblGrid>
        <w:gridCol w:w="3408"/>
        <w:gridCol w:w="3115"/>
        <w:gridCol w:w="3116"/>
      </w:tblGrid>
      <w:tr w:rsidR="00700609" w:rsidRPr="00F67101" w14:paraId="438D9FDC" w14:textId="77777777" w:rsidTr="00F67101">
        <w:trPr>
          <w:jc w:val="center"/>
        </w:trPr>
        <w:tc>
          <w:tcPr>
            <w:tcW w:w="3256" w:type="dxa"/>
            <w:vAlign w:val="center"/>
          </w:tcPr>
          <w:p w14:paraId="205D71E2" w14:textId="77777777" w:rsidR="00700609" w:rsidRPr="00F67101" w:rsidRDefault="00700609" w:rsidP="00681BA8">
            <w:pPr>
              <w:pStyle w:val="Tablehead"/>
              <w:rPr>
                <w:rFonts w:ascii="Times New Roman" w:hAnsi="Times New Roman" w:cs="Times New Roman"/>
              </w:rPr>
            </w:pPr>
            <w:r w:rsidRPr="00F67101">
              <w:rPr>
                <w:rFonts w:ascii="Times New Roman" w:hAnsi="Times New Roman" w:cs="Times New Roman"/>
              </w:rPr>
              <w:t>Parameter</w:t>
            </w:r>
          </w:p>
        </w:tc>
        <w:tc>
          <w:tcPr>
            <w:tcW w:w="2976" w:type="dxa"/>
            <w:vAlign w:val="center"/>
          </w:tcPr>
          <w:p w14:paraId="3BE6A386" w14:textId="77777777" w:rsidR="00700609" w:rsidRPr="00F67101" w:rsidRDefault="00700609" w:rsidP="00681BA8">
            <w:pPr>
              <w:pStyle w:val="Tablehead"/>
              <w:rPr>
                <w:rFonts w:ascii="Times New Roman" w:hAnsi="Times New Roman" w:cs="Times New Roman"/>
              </w:rPr>
            </w:pPr>
            <w:r w:rsidRPr="00F67101">
              <w:rPr>
                <w:rFonts w:ascii="Times New Roman" w:hAnsi="Times New Roman" w:cs="Times New Roman"/>
              </w:rPr>
              <w:t>Radio direction finding (RDF) radiosonde system</w:t>
            </w:r>
            <w:r w:rsidRPr="00F67101">
              <w:rPr>
                <w:rFonts w:ascii="Times New Roman" w:hAnsi="Times New Roman" w:cs="Times New Roman"/>
              </w:rPr>
              <w:br/>
              <w:t>1 668.4-1 700 MHz</w:t>
            </w:r>
          </w:p>
        </w:tc>
        <w:tc>
          <w:tcPr>
            <w:tcW w:w="2977" w:type="dxa"/>
            <w:vAlign w:val="center"/>
          </w:tcPr>
          <w:p w14:paraId="1A1C1CE8" w14:textId="77777777" w:rsidR="00700609" w:rsidRPr="00F67101" w:rsidRDefault="00700609" w:rsidP="00681BA8">
            <w:pPr>
              <w:pStyle w:val="Tablehead"/>
              <w:rPr>
                <w:rFonts w:ascii="Times New Roman" w:hAnsi="Times New Roman" w:cs="Times New Roman"/>
              </w:rPr>
            </w:pPr>
            <w:r w:rsidRPr="00F67101">
              <w:rPr>
                <w:rFonts w:ascii="Times New Roman" w:hAnsi="Times New Roman" w:cs="Times New Roman"/>
              </w:rPr>
              <w:t xml:space="preserve">GPS radiosonde system </w:t>
            </w:r>
            <w:r w:rsidRPr="00F67101">
              <w:rPr>
                <w:rFonts w:ascii="Times New Roman" w:hAnsi="Times New Roman" w:cs="Times New Roman"/>
              </w:rPr>
              <w:br/>
              <w:t>1 675-1 683 MHz</w:t>
            </w:r>
          </w:p>
        </w:tc>
      </w:tr>
      <w:tr w:rsidR="00700609" w:rsidRPr="00F67101" w14:paraId="746E4EE4" w14:textId="77777777" w:rsidTr="00F67101">
        <w:trPr>
          <w:jc w:val="center"/>
        </w:trPr>
        <w:tc>
          <w:tcPr>
            <w:tcW w:w="3256" w:type="dxa"/>
          </w:tcPr>
          <w:p w14:paraId="2B3AA1E0" w14:textId="77777777" w:rsidR="00700609" w:rsidRPr="00F67101" w:rsidRDefault="00700609" w:rsidP="00F67101">
            <w:pPr>
              <w:pStyle w:val="Tabletext"/>
              <w:jc w:val="left"/>
              <w:rPr>
                <w:rFonts w:ascii="Times New Roman" w:hAnsi="Times New Roman" w:cs="Times New Roman"/>
              </w:rPr>
            </w:pPr>
            <w:r w:rsidRPr="00F67101">
              <w:rPr>
                <w:rFonts w:ascii="Times New Roman" w:hAnsi="Times New Roman" w:cs="Times New Roman"/>
              </w:rPr>
              <w:t>System reference bandwidth (kHz)</w:t>
            </w:r>
          </w:p>
        </w:tc>
        <w:tc>
          <w:tcPr>
            <w:tcW w:w="2976" w:type="dxa"/>
            <w:vAlign w:val="center"/>
          </w:tcPr>
          <w:p w14:paraId="0360D7E2"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 xml:space="preserve">1 300 </w:t>
            </w:r>
          </w:p>
        </w:tc>
        <w:tc>
          <w:tcPr>
            <w:tcW w:w="2977" w:type="dxa"/>
            <w:vAlign w:val="center"/>
          </w:tcPr>
          <w:p w14:paraId="3546B3D9"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 xml:space="preserve">150 </w:t>
            </w:r>
          </w:p>
        </w:tc>
      </w:tr>
      <w:tr w:rsidR="00700609" w:rsidRPr="00F67101" w14:paraId="426A97BA" w14:textId="77777777" w:rsidTr="00F67101">
        <w:trPr>
          <w:jc w:val="center"/>
        </w:trPr>
        <w:tc>
          <w:tcPr>
            <w:tcW w:w="3256" w:type="dxa"/>
          </w:tcPr>
          <w:p w14:paraId="46D57079" w14:textId="77777777" w:rsidR="00700609" w:rsidRPr="00F67101" w:rsidRDefault="00700609" w:rsidP="00F67101">
            <w:pPr>
              <w:pStyle w:val="Tabletext"/>
              <w:jc w:val="left"/>
              <w:rPr>
                <w:rFonts w:ascii="Times New Roman" w:hAnsi="Times New Roman" w:cs="Times New Roman"/>
              </w:rPr>
            </w:pPr>
            <w:r w:rsidRPr="00F67101">
              <w:rPr>
                <w:rFonts w:ascii="Times New Roman" w:hAnsi="Times New Roman" w:cs="Times New Roman"/>
              </w:rPr>
              <w:t xml:space="preserve">Interference signal power (dBW) in the reference bandwidth to be exceeded no more than </w:t>
            </w:r>
            <w:r w:rsidRPr="00F67101">
              <w:rPr>
                <w:rFonts w:ascii="Times New Roman" w:hAnsi="Times New Roman" w:cs="Times New Roman"/>
                <w:i/>
              </w:rPr>
              <w:t>P</w:t>
            </w:r>
            <w:r w:rsidRPr="00F67101">
              <w:rPr>
                <w:rFonts w:ascii="Times New Roman" w:hAnsi="Times New Roman" w:cs="Times New Roman"/>
                <w:i/>
                <w:vertAlign w:val="subscript"/>
              </w:rPr>
              <w:t>LOCK</w:t>
            </w:r>
            <w:r w:rsidRPr="00F67101">
              <w:rPr>
                <w:rFonts w:ascii="Times New Roman" w:hAnsi="Times New Roman" w:cs="Times New Roman"/>
                <w:i/>
                <w:vertAlign w:val="subscript"/>
              </w:rPr>
              <w:noBreakHyphen/>
              <w:t>LOSS</w:t>
            </w:r>
            <w:r w:rsidRPr="00F67101">
              <w:rPr>
                <w:rFonts w:ascii="Times New Roman" w:hAnsi="Times New Roman" w:cs="Times New Roman"/>
              </w:rPr>
              <w:t>% of the time </w:t>
            </w:r>
          </w:p>
        </w:tc>
        <w:tc>
          <w:tcPr>
            <w:tcW w:w="2976" w:type="dxa"/>
            <w:vAlign w:val="center"/>
          </w:tcPr>
          <w:p w14:paraId="05489E50"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−135.3</w:t>
            </w:r>
          </w:p>
        </w:tc>
        <w:tc>
          <w:tcPr>
            <w:tcW w:w="2977" w:type="dxa"/>
            <w:vAlign w:val="center"/>
          </w:tcPr>
          <w:p w14:paraId="4DEE1A0F"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−137.2</w:t>
            </w:r>
          </w:p>
        </w:tc>
      </w:tr>
      <w:tr w:rsidR="00700609" w:rsidRPr="00F67101" w14:paraId="01E6735F" w14:textId="77777777" w:rsidTr="00F67101">
        <w:trPr>
          <w:jc w:val="center"/>
        </w:trPr>
        <w:tc>
          <w:tcPr>
            <w:tcW w:w="3256" w:type="dxa"/>
          </w:tcPr>
          <w:p w14:paraId="0E4B9217" w14:textId="77777777" w:rsidR="00700609" w:rsidRPr="00F67101" w:rsidRDefault="00700609" w:rsidP="00F67101">
            <w:pPr>
              <w:pStyle w:val="Tabletext"/>
              <w:jc w:val="left"/>
              <w:rPr>
                <w:rFonts w:ascii="Times New Roman" w:hAnsi="Times New Roman" w:cs="Times New Roman"/>
              </w:rPr>
            </w:pPr>
            <w:r w:rsidRPr="00F67101">
              <w:rPr>
                <w:rFonts w:ascii="Times New Roman" w:hAnsi="Times New Roman" w:cs="Times New Roman"/>
              </w:rPr>
              <w:t xml:space="preserve">Percentage of time, </w:t>
            </w:r>
            <w:r w:rsidRPr="00F67101">
              <w:rPr>
                <w:rFonts w:ascii="Times New Roman" w:hAnsi="Times New Roman" w:cs="Times New Roman"/>
                <w:i/>
              </w:rPr>
              <w:t>P</w:t>
            </w:r>
            <w:r w:rsidRPr="00F67101">
              <w:rPr>
                <w:rFonts w:ascii="Times New Roman" w:hAnsi="Times New Roman" w:cs="Times New Roman"/>
                <w:i/>
                <w:vertAlign w:val="subscript"/>
              </w:rPr>
              <w:t>LOCK-LOSS</w:t>
            </w:r>
            <w:r w:rsidRPr="00F67101">
              <w:rPr>
                <w:rFonts w:ascii="Times New Roman" w:hAnsi="Times New Roman" w:cs="Times New Roman"/>
              </w:rPr>
              <w:t xml:space="preserve"> (%)</w:t>
            </w:r>
            <w:r w:rsidRPr="00F67101">
              <w:rPr>
                <w:rFonts w:ascii="Times New Roman" w:hAnsi="Times New Roman" w:cs="Times New Roman"/>
                <w:vertAlign w:val="superscript"/>
              </w:rPr>
              <w:t xml:space="preserve">(2) </w:t>
            </w:r>
          </w:p>
        </w:tc>
        <w:tc>
          <w:tcPr>
            <w:tcW w:w="2976" w:type="dxa"/>
            <w:vAlign w:val="center"/>
          </w:tcPr>
          <w:p w14:paraId="043035D4"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0.02</w:t>
            </w:r>
          </w:p>
        </w:tc>
        <w:tc>
          <w:tcPr>
            <w:tcW w:w="2977" w:type="dxa"/>
            <w:vAlign w:val="center"/>
          </w:tcPr>
          <w:p w14:paraId="488DC5B4"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0.025</w:t>
            </w:r>
          </w:p>
        </w:tc>
      </w:tr>
      <w:tr w:rsidR="00700609" w:rsidRPr="00F67101" w14:paraId="4AFC0F3B" w14:textId="77777777" w:rsidTr="00F67101">
        <w:trPr>
          <w:jc w:val="center"/>
        </w:trPr>
        <w:tc>
          <w:tcPr>
            <w:tcW w:w="3256" w:type="dxa"/>
          </w:tcPr>
          <w:p w14:paraId="00E4A2FC" w14:textId="77777777" w:rsidR="00700609" w:rsidRPr="00F67101" w:rsidRDefault="00700609" w:rsidP="00F67101">
            <w:pPr>
              <w:pStyle w:val="Tabletext"/>
              <w:jc w:val="left"/>
              <w:rPr>
                <w:rFonts w:ascii="Times New Roman" w:hAnsi="Times New Roman" w:cs="Times New Roman"/>
              </w:rPr>
            </w:pPr>
            <w:r w:rsidRPr="00F67101">
              <w:rPr>
                <w:rFonts w:ascii="Times New Roman" w:hAnsi="Times New Roman" w:cs="Times New Roman"/>
              </w:rPr>
              <w:t xml:space="preserve">Interference signal power (dBW) in the reference bandwidth to be exceeded no more than </w:t>
            </w:r>
            <w:r w:rsidRPr="00F67101">
              <w:rPr>
                <w:rFonts w:ascii="Times New Roman" w:hAnsi="Times New Roman" w:cs="Times New Roman"/>
                <w:i/>
                <w:iCs/>
              </w:rPr>
              <w:t>P</w:t>
            </w:r>
            <w:r w:rsidRPr="00F67101">
              <w:rPr>
                <w:rFonts w:ascii="Times New Roman" w:hAnsi="Times New Roman" w:cs="Times New Roman"/>
                <w:i/>
                <w:vertAlign w:val="subscript"/>
              </w:rPr>
              <w:t>DATA</w:t>
            </w:r>
            <w:r w:rsidRPr="00F67101">
              <w:rPr>
                <w:rFonts w:ascii="Times New Roman" w:hAnsi="Times New Roman" w:cs="Times New Roman"/>
                <w:i/>
                <w:vertAlign w:val="subscript"/>
              </w:rPr>
              <w:noBreakHyphen/>
              <w:t>LOSS</w:t>
            </w:r>
            <w:r w:rsidRPr="00F67101">
              <w:rPr>
                <w:rFonts w:ascii="Times New Roman" w:hAnsi="Times New Roman" w:cs="Times New Roman"/>
              </w:rPr>
              <w:t>% of the time </w:t>
            </w:r>
          </w:p>
        </w:tc>
        <w:tc>
          <w:tcPr>
            <w:tcW w:w="2976" w:type="dxa"/>
            <w:vAlign w:val="center"/>
          </w:tcPr>
          <w:p w14:paraId="5E4D5C1D"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−148.5</w:t>
            </w:r>
          </w:p>
        </w:tc>
        <w:tc>
          <w:tcPr>
            <w:tcW w:w="2977" w:type="dxa"/>
            <w:vAlign w:val="center"/>
          </w:tcPr>
          <w:p w14:paraId="58D3A8B5"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−145.7</w:t>
            </w:r>
          </w:p>
        </w:tc>
      </w:tr>
      <w:tr w:rsidR="00700609" w:rsidRPr="00F67101" w14:paraId="320EE0F3" w14:textId="77777777" w:rsidTr="00F67101">
        <w:trPr>
          <w:jc w:val="center"/>
        </w:trPr>
        <w:tc>
          <w:tcPr>
            <w:tcW w:w="3256" w:type="dxa"/>
          </w:tcPr>
          <w:p w14:paraId="42E11E5A" w14:textId="77777777" w:rsidR="00700609" w:rsidRPr="00F67101" w:rsidRDefault="00700609" w:rsidP="00F67101">
            <w:pPr>
              <w:pStyle w:val="Tabletext"/>
              <w:jc w:val="left"/>
              <w:rPr>
                <w:rFonts w:ascii="Times New Roman" w:hAnsi="Times New Roman" w:cs="Times New Roman"/>
              </w:rPr>
            </w:pPr>
            <w:r w:rsidRPr="00F67101">
              <w:rPr>
                <w:rFonts w:ascii="Times New Roman" w:hAnsi="Times New Roman" w:cs="Times New Roman"/>
              </w:rPr>
              <w:t xml:space="preserve">Percentage of time, </w:t>
            </w:r>
            <w:r w:rsidRPr="00F67101">
              <w:rPr>
                <w:rFonts w:ascii="Times New Roman" w:hAnsi="Times New Roman" w:cs="Times New Roman"/>
                <w:i/>
              </w:rPr>
              <w:t>P</w:t>
            </w:r>
            <w:r w:rsidRPr="00F67101">
              <w:rPr>
                <w:rFonts w:ascii="Times New Roman" w:hAnsi="Times New Roman" w:cs="Times New Roman"/>
                <w:i/>
                <w:vertAlign w:val="subscript"/>
              </w:rPr>
              <w:t>DATA-LOSS</w:t>
            </w:r>
            <w:r w:rsidRPr="00F67101">
              <w:rPr>
                <w:rFonts w:ascii="Times New Roman" w:hAnsi="Times New Roman" w:cs="Times New Roman"/>
                <w:i/>
              </w:rPr>
              <w:t xml:space="preserve"> </w:t>
            </w:r>
            <w:r w:rsidRPr="00F67101">
              <w:rPr>
                <w:rFonts w:ascii="Times New Roman" w:hAnsi="Times New Roman" w:cs="Times New Roman"/>
              </w:rPr>
              <w:t>(%)</w:t>
            </w:r>
            <w:r w:rsidRPr="00F67101">
              <w:rPr>
                <w:rFonts w:ascii="Times New Roman" w:hAnsi="Times New Roman" w:cs="Times New Roman"/>
                <w:vertAlign w:val="superscript"/>
              </w:rPr>
              <w:t>(2)</w:t>
            </w:r>
          </w:p>
        </w:tc>
        <w:tc>
          <w:tcPr>
            <w:tcW w:w="2976" w:type="dxa"/>
            <w:vAlign w:val="center"/>
          </w:tcPr>
          <w:p w14:paraId="51564D51"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0.08</w:t>
            </w:r>
          </w:p>
        </w:tc>
        <w:tc>
          <w:tcPr>
            <w:tcW w:w="2977" w:type="dxa"/>
            <w:vAlign w:val="center"/>
          </w:tcPr>
          <w:p w14:paraId="76E10878"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0.125</w:t>
            </w:r>
          </w:p>
        </w:tc>
      </w:tr>
      <w:tr w:rsidR="00700609" w:rsidRPr="00F67101" w14:paraId="030FB46E" w14:textId="77777777" w:rsidTr="00F67101">
        <w:trPr>
          <w:jc w:val="center"/>
        </w:trPr>
        <w:tc>
          <w:tcPr>
            <w:tcW w:w="3256" w:type="dxa"/>
            <w:tcBorders>
              <w:bottom w:val="single" w:sz="4" w:space="0" w:color="auto"/>
            </w:tcBorders>
          </w:tcPr>
          <w:p w14:paraId="7FD89FC4" w14:textId="77777777" w:rsidR="00700609" w:rsidRPr="00F67101" w:rsidRDefault="00700609" w:rsidP="00F67101">
            <w:pPr>
              <w:pStyle w:val="Tabletext"/>
              <w:jc w:val="left"/>
              <w:rPr>
                <w:rFonts w:ascii="Times New Roman" w:hAnsi="Times New Roman" w:cs="Times New Roman"/>
              </w:rPr>
            </w:pPr>
            <w:r w:rsidRPr="00F67101">
              <w:rPr>
                <w:rFonts w:ascii="Times New Roman" w:hAnsi="Times New Roman" w:cs="Times New Roman"/>
              </w:rPr>
              <w:t>Interference signal power (dBW) in the reference bandwidth to be exceeded no more than 20% of the time</w:t>
            </w:r>
            <w:r w:rsidRPr="00F67101">
              <w:rPr>
                <w:rFonts w:ascii="Times New Roman" w:hAnsi="Times New Roman" w:cs="Times New Roman"/>
                <w:vertAlign w:val="superscript"/>
              </w:rPr>
              <w:t>(2)</w:t>
            </w:r>
          </w:p>
        </w:tc>
        <w:tc>
          <w:tcPr>
            <w:tcW w:w="2976" w:type="dxa"/>
            <w:tcBorders>
              <w:bottom w:val="single" w:sz="4" w:space="0" w:color="auto"/>
            </w:tcBorders>
            <w:vAlign w:val="center"/>
          </w:tcPr>
          <w:p w14:paraId="34762C12"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−149.36</w:t>
            </w:r>
          </w:p>
        </w:tc>
        <w:tc>
          <w:tcPr>
            <w:tcW w:w="2977" w:type="dxa"/>
            <w:tcBorders>
              <w:bottom w:val="single" w:sz="4" w:space="0" w:color="auto"/>
            </w:tcBorders>
            <w:vAlign w:val="center"/>
          </w:tcPr>
          <w:p w14:paraId="348590C5" w14:textId="77777777" w:rsidR="00700609" w:rsidRPr="00F67101" w:rsidRDefault="00700609" w:rsidP="00681BA8">
            <w:pPr>
              <w:pStyle w:val="Tabletext"/>
              <w:jc w:val="center"/>
              <w:rPr>
                <w:rFonts w:ascii="Times New Roman" w:hAnsi="Times New Roman" w:cs="Times New Roman"/>
              </w:rPr>
            </w:pPr>
            <w:r w:rsidRPr="00F67101">
              <w:rPr>
                <w:rFonts w:ascii="Times New Roman" w:hAnsi="Times New Roman" w:cs="Times New Roman"/>
              </w:rPr>
              <w:t>−151.51</w:t>
            </w:r>
          </w:p>
        </w:tc>
      </w:tr>
      <w:tr w:rsidR="00700609" w:rsidRPr="00F67101" w14:paraId="7635FD35" w14:textId="77777777" w:rsidTr="00F67101">
        <w:trPr>
          <w:jc w:val="center"/>
        </w:trPr>
        <w:tc>
          <w:tcPr>
            <w:tcW w:w="9209" w:type="dxa"/>
            <w:gridSpan w:val="3"/>
            <w:tcBorders>
              <w:left w:val="nil"/>
              <w:bottom w:val="nil"/>
              <w:right w:val="nil"/>
            </w:tcBorders>
          </w:tcPr>
          <w:p w14:paraId="0C8991CB" w14:textId="77777777" w:rsidR="00700609" w:rsidRPr="00F67101" w:rsidRDefault="00700609" w:rsidP="00681BA8">
            <w:pPr>
              <w:pStyle w:val="Tabletext"/>
              <w:rPr>
                <w:rFonts w:ascii="Times New Roman" w:hAnsi="Times New Roman" w:cs="Times New Roman"/>
              </w:rPr>
            </w:pPr>
            <w:r w:rsidRPr="00F67101">
              <w:rPr>
                <w:rFonts w:ascii="Times New Roman" w:hAnsi="Times New Roman" w:cs="Times New Roman"/>
                <w:vertAlign w:val="superscript"/>
              </w:rPr>
              <w:t>(1)</w:t>
            </w:r>
            <w:r w:rsidRPr="00F67101">
              <w:rPr>
                <w:rFonts w:ascii="Times New Roman" w:hAnsi="Times New Roman" w:cs="Times New Roman"/>
                <w:vertAlign w:val="superscript"/>
              </w:rPr>
              <w:tab/>
            </w:r>
            <w:r w:rsidRPr="00F67101">
              <w:rPr>
                <w:rFonts w:ascii="Times New Roman" w:hAnsi="Times New Roman" w:cs="Times New Roman"/>
              </w:rPr>
              <w:t>See § 3 for link margin calculations and § 4 for derivation of interference signal power levels.</w:t>
            </w:r>
          </w:p>
          <w:p w14:paraId="14AAC436" w14:textId="77777777" w:rsidR="00700609" w:rsidRPr="00F67101" w:rsidRDefault="00700609" w:rsidP="00681BA8">
            <w:pPr>
              <w:pStyle w:val="Tabletext"/>
              <w:rPr>
                <w:rFonts w:ascii="Times New Roman" w:hAnsi="Times New Roman" w:cs="Times New Roman"/>
              </w:rPr>
            </w:pPr>
            <w:r w:rsidRPr="00F67101">
              <w:rPr>
                <w:rFonts w:ascii="Times New Roman" w:hAnsi="Times New Roman" w:cs="Times New Roman"/>
                <w:vertAlign w:val="superscript"/>
              </w:rPr>
              <w:t>(2)</w:t>
            </w:r>
            <w:r w:rsidRPr="00F67101">
              <w:rPr>
                <w:rFonts w:ascii="Times New Roman" w:hAnsi="Times New Roman" w:cs="Times New Roman"/>
              </w:rPr>
              <w:tab/>
              <w:t>This percentage of time shall not be exceeded on a per-flight basis.</w:t>
            </w:r>
          </w:p>
        </w:tc>
      </w:tr>
    </w:tbl>
    <w:p w14:paraId="103FD4A7" w14:textId="77777777" w:rsidR="00700609" w:rsidRPr="00AE3A31" w:rsidRDefault="00700609" w:rsidP="00700609">
      <w:pPr>
        <w:pStyle w:val="Tablefin"/>
      </w:pPr>
    </w:p>
    <w:p w14:paraId="7BCDC63C" w14:textId="77777777" w:rsidR="00700609" w:rsidRPr="00AE3A31" w:rsidRDefault="00700609" w:rsidP="00700609">
      <w:pPr>
        <w:overflowPunct/>
        <w:autoSpaceDE/>
        <w:autoSpaceDN/>
        <w:adjustRightInd/>
        <w:spacing w:before="0"/>
        <w:textAlignment w:val="auto"/>
        <w:rPr>
          <w:caps/>
          <w:sz w:val="20"/>
        </w:rPr>
      </w:pPr>
      <w:r w:rsidRPr="00AE3A31">
        <w:br w:type="page"/>
      </w:r>
    </w:p>
    <w:p w14:paraId="203AD526" w14:textId="77777777" w:rsidR="00700609" w:rsidRPr="00AE3A31" w:rsidRDefault="00700609" w:rsidP="00700609">
      <w:pPr>
        <w:pStyle w:val="TableNo"/>
        <w:keepLines/>
      </w:pPr>
      <w:r w:rsidRPr="00AE3A31">
        <w:lastRenderedPageBreak/>
        <w:t>TABLE 2</w:t>
      </w:r>
    </w:p>
    <w:p w14:paraId="0C0FD545" w14:textId="77777777" w:rsidR="00700609" w:rsidRPr="00AE3A31" w:rsidRDefault="00700609" w:rsidP="00700609">
      <w:pPr>
        <w:pStyle w:val="Tabletitle"/>
      </w:pPr>
      <w:r w:rsidRPr="00AE3A31">
        <w:t>Interference criteria for radiosonde systems in the MetAids service operating</w:t>
      </w:r>
      <w:r w:rsidRPr="00AE3A31">
        <w:br/>
        <w:t>in the frequency band 400.15-406 MHz</w:t>
      </w:r>
      <w:r w:rsidRPr="00AE3A31">
        <w:rPr>
          <w:vertAlign w:val="superscript"/>
        </w:rPr>
        <w:t xml:space="preserve"> (1)</w:t>
      </w:r>
    </w:p>
    <w:tbl>
      <w:tblPr>
        <w:tblW w:w="96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A0" w:firstRow="1" w:lastRow="0" w:firstColumn="1" w:lastColumn="0" w:noHBand="0" w:noVBand="0"/>
      </w:tblPr>
      <w:tblGrid>
        <w:gridCol w:w="3924"/>
        <w:gridCol w:w="1112"/>
        <w:gridCol w:w="1313"/>
        <w:gridCol w:w="1091"/>
        <w:gridCol w:w="1294"/>
        <w:gridCol w:w="910"/>
      </w:tblGrid>
      <w:tr w:rsidR="00700609" w:rsidRPr="00AE3A31" w14:paraId="05AAC1F0" w14:textId="77777777" w:rsidTr="00F67101">
        <w:trPr>
          <w:trHeight w:val="361"/>
          <w:jc w:val="center"/>
        </w:trPr>
        <w:tc>
          <w:tcPr>
            <w:tcW w:w="2033" w:type="pct"/>
            <w:tcBorders>
              <w:top w:val="single" w:sz="4" w:space="0" w:color="auto"/>
              <w:left w:val="single" w:sz="4" w:space="0" w:color="auto"/>
              <w:bottom w:val="single" w:sz="4" w:space="0" w:color="auto"/>
              <w:right w:val="single" w:sz="4" w:space="0" w:color="auto"/>
            </w:tcBorders>
            <w:vAlign w:val="center"/>
          </w:tcPr>
          <w:p w14:paraId="56756FF6" w14:textId="77777777" w:rsidR="00700609" w:rsidRPr="008E1C50" w:rsidRDefault="00700609" w:rsidP="00681BA8">
            <w:pPr>
              <w:pStyle w:val="Tablehead"/>
              <w:keepLines/>
              <w:rPr>
                <w:sz w:val="20"/>
              </w:rPr>
            </w:pPr>
            <w:r w:rsidRPr="008E1C50">
              <w:rPr>
                <w:sz w:val="20"/>
              </w:rPr>
              <w:t>Parameter</w:t>
            </w:r>
          </w:p>
        </w:tc>
        <w:tc>
          <w:tcPr>
            <w:tcW w:w="576" w:type="pct"/>
            <w:tcBorders>
              <w:top w:val="single" w:sz="4" w:space="0" w:color="auto"/>
              <w:left w:val="single" w:sz="4" w:space="0" w:color="auto"/>
              <w:right w:val="single" w:sz="4" w:space="0" w:color="auto"/>
            </w:tcBorders>
            <w:vAlign w:val="center"/>
          </w:tcPr>
          <w:p w14:paraId="72551D89" w14:textId="77777777" w:rsidR="00700609" w:rsidRPr="008E1C50" w:rsidRDefault="00700609" w:rsidP="00681BA8">
            <w:pPr>
              <w:pStyle w:val="Tablehead"/>
              <w:keepLines/>
              <w:rPr>
                <w:sz w:val="20"/>
              </w:rPr>
            </w:pPr>
            <w:r w:rsidRPr="008E1C50">
              <w:rPr>
                <w:sz w:val="20"/>
              </w:rPr>
              <w:t>Type A</w:t>
            </w:r>
          </w:p>
        </w:tc>
        <w:tc>
          <w:tcPr>
            <w:tcW w:w="680" w:type="pct"/>
            <w:tcBorders>
              <w:top w:val="single" w:sz="4" w:space="0" w:color="auto"/>
              <w:left w:val="single" w:sz="4" w:space="0" w:color="auto"/>
              <w:right w:val="single" w:sz="4" w:space="0" w:color="auto"/>
            </w:tcBorders>
            <w:vAlign w:val="center"/>
          </w:tcPr>
          <w:p w14:paraId="465B038F" w14:textId="77777777" w:rsidR="00700609" w:rsidRPr="008E1C50" w:rsidRDefault="00700609" w:rsidP="00681BA8">
            <w:pPr>
              <w:pStyle w:val="Tablehead"/>
              <w:keepLines/>
              <w:rPr>
                <w:sz w:val="20"/>
              </w:rPr>
            </w:pPr>
            <w:r w:rsidRPr="008E1C50">
              <w:rPr>
                <w:sz w:val="20"/>
              </w:rPr>
              <w:t>Type B</w:t>
            </w:r>
          </w:p>
        </w:tc>
        <w:tc>
          <w:tcPr>
            <w:tcW w:w="565" w:type="pct"/>
            <w:tcBorders>
              <w:top w:val="single" w:sz="4" w:space="0" w:color="auto"/>
              <w:left w:val="single" w:sz="4" w:space="0" w:color="auto"/>
              <w:right w:val="single" w:sz="4" w:space="0" w:color="auto"/>
            </w:tcBorders>
            <w:vAlign w:val="center"/>
          </w:tcPr>
          <w:p w14:paraId="2CA46948" w14:textId="77777777" w:rsidR="00700609" w:rsidRPr="008E1C50" w:rsidRDefault="00700609" w:rsidP="00681BA8">
            <w:pPr>
              <w:pStyle w:val="Tablehead"/>
              <w:keepLines/>
              <w:rPr>
                <w:sz w:val="20"/>
              </w:rPr>
            </w:pPr>
            <w:r w:rsidRPr="008E1C50">
              <w:rPr>
                <w:sz w:val="20"/>
              </w:rPr>
              <w:t>Type C</w:t>
            </w:r>
          </w:p>
        </w:tc>
        <w:tc>
          <w:tcPr>
            <w:tcW w:w="671" w:type="pct"/>
            <w:tcBorders>
              <w:top w:val="single" w:sz="4" w:space="0" w:color="auto"/>
              <w:left w:val="single" w:sz="4" w:space="0" w:color="auto"/>
              <w:right w:val="single" w:sz="4" w:space="0" w:color="auto"/>
            </w:tcBorders>
            <w:vAlign w:val="center"/>
          </w:tcPr>
          <w:p w14:paraId="3A67AAF3" w14:textId="77777777" w:rsidR="00700609" w:rsidRPr="008E1C50" w:rsidRDefault="00700609" w:rsidP="00681BA8">
            <w:pPr>
              <w:pStyle w:val="Tablehead"/>
              <w:keepLines/>
              <w:rPr>
                <w:sz w:val="20"/>
              </w:rPr>
            </w:pPr>
            <w:r w:rsidRPr="008E1C50">
              <w:rPr>
                <w:sz w:val="20"/>
              </w:rPr>
              <w:t>Type D</w:t>
            </w:r>
          </w:p>
        </w:tc>
        <w:tc>
          <w:tcPr>
            <w:tcW w:w="472" w:type="pct"/>
            <w:tcBorders>
              <w:top w:val="single" w:sz="4" w:space="0" w:color="auto"/>
              <w:left w:val="single" w:sz="4" w:space="0" w:color="auto"/>
              <w:right w:val="single" w:sz="4" w:space="0" w:color="auto"/>
            </w:tcBorders>
            <w:vAlign w:val="center"/>
          </w:tcPr>
          <w:p w14:paraId="3616042B" w14:textId="77777777" w:rsidR="00700609" w:rsidRPr="008E1C50" w:rsidRDefault="00700609" w:rsidP="00681BA8">
            <w:pPr>
              <w:pStyle w:val="Tablehead"/>
              <w:keepLines/>
              <w:rPr>
                <w:sz w:val="20"/>
              </w:rPr>
            </w:pPr>
            <w:r w:rsidRPr="008E1C50">
              <w:rPr>
                <w:sz w:val="20"/>
              </w:rPr>
              <w:t>Type E</w:t>
            </w:r>
          </w:p>
        </w:tc>
      </w:tr>
      <w:tr w:rsidR="00700609" w:rsidRPr="00AE3A31" w14:paraId="4490C4DF" w14:textId="77777777" w:rsidTr="00F67101">
        <w:trPr>
          <w:trHeight w:val="297"/>
          <w:jc w:val="center"/>
        </w:trPr>
        <w:tc>
          <w:tcPr>
            <w:tcW w:w="2033" w:type="pct"/>
            <w:tcBorders>
              <w:top w:val="single" w:sz="4" w:space="0" w:color="auto"/>
              <w:left w:val="single" w:sz="4" w:space="0" w:color="auto"/>
              <w:bottom w:val="single" w:sz="4" w:space="0" w:color="auto"/>
              <w:right w:val="single" w:sz="4" w:space="0" w:color="auto"/>
            </w:tcBorders>
          </w:tcPr>
          <w:p w14:paraId="02DEBF46" w14:textId="77777777" w:rsidR="00700609" w:rsidRPr="008E1C50" w:rsidRDefault="00700609" w:rsidP="00F67101">
            <w:pPr>
              <w:pStyle w:val="Tabletext"/>
              <w:keepNext/>
              <w:keepLines/>
              <w:jc w:val="left"/>
              <w:rPr>
                <w:sz w:val="20"/>
              </w:rPr>
            </w:pPr>
            <w:r w:rsidRPr="008E1C50">
              <w:rPr>
                <w:sz w:val="20"/>
              </w:rPr>
              <w:t>System reference bandwidth (kHz)</w:t>
            </w:r>
          </w:p>
        </w:tc>
        <w:tc>
          <w:tcPr>
            <w:tcW w:w="576" w:type="pct"/>
            <w:tcBorders>
              <w:left w:val="single" w:sz="4" w:space="0" w:color="auto"/>
              <w:right w:val="single" w:sz="4" w:space="0" w:color="auto"/>
            </w:tcBorders>
            <w:vAlign w:val="center"/>
          </w:tcPr>
          <w:p w14:paraId="365CA4EA" w14:textId="77777777" w:rsidR="00700609" w:rsidRPr="008E1C50" w:rsidRDefault="00700609" w:rsidP="00681BA8">
            <w:pPr>
              <w:pStyle w:val="Tabletext"/>
              <w:keepNext/>
              <w:keepLines/>
              <w:jc w:val="center"/>
              <w:rPr>
                <w:sz w:val="20"/>
              </w:rPr>
            </w:pPr>
            <w:r w:rsidRPr="008E1C50">
              <w:rPr>
                <w:sz w:val="20"/>
              </w:rPr>
              <w:t>300</w:t>
            </w:r>
          </w:p>
        </w:tc>
        <w:tc>
          <w:tcPr>
            <w:tcW w:w="680" w:type="pct"/>
            <w:tcBorders>
              <w:left w:val="single" w:sz="4" w:space="0" w:color="auto"/>
              <w:right w:val="single" w:sz="4" w:space="0" w:color="auto"/>
            </w:tcBorders>
            <w:vAlign w:val="center"/>
          </w:tcPr>
          <w:p w14:paraId="1B2F7F9A" w14:textId="77777777" w:rsidR="00700609" w:rsidRPr="008E1C50" w:rsidRDefault="00700609" w:rsidP="00681BA8">
            <w:pPr>
              <w:pStyle w:val="Tabletext"/>
              <w:keepNext/>
              <w:keepLines/>
              <w:jc w:val="center"/>
              <w:rPr>
                <w:sz w:val="20"/>
              </w:rPr>
            </w:pPr>
            <w:r w:rsidRPr="008E1C50">
              <w:rPr>
                <w:sz w:val="20"/>
              </w:rPr>
              <w:t>6</w:t>
            </w:r>
          </w:p>
        </w:tc>
        <w:tc>
          <w:tcPr>
            <w:tcW w:w="565" w:type="pct"/>
            <w:tcBorders>
              <w:left w:val="single" w:sz="4" w:space="0" w:color="auto"/>
              <w:right w:val="single" w:sz="4" w:space="0" w:color="auto"/>
            </w:tcBorders>
            <w:vAlign w:val="center"/>
          </w:tcPr>
          <w:p w14:paraId="083EF238" w14:textId="77777777" w:rsidR="00700609" w:rsidRPr="008E1C50" w:rsidRDefault="00700609" w:rsidP="00681BA8">
            <w:pPr>
              <w:pStyle w:val="Tabletext"/>
              <w:keepNext/>
              <w:keepLines/>
              <w:jc w:val="center"/>
              <w:rPr>
                <w:sz w:val="20"/>
              </w:rPr>
            </w:pPr>
            <w:r w:rsidRPr="008E1C50">
              <w:rPr>
                <w:sz w:val="20"/>
              </w:rPr>
              <w:t>11</w:t>
            </w:r>
          </w:p>
        </w:tc>
        <w:tc>
          <w:tcPr>
            <w:tcW w:w="671" w:type="pct"/>
            <w:tcBorders>
              <w:left w:val="single" w:sz="4" w:space="0" w:color="auto"/>
              <w:right w:val="single" w:sz="4" w:space="0" w:color="auto"/>
            </w:tcBorders>
            <w:vAlign w:val="center"/>
          </w:tcPr>
          <w:p w14:paraId="71DEF574" w14:textId="77777777" w:rsidR="00700609" w:rsidRPr="008E1C50" w:rsidRDefault="00700609" w:rsidP="00681BA8">
            <w:pPr>
              <w:pStyle w:val="Tabletext"/>
              <w:keepNext/>
              <w:keepLines/>
              <w:jc w:val="center"/>
              <w:rPr>
                <w:sz w:val="20"/>
              </w:rPr>
            </w:pPr>
            <w:r w:rsidRPr="008E1C50">
              <w:rPr>
                <w:sz w:val="20"/>
              </w:rPr>
              <w:t>17</w:t>
            </w:r>
          </w:p>
        </w:tc>
        <w:tc>
          <w:tcPr>
            <w:tcW w:w="472" w:type="pct"/>
            <w:tcBorders>
              <w:left w:val="single" w:sz="4" w:space="0" w:color="auto"/>
              <w:right w:val="single" w:sz="4" w:space="0" w:color="auto"/>
            </w:tcBorders>
            <w:vAlign w:val="center"/>
          </w:tcPr>
          <w:p w14:paraId="117B5C4E" w14:textId="77777777" w:rsidR="00700609" w:rsidRPr="008E1C50" w:rsidRDefault="00700609" w:rsidP="00681BA8">
            <w:pPr>
              <w:pStyle w:val="Tabletext"/>
              <w:keepNext/>
              <w:keepLines/>
              <w:jc w:val="center"/>
              <w:rPr>
                <w:sz w:val="20"/>
              </w:rPr>
            </w:pPr>
            <w:r w:rsidRPr="008E1C50">
              <w:rPr>
                <w:sz w:val="20"/>
              </w:rPr>
              <w:t>18.8</w:t>
            </w:r>
          </w:p>
        </w:tc>
      </w:tr>
      <w:tr w:rsidR="00700609" w:rsidRPr="00AE3A31" w14:paraId="682D6D71" w14:textId="77777777" w:rsidTr="00F67101">
        <w:trPr>
          <w:trHeight w:val="733"/>
          <w:jc w:val="center"/>
        </w:trPr>
        <w:tc>
          <w:tcPr>
            <w:tcW w:w="2033" w:type="pct"/>
            <w:tcBorders>
              <w:top w:val="single" w:sz="4" w:space="0" w:color="auto"/>
              <w:left w:val="single" w:sz="4" w:space="0" w:color="auto"/>
              <w:bottom w:val="single" w:sz="4" w:space="0" w:color="auto"/>
              <w:right w:val="single" w:sz="4" w:space="0" w:color="auto"/>
            </w:tcBorders>
          </w:tcPr>
          <w:p w14:paraId="00DD831F" w14:textId="77777777" w:rsidR="00700609" w:rsidRPr="008E1C50" w:rsidRDefault="00700609" w:rsidP="00F67101">
            <w:pPr>
              <w:pStyle w:val="Tabletext"/>
              <w:keepNext/>
              <w:keepLines/>
              <w:jc w:val="left"/>
              <w:rPr>
                <w:sz w:val="20"/>
              </w:rPr>
            </w:pPr>
            <w:r w:rsidRPr="008E1C50">
              <w:rPr>
                <w:sz w:val="20"/>
              </w:rPr>
              <w:t xml:space="preserve">Interference signal power (dBW) in the reference bandwidth to be exceeded no more than </w:t>
            </w:r>
            <w:r w:rsidRPr="008E1C50">
              <w:rPr>
                <w:i/>
                <w:sz w:val="20"/>
              </w:rPr>
              <w:t>P</w:t>
            </w:r>
            <w:r w:rsidRPr="008E1C50">
              <w:rPr>
                <w:i/>
                <w:sz w:val="20"/>
                <w:vertAlign w:val="subscript"/>
              </w:rPr>
              <w:t>LOCK-LOSS</w:t>
            </w:r>
            <w:r w:rsidRPr="008E1C50">
              <w:rPr>
                <w:sz w:val="20"/>
              </w:rPr>
              <w:t>% of the time (dBW)</w:t>
            </w:r>
          </w:p>
        </w:tc>
        <w:tc>
          <w:tcPr>
            <w:tcW w:w="576" w:type="pct"/>
            <w:tcBorders>
              <w:left w:val="single" w:sz="4" w:space="0" w:color="auto"/>
              <w:right w:val="single" w:sz="4" w:space="0" w:color="auto"/>
            </w:tcBorders>
            <w:vAlign w:val="center"/>
          </w:tcPr>
          <w:p w14:paraId="4CFBE326" w14:textId="77777777" w:rsidR="00700609" w:rsidRPr="008E1C50" w:rsidRDefault="00700609" w:rsidP="00681BA8">
            <w:pPr>
              <w:pStyle w:val="Tabletext"/>
              <w:keepNext/>
              <w:keepLines/>
              <w:jc w:val="center"/>
              <w:rPr>
                <w:sz w:val="20"/>
              </w:rPr>
            </w:pPr>
            <w:r w:rsidRPr="008E1C50">
              <w:rPr>
                <w:sz w:val="20"/>
              </w:rPr>
              <w:t>−</w:t>
            </w:r>
            <w:r w:rsidRPr="008E1C50">
              <w:rPr>
                <w:color w:val="000000"/>
                <w:sz w:val="20"/>
              </w:rPr>
              <w:t>141.2</w:t>
            </w:r>
          </w:p>
        </w:tc>
        <w:tc>
          <w:tcPr>
            <w:tcW w:w="680" w:type="pct"/>
            <w:tcBorders>
              <w:left w:val="single" w:sz="4" w:space="0" w:color="auto"/>
              <w:right w:val="single" w:sz="4" w:space="0" w:color="auto"/>
            </w:tcBorders>
            <w:vAlign w:val="center"/>
          </w:tcPr>
          <w:p w14:paraId="76460D0F" w14:textId="77777777" w:rsidR="00700609" w:rsidRPr="008E1C50" w:rsidRDefault="00700609" w:rsidP="00681BA8">
            <w:pPr>
              <w:pStyle w:val="Tabletext"/>
              <w:keepNext/>
              <w:keepLines/>
              <w:jc w:val="center"/>
              <w:rPr>
                <w:sz w:val="20"/>
              </w:rPr>
            </w:pPr>
            <w:r w:rsidRPr="008E1C50">
              <w:rPr>
                <w:sz w:val="20"/>
              </w:rPr>
              <w:t xml:space="preserve">Not applicable </w:t>
            </w:r>
            <w:r w:rsidRPr="008E1C50">
              <w:rPr>
                <w:sz w:val="20"/>
                <w:vertAlign w:val="superscript"/>
              </w:rPr>
              <w:t>(2)</w:t>
            </w:r>
          </w:p>
        </w:tc>
        <w:tc>
          <w:tcPr>
            <w:tcW w:w="565" w:type="pct"/>
            <w:tcBorders>
              <w:left w:val="single" w:sz="4" w:space="0" w:color="auto"/>
              <w:right w:val="single" w:sz="4" w:space="0" w:color="auto"/>
            </w:tcBorders>
            <w:vAlign w:val="center"/>
          </w:tcPr>
          <w:p w14:paraId="786FDF19" w14:textId="77777777" w:rsidR="00700609" w:rsidRPr="008E1C50" w:rsidRDefault="00700609" w:rsidP="00681BA8">
            <w:pPr>
              <w:pStyle w:val="Tabletext"/>
              <w:keepNext/>
              <w:keepLines/>
              <w:jc w:val="center"/>
              <w:rPr>
                <w:sz w:val="20"/>
              </w:rPr>
            </w:pPr>
            <w:r w:rsidRPr="008E1C50">
              <w:rPr>
                <w:sz w:val="20"/>
              </w:rPr>
              <w:t>−</w:t>
            </w:r>
            <w:r w:rsidRPr="008E1C50">
              <w:rPr>
                <w:color w:val="000000"/>
                <w:sz w:val="20"/>
              </w:rPr>
              <w:t>145.6</w:t>
            </w:r>
          </w:p>
        </w:tc>
        <w:tc>
          <w:tcPr>
            <w:tcW w:w="671" w:type="pct"/>
            <w:tcBorders>
              <w:left w:val="single" w:sz="4" w:space="0" w:color="auto"/>
              <w:right w:val="single" w:sz="4" w:space="0" w:color="auto"/>
            </w:tcBorders>
            <w:vAlign w:val="center"/>
          </w:tcPr>
          <w:p w14:paraId="76CEBC96" w14:textId="77777777" w:rsidR="00700609" w:rsidRPr="008E1C50" w:rsidRDefault="00700609" w:rsidP="00681BA8">
            <w:pPr>
              <w:pStyle w:val="Tabletext"/>
              <w:keepNext/>
              <w:keepLines/>
              <w:jc w:val="center"/>
              <w:rPr>
                <w:sz w:val="20"/>
              </w:rPr>
            </w:pPr>
            <w:r w:rsidRPr="008E1C50">
              <w:rPr>
                <w:sz w:val="20"/>
              </w:rPr>
              <w:t xml:space="preserve">Not applicable </w:t>
            </w:r>
            <w:r w:rsidRPr="008E1C50">
              <w:rPr>
                <w:sz w:val="20"/>
                <w:vertAlign w:val="superscript"/>
              </w:rPr>
              <w:t>(2)</w:t>
            </w:r>
          </w:p>
        </w:tc>
        <w:tc>
          <w:tcPr>
            <w:tcW w:w="472" w:type="pct"/>
            <w:tcBorders>
              <w:left w:val="single" w:sz="4" w:space="0" w:color="auto"/>
              <w:right w:val="single" w:sz="4" w:space="0" w:color="auto"/>
            </w:tcBorders>
            <w:vAlign w:val="center"/>
          </w:tcPr>
          <w:p w14:paraId="7425C618" w14:textId="77777777" w:rsidR="00700609" w:rsidRPr="008E1C50" w:rsidRDefault="00700609" w:rsidP="00681BA8">
            <w:pPr>
              <w:keepNext/>
              <w:keepLines/>
              <w:jc w:val="center"/>
              <w:rPr>
                <w:color w:val="000000"/>
                <w:sz w:val="20"/>
              </w:rPr>
            </w:pPr>
            <w:r w:rsidRPr="008E1C50">
              <w:rPr>
                <w:sz w:val="20"/>
              </w:rPr>
              <w:t>−</w:t>
            </w:r>
            <w:r w:rsidRPr="008E1C50">
              <w:rPr>
                <w:color w:val="000000"/>
                <w:sz w:val="20"/>
              </w:rPr>
              <w:t>142.7</w:t>
            </w:r>
          </w:p>
        </w:tc>
      </w:tr>
      <w:tr w:rsidR="00700609" w:rsidRPr="00AE3A31" w14:paraId="7E922910" w14:textId="77777777" w:rsidTr="00F67101">
        <w:trPr>
          <w:trHeight w:val="255"/>
          <w:jc w:val="center"/>
        </w:trPr>
        <w:tc>
          <w:tcPr>
            <w:tcW w:w="2033" w:type="pct"/>
            <w:tcBorders>
              <w:top w:val="single" w:sz="4" w:space="0" w:color="auto"/>
              <w:left w:val="single" w:sz="4" w:space="0" w:color="auto"/>
              <w:bottom w:val="single" w:sz="4" w:space="0" w:color="auto"/>
              <w:right w:val="single" w:sz="4" w:space="0" w:color="auto"/>
            </w:tcBorders>
          </w:tcPr>
          <w:p w14:paraId="31CC8974" w14:textId="77777777" w:rsidR="00700609" w:rsidRPr="008E1C50" w:rsidRDefault="00700609" w:rsidP="00F67101">
            <w:pPr>
              <w:pStyle w:val="Tabletext"/>
              <w:keepNext/>
              <w:keepLines/>
              <w:jc w:val="left"/>
              <w:rPr>
                <w:sz w:val="20"/>
              </w:rPr>
            </w:pPr>
            <w:r w:rsidRPr="008E1C50">
              <w:rPr>
                <w:sz w:val="20"/>
              </w:rPr>
              <w:t xml:space="preserve">Percentage of time, </w:t>
            </w:r>
            <w:r w:rsidRPr="008E1C50">
              <w:rPr>
                <w:i/>
                <w:sz w:val="20"/>
              </w:rPr>
              <w:t>P</w:t>
            </w:r>
            <w:r w:rsidRPr="008E1C50">
              <w:rPr>
                <w:i/>
                <w:sz w:val="20"/>
                <w:vertAlign w:val="subscript"/>
              </w:rPr>
              <w:t xml:space="preserve">LOCK-LOSS </w:t>
            </w:r>
            <w:r w:rsidRPr="008E1C50">
              <w:rPr>
                <w:sz w:val="20"/>
              </w:rPr>
              <w:t>(%)</w:t>
            </w:r>
            <w:r w:rsidRPr="008E1C50">
              <w:rPr>
                <w:sz w:val="20"/>
                <w:vertAlign w:val="superscript"/>
              </w:rPr>
              <w:t xml:space="preserve">(3) </w:t>
            </w:r>
          </w:p>
        </w:tc>
        <w:tc>
          <w:tcPr>
            <w:tcW w:w="576" w:type="pct"/>
            <w:tcBorders>
              <w:left w:val="single" w:sz="4" w:space="0" w:color="auto"/>
              <w:right w:val="single" w:sz="4" w:space="0" w:color="auto"/>
            </w:tcBorders>
            <w:vAlign w:val="center"/>
          </w:tcPr>
          <w:p w14:paraId="0EC1F538" w14:textId="77777777" w:rsidR="00700609" w:rsidRPr="008E1C50" w:rsidRDefault="00700609" w:rsidP="00681BA8">
            <w:pPr>
              <w:pStyle w:val="Tabletext"/>
              <w:keepNext/>
              <w:keepLines/>
              <w:jc w:val="center"/>
              <w:rPr>
                <w:sz w:val="20"/>
              </w:rPr>
            </w:pPr>
            <w:r w:rsidRPr="008E1C50">
              <w:rPr>
                <w:sz w:val="20"/>
              </w:rPr>
              <w:t>0.02</w:t>
            </w:r>
          </w:p>
        </w:tc>
        <w:tc>
          <w:tcPr>
            <w:tcW w:w="680" w:type="pct"/>
            <w:tcBorders>
              <w:left w:val="single" w:sz="4" w:space="0" w:color="auto"/>
              <w:right w:val="single" w:sz="4" w:space="0" w:color="auto"/>
            </w:tcBorders>
            <w:vAlign w:val="center"/>
          </w:tcPr>
          <w:p w14:paraId="41E92329" w14:textId="77777777" w:rsidR="00700609" w:rsidRPr="008E1C50" w:rsidRDefault="00700609" w:rsidP="00681BA8">
            <w:pPr>
              <w:pStyle w:val="Tabletext"/>
              <w:keepNext/>
              <w:keepLines/>
              <w:jc w:val="center"/>
              <w:rPr>
                <w:sz w:val="20"/>
              </w:rPr>
            </w:pPr>
            <w:r w:rsidRPr="008E1C50">
              <w:rPr>
                <w:sz w:val="20"/>
              </w:rPr>
              <w:t xml:space="preserve">Not applicable </w:t>
            </w:r>
            <w:r w:rsidRPr="008E1C50">
              <w:rPr>
                <w:sz w:val="20"/>
                <w:vertAlign w:val="superscript"/>
              </w:rPr>
              <w:t>(2)</w:t>
            </w:r>
          </w:p>
        </w:tc>
        <w:tc>
          <w:tcPr>
            <w:tcW w:w="565" w:type="pct"/>
            <w:tcBorders>
              <w:left w:val="single" w:sz="4" w:space="0" w:color="auto"/>
              <w:right w:val="single" w:sz="4" w:space="0" w:color="auto"/>
            </w:tcBorders>
            <w:vAlign w:val="center"/>
          </w:tcPr>
          <w:p w14:paraId="27F6B01E" w14:textId="77777777" w:rsidR="00700609" w:rsidRPr="008E1C50" w:rsidRDefault="00700609" w:rsidP="00681BA8">
            <w:pPr>
              <w:pStyle w:val="Tabletext"/>
              <w:keepNext/>
              <w:keepLines/>
              <w:jc w:val="center"/>
              <w:rPr>
                <w:sz w:val="20"/>
              </w:rPr>
            </w:pPr>
            <w:r w:rsidRPr="008E1C50">
              <w:rPr>
                <w:sz w:val="20"/>
              </w:rPr>
              <w:t>0.02</w:t>
            </w:r>
          </w:p>
        </w:tc>
        <w:tc>
          <w:tcPr>
            <w:tcW w:w="671" w:type="pct"/>
            <w:tcBorders>
              <w:left w:val="single" w:sz="4" w:space="0" w:color="auto"/>
              <w:right w:val="single" w:sz="4" w:space="0" w:color="auto"/>
            </w:tcBorders>
            <w:vAlign w:val="center"/>
          </w:tcPr>
          <w:p w14:paraId="3DCF28AB" w14:textId="77777777" w:rsidR="00700609" w:rsidRPr="008E1C50" w:rsidRDefault="00700609" w:rsidP="00681BA8">
            <w:pPr>
              <w:pStyle w:val="Tabletext"/>
              <w:keepNext/>
              <w:keepLines/>
              <w:jc w:val="center"/>
              <w:rPr>
                <w:sz w:val="20"/>
              </w:rPr>
            </w:pPr>
            <w:r w:rsidRPr="008E1C50">
              <w:rPr>
                <w:sz w:val="20"/>
              </w:rPr>
              <w:t xml:space="preserve">Not applicable </w:t>
            </w:r>
            <w:r w:rsidRPr="008E1C50">
              <w:rPr>
                <w:sz w:val="20"/>
                <w:vertAlign w:val="superscript"/>
              </w:rPr>
              <w:t>(2)</w:t>
            </w:r>
          </w:p>
        </w:tc>
        <w:tc>
          <w:tcPr>
            <w:tcW w:w="472" w:type="pct"/>
            <w:tcBorders>
              <w:left w:val="single" w:sz="4" w:space="0" w:color="auto"/>
              <w:right w:val="single" w:sz="4" w:space="0" w:color="auto"/>
            </w:tcBorders>
            <w:vAlign w:val="center"/>
          </w:tcPr>
          <w:p w14:paraId="4F5803AF" w14:textId="77777777" w:rsidR="00700609" w:rsidRPr="008E1C50" w:rsidRDefault="00700609" w:rsidP="00681BA8">
            <w:pPr>
              <w:pStyle w:val="Tabletext"/>
              <w:keepNext/>
              <w:keepLines/>
              <w:jc w:val="center"/>
              <w:rPr>
                <w:sz w:val="20"/>
              </w:rPr>
            </w:pPr>
            <w:r w:rsidRPr="008E1C50">
              <w:rPr>
                <w:sz w:val="20"/>
              </w:rPr>
              <w:t>0.02</w:t>
            </w:r>
          </w:p>
        </w:tc>
      </w:tr>
      <w:tr w:rsidR="00700609" w:rsidRPr="00AE3A31" w14:paraId="3EEA357C" w14:textId="77777777" w:rsidTr="00F67101">
        <w:trPr>
          <w:trHeight w:val="744"/>
          <w:jc w:val="center"/>
        </w:trPr>
        <w:tc>
          <w:tcPr>
            <w:tcW w:w="2033" w:type="pct"/>
            <w:tcBorders>
              <w:top w:val="single" w:sz="4" w:space="0" w:color="auto"/>
              <w:left w:val="single" w:sz="4" w:space="0" w:color="auto"/>
              <w:bottom w:val="single" w:sz="4" w:space="0" w:color="auto"/>
              <w:right w:val="single" w:sz="4" w:space="0" w:color="auto"/>
            </w:tcBorders>
          </w:tcPr>
          <w:p w14:paraId="483E3882" w14:textId="77777777" w:rsidR="00700609" w:rsidRPr="008E1C50" w:rsidRDefault="00700609" w:rsidP="00F67101">
            <w:pPr>
              <w:pStyle w:val="Tabletext"/>
              <w:jc w:val="left"/>
              <w:rPr>
                <w:sz w:val="20"/>
              </w:rPr>
            </w:pPr>
            <w:r w:rsidRPr="008E1C50">
              <w:rPr>
                <w:sz w:val="20"/>
              </w:rPr>
              <w:t xml:space="preserve">Interference signal power in the reference bandwidth to be exceeded no more than </w:t>
            </w:r>
            <w:r w:rsidRPr="008E1C50">
              <w:rPr>
                <w:i/>
                <w:iCs/>
                <w:sz w:val="20"/>
              </w:rPr>
              <w:t>P</w:t>
            </w:r>
            <w:r w:rsidRPr="008E1C50">
              <w:rPr>
                <w:i/>
                <w:sz w:val="20"/>
                <w:vertAlign w:val="subscript"/>
              </w:rPr>
              <w:t>DATA-LOSS</w:t>
            </w:r>
            <w:r w:rsidRPr="008E1C50">
              <w:rPr>
                <w:sz w:val="20"/>
              </w:rPr>
              <w:t>% of the time (dBW)</w:t>
            </w:r>
          </w:p>
        </w:tc>
        <w:tc>
          <w:tcPr>
            <w:tcW w:w="576" w:type="pct"/>
            <w:tcBorders>
              <w:left w:val="single" w:sz="4" w:space="0" w:color="auto"/>
              <w:right w:val="single" w:sz="4" w:space="0" w:color="auto"/>
            </w:tcBorders>
            <w:vAlign w:val="center"/>
          </w:tcPr>
          <w:p w14:paraId="160AAA12" w14:textId="77777777" w:rsidR="00700609" w:rsidRPr="008E1C50" w:rsidRDefault="00700609" w:rsidP="00681BA8">
            <w:pPr>
              <w:pStyle w:val="Tabletext"/>
              <w:jc w:val="center"/>
              <w:rPr>
                <w:sz w:val="20"/>
              </w:rPr>
            </w:pPr>
            <w:r w:rsidRPr="008E1C50">
              <w:rPr>
                <w:sz w:val="20"/>
              </w:rPr>
              <w:t>−</w:t>
            </w:r>
            <w:r w:rsidRPr="008E1C50">
              <w:rPr>
                <w:color w:val="000000"/>
                <w:sz w:val="20"/>
              </w:rPr>
              <w:t>151.7</w:t>
            </w:r>
          </w:p>
        </w:tc>
        <w:tc>
          <w:tcPr>
            <w:tcW w:w="680" w:type="pct"/>
            <w:tcBorders>
              <w:left w:val="single" w:sz="4" w:space="0" w:color="auto"/>
              <w:right w:val="single" w:sz="4" w:space="0" w:color="auto"/>
            </w:tcBorders>
            <w:vAlign w:val="center"/>
          </w:tcPr>
          <w:p w14:paraId="322B3C06" w14:textId="77777777" w:rsidR="00700609" w:rsidRPr="008E1C50" w:rsidRDefault="00700609" w:rsidP="00681BA8">
            <w:pPr>
              <w:pStyle w:val="Tabletext"/>
              <w:jc w:val="center"/>
              <w:rPr>
                <w:sz w:val="20"/>
              </w:rPr>
            </w:pPr>
            <w:r w:rsidRPr="008E1C50">
              <w:rPr>
                <w:sz w:val="20"/>
              </w:rPr>
              <w:t>−</w:t>
            </w:r>
            <w:r w:rsidRPr="008E1C50">
              <w:rPr>
                <w:color w:val="000000"/>
                <w:sz w:val="20"/>
              </w:rPr>
              <w:t>146.5</w:t>
            </w:r>
          </w:p>
        </w:tc>
        <w:tc>
          <w:tcPr>
            <w:tcW w:w="565" w:type="pct"/>
            <w:tcBorders>
              <w:left w:val="single" w:sz="4" w:space="0" w:color="auto"/>
              <w:right w:val="single" w:sz="4" w:space="0" w:color="auto"/>
            </w:tcBorders>
            <w:vAlign w:val="center"/>
          </w:tcPr>
          <w:p w14:paraId="3FAA7098" w14:textId="77777777" w:rsidR="00700609" w:rsidRPr="008E1C50" w:rsidRDefault="00700609" w:rsidP="00681BA8">
            <w:pPr>
              <w:pStyle w:val="Tabletext"/>
              <w:jc w:val="center"/>
              <w:rPr>
                <w:color w:val="000000"/>
                <w:sz w:val="20"/>
              </w:rPr>
            </w:pPr>
            <w:r w:rsidRPr="008E1C50">
              <w:rPr>
                <w:sz w:val="20"/>
              </w:rPr>
              <w:t>−</w:t>
            </w:r>
            <w:r w:rsidRPr="008E1C50">
              <w:rPr>
                <w:color w:val="000000"/>
                <w:sz w:val="20"/>
              </w:rPr>
              <w:t>150.7</w:t>
            </w:r>
          </w:p>
        </w:tc>
        <w:tc>
          <w:tcPr>
            <w:tcW w:w="671" w:type="pct"/>
            <w:tcBorders>
              <w:left w:val="single" w:sz="4" w:space="0" w:color="auto"/>
              <w:right w:val="single" w:sz="4" w:space="0" w:color="auto"/>
            </w:tcBorders>
            <w:vAlign w:val="center"/>
          </w:tcPr>
          <w:p w14:paraId="08AE5CD3" w14:textId="77777777" w:rsidR="00700609" w:rsidRPr="008E1C50" w:rsidRDefault="00700609" w:rsidP="00681BA8">
            <w:pPr>
              <w:pStyle w:val="Tabletext"/>
              <w:jc w:val="center"/>
              <w:rPr>
                <w:color w:val="000000"/>
                <w:sz w:val="20"/>
              </w:rPr>
            </w:pPr>
            <w:r w:rsidRPr="008E1C50">
              <w:rPr>
                <w:sz w:val="20"/>
              </w:rPr>
              <w:t>−</w:t>
            </w:r>
            <w:r w:rsidRPr="008E1C50">
              <w:rPr>
                <w:color w:val="000000"/>
                <w:sz w:val="20"/>
              </w:rPr>
              <w:t>149.7</w:t>
            </w:r>
          </w:p>
        </w:tc>
        <w:tc>
          <w:tcPr>
            <w:tcW w:w="472" w:type="pct"/>
            <w:tcBorders>
              <w:left w:val="single" w:sz="4" w:space="0" w:color="auto"/>
              <w:right w:val="single" w:sz="4" w:space="0" w:color="auto"/>
            </w:tcBorders>
            <w:vAlign w:val="center"/>
          </w:tcPr>
          <w:p w14:paraId="242BC9D2" w14:textId="77777777" w:rsidR="00700609" w:rsidRPr="008E1C50" w:rsidRDefault="00700609" w:rsidP="00681BA8">
            <w:pPr>
              <w:pStyle w:val="Tabletext"/>
              <w:jc w:val="center"/>
              <w:rPr>
                <w:sz w:val="20"/>
              </w:rPr>
            </w:pPr>
            <w:r w:rsidRPr="008E1C50">
              <w:rPr>
                <w:sz w:val="20"/>
              </w:rPr>
              <w:t>−</w:t>
            </w:r>
            <w:r w:rsidRPr="008E1C50">
              <w:rPr>
                <w:color w:val="000000"/>
                <w:sz w:val="20"/>
              </w:rPr>
              <w:t>148.0</w:t>
            </w:r>
          </w:p>
        </w:tc>
      </w:tr>
      <w:tr w:rsidR="00700609" w:rsidRPr="00AE3A31" w14:paraId="0A5A87D9" w14:textId="77777777" w:rsidTr="00F67101">
        <w:trPr>
          <w:trHeight w:val="286"/>
          <w:jc w:val="center"/>
        </w:trPr>
        <w:tc>
          <w:tcPr>
            <w:tcW w:w="2033" w:type="pct"/>
            <w:tcBorders>
              <w:top w:val="single" w:sz="4" w:space="0" w:color="auto"/>
              <w:left w:val="single" w:sz="4" w:space="0" w:color="auto"/>
              <w:bottom w:val="single" w:sz="4" w:space="0" w:color="auto"/>
              <w:right w:val="single" w:sz="4" w:space="0" w:color="auto"/>
            </w:tcBorders>
          </w:tcPr>
          <w:p w14:paraId="3A12B8BA" w14:textId="77777777" w:rsidR="00700609" w:rsidRPr="008E1C50" w:rsidRDefault="00700609" w:rsidP="00F67101">
            <w:pPr>
              <w:pStyle w:val="Tabletext"/>
              <w:jc w:val="left"/>
              <w:rPr>
                <w:sz w:val="20"/>
              </w:rPr>
            </w:pPr>
            <w:r w:rsidRPr="008E1C50">
              <w:rPr>
                <w:sz w:val="20"/>
              </w:rPr>
              <w:t xml:space="preserve">Percentage of time, </w:t>
            </w:r>
            <w:r w:rsidRPr="008E1C50">
              <w:rPr>
                <w:i/>
                <w:sz w:val="20"/>
              </w:rPr>
              <w:t>P</w:t>
            </w:r>
            <w:r w:rsidRPr="008E1C50">
              <w:rPr>
                <w:i/>
                <w:sz w:val="20"/>
                <w:vertAlign w:val="subscript"/>
              </w:rPr>
              <w:t>DATA-LOSS</w:t>
            </w:r>
            <w:r w:rsidRPr="008E1C50">
              <w:rPr>
                <w:i/>
                <w:sz w:val="20"/>
              </w:rPr>
              <w:t xml:space="preserve"> </w:t>
            </w:r>
            <w:r w:rsidRPr="008E1C50">
              <w:rPr>
                <w:iCs/>
                <w:sz w:val="20"/>
              </w:rPr>
              <w:t>(</w:t>
            </w:r>
            <w:r w:rsidRPr="008E1C50">
              <w:rPr>
                <w:sz w:val="20"/>
              </w:rPr>
              <w:t>%)</w:t>
            </w:r>
            <w:r w:rsidRPr="008E1C50">
              <w:rPr>
                <w:sz w:val="20"/>
                <w:vertAlign w:val="superscript"/>
              </w:rPr>
              <w:t>(3)</w:t>
            </w:r>
          </w:p>
        </w:tc>
        <w:tc>
          <w:tcPr>
            <w:tcW w:w="576" w:type="pct"/>
            <w:tcBorders>
              <w:left w:val="single" w:sz="4" w:space="0" w:color="auto"/>
              <w:right w:val="single" w:sz="4" w:space="0" w:color="auto"/>
            </w:tcBorders>
            <w:vAlign w:val="center"/>
          </w:tcPr>
          <w:p w14:paraId="7B4599DF" w14:textId="77777777" w:rsidR="00700609" w:rsidRPr="008E1C50" w:rsidRDefault="00700609" w:rsidP="00681BA8">
            <w:pPr>
              <w:pStyle w:val="Tabletext"/>
              <w:jc w:val="center"/>
              <w:rPr>
                <w:sz w:val="20"/>
              </w:rPr>
            </w:pPr>
            <w:r w:rsidRPr="008E1C50">
              <w:rPr>
                <w:sz w:val="20"/>
              </w:rPr>
              <w:t>0.2</w:t>
            </w:r>
          </w:p>
        </w:tc>
        <w:tc>
          <w:tcPr>
            <w:tcW w:w="680" w:type="pct"/>
            <w:tcBorders>
              <w:left w:val="single" w:sz="4" w:space="0" w:color="auto"/>
              <w:right w:val="single" w:sz="4" w:space="0" w:color="auto"/>
            </w:tcBorders>
            <w:vAlign w:val="center"/>
          </w:tcPr>
          <w:p w14:paraId="382D0C34" w14:textId="77777777" w:rsidR="00700609" w:rsidRPr="008E1C50" w:rsidRDefault="00700609" w:rsidP="00681BA8">
            <w:pPr>
              <w:pStyle w:val="Tabletext"/>
              <w:jc w:val="center"/>
              <w:rPr>
                <w:sz w:val="20"/>
              </w:rPr>
            </w:pPr>
            <w:r w:rsidRPr="008E1C50">
              <w:rPr>
                <w:sz w:val="20"/>
              </w:rPr>
              <w:t>0.2</w:t>
            </w:r>
          </w:p>
        </w:tc>
        <w:tc>
          <w:tcPr>
            <w:tcW w:w="565" w:type="pct"/>
            <w:tcBorders>
              <w:left w:val="single" w:sz="4" w:space="0" w:color="auto"/>
              <w:right w:val="single" w:sz="4" w:space="0" w:color="auto"/>
            </w:tcBorders>
            <w:vAlign w:val="center"/>
          </w:tcPr>
          <w:p w14:paraId="3339FB09" w14:textId="77777777" w:rsidR="00700609" w:rsidRPr="008E1C50" w:rsidRDefault="00700609" w:rsidP="00681BA8">
            <w:pPr>
              <w:pStyle w:val="Tabletext"/>
              <w:jc w:val="center"/>
              <w:rPr>
                <w:sz w:val="20"/>
              </w:rPr>
            </w:pPr>
            <w:r w:rsidRPr="008E1C50">
              <w:rPr>
                <w:sz w:val="20"/>
              </w:rPr>
              <w:t>0.2</w:t>
            </w:r>
          </w:p>
        </w:tc>
        <w:tc>
          <w:tcPr>
            <w:tcW w:w="671" w:type="pct"/>
            <w:tcBorders>
              <w:left w:val="single" w:sz="4" w:space="0" w:color="auto"/>
              <w:right w:val="single" w:sz="4" w:space="0" w:color="auto"/>
            </w:tcBorders>
            <w:vAlign w:val="center"/>
          </w:tcPr>
          <w:p w14:paraId="5260616F" w14:textId="77777777" w:rsidR="00700609" w:rsidRPr="008E1C50" w:rsidRDefault="00700609" w:rsidP="00681BA8">
            <w:pPr>
              <w:pStyle w:val="Tabletext"/>
              <w:jc w:val="center"/>
              <w:rPr>
                <w:sz w:val="20"/>
              </w:rPr>
            </w:pPr>
            <w:r w:rsidRPr="008E1C50">
              <w:rPr>
                <w:sz w:val="20"/>
              </w:rPr>
              <w:t>0.2</w:t>
            </w:r>
          </w:p>
        </w:tc>
        <w:tc>
          <w:tcPr>
            <w:tcW w:w="472" w:type="pct"/>
            <w:tcBorders>
              <w:left w:val="single" w:sz="4" w:space="0" w:color="auto"/>
              <w:right w:val="single" w:sz="4" w:space="0" w:color="auto"/>
            </w:tcBorders>
            <w:vAlign w:val="center"/>
          </w:tcPr>
          <w:p w14:paraId="5686BF02" w14:textId="77777777" w:rsidR="00700609" w:rsidRPr="008E1C50" w:rsidRDefault="00700609" w:rsidP="00681BA8">
            <w:pPr>
              <w:pStyle w:val="Tabletext"/>
              <w:jc w:val="center"/>
              <w:rPr>
                <w:sz w:val="20"/>
              </w:rPr>
            </w:pPr>
            <w:r w:rsidRPr="008E1C50">
              <w:rPr>
                <w:sz w:val="20"/>
              </w:rPr>
              <w:t>0.2</w:t>
            </w:r>
          </w:p>
        </w:tc>
      </w:tr>
      <w:tr w:rsidR="00700609" w:rsidRPr="00AE3A31" w14:paraId="66EB8BF0" w14:textId="77777777" w:rsidTr="00F67101">
        <w:trPr>
          <w:trHeight w:val="744"/>
          <w:jc w:val="center"/>
        </w:trPr>
        <w:tc>
          <w:tcPr>
            <w:tcW w:w="2033" w:type="pct"/>
            <w:tcBorders>
              <w:top w:val="single" w:sz="4" w:space="0" w:color="auto"/>
              <w:left w:val="single" w:sz="4" w:space="0" w:color="auto"/>
              <w:bottom w:val="single" w:sz="4" w:space="0" w:color="auto"/>
              <w:right w:val="single" w:sz="4" w:space="0" w:color="auto"/>
            </w:tcBorders>
          </w:tcPr>
          <w:p w14:paraId="4E1A3452" w14:textId="77777777" w:rsidR="00700609" w:rsidRPr="008E1C50" w:rsidRDefault="00700609" w:rsidP="00F67101">
            <w:pPr>
              <w:pStyle w:val="Tabletext"/>
              <w:jc w:val="left"/>
              <w:rPr>
                <w:sz w:val="20"/>
              </w:rPr>
            </w:pPr>
            <w:r w:rsidRPr="008E1C50">
              <w:rPr>
                <w:sz w:val="20"/>
              </w:rPr>
              <w:t>Interference signal power in the reference bandwidth to be exceeded no more than 20% of the time</w:t>
            </w:r>
            <w:r w:rsidRPr="008E1C50">
              <w:rPr>
                <w:sz w:val="20"/>
                <w:vertAlign w:val="superscript"/>
              </w:rPr>
              <w:t>(3)</w:t>
            </w:r>
            <w:r w:rsidRPr="008E1C50">
              <w:rPr>
                <w:sz w:val="20"/>
              </w:rPr>
              <w:t xml:space="preserve"> (dBW)</w:t>
            </w:r>
          </w:p>
        </w:tc>
        <w:tc>
          <w:tcPr>
            <w:tcW w:w="576" w:type="pct"/>
            <w:tcBorders>
              <w:left w:val="single" w:sz="4" w:space="0" w:color="auto"/>
              <w:bottom w:val="single" w:sz="4" w:space="0" w:color="auto"/>
              <w:right w:val="single" w:sz="4" w:space="0" w:color="auto"/>
            </w:tcBorders>
            <w:vAlign w:val="center"/>
          </w:tcPr>
          <w:p w14:paraId="5E56193C" w14:textId="77777777" w:rsidR="00700609" w:rsidRPr="008E1C50" w:rsidRDefault="00700609" w:rsidP="00681BA8">
            <w:pPr>
              <w:pStyle w:val="Tabletext"/>
              <w:jc w:val="center"/>
              <w:rPr>
                <w:color w:val="000000"/>
                <w:sz w:val="20"/>
              </w:rPr>
            </w:pPr>
            <w:r w:rsidRPr="008E1C50">
              <w:rPr>
                <w:sz w:val="20"/>
              </w:rPr>
              <w:t>−</w:t>
            </w:r>
            <w:r w:rsidRPr="008E1C50">
              <w:rPr>
                <w:color w:val="000000"/>
                <w:sz w:val="20"/>
              </w:rPr>
              <w:t>156.0</w:t>
            </w:r>
          </w:p>
        </w:tc>
        <w:tc>
          <w:tcPr>
            <w:tcW w:w="680" w:type="pct"/>
            <w:tcBorders>
              <w:left w:val="single" w:sz="4" w:space="0" w:color="auto"/>
              <w:bottom w:val="single" w:sz="4" w:space="0" w:color="auto"/>
              <w:right w:val="single" w:sz="4" w:space="0" w:color="auto"/>
            </w:tcBorders>
            <w:vAlign w:val="center"/>
          </w:tcPr>
          <w:p w14:paraId="2812FEC5" w14:textId="77777777" w:rsidR="00700609" w:rsidRPr="008E1C50" w:rsidRDefault="00700609" w:rsidP="00681BA8">
            <w:pPr>
              <w:pStyle w:val="Tabletext"/>
              <w:jc w:val="center"/>
              <w:rPr>
                <w:sz w:val="20"/>
              </w:rPr>
            </w:pPr>
            <w:r w:rsidRPr="008E1C50">
              <w:rPr>
                <w:sz w:val="20"/>
              </w:rPr>
              <w:t>−</w:t>
            </w:r>
            <w:r w:rsidRPr="008E1C50">
              <w:rPr>
                <w:color w:val="000000"/>
                <w:sz w:val="20"/>
              </w:rPr>
              <w:t>158.9</w:t>
            </w:r>
          </w:p>
        </w:tc>
        <w:tc>
          <w:tcPr>
            <w:tcW w:w="565" w:type="pct"/>
            <w:tcBorders>
              <w:left w:val="single" w:sz="4" w:space="0" w:color="auto"/>
              <w:bottom w:val="single" w:sz="4" w:space="0" w:color="auto"/>
              <w:right w:val="single" w:sz="4" w:space="0" w:color="auto"/>
            </w:tcBorders>
            <w:vAlign w:val="center"/>
          </w:tcPr>
          <w:p w14:paraId="7BC49B96" w14:textId="77777777" w:rsidR="00700609" w:rsidRPr="008E1C50" w:rsidRDefault="00700609" w:rsidP="00681BA8">
            <w:pPr>
              <w:pStyle w:val="Tabletext"/>
              <w:jc w:val="center"/>
              <w:rPr>
                <w:color w:val="000000"/>
                <w:sz w:val="20"/>
              </w:rPr>
            </w:pPr>
            <w:r w:rsidRPr="008E1C50">
              <w:rPr>
                <w:sz w:val="20"/>
              </w:rPr>
              <w:t>−</w:t>
            </w:r>
            <w:r w:rsidRPr="008E1C50">
              <w:rPr>
                <w:color w:val="000000"/>
                <w:sz w:val="20"/>
              </w:rPr>
              <w:t xml:space="preserve">162.4 </w:t>
            </w:r>
          </w:p>
        </w:tc>
        <w:tc>
          <w:tcPr>
            <w:tcW w:w="671" w:type="pct"/>
            <w:tcBorders>
              <w:left w:val="single" w:sz="4" w:space="0" w:color="auto"/>
              <w:bottom w:val="single" w:sz="4" w:space="0" w:color="auto"/>
              <w:right w:val="single" w:sz="4" w:space="0" w:color="auto"/>
            </w:tcBorders>
            <w:vAlign w:val="center"/>
          </w:tcPr>
          <w:p w14:paraId="4091C965" w14:textId="77777777" w:rsidR="00700609" w:rsidRPr="008E1C50" w:rsidRDefault="00700609" w:rsidP="00681BA8">
            <w:pPr>
              <w:pStyle w:val="Tabletext"/>
              <w:jc w:val="center"/>
              <w:rPr>
                <w:color w:val="000000"/>
                <w:sz w:val="20"/>
              </w:rPr>
            </w:pPr>
            <w:r w:rsidRPr="008E1C50">
              <w:rPr>
                <w:sz w:val="20"/>
              </w:rPr>
              <w:t>−</w:t>
            </w:r>
            <w:r w:rsidRPr="008E1C50">
              <w:rPr>
                <w:color w:val="000000"/>
                <w:sz w:val="20"/>
              </w:rPr>
              <w:t>160.0</w:t>
            </w:r>
          </w:p>
        </w:tc>
        <w:tc>
          <w:tcPr>
            <w:tcW w:w="472" w:type="pct"/>
            <w:tcBorders>
              <w:left w:val="single" w:sz="4" w:space="0" w:color="auto"/>
              <w:bottom w:val="single" w:sz="4" w:space="0" w:color="auto"/>
              <w:right w:val="single" w:sz="4" w:space="0" w:color="auto"/>
            </w:tcBorders>
            <w:vAlign w:val="center"/>
          </w:tcPr>
          <w:p w14:paraId="33E803EE" w14:textId="77777777" w:rsidR="00700609" w:rsidRPr="008E1C50" w:rsidRDefault="00700609" w:rsidP="00681BA8">
            <w:pPr>
              <w:pStyle w:val="Tabletext"/>
              <w:jc w:val="center"/>
              <w:rPr>
                <w:color w:val="000000"/>
                <w:sz w:val="20"/>
              </w:rPr>
            </w:pPr>
            <w:r w:rsidRPr="008E1C50">
              <w:rPr>
                <w:sz w:val="20"/>
              </w:rPr>
              <w:t>−</w:t>
            </w:r>
            <w:r w:rsidRPr="008E1C50">
              <w:rPr>
                <w:color w:val="000000"/>
                <w:sz w:val="20"/>
              </w:rPr>
              <w:t>156.8</w:t>
            </w:r>
          </w:p>
        </w:tc>
      </w:tr>
      <w:tr w:rsidR="00700609" w:rsidRPr="00AE3A31" w14:paraId="4CF9B378" w14:textId="77777777" w:rsidTr="00F67101">
        <w:trPr>
          <w:trHeight w:val="744"/>
          <w:jc w:val="center"/>
        </w:trPr>
        <w:tc>
          <w:tcPr>
            <w:tcW w:w="4997" w:type="pct"/>
            <w:gridSpan w:val="6"/>
            <w:tcBorders>
              <w:top w:val="single" w:sz="4" w:space="0" w:color="auto"/>
              <w:left w:val="nil"/>
              <w:bottom w:val="nil"/>
              <w:right w:val="nil"/>
            </w:tcBorders>
          </w:tcPr>
          <w:p w14:paraId="278989BF" w14:textId="77777777" w:rsidR="00700609" w:rsidRPr="008E1C50" w:rsidRDefault="00700609" w:rsidP="00681BA8">
            <w:pPr>
              <w:pStyle w:val="Tabletext"/>
              <w:rPr>
                <w:sz w:val="20"/>
              </w:rPr>
            </w:pPr>
            <w:r w:rsidRPr="008E1C50">
              <w:rPr>
                <w:sz w:val="20"/>
                <w:vertAlign w:val="superscript"/>
              </w:rPr>
              <w:t>(1)</w:t>
            </w:r>
            <w:r w:rsidRPr="008E1C50">
              <w:rPr>
                <w:sz w:val="20"/>
                <w:vertAlign w:val="superscript"/>
              </w:rPr>
              <w:tab/>
            </w:r>
            <w:r w:rsidRPr="008E1C50">
              <w:rPr>
                <w:sz w:val="20"/>
              </w:rPr>
              <w:t>See § 3 for link margin calculations and § 4 for derivation of interference signal power levels.</w:t>
            </w:r>
          </w:p>
          <w:p w14:paraId="62763289" w14:textId="77777777" w:rsidR="00700609" w:rsidRPr="008E1C50" w:rsidRDefault="00700609" w:rsidP="00681BA8">
            <w:pPr>
              <w:pStyle w:val="Tabletext"/>
              <w:ind w:left="284" w:hanging="284"/>
              <w:rPr>
                <w:sz w:val="20"/>
              </w:rPr>
            </w:pPr>
            <w:r w:rsidRPr="008E1C50">
              <w:rPr>
                <w:sz w:val="20"/>
                <w:vertAlign w:val="superscript"/>
              </w:rPr>
              <w:t xml:space="preserve">(2) </w:t>
            </w:r>
            <w:r w:rsidRPr="008E1C50">
              <w:rPr>
                <w:sz w:val="20"/>
                <w:vertAlign w:val="superscript"/>
              </w:rPr>
              <w:tab/>
            </w:r>
            <w:r w:rsidRPr="008E1C50">
              <w:rPr>
                <w:sz w:val="20"/>
              </w:rPr>
              <w:t>Systems with omnidirectional antennas are not vulnerable to losing antenna lock on the signal due to interference or signal fading.</w:t>
            </w:r>
          </w:p>
          <w:p w14:paraId="6B7D9CEA" w14:textId="77777777" w:rsidR="00700609" w:rsidRPr="008E1C50" w:rsidRDefault="00700609" w:rsidP="00681BA8">
            <w:pPr>
              <w:pStyle w:val="Tabletext"/>
              <w:rPr>
                <w:sz w:val="20"/>
              </w:rPr>
            </w:pPr>
            <w:r w:rsidRPr="008E1C50">
              <w:rPr>
                <w:sz w:val="20"/>
                <w:vertAlign w:val="superscript"/>
              </w:rPr>
              <w:t xml:space="preserve">(3) </w:t>
            </w:r>
            <w:r w:rsidRPr="008E1C50">
              <w:rPr>
                <w:sz w:val="20"/>
                <w:vertAlign w:val="superscript"/>
              </w:rPr>
              <w:tab/>
            </w:r>
            <w:r w:rsidRPr="008E1C50">
              <w:rPr>
                <w:sz w:val="20"/>
              </w:rPr>
              <w:t>This percentage of time shall not be exceeded on a per-flight basis.</w:t>
            </w:r>
          </w:p>
        </w:tc>
      </w:tr>
    </w:tbl>
    <w:p w14:paraId="2266E32E" w14:textId="77777777" w:rsidR="00700609" w:rsidRPr="00AE3A31" w:rsidRDefault="00700609" w:rsidP="00700609">
      <w:pPr>
        <w:pStyle w:val="Tablefin"/>
      </w:pPr>
    </w:p>
    <w:p w14:paraId="6026145B" w14:textId="77777777" w:rsidR="00700609" w:rsidRPr="00AE3A31" w:rsidRDefault="00700609" w:rsidP="00700609">
      <w:pPr>
        <w:pStyle w:val="TableNo"/>
      </w:pPr>
      <w:r w:rsidRPr="00AE3A31">
        <w:t>TABLE 3</w:t>
      </w:r>
    </w:p>
    <w:p w14:paraId="2FE7CD30" w14:textId="77777777" w:rsidR="00700609" w:rsidRPr="00AE3A31" w:rsidRDefault="00700609" w:rsidP="00700609">
      <w:pPr>
        <w:pStyle w:val="Tabletitle"/>
      </w:pPr>
      <w:r w:rsidRPr="00AE3A31">
        <w:t>Interference criteria for rocketsonde and dropsonde systems in the MetAids service</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3258"/>
        <w:gridCol w:w="3260"/>
        <w:gridCol w:w="3121"/>
      </w:tblGrid>
      <w:tr w:rsidR="00700609" w:rsidRPr="00AE3A31" w14:paraId="59EF4CFC" w14:textId="77777777" w:rsidTr="00681BA8">
        <w:trPr>
          <w:jc w:val="center"/>
        </w:trPr>
        <w:tc>
          <w:tcPr>
            <w:tcW w:w="3258" w:type="dxa"/>
            <w:tcBorders>
              <w:top w:val="single" w:sz="2" w:space="0" w:color="auto"/>
              <w:left w:val="single" w:sz="2" w:space="0" w:color="auto"/>
              <w:bottom w:val="single" w:sz="2" w:space="0" w:color="auto"/>
              <w:right w:val="single" w:sz="2" w:space="0" w:color="auto"/>
            </w:tcBorders>
            <w:vAlign w:val="center"/>
          </w:tcPr>
          <w:p w14:paraId="6AB77404" w14:textId="77777777" w:rsidR="00700609" w:rsidRPr="00AE3A31" w:rsidRDefault="00700609" w:rsidP="00681BA8">
            <w:pPr>
              <w:pStyle w:val="Tablehead"/>
            </w:pPr>
            <w:r w:rsidRPr="00AE3A31">
              <w:t>Parameter</w:t>
            </w:r>
          </w:p>
        </w:tc>
        <w:tc>
          <w:tcPr>
            <w:tcW w:w="3260" w:type="dxa"/>
            <w:tcBorders>
              <w:top w:val="single" w:sz="2" w:space="0" w:color="auto"/>
              <w:left w:val="single" w:sz="2" w:space="0" w:color="auto"/>
              <w:bottom w:val="single" w:sz="2" w:space="0" w:color="auto"/>
              <w:right w:val="single" w:sz="2" w:space="0" w:color="auto"/>
            </w:tcBorders>
            <w:vAlign w:val="center"/>
          </w:tcPr>
          <w:p w14:paraId="1AEAA588" w14:textId="77777777" w:rsidR="00700609" w:rsidRPr="00AE3A31" w:rsidRDefault="00700609" w:rsidP="00681BA8">
            <w:pPr>
              <w:pStyle w:val="Tablehead"/>
            </w:pPr>
            <w:r w:rsidRPr="00AE3A31">
              <w:t>Airborne dropsonde systems</w:t>
            </w:r>
            <w:r w:rsidRPr="00AE3A31">
              <w:br/>
              <w:t>400.15-406 MHz</w:t>
            </w:r>
          </w:p>
        </w:tc>
        <w:tc>
          <w:tcPr>
            <w:tcW w:w="3121" w:type="dxa"/>
            <w:tcBorders>
              <w:top w:val="single" w:sz="2" w:space="0" w:color="auto"/>
              <w:left w:val="single" w:sz="2" w:space="0" w:color="auto"/>
              <w:bottom w:val="single" w:sz="2" w:space="0" w:color="auto"/>
              <w:right w:val="single" w:sz="2" w:space="0" w:color="auto"/>
            </w:tcBorders>
            <w:vAlign w:val="center"/>
          </w:tcPr>
          <w:p w14:paraId="36DD1159" w14:textId="77777777" w:rsidR="00700609" w:rsidRPr="00AE3A31" w:rsidRDefault="00700609" w:rsidP="00681BA8">
            <w:pPr>
              <w:pStyle w:val="Tablehead"/>
            </w:pPr>
            <w:r w:rsidRPr="00AE3A31">
              <w:t>Rocketsonde systems</w:t>
            </w:r>
            <w:r w:rsidRPr="00AE3A31">
              <w:br/>
              <w:t>400.15-406 MHz</w:t>
            </w:r>
          </w:p>
        </w:tc>
      </w:tr>
      <w:tr w:rsidR="00700609" w:rsidRPr="00AE3A31" w14:paraId="1F065BEB" w14:textId="77777777" w:rsidTr="00681BA8">
        <w:trPr>
          <w:jc w:val="center"/>
        </w:trPr>
        <w:tc>
          <w:tcPr>
            <w:tcW w:w="3258" w:type="dxa"/>
            <w:tcBorders>
              <w:top w:val="single" w:sz="2" w:space="0" w:color="auto"/>
              <w:left w:val="single" w:sz="2" w:space="0" w:color="auto"/>
              <w:bottom w:val="single" w:sz="2" w:space="0" w:color="auto"/>
              <w:right w:val="single" w:sz="2" w:space="0" w:color="auto"/>
            </w:tcBorders>
          </w:tcPr>
          <w:p w14:paraId="4C694E97" w14:textId="77777777" w:rsidR="00700609" w:rsidRPr="00AE3A31" w:rsidRDefault="00700609" w:rsidP="00F67101">
            <w:pPr>
              <w:pStyle w:val="Tabletext"/>
              <w:jc w:val="left"/>
            </w:pPr>
            <w:r w:rsidRPr="00AE3A31">
              <w:t>System reference bandwidth</w:t>
            </w:r>
          </w:p>
        </w:tc>
        <w:tc>
          <w:tcPr>
            <w:tcW w:w="3260" w:type="dxa"/>
            <w:tcBorders>
              <w:top w:val="single" w:sz="2" w:space="0" w:color="auto"/>
              <w:left w:val="single" w:sz="2" w:space="0" w:color="auto"/>
              <w:bottom w:val="single" w:sz="2" w:space="0" w:color="auto"/>
              <w:right w:val="single" w:sz="2" w:space="0" w:color="auto"/>
            </w:tcBorders>
            <w:vAlign w:val="center"/>
          </w:tcPr>
          <w:p w14:paraId="7EF8D809" w14:textId="77777777" w:rsidR="00700609" w:rsidRPr="00AE3A31" w:rsidRDefault="00700609" w:rsidP="00681BA8">
            <w:pPr>
              <w:pStyle w:val="Tabletext"/>
              <w:jc w:val="center"/>
            </w:pPr>
            <w:r w:rsidRPr="00AE3A31">
              <w:t>20 kHz</w:t>
            </w:r>
          </w:p>
        </w:tc>
        <w:tc>
          <w:tcPr>
            <w:tcW w:w="3121" w:type="dxa"/>
            <w:tcBorders>
              <w:top w:val="single" w:sz="2" w:space="0" w:color="auto"/>
              <w:left w:val="single" w:sz="2" w:space="0" w:color="auto"/>
              <w:bottom w:val="single" w:sz="2" w:space="0" w:color="auto"/>
              <w:right w:val="single" w:sz="2" w:space="0" w:color="auto"/>
            </w:tcBorders>
            <w:vAlign w:val="center"/>
          </w:tcPr>
          <w:p w14:paraId="2B84C1AA" w14:textId="77777777" w:rsidR="00700609" w:rsidRPr="00AE3A31" w:rsidRDefault="00700609" w:rsidP="00681BA8">
            <w:pPr>
              <w:pStyle w:val="Tabletext"/>
              <w:jc w:val="center"/>
            </w:pPr>
            <w:r w:rsidRPr="00AE3A31">
              <w:t>3 MHz</w:t>
            </w:r>
          </w:p>
        </w:tc>
      </w:tr>
      <w:tr w:rsidR="00700609" w:rsidRPr="00AE3A31" w14:paraId="1E1B98C4" w14:textId="77777777" w:rsidTr="00681BA8">
        <w:trPr>
          <w:jc w:val="center"/>
        </w:trPr>
        <w:tc>
          <w:tcPr>
            <w:tcW w:w="3258" w:type="dxa"/>
            <w:tcBorders>
              <w:top w:val="single" w:sz="2" w:space="0" w:color="auto"/>
              <w:left w:val="single" w:sz="2" w:space="0" w:color="auto"/>
              <w:bottom w:val="single" w:sz="2" w:space="0" w:color="auto"/>
              <w:right w:val="single" w:sz="2" w:space="0" w:color="auto"/>
            </w:tcBorders>
          </w:tcPr>
          <w:p w14:paraId="520112F2" w14:textId="7156054F" w:rsidR="00700609" w:rsidRPr="00AE3A31" w:rsidRDefault="00700609" w:rsidP="00F67101">
            <w:pPr>
              <w:pStyle w:val="Tabletext"/>
              <w:jc w:val="left"/>
            </w:pPr>
            <w:r w:rsidRPr="00AE3A31">
              <w:t xml:space="preserve">Interference signal power (dBW) in the reference bandwidth to be exceeded no more than </w:t>
            </w:r>
            <w:r w:rsidRPr="00AE3A31">
              <w:rPr>
                <w:i/>
              </w:rPr>
              <w:t>P</w:t>
            </w:r>
            <w:r w:rsidRPr="00AE3A31">
              <w:rPr>
                <w:i/>
                <w:vertAlign w:val="subscript"/>
              </w:rPr>
              <w:t>LOCK</w:t>
            </w:r>
            <w:r w:rsidR="00F67101">
              <w:rPr>
                <w:i/>
                <w:vertAlign w:val="subscript"/>
              </w:rPr>
              <w:noBreakHyphen/>
            </w:r>
            <w:r w:rsidRPr="00AE3A31">
              <w:rPr>
                <w:i/>
                <w:vertAlign w:val="subscript"/>
              </w:rPr>
              <w:t>LOSS</w:t>
            </w:r>
            <w:r w:rsidRPr="00AE3A31">
              <w:t>% of the time </w:t>
            </w:r>
          </w:p>
        </w:tc>
        <w:tc>
          <w:tcPr>
            <w:tcW w:w="3260" w:type="dxa"/>
            <w:tcBorders>
              <w:top w:val="single" w:sz="2" w:space="0" w:color="auto"/>
              <w:left w:val="single" w:sz="2" w:space="0" w:color="auto"/>
              <w:bottom w:val="single" w:sz="2" w:space="0" w:color="auto"/>
              <w:right w:val="single" w:sz="2" w:space="0" w:color="auto"/>
            </w:tcBorders>
            <w:vAlign w:val="center"/>
          </w:tcPr>
          <w:p w14:paraId="0E40C02F" w14:textId="77777777" w:rsidR="00700609" w:rsidRPr="00AE3A31" w:rsidRDefault="00700609" w:rsidP="00681BA8">
            <w:pPr>
              <w:pStyle w:val="Tabletext"/>
              <w:jc w:val="center"/>
            </w:pPr>
            <w:r w:rsidRPr="00AE3A31">
              <w:t xml:space="preserve">Not applicable </w:t>
            </w:r>
            <w:r w:rsidRPr="00AE3A31">
              <w:rPr>
                <w:vertAlign w:val="superscript"/>
              </w:rPr>
              <w:t>(1)</w:t>
            </w:r>
          </w:p>
        </w:tc>
        <w:tc>
          <w:tcPr>
            <w:tcW w:w="3121" w:type="dxa"/>
            <w:tcBorders>
              <w:top w:val="single" w:sz="2" w:space="0" w:color="auto"/>
              <w:left w:val="single" w:sz="2" w:space="0" w:color="auto"/>
              <w:bottom w:val="single" w:sz="2" w:space="0" w:color="auto"/>
              <w:right w:val="single" w:sz="2" w:space="0" w:color="auto"/>
            </w:tcBorders>
            <w:vAlign w:val="center"/>
          </w:tcPr>
          <w:p w14:paraId="65197E9F" w14:textId="77777777" w:rsidR="00700609" w:rsidRPr="00AE3A31" w:rsidRDefault="00700609" w:rsidP="00681BA8">
            <w:pPr>
              <w:pStyle w:val="Tabletext"/>
              <w:jc w:val="center"/>
            </w:pPr>
            <w:r w:rsidRPr="00AE3A31">
              <w:rPr>
                <w:szCs w:val="22"/>
              </w:rPr>
              <w:t>−</w:t>
            </w:r>
            <w:r w:rsidRPr="00AE3A31">
              <w:t>116.9</w:t>
            </w:r>
          </w:p>
        </w:tc>
      </w:tr>
      <w:tr w:rsidR="00700609" w:rsidRPr="00AE3A31" w14:paraId="4821EC72" w14:textId="77777777" w:rsidTr="00681BA8">
        <w:trPr>
          <w:jc w:val="center"/>
        </w:trPr>
        <w:tc>
          <w:tcPr>
            <w:tcW w:w="3258" w:type="dxa"/>
            <w:tcBorders>
              <w:top w:val="single" w:sz="2" w:space="0" w:color="auto"/>
              <w:left w:val="single" w:sz="2" w:space="0" w:color="auto"/>
              <w:bottom w:val="single" w:sz="2" w:space="0" w:color="auto"/>
              <w:right w:val="single" w:sz="2" w:space="0" w:color="auto"/>
            </w:tcBorders>
          </w:tcPr>
          <w:p w14:paraId="23C06C79" w14:textId="77777777" w:rsidR="00700609" w:rsidRPr="00AE3A31" w:rsidRDefault="00700609" w:rsidP="00F67101">
            <w:pPr>
              <w:pStyle w:val="Tabletext"/>
              <w:jc w:val="left"/>
            </w:pPr>
            <w:r w:rsidRPr="00AE3A31">
              <w:rPr>
                <w:i/>
              </w:rPr>
              <w:t>P</w:t>
            </w:r>
            <w:r w:rsidRPr="00AE3A31">
              <w:rPr>
                <w:i/>
                <w:vertAlign w:val="subscript"/>
              </w:rPr>
              <w:t>LOCK-LOSS</w:t>
            </w:r>
            <w:r w:rsidRPr="00AE3A31">
              <w:t xml:space="preserve"> (%) </w:t>
            </w:r>
            <w:r w:rsidRPr="00AE3A31">
              <w:rPr>
                <w:vertAlign w:val="superscript"/>
              </w:rPr>
              <w:t>(2)</w:t>
            </w:r>
          </w:p>
        </w:tc>
        <w:tc>
          <w:tcPr>
            <w:tcW w:w="3260" w:type="dxa"/>
            <w:tcBorders>
              <w:top w:val="single" w:sz="2" w:space="0" w:color="auto"/>
              <w:left w:val="single" w:sz="2" w:space="0" w:color="auto"/>
              <w:bottom w:val="single" w:sz="2" w:space="0" w:color="auto"/>
              <w:right w:val="single" w:sz="2" w:space="0" w:color="auto"/>
            </w:tcBorders>
            <w:vAlign w:val="center"/>
          </w:tcPr>
          <w:p w14:paraId="280E2C8F" w14:textId="77777777" w:rsidR="00700609" w:rsidRPr="00AE3A31" w:rsidRDefault="00700609" w:rsidP="00681BA8">
            <w:pPr>
              <w:pStyle w:val="Tabletext"/>
              <w:jc w:val="center"/>
            </w:pPr>
            <w:r w:rsidRPr="00AE3A31">
              <w:t xml:space="preserve">Not applicable </w:t>
            </w:r>
            <w:r w:rsidRPr="00AE3A31">
              <w:rPr>
                <w:vertAlign w:val="superscript"/>
              </w:rPr>
              <w:t>(1)</w:t>
            </w:r>
          </w:p>
        </w:tc>
        <w:tc>
          <w:tcPr>
            <w:tcW w:w="3121" w:type="dxa"/>
            <w:tcBorders>
              <w:top w:val="single" w:sz="2" w:space="0" w:color="auto"/>
              <w:left w:val="single" w:sz="2" w:space="0" w:color="auto"/>
              <w:bottom w:val="single" w:sz="2" w:space="0" w:color="auto"/>
              <w:right w:val="single" w:sz="2" w:space="0" w:color="auto"/>
            </w:tcBorders>
            <w:vAlign w:val="center"/>
          </w:tcPr>
          <w:p w14:paraId="42D0322E" w14:textId="77777777" w:rsidR="00700609" w:rsidRPr="00AE3A31" w:rsidRDefault="00700609" w:rsidP="00681BA8">
            <w:pPr>
              <w:pStyle w:val="Tabletext"/>
              <w:jc w:val="center"/>
            </w:pPr>
            <w:r w:rsidRPr="00AE3A31">
              <w:t>0.02</w:t>
            </w:r>
          </w:p>
        </w:tc>
      </w:tr>
      <w:tr w:rsidR="00700609" w:rsidRPr="00AE3A31" w14:paraId="115FA401" w14:textId="77777777" w:rsidTr="00681BA8">
        <w:trPr>
          <w:jc w:val="center"/>
        </w:trPr>
        <w:tc>
          <w:tcPr>
            <w:tcW w:w="3258" w:type="dxa"/>
            <w:tcBorders>
              <w:top w:val="single" w:sz="2" w:space="0" w:color="auto"/>
              <w:left w:val="single" w:sz="2" w:space="0" w:color="auto"/>
              <w:bottom w:val="single" w:sz="2" w:space="0" w:color="auto"/>
              <w:right w:val="single" w:sz="2" w:space="0" w:color="auto"/>
            </w:tcBorders>
          </w:tcPr>
          <w:p w14:paraId="5878B42B" w14:textId="35FC806F" w:rsidR="00700609" w:rsidRPr="00AE3A31" w:rsidRDefault="00700609" w:rsidP="00F67101">
            <w:pPr>
              <w:pStyle w:val="Tabletext"/>
              <w:jc w:val="left"/>
            </w:pPr>
            <w:r w:rsidRPr="00AE3A31">
              <w:t xml:space="preserve">Interference signal power (dBW) in the reference bandwidth to be exceeded no more than </w:t>
            </w:r>
            <w:r w:rsidRPr="00AE3A31">
              <w:rPr>
                <w:i/>
              </w:rPr>
              <w:t>P</w:t>
            </w:r>
            <w:r w:rsidRPr="00AE3A31">
              <w:rPr>
                <w:i/>
                <w:vertAlign w:val="subscript"/>
              </w:rPr>
              <w:t>DATA</w:t>
            </w:r>
            <w:r w:rsidR="00F67101">
              <w:rPr>
                <w:i/>
                <w:vertAlign w:val="subscript"/>
              </w:rPr>
              <w:noBreakHyphen/>
            </w:r>
            <w:r w:rsidRPr="00AE3A31">
              <w:rPr>
                <w:i/>
                <w:vertAlign w:val="subscript"/>
              </w:rPr>
              <w:t>LOSS</w:t>
            </w:r>
            <w:r w:rsidRPr="00AE3A31">
              <w:t>% of the time </w:t>
            </w:r>
          </w:p>
        </w:tc>
        <w:tc>
          <w:tcPr>
            <w:tcW w:w="3260" w:type="dxa"/>
            <w:tcBorders>
              <w:top w:val="single" w:sz="2" w:space="0" w:color="auto"/>
              <w:left w:val="single" w:sz="2" w:space="0" w:color="auto"/>
              <w:bottom w:val="single" w:sz="2" w:space="0" w:color="auto"/>
              <w:right w:val="single" w:sz="2" w:space="0" w:color="auto"/>
            </w:tcBorders>
            <w:vAlign w:val="center"/>
          </w:tcPr>
          <w:p w14:paraId="29A4BEE6" w14:textId="77777777" w:rsidR="00700609" w:rsidRPr="00AE3A31" w:rsidRDefault="00700609" w:rsidP="00681BA8">
            <w:pPr>
              <w:pStyle w:val="Tabletext"/>
              <w:jc w:val="center"/>
            </w:pPr>
            <w:r w:rsidRPr="00AE3A31">
              <w:rPr>
                <w:szCs w:val="22"/>
              </w:rPr>
              <w:t>−</w:t>
            </w:r>
            <w:r w:rsidRPr="00AE3A31">
              <w:t>161.6</w:t>
            </w:r>
          </w:p>
        </w:tc>
        <w:tc>
          <w:tcPr>
            <w:tcW w:w="3121" w:type="dxa"/>
            <w:tcBorders>
              <w:top w:val="single" w:sz="2" w:space="0" w:color="auto"/>
              <w:left w:val="single" w:sz="2" w:space="0" w:color="auto"/>
              <w:bottom w:val="single" w:sz="2" w:space="0" w:color="auto"/>
              <w:right w:val="single" w:sz="2" w:space="0" w:color="auto"/>
            </w:tcBorders>
            <w:vAlign w:val="center"/>
          </w:tcPr>
          <w:p w14:paraId="303C38E6" w14:textId="77777777" w:rsidR="00700609" w:rsidRPr="00AE3A31" w:rsidRDefault="00700609" w:rsidP="00681BA8">
            <w:pPr>
              <w:pStyle w:val="Tabletext"/>
              <w:jc w:val="center"/>
            </w:pPr>
            <w:r w:rsidRPr="00AE3A31">
              <w:rPr>
                <w:szCs w:val="22"/>
              </w:rPr>
              <w:t>−</w:t>
            </w:r>
            <w:r w:rsidRPr="00AE3A31">
              <w:t>122.1</w:t>
            </w:r>
          </w:p>
        </w:tc>
      </w:tr>
      <w:tr w:rsidR="00700609" w:rsidRPr="00AE3A31" w14:paraId="4678AA96" w14:textId="77777777" w:rsidTr="00681BA8">
        <w:trPr>
          <w:jc w:val="center"/>
        </w:trPr>
        <w:tc>
          <w:tcPr>
            <w:tcW w:w="3258" w:type="dxa"/>
            <w:tcBorders>
              <w:top w:val="single" w:sz="2" w:space="0" w:color="auto"/>
              <w:left w:val="single" w:sz="2" w:space="0" w:color="auto"/>
              <w:bottom w:val="single" w:sz="2" w:space="0" w:color="auto"/>
              <w:right w:val="single" w:sz="2" w:space="0" w:color="auto"/>
            </w:tcBorders>
          </w:tcPr>
          <w:p w14:paraId="1D2362AD" w14:textId="77777777" w:rsidR="00700609" w:rsidRPr="00AE3A31" w:rsidRDefault="00700609" w:rsidP="00F67101">
            <w:pPr>
              <w:pStyle w:val="Tabletext"/>
              <w:jc w:val="left"/>
            </w:pPr>
            <w:r w:rsidRPr="00AE3A31">
              <w:rPr>
                <w:i/>
                <w:iCs/>
              </w:rPr>
              <w:t>P</w:t>
            </w:r>
            <w:r w:rsidRPr="00AE3A31">
              <w:rPr>
                <w:i/>
                <w:vertAlign w:val="subscript"/>
              </w:rPr>
              <w:t>DATA-LOSS</w:t>
            </w:r>
            <w:r w:rsidRPr="00AE3A31">
              <w:rPr>
                <w:i/>
              </w:rPr>
              <w:t xml:space="preserve"> </w:t>
            </w:r>
            <w:r w:rsidRPr="00AE3A31">
              <w:t xml:space="preserve">(%) </w:t>
            </w:r>
            <w:r w:rsidRPr="00AE3A31">
              <w:rPr>
                <w:vertAlign w:val="superscript"/>
              </w:rPr>
              <w:t>(2)</w:t>
            </w:r>
          </w:p>
        </w:tc>
        <w:tc>
          <w:tcPr>
            <w:tcW w:w="3260" w:type="dxa"/>
            <w:tcBorders>
              <w:top w:val="single" w:sz="2" w:space="0" w:color="auto"/>
              <w:left w:val="single" w:sz="2" w:space="0" w:color="auto"/>
              <w:bottom w:val="single" w:sz="2" w:space="0" w:color="auto"/>
              <w:right w:val="single" w:sz="2" w:space="0" w:color="auto"/>
            </w:tcBorders>
            <w:vAlign w:val="center"/>
          </w:tcPr>
          <w:p w14:paraId="718D560B" w14:textId="77777777" w:rsidR="00700609" w:rsidRPr="00AE3A31" w:rsidRDefault="00700609" w:rsidP="00681BA8">
            <w:pPr>
              <w:pStyle w:val="Tabletext"/>
              <w:jc w:val="center"/>
            </w:pPr>
            <w:r w:rsidRPr="00AE3A31">
              <w:t>0.060</w:t>
            </w:r>
          </w:p>
        </w:tc>
        <w:tc>
          <w:tcPr>
            <w:tcW w:w="3121" w:type="dxa"/>
            <w:tcBorders>
              <w:top w:val="single" w:sz="2" w:space="0" w:color="auto"/>
              <w:left w:val="single" w:sz="2" w:space="0" w:color="auto"/>
              <w:bottom w:val="single" w:sz="2" w:space="0" w:color="auto"/>
              <w:right w:val="single" w:sz="2" w:space="0" w:color="auto"/>
            </w:tcBorders>
            <w:vAlign w:val="center"/>
          </w:tcPr>
          <w:p w14:paraId="562AE3F9" w14:textId="77777777" w:rsidR="00700609" w:rsidRPr="00AE3A31" w:rsidRDefault="00700609" w:rsidP="00681BA8">
            <w:pPr>
              <w:pStyle w:val="Tabletext"/>
              <w:jc w:val="center"/>
            </w:pPr>
            <w:r w:rsidRPr="00AE3A31">
              <w:t>0.060</w:t>
            </w:r>
          </w:p>
        </w:tc>
      </w:tr>
      <w:tr w:rsidR="00700609" w:rsidRPr="00AE3A31" w14:paraId="571DE380" w14:textId="77777777" w:rsidTr="00681BA8">
        <w:trPr>
          <w:jc w:val="center"/>
        </w:trPr>
        <w:tc>
          <w:tcPr>
            <w:tcW w:w="3258" w:type="dxa"/>
            <w:tcBorders>
              <w:top w:val="single" w:sz="2" w:space="0" w:color="auto"/>
              <w:left w:val="single" w:sz="2" w:space="0" w:color="auto"/>
              <w:bottom w:val="single" w:sz="2" w:space="0" w:color="auto"/>
              <w:right w:val="single" w:sz="2" w:space="0" w:color="auto"/>
            </w:tcBorders>
          </w:tcPr>
          <w:p w14:paraId="1E35223F" w14:textId="77777777" w:rsidR="00700609" w:rsidRPr="00AE3A31" w:rsidRDefault="00700609" w:rsidP="00F67101">
            <w:pPr>
              <w:pStyle w:val="Tabletext"/>
              <w:jc w:val="left"/>
            </w:pPr>
            <w:r w:rsidRPr="00AE3A31">
              <w:t>Interference signal power (dBW) in the reference bandwidth to be exceeded no more than 20% of the time</w:t>
            </w:r>
            <w:r w:rsidRPr="00AE3A31">
              <w:rPr>
                <w:szCs w:val="22"/>
              </w:rPr>
              <w:t> </w:t>
            </w:r>
          </w:p>
        </w:tc>
        <w:tc>
          <w:tcPr>
            <w:tcW w:w="3260" w:type="dxa"/>
            <w:tcBorders>
              <w:top w:val="single" w:sz="2" w:space="0" w:color="auto"/>
              <w:left w:val="single" w:sz="2" w:space="0" w:color="auto"/>
              <w:bottom w:val="single" w:sz="2" w:space="0" w:color="auto"/>
              <w:right w:val="single" w:sz="2" w:space="0" w:color="auto"/>
            </w:tcBorders>
            <w:vAlign w:val="center"/>
          </w:tcPr>
          <w:p w14:paraId="776F97FC" w14:textId="77777777" w:rsidR="00700609" w:rsidRPr="00AE3A31" w:rsidRDefault="00700609" w:rsidP="00681BA8">
            <w:pPr>
              <w:pStyle w:val="Tabletext"/>
              <w:jc w:val="center"/>
            </w:pPr>
            <w:r w:rsidRPr="00AE3A31">
              <w:rPr>
                <w:szCs w:val="22"/>
              </w:rPr>
              <w:t>−</w:t>
            </w:r>
            <w:r w:rsidRPr="00AE3A31">
              <w:t>167.06</w:t>
            </w:r>
          </w:p>
        </w:tc>
        <w:tc>
          <w:tcPr>
            <w:tcW w:w="3121" w:type="dxa"/>
            <w:tcBorders>
              <w:top w:val="single" w:sz="2" w:space="0" w:color="auto"/>
              <w:left w:val="single" w:sz="2" w:space="0" w:color="auto"/>
              <w:bottom w:val="single" w:sz="2" w:space="0" w:color="auto"/>
              <w:right w:val="single" w:sz="2" w:space="0" w:color="auto"/>
            </w:tcBorders>
            <w:vAlign w:val="center"/>
          </w:tcPr>
          <w:p w14:paraId="0F269B3B" w14:textId="77777777" w:rsidR="00700609" w:rsidRPr="00AE3A31" w:rsidRDefault="00700609" w:rsidP="00681BA8">
            <w:pPr>
              <w:pStyle w:val="Tabletext"/>
              <w:jc w:val="center"/>
            </w:pPr>
            <w:r w:rsidRPr="00AE3A31">
              <w:rPr>
                <w:szCs w:val="22"/>
              </w:rPr>
              <w:t>−</w:t>
            </w:r>
            <w:r w:rsidRPr="00AE3A31">
              <w:t>132.98</w:t>
            </w:r>
          </w:p>
        </w:tc>
      </w:tr>
      <w:tr w:rsidR="00700609" w:rsidRPr="00AE3A31" w14:paraId="09339F1C" w14:textId="77777777" w:rsidTr="00681BA8">
        <w:trPr>
          <w:jc w:val="center"/>
        </w:trPr>
        <w:tc>
          <w:tcPr>
            <w:tcW w:w="9639" w:type="dxa"/>
            <w:gridSpan w:val="3"/>
            <w:tcBorders>
              <w:top w:val="single" w:sz="2" w:space="0" w:color="auto"/>
              <w:left w:val="nil"/>
              <w:bottom w:val="nil"/>
              <w:right w:val="nil"/>
            </w:tcBorders>
          </w:tcPr>
          <w:p w14:paraId="30AD80C4" w14:textId="77777777" w:rsidR="00700609" w:rsidRPr="00AE3A31" w:rsidRDefault="00700609" w:rsidP="00681BA8">
            <w:pPr>
              <w:pStyle w:val="Tabletext"/>
              <w:ind w:left="284" w:hanging="284"/>
            </w:pPr>
            <w:r w:rsidRPr="00AE3A31">
              <w:rPr>
                <w:vertAlign w:val="superscript"/>
              </w:rPr>
              <w:t>(1)</w:t>
            </w:r>
            <w:r w:rsidRPr="00AE3A31">
              <w:tab/>
              <w:t>Systems with omnidirectional antennas are not vulnerable to losing antenna lock on the signal due to interference or signal fading.</w:t>
            </w:r>
          </w:p>
          <w:p w14:paraId="0B319BD3" w14:textId="77777777" w:rsidR="00700609" w:rsidRPr="00AE3A31" w:rsidRDefault="00700609" w:rsidP="00681BA8">
            <w:pPr>
              <w:pStyle w:val="Tabletext"/>
              <w:rPr>
                <w:szCs w:val="22"/>
              </w:rPr>
            </w:pPr>
            <w:r w:rsidRPr="00AE3A31">
              <w:rPr>
                <w:vertAlign w:val="superscript"/>
              </w:rPr>
              <w:t>(2)</w:t>
            </w:r>
            <w:r w:rsidRPr="00AE3A31">
              <w:tab/>
              <w:t>This percentage of time shall not be exceeded on a per-flight basis.</w:t>
            </w:r>
          </w:p>
        </w:tc>
      </w:tr>
    </w:tbl>
    <w:p w14:paraId="1C6BA428" w14:textId="77777777" w:rsidR="00700609" w:rsidRPr="00AE3A31" w:rsidRDefault="00700609" w:rsidP="00700609">
      <w:pPr>
        <w:pStyle w:val="Tablefin"/>
      </w:pPr>
    </w:p>
    <w:p w14:paraId="688541BC" w14:textId="77777777" w:rsidR="00700609" w:rsidRPr="00AE3A31" w:rsidRDefault="00700609" w:rsidP="00700609">
      <w:pPr>
        <w:pStyle w:val="AnnexNoTitle"/>
      </w:pPr>
      <w:r w:rsidRPr="00AE3A31">
        <w:lastRenderedPageBreak/>
        <w:t>Annex 1</w:t>
      </w:r>
      <w:r w:rsidRPr="00AE3A31">
        <w:br/>
      </w:r>
      <w:r w:rsidRPr="00AE3A31">
        <w:br/>
        <w:t>Basis for performance and interference criteria for MetAids</w:t>
      </w:r>
      <w:r w:rsidRPr="00AE3A31">
        <w:br/>
        <w:t>in the frequency bands 400.15-406 MHz and 1</w:t>
      </w:r>
      <w:r w:rsidRPr="00AE3A31">
        <w:rPr>
          <w:sz w:val="12"/>
        </w:rPr>
        <w:t> </w:t>
      </w:r>
      <w:r w:rsidRPr="00AE3A31">
        <w:t>668.4-1</w:t>
      </w:r>
      <w:r w:rsidRPr="00AE3A31">
        <w:rPr>
          <w:sz w:val="12"/>
        </w:rPr>
        <w:t> </w:t>
      </w:r>
      <w:r w:rsidRPr="00AE3A31">
        <w:t xml:space="preserve">700 MHz </w:t>
      </w:r>
    </w:p>
    <w:p w14:paraId="5B37B3C5" w14:textId="77777777" w:rsidR="00700609" w:rsidRPr="00AE3A31" w:rsidRDefault="00700609" w:rsidP="00700609">
      <w:pPr>
        <w:pStyle w:val="Heading1"/>
      </w:pPr>
      <w:r w:rsidRPr="00AE3A31">
        <w:t>1</w:t>
      </w:r>
      <w:r w:rsidRPr="00AE3A31">
        <w:tab/>
        <w:t>Introduction</w:t>
      </w:r>
    </w:p>
    <w:p w14:paraId="02F86AAE" w14:textId="77777777" w:rsidR="00700609" w:rsidRPr="00AE3A31" w:rsidRDefault="00700609" w:rsidP="00700609">
      <w:r w:rsidRPr="00AE3A31">
        <w:t>The bands 400.15-406 MHz (referred to as the 403 MHz frequency band throughout) and 1</w:t>
      </w:r>
      <w:r w:rsidRPr="00AE3A31">
        <w:rPr>
          <w:sz w:val="12"/>
        </w:rPr>
        <w:t> </w:t>
      </w:r>
      <w:r w:rsidRPr="00AE3A31">
        <w:t>668.4</w:t>
      </w:r>
      <w:r w:rsidRPr="00AE3A31">
        <w:noBreakHyphen/>
        <w:t>1 700 MHz (referred to as the 1</w:t>
      </w:r>
      <w:r w:rsidRPr="00AE3A31">
        <w:rPr>
          <w:sz w:val="12"/>
        </w:rPr>
        <w:t> </w:t>
      </w:r>
      <w:r w:rsidRPr="00AE3A31">
        <w:t>680 MHz frequency band throughout) are allocated to MetAids on a primary basis. The frequency bands 400.15-403 MHz and 1</w:t>
      </w:r>
      <w:r w:rsidRPr="00AE3A31">
        <w:rPr>
          <w:sz w:val="12"/>
        </w:rPr>
        <w:t> </w:t>
      </w:r>
      <w:r w:rsidRPr="00AE3A31">
        <w:t>670</w:t>
      </w:r>
      <w:r w:rsidRPr="00AE3A31">
        <w:noBreakHyphen/>
        <w:t>1</w:t>
      </w:r>
      <w:r w:rsidRPr="00AE3A31">
        <w:rPr>
          <w:sz w:val="12"/>
        </w:rPr>
        <w:t> </w:t>
      </w:r>
      <w:r w:rsidRPr="00AE3A31">
        <w:t>700 MHz are also allocated to the meteorological satellite (METSAT) users on a co-primary basis; and the frequency band 400.15-401 MHz is allocated to the mobile</w:t>
      </w:r>
      <w:r w:rsidRPr="00AE3A31">
        <w:noBreakHyphen/>
        <w:t>satellite service (MSS) worldwide. The frequency band 1 668.4-1 675 MHz is allocated to the mobile-satellite service (MSS) on a worldwide basis.</w:t>
      </w:r>
    </w:p>
    <w:p w14:paraId="0F214E16" w14:textId="77777777" w:rsidR="00700609" w:rsidRPr="00AE3A31" w:rsidRDefault="00700609" w:rsidP="00700609">
      <w:r w:rsidRPr="00AE3A31">
        <w:t>The term MetAids is used to describe a variety of types of meteorological equipment; radiosondes, dropsondes and rocketsondes. MetAids are flown worldwide for the collection of upper atmosphere meteorological data for weather forecasts and severe storm prediction, collection of ozone level data, and measurement of atmospheric parameters for various other applications. The data collected from these flights, or soundings, is of extreme importance for the protection of life and property through the prediction of severe storms and providing vital data for commercial airlines operations.</w:t>
      </w:r>
    </w:p>
    <w:p w14:paraId="0BBD504E" w14:textId="77777777" w:rsidR="00700609" w:rsidRPr="00AE3A31" w:rsidRDefault="00700609" w:rsidP="00700609">
      <w:pPr>
        <w:pStyle w:val="Heading1"/>
      </w:pPr>
      <w:bookmarkStart w:id="4" w:name="_Hlk147387647"/>
      <w:r w:rsidRPr="00AE3A31">
        <w:t>2</w:t>
      </w:r>
      <w:r w:rsidRPr="00AE3A31">
        <w:tab/>
        <w:t>Methodology for determining MetAids interference criteria</w:t>
      </w:r>
    </w:p>
    <w:bookmarkEnd w:id="4"/>
    <w:p w14:paraId="78BE6E30" w14:textId="77777777" w:rsidR="00700609" w:rsidRPr="00AE3A31" w:rsidRDefault="00700609" w:rsidP="00700609">
      <w:r w:rsidRPr="00AE3A31">
        <w:t>Since MetAids are typically most vulnerable to interference at the maximum slant range of operation, the interference criteria will be established based on the link margin at the maximum slant range. Although this assumption does not allow other potential users of the frequency bands the flexibility of taking advantage of the higher link margins at shorter slant ranges, this factor may be applied, if appropriate, in detailed sharing studies. This range will be a typical maximum slant</w:t>
      </w:r>
      <w:r w:rsidRPr="00AE3A31" w:rsidDel="004940B5">
        <w:t xml:space="preserve"> </w:t>
      </w:r>
      <w:r w:rsidRPr="00AE3A31">
        <w:t>range for most of the world, but does not represent the extreme conditions encountered in wintertime at high latitudes.</w:t>
      </w:r>
    </w:p>
    <w:p w14:paraId="3C962DEF" w14:textId="77777777" w:rsidR="00700609" w:rsidRPr="00AE3A31" w:rsidRDefault="00700609" w:rsidP="00700609">
      <w:r w:rsidRPr="00AE3A31">
        <w:t>The interference criteria of MetAids will be established at three points for systems with directional antennas: an interference level and percentage time for loss of receiver tracking lock, an interference level and percentage time for loss of data, and a long-term interference level to be exceeded for no greater than 20% of the time. The loss of receiver tracking lock values is not applicable to MetAids systems with omnidirectional antennas since the antennas cannot be misdirected away from the signal during a period of signal loss or interference. For MetAids systems with omnidirectional antennas, an interference level and percentage of time will be calculated for data loss and for a long-term interference level to be exceeded for no greater than 20% of the time. Since the different types of MetAids are utilized in different applications and exhibit different characteristics, criteria will be established for each.</w:t>
      </w:r>
    </w:p>
    <w:p w14:paraId="686D0576" w14:textId="77777777" w:rsidR="00700609" w:rsidRPr="00AE3A31" w:rsidRDefault="00700609" w:rsidP="00700609">
      <w:r w:rsidRPr="00AE3A31">
        <w:t xml:space="preserve">The first level of short-term interference criteria to be established, applicable only to systems with directional tracking antennas, will be the level associated with loss of receiver tracking lock, which is allowable for only a brief period of time and is only applicable to systems with directional tracking antennas. This is the maximum time in which the receiver can withstand loss of signal and still recover and lock the tracking antenna back on the signal when it returns. The total time percentage, </w:t>
      </w:r>
      <w:r w:rsidRPr="00AE3A31">
        <w:rPr>
          <w:i/>
        </w:rPr>
        <w:t>P</w:t>
      </w:r>
      <w:r w:rsidRPr="00AE3A31">
        <w:t>%</w:t>
      </w:r>
      <w:r w:rsidRPr="00AE3A31">
        <w:rPr>
          <w:i/>
          <w:position w:val="-4"/>
          <w:sz w:val="16"/>
        </w:rPr>
        <w:t>TOTAL</w:t>
      </w:r>
      <w:r w:rsidRPr="00AE3A31">
        <w:t xml:space="preserve">, loss of tracking lock that may occur will be calculated according to the system and application. That percentage will then be subdivided into a percentage for intrasystem sources, and a percentage for intersystem sources. In this case, loss of lock will be subdivided so that 25% of </w:t>
      </w:r>
      <w:r w:rsidRPr="00AE3A31">
        <w:rPr>
          <w:i/>
        </w:rPr>
        <w:t>P</w:t>
      </w:r>
      <w:r w:rsidRPr="00AE3A31">
        <w:t>%</w:t>
      </w:r>
      <w:r w:rsidRPr="00AE3A31">
        <w:rPr>
          <w:i/>
          <w:position w:val="-4"/>
          <w:sz w:val="16"/>
        </w:rPr>
        <w:t>TOTAL</w:t>
      </w:r>
      <w:r w:rsidRPr="00AE3A31">
        <w:t xml:space="preserve"> is attributed to intersystem interference.</w:t>
      </w:r>
    </w:p>
    <w:p w14:paraId="39775F54" w14:textId="77777777" w:rsidR="00700609" w:rsidRPr="00AE3A31" w:rsidRDefault="00700609" w:rsidP="00700609">
      <w:r w:rsidRPr="00AE3A31">
        <w:t>The interference criteria for loss of tracking lock will be calculated in the following manner:</w:t>
      </w:r>
    </w:p>
    <w:p w14:paraId="3390DCBA" w14:textId="77777777" w:rsidR="00700609" w:rsidRPr="00AE3A31" w:rsidRDefault="00700609" w:rsidP="00700609">
      <w:pPr>
        <w:pStyle w:val="Blanc"/>
        <w:keepNext w:val="0"/>
        <w:keepLines w:val="0"/>
      </w:pPr>
    </w:p>
    <w:p w14:paraId="5770A2C9" w14:textId="77777777" w:rsidR="00700609" w:rsidRPr="00AE3A31" w:rsidRDefault="00700609" w:rsidP="00700609">
      <w:pPr>
        <w:pStyle w:val="Equation"/>
      </w:pPr>
      <w:r w:rsidRPr="00AE3A31">
        <w:lastRenderedPageBreak/>
        <w:tab/>
      </w:r>
      <w:r>
        <w:tab/>
      </w:r>
      <m:oMath>
        <m:sSub>
          <m:sSubPr>
            <m:ctrlPr>
              <w:rPr>
                <w:rFonts w:ascii="Cambria Math" w:hAnsi="Cambria Math"/>
                <w:i/>
              </w:rPr>
            </m:ctrlPr>
          </m:sSubPr>
          <m:e>
            <m:r>
              <w:rPr>
                <w:rFonts w:ascii="Cambria Math" w:hAnsi="Cambria Math"/>
              </w:rPr>
              <m:t>I</m:t>
            </m:r>
          </m:e>
          <m:sub>
            <m:r>
              <w:rPr>
                <w:rFonts w:ascii="Cambria Math" w:hAnsi="Cambria Math"/>
              </w:rPr>
              <m:t>LOC-LOSS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RX</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p>
                  <m:sSupPr>
                    <m:ctrlPr>
                      <w:rPr>
                        <w:rFonts w:ascii="Cambria Math" w:hAnsi="Cambria Math"/>
                        <w:i/>
                      </w:rPr>
                    </m:ctrlPr>
                  </m:sSupPr>
                  <m:e>
                    <m:r>
                      <w:rPr>
                        <w:rFonts w:ascii="Cambria Math" w:hAnsi="Cambria Math"/>
                      </w:rPr>
                      <m:t>10</m:t>
                    </m:r>
                  </m:e>
                  <m:sup>
                    <m:f>
                      <m:fPr>
                        <m:type m:val="lin"/>
                        <m:ctrlPr>
                          <w:rPr>
                            <w:rFonts w:ascii="Cambria Math" w:hAnsi="Cambria Math"/>
                            <w:i/>
                          </w:rPr>
                        </m:ctrlPr>
                      </m:fPr>
                      <m:num>
                        <m:r>
                          <w:rPr>
                            <w:rFonts w:ascii="Cambria Math" w:hAnsi="Cambria Math"/>
                          </w:rPr>
                          <m:t>M</m:t>
                        </m:r>
                      </m:num>
                      <m:den>
                        <m:r>
                          <w:rPr>
                            <w:rFonts w:ascii="Cambria Math" w:hAnsi="Cambria Math"/>
                          </w:rPr>
                          <m:t>10</m:t>
                        </m:r>
                      </m:den>
                    </m:f>
                  </m:sup>
                </m:sSup>
                <m:r>
                  <w:rPr>
                    <w:rFonts w:ascii="Cambria Math" w:hAnsi="Cambria Math"/>
                  </w:rPr>
                  <m:t>-1</m:t>
                </m:r>
              </m:e>
            </m:d>
          </m:e>
        </m:func>
      </m:oMath>
      <w:r w:rsidRPr="00AE3A31">
        <w:tab/>
        <w:t>(1)</w:t>
      </w:r>
    </w:p>
    <w:p w14:paraId="1721E358" w14:textId="77777777" w:rsidR="00700609" w:rsidRPr="00AE3A31" w:rsidRDefault="00700609" w:rsidP="00700609">
      <w:pPr>
        <w:pStyle w:val="Blanc"/>
        <w:keepNext w:val="0"/>
        <w:keepLines w:val="0"/>
      </w:pPr>
    </w:p>
    <w:p w14:paraId="0A1B7725" w14:textId="77777777" w:rsidR="00700609" w:rsidRPr="00AE3A31" w:rsidRDefault="00700609" w:rsidP="00700609">
      <w:r w:rsidRPr="00AE3A31">
        <w:t>where:</w:t>
      </w:r>
    </w:p>
    <w:p w14:paraId="5AB6878E" w14:textId="77777777" w:rsidR="00700609" w:rsidRPr="00AE3A31" w:rsidRDefault="00700609" w:rsidP="00700609">
      <w:pPr>
        <w:pStyle w:val="Equationlegend"/>
      </w:pPr>
      <w:r w:rsidRPr="00AE3A31">
        <w:tab/>
      </w:r>
      <w:r w:rsidRPr="00AE3A31">
        <w:rPr>
          <w:i/>
        </w:rPr>
        <w:t>N</w:t>
      </w:r>
      <w:r w:rsidRPr="00AE3A31">
        <w:rPr>
          <w:i/>
          <w:vertAlign w:val="subscript"/>
        </w:rPr>
        <w:t>RX</w:t>
      </w:r>
      <w:r w:rsidRPr="00AE3A31">
        <w:rPr>
          <w:sz w:val="12"/>
        </w:rPr>
        <w:t> </w:t>
      </w:r>
      <w:r w:rsidRPr="00AE3A31">
        <w:t>:</w:t>
      </w:r>
      <w:r w:rsidRPr="00AE3A31">
        <w:tab/>
        <w:t>receiver noise spectral density from link budget (see Tables 5, 6 and 7)</w:t>
      </w:r>
    </w:p>
    <w:p w14:paraId="277B2682" w14:textId="77777777" w:rsidR="00700609" w:rsidRPr="00AE3A31" w:rsidRDefault="00700609" w:rsidP="00700609">
      <w:pPr>
        <w:pStyle w:val="Equationlegend"/>
      </w:pPr>
      <w:r w:rsidRPr="00AE3A31">
        <w:tab/>
      </w:r>
      <w:r w:rsidRPr="00AE3A31">
        <w:rPr>
          <w:i/>
        </w:rPr>
        <w:t>M</w:t>
      </w:r>
      <w:r w:rsidRPr="00AE3A31">
        <w:rPr>
          <w:sz w:val="12"/>
        </w:rPr>
        <w:t> </w:t>
      </w:r>
      <w:r w:rsidRPr="00AE3A31">
        <w:t>:</w:t>
      </w:r>
      <w:r w:rsidRPr="00AE3A31">
        <w:tab/>
        <w:t>margin calculated for loss of lock calculated from link budget (see Tables 5, 6 and 7).</w:t>
      </w:r>
    </w:p>
    <w:p w14:paraId="3A810D7D" w14:textId="77777777" w:rsidR="00700609" w:rsidRPr="00AE3A31" w:rsidRDefault="00700609" w:rsidP="00700609">
      <w:r w:rsidRPr="00AE3A31">
        <w:t xml:space="preserve">The level, </w:t>
      </w:r>
      <w:r w:rsidRPr="00AE3A31">
        <w:rPr>
          <w:i/>
        </w:rPr>
        <w:t>I</w:t>
      </w:r>
      <w:r w:rsidRPr="00AE3A31">
        <w:rPr>
          <w:i/>
          <w:position w:val="-4"/>
          <w:sz w:val="16"/>
        </w:rPr>
        <w:t>LOCK</w:t>
      </w:r>
      <w:r w:rsidRPr="00AE3A31">
        <w:rPr>
          <w:i/>
          <w:position w:val="-4"/>
          <w:sz w:val="16"/>
        </w:rPr>
        <w:noBreakHyphen/>
        <w:t>LOSS</w:t>
      </w:r>
      <w:r w:rsidRPr="00AE3A31">
        <w:t xml:space="preserve">, shall not be exceeded more than </w:t>
      </w:r>
      <w:r w:rsidRPr="00AE3A31">
        <w:rPr>
          <w:i/>
        </w:rPr>
        <w:t>P</w:t>
      </w:r>
      <w:r w:rsidRPr="00AE3A31">
        <w:t>%</w:t>
      </w:r>
      <w:r w:rsidRPr="00AE3A31">
        <w:rPr>
          <w:i/>
          <w:position w:val="-4"/>
          <w:sz w:val="16"/>
        </w:rPr>
        <w:t>LOCK</w:t>
      </w:r>
      <w:r w:rsidRPr="00AE3A31">
        <w:rPr>
          <w:i/>
          <w:position w:val="-4"/>
          <w:sz w:val="16"/>
        </w:rPr>
        <w:noBreakHyphen/>
        <w:t>LOSS</w:t>
      </w:r>
      <w:r w:rsidRPr="00AE3A31">
        <w:t>, where:</w:t>
      </w:r>
    </w:p>
    <w:p w14:paraId="03EF3A19" w14:textId="77777777" w:rsidR="00700609" w:rsidRPr="00AE3A31" w:rsidRDefault="00700609" w:rsidP="00700609">
      <w:pPr>
        <w:pStyle w:val="Blanc"/>
        <w:keepNext w:val="0"/>
        <w:keepLines w:val="0"/>
      </w:pPr>
    </w:p>
    <w:p w14:paraId="0B9481B7" w14:textId="77777777" w:rsidR="00700609" w:rsidRDefault="00700609" w:rsidP="00700609">
      <w:pPr>
        <w:pStyle w:val="Equation"/>
      </w:pPr>
      <w:r w:rsidRPr="00AE3A31">
        <w:tab/>
      </w:r>
      <w:r>
        <w:tab/>
      </w:r>
      <m:oMath>
        <m:sSub>
          <m:sSubPr>
            <m:ctrlPr>
              <w:rPr>
                <w:rFonts w:ascii="Cambria Math" w:hAnsi="Cambria Math"/>
                <w:i/>
              </w:rPr>
            </m:ctrlPr>
          </m:sSubPr>
          <m:e>
            <m:r>
              <w:rPr>
                <w:rFonts w:ascii="Cambria Math" w:hAnsi="Cambria Math"/>
              </w:rPr>
              <m:t>P%</m:t>
            </m:r>
          </m:e>
          <m:sub>
            <m:r>
              <w:rPr>
                <w:rFonts w:ascii="Cambria Math" w:hAnsi="Cambria Math"/>
              </w:rPr>
              <m:t>LOCK-LOSS</m:t>
            </m:r>
          </m:sub>
        </m:sSub>
        <m:r>
          <w:rPr>
            <w:rFonts w:ascii="Cambria Math" w:hAnsi="Cambria Math"/>
          </w:rPr>
          <m:t xml:space="preserve">=0.25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TOTAL</m:t>
                </m:r>
              </m:sub>
            </m:sSub>
          </m:e>
        </m:d>
      </m:oMath>
    </w:p>
    <w:p w14:paraId="5B40F889" w14:textId="77777777" w:rsidR="00700609" w:rsidRPr="00AE3A31" w:rsidRDefault="00700609" w:rsidP="00700609">
      <w:pPr>
        <w:pStyle w:val="Blanc"/>
        <w:keepNext w:val="0"/>
        <w:keepLines w:val="0"/>
      </w:pPr>
    </w:p>
    <w:p w14:paraId="668B7C4E" w14:textId="77777777" w:rsidR="00700609" w:rsidRPr="00AE3A31" w:rsidDel="005F76ED" w:rsidRDefault="00700609" w:rsidP="00700609">
      <w:r w:rsidRPr="00AE3A31">
        <w:t xml:space="preserve">The second level of short-term interference criteria, applicable to all systems, is the level at which loss of data will occur. The percentage of time for this occurrence may be obtained from the user’s data availability objectives. The published data availability requirements of MetAids typically are for all sources of data loss and data error. MetAids flights experience sensor data errors, in addition to data loss, which are filtered out during data processing. 25% of the total data loss/error percentage </w:t>
      </w:r>
      <w:r w:rsidRPr="00AE3A31">
        <w:rPr>
          <w:i/>
        </w:rPr>
        <w:t>P</w:t>
      </w:r>
      <w:r w:rsidRPr="00AE3A31">
        <w:t>%</w:t>
      </w:r>
      <w:r w:rsidRPr="00AE3A31">
        <w:rPr>
          <w:i/>
          <w:position w:val="-4"/>
          <w:sz w:val="16"/>
        </w:rPr>
        <w:t>TOTAL</w:t>
      </w:r>
      <w:r w:rsidRPr="00AE3A31">
        <w:t xml:space="preserve"> will be attributed to interference and 25% of this may be attributed to intersystem interference, hence:</w:t>
      </w:r>
    </w:p>
    <w:p w14:paraId="102CA2B1" w14:textId="77777777" w:rsidR="00700609" w:rsidRPr="00AE3A31" w:rsidRDefault="00700609" w:rsidP="00700609">
      <w:pPr>
        <w:pStyle w:val="Blanc"/>
        <w:keepNext w:val="0"/>
        <w:keepLines w:val="0"/>
      </w:pPr>
    </w:p>
    <w:p w14:paraId="1B6A186D" w14:textId="77777777" w:rsidR="00700609" w:rsidRDefault="00700609" w:rsidP="00700609">
      <w:pPr>
        <w:pStyle w:val="Equation"/>
      </w:pPr>
      <w:r w:rsidRPr="00AE3A31">
        <w:tab/>
      </w:r>
      <w:r>
        <w:tab/>
      </w:r>
      <m:oMath>
        <m:sSub>
          <m:sSubPr>
            <m:ctrlPr>
              <w:rPr>
                <w:rFonts w:ascii="Cambria Math" w:hAnsi="Cambria Math"/>
                <w:i/>
              </w:rPr>
            </m:ctrlPr>
          </m:sSubPr>
          <m:e>
            <m:r>
              <w:rPr>
                <w:rFonts w:ascii="Cambria Math" w:hAnsi="Cambria Math"/>
              </w:rPr>
              <m:t>P%</m:t>
            </m:r>
          </m:e>
          <m:sub>
            <m:r>
              <w:rPr>
                <w:rFonts w:ascii="Cambria Math" w:hAnsi="Cambria Math"/>
              </w:rPr>
              <m:t>DATA-LOSS</m:t>
            </m:r>
          </m:sub>
        </m:sSub>
        <m:r>
          <w:rPr>
            <w:rFonts w:ascii="Cambria Math" w:hAnsi="Cambria Math"/>
          </w:rPr>
          <m:t>=</m:t>
        </m:r>
        <m:d>
          <m:dPr>
            <m:ctrlPr>
              <w:rPr>
                <w:rFonts w:ascii="Cambria Math" w:hAnsi="Cambria Math"/>
                <w:i/>
              </w:rPr>
            </m:ctrlPr>
          </m:dPr>
          <m:e>
            <m:r>
              <w:rPr>
                <w:rFonts w:ascii="Cambria Math" w:hAnsi="Cambria Math"/>
              </w:rPr>
              <m:t>25%</m:t>
            </m:r>
          </m:e>
        </m:d>
        <m:r>
          <w:rPr>
            <w:rFonts w:ascii="Cambria Math" w:hAnsi="Cambria Math"/>
          </w:rPr>
          <m:t xml:space="preserve"> </m:t>
        </m:r>
        <m:d>
          <m:dPr>
            <m:ctrlPr>
              <w:rPr>
                <w:rFonts w:ascii="Cambria Math" w:hAnsi="Cambria Math"/>
                <w:i/>
              </w:rPr>
            </m:ctrlPr>
          </m:dPr>
          <m:e>
            <m:r>
              <w:rPr>
                <w:rFonts w:ascii="Cambria Math" w:hAnsi="Cambria Math"/>
              </w:rPr>
              <m:t>25%</m:t>
            </m:r>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TOTAL</m:t>
                </m:r>
              </m:sub>
            </m:sSub>
          </m:e>
        </m:d>
        <m:r>
          <w:rPr>
            <w:rFonts w:ascii="Cambria Math" w:hAnsi="Cambria Math"/>
          </w:rPr>
          <m:t>=(6.25%)</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TOTAL</m:t>
                </m:r>
              </m:sub>
            </m:sSub>
          </m:e>
        </m:d>
      </m:oMath>
    </w:p>
    <w:p w14:paraId="5037C2F2" w14:textId="77777777" w:rsidR="00700609" w:rsidRPr="00AE3A31" w:rsidRDefault="00700609" w:rsidP="00700609">
      <w:pPr>
        <w:pStyle w:val="Blanc"/>
        <w:keepNext w:val="0"/>
        <w:keepLines w:val="0"/>
      </w:pPr>
    </w:p>
    <w:p w14:paraId="063EA458" w14:textId="77777777" w:rsidR="00700609" w:rsidRPr="00AE3A31" w:rsidRDefault="00700609" w:rsidP="00700609">
      <w:r w:rsidRPr="00AE3A31">
        <w:t>The interference criteria for data loss will be calculated in the following manner:</w:t>
      </w:r>
    </w:p>
    <w:p w14:paraId="2C33830F" w14:textId="77777777" w:rsidR="00700609" w:rsidRPr="00AE3A31" w:rsidRDefault="00700609" w:rsidP="00700609">
      <w:pPr>
        <w:pStyle w:val="Blanc"/>
        <w:keepNext w:val="0"/>
        <w:keepLines w:val="0"/>
      </w:pPr>
    </w:p>
    <w:p w14:paraId="4F37AE0A" w14:textId="77777777" w:rsidR="00700609" w:rsidRPr="00AE3A31" w:rsidRDefault="00700609" w:rsidP="00700609">
      <w:pPr>
        <w:pStyle w:val="Equation"/>
      </w:pPr>
      <w:r w:rsidRPr="00AE3A31">
        <w:tab/>
      </w:r>
      <w:r>
        <w:tab/>
      </w:r>
      <m:oMath>
        <m:sSub>
          <m:sSubPr>
            <m:ctrlPr>
              <w:rPr>
                <w:rFonts w:ascii="Cambria Math" w:hAnsi="Cambria Math"/>
                <w:i/>
              </w:rPr>
            </m:ctrlPr>
          </m:sSubPr>
          <m:e>
            <m:r>
              <w:rPr>
                <w:rFonts w:ascii="Cambria Math" w:hAnsi="Cambria Math"/>
              </w:rPr>
              <m:t>I</m:t>
            </m:r>
          </m:e>
          <m:sub>
            <m:r>
              <w:rPr>
                <w:rFonts w:ascii="Cambria Math" w:hAnsi="Cambria Math"/>
              </w:rPr>
              <m:t>DATA-LOSS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RX</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p>
                  <m:sSupPr>
                    <m:ctrlPr>
                      <w:rPr>
                        <w:rFonts w:ascii="Cambria Math" w:hAnsi="Cambria Math"/>
                        <w:i/>
                      </w:rPr>
                    </m:ctrlPr>
                  </m:sSupPr>
                  <m:e>
                    <m:r>
                      <w:rPr>
                        <w:rFonts w:ascii="Cambria Math" w:hAnsi="Cambria Math"/>
                      </w:rPr>
                      <m:t>10</m:t>
                    </m:r>
                  </m:e>
                  <m:sup>
                    <m:f>
                      <m:fPr>
                        <m:type m:val="lin"/>
                        <m:ctrlPr>
                          <w:rPr>
                            <w:rFonts w:ascii="Cambria Math" w:hAnsi="Cambria Math"/>
                            <w:i/>
                          </w:rPr>
                        </m:ctrlPr>
                      </m:fPr>
                      <m:num>
                        <m:r>
                          <w:rPr>
                            <w:rFonts w:ascii="Cambria Math" w:hAnsi="Cambria Math"/>
                          </w:rPr>
                          <m:t>M</m:t>
                        </m:r>
                      </m:num>
                      <m:den>
                        <m:r>
                          <w:rPr>
                            <w:rFonts w:ascii="Cambria Math" w:hAnsi="Cambria Math"/>
                          </w:rPr>
                          <m:t>10</m:t>
                        </m:r>
                      </m:den>
                    </m:f>
                  </m:sup>
                </m:sSup>
                <m:r>
                  <w:rPr>
                    <w:rFonts w:ascii="Cambria Math" w:hAnsi="Cambria Math"/>
                  </w:rPr>
                  <m:t>-1</m:t>
                </m:r>
              </m:e>
            </m:d>
          </m:e>
        </m:func>
      </m:oMath>
      <w:r w:rsidRPr="00AE3A31">
        <w:tab/>
        <w:t>(2)</w:t>
      </w:r>
    </w:p>
    <w:p w14:paraId="261C9C70" w14:textId="77777777" w:rsidR="00700609" w:rsidRPr="00AE3A31" w:rsidRDefault="00700609" w:rsidP="00700609">
      <w:pPr>
        <w:pStyle w:val="Blanc"/>
        <w:keepNext w:val="0"/>
        <w:keepLines w:val="0"/>
      </w:pPr>
    </w:p>
    <w:p w14:paraId="32AA3042" w14:textId="77777777" w:rsidR="00700609" w:rsidRPr="00AE3A31" w:rsidRDefault="00700609" w:rsidP="00700609">
      <w:pPr>
        <w:tabs>
          <w:tab w:val="left" w:pos="1260"/>
        </w:tabs>
      </w:pPr>
      <w:r w:rsidRPr="00AE3A31">
        <w:t>where:</w:t>
      </w:r>
    </w:p>
    <w:p w14:paraId="460A16F6" w14:textId="77777777" w:rsidR="00700609" w:rsidRPr="00AE3A31" w:rsidRDefault="00700609" w:rsidP="00700609">
      <w:pPr>
        <w:pStyle w:val="Equationlegend"/>
      </w:pPr>
      <w:r w:rsidRPr="00AE3A31">
        <w:tab/>
      </w:r>
      <w:r w:rsidRPr="00AE3A31">
        <w:rPr>
          <w:i/>
          <w:iCs/>
        </w:rPr>
        <w:t>N</w:t>
      </w:r>
      <w:r w:rsidRPr="00AE3A31">
        <w:rPr>
          <w:i/>
          <w:iCs/>
          <w:vertAlign w:val="subscript"/>
        </w:rPr>
        <w:t>RX</w:t>
      </w:r>
      <w:r w:rsidRPr="00AE3A31">
        <w:t>:</w:t>
      </w:r>
      <w:r w:rsidRPr="00AE3A31">
        <w:tab/>
        <w:t>receiver noise spectral density from link budget (see Tables 5, 6 and 7)</w:t>
      </w:r>
    </w:p>
    <w:p w14:paraId="0C1FC40C" w14:textId="77777777" w:rsidR="00700609" w:rsidRPr="00AE3A31" w:rsidRDefault="00700609" w:rsidP="00700609">
      <w:pPr>
        <w:pStyle w:val="Equationlegend"/>
      </w:pPr>
      <w:r w:rsidRPr="00AE3A31">
        <w:tab/>
      </w:r>
      <w:r w:rsidRPr="00AE3A31">
        <w:rPr>
          <w:i/>
          <w:iCs/>
        </w:rPr>
        <w:t>M</w:t>
      </w:r>
      <w:r w:rsidRPr="00AE3A31">
        <w:t>:</w:t>
      </w:r>
      <w:r w:rsidRPr="00AE3A31">
        <w:tab/>
        <w:t>margin calculated for data loss from link budget (see Tables 5, 6 and 7).</w:t>
      </w:r>
    </w:p>
    <w:p w14:paraId="39B0AA52" w14:textId="77777777" w:rsidR="00700609" w:rsidRPr="00AE3A31" w:rsidRDefault="00700609" w:rsidP="00700609">
      <w:pPr>
        <w:tabs>
          <w:tab w:val="left" w:pos="1260"/>
        </w:tabs>
      </w:pPr>
      <w:r w:rsidRPr="00AE3A31">
        <w:t xml:space="preserve">The level </w:t>
      </w:r>
      <w:r w:rsidRPr="00AE3A31">
        <w:rPr>
          <w:i/>
        </w:rPr>
        <w:t>I</w:t>
      </w:r>
      <w:r w:rsidRPr="00AE3A31">
        <w:rPr>
          <w:i/>
          <w:position w:val="-4"/>
          <w:sz w:val="16"/>
        </w:rPr>
        <w:t>DATA</w:t>
      </w:r>
      <w:r w:rsidRPr="00AE3A31">
        <w:rPr>
          <w:i/>
          <w:position w:val="-4"/>
          <w:sz w:val="16"/>
        </w:rPr>
        <w:noBreakHyphen/>
        <w:t>LOSS</w:t>
      </w:r>
      <w:r w:rsidRPr="00AE3A31">
        <w:t xml:space="preserve"> shall not be exceeded more than </w:t>
      </w:r>
      <w:r w:rsidRPr="00AE3A31">
        <w:rPr>
          <w:i/>
        </w:rPr>
        <w:t>P</w:t>
      </w:r>
      <w:r w:rsidRPr="00AE3A31">
        <w:t>%</w:t>
      </w:r>
      <w:r w:rsidRPr="00AE3A31">
        <w:rPr>
          <w:i/>
          <w:position w:val="-4"/>
          <w:sz w:val="16"/>
        </w:rPr>
        <w:t>DATA-LOSS</w:t>
      </w:r>
    </w:p>
    <w:p w14:paraId="4982DAD7" w14:textId="77777777" w:rsidR="00700609" w:rsidRPr="00AE3A31" w:rsidRDefault="00700609" w:rsidP="00700609">
      <w:pPr>
        <w:tabs>
          <w:tab w:val="left" w:pos="1260"/>
        </w:tabs>
      </w:pPr>
      <w:r w:rsidRPr="00AE3A31">
        <w:t>The third interference level will be the long-term level, to be exceeded no more than 20% of the time. The long-term interference level can be calculated based on both the short-term margins for loss of lock (when applicable) and data loss. The level calculated from the short-term loss of lock margin is insignificant since it is dominated by the level calculated from the data loss margin. For the long term (20%), two thirds of the margin associated with data loss will be retained for MetAids. The interference criteria for data loss will be calculated in the following manner:</w:t>
      </w:r>
    </w:p>
    <w:p w14:paraId="3C1235C9" w14:textId="77777777" w:rsidR="00700609" w:rsidRPr="00AE3A31" w:rsidRDefault="00700609" w:rsidP="00700609">
      <w:pPr>
        <w:pStyle w:val="Blanc"/>
        <w:keepNext w:val="0"/>
        <w:keepLines w:val="0"/>
      </w:pPr>
    </w:p>
    <w:p w14:paraId="21A62508" w14:textId="77777777" w:rsidR="00700609" w:rsidRDefault="00700609" w:rsidP="00700609">
      <w:pPr>
        <w:pStyle w:val="Equation"/>
      </w:pPr>
      <w:r w:rsidRPr="00AE3A31">
        <w:tab/>
      </w:r>
      <w:r>
        <w:tab/>
      </w:r>
      <m:oMath>
        <m:sSub>
          <m:sSubPr>
            <m:ctrlPr>
              <w:rPr>
                <w:rFonts w:ascii="Cambria Math" w:hAnsi="Cambria Math"/>
                <w:i/>
              </w:rPr>
            </m:ctrlPr>
          </m:sSubPr>
          <m:e>
            <m:r>
              <w:rPr>
                <w:rFonts w:ascii="Cambria Math" w:hAnsi="Cambria Math"/>
              </w:rPr>
              <m:t>I</m:t>
            </m:r>
          </m:e>
          <m:sub>
            <m:r>
              <w:rPr>
                <w:rFonts w:ascii="Cambria Math" w:hAnsi="Cambria Math"/>
              </w:rPr>
              <m:t>20%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RX</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p>
                  <m:sSupPr>
                    <m:ctrlPr>
                      <w:rPr>
                        <w:rFonts w:ascii="Cambria Math" w:hAnsi="Cambria Math"/>
                        <w:i/>
                      </w:rPr>
                    </m:ctrlPr>
                  </m:sSupPr>
                  <m:e>
                    <m:r>
                      <w:rPr>
                        <w:rFonts w:ascii="Cambria Math" w:hAnsi="Cambria Math"/>
                      </w:rPr>
                      <m:t>10</m:t>
                    </m:r>
                  </m:e>
                  <m:sup>
                    <m:f>
                      <m:fPr>
                        <m:type m:val="lin"/>
                        <m:ctrlPr>
                          <w:rPr>
                            <w:rFonts w:ascii="Cambria Math" w:hAnsi="Cambria Math"/>
                            <w:i/>
                          </w:rPr>
                        </m:ctrlPr>
                      </m:fPr>
                      <m:num>
                        <m:r>
                          <w:rPr>
                            <w:rFonts w:ascii="Cambria Math" w:hAnsi="Cambria Math"/>
                          </w:rPr>
                          <m:t>M</m:t>
                        </m:r>
                      </m:num>
                      <m:den>
                        <m:r>
                          <w:rPr>
                            <w:rFonts w:ascii="Cambria Math" w:hAnsi="Cambria Math"/>
                          </w:rPr>
                          <m:t>30</m:t>
                        </m:r>
                      </m:den>
                    </m:f>
                  </m:sup>
                </m:sSup>
                <m:r>
                  <w:rPr>
                    <w:rFonts w:ascii="Cambria Math" w:hAnsi="Cambria Math"/>
                  </w:rPr>
                  <m:t>-1</m:t>
                </m:r>
              </m:e>
            </m:d>
          </m:e>
        </m:func>
      </m:oMath>
    </w:p>
    <w:p w14:paraId="7DE7628B" w14:textId="77777777" w:rsidR="00700609" w:rsidRPr="00AE3A31" w:rsidRDefault="00700609" w:rsidP="00700609">
      <w:pPr>
        <w:pStyle w:val="Blanc"/>
        <w:keepNext w:val="0"/>
        <w:keepLines w:val="0"/>
      </w:pPr>
    </w:p>
    <w:p w14:paraId="30BC6901" w14:textId="77777777" w:rsidR="00700609" w:rsidRPr="00AE3A31" w:rsidRDefault="00700609" w:rsidP="00700609">
      <w:pPr>
        <w:tabs>
          <w:tab w:val="left" w:pos="1260"/>
        </w:tabs>
      </w:pPr>
      <w:r w:rsidRPr="00AE3A31">
        <w:t>or</w:t>
      </w:r>
    </w:p>
    <w:p w14:paraId="4715249A" w14:textId="77777777" w:rsidR="00700609" w:rsidRPr="00AE3A31" w:rsidRDefault="00700609" w:rsidP="00700609">
      <w:pPr>
        <w:pStyle w:val="Blanc"/>
      </w:pPr>
    </w:p>
    <w:p w14:paraId="112A0E9A" w14:textId="77777777" w:rsidR="00700609" w:rsidRPr="00AE3A31" w:rsidRDefault="00700609" w:rsidP="00700609">
      <w:pPr>
        <w:pStyle w:val="Equation"/>
      </w:pPr>
      <w:r>
        <w:rPr>
          <w:i/>
        </w:rPr>
        <w:tab/>
      </w:r>
      <w:r w:rsidRPr="00AE3A31">
        <w:rPr>
          <w:i/>
        </w:rPr>
        <w:tab/>
      </w:r>
      <m:oMath>
        <m:sSub>
          <m:sSubPr>
            <m:ctrlPr>
              <w:rPr>
                <w:rFonts w:ascii="Cambria Math" w:hAnsi="Cambria Math"/>
                <w:i/>
              </w:rPr>
            </m:ctrlPr>
          </m:sSubPr>
          <m:e>
            <m:r>
              <w:rPr>
                <w:rFonts w:ascii="Cambria Math" w:hAnsi="Cambria Math"/>
              </w:rPr>
              <m:t>N</m:t>
            </m:r>
          </m:e>
          <m:sub>
            <m:r>
              <w:rPr>
                <w:rFonts w:ascii="Cambria Math" w:hAnsi="Cambria Math"/>
              </w:rPr>
              <m:t>RX</m:t>
            </m:r>
          </m:sub>
        </m:sSub>
        <m:r>
          <w:rPr>
            <w:rFonts w:ascii="Cambria Math" w:hAnsi="Cambria Math"/>
          </w:rPr>
          <m:t xml:space="preserve">-10 </m:t>
        </m:r>
        <m:r>
          <m:rPr>
            <m:sty m:val="p"/>
          </m:rPr>
          <w:rPr>
            <w:rFonts w:ascii="Cambria Math" w:hAnsi="Cambria Math"/>
          </w:rPr>
          <m:t>dB</m:t>
        </m:r>
      </m:oMath>
      <w:r w:rsidRPr="00AE3A31">
        <w:t>, whichever is greater</w:t>
      </w:r>
      <w:r w:rsidRPr="00AE3A31">
        <w:tab/>
        <w:t>(3)</w:t>
      </w:r>
    </w:p>
    <w:p w14:paraId="157ED794" w14:textId="77777777" w:rsidR="00700609" w:rsidRPr="00AE3A31" w:rsidRDefault="00700609" w:rsidP="00700609">
      <w:pPr>
        <w:tabs>
          <w:tab w:val="left" w:pos="1260"/>
        </w:tabs>
      </w:pPr>
      <w:r w:rsidRPr="00AE3A31">
        <w:t>where:</w:t>
      </w:r>
    </w:p>
    <w:p w14:paraId="3E2113FE" w14:textId="77777777" w:rsidR="00700609" w:rsidRPr="00AE3A31" w:rsidRDefault="00700609" w:rsidP="00700609">
      <w:pPr>
        <w:pStyle w:val="Equationlegend"/>
      </w:pPr>
      <w:r w:rsidRPr="00AE3A31">
        <w:tab/>
      </w:r>
      <w:r w:rsidRPr="00AE3A31">
        <w:rPr>
          <w:i/>
        </w:rPr>
        <w:t>N</w:t>
      </w:r>
      <w:r w:rsidRPr="00AE3A31">
        <w:rPr>
          <w:i/>
          <w:vertAlign w:val="subscript"/>
        </w:rPr>
        <w:t>RX</w:t>
      </w:r>
      <w:r w:rsidRPr="00AE3A31">
        <w:rPr>
          <w:sz w:val="12"/>
        </w:rPr>
        <w:t> </w:t>
      </w:r>
      <w:r w:rsidRPr="00AE3A31">
        <w:t>:</w:t>
      </w:r>
      <w:r w:rsidRPr="00AE3A31">
        <w:tab/>
        <w:t>receiver noise spectral density from link budget (see Tables 5, 6 and 7)</w:t>
      </w:r>
    </w:p>
    <w:p w14:paraId="1608DF34" w14:textId="77777777" w:rsidR="00700609" w:rsidRPr="00AE3A31" w:rsidRDefault="00700609" w:rsidP="00700609">
      <w:pPr>
        <w:pStyle w:val="Equationlegend"/>
      </w:pPr>
      <w:r w:rsidRPr="00AE3A31">
        <w:tab/>
      </w:r>
      <w:r w:rsidRPr="00AE3A31">
        <w:rPr>
          <w:i/>
        </w:rPr>
        <w:t>M</w:t>
      </w:r>
      <w:r w:rsidRPr="00AE3A31">
        <w:rPr>
          <w:sz w:val="12"/>
        </w:rPr>
        <w:t> </w:t>
      </w:r>
      <w:r w:rsidRPr="00AE3A31">
        <w:t>:</w:t>
      </w:r>
      <w:r w:rsidRPr="00AE3A31">
        <w:tab/>
        <w:t>margin calculated for data loss from link budget (see Tables 5, 6 and 7).</w:t>
      </w:r>
    </w:p>
    <w:p w14:paraId="6D677EE4" w14:textId="77777777" w:rsidR="00700609" w:rsidRPr="00AE3A31" w:rsidRDefault="00700609" w:rsidP="00700609">
      <w:r w:rsidRPr="00AE3A31">
        <w:t xml:space="preserve">The level </w:t>
      </w:r>
      <w:r w:rsidRPr="00AE3A31">
        <w:rPr>
          <w:i/>
        </w:rPr>
        <w:t>I</w:t>
      </w:r>
      <w:r w:rsidRPr="00AE3A31">
        <w:rPr>
          <w:position w:val="-4"/>
          <w:sz w:val="16"/>
        </w:rPr>
        <w:t>20%</w:t>
      </w:r>
      <w:r w:rsidRPr="00AE3A31">
        <w:t xml:space="preserve"> shall not be exceeded more than 20% of time.</w:t>
      </w:r>
    </w:p>
    <w:p w14:paraId="367BE917" w14:textId="77777777" w:rsidR="00700609" w:rsidRPr="00AE3A31" w:rsidRDefault="00700609" w:rsidP="00700609">
      <w:pPr>
        <w:pStyle w:val="TableNo"/>
      </w:pPr>
      <w:r w:rsidRPr="00AE3A31">
        <w:lastRenderedPageBreak/>
        <w:t>TABLE 4</w:t>
      </w:r>
    </w:p>
    <w:p w14:paraId="4AA9DF5C" w14:textId="77777777" w:rsidR="00700609" w:rsidRPr="00AE3A31" w:rsidRDefault="00700609" w:rsidP="00700609">
      <w:pPr>
        <w:pStyle w:val="Tabletitle"/>
      </w:pPr>
      <w:r w:rsidRPr="00AE3A31">
        <w:t>Percentages of time associated with representative MetAids systems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190"/>
        <w:gridCol w:w="1190"/>
        <w:gridCol w:w="1190"/>
        <w:gridCol w:w="1606"/>
        <w:gridCol w:w="1193"/>
        <w:gridCol w:w="1249"/>
      </w:tblGrid>
      <w:tr w:rsidR="00700609" w:rsidRPr="00AE3A31" w14:paraId="50D843E4" w14:textId="77777777" w:rsidTr="00681BA8">
        <w:trPr>
          <w:tblHeader/>
          <w:jc w:val="center"/>
        </w:trPr>
        <w:tc>
          <w:tcPr>
            <w:tcW w:w="1928" w:type="dxa"/>
          </w:tcPr>
          <w:p w14:paraId="71EABB9D" w14:textId="77777777" w:rsidR="00700609" w:rsidRPr="00AE3A31" w:rsidRDefault="00700609" w:rsidP="00681BA8">
            <w:pPr>
              <w:pStyle w:val="Tablehead"/>
              <w:ind w:left="-57" w:right="-57"/>
            </w:pPr>
            <w:r w:rsidRPr="00AE3A31">
              <w:br w:type="page"/>
              <w:t>Percentage</w:t>
            </w:r>
          </w:p>
        </w:tc>
        <w:tc>
          <w:tcPr>
            <w:tcW w:w="1134" w:type="dxa"/>
          </w:tcPr>
          <w:p w14:paraId="552C6527" w14:textId="77777777" w:rsidR="00700609" w:rsidRPr="00AE3A31" w:rsidRDefault="00700609" w:rsidP="00681BA8">
            <w:pPr>
              <w:pStyle w:val="Tablehead"/>
              <w:ind w:left="-57" w:right="-57"/>
            </w:pPr>
            <w:r w:rsidRPr="00AE3A31">
              <w:t>RDF system</w:t>
            </w:r>
            <w:r w:rsidRPr="00AE3A31">
              <w:br/>
              <w:t>1 668.4-1 700 MHz</w:t>
            </w:r>
          </w:p>
        </w:tc>
        <w:tc>
          <w:tcPr>
            <w:tcW w:w="1134" w:type="dxa"/>
          </w:tcPr>
          <w:p w14:paraId="23317165" w14:textId="77777777" w:rsidR="00700609" w:rsidRPr="00AE3A31" w:rsidRDefault="00700609" w:rsidP="00681BA8">
            <w:pPr>
              <w:pStyle w:val="Tablehead"/>
              <w:ind w:left="-57" w:right="-57"/>
            </w:pPr>
            <w:r w:rsidRPr="00AE3A31">
              <w:t>GPS system</w:t>
            </w:r>
            <w:r w:rsidRPr="00AE3A31">
              <w:br/>
              <w:t>1 675-1 683 MHz</w:t>
            </w:r>
          </w:p>
        </w:tc>
        <w:tc>
          <w:tcPr>
            <w:tcW w:w="1134" w:type="dxa"/>
          </w:tcPr>
          <w:p w14:paraId="3AD7FC92" w14:textId="77777777" w:rsidR="00700609" w:rsidRPr="00AE3A31" w:rsidRDefault="00700609" w:rsidP="00681BA8">
            <w:pPr>
              <w:pStyle w:val="Tablehead"/>
              <w:ind w:left="-57" w:right="-57"/>
            </w:pPr>
            <w:r w:rsidRPr="00AE3A31">
              <w:t>NAVAID system with directional antenna</w:t>
            </w:r>
          </w:p>
        </w:tc>
        <w:tc>
          <w:tcPr>
            <w:tcW w:w="1531" w:type="dxa"/>
          </w:tcPr>
          <w:p w14:paraId="0B012E74" w14:textId="77777777" w:rsidR="00700609" w:rsidRPr="00AE3A31" w:rsidRDefault="00700609" w:rsidP="00681BA8">
            <w:pPr>
              <w:pStyle w:val="Tablehead"/>
              <w:ind w:left="-57" w:right="-57"/>
            </w:pPr>
            <w:r w:rsidRPr="00AE3A31">
              <w:t xml:space="preserve">NAVAID </w:t>
            </w:r>
            <w:r w:rsidRPr="00AE3A31">
              <w:br/>
              <w:t>system with omnidirectional antenna</w:t>
            </w:r>
          </w:p>
        </w:tc>
        <w:tc>
          <w:tcPr>
            <w:tcW w:w="1137" w:type="dxa"/>
          </w:tcPr>
          <w:p w14:paraId="475FE192" w14:textId="77777777" w:rsidR="00700609" w:rsidRPr="00AE3A31" w:rsidRDefault="00700609" w:rsidP="00681BA8">
            <w:pPr>
              <w:pStyle w:val="Tablehead"/>
              <w:ind w:left="-57" w:right="-57"/>
            </w:pPr>
            <w:r w:rsidRPr="00AE3A31">
              <w:t>Dropsonde system</w:t>
            </w:r>
          </w:p>
        </w:tc>
        <w:tc>
          <w:tcPr>
            <w:tcW w:w="1191" w:type="dxa"/>
          </w:tcPr>
          <w:p w14:paraId="445D782E" w14:textId="77777777" w:rsidR="00700609" w:rsidRPr="00AE3A31" w:rsidRDefault="00700609" w:rsidP="00681BA8">
            <w:pPr>
              <w:pStyle w:val="Tablehead"/>
              <w:ind w:left="-113" w:right="-113"/>
            </w:pPr>
            <w:r w:rsidRPr="00AE3A31">
              <w:t>Rocketsonde system</w:t>
            </w:r>
          </w:p>
        </w:tc>
      </w:tr>
      <w:tr w:rsidR="00700609" w:rsidRPr="00AE3A31" w14:paraId="46C9A784" w14:textId="77777777" w:rsidTr="00681BA8">
        <w:trPr>
          <w:jc w:val="center"/>
        </w:trPr>
        <w:tc>
          <w:tcPr>
            <w:tcW w:w="1928" w:type="dxa"/>
          </w:tcPr>
          <w:p w14:paraId="13B1711A" w14:textId="77777777" w:rsidR="00700609" w:rsidRPr="00AE3A31" w:rsidRDefault="00700609" w:rsidP="009D56EB">
            <w:pPr>
              <w:pStyle w:val="Tabletext"/>
              <w:ind w:right="-57"/>
              <w:jc w:val="left"/>
            </w:pPr>
            <w:r w:rsidRPr="00AE3A31">
              <w:t>Tracking loss percentage of time (</w:t>
            </w:r>
            <w:r w:rsidRPr="00AE3A31">
              <w:rPr>
                <w:i/>
                <w:iCs/>
              </w:rPr>
              <w:t>P</w:t>
            </w:r>
            <w:r w:rsidRPr="00AE3A31">
              <w:t>%</w:t>
            </w:r>
            <w:r w:rsidRPr="00AE3A31">
              <w:rPr>
                <w:i/>
                <w:iCs/>
                <w:vertAlign w:val="subscript"/>
              </w:rPr>
              <w:t>TOTAL-LOCK</w:t>
            </w:r>
            <w:r w:rsidRPr="00AE3A31">
              <w:t>)</w:t>
            </w:r>
          </w:p>
        </w:tc>
        <w:tc>
          <w:tcPr>
            <w:tcW w:w="1134" w:type="dxa"/>
          </w:tcPr>
          <w:p w14:paraId="194C9BCF" w14:textId="77777777" w:rsidR="00700609" w:rsidRPr="00AE3A31" w:rsidRDefault="00700609" w:rsidP="00681BA8">
            <w:pPr>
              <w:pStyle w:val="Tabletext"/>
              <w:jc w:val="center"/>
            </w:pPr>
            <w:r w:rsidRPr="00AE3A31">
              <w:t>0.08%</w:t>
            </w:r>
          </w:p>
        </w:tc>
        <w:tc>
          <w:tcPr>
            <w:tcW w:w="1134" w:type="dxa"/>
          </w:tcPr>
          <w:p w14:paraId="2B0211DE" w14:textId="77777777" w:rsidR="00700609" w:rsidRPr="00AE3A31" w:rsidRDefault="00700609" w:rsidP="00681BA8">
            <w:pPr>
              <w:pStyle w:val="Tabletext"/>
              <w:jc w:val="center"/>
            </w:pPr>
            <w:r w:rsidRPr="00AE3A31">
              <w:t>0.1%</w:t>
            </w:r>
          </w:p>
        </w:tc>
        <w:tc>
          <w:tcPr>
            <w:tcW w:w="1134" w:type="dxa"/>
          </w:tcPr>
          <w:p w14:paraId="097437EF" w14:textId="77777777" w:rsidR="00700609" w:rsidRPr="00AE3A31" w:rsidRDefault="00700609" w:rsidP="00681BA8">
            <w:pPr>
              <w:pStyle w:val="Tabletext"/>
              <w:jc w:val="center"/>
            </w:pPr>
            <w:r w:rsidRPr="00AE3A31">
              <w:t>0.08%</w:t>
            </w:r>
          </w:p>
        </w:tc>
        <w:tc>
          <w:tcPr>
            <w:tcW w:w="1531" w:type="dxa"/>
          </w:tcPr>
          <w:p w14:paraId="4A928DD6" w14:textId="77777777" w:rsidR="00700609" w:rsidRPr="00AE3A31" w:rsidRDefault="00700609" w:rsidP="00681BA8">
            <w:pPr>
              <w:pStyle w:val="Tabletext"/>
              <w:jc w:val="center"/>
            </w:pPr>
            <w:r w:rsidRPr="00AE3A31">
              <w:t>N/A</w:t>
            </w:r>
            <w:r w:rsidRPr="00AE3A31">
              <w:rPr>
                <w:vertAlign w:val="superscript"/>
              </w:rPr>
              <w:t>(1)</w:t>
            </w:r>
          </w:p>
        </w:tc>
        <w:tc>
          <w:tcPr>
            <w:tcW w:w="1137" w:type="dxa"/>
          </w:tcPr>
          <w:p w14:paraId="7358258D" w14:textId="77777777" w:rsidR="00700609" w:rsidRPr="00AE3A31" w:rsidRDefault="00700609" w:rsidP="00681BA8">
            <w:pPr>
              <w:pStyle w:val="Tabletext"/>
              <w:jc w:val="center"/>
            </w:pPr>
            <w:r w:rsidRPr="00AE3A31">
              <w:t>N/A</w:t>
            </w:r>
            <w:r w:rsidRPr="00AE3A31">
              <w:rPr>
                <w:vertAlign w:val="superscript"/>
              </w:rPr>
              <w:t>(1)</w:t>
            </w:r>
          </w:p>
        </w:tc>
        <w:tc>
          <w:tcPr>
            <w:tcW w:w="1191" w:type="dxa"/>
          </w:tcPr>
          <w:p w14:paraId="17A5981F" w14:textId="77777777" w:rsidR="00700609" w:rsidRPr="00AE3A31" w:rsidRDefault="00700609" w:rsidP="00681BA8">
            <w:pPr>
              <w:pStyle w:val="Tabletext"/>
              <w:jc w:val="center"/>
            </w:pPr>
            <w:r w:rsidRPr="00AE3A31">
              <w:t>0.08%</w:t>
            </w:r>
          </w:p>
        </w:tc>
      </w:tr>
      <w:tr w:rsidR="00700609" w:rsidRPr="00AE3A31" w14:paraId="27F425D4" w14:textId="77777777" w:rsidTr="00681BA8">
        <w:trPr>
          <w:jc w:val="center"/>
        </w:trPr>
        <w:tc>
          <w:tcPr>
            <w:tcW w:w="1928" w:type="dxa"/>
          </w:tcPr>
          <w:p w14:paraId="412C4D04" w14:textId="77777777" w:rsidR="00700609" w:rsidRPr="00AE3A31" w:rsidRDefault="00700609" w:rsidP="009D56EB">
            <w:pPr>
              <w:pStyle w:val="Tabletext"/>
              <w:ind w:right="-57"/>
              <w:jc w:val="left"/>
            </w:pPr>
            <w:r w:rsidRPr="00AE3A31">
              <w:t xml:space="preserve">Percentage of tracking loss attributed to intersystem interference </w:t>
            </w:r>
            <w:r w:rsidRPr="00AE3A31">
              <w:br/>
              <w:t>(</w:t>
            </w:r>
            <w:r w:rsidRPr="00AE3A31">
              <w:rPr>
                <w:i/>
                <w:iCs/>
              </w:rPr>
              <w:t>P</w:t>
            </w:r>
            <w:r w:rsidRPr="00AE3A31">
              <w:t>%</w:t>
            </w:r>
            <w:r w:rsidRPr="00AE3A31">
              <w:rPr>
                <w:i/>
                <w:iCs/>
                <w:vertAlign w:val="subscript"/>
              </w:rPr>
              <w:t>LL-INTERSYSTEM</w:t>
            </w:r>
            <w:r w:rsidRPr="00AE3A31">
              <w:t>)</w:t>
            </w:r>
          </w:p>
        </w:tc>
        <w:tc>
          <w:tcPr>
            <w:tcW w:w="1134" w:type="dxa"/>
          </w:tcPr>
          <w:p w14:paraId="5B937907" w14:textId="77777777" w:rsidR="00700609" w:rsidRPr="00AE3A31" w:rsidRDefault="00700609" w:rsidP="00681BA8">
            <w:pPr>
              <w:pStyle w:val="Tabletext"/>
              <w:jc w:val="center"/>
            </w:pPr>
            <w:r w:rsidRPr="00AE3A31">
              <w:t>25%</w:t>
            </w:r>
          </w:p>
        </w:tc>
        <w:tc>
          <w:tcPr>
            <w:tcW w:w="1134" w:type="dxa"/>
          </w:tcPr>
          <w:p w14:paraId="4396F4EF" w14:textId="77777777" w:rsidR="00700609" w:rsidRPr="00AE3A31" w:rsidRDefault="00700609" w:rsidP="00681BA8">
            <w:pPr>
              <w:pStyle w:val="Tabletext"/>
              <w:jc w:val="center"/>
            </w:pPr>
            <w:r w:rsidRPr="00AE3A31">
              <w:t>25%</w:t>
            </w:r>
          </w:p>
        </w:tc>
        <w:tc>
          <w:tcPr>
            <w:tcW w:w="1134" w:type="dxa"/>
          </w:tcPr>
          <w:p w14:paraId="113F442D" w14:textId="77777777" w:rsidR="00700609" w:rsidRPr="00AE3A31" w:rsidRDefault="00700609" w:rsidP="00681BA8">
            <w:pPr>
              <w:pStyle w:val="Tabletext"/>
              <w:jc w:val="center"/>
            </w:pPr>
            <w:r w:rsidRPr="00AE3A31">
              <w:t>25%</w:t>
            </w:r>
          </w:p>
        </w:tc>
        <w:tc>
          <w:tcPr>
            <w:tcW w:w="1531" w:type="dxa"/>
          </w:tcPr>
          <w:p w14:paraId="43273389" w14:textId="77777777" w:rsidR="00700609" w:rsidRPr="00AE3A31" w:rsidRDefault="00700609" w:rsidP="00681BA8">
            <w:pPr>
              <w:pStyle w:val="Tabletext"/>
              <w:jc w:val="center"/>
            </w:pPr>
            <w:r w:rsidRPr="00AE3A31">
              <w:t>N/A</w:t>
            </w:r>
            <w:r w:rsidRPr="00AE3A31">
              <w:rPr>
                <w:vertAlign w:val="superscript"/>
              </w:rPr>
              <w:t>(1)</w:t>
            </w:r>
          </w:p>
        </w:tc>
        <w:tc>
          <w:tcPr>
            <w:tcW w:w="1137" w:type="dxa"/>
          </w:tcPr>
          <w:p w14:paraId="51F0E9A8" w14:textId="77777777" w:rsidR="00700609" w:rsidRPr="00AE3A31" w:rsidRDefault="00700609" w:rsidP="00681BA8">
            <w:pPr>
              <w:pStyle w:val="Tabletext"/>
              <w:jc w:val="center"/>
            </w:pPr>
            <w:r w:rsidRPr="00AE3A31">
              <w:t>N/A</w:t>
            </w:r>
            <w:r w:rsidRPr="00AE3A31">
              <w:rPr>
                <w:vertAlign w:val="superscript"/>
              </w:rPr>
              <w:t>(1)</w:t>
            </w:r>
          </w:p>
        </w:tc>
        <w:tc>
          <w:tcPr>
            <w:tcW w:w="1191" w:type="dxa"/>
          </w:tcPr>
          <w:p w14:paraId="2240B889" w14:textId="77777777" w:rsidR="00700609" w:rsidRPr="00AE3A31" w:rsidRDefault="00700609" w:rsidP="00681BA8">
            <w:pPr>
              <w:pStyle w:val="Tabletext"/>
              <w:jc w:val="center"/>
            </w:pPr>
            <w:r w:rsidRPr="00AE3A31">
              <w:t>25%</w:t>
            </w:r>
          </w:p>
        </w:tc>
      </w:tr>
      <w:tr w:rsidR="00700609" w:rsidRPr="00AE3A31" w14:paraId="6AADA4E8" w14:textId="77777777" w:rsidTr="00681BA8">
        <w:trPr>
          <w:jc w:val="center"/>
        </w:trPr>
        <w:tc>
          <w:tcPr>
            <w:tcW w:w="1928" w:type="dxa"/>
          </w:tcPr>
          <w:p w14:paraId="5C5C097C" w14:textId="77777777" w:rsidR="00700609" w:rsidRPr="00AE3A31" w:rsidRDefault="00700609" w:rsidP="009D56EB">
            <w:pPr>
              <w:pStyle w:val="Tabletext"/>
              <w:ind w:right="-57"/>
              <w:jc w:val="left"/>
            </w:pPr>
            <w:r w:rsidRPr="00AE3A31">
              <w:t>Maximum link unavailability percentage of time (</w:t>
            </w:r>
            <w:r w:rsidRPr="00AE3A31">
              <w:rPr>
                <w:i/>
                <w:iCs/>
              </w:rPr>
              <w:t>P</w:t>
            </w:r>
            <w:r w:rsidRPr="00AE3A31">
              <w:t>%</w:t>
            </w:r>
            <w:r w:rsidRPr="00AE3A31">
              <w:rPr>
                <w:i/>
                <w:iCs/>
                <w:vertAlign w:val="subscript"/>
              </w:rPr>
              <w:t>TOTAL</w:t>
            </w:r>
            <w:r w:rsidRPr="00AE3A31">
              <w:t>)</w:t>
            </w:r>
            <w:r w:rsidRPr="00AE3A31">
              <w:rPr>
                <w:vertAlign w:val="superscript"/>
              </w:rPr>
              <w:t>(2)</w:t>
            </w:r>
          </w:p>
        </w:tc>
        <w:tc>
          <w:tcPr>
            <w:tcW w:w="1134" w:type="dxa"/>
          </w:tcPr>
          <w:p w14:paraId="51E4C139" w14:textId="77777777" w:rsidR="00700609" w:rsidRPr="00AE3A31" w:rsidRDefault="00700609" w:rsidP="00681BA8">
            <w:pPr>
              <w:pStyle w:val="Tabletext"/>
              <w:jc w:val="center"/>
            </w:pPr>
            <w:r w:rsidRPr="00AE3A31">
              <w:t>13.5%</w:t>
            </w:r>
          </w:p>
        </w:tc>
        <w:tc>
          <w:tcPr>
            <w:tcW w:w="1134" w:type="dxa"/>
          </w:tcPr>
          <w:p w14:paraId="4FD5861E" w14:textId="77777777" w:rsidR="00700609" w:rsidRPr="00AE3A31" w:rsidRDefault="00700609" w:rsidP="00681BA8">
            <w:pPr>
              <w:pStyle w:val="Tabletext"/>
              <w:jc w:val="center"/>
            </w:pPr>
            <w:r w:rsidRPr="00AE3A31">
              <w:t>2.0%</w:t>
            </w:r>
          </w:p>
        </w:tc>
        <w:tc>
          <w:tcPr>
            <w:tcW w:w="1134" w:type="dxa"/>
          </w:tcPr>
          <w:p w14:paraId="4D8701A4" w14:textId="77777777" w:rsidR="00700609" w:rsidRPr="00AE3A31" w:rsidRDefault="00700609" w:rsidP="00681BA8">
            <w:pPr>
              <w:pStyle w:val="Tabletext"/>
              <w:jc w:val="center"/>
            </w:pPr>
            <w:r w:rsidRPr="00AE3A31">
              <w:t>1%</w:t>
            </w:r>
          </w:p>
        </w:tc>
        <w:tc>
          <w:tcPr>
            <w:tcW w:w="1531" w:type="dxa"/>
          </w:tcPr>
          <w:p w14:paraId="4F56DB20" w14:textId="77777777" w:rsidR="00700609" w:rsidRPr="00AE3A31" w:rsidRDefault="00700609" w:rsidP="00681BA8">
            <w:pPr>
              <w:pStyle w:val="Tabletext"/>
              <w:jc w:val="center"/>
            </w:pPr>
            <w:r w:rsidRPr="00AE3A31">
              <w:t>1%</w:t>
            </w:r>
          </w:p>
        </w:tc>
        <w:tc>
          <w:tcPr>
            <w:tcW w:w="1137" w:type="dxa"/>
          </w:tcPr>
          <w:p w14:paraId="52213FB4" w14:textId="77777777" w:rsidR="00700609" w:rsidRPr="00AE3A31" w:rsidRDefault="00700609" w:rsidP="00681BA8">
            <w:pPr>
              <w:pStyle w:val="Tabletext"/>
              <w:jc w:val="center"/>
            </w:pPr>
            <w:r w:rsidRPr="00AE3A31">
              <w:t>1.0%</w:t>
            </w:r>
          </w:p>
        </w:tc>
        <w:tc>
          <w:tcPr>
            <w:tcW w:w="1191" w:type="dxa"/>
          </w:tcPr>
          <w:p w14:paraId="6095B780" w14:textId="77777777" w:rsidR="00700609" w:rsidRPr="00AE3A31" w:rsidRDefault="00700609" w:rsidP="00681BA8">
            <w:pPr>
              <w:pStyle w:val="Tabletext"/>
              <w:jc w:val="center"/>
            </w:pPr>
            <w:r w:rsidRPr="00AE3A31">
              <w:t>1.0%</w:t>
            </w:r>
          </w:p>
        </w:tc>
      </w:tr>
      <w:tr w:rsidR="00700609" w:rsidRPr="00AE3A31" w14:paraId="40CCEB91" w14:textId="77777777" w:rsidTr="00681BA8">
        <w:trPr>
          <w:jc w:val="center"/>
        </w:trPr>
        <w:tc>
          <w:tcPr>
            <w:tcW w:w="1928" w:type="dxa"/>
          </w:tcPr>
          <w:p w14:paraId="229C3857" w14:textId="77777777" w:rsidR="00700609" w:rsidRPr="00AE3A31" w:rsidRDefault="00700609" w:rsidP="009D56EB">
            <w:pPr>
              <w:pStyle w:val="Tabletext"/>
              <w:ind w:right="-57"/>
              <w:jc w:val="left"/>
            </w:pPr>
            <w:r w:rsidRPr="00AE3A31">
              <w:t>Percentage of data loss attributed to interference</w:t>
            </w:r>
            <w:r w:rsidRPr="00AE3A31">
              <w:br/>
              <w:t>(</w:t>
            </w:r>
            <w:r w:rsidRPr="00AE3A31">
              <w:rPr>
                <w:i/>
                <w:iCs/>
              </w:rPr>
              <w:t>P</w:t>
            </w:r>
            <w:r w:rsidRPr="00AE3A31">
              <w:t>%</w:t>
            </w:r>
            <w:r w:rsidRPr="00AE3A31">
              <w:rPr>
                <w:i/>
                <w:iCs/>
                <w:vertAlign w:val="subscript"/>
              </w:rPr>
              <w:t>DL-INTERFERENCE</w:t>
            </w:r>
            <w:r w:rsidRPr="00AE3A31">
              <w:t>)</w:t>
            </w:r>
          </w:p>
        </w:tc>
        <w:tc>
          <w:tcPr>
            <w:tcW w:w="1134" w:type="dxa"/>
          </w:tcPr>
          <w:p w14:paraId="5E2A3633" w14:textId="77777777" w:rsidR="00700609" w:rsidRPr="00AE3A31" w:rsidRDefault="00700609" w:rsidP="00681BA8">
            <w:pPr>
              <w:pStyle w:val="Tabletext"/>
              <w:jc w:val="center"/>
            </w:pPr>
            <w:r w:rsidRPr="00AE3A31">
              <w:t>25%</w:t>
            </w:r>
          </w:p>
        </w:tc>
        <w:tc>
          <w:tcPr>
            <w:tcW w:w="1134" w:type="dxa"/>
          </w:tcPr>
          <w:p w14:paraId="146E1F24" w14:textId="77777777" w:rsidR="00700609" w:rsidRPr="00AE3A31" w:rsidRDefault="00700609" w:rsidP="00681BA8">
            <w:pPr>
              <w:pStyle w:val="Tabletext"/>
              <w:jc w:val="center"/>
            </w:pPr>
            <w:r w:rsidRPr="00AE3A31">
              <w:t>25%</w:t>
            </w:r>
          </w:p>
        </w:tc>
        <w:tc>
          <w:tcPr>
            <w:tcW w:w="1134" w:type="dxa"/>
          </w:tcPr>
          <w:p w14:paraId="5FAD6F09" w14:textId="77777777" w:rsidR="00700609" w:rsidRPr="00AE3A31" w:rsidRDefault="00700609" w:rsidP="00681BA8">
            <w:pPr>
              <w:pStyle w:val="Tabletext"/>
              <w:jc w:val="center"/>
            </w:pPr>
            <w:r w:rsidRPr="00AE3A31">
              <w:t>25%</w:t>
            </w:r>
          </w:p>
        </w:tc>
        <w:tc>
          <w:tcPr>
            <w:tcW w:w="1531" w:type="dxa"/>
          </w:tcPr>
          <w:p w14:paraId="1B8986A3" w14:textId="77777777" w:rsidR="00700609" w:rsidRPr="00AE3A31" w:rsidRDefault="00700609" w:rsidP="00681BA8">
            <w:pPr>
              <w:pStyle w:val="Tabletext"/>
              <w:jc w:val="center"/>
            </w:pPr>
            <w:r w:rsidRPr="00AE3A31">
              <w:t>25%</w:t>
            </w:r>
          </w:p>
        </w:tc>
        <w:tc>
          <w:tcPr>
            <w:tcW w:w="1137" w:type="dxa"/>
          </w:tcPr>
          <w:p w14:paraId="05FED0F1" w14:textId="77777777" w:rsidR="00700609" w:rsidRPr="00AE3A31" w:rsidRDefault="00700609" w:rsidP="00681BA8">
            <w:pPr>
              <w:pStyle w:val="Tabletext"/>
              <w:jc w:val="center"/>
            </w:pPr>
            <w:r w:rsidRPr="00AE3A31">
              <w:t>25%</w:t>
            </w:r>
          </w:p>
        </w:tc>
        <w:tc>
          <w:tcPr>
            <w:tcW w:w="1191" w:type="dxa"/>
          </w:tcPr>
          <w:p w14:paraId="1BA26A18" w14:textId="77777777" w:rsidR="00700609" w:rsidRPr="00AE3A31" w:rsidRDefault="00700609" w:rsidP="00681BA8">
            <w:pPr>
              <w:pStyle w:val="Tabletext"/>
              <w:jc w:val="center"/>
            </w:pPr>
            <w:r w:rsidRPr="00AE3A31">
              <w:t>25%</w:t>
            </w:r>
          </w:p>
        </w:tc>
      </w:tr>
      <w:tr w:rsidR="00700609" w:rsidRPr="00AE3A31" w14:paraId="0BC69291" w14:textId="77777777" w:rsidTr="00681BA8">
        <w:trPr>
          <w:jc w:val="center"/>
        </w:trPr>
        <w:tc>
          <w:tcPr>
            <w:tcW w:w="1928" w:type="dxa"/>
          </w:tcPr>
          <w:p w14:paraId="1075F325" w14:textId="77777777" w:rsidR="00700609" w:rsidRPr="00AE3A31" w:rsidRDefault="00700609" w:rsidP="009D56EB">
            <w:pPr>
              <w:pStyle w:val="Tabletext"/>
              <w:ind w:right="-57"/>
              <w:jc w:val="left"/>
            </w:pPr>
            <w:r w:rsidRPr="00AE3A31">
              <w:t xml:space="preserve">Percentage of data loss attributed to intersystem interference </w:t>
            </w:r>
            <w:r w:rsidRPr="00AE3A31">
              <w:br/>
              <w:t>(</w:t>
            </w:r>
            <w:r w:rsidRPr="00AE3A31">
              <w:rPr>
                <w:i/>
                <w:iCs/>
              </w:rPr>
              <w:t>P</w:t>
            </w:r>
            <w:r w:rsidRPr="00AE3A31">
              <w:t>%</w:t>
            </w:r>
            <w:r w:rsidRPr="00AE3A31">
              <w:rPr>
                <w:i/>
                <w:iCs/>
                <w:vertAlign w:val="subscript"/>
              </w:rPr>
              <w:t>DL-INTERSYSTEM</w:t>
            </w:r>
            <w:r w:rsidRPr="00AE3A31">
              <w:t>)</w:t>
            </w:r>
          </w:p>
        </w:tc>
        <w:tc>
          <w:tcPr>
            <w:tcW w:w="1134" w:type="dxa"/>
          </w:tcPr>
          <w:p w14:paraId="17FD8146" w14:textId="77777777" w:rsidR="00700609" w:rsidRPr="00AE3A31" w:rsidRDefault="00700609" w:rsidP="00681BA8">
            <w:pPr>
              <w:pStyle w:val="Tabletext"/>
              <w:jc w:val="center"/>
            </w:pPr>
            <w:r w:rsidRPr="00AE3A31">
              <w:t>25%</w:t>
            </w:r>
          </w:p>
        </w:tc>
        <w:tc>
          <w:tcPr>
            <w:tcW w:w="1134" w:type="dxa"/>
          </w:tcPr>
          <w:p w14:paraId="7355220F" w14:textId="77777777" w:rsidR="00700609" w:rsidRPr="00AE3A31" w:rsidRDefault="00700609" w:rsidP="00681BA8">
            <w:pPr>
              <w:pStyle w:val="Tabletext"/>
              <w:jc w:val="center"/>
            </w:pPr>
            <w:r w:rsidRPr="00AE3A31">
              <w:t>25%</w:t>
            </w:r>
          </w:p>
        </w:tc>
        <w:tc>
          <w:tcPr>
            <w:tcW w:w="1134" w:type="dxa"/>
          </w:tcPr>
          <w:p w14:paraId="24088C2B" w14:textId="77777777" w:rsidR="00700609" w:rsidRPr="00AE3A31" w:rsidRDefault="00700609" w:rsidP="00681BA8">
            <w:pPr>
              <w:pStyle w:val="Tabletext"/>
              <w:jc w:val="center"/>
            </w:pPr>
            <w:r w:rsidRPr="00AE3A31">
              <w:t>25%</w:t>
            </w:r>
          </w:p>
        </w:tc>
        <w:tc>
          <w:tcPr>
            <w:tcW w:w="1531" w:type="dxa"/>
          </w:tcPr>
          <w:p w14:paraId="76F604B1" w14:textId="77777777" w:rsidR="00700609" w:rsidRPr="00AE3A31" w:rsidRDefault="00700609" w:rsidP="00681BA8">
            <w:pPr>
              <w:pStyle w:val="Tabletext"/>
              <w:jc w:val="center"/>
            </w:pPr>
            <w:r w:rsidRPr="00AE3A31">
              <w:t>25%</w:t>
            </w:r>
          </w:p>
        </w:tc>
        <w:tc>
          <w:tcPr>
            <w:tcW w:w="1137" w:type="dxa"/>
          </w:tcPr>
          <w:p w14:paraId="571EE78C" w14:textId="77777777" w:rsidR="00700609" w:rsidRPr="00AE3A31" w:rsidRDefault="00700609" w:rsidP="00681BA8">
            <w:pPr>
              <w:pStyle w:val="Tabletext"/>
              <w:jc w:val="center"/>
            </w:pPr>
            <w:r w:rsidRPr="00AE3A31">
              <w:t>25%</w:t>
            </w:r>
          </w:p>
        </w:tc>
        <w:tc>
          <w:tcPr>
            <w:tcW w:w="1191" w:type="dxa"/>
          </w:tcPr>
          <w:p w14:paraId="57A5B967" w14:textId="77777777" w:rsidR="00700609" w:rsidRPr="00AE3A31" w:rsidRDefault="00700609" w:rsidP="00681BA8">
            <w:pPr>
              <w:pStyle w:val="Tabletext"/>
              <w:jc w:val="center"/>
            </w:pPr>
            <w:r w:rsidRPr="00AE3A31">
              <w:t>25%</w:t>
            </w:r>
          </w:p>
        </w:tc>
      </w:tr>
      <w:tr w:rsidR="00700609" w:rsidRPr="00AE3A31" w14:paraId="7DB11F24" w14:textId="77777777" w:rsidTr="00681BA8">
        <w:trPr>
          <w:jc w:val="center"/>
        </w:trPr>
        <w:tc>
          <w:tcPr>
            <w:tcW w:w="1928" w:type="dxa"/>
            <w:tcBorders>
              <w:bottom w:val="single" w:sz="4" w:space="0" w:color="auto"/>
            </w:tcBorders>
          </w:tcPr>
          <w:p w14:paraId="5BF1789A" w14:textId="77777777" w:rsidR="00700609" w:rsidRPr="00AE3A31" w:rsidRDefault="00700609" w:rsidP="009D56EB">
            <w:pPr>
              <w:pStyle w:val="Tabletext"/>
              <w:ind w:right="-57"/>
              <w:jc w:val="left"/>
            </w:pPr>
            <w:r w:rsidRPr="00AE3A31">
              <w:t xml:space="preserve">Resulting percentage of time for tracking loss interference criteria </w:t>
            </w:r>
            <w:r w:rsidRPr="00AE3A31">
              <w:br/>
              <w:t>(</w:t>
            </w:r>
            <w:r w:rsidRPr="00AE3A31">
              <w:rPr>
                <w:i/>
                <w:iCs/>
              </w:rPr>
              <w:t>P</w:t>
            </w:r>
            <w:r w:rsidRPr="00AE3A31">
              <w:t>%</w:t>
            </w:r>
            <w:r w:rsidRPr="00AE3A31">
              <w:rPr>
                <w:i/>
                <w:iCs/>
                <w:vertAlign w:val="subscript"/>
              </w:rPr>
              <w:t>LOCK-LOSS</w:t>
            </w:r>
            <w:r w:rsidRPr="00AE3A31">
              <w:t>)</w:t>
            </w:r>
          </w:p>
        </w:tc>
        <w:tc>
          <w:tcPr>
            <w:tcW w:w="1134" w:type="dxa"/>
            <w:tcBorders>
              <w:bottom w:val="single" w:sz="4" w:space="0" w:color="auto"/>
            </w:tcBorders>
          </w:tcPr>
          <w:p w14:paraId="59AC8110" w14:textId="77777777" w:rsidR="00700609" w:rsidRPr="00AE3A31" w:rsidRDefault="00700609" w:rsidP="00681BA8">
            <w:pPr>
              <w:pStyle w:val="Tabletext"/>
              <w:jc w:val="center"/>
            </w:pPr>
            <w:r w:rsidRPr="00AE3A31">
              <w:t>0.02%</w:t>
            </w:r>
          </w:p>
        </w:tc>
        <w:tc>
          <w:tcPr>
            <w:tcW w:w="1134" w:type="dxa"/>
            <w:tcBorders>
              <w:bottom w:val="single" w:sz="4" w:space="0" w:color="auto"/>
            </w:tcBorders>
          </w:tcPr>
          <w:p w14:paraId="49E029D7" w14:textId="77777777" w:rsidR="00700609" w:rsidRPr="00AE3A31" w:rsidRDefault="00700609" w:rsidP="00681BA8">
            <w:pPr>
              <w:pStyle w:val="Tabletext"/>
              <w:jc w:val="center"/>
            </w:pPr>
            <w:r w:rsidRPr="00AE3A31">
              <w:t>0.025%</w:t>
            </w:r>
          </w:p>
        </w:tc>
        <w:tc>
          <w:tcPr>
            <w:tcW w:w="1134" w:type="dxa"/>
            <w:tcBorders>
              <w:bottom w:val="single" w:sz="4" w:space="0" w:color="auto"/>
            </w:tcBorders>
          </w:tcPr>
          <w:p w14:paraId="37B1ED94" w14:textId="77777777" w:rsidR="00700609" w:rsidRPr="00AE3A31" w:rsidRDefault="00700609" w:rsidP="00681BA8">
            <w:pPr>
              <w:pStyle w:val="Tabletext"/>
              <w:jc w:val="center"/>
            </w:pPr>
            <w:r w:rsidRPr="00AE3A31">
              <w:t>0.02%</w:t>
            </w:r>
          </w:p>
        </w:tc>
        <w:tc>
          <w:tcPr>
            <w:tcW w:w="1531" w:type="dxa"/>
            <w:tcBorders>
              <w:bottom w:val="single" w:sz="4" w:space="0" w:color="auto"/>
            </w:tcBorders>
          </w:tcPr>
          <w:p w14:paraId="3FF423C1" w14:textId="77777777" w:rsidR="00700609" w:rsidRPr="00AE3A31" w:rsidRDefault="00700609" w:rsidP="00681BA8">
            <w:pPr>
              <w:pStyle w:val="Tabletext"/>
              <w:jc w:val="center"/>
            </w:pPr>
            <w:r w:rsidRPr="00AE3A31">
              <w:t>N/A</w:t>
            </w:r>
            <w:r w:rsidRPr="00AE3A31">
              <w:rPr>
                <w:vertAlign w:val="superscript"/>
              </w:rPr>
              <w:t>(1)</w:t>
            </w:r>
          </w:p>
        </w:tc>
        <w:tc>
          <w:tcPr>
            <w:tcW w:w="1137" w:type="dxa"/>
            <w:tcBorders>
              <w:bottom w:val="single" w:sz="4" w:space="0" w:color="auto"/>
            </w:tcBorders>
          </w:tcPr>
          <w:p w14:paraId="140C668D" w14:textId="77777777" w:rsidR="00700609" w:rsidRPr="00AE3A31" w:rsidRDefault="00700609" w:rsidP="00681BA8">
            <w:pPr>
              <w:pStyle w:val="Tabletext"/>
              <w:jc w:val="center"/>
            </w:pPr>
            <w:r w:rsidRPr="00AE3A31">
              <w:t>N/A</w:t>
            </w:r>
            <w:r w:rsidRPr="00AE3A31">
              <w:rPr>
                <w:vertAlign w:val="superscript"/>
              </w:rPr>
              <w:t>(1)</w:t>
            </w:r>
          </w:p>
        </w:tc>
        <w:tc>
          <w:tcPr>
            <w:tcW w:w="1191" w:type="dxa"/>
            <w:tcBorders>
              <w:bottom w:val="single" w:sz="4" w:space="0" w:color="auto"/>
            </w:tcBorders>
          </w:tcPr>
          <w:p w14:paraId="3AC6F4FB" w14:textId="77777777" w:rsidR="00700609" w:rsidRPr="00AE3A31" w:rsidRDefault="00700609" w:rsidP="00681BA8">
            <w:pPr>
              <w:pStyle w:val="Tabletext"/>
              <w:jc w:val="center"/>
            </w:pPr>
            <w:r w:rsidRPr="00AE3A31">
              <w:t>0.02%</w:t>
            </w:r>
          </w:p>
        </w:tc>
      </w:tr>
      <w:tr w:rsidR="00700609" w:rsidRPr="00AE3A31" w14:paraId="42A64270" w14:textId="77777777" w:rsidTr="00681BA8">
        <w:trPr>
          <w:jc w:val="center"/>
        </w:trPr>
        <w:tc>
          <w:tcPr>
            <w:tcW w:w="1928" w:type="dxa"/>
            <w:tcBorders>
              <w:bottom w:val="single" w:sz="4" w:space="0" w:color="auto"/>
            </w:tcBorders>
          </w:tcPr>
          <w:p w14:paraId="0F049FBE" w14:textId="77777777" w:rsidR="00700609" w:rsidRPr="00AE3A31" w:rsidRDefault="00700609" w:rsidP="009D56EB">
            <w:pPr>
              <w:pStyle w:val="Tabletext"/>
              <w:ind w:right="-57"/>
              <w:jc w:val="left"/>
            </w:pPr>
            <w:r w:rsidRPr="00AE3A31">
              <w:t>Resulting percentage of time for data loss interference criteria (</w:t>
            </w:r>
            <w:r w:rsidRPr="00AE3A31">
              <w:rPr>
                <w:i/>
                <w:iCs/>
              </w:rPr>
              <w:t>P</w:t>
            </w:r>
            <w:r w:rsidRPr="00AE3A31">
              <w:t>%</w:t>
            </w:r>
            <w:r w:rsidRPr="00AE3A31">
              <w:rPr>
                <w:i/>
                <w:iCs/>
                <w:vertAlign w:val="subscript"/>
              </w:rPr>
              <w:t>DATA-LOSS</w:t>
            </w:r>
            <w:r w:rsidRPr="00AE3A31">
              <w:t>)</w:t>
            </w:r>
          </w:p>
        </w:tc>
        <w:tc>
          <w:tcPr>
            <w:tcW w:w="1134" w:type="dxa"/>
            <w:tcBorders>
              <w:bottom w:val="single" w:sz="4" w:space="0" w:color="auto"/>
            </w:tcBorders>
          </w:tcPr>
          <w:p w14:paraId="3F70F2A6" w14:textId="77777777" w:rsidR="00700609" w:rsidRPr="00AE3A31" w:rsidRDefault="00700609" w:rsidP="00681BA8">
            <w:pPr>
              <w:pStyle w:val="Tabletext"/>
              <w:jc w:val="center"/>
            </w:pPr>
            <w:r w:rsidRPr="00AE3A31">
              <w:t>0.8%</w:t>
            </w:r>
          </w:p>
        </w:tc>
        <w:tc>
          <w:tcPr>
            <w:tcW w:w="1134" w:type="dxa"/>
            <w:tcBorders>
              <w:bottom w:val="single" w:sz="4" w:space="0" w:color="auto"/>
            </w:tcBorders>
          </w:tcPr>
          <w:p w14:paraId="6B198DBD" w14:textId="77777777" w:rsidR="00700609" w:rsidRPr="00AE3A31" w:rsidRDefault="00700609" w:rsidP="00681BA8">
            <w:pPr>
              <w:pStyle w:val="Tabletext"/>
              <w:jc w:val="center"/>
            </w:pPr>
            <w:r w:rsidRPr="00AE3A31">
              <w:t>0.125%</w:t>
            </w:r>
          </w:p>
        </w:tc>
        <w:tc>
          <w:tcPr>
            <w:tcW w:w="1134" w:type="dxa"/>
            <w:tcBorders>
              <w:bottom w:val="single" w:sz="4" w:space="0" w:color="auto"/>
            </w:tcBorders>
          </w:tcPr>
          <w:p w14:paraId="4E5F77C8" w14:textId="77777777" w:rsidR="00700609" w:rsidRPr="00AE3A31" w:rsidRDefault="00700609" w:rsidP="00681BA8">
            <w:pPr>
              <w:pStyle w:val="Tabletext"/>
              <w:jc w:val="center"/>
            </w:pPr>
            <w:r w:rsidRPr="00AE3A31">
              <w:t>0.2%</w:t>
            </w:r>
          </w:p>
        </w:tc>
        <w:tc>
          <w:tcPr>
            <w:tcW w:w="1531" w:type="dxa"/>
            <w:tcBorders>
              <w:bottom w:val="single" w:sz="4" w:space="0" w:color="auto"/>
            </w:tcBorders>
          </w:tcPr>
          <w:p w14:paraId="3F8311B1" w14:textId="77777777" w:rsidR="00700609" w:rsidRPr="00AE3A31" w:rsidRDefault="00700609" w:rsidP="00681BA8">
            <w:pPr>
              <w:pStyle w:val="Tabletext"/>
              <w:jc w:val="center"/>
            </w:pPr>
            <w:r w:rsidRPr="00AE3A31">
              <w:t>0.2%</w:t>
            </w:r>
          </w:p>
        </w:tc>
        <w:tc>
          <w:tcPr>
            <w:tcW w:w="1137" w:type="dxa"/>
            <w:tcBorders>
              <w:bottom w:val="single" w:sz="4" w:space="0" w:color="auto"/>
            </w:tcBorders>
          </w:tcPr>
          <w:p w14:paraId="224A8B92" w14:textId="77777777" w:rsidR="00700609" w:rsidRPr="00AE3A31" w:rsidRDefault="00700609" w:rsidP="00681BA8">
            <w:pPr>
              <w:pStyle w:val="Tabletext"/>
              <w:jc w:val="center"/>
            </w:pPr>
            <w:r w:rsidRPr="00AE3A31">
              <w:t>0.06%</w:t>
            </w:r>
          </w:p>
        </w:tc>
        <w:tc>
          <w:tcPr>
            <w:tcW w:w="1191" w:type="dxa"/>
            <w:tcBorders>
              <w:bottom w:val="single" w:sz="4" w:space="0" w:color="auto"/>
            </w:tcBorders>
          </w:tcPr>
          <w:p w14:paraId="20D91278" w14:textId="77777777" w:rsidR="00700609" w:rsidRPr="00AE3A31" w:rsidRDefault="00700609" w:rsidP="00681BA8">
            <w:pPr>
              <w:pStyle w:val="Tabletext"/>
              <w:jc w:val="center"/>
            </w:pPr>
            <w:r w:rsidRPr="00AE3A31">
              <w:t>0.06%</w:t>
            </w:r>
          </w:p>
        </w:tc>
      </w:tr>
      <w:tr w:rsidR="00700609" w:rsidRPr="00AE3A31" w14:paraId="02CE0D43" w14:textId="77777777" w:rsidTr="00681BA8">
        <w:trPr>
          <w:jc w:val="center"/>
        </w:trPr>
        <w:tc>
          <w:tcPr>
            <w:tcW w:w="9189" w:type="dxa"/>
            <w:gridSpan w:val="7"/>
            <w:tcBorders>
              <w:left w:val="nil"/>
              <w:bottom w:val="nil"/>
              <w:right w:val="nil"/>
            </w:tcBorders>
          </w:tcPr>
          <w:p w14:paraId="7F4F890B" w14:textId="77777777" w:rsidR="00700609" w:rsidRPr="00AE3A31" w:rsidRDefault="00700609" w:rsidP="00681BA8">
            <w:pPr>
              <w:pStyle w:val="Tabletext"/>
              <w:ind w:left="284" w:right="-57" w:hanging="284"/>
            </w:pPr>
            <w:r w:rsidRPr="00AE3A31">
              <w:t>N/A: Not applicable.</w:t>
            </w:r>
          </w:p>
          <w:p w14:paraId="29495A57" w14:textId="77777777" w:rsidR="00700609" w:rsidRPr="00AE3A31" w:rsidRDefault="00700609" w:rsidP="00681BA8">
            <w:pPr>
              <w:pStyle w:val="Tabletext"/>
              <w:ind w:left="284" w:right="-57" w:hanging="284"/>
            </w:pPr>
            <w:r w:rsidRPr="00AE3A31">
              <w:rPr>
                <w:vertAlign w:val="superscript"/>
              </w:rPr>
              <w:t>(1)</w:t>
            </w:r>
            <w:r w:rsidRPr="00AE3A31">
              <w:tab/>
              <w:t>Systems with omnidirectional antennas are not vulnerable to losing antenna lock on the signal due to interference or signal fading.</w:t>
            </w:r>
          </w:p>
          <w:p w14:paraId="7E1B9272" w14:textId="3A819946" w:rsidR="00700609" w:rsidRPr="00AE3A31" w:rsidRDefault="00700609" w:rsidP="00681BA8">
            <w:pPr>
              <w:pStyle w:val="Tabletext"/>
              <w:ind w:left="284" w:right="-57" w:hanging="284"/>
            </w:pPr>
            <w:r w:rsidRPr="00AE3A31">
              <w:rPr>
                <w:vertAlign w:val="superscript"/>
              </w:rPr>
              <w:t>(2)</w:t>
            </w:r>
            <w:r w:rsidRPr="00AE3A31">
              <w:tab/>
              <w:t>Elements of this Table are derived from total flight data availability data taken from Rec.</w:t>
            </w:r>
            <w:r w:rsidR="009D56EB">
              <w:t xml:space="preserve"> </w:t>
            </w:r>
            <w:r w:rsidRPr="00AE3A31">
              <w:t>ITU</w:t>
            </w:r>
            <w:r w:rsidRPr="00AE3A31">
              <w:noBreakHyphen/>
            </w:r>
            <w:r w:rsidR="009D56EB">
              <w:t xml:space="preserve">R </w:t>
            </w:r>
            <w:r w:rsidRPr="00AE3A31">
              <w:t>RS.1165</w:t>
            </w:r>
            <w:r w:rsidR="009D56EB">
              <w:noBreakHyphen/>
            </w:r>
            <w:r w:rsidRPr="00AE3A31">
              <w:t>2.</w:t>
            </w:r>
          </w:p>
        </w:tc>
      </w:tr>
    </w:tbl>
    <w:p w14:paraId="35DF81E8" w14:textId="77777777" w:rsidR="00700609" w:rsidRPr="00AE3A31" w:rsidRDefault="00700609" w:rsidP="00700609">
      <w:pPr>
        <w:pStyle w:val="Tablefin"/>
      </w:pPr>
    </w:p>
    <w:p w14:paraId="5A876E75" w14:textId="77777777" w:rsidR="00700609" w:rsidRPr="00AE3A31" w:rsidRDefault="00700609" w:rsidP="00700609">
      <w:pPr>
        <w:pStyle w:val="Heading1"/>
      </w:pPr>
      <w:r w:rsidRPr="00AE3A31">
        <w:t>3</w:t>
      </w:r>
      <w:r w:rsidRPr="00AE3A31">
        <w:tab/>
        <w:t>Link budget analysis for MetAids</w:t>
      </w:r>
    </w:p>
    <w:p w14:paraId="18A572CC" w14:textId="77777777" w:rsidR="00700609" w:rsidRPr="00AE3A31" w:rsidRDefault="00700609" w:rsidP="00700609">
      <w:r w:rsidRPr="00AE3A31">
        <w:t>The various types of MetAids are utilized for different purposes and have different system characteristics, and as a result have different link budget calculations. Tables 5, 6 and 7 list the link budget calculations for representative systems used worldwide.</w:t>
      </w:r>
    </w:p>
    <w:p w14:paraId="1E31ABFE" w14:textId="77777777" w:rsidR="00700609" w:rsidRPr="00AE3A31" w:rsidRDefault="00700609" w:rsidP="00700609">
      <w:pPr>
        <w:pStyle w:val="TableNo"/>
      </w:pPr>
      <w:r w:rsidRPr="00AE3A31">
        <w:lastRenderedPageBreak/>
        <w:t>TABLE 5</w:t>
      </w:r>
    </w:p>
    <w:p w14:paraId="729FE55E" w14:textId="77777777" w:rsidR="00700609" w:rsidRPr="00AE3A31" w:rsidRDefault="00700609" w:rsidP="00700609">
      <w:pPr>
        <w:pStyle w:val="Tabletitle"/>
      </w:pPr>
      <w:r w:rsidRPr="00AE3A31">
        <w:t xml:space="preserve">Link budget calculations for MetAids (excluding radiosondes) operated in </w:t>
      </w:r>
      <w:r w:rsidRPr="00AE3A31">
        <w:br/>
        <w:t>the frequency band 400.15-406 MHz</w:t>
      </w:r>
    </w:p>
    <w:tbl>
      <w:tblPr>
        <w:tblStyle w:val="TableGrid"/>
        <w:tblW w:w="9639" w:type="dxa"/>
        <w:tblLook w:val="04A0" w:firstRow="1" w:lastRow="0" w:firstColumn="1" w:lastColumn="0" w:noHBand="0" w:noVBand="1"/>
      </w:tblPr>
      <w:tblGrid>
        <w:gridCol w:w="4820"/>
        <w:gridCol w:w="2554"/>
        <w:gridCol w:w="1132"/>
        <w:gridCol w:w="1133"/>
      </w:tblGrid>
      <w:tr w:rsidR="00700609" w:rsidRPr="009D56EB" w14:paraId="175E6920" w14:textId="77777777" w:rsidTr="00681BA8">
        <w:tc>
          <w:tcPr>
            <w:tcW w:w="4820" w:type="dxa"/>
            <w:vAlign w:val="center"/>
          </w:tcPr>
          <w:p w14:paraId="7B2F4CE4" w14:textId="77777777" w:rsidR="00700609" w:rsidRPr="009D56EB" w:rsidRDefault="00700609" w:rsidP="00681BA8">
            <w:pPr>
              <w:pStyle w:val="Tablehead"/>
              <w:ind w:left="-57" w:right="-57"/>
              <w:rPr>
                <w:rFonts w:ascii="Times New Roman" w:hAnsi="Times New Roman" w:cs="Times New Roman"/>
              </w:rPr>
            </w:pPr>
            <w:r w:rsidRPr="009D56EB">
              <w:rPr>
                <w:rFonts w:ascii="Times New Roman" w:hAnsi="Times New Roman" w:cs="Times New Roman"/>
              </w:rPr>
              <w:t>Performance factor</w:t>
            </w:r>
          </w:p>
        </w:tc>
        <w:tc>
          <w:tcPr>
            <w:tcW w:w="2554" w:type="dxa"/>
            <w:vAlign w:val="center"/>
          </w:tcPr>
          <w:p w14:paraId="60A5CFDF" w14:textId="77777777" w:rsidR="00700609" w:rsidRPr="009D56EB" w:rsidRDefault="00700609" w:rsidP="00681BA8">
            <w:pPr>
              <w:pStyle w:val="Tablehead"/>
              <w:ind w:left="-57" w:right="-57"/>
              <w:rPr>
                <w:rFonts w:ascii="Times New Roman" w:hAnsi="Times New Roman" w:cs="Times New Roman"/>
              </w:rPr>
            </w:pPr>
            <w:r w:rsidRPr="009D56EB">
              <w:rPr>
                <w:rFonts w:ascii="Times New Roman" w:hAnsi="Times New Roman" w:cs="Times New Roman"/>
              </w:rPr>
              <w:t>Dropsondes</w:t>
            </w:r>
          </w:p>
        </w:tc>
        <w:tc>
          <w:tcPr>
            <w:tcW w:w="2265" w:type="dxa"/>
            <w:gridSpan w:val="2"/>
            <w:vAlign w:val="center"/>
          </w:tcPr>
          <w:p w14:paraId="54248064" w14:textId="77777777" w:rsidR="00700609" w:rsidRPr="009D56EB" w:rsidRDefault="00700609" w:rsidP="00681BA8">
            <w:pPr>
              <w:pStyle w:val="Tablehead"/>
              <w:ind w:left="-284" w:right="-284"/>
              <w:rPr>
                <w:rFonts w:ascii="Times New Roman" w:hAnsi="Times New Roman" w:cs="Times New Roman"/>
              </w:rPr>
            </w:pPr>
            <w:r w:rsidRPr="009D56EB">
              <w:rPr>
                <w:rFonts w:ascii="Times New Roman" w:hAnsi="Times New Roman" w:cs="Times New Roman"/>
              </w:rPr>
              <w:t>Rocketsonde</w:t>
            </w:r>
          </w:p>
        </w:tc>
      </w:tr>
      <w:tr w:rsidR="00700609" w:rsidRPr="009D56EB" w14:paraId="18D8CD3D" w14:textId="77777777" w:rsidTr="00681BA8">
        <w:tc>
          <w:tcPr>
            <w:tcW w:w="4820" w:type="dxa"/>
          </w:tcPr>
          <w:p w14:paraId="1BF3C093" w14:textId="77777777" w:rsidR="00700609" w:rsidRPr="009D56EB" w:rsidRDefault="00700609" w:rsidP="00681BA8">
            <w:pPr>
              <w:pStyle w:val="Tabletext"/>
              <w:keepNext/>
              <w:keepLines/>
              <w:rPr>
                <w:rFonts w:ascii="Times New Roman" w:hAnsi="Times New Roman" w:cs="Times New Roman"/>
              </w:rPr>
            </w:pPr>
            <w:r w:rsidRPr="009D56EB">
              <w:rPr>
                <w:rFonts w:ascii="Times New Roman" w:hAnsi="Times New Roman" w:cs="Times New Roman"/>
              </w:rPr>
              <w:t>Modulation type</w:t>
            </w:r>
          </w:p>
        </w:tc>
        <w:tc>
          <w:tcPr>
            <w:tcW w:w="2554" w:type="dxa"/>
          </w:tcPr>
          <w:p w14:paraId="712F99F8" w14:textId="77777777" w:rsidR="00700609" w:rsidRPr="009D56EB" w:rsidRDefault="00700609" w:rsidP="00681BA8">
            <w:pPr>
              <w:pStyle w:val="Tabletext"/>
              <w:keepNext/>
              <w:keepLines/>
              <w:jc w:val="center"/>
              <w:rPr>
                <w:rFonts w:ascii="Times New Roman" w:hAnsi="Times New Roman" w:cs="Times New Roman"/>
              </w:rPr>
            </w:pPr>
            <w:r w:rsidRPr="009D56EB">
              <w:rPr>
                <w:rFonts w:ascii="Times New Roman" w:hAnsi="Times New Roman" w:cs="Times New Roman"/>
              </w:rPr>
              <w:t>FM</w:t>
            </w:r>
          </w:p>
        </w:tc>
        <w:tc>
          <w:tcPr>
            <w:tcW w:w="2265" w:type="dxa"/>
            <w:gridSpan w:val="2"/>
          </w:tcPr>
          <w:p w14:paraId="4A32C5BD" w14:textId="77777777" w:rsidR="00700609" w:rsidRPr="009D56EB" w:rsidRDefault="00700609" w:rsidP="00681BA8">
            <w:pPr>
              <w:pStyle w:val="Tabletext"/>
              <w:keepNext/>
              <w:keepLines/>
              <w:jc w:val="center"/>
              <w:rPr>
                <w:rFonts w:ascii="Times New Roman" w:hAnsi="Times New Roman" w:cs="Times New Roman"/>
              </w:rPr>
            </w:pPr>
            <w:r w:rsidRPr="009D56EB">
              <w:rPr>
                <w:rFonts w:ascii="Times New Roman" w:hAnsi="Times New Roman" w:cs="Times New Roman"/>
              </w:rPr>
              <w:t>AM</w:t>
            </w:r>
          </w:p>
        </w:tc>
      </w:tr>
      <w:tr w:rsidR="00700609" w:rsidRPr="009D56EB" w14:paraId="0B8EB9AF" w14:textId="77777777" w:rsidTr="00681BA8">
        <w:tc>
          <w:tcPr>
            <w:tcW w:w="4820" w:type="dxa"/>
          </w:tcPr>
          <w:p w14:paraId="50464E03" w14:textId="77777777" w:rsidR="00700609" w:rsidRPr="009D56EB" w:rsidRDefault="00700609" w:rsidP="00681BA8">
            <w:pPr>
              <w:pStyle w:val="Tabletext"/>
              <w:rPr>
                <w:rFonts w:ascii="Times New Roman" w:hAnsi="Times New Roman" w:cs="Times New Roman"/>
              </w:rPr>
            </w:pPr>
            <w:r w:rsidRPr="009D56EB">
              <w:rPr>
                <w:rFonts w:ascii="Times New Roman" w:hAnsi="Times New Roman" w:cs="Times New Roman"/>
              </w:rPr>
              <w:t>Frequency range (MHz)</w:t>
            </w:r>
          </w:p>
        </w:tc>
        <w:tc>
          <w:tcPr>
            <w:tcW w:w="4819" w:type="dxa"/>
            <w:gridSpan w:val="3"/>
          </w:tcPr>
          <w:p w14:paraId="342BB36A"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400.15-406</w:t>
            </w:r>
          </w:p>
        </w:tc>
      </w:tr>
      <w:tr w:rsidR="00700609" w:rsidRPr="009D56EB" w14:paraId="4BF27378" w14:textId="77777777" w:rsidTr="00681BA8">
        <w:tc>
          <w:tcPr>
            <w:tcW w:w="4820" w:type="dxa"/>
          </w:tcPr>
          <w:p w14:paraId="7D762FAF" w14:textId="77777777" w:rsidR="00700609" w:rsidRPr="009D56EB" w:rsidRDefault="00700609" w:rsidP="00681BA8">
            <w:pPr>
              <w:pStyle w:val="Tabletext"/>
              <w:rPr>
                <w:rFonts w:ascii="Times New Roman" w:hAnsi="Times New Roman" w:cs="Times New Roman"/>
              </w:rPr>
            </w:pPr>
            <w:r w:rsidRPr="009D56EB">
              <w:rPr>
                <w:rFonts w:ascii="Times New Roman" w:hAnsi="Times New Roman" w:cs="Times New Roman"/>
              </w:rPr>
              <w:t>Per cent time performance is not exceeded (%)</w:t>
            </w:r>
          </w:p>
        </w:tc>
        <w:tc>
          <w:tcPr>
            <w:tcW w:w="2554" w:type="dxa"/>
          </w:tcPr>
          <w:p w14:paraId="3A1046DC"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0.06</w:t>
            </w:r>
            <w:r w:rsidRPr="009D56EB">
              <w:rPr>
                <w:rFonts w:ascii="Times New Roman" w:hAnsi="Times New Roman" w:cs="Times New Roman"/>
              </w:rPr>
              <w:br/>
              <w:t>data loss</w:t>
            </w:r>
          </w:p>
        </w:tc>
        <w:tc>
          <w:tcPr>
            <w:tcW w:w="1132" w:type="dxa"/>
          </w:tcPr>
          <w:p w14:paraId="1D7B2A2F"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0.02 track loss</w:t>
            </w:r>
          </w:p>
        </w:tc>
        <w:tc>
          <w:tcPr>
            <w:tcW w:w="1133" w:type="dxa"/>
          </w:tcPr>
          <w:p w14:paraId="190E12C3"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0.06</w:t>
            </w:r>
            <w:r w:rsidRPr="009D56EB">
              <w:rPr>
                <w:rFonts w:ascii="Times New Roman" w:hAnsi="Times New Roman" w:cs="Times New Roman"/>
              </w:rPr>
              <w:br/>
              <w:t>data loss</w:t>
            </w:r>
          </w:p>
        </w:tc>
      </w:tr>
      <w:tr w:rsidR="00700609" w:rsidRPr="009D56EB" w14:paraId="3DA185F5" w14:textId="77777777" w:rsidTr="00681BA8">
        <w:tc>
          <w:tcPr>
            <w:tcW w:w="4820" w:type="dxa"/>
          </w:tcPr>
          <w:p w14:paraId="2F449803"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Transmitter output power (dBW)</w:t>
            </w:r>
          </w:p>
        </w:tc>
        <w:tc>
          <w:tcPr>
            <w:tcW w:w="2554" w:type="dxa"/>
          </w:tcPr>
          <w:p w14:paraId="758887A0" w14:textId="7EA0E3F4"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8.5</w:t>
            </w:r>
          </w:p>
        </w:tc>
        <w:tc>
          <w:tcPr>
            <w:tcW w:w="2265" w:type="dxa"/>
            <w:gridSpan w:val="2"/>
          </w:tcPr>
          <w:p w14:paraId="11C7EB7B" w14:textId="50D18390"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5.2</w:t>
            </w:r>
          </w:p>
        </w:tc>
      </w:tr>
      <w:tr w:rsidR="00700609" w:rsidRPr="009D56EB" w14:paraId="25FEF7A9" w14:textId="77777777" w:rsidTr="00681BA8">
        <w:tc>
          <w:tcPr>
            <w:tcW w:w="4820" w:type="dxa"/>
          </w:tcPr>
          <w:p w14:paraId="789CCB49" w14:textId="77777777" w:rsidR="00700609" w:rsidRPr="009D56EB" w:rsidRDefault="00700609" w:rsidP="00681BA8">
            <w:pPr>
              <w:pStyle w:val="Tabletext"/>
              <w:ind w:left="284" w:hanging="284"/>
              <w:rPr>
                <w:rFonts w:ascii="Times New Roman" w:hAnsi="Times New Roman" w:cs="Times New Roman"/>
              </w:rPr>
            </w:pPr>
            <w:r w:rsidRPr="009D56EB">
              <w:rPr>
                <w:rFonts w:ascii="Times New Roman" w:hAnsi="Times New Roman" w:cs="Times New Roman"/>
              </w:rPr>
              <w:t>Antenna gain average (dBi)</w:t>
            </w:r>
          </w:p>
        </w:tc>
        <w:tc>
          <w:tcPr>
            <w:tcW w:w="2554" w:type="dxa"/>
          </w:tcPr>
          <w:p w14:paraId="322FB412"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2.0</w:t>
            </w:r>
          </w:p>
        </w:tc>
        <w:tc>
          <w:tcPr>
            <w:tcW w:w="2265" w:type="dxa"/>
            <w:gridSpan w:val="2"/>
          </w:tcPr>
          <w:p w14:paraId="6B1BD673"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0.0</w:t>
            </w:r>
          </w:p>
        </w:tc>
      </w:tr>
      <w:tr w:rsidR="00700609" w:rsidRPr="009D56EB" w14:paraId="33784D41" w14:textId="77777777" w:rsidTr="00681BA8">
        <w:tc>
          <w:tcPr>
            <w:tcW w:w="4820" w:type="dxa"/>
          </w:tcPr>
          <w:p w14:paraId="416FC7DD"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Transmitter e.i.r.p. (dBW)</w:t>
            </w:r>
          </w:p>
        </w:tc>
        <w:tc>
          <w:tcPr>
            <w:tcW w:w="2554" w:type="dxa"/>
          </w:tcPr>
          <w:p w14:paraId="78534F56" w14:textId="51711A6E"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6.5</w:t>
            </w:r>
          </w:p>
        </w:tc>
        <w:tc>
          <w:tcPr>
            <w:tcW w:w="2265" w:type="dxa"/>
            <w:gridSpan w:val="2"/>
          </w:tcPr>
          <w:p w14:paraId="2F177F38" w14:textId="2D73FF4F"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5.2</w:t>
            </w:r>
          </w:p>
        </w:tc>
      </w:tr>
      <w:tr w:rsidR="00700609" w:rsidRPr="009D56EB" w14:paraId="56F5C711" w14:textId="77777777" w:rsidTr="00681BA8">
        <w:tc>
          <w:tcPr>
            <w:tcW w:w="4820" w:type="dxa"/>
          </w:tcPr>
          <w:p w14:paraId="29387C26"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Maximum link length (km)</w:t>
            </w:r>
          </w:p>
        </w:tc>
        <w:tc>
          <w:tcPr>
            <w:tcW w:w="2554" w:type="dxa"/>
          </w:tcPr>
          <w:p w14:paraId="76FF86DB"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350</w:t>
            </w:r>
          </w:p>
        </w:tc>
        <w:tc>
          <w:tcPr>
            <w:tcW w:w="2265" w:type="dxa"/>
            <w:gridSpan w:val="2"/>
          </w:tcPr>
          <w:p w14:paraId="43E58395"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70</w:t>
            </w:r>
          </w:p>
        </w:tc>
      </w:tr>
      <w:tr w:rsidR="00700609" w:rsidRPr="009D56EB" w14:paraId="15D17380" w14:textId="77777777" w:rsidTr="00681BA8">
        <w:tc>
          <w:tcPr>
            <w:tcW w:w="4820" w:type="dxa"/>
          </w:tcPr>
          <w:p w14:paraId="2DE2AC25" w14:textId="77777777" w:rsidR="00700609" w:rsidRPr="009D56EB" w:rsidRDefault="00700609" w:rsidP="00681BA8">
            <w:pPr>
              <w:pStyle w:val="Tabletext"/>
              <w:tabs>
                <w:tab w:val="clear" w:pos="567"/>
                <w:tab w:val="left" w:pos="408"/>
              </w:tabs>
              <w:ind w:left="408" w:hanging="408"/>
              <w:rPr>
                <w:rFonts w:ascii="Times New Roman" w:hAnsi="Times New Roman" w:cs="Times New Roman"/>
              </w:rPr>
            </w:pPr>
            <w:r w:rsidRPr="009D56EB">
              <w:rPr>
                <w:rFonts w:ascii="Times New Roman" w:hAnsi="Times New Roman" w:cs="Times New Roman"/>
              </w:rPr>
              <w:t>Free-space path loss (dB)</w:t>
            </w:r>
          </w:p>
        </w:tc>
        <w:tc>
          <w:tcPr>
            <w:tcW w:w="2554" w:type="dxa"/>
          </w:tcPr>
          <w:p w14:paraId="6BF2E087"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135.4</w:t>
            </w:r>
          </w:p>
        </w:tc>
        <w:tc>
          <w:tcPr>
            <w:tcW w:w="2265" w:type="dxa"/>
            <w:gridSpan w:val="2"/>
          </w:tcPr>
          <w:p w14:paraId="5F9C9A1F"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121.4</w:t>
            </w:r>
          </w:p>
        </w:tc>
      </w:tr>
      <w:tr w:rsidR="00700609" w:rsidRPr="009D56EB" w14:paraId="292E06BC" w14:textId="77777777" w:rsidTr="00681BA8">
        <w:tc>
          <w:tcPr>
            <w:tcW w:w="4820" w:type="dxa"/>
          </w:tcPr>
          <w:p w14:paraId="1F48BFFB"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Excess path loss (rain, fading, etc.) (dB)</w:t>
            </w:r>
          </w:p>
        </w:tc>
        <w:tc>
          <w:tcPr>
            <w:tcW w:w="2554" w:type="dxa"/>
          </w:tcPr>
          <w:p w14:paraId="44F9C8CA"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4.0</w:t>
            </w:r>
          </w:p>
        </w:tc>
        <w:tc>
          <w:tcPr>
            <w:tcW w:w="2265" w:type="dxa"/>
            <w:gridSpan w:val="2"/>
          </w:tcPr>
          <w:p w14:paraId="3D98C799"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0.25</w:t>
            </w:r>
          </w:p>
        </w:tc>
      </w:tr>
      <w:tr w:rsidR="00700609" w:rsidRPr="009D56EB" w14:paraId="61D78F4E" w14:textId="77777777" w:rsidTr="00681BA8">
        <w:tc>
          <w:tcPr>
            <w:tcW w:w="4820" w:type="dxa"/>
          </w:tcPr>
          <w:p w14:paraId="65C51F14"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Ground station antenna gain (dBi)</w:t>
            </w:r>
          </w:p>
        </w:tc>
        <w:tc>
          <w:tcPr>
            <w:tcW w:w="2554" w:type="dxa"/>
          </w:tcPr>
          <w:p w14:paraId="564638BA"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0.0</w:t>
            </w:r>
          </w:p>
        </w:tc>
        <w:tc>
          <w:tcPr>
            <w:tcW w:w="2265" w:type="dxa"/>
            <w:gridSpan w:val="2"/>
          </w:tcPr>
          <w:p w14:paraId="5EFB1814"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20</w:t>
            </w:r>
          </w:p>
        </w:tc>
      </w:tr>
      <w:tr w:rsidR="00700609" w:rsidRPr="009D56EB" w14:paraId="567F71E2" w14:textId="77777777" w:rsidTr="00681BA8">
        <w:tc>
          <w:tcPr>
            <w:tcW w:w="4820" w:type="dxa"/>
          </w:tcPr>
          <w:p w14:paraId="25A18D96"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Ground station antenna pointing error (dB)</w:t>
            </w:r>
          </w:p>
        </w:tc>
        <w:tc>
          <w:tcPr>
            <w:tcW w:w="2554" w:type="dxa"/>
          </w:tcPr>
          <w:p w14:paraId="41C17CB3"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0.0</w:t>
            </w:r>
          </w:p>
        </w:tc>
        <w:tc>
          <w:tcPr>
            <w:tcW w:w="2265" w:type="dxa"/>
            <w:gridSpan w:val="2"/>
          </w:tcPr>
          <w:p w14:paraId="36D9A443"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0.5</w:t>
            </w:r>
          </w:p>
        </w:tc>
      </w:tr>
      <w:tr w:rsidR="00700609" w:rsidRPr="009D56EB" w14:paraId="47BC2321" w14:textId="77777777" w:rsidTr="00681BA8">
        <w:tc>
          <w:tcPr>
            <w:tcW w:w="4820" w:type="dxa"/>
          </w:tcPr>
          <w:p w14:paraId="7240D93E" w14:textId="77777777" w:rsidR="00700609" w:rsidRPr="009D56EB" w:rsidRDefault="00700609" w:rsidP="00681BA8">
            <w:pPr>
              <w:pStyle w:val="Tabletext"/>
              <w:tabs>
                <w:tab w:val="clear" w:pos="567"/>
                <w:tab w:val="left" w:pos="408"/>
              </w:tabs>
              <w:rPr>
                <w:rFonts w:ascii="Times New Roman" w:hAnsi="Times New Roman" w:cs="Times New Roman"/>
              </w:rPr>
            </w:pPr>
            <w:r w:rsidRPr="009D56EB">
              <w:rPr>
                <w:rFonts w:ascii="Times New Roman" w:hAnsi="Times New Roman" w:cs="Times New Roman"/>
              </w:rPr>
              <w:t>Receiver system loss (antenna feed, cables, etc.) (dB)</w:t>
            </w:r>
          </w:p>
        </w:tc>
        <w:tc>
          <w:tcPr>
            <w:tcW w:w="2554" w:type="dxa"/>
          </w:tcPr>
          <w:p w14:paraId="3CDB202D"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0.0</w:t>
            </w:r>
          </w:p>
        </w:tc>
        <w:tc>
          <w:tcPr>
            <w:tcW w:w="2265" w:type="dxa"/>
            <w:gridSpan w:val="2"/>
          </w:tcPr>
          <w:p w14:paraId="3D6E338B"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2.0</w:t>
            </w:r>
          </w:p>
        </w:tc>
      </w:tr>
      <w:tr w:rsidR="00700609" w:rsidRPr="009D56EB" w14:paraId="0585053F" w14:textId="77777777" w:rsidTr="00681BA8">
        <w:tc>
          <w:tcPr>
            <w:tcW w:w="4820" w:type="dxa"/>
          </w:tcPr>
          <w:p w14:paraId="179C7558"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Polarization mismatch loss (dB)</w:t>
            </w:r>
          </w:p>
        </w:tc>
        <w:tc>
          <w:tcPr>
            <w:tcW w:w="2554" w:type="dxa"/>
          </w:tcPr>
          <w:p w14:paraId="684E67F7"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0.0</w:t>
            </w:r>
          </w:p>
        </w:tc>
        <w:tc>
          <w:tcPr>
            <w:tcW w:w="2265" w:type="dxa"/>
            <w:gridSpan w:val="2"/>
          </w:tcPr>
          <w:p w14:paraId="22F75502"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0.5</w:t>
            </w:r>
          </w:p>
        </w:tc>
      </w:tr>
      <w:tr w:rsidR="00700609" w:rsidRPr="009D56EB" w14:paraId="2D20BEA4" w14:textId="77777777" w:rsidTr="00681BA8">
        <w:tc>
          <w:tcPr>
            <w:tcW w:w="4820" w:type="dxa"/>
          </w:tcPr>
          <w:p w14:paraId="5B26FB5B"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Received signal power (dBW)</w:t>
            </w:r>
          </w:p>
        </w:tc>
        <w:tc>
          <w:tcPr>
            <w:tcW w:w="2554" w:type="dxa"/>
          </w:tcPr>
          <w:p w14:paraId="0185B81D" w14:textId="71257852"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145.9</w:t>
            </w:r>
          </w:p>
        </w:tc>
        <w:tc>
          <w:tcPr>
            <w:tcW w:w="2265" w:type="dxa"/>
            <w:gridSpan w:val="2"/>
          </w:tcPr>
          <w:p w14:paraId="01F4F327" w14:textId="7B73E3AE"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109.85</w:t>
            </w:r>
          </w:p>
        </w:tc>
      </w:tr>
      <w:tr w:rsidR="00700609" w:rsidRPr="009D56EB" w14:paraId="5E129582" w14:textId="77777777" w:rsidTr="00681BA8">
        <w:tc>
          <w:tcPr>
            <w:tcW w:w="4820" w:type="dxa"/>
          </w:tcPr>
          <w:p w14:paraId="5C3E63A4"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Receiver reference bandwidth (kHz)</w:t>
            </w:r>
          </w:p>
        </w:tc>
        <w:tc>
          <w:tcPr>
            <w:tcW w:w="2554" w:type="dxa"/>
          </w:tcPr>
          <w:p w14:paraId="608175C3"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20</w:t>
            </w:r>
          </w:p>
        </w:tc>
        <w:tc>
          <w:tcPr>
            <w:tcW w:w="2265" w:type="dxa"/>
            <w:gridSpan w:val="2"/>
          </w:tcPr>
          <w:p w14:paraId="618FA0A4"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3 000</w:t>
            </w:r>
          </w:p>
        </w:tc>
      </w:tr>
      <w:tr w:rsidR="00700609" w:rsidRPr="009D56EB" w14:paraId="1B1AABE8" w14:textId="77777777" w:rsidTr="00681BA8">
        <w:tc>
          <w:tcPr>
            <w:tcW w:w="4820" w:type="dxa"/>
          </w:tcPr>
          <w:p w14:paraId="09FE8594"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Reference bandwidth (dBHz)</w:t>
            </w:r>
          </w:p>
        </w:tc>
        <w:tc>
          <w:tcPr>
            <w:tcW w:w="2554" w:type="dxa"/>
          </w:tcPr>
          <w:p w14:paraId="04574115"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42.5</w:t>
            </w:r>
          </w:p>
        </w:tc>
        <w:tc>
          <w:tcPr>
            <w:tcW w:w="2265" w:type="dxa"/>
            <w:gridSpan w:val="2"/>
          </w:tcPr>
          <w:p w14:paraId="22686C97"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64.8</w:t>
            </w:r>
          </w:p>
        </w:tc>
      </w:tr>
      <w:tr w:rsidR="00700609" w:rsidRPr="009D56EB" w14:paraId="256BEEE2" w14:textId="77777777" w:rsidTr="00681BA8">
        <w:tc>
          <w:tcPr>
            <w:tcW w:w="4820" w:type="dxa"/>
          </w:tcPr>
          <w:p w14:paraId="6941AEF5"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 xml:space="preserve">Received energy per Hz, </w:t>
            </w:r>
            <w:r w:rsidRPr="009D56EB">
              <w:rPr>
                <w:rFonts w:ascii="Times New Roman" w:hAnsi="Times New Roman" w:cs="Times New Roman"/>
                <w:i/>
                <w:iCs/>
              </w:rPr>
              <w:t>C</w:t>
            </w:r>
            <w:r w:rsidRPr="009D56EB">
              <w:rPr>
                <w:rFonts w:ascii="Times New Roman" w:hAnsi="Times New Roman" w:cs="Times New Roman"/>
                <w:vertAlign w:val="subscript"/>
              </w:rPr>
              <w:t>0</w:t>
            </w:r>
            <w:r w:rsidRPr="009D56EB">
              <w:rPr>
                <w:rFonts w:ascii="Times New Roman" w:hAnsi="Times New Roman" w:cs="Times New Roman"/>
              </w:rPr>
              <w:t> (dB(W/Hz))</w:t>
            </w:r>
          </w:p>
        </w:tc>
        <w:tc>
          <w:tcPr>
            <w:tcW w:w="2554" w:type="dxa"/>
          </w:tcPr>
          <w:p w14:paraId="17E1D861" w14:textId="09FC4AA2"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188.4</w:t>
            </w:r>
          </w:p>
        </w:tc>
        <w:tc>
          <w:tcPr>
            <w:tcW w:w="2265" w:type="dxa"/>
            <w:gridSpan w:val="2"/>
          </w:tcPr>
          <w:p w14:paraId="4E36BFE1" w14:textId="0B4C33BC"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174.65</w:t>
            </w:r>
          </w:p>
        </w:tc>
      </w:tr>
      <w:tr w:rsidR="00700609" w:rsidRPr="009D56EB" w14:paraId="619E977B" w14:textId="77777777" w:rsidTr="00681BA8">
        <w:tc>
          <w:tcPr>
            <w:tcW w:w="4820" w:type="dxa"/>
          </w:tcPr>
          <w:p w14:paraId="38B82D44"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Receiver system noise temperature (K)</w:t>
            </w:r>
          </w:p>
        </w:tc>
        <w:tc>
          <w:tcPr>
            <w:tcW w:w="2554" w:type="dxa"/>
          </w:tcPr>
          <w:p w14:paraId="0CAD6964"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410</w:t>
            </w:r>
          </w:p>
        </w:tc>
        <w:tc>
          <w:tcPr>
            <w:tcW w:w="2265" w:type="dxa"/>
            <w:gridSpan w:val="2"/>
          </w:tcPr>
          <w:p w14:paraId="73B0D314"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738</w:t>
            </w:r>
          </w:p>
        </w:tc>
      </w:tr>
      <w:tr w:rsidR="00700609" w:rsidRPr="009D56EB" w14:paraId="48788D12" w14:textId="77777777" w:rsidTr="00681BA8">
        <w:tc>
          <w:tcPr>
            <w:tcW w:w="4820" w:type="dxa"/>
          </w:tcPr>
          <w:p w14:paraId="1C263535"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Receiver system noise power (dBW)</w:t>
            </w:r>
          </w:p>
        </w:tc>
        <w:tc>
          <w:tcPr>
            <w:tcW w:w="2554" w:type="dxa"/>
          </w:tcPr>
          <w:p w14:paraId="00D3FED6" w14:textId="176B4215"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160</w:t>
            </w:r>
          </w:p>
        </w:tc>
        <w:tc>
          <w:tcPr>
            <w:tcW w:w="2265" w:type="dxa"/>
            <w:gridSpan w:val="2"/>
          </w:tcPr>
          <w:p w14:paraId="5FE3FD48" w14:textId="726A3266"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165</w:t>
            </w:r>
          </w:p>
        </w:tc>
      </w:tr>
      <w:tr w:rsidR="00700609" w:rsidRPr="009D56EB" w14:paraId="5216CA46" w14:textId="77777777" w:rsidTr="00681BA8">
        <w:tc>
          <w:tcPr>
            <w:tcW w:w="4820" w:type="dxa"/>
          </w:tcPr>
          <w:p w14:paraId="53C8CFA4"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 xml:space="preserve">Receiver noise spectral density, </w:t>
            </w:r>
            <w:r w:rsidRPr="009D56EB">
              <w:rPr>
                <w:rFonts w:ascii="Times New Roman" w:hAnsi="Times New Roman" w:cs="Times New Roman"/>
                <w:i/>
                <w:iCs/>
              </w:rPr>
              <w:t>N</w:t>
            </w:r>
            <w:r w:rsidRPr="009D56EB">
              <w:rPr>
                <w:rFonts w:ascii="Times New Roman" w:hAnsi="Times New Roman" w:cs="Times New Roman"/>
                <w:vertAlign w:val="subscript"/>
              </w:rPr>
              <w:t>0</w:t>
            </w:r>
            <w:r w:rsidRPr="009D56EB">
              <w:rPr>
                <w:rFonts w:ascii="Times New Roman" w:hAnsi="Times New Roman" w:cs="Times New Roman"/>
              </w:rPr>
              <w:t> (dB(W/Hz))</w:t>
            </w:r>
          </w:p>
        </w:tc>
        <w:tc>
          <w:tcPr>
            <w:tcW w:w="2554" w:type="dxa"/>
          </w:tcPr>
          <w:p w14:paraId="59D2BA31" w14:textId="703E1131"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202.5</w:t>
            </w:r>
          </w:p>
        </w:tc>
        <w:tc>
          <w:tcPr>
            <w:tcW w:w="2265" w:type="dxa"/>
            <w:gridSpan w:val="2"/>
          </w:tcPr>
          <w:p w14:paraId="043DCE0F" w14:textId="6573E303" w:rsidR="00700609" w:rsidRPr="009D56EB" w:rsidRDefault="009D56EB" w:rsidP="00681BA8">
            <w:pPr>
              <w:pStyle w:val="Tabletext"/>
              <w:jc w:val="center"/>
              <w:rPr>
                <w:rFonts w:ascii="Times New Roman" w:hAnsi="Times New Roman" w:cs="Times New Roman"/>
              </w:rPr>
            </w:pPr>
            <w:r>
              <w:rPr>
                <w:rFonts w:ascii="Times New Roman" w:hAnsi="Times New Roman" w:cs="Times New Roman"/>
              </w:rPr>
              <w:t>−</w:t>
            </w:r>
            <w:r w:rsidR="00700609" w:rsidRPr="009D56EB">
              <w:rPr>
                <w:rFonts w:ascii="Times New Roman" w:hAnsi="Times New Roman" w:cs="Times New Roman"/>
              </w:rPr>
              <w:t>200.5</w:t>
            </w:r>
          </w:p>
        </w:tc>
      </w:tr>
      <w:tr w:rsidR="00700609" w:rsidRPr="009D56EB" w14:paraId="6D48B8BA" w14:textId="77777777" w:rsidTr="00681BA8">
        <w:tc>
          <w:tcPr>
            <w:tcW w:w="4820" w:type="dxa"/>
          </w:tcPr>
          <w:p w14:paraId="4F5ABB71" w14:textId="77777777" w:rsidR="00700609" w:rsidRPr="009D56EB" w:rsidRDefault="00700609" w:rsidP="00681BA8">
            <w:pPr>
              <w:pStyle w:val="Tabletext"/>
              <w:tabs>
                <w:tab w:val="clear" w:pos="567"/>
                <w:tab w:val="left" w:pos="408"/>
              </w:tabs>
              <w:ind w:left="408" w:hanging="408"/>
              <w:rPr>
                <w:rFonts w:ascii="Times New Roman" w:hAnsi="Times New Roman" w:cs="Times New Roman"/>
              </w:rPr>
            </w:pPr>
            <w:r w:rsidRPr="009D56EB">
              <w:rPr>
                <w:rFonts w:ascii="Times New Roman" w:hAnsi="Times New Roman" w:cs="Times New Roman"/>
              </w:rPr>
              <w:t xml:space="preserve">Minimum </w:t>
            </w:r>
            <w:r w:rsidRPr="009D56EB">
              <w:rPr>
                <w:rFonts w:ascii="Times New Roman" w:hAnsi="Times New Roman" w:cs="Times New Roman"/>
                <w:i/>
                <w:iCs/>
              </w:rPr>
              <w:t>C</w:t>
            </w:r>
            <w:r w:rsidRPr="009D56EB">
              <w:rPr>
                <w:rFonts w:ascii="Times New Roman" w:hAnsi="Times New Roman" w:cs="Times New Roman"/>
                <w:vertAlign w:val="subscript"/>
              </w:rPr>
              <w:t>0</w:t>
            </w:r>
            <w:r w:rsidRPr="009D56EB">
              <w:rPr>
                <w:rFonts w:ascii="Times New Roman" w:hAnsi="Times New Roman" w:cs="Times New Roman"/>
              </w:rPr>
              <w:t>/</w:t>
            </w:r>
            <w:r w:rsidRPr="009D56EB">
              <w:rPr>
                <w:rFonts w:ascii="Times New Roman" w:hAnsi="Times New Roman" w:cs="Times New Roman"/>
                <w:i/>
                <w:iCs/>
              </w:rPr>
              <w:t>N</w:t>
            </w:r>
            <w:r w:rsidRPr="009D56EB">
              <w:rPr>
                <w:rFonts w:ascii="Times New Roman" w:hAnsi="Times New Roman" w:cs="Times New Roman"/>
                <w:vertAlign w:val="subscript"/>
              </w:rPr>
              <w:t xml:space="preserve">0 </w:t>
            </w:r>
            <w:r w:rsidRPr="009D56EB">
              <w:rPr>
                <w:rFonts w:ascii="Times New Roman" w:hAnsi="Times New Roman" w:cs="Times New Roman"/>
              </w:rPr>
              <w:t>(dB)</w:t>
            </w:r>
          </w:p>
        </w:tc>
        <w:tc>
          <w:tcPr>
            <w:tcW w:w="2554" w:type="dxa"/>
          </w:tcPr>
          <w:p w14:paraId="66D5B9FC"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12</w:t>
            </w:r>
          </w:p>
        </w:tc>
        <w:tc>
          <w:tcPr>
            <w:tcW w:w="1132" w:type="dxa"/>
          </w:tcPr>
          <w:p w14:paraId="304CF3E1"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7</w:t>
            </w:r>
          </w:p>
        </w:tc>
        <w:tc>
          <w:tcPr>
            <w:tcW w:w="1133" w:type="dxa"/>
          </w:tcPr>
          <w:p w14:paraId="1334D7D5"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12</w:t>
            </w:r>
          </w:p>
        </w:tc>
      </w:tr>
      <w:tr w:rsidR="00700609" w:rsidRPr="009D56EB" w14:paraId="5734F2D8" w14:textId="77777777" w:rsidTr="00681BA8">
        <w:tc>
          <w:tcPr>
            <w:tcW w:w="4820" w:type="dxa"/>
          </w:tcPr>
          <w:p w14:paraId="19E3BA2C" w14:textId="77777777" w:rsidR="00700609" w:rsidRPr="009D56EB" w:rsidRDefault="00700609" w:rsidP="00681BA8">
            <w:pPr>
              <w:pStyle w:val="Tabletext"/>
              <w:tabs>
                <w:tab w:val="clear" w:pos="567"/>
                <w:tab w:val="left" w:pos="408"/>
              </w:tabs>
              <w:ind w:left="284" w:hanging="284"/>
              <w:rPr>
                <w:rFonts w:ascii="Times New Roman" w:hAnsi="Times New Roman" w:cs="Times New Roman"/>
              </w:rPr>
            </w:pPr>
            <w:r w:rsidRPr="009D56EB">
              <w:rPr>
                <w:rFonts w:ascii="Times New Roman" w:hAnsi="Times New Roman" w:cs="Times New Roman"/>
              </w:rPr>
              <w:t xml:space="preserve">Actual </w:t>
            </w:r>
            <w:r w:rsidRPr="009D56EB">
              <w:rPr>
                <w:rFonts w:ascii="Times New Roman" w:hAnsi="Times New Roman" w:cs="Times New Roman"/>
                <w:i/>
                <w:iCs/>
              </w:rPr>
              <w:t>C</w:t>
            </w:r>
            <w:r w:rsidRPr="009D56EB">
              <w:rPr>
                <w:rFonts w:ascii="Times New Roman" w:hAnsi="Times New Roman" w:cs="Times New Roman"/>
                <w:vertAlign w:val="subscript"/>
              </w:rPr>
              <w:t>0</w:t>
            </w:r>
            <w:r w:rsidRPr="009D56EB">
              <w:rPr>
                <w:rFonts w:ascii="Times New Roman" w:hAnsi="Times New Roman" w:cs="Times New Roman"/>
              </w:rPr>
              <w:t>/</w:t>
            </w:r>
            <w:r w:rsidRPr="009D56EB">
              <w:rPr>
                <w:rFonts w:ascii="Times New Roman" w:hAnsi="Times New Roman" w:cs="Times New Roman"/>
                <w:i/>
                <w:iCs/>
              </w:rPr>
              <w:t>N</w:t>
            </w:r>
            <w:r w:rsidRPr="009D56EB">
              <w:rPr>
                <w:rFonts w:ascii="Times New Roman" w:hAnsi="Times New Roman" w:cs="Times New Roman"/>
                <w:vertAlign w:val="subscript"/>
              </w:rPr>
              <w:t xml:space="preserve">0 </w:t>
            </w:r>
            <w:r w:rsidRPr="009D56EB">
              <w:rPr>
                <w:rFonts w:ascii="Times New Roman" w:hAnsi="Times New Roman" w:cs="Times New Roman"/>
              </w:rPr>
              <w:t>for flight (dB)</w:t>
            </w:r>
          </w:p>
        </w:tc>
        <w:tc>
          <w:tcPr>
            <w:tcW w:w="2554" w:type="dxa"/>
          </w:tcPr>
          <w:p w14:paraId="5069F48A"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14.1</w:t>
            </w:r>
          </w:p>
        </w:tc>
        <w:tc>
          <w:tcPr>
            <w:tcW w:w="2265" w:type="dxa"/>
            <w:gridSpan w:val="2"/>
          </w:tcPr>
          <w:p w14:paraId="0BD721B6" w14:textId="77777777" w:rsidR="00700609" w:rsidRPr="009D56EB" w:rsidRDefault="00700609" w:rsidP="00681BA8">
            <w:pPr>
              <w:pStyle w:val="Tabletext"/>
              <w:jc w:val="center"/>
              <w:rPr>
                <w:rFonts w:ascii="Times New Roman" w:hAnsi="Times New Roman" w:cs="Times New Roman"/>
              </w:rPr>
            </w:pPr>
            <w:r w:rsidRPr="009D56EB">
              <w:rPr>
                <w:rFonts w:ascii="Times New Roman" w:hAnsi="Times New Roman" w:cs="Times New Roman"/>
              </w:rPr>
              <w:t>25.8</w:t>
            </w:r>
          </w:p>
        </w:tc>
      </w:tr>
      <w:tr w:rsidR="00700609" w:rsidRPr="009D56EB" w14:paraId="0DD2CE68" w14:textId="77777777" w:rsidTr="00681BA8">
        <w:tc>
          <w:tcPr>
            <w:tcW w:w="4820" w:type="dxa"/>
          </w:tcPr>
          <w:p w14:paraId="25553D5C" w14:textId="77777777" w:rsidR="00700609" w:rsidRPr="009D56EB" w:rsidRDefault="00700609" w:rsidP="00681BA8">
            <w:pPr>
              <w:pStyle w:val="Tabletext"/>
              <w:tabs>
                <w:tab w:val="clear" w:pos="567"/>
                <w:tab w:val="left" w:pos="408"/>
              </w:tabs>
              <w:ind w:left="408" w:hanging="408"/>
              <w:rPr>
                <w:rFonts w:ascii="Times New Roman" w:hAnsi="Times New Roman" w:cs="Times New Roman"/>
              </w:rPr>
            </w:pPr>
            <w:r w:rsidRPr="009D56EB">
              <w:rPr>
                <w:rFonts w:ascii="Times New Roman" w:hAnsi="Times New Roman" w:cs="Times New Roman"/>
              </w:rPr>
              <w:t>Margin (dB)</w:t>
            </w:r>
          </w:p>
        </w:tc>
        <w:tc>
          <w:tcPr>
            <w:tcW w:w="2554" w:type="dxa"/>
          </w:tcPr>
          <w:p w14:paraId="521FB3AF" w14:textId="77777777" w:rsidR="00700609" w:rsidRPr="009D56EB" w:rsidRDefault="00700609" w:rsidP="00681BA8">
            <w:pPr>
              <w:pStyle w:val="Tabletext"/>
              <w:ind w:left="-57" w:right="-57"/>
              <w:jc w:val="center"/>
              <w:rPr>
                <w:rFonts w:ascii="Times New Roman" w:hAnsi="Times New Roman" w:cs="Times New Roman"/>
              </w:rPr>
            </w:pPr>
            <w:r w:rsidRPr="009D56EB">
              <w:rPr>
                <w:rFonts w:ascii="Times New Roman" w:hAnsi="Times New Roman" w:cs="Times New Roman"/>
              </w:rPr>
              <w:t>2.1</w:t>
            </w:r>
          </w:p>
        </w:tc>
        <w:tc>
          <w:tcPr>
            <w:tcW w:w="1132" w:type="dxa"/>
          </w:tcPr>
          <w:p w14:paraId="253D226F" w14:textId="77777777" w:rsidR="00700609" w:rsidRPr="009D56EB" w:rsidRDefault="00700609" w:rsidP="00681BA8">
            <w:pPr>
              <w:pStyle w:val="Tabletext"/>
              <w:ind w:left="-57" w:right="-57"/>
              <w:jc w:val="center"/>
              <w:rPr>
                <w:rFonts w:ascii="Times New Roman" w:hAnsi="Times New Roman" w:cs="Times New Roman"/>
              </w:rPr>
            </w:pPr>
            <w:r w:rsidRPr="009D56EB">
              <w:rPr>
                <w:rFonts w:ascii="Times New Roman" w:hAnsi="Times New Roman" w:cs="Times New Roman"/>
              </w:rPr>
              <w:t>18.9</w:t>
            </w:r>
          </w:p>
        </w:tc>
        <w:tc>
          <w:tcPr>
            <w:tcW w:w="1133" w:type="dxa"/>
          </w:tcPr>
          <w:p w14:paraId="355EB858" w14:textId="77777777" w:rsidR="00700609" w:rsidRPr="009D56EB" w:rsidRDefault="00700609" w:rsidP="00681BA8">
            <w:pPr>
              <w:pStyle w:val="Tabletext"/>
              <w:ind w:left="-57" w:right="-57"/>
              <w:jc w:val="center"/>
              <w:rPr>
                <w:rFonts w:ascii="Times New Roman" w:hAnsi="Times New Roman" w:cs="Times New Roman"/>
              </w:rPr>
            </w:pPr>
            <w:r w:rsidRPr="009D56EB">
              <w:rPr>
                <w:rFonts w:ascii="Times New Roman" w:hAnsi="Times New Roman" w:cs="Times New Roman"/>
              </w:rPr>
              <w:t>13.8</w:t>
            </w:r>
          </w:p>
        </w:tc>
      </w:tr>
    </w:tbl>
    <w:p w14:paraId="6B45155D" w14:textId="77777777" w:rsidR="00700609" w:rsidRPr="00AE3A31" w:rsidRDefault="00700609" w:rsidP="00700609">
      <w:pPr>
        <w:pStyle w:val="Tablefin"/>
      </w:pPr>
    </w:p>
    <w:p w14:paraId="545189B8" w14:textId="77777777" w:rsidR="00700609" w:rsidRPr="00AE3A31" w:rsidRDefault="00700609" w:rsidP="00700609">
      <w:pPr>
        <w:pStyle w:val="Tablefin"/>
      </w:pPr>
    </w:p>
    <w:p w14:paraId="571D3846" w14:textId="77777777" w:rsidR="00700609" w:rsidRPr="00AE3A31" w:rsidRDefault="00700609" w:rsidP="00700609">
      <w:pPr>
        <w:sectPr w:rsidR="00700609" w:rsidRPr="00AE3A31" w:rsidSect="00F67101">
          <w:headerReference w:type="default" r:id="rId20"/>
          <w:footerReference w:type="default" r:id="rId21"/>
          <w:headerReference w:type="first" r:id="rId22"/>
          <w:footerReference w:type="first" r:id="rId23"/>
          <w:pgSz w:w="11907" w:h="16834" w:code="9"/>
          <w:pgMar w:top="1418" w:right="1134" w:bottom="1134" w:left="1134" w:header="720" w:footer="482" w:gutter="0"/>
          <w:paperSrc w:first="15" w:other="15"/>
          <w:pgNumType w:start="1"/>
          <w:cols w:space="720"/>
          <w:titlePg/>
        </w:sectPr>
      </w:pPr>
    </w:p>
    <w:p w14:paraId="1704CCDE" w14:textId="77777777" w:rsidR="00700609" w:rsidRPr="00AE3A31" w:rsidRDefault="00700609" w:rsidP="00700609">
      <w:pPr>
        <w:pStyle w:val="TableNo"/>
      </w:pPr>
      <w:r w:rsidRPr="00AE3A31">
        <w:lastRenderedPageBreak/>
        <w:t>TABLE 6</w:t>
      </w:r>
    </w:p>
    <w:p w14:paraId="2E3428A8" w14:textId="77777777" w:rsidR="00700609" w:rsidRPr="00AE3A31" w:rsidRDefault="00700609" w:rsidP="00700609">
      <w:pPr>
        <w:pStyle w:val="Tabletitle"/>
      </w:pPr>
      <w:r w:rsidRPr="00AE3A31">
        <w:t>Link budget calculations for Radiosonde MetAids operated in the frequency band 400.15-406 MHz</w:t>
      </w:r>
    </w:p>
    <w:tbl>
      <w:tblPr>
        <w:tblW w:w="14459" w:type="dxa"/>
        <w:jc w:val="center"/>
        <w:tblLook w:val="04A0" w:firstRow="1" w:lastRow="0" w:firstColumn="1" w:lastColumn="0" w:noHBand="0" w:noVBand="1"/>
      </w:tblPr>
      <w:tblGrid>
        <w:gridCol w:w="5169"/>
        <w:gridCol w:w="1035"/>
        <w:gridCol w:w="1035"/>
        <w:gridCol w:w="1481"/>
        <w:gridCol w:w="1035"/>
        <w:gridCol w:w="1035"/>
        <w:gridCol w:w="1544"/>
        <w:gridCol w:w="1038"/>
        <w:gridCol w:w="1087"/>
      </w:tblGrid>
      <w:tr w:rsidR="00700609" w:rsidRPr="009D56EB" w14:paraId="3D32C8F6" w14:textId="77777777" w:rsidTr="00681BA8">
        <w:trPr>
          <w:trHeight w:hRule="exact" w:val="576"/>
          <w:jc w:val="center"/>
        </w:trPr>
        <w:tc>
          <w:tcPr>
            <w:tcW w:w="1787"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2087DDD" w14:textId="77777777" w:rsidR="00700609" w:rsidRPr="009D56EB" w:rsidRDefault="00700609" w:rsidP="00681BA8">
            <w:pPr>
              <w:pStyle w:val="Tablehead"/>
              <w:jc w:val="left"/>
              <w:rPr>
                <w:rFonts w:asciiTheme="majorBidi" w:hAnsiTheme="majorBidi" w:cstheme="majorBidi"/>
                <w:sz w:val="20"/>
              </w:rPr>
            </w:pPr>
            <w:r w:rsidRPr="009D56EB">
              <w:rPr>
                <w:rFonts w:asciiTheme="majorBidi" w:hAnsiTheme="majorBidi" w:cstheme="majorBidi"/>
                <w:sz w:val="20"/>
              </w:rPr>
              <w:t xml:space="preserve">Type System </w:t>
            </w:r>
          </w:p>
        </w:tc>
        <w:tc>
          <w:tcPr>
            <w:tcW w:w="71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D1500B" w14:textId="77777777" w:rsidR="00700609" w:rsidRPr="009D56EB" w:rsidRDefault="00700609" w:rsidP="00681BA8">
            <w:pPr>
              <w:pStyle w:val="Tablehead"/>
              <w:rPr>
                <w:sz w:val="20"/>
              </w:rPr>
            </w:pPr>
            <w:r w:rsidRPr="009D56EB">
              <w:rPr>
                <w:sz w:val="20"/>
              </w:rPr>
              <w:t>Type A</w:t>
            </w:r>
          </w:p>
        </w:tc>
        <w:tc>
          <w:tcPr>
            <w:tcW w:w="512" w:type="pct"/>
            <w:tcBorders>
              <w:top w:val="single" w:sz="8" w:space="0" w:color="auto"/>
              <w:left w:val="nil"/>
              <w:bottom w:val="single" w:sz="8" w:space="0" w:color="auto"/>
              <w:right w:val="single" w:sz="8" w:space="0" w:color="000000"/>
            </w:tcBorders>
            <w:shd w:val="clear" w:color="auto" w:fill="auto"/>
            <w:noWrap/>
            <w:vAlign w:val="center"/>
            <w:hideMark/>
          </w:tcPr>
          <w:p w14:paraId="0AF877C9" w14:textId="77777777" w:rsidR="00700609" w:rsidRPr="009D56EB" w:rsidRDefault="00700609" w:rsidP="00681BA8">
            <w:pPr>
              <w:pStyle w:val="Tablehead"/>
              <w:rPr>
                <w:sz w:val="20"/>
              </w:rPr>
            </w:pPr>
            <w:r w:rsidRPr="009D56EB">
              <w:rPr>
                <w:sz w:val="20"/>
              </w:rPr>
              <w:t>Type B</w:t>
            </w:r>
          </w:p>
        </w:tc>
        <w:tc>
          <w:tcPr>
            <w:tcW w:w="71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9181FED" w14:textId="77777777" w:rsidR="00700609" w:rsidRPr="009D56EB" w:rsidRDefault="00700609" w:rsidP="00681BA8">
            <w:pPr>
              <w:pStyle w:val="Tablehead"/>
              <w:rPr>
                <w:sz w:val="20"/>
              </w:rPr>
            </w:pPr>
            <w:r w:rsidRPr="009D56EB">
              <w:rPr>
                <w:sz w:val="20"/>
              </w:rPr>
              <w:t>Type C</w:t>
            </w:r>
          </w:p>
        </w:tc>
        <w:tc>
          <w:tcPr>
            <w:tcW w:w="53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8DB2FF" w14:textId="77777777" w:rsidR="00700609" w:rsidRPr="009D56EB" w:rsidRDefault="00700609" w:rsidP="00681BA8">
            <w:pPr>
              <w:pStyle w:val="Tablehead"/>
              <w:rPr>
                <w:sz w:val="20"/>
              </w:rPr>
            </w:pPr>
            <w:r w:rsidRPr="009D56EB">
              <w:rPr>
                <w:sz w:val="20"/>
              </w:rPr>
              <w:t>Type D</w:t>
            </w:r>
          </w:p>
        </w:tc>
        <w:tc>
          <w:tcPr>
            <w:tcW w:w="736"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018A9B1" w14:textId="77777777" w:rsidR="00700609" w:rsidRPr="009D56EB" w:rsidRDefault="00700609" w:rsidP="00681BA8">
            <w:pPr>
              <w:pStyle w:val="Tablehead"/>
              <w:rPr>
                <w:sz w:val="20"/>
              </w:rPr>
            </w:pPr>
            <w:r w:rsidRPr="009D56EB">
              <w:rPr>
                <w:sz w:val="20"/>
              </w:rPr>
              <w:t xml:space="preserve">Type E </w:t>
            </w:r>
          </w:p>
        </w:tc>
      </w:tr>
      <w:tr w:rsidR="00700609" w:rsidRPr="009D56EB" w14:paraId="070F2FA6" w14:textId="77777777" w:rsidTr="00681BA8">
        <w:trPr>
          <w:jc w:val="center"/>
        </w:trPr>
        <w:tc>
          <w:tcPr>
            <w:tcW w:w="1787" w:type="pct"/>
            <w:tcBorders>
              <w:top w:val="single" w:sz="8" w:space="0" w:color="auto"/>
              <w:left w:val="single" w:sz="8" w:space="0" w:color="auto"/>
              <w:bottom w:val="single" w:sz="8" w:space="0" w:color="auto"/>
              <w:right w:val="single" w:sz="8" w:space="0" w:color="000000"/>
            </w:tcBorders>
            <w:shd w:val="clear" w:color="auto" w:fill="auto"/>
            <w:noWrap/>
            <w:vAlign w:val="center"/>
          </w:tcPr>
          <w:p w14:paraId="60546127" w14:textId="77777777" w:rsidR="00700609" w:rsidRPr="009D56EB" w:rsidRDefault="00700609" w:rsidP="00681BA8">
            <w:pPr>
              <w:pStyle w:val="Tabletext"/>
              <w:rPr>
                <w:sz w:val="20"/>
              </w:rPr>
            </w:pPr>
            <w:r w:rsidRPr="009D56EB">
              <w:rPr>
                <w:sz w:val="20"/>
              </w:rPr>
              <w:t>Frequency range (MHz)</w:t>
            </w:r>
          </w:p>
        </w:tc>
        <w:tc>
          <w:tcPr>
            <w:tcW w:w="3213" w:type="pct"/>
            <w:gridSpan w:val="8"/>
            <w:tcBorders>
              <w:top w:val="single" w:sz="8" w:space="0" w:color="auto"/>
              <w:left w:val="nil"/>
              <w:bottom w:val="single" w:sz="4" w:space="0" w:color="auto"/>
              <w:right w:val="single" w:sz="8" w:space="0" w:color="000000"/>
            </w:tcBorders>
            <w:shd w:val="clear" w:color="auto" w:fill="auto"/>
            <w:noWrap/>
            <w:vAlign w:val="center"/>
          </w:tcPr>
          <w:p w14:paraId="20200291" w14:textId="77777777" w:rsidR="00700609" w:rsidRPr="009D56EB" w:rsidRDefault="00700609" w:rsidP="00681BA8">
            <w:pPr>
              <w:pStyle w:val="Tabletext"/>
              <w:jc w:val="center"/>
              <w:rPr>
                <w:sz w:val="20"/>
              </w:rPr>
            </w:pPr>
            <w:r w:rsidRPr="009D56EB">
              <w:rPr>
                <w:sz w:val="20"/>
              </w:rPr>
              <w:t>400.15-406</w:t>
            </w:r>
          </w:p>
        </w:tc>
      </w:tr>
      <w:tr w:rsidR="00700609" w:rsidRPr="009D56EB" w14:paraId="46D2E56F" w14:textId="77777777" w:rsidTr="00681BA8">
        <w:trPr>
          <w:jc w:val="center"/>
        </w:trPr>
        <w:tc>
          <w:tcPr>
            <w:tcW w:w="178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A3A4E8" w14:textId="77777777" w:rsidR="00700609" w:rsidRPr="009D56EB" w:rsidRDefault="00700609" w:rsidP="00681BA8">
            <w:pPr>
              <w:pStyle w:val="Tabletext"/>
              <w:rPr>
                <w:sz w:val="20"/>
              </w:rPr>
            </w:pPr>
            <w:r w:rsidRPr="009D56EB">
              <w:rPr>
                <w:sz w:val="20"/>
              </w:rPr>
              <w:t xml:space="preserve">Modulation Type </w:t>
            </w:r>
          </w:p>
        </w:tc>
        <w:tc>
          <w:tcPr>
            <w:tcW w:w="715" w:type="pct"/>
            <w:gridSpan w:val="2"/>
            <w:tcBorders>
              <w:top w:val="single" w:sz="8" w:space="0" w:color="auto"/>
              <w:left w:val="nil"/>
              <w:bottom w:val="single" w:sz="4" w:space="0" w:color="auto"/>
              <w:right w:val="single" w:sz="8" w:space="0" w:color="000000"/>
            </w:tcBorders>
            <w:shd w:val="clear" w:color="auto" w:fill="auto"/>
            <w:noWrap/>
            <w:vAlign w:val="center"/>
            <w:hideMark/>
          </w:tcPr>
          <w:p w14:paraId="5CFA3B8F" w14:textId="77777777" w:rsidR="00700609" w:rsidRPr="009D56EB" w:rsidRDefault="00700609" w:rsidP="00681BA8">
            <w:pPr>
              <w:pStyle w:val="Tabletext"/>
              <w:jc w:val="center"/>
              <w:rPr>
                <w:sz w:val="20"/>
              </w:rPr>
            </w:pPr>
            <w:r w:rsidRPr="009D56EB">
              <w:rPr>
                <w:sz w:val="20"/>
              </w:rPr>
              <w:t>FM</w:t>
            </w:r>
          </w:p>
        </w:tc>
        <w:tc>
          <w:tcPr>
            <w:tcW w:w="512" w:type="pct"/>
            <w:tcBorders>
              <w:top w:val="single" w:sz="8" w:space="0" w:color="auto"/>
              <w:left w:val="nil"/>
              <w:bottom w:val="single" w:sz="4" w:space="0" w:color="auto"/>
              <w:right w:val="single" w:sz="8" w:space="0" w:color="000000"/>
            </w:tcBorders>
            <w:shd w:val="clear" w:color="auto" w:fill="auto"/>
            <w:noWrap/>
            <w:vAlign w:val="center"/>
            <w:hideMark/>
          </w:tcPr>
          <w:p w14:paraId="06CBD0B8" w14:textId="77777777" w:rsidR="00700609" w:rsidRPr="009D56EB" w:rsidRDefault="00700609" w:rsidP="00681BA8">
            <w:pPr>
              <w:pStyle w:val="Tabletext"/>
              <w:jc w:val="center"/>
              <w:rPr>
                <w:sz w:val="20"/>
              </w:rPr>
            </w:pPr>
            <w:r w:rsidRPr="009D56EB">
              <w:rPr>
                <w:sz w:val="20"/>
              </w:rPr>
              <w:t>GMSK</w:t>
            </w:r>
          </w:p>
        </w:tc>
        <w:tc>
          <w:tcPr>
            <w:tcW w:w="716" w:type="pct"/>
            <w:gridSpan w:val="2"/>
            <w:tcBorders>
              <w:top w:val="single" w:sz="8" w:space="0" w:color="auto"/>
              <w:left w:val="nil"/>
              <w:bottom w:val="single" w:sz="4" w:space="0" w:color="auto"/>
              <w:right w:val="single" w:sz="8" w:space="0" w:color="000000"/>
            </w:tcBorders>
            <w:shd w:val="clear" w:color="auto" w:fill="auto"/>
            <w:noWrap/>
            <w:vAlign w:val="center"/>
            <w:hideMark/>
          </w:tcPr>
          <w:p w14:paraId="5412C84F" w14:textId="77777777" w:rsidR="00700609" w:rsidRPr="009D56EB" w:rsidRDefault="00700609" w:rsidP="00681BA8">
            <w:pPr>
              <w:pStyle w:val="Tabletext"/>
              <w:jc w:val="center"/>
              <w:rPr>
                <w:sz w:val="20"/>
              </w:rPr>
            </w:pPr>
            <w:r w:rsidRPr="009D56EB">
              <w:rPr>
                <w:sz w:val="20"/>
              </w:rPr>
              <w:t>GFSK</w:t>
            </w:r>
          </w:p>
        </w:tc>
        <w:tc>
          <w:tcPr>
            <w:tcW w:w="534" w:type="pct"/>
            <w:tcBorders>
              <w:top w:val="nil"/>
              <w:left w:val="nil"/>
              <w:bottom w:val="single" w:sz="4" w:space="0" w:color="auto"/>
              <w:right w:val="single" w:sz="8" w:space="0" w:color="auto"/>
            </w:tcBorders>
            <w:shd w:val="clear" w:color="auto" w:fill="auto"/>
            <w:noWrap/>
            <w:vAlign w:val="center"/>
            <w:hideMark/>
          </w:tcPr>
          <w:p w14:paraId="6F9B51A4" w14:textId="77777777" w:rsidR="00700609" w:rsidRPr="009D56EB" w:rsidRDefault="00700609" w:rsidP="00681BA8">
            <w:pPr>
              <w:pStyle w:val="Tabletext"/>
              <w:jc w:val="center"/>
              <w:rPr>
                <w:sz w:val="20"/>
              </w:rPr>
            </w:pPr>
            <w:r w:rsidRPr="009D56EB">
              <w:rPr>
                <w:sz w:val="20"/>
              </w:rPr>
              <w:t>QAM</w:t>
            </w:r>
          </w:p>
        </w:tc>
        <w:tc>
          <w:tcPr>
            <w:tcW w:w="736" w:type="pct"/>
            <w:gridSpan w:val="2"/>
            <w:tcBorders>
              <w:top w:val="nil"/>
              <w:left w:val="nil"/>
              <w:bottom w:val="single" w:sz="4" w:space="0" w:color="auto"/>
              <w:right w:val="single" w:sz="8" w:space="0" w:color="000000"/>
            </w:tcBorders>
            <w:shd w:val="clear" w:color="auto" w:fill="auto"/>
            <w:vAlign w:val="center"/>
          </w:tcPr>
          <w:p w14:paraId="349803B4" w14:textId="77777777" w:rsidR="00700609" w:rsidRPr="009D56EB" w:rsidRDefault="00700609" w:rsidP="00681BA8">
            <w:pPr>
              <w:pStyle w:val="Tabletext"/>
              <w:jc w:val="center"/>
              <w:rPr>
                <w:sz w:val="20"/>
              </w:rPr>
            </w:pPr>
            <w:r w:rsidRPr="009D56EB">
              <w:rPr>
                <w:sz w:val="20"/>
              </w:rPr>
              <w:t>FSK</w:t>
            </w:r>
          </w:p>
        </w:tc>
      </w:tr>
      <w:tr w:rsidR="00700609" w:rsidRPr="009D56EB" w14:paraId="5913609F" w14:textId="77777777" w:rsidTr="00681BA8">
        <w:trPr>
          <w:jc w:val="center"/>
        </w:trPr>
        <w:tc>
          <w:tcPr>
            <w:tcW w:w="1787" w:type="pct"/>
            <w:tcBorders>
              <w:top w:val="single" w:sz="8" w:space="0" w:color="auto"/>
              <w:left w:val="single" w:sz="8" w:space="0" w:color="auto"/>
              <w:bottom w:val="single" w:sz="4" w:space="0" w:color="auto"/>
              <w:right w:val="single" w:sz="8" w:space="0" w:color="000000"/>
            </w:tcBorders>
            <w:shd w:val="clear" w:color="auto" w:fill="auto"/>
            <w:vAlign w:val="center"/>
            <w:hideMark/>
          </w:tcPr>
          <w:p w14:paraId="23B8B362" w14:textId="77777777" w:rsidR="00700609" w:rsidRPr="009D56EB" w:rsidRDefault="00700609" w:rsidP="00681BA8">
            <w:pPr>
              <w:pStyle w:val="Tabletext"/>
              <w:rPr>
                <w:sz w:val="20"/>
              </w:rPr>
            </w:pPr>
            <w:r w:rsidRPr="009D56EB">
              <w:rPr>
                <w:sz w:val="20"/>
              </w:rPr>
              <w:t>Per cent time performance is not exceeded (%)</w:t>
            </w:r>
          </w:p>
        </w:tc>
        <w:tc>
          <w:tcPr>
            <w:tcW w:w="358"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7FC68B31" w14:textId="77777777" w:rsidR="00700609" w:rsidRPr="009D56EB" w:rsidRDefault="00700609" w:rsidP="00681BA8">
            <w:pPr>
              <w:pStyle w:val="Tabletext"/>
              <w:jc w:val="center"/>
              <w:rPr>
                <w:sz w:val="20"/>
              </w:rPr>
            </w:pPr>
            <w:r w:rsidRPr="009D56EB">
              <w:rPr>
                <w:sz w:val="20"/>
              </w:rPr>
              <w:t xml:space="preserve">0.02 </w:t>
            </w:r>
            <w:r w:rsidRPr="009D56EB">
              <w:rPr>
                <w:sz w:val="20"/>
              </w:rPr>
              <w:br/>
              <w:t>track loss</w:t>
            </w:r>
          </w:p>
        </w:tc>
        <w:tc>
          <w:tcPr>
            <w:tcW w:w="358" w:type="pct"/>
            <w:tcBorders>
              <w:top w:val="single" w:sz="8" w:space="0" w:color="auto"/>
              <w:left w:val="single" w:sz="8" w:space="0" w:color="auto"/>
              <w:bottom w:val="single" w:sz="4" w:space="0" w:color="auto"/>
              <w:right w:val="single" w:sz="8" w:space="0" w:color="auto"/>
            </w:tcBorders>
            <w:shd w:val="clear" w:color="auto" w:fill="auto"/>
            <w:vAlign w:val="center"/>
          </w:tcPr>
          <w:p w14:paraId="7ED6D9C6" w14:textId="77777777" w:rsidR="00700609" w:rsidRPr="009D56EB" w:rsidRDefault="00700609" w:rsidP="00681BA8">
            <w:pPr>
              <w:pStyle w:val="Tabletext"/>
              <w:jc w:val="center"/>
              <w:rPr>
                <w:sz w:val="20"/>
              </w:rPr>
            </w:pPr>
            <w:r w:rsidRPr="009D56EB">
              <w:rPr>
                <w:sz w:val="20"/>
              </w:rPr>
              <w:t xml:space="preserve">0.2 </w:t>
            </w:r>
            <w:r w:rsidRPr="009D56EB">
              <w:rPr>
                <w:sz w:val="20"/>
              </w:rPr>
              <w:br/>
              <w:t>data loss</w:t>
            </w:r>
          </w:p>
        </w:tc>
        <w:tc>
          <w:tcPr>
            <w:tcW w:w="512" w:type="pct"/>
            <w:tcBorders>
              <w:top w:val="single" w:sz="8" w:space="0" w:color="auto"/>
              <w:left w:val="nil"/>
              <w:bottom w:val="single" w:sz="4" w:space="0" w:color="auto"/>
              <w:right w:val="single" w:sz="8" w:space="0" w:color="auto"/>
            </w:tcBorders>
            <w:shd w:val="clear" w:color="auto" w:fill="auto"/>
            <w:vAlign w:val="center"/>
          </w:tcPr>
          <w:p w14:paraId="136D6E41" w14:textId="77777777" w:rsidR="00700609" w:rsidRPr="009D56EB" w:rsidRDefault="00700609" w:rsidP="00681BA8">
            <w:pPr>
              <w:pStyle w:val="Tabletext"/>
              <w:jc w:val="center"/>
              <w:rPr>
                <w:sz w:val="20"/>
              </w:rPr>
            </w:pPr>
            <w:r w:rsidRPr="009D56EB">
              <w:rPr>
                <w:sz w:val="20"/>
              </w:rPr>
              <w:t xml:space="preserve">0.2  </w:t>
            </w:r>
            <w:r w:rsidRPr="009D56EB">
              <w:rPr>
                <w:sz w:val="20"/>
              </w:rPr>
              <w:br/>
              <w:t>data loss</w:t>
            </w:r>
          </w:p>
        </w:tc>
        <w:tc>
          <w:tcPr>
            <w:tcW w:w="358" w:type="pct"/>
            <w:tcBorders>
              <w:top w:val="single" w:sz="8" w:space="0" w:color="auto"/>
              <w:left w:val="nil"/>
              <w:bottom w:val="single" w:sz="4" w:space="0" w:color="auto"/>
              <w:right w:val="nil"/>
            </w:tcBorders>
            <w:shd w:val="clear" w:color="auto" w:fill="auto"/>
            <w:vAlign w:val="center"/>
            <w:hideMark/>
          </w:tcPr>
          <w:p w14:paraId="682B67B0" w14:textId="77777777" w:rsidR="00700609" w:rsidRPr="009D56EB" w:rsidRDefault="00700609" w:rsidP="00681BA8">
            <w:pPr>
              <w:pStyle w:val="Tabletext"/>
              <w:jc w:val="center"/>
              <w:rPr>
                <w:sz w:val="20"/>
              </w:rPr>
            </w:pPr>
            <w:r w:rsidRPr="009D56EB">
              <w:rPr>
                <w:sz w:val="20"/>
              </w:rPr>
              <w:t>0.02</w:t>
            </w:r>
            <w:r w:rsidRPr="009D56EB">
              <w:rPr>
                <w:sz w:val="20"/>
              </w:rPr>
              <w:br/>
              <w:t>track loss</w:t>
            </w:r>
          </w:p>
        </w:tc>
        <w:tc>
          <w:tcPr>
            <w:tcW w:w="35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435ADFE" w14:textId="77777777" w:rsidR="00700609" w:rsidRPr="009D56EB" w:rsidRDefault="00700609" w:rsidP="00681BA8">
            <w:pPr>
              <w:pStyle w:val="Tabletext"/>
              <w:jc w:val="center"/>
              <w:rPr>
                <w:sz w:val="20"/>
              </w:rPr>
            </w:pPr>
            <w:r w:rsidRPr="009D56EB">
              <w:rPr>
                <w:sz w:val="20"/>
              </w:rPr>
              <w:t>0.2</w:t>
            </w:r>
            <w:r w:rsidRPr="009D56EB">
              <w:rPr>
                <w:sz w:val="20"/>
              </w:rPr>
              <w:br/>
              <w:t>data loss</w:t>
            </w:r>
          </w:p>
        </w:tc>
        <w:tc>
          <w:tcPr>
            <w:tcW w:w="534"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A60C80E" w14:textId="77777777" w:rsidR="00700609" w:rsidRPr="009D56EB" w:rsidRDefault="00700609" w:rsidP="00681BA8">
            <w:pPr>
              <w:pStyle w:val="Tabletext"/>
              <w:jc w:val="center"/>
              <w:rPr>
                <w:sz w:val="20"/>
              </w:rPr>
            </w:pPr>
            <w:r w:rsidRPr="009D56EB">
              <w:rPr>
                <w:sz w:val="20"/>
              </w:rPr>
              <w:t xml:space="preserve">0.2 </w:t>
            </w:r>
            <w:r w:rsidRPr="009D56EB">
              <w:rPr>
                <w:sz w:val="20"/>
              </w:rPr>
              <w:br/>
              <w:t>data loss</w:t>
            </w:r>
          </w:p>
        </w:tc>
        <w:tc>
          <w:tcPr>
            <w:tcW w:w="359" w:type="pct"/>
            <w:tcBorders>
              <w:top w:val="nil"/>
              <w:left w:val="single" w:sz="8" w:space="0" w:color="auto"/>
              <w:bottom w:val="single" w:sz="4" w:space="0" w:color="auto"/>
              <w:right w:val="nil"/>
            </w:tcBorders>
            <w:shd w:val="clear" w:color="auto" w:fill="auto"/>
            <w:vAlign w:val="center"/>
            <w:hideMark/>
          </w:tcPr>
          <w:p w14:paraId="6DE7B8AB" w14:textId="77777777" w:rsidR="00700609" w:rsidRPr="009D56EB" w:rsidRDefault="00700609" w:rsidP="00681BA8">
            <w:pPr>
              <w:pStyle w:val="Tabletext"/>
              <w:jc w:val="center"/>
              <w:rPr>
                <w:sz w:val="20"/>
              </w:rPr>
            </w:pPr>
            <w:r w:rsidRPr="009D56EB">
              <w:rPr>
                <w:sz w:val="20"/>
              </w:rPr>
              <w:t>0.02</w:t>
            </w:r>
            <w:r w:rsidRPr="009D56EB">
              <w:rPr>
                <w:sz w:val="20"/>
              </w:rPr>
              <w:br/>
              <w:t>track loss</w:t>
            </w:r>
          </w:p>
        </w:tc>
        <w:tc>
          <w:tcPr>
            <w:tcW w:w="377" w:type="pct"/>
            <w:tcBorders>
              <w:top w:val="nil"/>
              <w:left w:val="single" w:sz="4" w:space="0" w:color="auto"/>
              <w:bottom w:val="single" w:sz="4" w:space="0" w:color="auto"/>
              <w:right w:val="single" w:sz="8" w:space="0" w:color="auto"/>
            </w:tcBorders>
            <w:shd w:val="clear" w:color="auto" w:fill="auto"/>
            <w:vAlign w:val="center"/>
            <w:hideMark/>
          </w:tcPr>
          <w:p w14:paraId="6DA4746D" w14:textId="77777777" w:rsidR="00700609" w:rsidRPr="009D56EB" w:rsidRDefault="00700609" w:rsidP="00681BA8">
            <w:pPr>
              <w:pStyle w:val="Tabletext"/>
              <w:jc w:val="center"/>
              <w:rPr>
                <w:sz w:val="20"/>
              </w:rPr>
            </w:pPr>
            <w:r w:rsidRPr="009D56EB">
              <w:rPr>
                <w:sz w:val="20"/>
              </w:rPr>
              <w:t>0.2</w:t>
            </w:r>
            <w:r w:rsidRPr="009D56EB">
              <w:rPr>
                <w:sz w:val="20"/>
              </w:rPr>
              <w:br/>
              <w:t>data loss</w:t>
            </w:r>
          </w:p>
        </w:tc>
      </w:tr>
      <w:tr w:rsidR="00700609" w:rsidRPr="009D56EB" w14:paraId="5D21385D" w14:textId="77777777" w:rsidTr="00681BA8">
        <w:trPr>
          <w:jc w:val="center"/>
        </w:trPr>
        <w:tc>
          <w:tcPr>
            <w:tcW w:w="1787" w:type="pct"/>
            <w:tcBorders>
              <w:top w:val="nil"/>
              <w:left w:val="single" w:sz="8" w:space="0" w:color="auto"/>
              <w:bottom w:val="single" w:sz="4" w:space="0" w:color="auto"/>
              <w:right w:val="single" w:sz="8" w:space="0" w:color="000000"/>
            </w:tcBorders>
            <w:shd w:val="clear" w:color="auto" w:fill="auto"/>
            <w:vAlign w:val="center"/>
            <w:hideMark/>
          </w:tcPr>
          <w:p w14:paraId="576EAAAC" w14:textId="77777777" w:rsidR="00700609" w:rsidRPr="009D56EB" w:rsidRDefault="00700609" w:rsidP="00681BA8">
            <w:pPr>
              <w:pStyle w:val="Tabletext"/>
              <w:rPr>
                <w:sz w:val="20"/>
              </w:rPr>
            </w:pPr>
            <w:r w:rsidRPr="009D56EB">
              <w:rPr>
                <w:sz w:val="20"/>
              </w:rPr>
              <w:t>Airborne transmitter output power (dBW)</w:t>
            </w:r>
          </w:p>
        </w:tc>
        <w:tc>
          <w:tcPr>
            <w:tcW w:w="715" w:type="pct"/>
            <w:gridSpan w:val="2"/>
            <w:tcBorders>
              <w:top w:val="nil"/>
              <w:left w:val="nil"/>
              <w:bottom w:val="single" w:sz="4" w:space="0" w:color="auto"/>
              <w:right w:val="single" w:sz="8" w:space="0" w:color="auto"/>
            </w:tcBorders>
            <w:shd w:val="clear" w:color="auto" w:fill="auto"/>
            <w:noWrap/>
            <w:vAlign w:val="center"/>
            <w:hideMark/>
          </w:tcPr>
          <w:p w14:paraId="4B966C70" w14:textId="77777777" w:rsidR="00700609" w:rsidRPr="009D56EB" w:rsidRDefault="00700609" w:rsidP="00681BA8">
            <w:pPr>
              <w:pStyle w:val="Tabletext"/>
              <w:jc w:val="center"/>
              <w:rPr>
                <w:sz w:val="20"/>
              </w:rPr>
            </w:pPr>
            <w:r w:rsidRPr="009D56EB">
              <w:rPr>
                <w:sz w:val="20"/>
              </w:rPr>
              <w:t>−6</w:t>
            </w:r>
          </w:p>
        </w:tc>
        <w:tc>
          <w:tcPr>
            <w:tcW w:w="512" w:type="pct"/>
            <w:tcBorders>
              <w:top w:val="nil"/>
              <w:left w:val="single" w:sz="8" w:space="0" w:color="auto"/>
              <w:bottom w:val="single" w:sz="4" w:space="0" w:color="auto"/>
              <w:right w:val="single" w:sz="8" w:space="0" w:color="auto"/>
            </w:tcBorders>
            <w:shd w:val="clear" w:color="auto" w:fill="auto"/>
            <w:noWrap/>
            <w:vAlign w:val="center"/>
          </w:tcPr>
          <w:p w14:paraId="64CAEA5D" w14:textId="77777777" w:rsidR="00700609" w:rsidRPr="009D56EB" w:rsidRDefault="00700609" w:rsidP="00681BA8">
            <w:pPr>
              <w:pStyle w:val="Tabletext"/>
              <w:jc w:val="center"/>
              <w:rPr>
                <w:sz w:val="20"/>
              </w:rPr>
            </w:pPr>
            <w:r w:rsidRPr="009D56EB">
              <w:rPr>
                <w:sz w:val="20"/>
              </w:rPr>
              <w:t>−6</w:t>
            </w:r>
          </w:p>
        </w:tc>
        <w:tc>
          <w:tcPr>
            <w:tcW w:w="716" w:type="pct"/>
            <w:gridSpan w:val="2"/>
            <w:tcBorders>
              <w:top w:val="nil"/>
              <w:left w:val="nil"/>
              <w:bottom w:val="single" w:sz="4" w:space="0" w:color="auto"/>
              <w:right w:val="single" w:sz="8" w:space="0" w:color="auto"/>
            </w:tcBorders>
            <w:shd w:val="clear" w:color="auto" w:fill="auto"/>
            <w:noWrap/>
            <w:vAlign w:val="center"/>
            <w:hideMark/>
          </w:tcPr>
          <w:p w14:paraId="578DDE48" w14:textId="77777777" w:rsidR="00700609" w:rsidRPr="009D56EB" w:rsidRDefault="00700609" w:rsidP="00681BA8">
            <w:pPr>
              <w:pStyle w:val="Tabletext"/>
              <w:jc w:val="center"/>
              <w:rPr>
                <w:sz w:val="20"/>
              </w:rPr>
            </w:pPr>
            <w:r w:rsidRPr="009D56EB">
              <w:rPr>
                <w:sz w:val="20"/>
              </w:rPr>
              <w:t>−11.6</w:t>
            </w:r>
          </w:p>
        </w:tc>
        <w:tc>
          <w:tcPr>
            <w:tcW w:w="534" w:type="pct"/>
            <w:tcBorders>
              <w:top w:val="nil"/>
              <w:left w:val="single" w:sz="8" w:space="0" w:color="auto"/>
              <w:bottom w:val="single" w:sz="4" w:space="0" w:color="auto"/>
              <w:right w:val="single" w:sz="8" w:space="0" w:color="auto"/>
            </w:tcBorders>
            <w:shd w:val="clear" w:color="auto" w:fill="auto"/>
            <w:noWrap/>
            <w:vAlign w:val="center"/>
            <w:hideMark/>
          </w:tcPr>
          <w:p w14:paraId="78954A97" w14:textId="77777777" w:rsidR="00700609" w:rsidRPr="009D56EB" w:rsidRDefault="00700609" w:rsidP="00681BA8">
            <w:pPr>
              <w:pStyle w:val="Tabletext"/>
              <w:jc w:val="center"/>
              <w:rPr>
                <w:sz w:val="20"/>
              </w:rPr>
            </w:pPr>
            <w:r w:rsidRPr="009D56EB">
              <w:rPr>
                <w:sz w:val="20"/>
              </w:rPr>
              <w:t>−10</w:t>
            </w:r>
          </w:p>
        </w:tc>
        <w:tc>
          <w:tcPr>
            <w:tcW w:w="736" w:type="pct"/>
            <w:gridSpan w:val="2"/>
            <w:tcBorders>
              <w:top w:val="nil"/>
              <w:left w:val="single" w:sz="8" w:space="0" w:color="auto"/>
              <w:bottom w:val="single" w:sz="4" w:space="0" w:color="auto"/>
              <w:right w:val="single" w:sz="8" w:space="0" w:color="auto"/>
            </w:tcBorders>
            <w:shd w:val="clear" w:color="auto" w:fill="auto"/>
            <w:noWrap/>
            <w:vAlign w:val="center"/>
            <w:hideMark/>
          </w:tcPr>
          <w:p w14:paraId="125B8C47" w14:textId="77777777" w:rsidR="00700609" w:rsidRPr="009D56EB" w:rsidRDefault="00700609" w:rsidP="00681BA8">
            <w:pPr>
              <w:pStyle w:val="Tabletext"/>
              <w:jc w:val="center"/>
              <w:rPr>
                <w:sz w:val="20"/>
              </w:rPr>
            </w:pPr>
            <w:r w:rsidRPr="009D56EB">
              <w:rPr>
                <w:sz w:val="20"/>
              </w:rPr>
              <w:t>−11.5</w:t>
            </w:r>
          </w:p>
        </w:tc>
      </w:tr>
      <w:tr w:rsidR="00700609" w:rsidRPr="009D56EB" w14:paraId="4A6C05BA"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5E7C26F1" w14:textId="77777777" w:rsidR="00700609" w:rsidRPr="009D56EB" w:rsidRDefault="00700609" w:rsidP="00681BA8">
            <w:pPr>
              <w:pStyle w:val="Tabletext"/>
              <w:rPr>
                <w:sz w:val="20"/>
              </w:rPr>
            </w:pPr>
            <w:r w:rsidRPr="009D56EB">
              <w:rPr>
                <w:sz w:val="20"/>
              </w:rPr>
              <w:t>Airborne antenna gain average (dBi)</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hideMark/>
          </w:tcPr>
          <w:p w14:paraId="5BEEDF9D" w14:textId="77777777" w:rsidR="00700609" w:rsidRPr="009D56EB" w:rsidRDefault="00700609" w:rsidP="00681BA8">
            <w:pPr>
              <w:pStyle w:val="Tabletext"/>
              <w:jc w:val="center"/>
              <w:rPr>
                <w:sz w:val="20"/>
              </w:rPr>
            </w:pPr>
            <w:r w:rsidRPr="009D56EB">
              <w:rPr>
                <w:sz w:val="20"/>
              </w:rPr>
              <w:t>2</w:t>
            </w:r>
          </w:p>
        </w:tc>
        <w:tc>
          <w:tcPr>
            <w:tcW w:w="512" w:type="pct"/>
            <w:tcBorders>
              <w:top w:val="nil"/>
              <w:left w:val="single" w:sz="8" w:space="0" w:color="auto"/>
              <w:bottom w:val="single" w:sz="4" w:space="0" w:color="auto"/>
              <w:right w:val="single" w:sz="8" w:space="0" w:color="auto"/>
            </w:tcBorders>
            <w:shd w:val="clear" w:color="auto" w:fill="auto"/>
            <w:noWrap/>
            <w:vAlign w:val="center"/>
          </w:tcPr>
          <w:p w14:paraId="760571BC" w14:textId="77777777" w:rsidR="00700609" w:rsidRPr="009D56EB" w:rsidRDefault="00700609" w:rsidP="00681BA8">
            <w:pPr>
              <w:pStyle w:val="Tabletext"/>
              <w:jc w:val="center"/>
              <w:rPr>
                <w:sz w:val="20"/>
              </w:rPr>
            </w:pPr>
            <w:r w:rsidRPr="009D56EB">
              <w:rPr>
                <w:sz w:val="20"/>
              </w:rPr>
              <w:t>2</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hideMark/>
          </w:tcPr>
          <w:p w14:paraId="49E9221F" w14:textId="77777777" w:rsidR="00700609" w:rsidRPr="009D56EB" w:rsidRDefault="00700609" w:rsidP="00681BA8">
            <w:pPr>
              <w:pStyle w:val="Tabletext"/>
              <w:jc w:val="center"/>
              <w:rPr>
                <w:sz w:val="20"/>
              </w:rPr>
            </w:pPr>
            <w:r w:rsidRPr="009D56EB">
              <w:rPr>
                <w:sz w:val="20"/>
              </w:rPr>
              <w:t>2</w:t>
            </w:r>
          </w:p>
        </w:tc>
        <w:tc>
          <w:tcPr>
            <w:tcW w:w="534" w:type="pct"/>
            <w:tcBorders>
              <w:top w:val="nil"/>
              <w:left w:val="single" w:sz="8" w:space="0" w:color="auto"/>
              <w:bottom w:val="single" w:sz="4" w:space="0" w:color="auto"/>
              <w:right w:val="single" w:sz="8" w:space="0" w:color="auto"/>
            </w:tcBorders>
            <w:shd w:val="clear" w:color="auto" w:fill="auto"/>
            <w:noWrap/>
            <w:vAlign w:val="center"/>
            <w:hideMark/>
          </w:tcPr>
          <w:p w14:paraId="0FCEDD9A" w14:textId="77777777" w:rsidR="00700609" w:rsidRPr="009D56EB" w:rsidRDefault="00700609" w:rsidP="00681BA8">
            <w:pPr>
              <w:pStyle w:val="Tabletext"/>
              <w:jc w:val="center"/>
              <w:rPr>
                <w:sz w:val="20"/>
              </w:rPr>
            </w:pPr>
            <w:r w:rsidRPr="009D56EB">
              <w:rPr>
                <w:sz w:val="20"/>
              </w:rPr>
              <w:t>3</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E18045C" w14:textId="77777777" w:rsidR="00700609" w:rsidRPr="009D56EB" w:rsidRDefault="00700609" w:rsidP="00681BA8">
            <w:pPr>
              <w:pStyle w:val="Tabletext"/>
              <w:jc w:val="center"/>
              <w:rPr>
                <w:sz w:val="20"/>
              </w:rPr>
            </w:pPr>
            <w:r w:rsidRPr="009D56EB">
              <w:rPr>
                <w:sz w:val="20"/>
              </w:rPr>
              <w:t>2</w:t>
            </w:r>
          </w:p>
        </w:tc>
      </w:tr>
      <w:tr w:rsidR="00700609" w:rsidRPr="009D56EB" w14:paraId="16C0534E"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D249547" w14:textId="77777777" w:rsidR="00700609" w:rsidRPr="009D56EB" w:rsidRDefault="00700609" w:rsidP="00681BA8">
            <w:pPr>
              <w:pStyle w:val="Tabletext"/>
              <w:rPr>
                <w:sz w:val="20"/>
              </w:rPr>
            </w:pPr>
            <w:r w:rsidRPr="009D56EB">
              <w:rPr>
                <w:sz w:val="20"/>
              </w:rPr>
              <w:t>Airborne transmitter e.i.r.p. (dBW)</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hideMark/>
          </w:tcPr>
          <w:p w14:paraId="6F7F7D10" w14:textId="77777777" w:rsidR="00700609" w:rsidRPr="009D56EB" w:rsidRDefault="00700609" w:rsidP="00681BA8">
            <w:pPr>
              <w:pStyle w:val="Tabletext"/>
              <w:jc w:val="center"/>
              <w:rPr>
                <w:sz w:val="20"/>
              </w:rPr>
            </w:pPr>
            <w:r w:rsidRPr="009D56EB">
              <w:rPr>
                <w:sz w:val="20"/>
              </w:rPr>
              <w:t>−4</w:t>
            </w:r>
          </w:p>
        </w:tc>
        <w:tc>
          <w:tcPr>
            <w:tcW w:w="512" w:type="pct"/>
            <w:tcBorders>
              <w:top w:val="nil"/>
              <w:left w:val="single" w:sz="8" w:space="0" w:color="auto"/>
              <w:bottom w:val="single" w:sz="4" w:space="0" w:color="auto"/>
              <w:right w:val="single" w:sz="8" w:space="0" w:color="auto"/>
            </w:tcBorders>
            <w:shd w:val="clear" w:color="auto" w:fill="auto"/>
            <w:noWrap/>
            <w:vAlign w:val="center"/>
          </w:tcPr>
          <w:p w14:paraId="08EDB877" w14:textId="77777777" w:rsidR="00700609" w:rsidRPr="009D56EB" w:rsidRDefault="00700609" w:rsidP="00681BA8">
            <w:pPr>
              <w:pStyle w:val="Tabletext"/>
              <w:jc w:val="center"/>
              <w:rPr>
                <w:sz w:val="20"/>
              </w:rPr>
            </w:pPr>
            <w:r w:rsidRPr="009D56EB">
              <w:rPr>
                <w:sz w:val="20"/>
              </w:rPr>
              <w:t>−4</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hideMark/>
          </w:tcPr>
          <w:p w14:paraId="22CA6534" w14:textId="77777777" w:rsidR="00700609" w:rsidRPr="009D56EB" w:rsidRDefault="00700609" w:rsidP="00681BA8">
            <w:pPr>
              <w:pStyle w:val="Tabletext"/>
              <w:jc w:val="center"/>
              <w:rPr>
                <w:sz w:val="20"/>
              </w:rPr>
            </w:pPr>
            <w:r w:rsidRPr="009D56EB">
              <w:rPr>
                <w:sz w:val="20"/>
              </w:rPr>
              <w:t>−9.6</w:t>
            </w:r>
          </w:p>
        </w:tc>
        <w:tc>
          <w:tcPr>
            <w:tcW w:w="534" w:type="pct"/>
            <w:tcBorders>
              <w:top w:val="nil"/>
              <w:left w:val="single" w:sz="8" w:space="0" w:color="auto"/>
              <w:bottom w:val="single" w:sz="4" w:space="0" w:color="auto"/>
              <w:right w:val="single" w:sz="8" w:space="0" w:color="auto"/>
            </w:tcBorders>
            <w:shd w:val="clear" w:color="auto" w:fill="auto"/>
            <w:noWrap/>
            <w:vAlign w:val="center"/>
            <w:hideMark/>
          </w:tcPr>
          <w:p w14:paraId="499949AA" w14:textId="77777777" w:rsidR="00700609" w:rsidRPr="009D56EB" w:rsidRDefault="00700609" w:rsidP="00681BA8">
            <w:pPr>
              <w:pStyle w:val="Tabletext"/>
              <w:jc w:val="center"/>
              <w:rPr>
                <w:sz w:val="20"/>
              </w:rPr>
            </w:pPr>
            <w:r w:rsidRPr="009D56EB">
              <w:rPr>
                <w:sz w:val="20"/>
              </w:rPr>
              <w:t>−7</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8ABED6E" w14:textId="77777777" w:rsidR="00700609" w:rsidRPr="009D56EB" w:rsidRDefault="00700609" w:rsidP="00681BA8">
            <w:pPr>
              <w:pStyle w:val="Tabletext"/>
              <w:jc w:val="center"/>
              <w:rPr>
                <w:sz w:val="20"/>
              </w:rPr>
            </w:pPr>
            <w:r w:rsidRPr="009D56EB">
              <w:rPr>
                <w:sz w:val="20"/>
              </w:rPr>
              <w:t>−9.5</w:t>
            </w:r>
          </w:p>
        </w:tc>
      </w:tr>
      <w:tr w:rsidR="00700609" w:rsidRPr="009D56EB" w14:paraId="47334F2E"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6B488F9B" w14:textId="77777777" w:rsidR="00700609" w:rsidRPr="009D56EB" w:rsidRDefault="00700609" w:rsidP="00681BA8">
            <w:pPr>
              <w:pStyle w:val="Tabletext"/>
              <w:rPr>
                <w:sz w:val="20"/>
              </w:rPr>
            </w:pPr>
            <w:r w:rsidRPr="009D56EB">
              <w:rPr>
                <w:sz w:val="20"/>
              </w:rPr>
              <w:t>Maximum link length (km)</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hideMark/>
          </w:tcPr>
          <w:p w14:paraId="59BA16F5" w14:textId="77777777" w:rsidR="00700609" w:rsidRPr="009D56EB" w:rsidRDefault="00700609" w:rsidP="00681BA8">
            <w:pPr>
              <w:pStyle w:val="Tabletext"/>
              <w:jc w:val="center"/>
              <w:rPr>
                <w:sz w:val="20"/>
              </w:rPr>
            </w:pPr>
            <w:r w:rsidRPr="009D56EB">
              <w:rPr>
                <w:sz w:val="20"/>
              </w:rPr>
              <w:t>250</w:t>
            </w:r>
          </w:p>
        </w:tc>
        <w:tc>
          <w:tcPr>
            <w:tcW w:w="512" w:type="pct"/>
            <w:tcBorders>
              <w:top w:val="nil"/>
              <w:left w:val="single" w:sz="8" w:space="0" w:color="auto"/>
              <w:bottom w:val="single" w:sz="4" w:space="0" w:color="auto"/>
              <w:right w:val="single" w:sz="8" w:space="0" w:color="auto"/>
            </w:tcBorders>
            <w:shd w:val="clear" w:color="auto" w:fill="auto"/>
            <w:noWrap/>
            <w:vAlign w:val="center"/>
          </w:tcPr>
          <w:p w14:paraId="530F9356" w14:textId="77777777" w:rsidR="00700609" w:rsidRPr="009D56EB" w:rsidRDefault="00700609" w:rsidP="00681BA8">
            <w:pPr>
              <w:pStyle w:val="Tabletext"/>
              <w:jc w:val="center"/>
              <w:rPr>
                <w:sz w:val="20"/>
              </w:rPr>
            </w:pPr>
            <w:r w:rsidRPr="009D56EB">
              <w:rPr>
                <w:sz w:val="20"/>
              </w:rPr>
              <w:t>150</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hideMark/>
          </w:tcPr>
          <w:p w14:paraId="17943E62" w14:textId="77777777" w:rsidR="00700609" w:rsidRPr="009D56EB" w:rsidRDefault="00700609" w:rsidP="00681BA8">
            <w:pPr>
              <w:pStyle w:val="Tabletext"/>
              <w:jc w:val="center"/>
              <w:rPr>
                <w:sz w:val="20"/>
              </w:rPr>
            </w:pPr>
            <w:r w:rsidRPr="009D56EB">
              <w:rPr>
                <w:sz w:val="20"/>
              </w:rPr>
              <w:t>250</w:t>
            </w:r>
          </w:p>
        </w:tc>
        <w:tc>
          <w:tcPr>
            <w:tcW w:w="534" w:type="pct"/>
            <w:tcBorders>
              <w:top w:val="nil"/>
              <w:left w:val="single" w:sz="8" w:space="0" w:color="auto"/>
              <w:bottom w:val="single" w:sz="4" w:space="0" w:color="auto"/>
              <w:right w:val="single" w:sz="8" w:space="0" w:color="auto"/>
            </w:tcBorders>
            <w:shd w:val="clear" w:color="auto" w:fill="auto"/>
            <w:noWrap/>
            <w:vAlign w:val="center"/>
            <w:hideMark/>
          </w:tcPr>
          <w:p w14:paraId="2D29FDE9" w14:textId="77777777" w:rsidR="00700609" w:rsidRPr="009D56EB" w:rsidRDefault="00700609" w:rsidP="00681BA8">
            <w:pPr>
              <w:pStyle w:val="Tabletext"/>
              <w:jc w:val="center"/>
              <w:rPr>
                <w:sz w:val="20"/>
              </w:rPr>
            </w:pPr>
            <w:r w:rsidRPr="009D56EB">
              <w:rPr>
                <w:sz w:val="20"/>
              </w:rPr>
              <w:t>150</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EFE91FC" w14:textId="77777777" w:rsidR="00700609" w:rsidRPr="009D56EB" w:rsidRDefault="00700609" w:rsidP="00681BA8">
            <w:pPr>
              <w:pStyle w:val="Tabletext"/>
              <w:jc w:val="center"/>
              <w:rPr>
                <w:sz w:val="20"/>
              </w:rPr>
            </w:pPr>
          </w:p>
        </w:tc>
      </w:tr>
      <w:tr w:rsidR="00700609" w:rsidRPr="009D56EB" w14:paraId="55850F9B"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1671815D" w14:textId="77777777" w:rsidR="00700609" w:rsidRPr="009D56EB" w:rsidRDefault="00700609" w:rsidP="00681BA8">
            <w:pPr>
              <w:pStyle w:val="Tabletext"/>
              <w:rPr>
                <w:sz w:val="20"/>
              </w:rPr>
            </w:pPr>
            <w:r w:rsidRPr="009D56EB">
              <w:rPr>
                <w:sz w:val="20"/>
              </w:rPr>
              <w:t>Free-space path loss (dB)</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hideMark/>
          </w:tcPr>
          <w:p w14:paraId="1B7C849C" w14:textId="77777777" w:rsidR="00700609" w:rsidRPr="009D56EB" w:rsidRDefault="00700609" w:rsidP="00681BA8">
            <w:pPr>
              <w:pStyle w:val="Tabletext"/>
              <w:jc w:val="center"/>
              <w:rPr>
                <w:sz w:val="20"/>
              </w:rPr>
            </w:pPr>
            <w:r w:rsidRPr="009D56EB">
              <w:rPr>
                <w:sz w:val="20"/>
              </w:rPr>
              <w:t>132.5</w:t>
            </w:r>
          </w:p>
        </w:tc>
        <w:tc>
          <w:tcPr>
            <w:tcW w:w="512" w:type="pct"/>
            <w:tcBorders>
              <w:top w:val="nil"/>
              <w:left w:val="single" w:sz="8" w:space="0" w:color="auto"/>
              <w:bottom w:val="single" w:sz="4" w:space="0" w:color="auto"/>
              <w:right w:val="single" w:sz="8" w:space="0" w:color="auto"/>
            </w:tcBorders>
            <w:shd w:val="clear" w:color="auto" w:fill="auto"/>
            <w:noWrap/>
            <w:vAlign w:val="center"/>
          </w:tcPr>
          <w:p w14:paraId="12F81484" w14:textId="77777777" w:rsidR="00700609" w:rsidRPr="009D56EB" w:rsidRDefault="00700609" w:rsidP="00681BA8">
            <w:pPr>
              <w:pStyle w:val="Tabletext"/>
              <w:jc w:val="center"/>
              <w:rPr>
                <w:sz w:val="20"/>
              </w:rPr>
            </w:pPr>
            <w:r w:rsidRPr="009D56EB">
              <w:rPr>
                <w:sz w:val="20"/>
              </w:rPr>
              <w:t>128.1</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hideMark/>
          </w:tcPr>
          <w:p w14:paraId="5237B623" w14:textId="77777777" w:rsidR="00700609" w:rsidRPr="009D56EB" w:rsidRDefault="00700609" w:rsidP="00681BA8">
            <w:pPr>
              <w:pStyle w:val="Tabletext"/>
              <w:jc w:val="center"/>
              <w:rPr>
                <w:sz w:val="20"/>
              </w:rPr>
            </w:pPr>
            <w:r w:rsidRPr="009D56EB">
              <w:rPr>
                <w:sz w:val="20"/>
              </w:rPr>
              <w:t>132.5</w:t>
            </w:r>
          </w:p>
        </w:tc>
        <w:tc>
          <w:tcPr>
            <w:tcW w:w="534" w:type="pct"/>
            <w:tcBorders>
              <w:top w:val="nil"/>
              <w:left w:val="single" w:sz="8" w:space="0" w:color="auto"/>
              <w:bottom w:val="single" w:sz="4" w:space="0" w:color="auto"/>
              <w:right w:val="single" w:sz="8" w:space="0" w:color="auto"/>
            </w:tcBorders>
            <w:shd w:val="clear" w:color="auto" w:fill="auto"/>
            <w:noWrap/>
            <w:vAlign w:val="center"/>
            <w:hideMark/>
          </w:tcPr>
          <w:p w14:paraId="3E5340AB" w14:textId="77777777" w:rsidR="00700609" w:rsidRPr="009D56EB" w:rsidRDefault="00700609" w:rsidP="00681BA8">
            <w:pPr>
              <w:pStyle w:val="Tabletext"/>
              <w:jc w:val="center"/>
              <w:rPr>
                <w:sz w:val="20"/>
              </w:rPr>
            </w:pPr>
            <w:r w:rsidRPr="009D56EB">
              <w:rPr>
                <w:sz w:val="20"/>
              </w:rPr>
              <w:t>128.1</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AE4C5CD" w14:textId="77777777" w:rsidR="00700609" w:rsidRPr="009D56EB" w:rsidRDefault="00700609" w:rsidP="00681BA8">
            <w:pPr>
              <w:pStyle w:val="Tabletext"/>
              <w:jc w:val="center"/>
              <w:rPr>
                <w:sz w:val="20"/>
              </w:rPr>
            </w:pPr>
            <w:r w:rsidRPr="009D56EB">
              <w:rPr>
                <w:sz w:val="20"/>
              </w:rPr>
              <w:t>132.5</w:t>
            </w:r>
          </w:p>
        </w:tc>
      </w:tr>
      <w:tr w:rsidR="00700609" w:rsidRPr="009D56EB" w14:paraId="38759EB6"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6CB487BF" w14:textId="77777777" w:rsidR="00700609" w:rsidRPr="009D56EB" w:rsidRDefault="00700609" w:rsidP="00681BA8">
            <w:pPr>
              <w:pStyle w:val="Tabletext"/>
              <w:rPr>
                <w:sz w:val="20"/>
              </w:rPr>
            </w:pPr>
            <w:r w:rsidRPr="009D56EB">
              <w:rPr>
                <w:sz w:val="20"/>
              </w:rPr>
              <w:t>Excess path loss (rain, fading, etc.) (dB)</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hideMark/>
          </w:tcPr>
          <w:p w14:paraId="64C88D71" w14:textId="77777777" w:rsidR="00700609" w:rsidRPr="009D56EB" w:rsidRDefault="00700609" w:rsidP="00681BA8">
            <w:pPr>
              <w:pStyle w:val="Tabletext"/>
              <w:jc w:val="center"/>
              <w:rPr>
                <w:sz w:val="20"/>
              </w:rPr>
            </w:pPr>
            <w:r w:rsidRPr="009D56EB">
              <w:rPr>
                <w:sz w:val="20"/>
              </w:rPr>
              <w:t>1.5</w:t>
            </w:r>
          </w:p>
        </w:tc>
        <w:tc>
          <w:tcPr>
            <w:tcW w:w="512" w:type="pct"/>
            <w:tcBorders>
              <w:top w:val="nil"/>
              <w:left w:val="single" w:sz="8" w:space="0" w:color="auto"/>
              <w:bottom w:val="single" w:sz="4" w:space="0" w:color="auto"/>
              <w:right w:val="single" w:sz="8" w:space="0" w:color="auto"/>
            </w:tcBorders>
            <w:shd w:val="clear" w:color="auto" w:fill="auto"/>
            <w:noWrap/>
            <w:vAlign w:val="center"/>
          </w:tcPr>
          <w:p w14:paraId="7CE706FB" w14:textId="77777777" w:rsidR="00700609" w:rsidRPr="009D56EB" w:rsidRDefault="00700609" w:rsidP="00681BA8">
            <w:pPr>
              <w:pStyle w:val="Tabletext"/>
              <w:jc w:val="center"/>
              <w:rPr>
                <w:sz w:val="20"/>
              </w:rPr>
            </w:pPr>
            <w:r w:rsidRPr="009D56EB">
              <w:rPr>
                <w:sz w:val="20"/>
              </w:rPr>
              <w:t>1.5</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hideMark/>
          </w:tcPr>
          <w:p w14:paraId="4603D0B5" w14:textId="77777777" w:rsidR="00700609" w:rsidRPr="009D56EB" w:rsidRDefault="00700609" w:rsidP="00681BA8">
            <w:pPr>
              <w:pStyle w:val="Tabletext"/>
              <w:jc w:val="center"/>
              <w:rPr>
                <w:sz w:val="20"/>
              </w:rPr>
            </w:pPr>
            <w:r w:rsidRPr="009D56EB">
              <w:rPr>
                <w:sz w:val="20"/>
              </w:rPr>
              <w:t>1.5</w:t>
            </w:r>
          </w:p>
        </w:tc>
        <w:tc>
          <w:tcPr>
            <w:tcW w:w="534" w:type="pct"/>
            <w:tcBorders>
              <w:top w:val="nil"/>
              <w:left w:val="single" w:sz="8" w:space="0" w:color="auto"/>
              <w:bottom w:val="single" w:sz="4" w:space="0" w:color="auto"/>
              <w:right w:val="single" w:sz="8" w:space="0" w:color="auto"/>
            </w:tcBorders>
            <w:shd w:val="clear" w:color="auto" w:fill="auto"/>
            <w:noWrap/>
            <w:vAlign w:val="center"/>
            <w:hideMark/>
          </w:tcPr>
          <w:p w14:paraId="1B6A7D9B" w14:textId="77777777" w:rsidR="00700609" w:rsidRPr="009D56EB" w:rsidRDefault="00700609" w:rsidP="00681BA8">
            <w:pPr>
              <w:pStyle w:val="Tabletext"/>
              <w:jc w:val="center"/>
              <w:rPr>
                <w:sz w:val="20"/>
              </w:rPr>
            </w:pPr>
            <w:r w:rsidRPr="009D56EB">
              <w:rPr>
                <w:sz w:val="20"/>
              </w:rPr>
              <w:t>1.5</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F617295" w14:textId="77777777" w:rsidR="00700609" w:rsidRPr="009D56EB" w:rsidRDefault="00700609" w:rsidP="00681BA8">
            <w:pPr>
              <w:pStyle w:val="Tabletext"/>
              <w:jc w:val="center"/>
              <w:rPr>
                <w:sz w:val="20"/>
              </w:rPr>
            </w:pPr>
            <w:r w:rsidRPr="009D56EB">
              <w:rPr>
                <w:sz w:val="20"/>
              </w:rPr>
              <w:t>1.5</w:t>
            </w:r>
          </w:p>
        </w:tc>
      </w:tr>
      <w:tr w:rsidR="00700609" w:rsidRPr="009D56EB" w14:paraId="6396983C"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13568B21" w14:textId="77777777" w:rsidR="00700609" w:rsidRPr="009D56EB" w:rsidRDefault="00700609" w:rsidP="00681BA8">
            <w:pPr>
              <w:pStyle w:val="Tabletext"/>
              <w:rPr>
                <w:sz w:val="20"/>
              </w:rPr>
            </w:pPr>
            <w:r w:rsidRPr="009D56EB">
              <w:rPr>
                <w:sz w:val="20"/>
              </w:rPr>
              <w:t>Ground station antenna gain (dBi)</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hideMark/>
          </w:tcPr>
          <w:p w14:paraId="7A2430C0" w14:textId="77777777" w:rsidR="00700609" w:rsidRPr="009D56EB" w:rsidRDefault="00700609" w:rsidP="00681BA8">
            <w:pPr>
              <w:pStyle w:val="Tabletext"/>
              <w:jc w:val="center"/>
              <w:rPr>
                <w:sz w:val="20"/>
              </w:rPr>
            </w:pPr>
            <w:r w:rsidRPr="009D56EB">
              <w:rPr>
                <w:sz w:val="20"/>
              </w:rPr>
              <w:t>8</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96F25B1" w14:textId="77777777" w:rsidR="00700609" w:rsidRPr="009D56EB" w:rsidRDefault="00700609" w:rsidP="00681BA8">
            <w:pPr>
              <w:pStyle w:val="Tabletext"/>
              <w:jc w:val="center"/>
              <w:rPr>
                <w:sz w:val="20"/>
              </w:rPr>
            </w:pPr>
            <w:r w:rsidRPr="009D56EB">
              <w:rPr>
                <w:sz w:val="20"/>
              </w:rPr>
              <w:t>2.15</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hideMark/>
          </w:tcPr>
          <w:p w14:paraId="1805DF87" w14:textId="77777777" w:rsidR="00700609" w:rsidRPr="009D56EB" w:rsidRDefault="00700609" w:rsidP="00681BA8">
            <w:pPr>
              <w:pStyle w:val="Tabletext"/>
              <w:jc w:val="center"/>
              <w:rPr>
                <w:sz w:val="20"/>
              </w:rPr>
            </w:pPr>
            <w:r w:rsidRPr="009D56EB">
              <w:rPr>
                <w:sz w:val="20"/>
              </w:rPr>
              <w:t>8</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45D0AEC" w14:textId="77777777" w:rsidR="00700609" w:rsidRPr="009D56EB" w:rsidRDefault="00700609" w:rsidP="00681BA8">
            <w:pPr>
              <w:pStyle w:val="Tabletext"/>
              <w:jc w:val="center"/>
              <w:rPr>
                <w:sz w:val="20"/>
              </w:rPr>
            </w:pPr>
            <w:r w:rsidRPr="009D56EB">
              <w:rPr>
                <w:sz w:val="20"/>
              </w:rPr>
              <w:t>2.15</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078C125" w14:textId="77777777" w:rsidR="00700609" w:rsidRPr="009D56EB" w:rsidRDefault="00700609" w:rsidP="00681BA8">
            <w:pPr>
              <w:pStyle w:val="Tabletext"/>
              <w:jc w:val="center"/>
              <w:rPr>
                <w:sz w:val="20"/>
              </w:rPr>
            </w:pPr>
            <w:r w:rsidRPr="009D56EB">
              <w:rPr>
                <w:sz w:val="20"/>
              </w:rPr>
              <w:t>11</w:t>
            </w:r>
          </w:p>
        </w:tc>
      </w:tr>
      <w:tr w:rsidR="00700609" w:rsidRPr="009D56EB" w14:paraId="0FBA4FFD"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235B0FF0" w14:textId="77777777" w:rsidR="00700609" w:rsidRPr="009D56EB" w:rsidRDefault="00700609" w:rsidP="00681BA8">
            <w:pPr>
              <w:pStyle w:val="Tabletext"/>
              <w:rPr>
                <w:sz w:val="20"/>
              </w:rPr>
            </w:pPr>
            <w:r w:rsidRPr="009D56EB">
              <w:rPr>
                <w:sz w:val="20"/>
              </w:rPr>
              <w:t>Ground station antenna pointing error (dB)</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tcPr>
          <w:p w14:paraId="777F315E" w14:textId="77777777" w:rsidR="00700609" w:rsidRPr="009D56EB" w:rsidRDefault="00700609" w:rsidP="00681BA8">
            <w:pPr>
              <w:pStyle w:val="Tabletext"/>
              <w:jc w:val="center"/>
              <w:rPr>
                <w:sz w:val="20"/>
              </w:rPr>
            </w:pPr>
            <w:r w:rsidRPr="009D56EB">
              <w:rPr>
                <w:sz w:val="20"/>
              </w:rPr>
              <w:t>0.5</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595D26A" w14:textId="77777777" w:rsidR="00700609" w:rsidRPr="009D56EB" w:rsidRDefault="00700609" w:rsidP="00681BA8">
            <w:pPr>
              <w:pStyle w:val="Tabletext"/>
              <w:jc w:val="center"/>
              <w:rPr>
                <w:sz w:val="20"/>
              </w:rPr>
            </w:pPr>
            <w:r w:rsidRPr="009D56EB">
              <w:rPr>
                <w:sz w:val="20"/>
              </w:rPr>
              <w:t>0.5</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tcPr>
          <w:p w14:paraId="3FB622AC" w14:textId="77777777" w:rsidR="00700609" w:rsidRPr="009D56EB" w:rsidRDefault="00700609" w:rsidP="00681BA8">
            <w:pPr>
              <w:pStyle w:val="Tabletext"/>
              <w:jc w:val="center"/>
              <w:rPr>
                <w:sz w:val="20"/>
              </w:rPr>
            </w:pPr>
            <w:r w:rsidRPr="009D56EB">
              <w:rPr>
                <w:sz w:val="20"/>
              </w:rPr>
              <w:t>0.5</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495CE51E" w14:textId="77777777" w:rsidR="00700609" w:rsidRPr="009D56EB" w:rsidRDefault="00700609" w:rsidP="00681BA8">
            <w:pPr>
              <w:pStyle w:val="Tabletext"/>
              <w:jc w:val="center"/>
              <w:rPr>
                <w:sz w:val="20"/>
              </w:rPr>
            </w:pPr>
            <w:r w:rsidRPr="009D56EB">
              <w:rPr>
                <w:sz w:val="20"/>
              </w:rPr>
              <w:t>0.5</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0BCE986D" w14:textId="77777777" w:rsidR="00700609" w:rsidRPr="009D56EB" w:rsidRDefault="00700609" w:rsidP="00681BA8">
            <w:pPr>
              <w:pStyle w:val="Tabletext"/>
              <w:jc w:val="center"/>
              <w:rPr>
                <w:sz w:val="20"/>
              </w:rPr>
            </w:pPr>
          </w:p>
        </w:tc>
      </w:tr>
      <w:tr w:rsidR="00700609" w:rsidRPr="009D56EB" w14:paraId="0BFBE3A9"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799B4DD6" w14:textId="77777777" w:rsidR="00700609" w:rsidRPr="009D56EB" w:rsidRDefault="00700609" w:rsidP="00681BA8">
            <w:pPr>
              <w:pStyle w:val="Tabletext"/>
              <w:rPr>
                <w:sz w:val="20"/>
              </w:rPr>
            </w:pPr>
            <w:r w:rsidRPr="009D56EB">
              <w:rPr>
                <w:sz w:val="20"/>
              </w:rPr>
              <w:t>Receiver system loss (antenna feed, cables, etc.) (dB)</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tcPr>
          <w:p w14:paraId="5605FC08" w14:textId="77777777" w:rsidR="00700609" w:rsidRPr="009D56EB" w:rsidRDefault="00700609" w:rsidP="00681BA8">
            <w:pPr>
              <w:pStyle w:val="Tabletext"/>
              <w:jc w:val="center"/>
              <w:rPr>
                <w:sz w:val="20"/>
              </w:rPr>
            </w:pPr>
            <w:r w:rsidRPr="009D56EB">
              <w:rPr>
                <w:sz w:val="20"/>
              </w:rPr>
              <w:t>2</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3EA2B152" w14:textId="77777777" w:rsidR="00700609" w:rsidRPr="009D56EB" w:rsidRDefault="00700609" w:rsidP="00681BA8">
            <w:pPr>
              <w:pStyle w:val="Tabletext"/>
              <w:jc w:val="center"/>
              <w:rPr>
                <w:sz w:val="20"/>
              </w:rPr>
            </w:pPr>
            <w:r w:rsidRPr="009D56EB">
              <w:rPr>
                <w:sz w:val="20"/>
              </w:rPr>
              <w:t>2</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tcPr>
          <w:p w14:paraId="02797EA5" w14:textId="77777777" w:rsidR="00700609" w:rsidRPr="009D56EB" w:rsidRDefault="00700609" w:rsidP="00681BA8">
            <w:pPr>
              <w:pStyle w:val="Tabletext"/>
              <w:jc w:val="center"/>
              <w:rPr>
                <w:sz w:val="20"/>
              </w:rPr>
            </w:pPr>
            <w:r w:rsidRPr="009D56EB">
              <w:rPr>
                <w:sz w:val="20"/>
              </w:rPr>
              <w:t>2</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09FC29FB" w14:textId="77777777" w:rsidR="00700609" w:rsidRPr="009D56EB" w:rsidRDefault="00700609" w:rsidP="00681BA8">
            <w:pPr>
              <w:pStyle w:val="Tabletext"/>
              <w:jc w:val="center"/>
              <w:rPr>
                <w:sz w:val="20"/>
              </w:rPr>
            </w:pPr>
            <w:r w:rsidRPr="009D56EB">
              <w:rPr>
                <w:sz w:val="20"/>
              </w:rPr>
              <w:t>2</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29E331D8" w14:textId="77777777" w:rsidR="00700609" w:rsidRPr="009D56EB" w:rsidRDefault="00700609" w:rsidP="00681BA8">
            <w:pPr>
              <w:pStyle w:val="Tabletext"/>
              <w:jc w:val="center"/>
              <w:rPr>
                <w:sz w:val="20"/>
              </w:rPr>
            </w:pPr>
          </w:p>
        </w:tc>
      </w:tr>
      <w:tr w:rsidR="00700609" w:rsidRPr="009D56EB" w14:paraId="0AD92B65"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59597776" w14:textId="77777777" w:rsidR="00700609" w:rsidRPr="009D56EB" w:rsidRDefault="00700609" w:rsidP="00681BA8">
            <w:pPr>
              <w:pStyle w:val="Tabletext"/>
              <w:rPr>
                <w:sz w:val="20"/>
              </w:rPr>
            </w:pPr>
            <w:r w:rsidRPr="009D56EB">
              <w:rPr>
                <w:sz w:val="20"/>
              </w:rPr>
              <w:t>Polarization mismatch loss (dB)</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tcPr>
          <w:p w14:paraId="5848E0BD" w14:textId="77777777" w:rsidR="00700609" w:rsidRPr="009D56EB" w:rsidRDefault="00700609" w:rsidP="00681BA8">
            <w:pPr>
              <w:pStyle w:val="Tabletext"/>
              <w:jc w:val="center"/>
              <w:rPr>
                <w:sz w:val="20"/>
              </w:rPr>
            </w:pPr>
            <w:r w:rsidRPr="009D56EB">
              <w:rPr>
                <w:sz w:val="20"/>
              </w:rPr>
              <w:t>0.5</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7EE2A659" w14:textId="77777777" w:rsidR="00700609" w:rsidRPr="009D56EB" w:rsidRDefault="00700609" w:rsidP="00681BA8">
            <w:pPr>
              <w:pStyle w:val="Tabletext"/>
              <w:jc w:val="center"/>
              <w:rPr>
                <w:sz w:val="20"/>
              </w:rPr>
            </w:pPr>
            <w:r w:rsidRPr="009D56EB">
              <w:rPr>
                <w:sz w:val="20"/>
              </w:rPr>
              <w:t>0.5</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tcPr>
          <w:p w14:paraId="58148F8E" w14:textId="77777777" w:rsidR="00700609" w:rsidRPr="009D56EB" w:rsidRDefault="00700609" w:rsidP="00681BA8">
            <w:pPr>
              <w:pStyle w:val="Tabletext"/>
              <w:jc w:val="center"/>
              <w:rPr>
                <w:sz w:val="20"/>
              </w:rPr>
            </w:pPr>
            <w:r w:rsidRPr="009D56EB">
              <w:rPr>
                <w:sz w:val="20"/>
              </w:rPr>
              <w:t>0.5</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27D411BB" w14:textId="77777777" w:rsidR="00700609" w:rsidRPr="009D56EB" w:rsidRDefault="00700609" w:rsidP="00681BA8">
            <w:pPr>
              <w:pStyle w:val="Tabletext"/>
              <w:jc w:val="center"/>
              <w:rPr>
                <w:sz w:val="20"/>
              </w:rPr>
            </w:pPr>
            <w:r w:rsidRPr="009D56EB">
              <w:rPr>
                <w:sz w:val="20"/>
              </w:rPr>
              <w:t>0.5</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0DB8EFEE" w14:textId="77777777" w:rsidR="00700609" w:rsidRPr="009D56EB" w:rsidRDefault="00700609" w:rsidP="00681BA8">
            <w:pPr>
              <w:pStyle w:val="Tabletext"/>
              <w:jc w:val="center"/>
              <w:rPr>
                <w:sz w:val="20"/>
              </w:rPr>
            </w:pPr>
          </w:p>
        </w:tc>
      </w:tr>
      <w:tr w:rsidR="00700609" w:rsidRPr="009D56EB" w14:paraId="795344C8"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4862826E" w14:textId="77777777" w:rsidR="00700609" w:rsidRPr="009D56EB" w:rsidRDefault="00700609" w:rsidP="00681BA8">
            <w:pPr>
              <w:pStyle w:val="Tabletext"/>
              <w:rPr>
                <w:sz w:val="20"/>
              </w:rPr>
            </w:pPr>
            <w:r w:rsidRPr="009D56EB">
              <w:rPr>
                <w:sz w:val="20"/>
              </w:rPr>
              <w:t>Received signal power (dBW)</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tcPr>
          <w:p w14:paraId="06328D68" w14:textId="77777777" w:rsidR="00700609" w:rsidRPr="009D56EB" w:rsidRDefault="00700609" w:rsidP="00681BA8">
            <w:pPr>
              <w:pStyle w:val="Tabletext"/>
              <w:jc w:val="center"/>
              <w:rPr>
                <w:sz w:val="20"/>
              </w:rPr>
            </w:pPr>
            <w:r w:rsidRPr="009D56EB">
              <w:rPr>
                <w:sz w:val="20"/>
              </w:rPr>
              <w:t>−133.0</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C678148" w14:textId="77777777" w:rsidR="00700609" w:rsidRPr="009D56EB" w:rsidRDefault="00700609" w:rsidP="00681BA8">
            <w:pPr>
              <w:pStyle w:val="Tabletext"/>
              <w:jc w:val="center"/>
              <w:rPr>
                <w:sz w:val="20"/>
              </w:rPr>
            </w:pPr>
            <w:r w:rsidRPr="009D56EB">
              <w:rPr>
                <w:sz w:val="20"/>
              </w:rPr>
              <w:t>−134</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tcPr>
          <w:p w14:paraId="09D79155" w14:textId="77777777" w:rsidR="00700609" w:rsidRPr="009D56EB" w:rsidRDefault="00700609" w:rsidP="00681BA8">
            <w:pPr>
              <w:pStyle w:val="Tabletext"/>
              <w:jc w:val="center"/>
              <w:rPr>
                <w:sz w:val="20"/>
              </w:rPr>
            </w:pPr>
            <w:r w:rsidRPr="009D56EB">
              <w:rPr>
                <w:sz w:val="20"/>
              </w:rPr>
              <w:t>−138.6</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2DEF2C1E" w14:textId="77777777" w:rsidR="00700609" w:rsidRPr="009D56EB" w:rsidRDefault="00700609" w:rsidP="00681BA8">
            <w:pPr>
              <w:pStyle w:val="Tabletext"/>
              <w:jc w:val="center"/>
              <w:rPr>
                <w:sz w:val="20"/>
              </w:rPr>
            </w:pPr>
            <w:r w:rsidRPr="009D56EB">
              <w:rPr>
                <w:sz w:val="20"/>
              </w:rPr>
              <w:t>−137.4</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4B7C4441" w14:textId="77777777" w:rsidR="00700609" w:rsidRPr="009D56EB" w:rsidRDefault="00700609" w:rsidP="00681BA8">
            <w:pPr>
              <w:pStyle w:val="Tabletext"/>
              <w:jc w:val="center"/>
              <w:rPr>
                <w:sz w:val="20"/>
              </w:rPr>
            </w:pPr>
          </w:p>
        </w:tc>
      </w:tr>
      <w:tr w:rsidR="00700609" w:rsidRPr="009D56EB" w14:paraId="00014EC0"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0A829E53" w14:textId="77777777" w:rsidR="00700609" w:rsidRPr="009D56EB" w:rsidRDefault="00700609" w:rsidP="00681BA8">
            <w:pPr>
              <w:pStyle w:val="Tabletext"/>
              <w:rPr>
                <w:sz w:val="20"/>
              </w:rPr>
            </w:pPr>
            <w:r w:rsidRPr="009D56EB">
              <w:rPr>
                <w:sz w:val="20"/>
              </w:rPr>
              <w:t>Ground receiver reference bandwidth (kHz)</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tcPr>
          <w:p w14:paraId="50009EC2" w14:textId="77777777" w:rsidR="00700609" w:rsidRPr="009D56EB" w:rsidRDefault="00700609" w:rsidP="00681BA8">
            <w:pPr>
              <w:pStyle w:val="Tabletext"/>
              <w:jc w:val="center"/>
              <w:rPr>
                <w:sz w:val="20"/>
              </w:rPr>
            </w:pPr>
            <w:r w:rsidRPr="009D56EB">
              <w:rPr>
                <w:sz w:val="20"/>
              </w:rPr>
              <w:t>300</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42D752B1" w14:textId="77777777" w:rsidR="00700609" w:rsidRPr="009D56EB" w:rsidRDefault="00700609" w:rsidP="00681BA8">
            <w:pPr>
              <w:pStyle w:val="Tabletext"/>
              <w:jc w:val="center"/>
              <w:rPr>
                <w:sz w:val="20"/>
              </w:rPr>
            </w:pPr>
            <w:r w:rsidRPr="009D56EB">
              <w:rPr>
                <w:sz w:val="20"/>
              </w:rPr>
              <w:t>6</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tcPr>
          <w:p w14:paraId="598C1E73" w14:textId="77777777" w:rsidR="00700609" w:rsidRPr="009D56EB" w:rsidRDefault="00700609" w:rsidP="00681BA8">
            <w:pPr>
              <w:pStyle w:val="Tabletext"/>
              <w:jc w:val="center"/>
              <w:rPr>
                <w:sz w:val="20"/>
              </w:rPr>
            </w:pPr>
            <w:r w:rsidRPr="009D56EB">
              <w:rPr>
                <w:sz w:val="20"/>
              </w:rPr>
              <w:t>11</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F790CEC" w14:textId="77777777" w:rsidR="00700609" w:rsidRPr="009D56EB" w:rsidRDefault="00700609" w:rsidP="00681BA8">
            <w:pPr>
              <w:pStyle w:val="Tabletext"/>
              <w:jc w:val="center"/>
              <w:rPr>
                <w:sz w:val="20"/>
              </w:rPr>
            </w:pPr>
            <w:r w:rsidRPr="009D56EB">
              <w:rPr>
                <w:sz w:val="20"/>
              </w:rPr>
              <w:t>17</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11F1B033" w14:textId="77777777" w:rsidR="00700609" w:rsidRPr="009D56EB" w:rsidRDefault="00700609" w:rsidP="00681BA8">
            <w:pPr>
              <w:pStyle w:val="Tabletext"/>
              <w:jc w:val="center"/>
              <w:rPr>
                <w:sz w:val="20"/>
              </w:rPr>
            </w:pPr>
          </w:p>
        </w:tc>
      </w:tr>
      <w:tr w:rsidR="00700609" w:rsidRPr="009D56EB" w14:paraId="1681D2D6"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4D36D465" w14:textId="77777777" w:rsidR="00700609" w:rsidRPr="009D56EB" w:rsidRDefault="00700609" w:rsidP="00681BA8">
            <w:pPr>
              <w:pStyle w:val="Tabletext"/>
              <w:rPr>
                <w:sz w:val="20"/>
              </w:rPr>
            </w:pPr>
            <w:r w:rsidRPr="009D56EB">
              <w:rPr>
                <w:sz w:val="20"/>
              </w:rPr>
              <w:t>Ground receiver reference bandwidth (dBHz)</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tcPr>
          <w:p w14:paraId="4B7F0CD2" w14:textId="77777777" w:rsidR="00700609" w:rsidRPr="009D56EB" w:rsidRDefault="00700609" w:rsidP="00681BA8">
            <w:pPr>
              <w:pStyle w:val="Tabletext"/>
              <w:jc w:val="center"/>
              <w:rPr>
                <w:sz w:val="20"/>
              </w:rPr>
            </w:pPr>
            <w:r w:rsidRPr="009D56EB">
              <w:rPr>
                <w:sz w:val="20"/>
              </w:rPr>
              <w:t>54.8</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41BABBA" w14:textId="77777777" w:rsidR="00700609" w:rsidRPr="009D56EB" w:rsidRDefault="00700609" w:rsidP="00681BA8">
            <w:pPr>
              <w:pStyle w:val="Tabletext"/>
              <w:jc w:val="center"/>
              <w:rPr>
                <w:sz w:val="20"/>
              </w:rPr>
            </w:pPr>
            <w:r w:rsidRPr="009D56EB">
              <w:rPr>
                <w:sz w:val="20"/>
              </w:rPr>
              <w:t>37.8</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tcPr>
          <w:p w14:paraId="1497FDCD" w14:textId="77777777" w:rsidR="00700609" w:rsidRPr="009D56EB" w:rsidRDefault="00700609" w:rsidP="00681BA8">
            <w:pPr>
              <w:pStyle w:val="Tabletext"/>
              <w:jc w:val="center"/>
              <w:rPr>
                <w:sz w:val="20"/>
              </w:rPr>
            </w:pPr>
            <w:r w:rsidRPr="009D56EB">
              <w:rPr>
                <w:sz w:val="20"/>
              </w:rPr>
              <w:t>40.4</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25F06549" w14:textId="77777777" w:rsidR="00700609" w:rsidRPr="009D56EB" w:rsidRDefault="00700609" w:rsidP="00681BA8">
            <w:pPr>
              <w:pStyle w:val="Tabletext"/>
              <w:jc w:val="center"/>
              <w:rPr>
                <w:sz w:val="20"/>
              </w:rPr>
            </w:pPr>
            <w:r w:rsidRPr="009D56EB">
              <w:rPr>
                <w:sz w:val="20"/>
              </w:rPr>
              <w:t>42.3</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126A63C2" w14:textId="77777777" w:rsidR="00700609" w:rsidRPr="009D56EB" w:rsidRDefault="00700609" w:rsidP="00681BA8">
            <w:pPr>
              <w:pStyle w:val="Tabletext"/>
              <w:jc w:val="center"/>
              <w:rPr>
                <w:sz w:val="20"/>
              </w:rPr>
            </w:pPr>
          </w:p>
        </w:tc>
      </w:tr>
      <w:tr w:rsidR="00700609" w:rsidRPr="009D56EB" w14:paraId="67C5370A"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0D82088D" w14:textId="77777777" w:rsidR="00700609" w:rsidRPr="009D56EB" w:rsidRDefault="00700609" w:rsidP="00681BA8">
            <w:pPr>
              <w:pStyle w:val="Tabletext"/>
              <w:rPr>
                <w:sz w:val="20"/>
              </w:rPr>
            </w:pPr>
            <w:r w:rsidRPr="009D56EB">
              <w:rPr>
                <w:sz w:val="20"/>
              </w:rPr>
              <w:t xml:space="preserve">Received energy per Hz, </w:t>
            </w:r>
            <w:r w:rsidRPr="009D56EB">
              <w:rPr>
                <w:i/>
                <w:iCs/>
                <w:sz w:val="20"/>
              </w:rPr>
              <w:t>C</w:t>
            </w:r>
            <w:r w:rsidRPr="009D56EB">
              <w:rPr>
                <w:sz w:val="20"/>
                <w:vertAlign w:val="subscript"/>
              </w:rPr>
              <w:t>0</w:t>
            </w:r>
            <w:r w:rsidRPr="009D56EB">
              <w:rPr>
                <w:sz w:val="20"/>
              </w:rPr>
              <w:t xml:space="preserve"> (dB(W/Hz))</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tcPr>
          <w:p w14:paraId="508ED486" w14:textId="77777777" w:rsidR="00700609" w:rsidRPr="009D56EB" w:rsidRDefault="00700609" w:rsidP="00681BA8">
            <w:pPr>
              <w:pStyle w:val="Tabletext"/>
              <w:jc w:val="center"/>
              <w:rPr>
                <w:sz w:val="20"/>
              </w:rPr>
            </w:pPr>
            <w:r w:rsidRPr="009D56EB">
              <w:rPr>
                <w:sz w:val="20"/>
              </w:rPr>
              <w:t>−187.8</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127C0794" w14:textId="77777777" w:rsidR="00700609" w:rsidRPr="009D56EB" w:rsidRDefault="00700609" w:rsidP="00681BA8">
            <w:pPr>
              <w:pStyle w:val="Tabletext"/>
              <w:jc w:val="center"/>
              <w:rPr>
                <w:sz w:val="20"/>
              </w:rPr>
            </w:pPr>
            <w:r w:rsidRPr="009D56EB">
              <w:rPr>
                <w:sz w:val="20"/>
              </w:rPr>
              <w:t>−172.2</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tcPr>
          <w:p w14:paraId="3B3B65A6" w14:textId="77777777" w:rsidR="00700609" w:rsidRPr="009D56EB" w:rsidRDefault="00700609" w:rsidP="00681BA8">
            <w:pPr>
              <w:pStyle w:val="Tabletext"/>
              <w:jc w:val="center"/>
              <w:rPr>
                <w:sz w:val="20"/>
              </w:rPr>
            </w:pPr>
            <w:r w:rsidRPr="009D56EB">
              <w:rPr>
                <w:sz w:val="20"/>
              </w:rPr>
              <w:t>−179.0</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70B76393" w14:textId="77777777" w:rsidR="00700609" w:rsidRPr="009D56EB" w:rsidRDefault="00700609" w:rsidP="00681BA8">
            <w:pPr>
              <w:pStyle w:val="Tabletext"/>
              <w:jc w:val="center"/>
              <w:rPr>
                <w:sz w:val="20"/>
              </w:rPr>
            </w:pPr>
            <w:r w:rsidRPr="009D56EB">
              <w:rPr>
                <w:sz w:val="20"/>
              </w:rPr>
              <w:t>−179.7</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4673E92D" w14:textId="77777777" w:rsidR="00700609" w:rsidRPr="009D56EB" w:rsidRDefault="00700609" w:rsidP="00681BA8">
            <w:pPr>
              <w:pStyle w:val="Tabletext"/>
              <w:jc w:val="center"/>
              <w:rPr>
                <w:sz w:val="20"/>
              </w:rPr>
            </w:pPr>
          </w:p>
        </w:tc>
      </w:tr>
      <w:tr w:rsidR="00700609" w:rsidRPr="009D56EB" w14:paraId="77FA9EA5"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13DD76B8" w14:textId="77777777" w:rsidR="00700609" w:rsidRPr="009D56EB" w:rsidRDefault="00700609" w:rsidP="00681BA8">
            <w:pPr>
              <w:pStyle w:val="Tabletext"/>
              <w:rPr>
                <w:sz w:val="20"/>
              </w:rPr>
            </w:pPr>
            <w:r w:rsidRPr="009D56EB">
              <w:rPr>
                <w:sz w:val="20"/>
              </w:rPr>
              <w:t>Ground receiver system noise temperature (K)</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tcPr>
          <w:p w14:paraId="32201C87" w14:textId="77777777" w:rsidR="00700609" w:rsidRPr="009D56EB" w:rsidRDefault="00700609" w:rsidP="00681BA8">
            <w:pPr>
              <w:pStyle w:val="Tabletext"/>
              <w:jc w:val="center"/>
              <w:rPr>
                <w:sz w:val="20"/>
              </w:rPr>
            </w:pPr>
            <w:r w:rsidRPr="009D56EB">
              <w:rPr>
                <w:sz w:val="20"/>
              </w:rPr>
              <w:t>600</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14F33CEA" w14:textId="77777777" w:rsidR="00700609" w:rsidRPr="009D56EB" w:rsidRDefault="00700609" w:rsidP="00681BA8">
            <w:pPr>
              <w:pStyle w:val="Tabletext"/>
              <w:jc w:val="center"/>
              <w:rPr>
                <w:sz w:val="20"/>
              </w:rPr>
            </w:pPr>
            <w:r w:rsidRPr="009D56EB">
              <w:rPr>
                <w:sz w:val="20"/>
              </w:rPr>
              <w:t>600</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tcPr>
          <w:p w14:paraId="527496A0" w14:textId="77777777" w:rsidR="00700609" w:rsidRPr="009D56EB" w:rsidRDefault="00700609" w:rsidP="00681BA8">
            <w:pPr>
              <w:pStyle w:val="Tabletext"/>
              <w:jc w:val="center"/>
              <w:rPr>
                <w:sz w:val="20"/>
              </w:rPr>
            </w:pPr>
            <w:r w:rsidRPr="009D56EB">
              <w:rPr>
                <w:sz w:val="20"/>
              </w:rPr>
              <w:t>170</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DC36C1D" w14:textId="77777777" w:rsidR="00700609" w:rsidRPr="009D56EB" w:rsidRDefault="00700609" w:rsidP="00681BA8">
            <w:pPr>
              <w:pStyle w:val="Tabletext"/>
              <w:jc w:val="center"/>
              <w:rPr>
                <w:sz w:val="20"/>
              </w:rPr>
            </w:pPr>
            <w:r w:rsidRPr="009D56EB">
              <w:rPr>
                <w:sz w:val="20"/>
              </w:rPr>
              <w:t>255</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2D177545" w14:textId="77777777" w:rsidR="00700609" w:rsidRPr="009D56EB" w:rsidRDefault="00700609" w:rsidP="00681BA8">
            <w:pPr>
              <w:pStyle w:val="Tabletext"/>
              <w:jc w:val="center"/>
              <w:rPr>
                <w:sz w:val="20"/>
              </w:rPr>
            </w:pPr>
          </w:p>
        </w:tc>
      </w:tr>
      <w:tr w:rsidR="00700609" w:rsidRPr="009D56EB" w14:paraId="1811071C"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64A52430" w14:textId="77777777" w:rsidR="00700609" w:rsidRPr="009D56EB" w:rsidRDefault="00700609" w:rsidP="00681BA8">
            <w:pPr>
              <w:pStyle w:val="Tabletext"/>
              <w:rPr>
                <w:sz w:val="20"/>
              </w:rPr>
            </w:pPr>
            <w:r w:rsidRPr="009D56EB">
              <w:rPr>
                <w:sz w:val="20"/>
              </w:rPr>
              <w:t>Ground receiver system noise power (dBW)</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tcPr>
          <w:p w14:paraId="2E6A3635" w14:textId="77777777" w:rsidR="00700609" w:rsidRPr="009D56EB" w:rsidRDefault="00700609" w:rsidP="00681BA8">
            <w:pPr>
              <w:pStyle w:val="Tabletext"/>
              <w:jc w:val="center"/>
              <w:rPr>
                <w:sz w:val="20"/>
              </w:rPr>
            </w:pPr>
            <w:r w:rsidRPr="009D56EB">
              <w:rPr>
                <w:sz w:val="20"/>
              </w:rPr>
              <w:t>−146.0</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3BAE50E4" w14:textId="77777777" w:rsidR="00700609" w:rsidRPr="009D56EB" w:rsidRDefault="00700609" w:rsidP="00681BA8">
            <w:pPr>
              <w:pStyle w:val="Tabletext"/>
              <w:jc w:val="center"/>
              <w:rPr>
                <w:sz w:val="20"/>
              </w:rPr>
            </w:pPr>
            <w:r w:rsidRPr="009D56EB">
              <w:rPr>
                <w:sz w:val="20"/>
              </w:rPr>
              <w:t>−163.0</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tcPr>
          <w:p w14:paraId="2962192A" w14:textId="77777777" w:rsidR="00700609" w:rsidRPr="009D56EB" w:rsidRDefault="00700609" w:rsidP="00681BA8">
            <w:pPr>
              <w:pStyle w:val="Tabletext"/>
              <w:jc w:val="center"/>
              <w:rPr>
                <w:sz w:val="20"/>
              </w:rPr>
            </w:pPr>
            <w:r w:rsidRPr="009D56EB">
              <w:rPr>
                <w:sz w:val="20"/>
              </w:rPr>
              <w:t>−165.9</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336C2E09" w14:textId="77777777" w:rsidR="00700609" w:rsidRPr="009D56EB" w:rsidRDefault="00700609" w:rsidP="00681BA8">
            <w:pPr>
              <w:pStyle w:val="Tabletext"/>
              <w:jc w:val="center"/>
              <w:rPr>
                <w:sz w:val="20"/>
              </w:rPr>
            </w:pPr>
            <w:r w:rsidRPr="009D56EB">
              <w:rPr>
                <w:sz w:val="20"/>
              </w:rPr>
              <w:t>−162.2</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582ED793" w14:textId="77777777" w:rsidR="00700609" w:rsidRPr="009D56EB" w:rsidRDefault="00700609" w:rsidP="00681BA8">
            <w:pPr>
              <w:pStyle w:val="Tabletext"/>
              <w:jc w:val="center"/>
              <w:rPr>
                <w:sz w:val="20"/>
              </w:rPr>
            </w:pPr>
          </w:p>
        </w:tc>
      </w:tr>
      <w:tr w:rsidR="00700609" w:rsidRPr="009D56EB" w14:paraId="220CF258"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604A7571" w14:textId="77777777" w:rsidR="00700609" w:rsidRPr="009D56EB" w:rsidRDefault="00700609" w:rsidP="00681BA8">
            <w:pPr>
              <w:pStyle w:val="Tabletext"/>
              <w:rPr>
                <w:sz w:val="20"/>
              </w:rPr>
            </w:pPr>
            <w:r w:rsidRPr="009D56EB">
              <w:rPr>
                <w:sz w:val="20"/>
              </w:rPr>
              <w:t xml:space="preserve">Ground Receiver noise spectral density, </w:t>
            </w:r>
            <w:r w:rsidRPr="009D56EB">
              <w:rPr>
                <w:i/>
                <w:iCs/>
                <w:sz w:val="20"/>
              </w:rPr>
              <w:t>N</w:t>
            </w:r>
            <w:r w:rsidRPr="009D56EB">
              <w:rPr>
                <w:sz w:val="20"/>
                <w:vertAlign w:val="subscript"/>
              </w:rPr>
              <w:t>0</w:t>
            </w:r>
            <w:r w:rsidRPr="009D56EB">
              <w:rPr>
                <w:sz w:val="20"/>
              </w:rPr>
              <w:t xml:space="preserve"> (dB(W/Hz))</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tcPr>
          <w:p w14:paraId="238859B4" w14:textId="77777777" w:rsidR="00700609" w:rsidRPr="009D56EB" w:rsidRDefault="00700609" w:rsidP="00681BA8">
            <w:pPr>
              <w:pStyle w:val="Tabletext"/>
              <w:jc w:val="center"/>
              <w:rPr>
                <w:sz w:val="20"/>
              </w:rPr>
            </w:pPr>
            <w:r w:rsidRPr="009D56EB">
              <w:rPr>
                <w:sz w:val="20"/>
              </w:rPr>
              <w:t>−200.8</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40E60636" w14:textId="77777777" w:rsidR="00700609" w:rsidRPr="009D56EB" w:rsidRDefault="00700609" w:rsidP="00681BA8">
            <w:pPr>
              <w:pStyle w:val="Tabletext"/>
              <w:jc w:val="center"/>
              <w:rPr>
                <w:sz w:val="20"/>
              </w:rPr>
            </w:pPr>
            <w:r w:rsidRPr="009D56EB">
              <w:rPr>
                <w:sz w:val="20"/>
              </w:rPr>
              <w:t>−200.8</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tcPr>
          <w:p w14:paraId="53892BD2" w14:textId="77777777" w:rsidR="00700609" w:rsidRPr="009D56EB" w:rsidRDefault="00700609" w:rsidP="00681BA8">
            <w:pPr>
              <w:pStyle w:val="Tabletext"/>
              <w:jc w:val="center"/>
              <w:rPr>
                <w:sz w:val="20"/>
              </w:rPr>
            </w:pPr>
            <w:r w:rsidRPr="009D56EB">
              <w:rPr>
                <w:sz w:val="20"/>
              </w:rPr>
              <w:t xml:space="preserve">−206.3 </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062E7D6" w14:textId="77777777" w:rsidR="00700609" w:rsidRPr="009D56EB" w:rsidRDefault="00700609" w:rsidP="00681BA8">
            <w:pPr>
              <w:pStyle w:val="Tabletext"/>
              <w:jc w:val="center"/>
              <w:rPr>
                <w:sz w:val="20"/>
              </w:rPr>
            </w:pPr>
            <w:r w:rsidRPr="009D56EB">
              <w:rPr>
                <w:sz w:val="20"/>
              </w:rPr>
              <w:t>−204.5</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7D64E0B1" w14:textId="77777777" w:rsidR="00700609" w:rsidRPr="009D56EB" w:rsidRDefault="00700609" w:rsidP="00681BA8">
            <w:pPr>
              <w:pStyle w:val="Tabletext"/>
              <w:jc w:val="center"/>
              <w:rPr>
                <w:sz w:val="20"/>
              </w:rPr>
            </w:pPr>
          </w:p>
        </w:tc>
      </w:tr>
      <w:tr w:rsidR="00700609" w:rsidRPr="009D56EB" w14:paraId="32979294"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65B9E02D" w14:textId="77777777" w:rsidR="00700609" w:rsidRPr="009D56EB" w:rsidRDefault="00700609" w:rsidP="00681BA8">
            <w:pPr>
              <w:pStyle w:val="Tabletext"/>
              <w:rPr>
                <w:sz w:val="20"/>
              </w:rPr>
            </w:pPr>
            <w:r w:rsidRPr="009D56EB">
              <w:rPr>
                <w:sz w:val="20"/>
              </w:rPr>
              <w:t xml:space="preserve">Minimum </w:t>
            </w:r>
            <w:r w:rsidRPr="009D56EB">
              <w:rPr>
                <w:i/>
                <w:iCs/>
                <w:sz w:val="20"/>
              </w:rPr>
              <w:t>C</w:t>
            </w:r>
            <w:r w:rsidRPr="009D56EB">
              <w:rPr>
                <w:sz w:val="20"/>
                <w:vertAlign w:val="subscript"/>
              </w:rPr>
              <w:t>0</w:t>
            </w:r>
            <w:r w:rsidRPr="009D56EB">
              <w:rPr>
                <w:sz w:val="20"/>
              </w:rPr>
              <w:t>/</w:t>
            </w:r>
            <w:r w:rsidRPr="009D56EB">
              <w:rPr>
                <w:i/>
                <w:iCs/>
                <w:sz w:val="20"/>
              </w:rPr>
              <w:t>N</w:t>
            </w:r>
            <w:r w:rsidRPr="009D56EB">
              <w:rPr>
                <w:sz w:val="20"/>
                <w:vertAlign w:val="subscript"/>
              </w:rPr>
              <w:t>0</w:t>
            </w:r>
            <w:r w:rsidRPr="009D56EB">
              <w:rPr>
                <w:sz w:val="20"/>
              </w:rPr>
              <w:t xml:space="preserve"> (dB)</w:t>
            </w:r>
          </w:p>
        </w:tc>
        <w:tc>
          <w:tcPr>
            <w:tcW w:w="358" w:type="pct"/>
            <w:tcBorders>
              <w:top w:val="single" w:sz="4" w:space="0" w:color="auto"/>
              <w:left w:val="nil"/>
              <w:bottom w:val="single" w:sz="4" w:space="0" w:color="auto"/>
              <w:right w:val="single" w:sz="8" w:space="0" w:color="auto"/>
            </w:tcBorders>
            <w:shd w:val="clear" w:color="auto" w:fill="auto"/>
            <w:noWrap/>
            <w:vAlign w:val="center"/>
          </w:tcPr>
          <w:p w14:paraId="26D9FFC2" w14:textId="77777777" w:rsidR="00700609" w:rsidRPr="009D56EB" w:rsidRDefault="00700609" w:rsidP="00681BA8">
            <w:pPr>
              <w:pStyle w:val="Tabletext"/>
              <w:jc w:val="center"/>
              <w:rPr>
                <w:sz w:val="20"/>
              </w:rPr>
            </w:pPr>
            <w:r w:rsidRPr="009D56EB">
              <w:rPr>
                <w:sz w:val="20"/>
              </w:rPr>
              <w:t>7</w:t>
            </w:r>
          </w:p>
        </w:tc>
        <w:tc>
          <w:tcPr>
            <w:tcW w:w="358" w:type="pct"/>
            <w:tcBorders>
              <w:top w:val="single" w:sz="4" w:space="0" w:color="auto"/>
              <w:left w:val="nil"/>
              <w:bottom w:val="single" w:sz="4" w:space="0" w:color="auto"/>
              <w:right w:val="single" w:sz="8" w:space="0" w:color="auto"/>
            </w:tcBorders>
            <w:shd w:val="clear" w:color="auto" w:fill="auto"/>
            <w:vAlign w:val="center"/>
          </w:tcPr>
          <w:p w14:paraId="14356E0D" w14:textId="77777777" w:rsidR="00700609" w:rsidRPr="009D56EB" w:rsidRDefault="00700609" w:rsidP="00681BA8">
            <w:pPr>
              <w:pStyle w:val="Tabletext"/>
              <w:jc w:val="center"/>
              <w:rPr>
                <w:sz w:val="20"/>
              </w:rPr>
            </w:pPr>
            <w:r w:rsidRPr="009D56EB">
              <w:rPr>
                <w:sz w:val="20"/>
              </w:rPr>
              <w:t>12</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0CBA184" w14:textId="77777777" w:rsidR="00700609" w:rsidRPr="009D56EB" w:rsidRDefault="00700609" w:rsidP="00681BA8">
            <w:pPr>
              <w:pStyle w:val="Tabletext"/>
              <w:jc w:val="center"/>
              <w:rPr>
                <w:sz w:val="20"/>
              </w:rPr>
            </w:pPr>
            <w:r w:rsidRPr="009D56EB">
              <w:rPr>
                <w:sz w:val="20"/>
              </w:rPr>
              <w:t>12</w:t>
            </w:r>
          </w:p>
        </w:tc>
        <w:tc>
          <w:tcPr>
            <w:tcW w:w="358" w:type="pct"/>
            <w:tcBorders>
              <w:top w:val="single" w:sz="4" w:space="0" w:color="auto"/>
              <w:left w:val="nil"/>
              <w:bottom w:val="single" w:sz="4" w:space="0" w:color="auto"/>
              <w:right w:val="single" w:sz="8" w:space="0" w:color="auto"/>
            </w:tcBorders>
            <w:shd w:val="clear" w:color="auto" w:fill="auto"/>
            <w:noWrap/>
            <w:vAlign w:val="center"/>
          </w:tcPr>
          <w:p w14:paraId="7F003903" w14:textId="77777777" w:rsidR="00700609" w:rsidRPr="009D56EB" w:rsidRDefault="00700609" w:rsidP="00681BA8">
            <w:pPr>
              <w:pStyle w:val="Tabletext"/>
              <w:jc w:val="center"/>
              <w:rPr>
                <w:sz w:val="20"/>
              </w:rPr>
            </w:pPr>
            <w:r w:rsidRPr="009D56EB">
              <w:rPr>
                <w:sz w:val="20"/>
              </w:rPr>
              <w:t>7</w:t>
            </w:r>
          </w:p>
        </w:tc>
        <w:tc>
          <w:tcPr>
            <w:tcW w:w="358" w:type="pct"/>
            <w:tcBorders>
              <w:top w:val="single" w:sz="4" w:space="0" w:color="auto"/>
              <w:left w:val="nil"/>
              <w:bottom w:val="single" w:sz="4" w:space="0" w:color="auto"/>
              <w:right w:val="single" w:sz="8" w:space="0" w:color="auto"/>
            </w:tcBorders>
            <w:shd w:val="clear" w:color="auto" w:fill="auto"/>
            <w:vAlign w:val="center"/>
          </w:tcPr>
          <w:p w14:paraId="46983627" w14:textId="77777777" w:rsidR="00700609" w:rsidRPr="009D56EB" w:rsidRDefault="00700609" w:rsidP="00681BA8">
            <w:pPr>
              <w:pStyle w:val="Tabletext"/>
              <w:jc w:val="center"/>
              <w:rPr>
                <w:sz w:val="20"/>
              </w:rPr>
            </w:pPr>
            <w:r w:rsidRPr="009D56EB">
              <w:rPr>
                <w:sz w:val="20"/>
              </w:rPr>
              <w:t>12</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8625EFE" w14:textId="77777777" w:rsidR="00700609" w:rsidRPr="009D56EB" w:rsidRDefault="00700609" w:rsidP="00681BA8">
            <w:pPr>
              <w:pStyle w:val="Tabletext"/>
              <w:jc w:val="center"/>
              <w:rPr>
                <w:sz w:val="20"/>
              </w:rPr>
            </w:pPr>
            <w:r w:rsidRPr="009D56EB">
              <w:rPr>
                <w:sz w:val="20"/>
              </w:rPr>
              <w:t>12</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50E31488" w14:textId="77777777" w:rsidR="00700609" w:rsidRPr="009D56EB" w:rsidRDefault="00700609" w:rsidP="00681BA8">
            <w:pPr>
              <w:pStyle w:val="Tabletext"/>
              <w:jc w:val="center"/>
              <w:rPr>
                <w:sz w:val="20"/>
              </w:rPr>
            </w:pPr>
          </w:p>
        </w:tc>
      </w:tr>
      <w:tr w:rsidR="00700609" w:rsidRPr="009D56EB" w14:paraId="23920BFA"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7BDF0430" w14:textId="77777777" w:rsidR="00700609" w:rsidRPr="009D56EB" w:rsidRDefault="00700609" w:rsidP="00681BA8">
            <w:pPr>
              <w:pStyle w:val="Tabletext"/>
              <w:rPr>
                <w:sz w:val="20"/>
              </w:rPr>
            </w:pPr>
            <w:r w:rsidRPr="009D56EB">
              <w:rPr>
                <w:sz w:val="20"/>
              </w:rPr>
              <w:t xml:space="preserve">Actual </w:t>
            </w:r>
            <w:r w:rsidRPr="009D56EB">
              <w:rPr>
                <w:i/>
                <w:iCs/>
                <w:sz w:val="20"/>
              </w:rPr>
              <w:t>C</w:t>
            </w:r>
            <w:r w:rsidRPr="009D56EB">
              <w:rPr>
                <w:sz w:val="20"/>
                <w:vertAlign w:val="subscript"/>
              </w:rPr>
              <w:t>0</w:t>
            </w:r>
            <w:r w:rsidRPr="009D56EB">
              <w:rPr>
                <w:sz w:val="20"/>
              </w:rPr>
              <w:t>/</w:t>
            </w:r>
            <w:r w:rsidRPr="009D56EB">
              <w:rPr>
                <w:i/>
                <w:iCs/>
                <w:sz w:val="20"/>
              </w:rPr>
              <w:t>N</w:t>
            </w:r>
            <w:r w:rsidRPr="009D56EB">
              <w:rPr>
                <w:sz w:val="20"/>
                <w:vertAlign w:val="subscript"/>
              </w:rPr>
              <w:t>0</w:t>
            </w:r>
            <w:r w:rsidRPr="009D56EB">
              <w:rPr>
                <w:sz w:val="20"/>
              </w:rPr>
              <w:t xml:space="preserve"> for flight (dB)</w:t>
            </w:r>
          </w:p>
        </w:tc>
        <w:tc>
          <w:tcPr>
            <w:tcW w:w="715" w:type="pct"/>
            <w:gridSpan w:val="2"/>
            <w:tcBorders>
              <w:top w:val="single" w:sz="4" w:space="0" w:color="auto"/>
              <w:left w:val="nil"/>
              <w:bottom w:val="single" w:sz="4" w:space="0" w:color="auto"/>
              <w:right w:val="single" w:sz="8" w:space="0" w:color="auto"/>
            </w:tcBorders>
            <w:shd w:val="clear" w:color="auto" w:fill="auto"/>
            <w:noWrap/>
            <w:vAlign w:val="center"/>
          </w:tcPr>
          <w:p w14:paraId="35B0B021" w14:textId="77777777" w:rsidR="00700609" w:rsidRPr="009D56EB" w:rsidRDefault="00700609" w:rsidP="00681BA8">
            <w:pPr>
              <w:pStyle w:val="Tabletext"/>
              <w:jc w:val="center"/>
              <w:rPr>
                <w:sz w:val="20"/>
              </w:rPr>
            </w:pPr>
            <w:r w:rsidRPr="009D56EB">
              <w:rPr>
                <w:sz w:val="20"/>
              </w:rPr>
              <w:t>13.0</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661C438" w14:textId="77777777" w:rsidR="00700609" w:rsidRPr="009D56EB" w:rsidRDefault="00700609" w:rsidP="00681BA8">
            <w:pPr>
              <w:pStyle w:val="Tabletext"/>
              <w:jc w:val="center"/>
              <w:rPr>
                <w:sz w:val="20"/>
              </w:rPr>
            </w:pPr>
            <w:r w:rsidRPr="009D56EB">
              <w:rPr>
                <w:sz w:val="20"/>
              </w:rPr>
              <w:t>28.6</w:t>
            </w:r>
          </w:p>
        </w:tc>
        <w:tc>
          <w:tcPr>
            <w:tcW w:w="716" w:type="pct"/>
            <w:gridSpan w:val="2"/>
            <w:tcBorders>
              <w:top w:val="single" w:sz="4" w:space="0" w:color="auto"/>
              <w:left w:val="nil"/>
              <w:bottom w:val="single" w:sz="4" w:space="0" w:color="auto"/>
              <w:right w:val="single" w:sz="8" w:space="0" w:color="auto"/>
            </w:tcBorders>
            <w:shd w:val="clear" w:color="auto" w:fill="auto"/>
            <w:noWrap/>
            <w:vAlign w:val="center"/>
          </w:tcPr>
          <w:p w14:paraId="7FB17733" w14:textId="77777777" w:rsidR="00700609" w:rsidRPr="009D56EB" w:rsidRDefault="00700609" w:rsidP="00681BA8">
            <w:pPr>
              <w:pStyle w:val="Tabletext"/>
              <w:jc w:val="center"/>
              <w:rPr>
                <w:sz w:val="20"/>
              </w:rPr>
            </w:pPr>
            <w:r w:rsidRPr="009D56EB">
              <w:rPr>
                <w:sz w:val="20"/>
              </w:rPr>
              <w:t xml:space="preserve">27.3 </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636DE15" w14:textId="77777777" w:rsidR="00700609" w:rsidRPr="009D56EB" w:rsidRDefault="00700609" w:rsidP="00681BA8">
            <w:pPr>
              <w:pStyle w:val="Tabletext"/>
              <w:jc w:val="center"/>
              <w:rPr>
                <w:sz w:val="20"/>
              </w:rPr>
            </w:pPr>
            <w:r w:rsidRPr="009D56EB">
              <w:rPr>
                <w:sz w:val="20"/>
              </w:rPr>
              <w:t>24.8</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11F29D87" w14:textId="77777777" w:rsidR="00700609" w:rsidRPr="009D56EB" w:rsidRDefault="00700609" w:rsidP="00681BA8">
            <w:pPr>
              <w:pStyle w:val="Tabletext"/>
              <w:jc w:val="center"/>
              <w:rPr>
                <w:sz w:val="20"/>
              </w:rPr>
            </w:pPr>
          </w:p>
        </w:tc>
      </w:tr>
      <w:tr w:rsidR="00700609" w:rsidRPr="009D56EB" w14:paraId="58373667" w14:textId="77777777" w:rsidTr="00681BA8">
        <w:trPr>
          <w:jc w:val="center"/>
        </w:trPr>
        <w:tc>
          <w:tcPr>
            <w:tcW w:w="1787" w:type="pct"/>
            <w:tcBorders>
              <w:top w:val="single" w:sz="4" w:space="0" w:color="auto"/>
              <w:left w:val="single" w:sz="8" w:space="0" w:color="auto"/>
              <w:bottom w:val="single" w:sz="4" w:space="0" w:color="auto"/>
              <w:right w:val="single" w:sz="8" w:space="0" w:color="000000"/>
            </w:tcBorders>
            <w:shd w:val="clear" w:color="auto" w:fill="auto"/>
            <w:vAlign w:val="center"/>
          </w:tcPr>
          <w:p w14:paraId="34E237AF" w14:textId="77777777" w:rsidR="00700609" w:rsidRPr="009D56EB" w:rsidRDefault="00700609" w:rsidP="00681BA8">
            <w:pPr>
              <w:pStyle w:val="Tabletext"/>
              <w:rPr>
                <w:sz w:val="20"/>
              </w:rPr>
            </w:pPr>
            <w:r w:rsidRPr="009D56EB">
              <w:rPr>
                <w:sz w:val="20"/>
              </w:rPr>
              <w:t>Margin (dB)</w:t>
            </w:r>
          </w:p>
        </w:tc>
        <w:tc>
          <w:tcPr>
            <w:tcW w:w="358" w:type="pct"/>
            <w:tcBorders>
              <w:top w:val="single" w:sz="4" w:space="0" w:color="auto"/>
              <w:left w:val="nil"/>
              <w:bottom w:val="single" w:sz="4" w:space="0" w:color="auto"/>
              <w:right w:val="single" w:sz="8" w:space="0" w:color="auto"/>
            </w:tcBorders>
            <w:shd w:val="clear" w:color="auto" w:fill="auto"/>
            <w:noWrap/>
            <w:vAlign w:val="center"/>
          </w:tcPr>
          <w:p w14:paraId="657F0173" w14:textId="77777777" w:rsidR="00700609" w:rsidRPr="009D56EB" w:rsidRDefault="00700609" w:rsidP="00681BA8">
            <w:pPr>
              <w:pStyle w:val="Tabletext"/>
              <w:jc w:val="center"/>
              <w:rPr>
                <w:sz w:val="20"/>
              </w:rPr>
            </w:pPr>
            <w:r w:rsidRPr="009D56EB">
              <w:rPr>
                <w:sz w:val="20"/>
              </w:rPr>
              <w:t>6.0</w:t>
            </w:r>
          </w:p>
        </w:tc>
        <w:tc>
          <w:tcPr>
            <w:tcW w:w="358" w:type="pct"/>
            <w:tcBorders>
              <w:top w:val="single" w:sz="4" w:space="0" w:color="auto"/>
              <w:left w:val="nil"/>
              <w:bottom w:val="single" w:sz="4" w:space="0" w:color="auto"/>
              <w:right w:val="single" w:sz="8" w:space="0" w:color="auto"/>
            </w:tcBorders>
            <w:shd w:val="clear" w:color="auto" w:fill="auto"/>
            <w:vAlign w:val="center"/>
          </w:tcPr>
          <w:p w14:paraId="5467808D" w14:textId="77777777" w:rsidR="00700609" w:rsidRPr="009D56EB" w:rsidRDefault="00700609" w:rsidP="00681BA8">
            <w:pPr>
              <w:pStyle w:val="Tabletext"/>
              <w:jc w:val="center"/>
              <w:rPr>
                <w:sz w:val="20"/>
              </w:rPr>
            </w:pPr>
            <w:r w:rsidRPr="009D56EB">
              <w:rPr>
                <w:sz w:val="20"/>
              </w:rPr>
              <w:t>1.0</w:t>
            </w:r>
          </w:p>
        </w:tc>
        <w:tc>
          <w:tcPr>
            <w:tcW w:w="512" w:type="pct"/>
            <w:tcBorders>
              <w:top w:val="single" w:sz="4" w:space="0" w:color="auto"/>
              <w:left w:val="single" w:sz="8" w:space="0" w:color="auto"/>
              <w:bottom w:val="single" w:sz="4" w:space="0" w:color="auto"/>
              <w:right w:val="single" w:sz="8" w:space="0" w:color="auto"/>
            </w:tcBorders>
            <w:shd w:val="clear" w:color="auto" w:fill="auto"/>
            <w:noWrap/>
            <w:vAlign w:val="center"/>
          </w:tcPr>
          <w:p w14:paraId="21BB9105" w14:textId="77777777" w:rsidR="00700609" w:rsidRPr="009D56EB" w:rsidRDefault="00700609" w:rsidP="00681BA8">
            <w:pPr>
              <w:pStyle w:val="Tabletext"/>
              <w:jc w:val="center"/>
              <w:rPr>
                <w:sz w:val="20"/>
              </w:rPr>
            </w:pPr>
            <w:r w:rsidRPr="009D56EB">
              <w:rPr>
                <w:sz w:val="20"/>
              </w:rPr>
              <w:t>16.6</w:t>
            </w:r>
          </w:p>
        </w:tc>
        <w:tc>
          <w:tcPr>
            <w:tcW w:w="358" w:type="pct"/>
            <w:tcBorders>
              <w:top w:val="single" w:sz="4" w:space="0" w:color="auto"/>
              <w:left w:val="nil"/>
              <w:bottom w:val="single" w:sz="4" w:space="0" w:color="auto"/>
              <w:right w:val="single" w:sz="8" w:space="0" w:color="auto"/>
            </w:tcBorders>
            <w:shd w:val="clear" w:color="auto" w:fill="auto"/>
            <w:noWrap/>
            <w:vAlign w:val="center"/>
          </w:tcPr>
          <w:p w14:paraId="33B72098" w14:textId="77777777" w:rsidR="00700609" w:rsidRPr="009D56EB" w:rsidRDefault="00700609" w:rsidP="00681BA8">
            <w:pPr>
              <w:pStyle w:val="Tabletext"/>
              <w:jc w:val="center"/>
              <w:rPr>
                <w:sz w:val="20"/>
              </w:rPr>
            </w:pPr>
            <w:r w:rsidRPr="009D56EB">
              <w:rPr>
                <w:sz w:val="20"/>
              </w:rPr>
              <w:t>20.3</w:t>
            </w:r>
          </w:p>
        </w:tc>
        <w:tc>
          <w:tcPr>
            <w:tcW w:w="358" w:type="pct"/>
            <w:tcBorders>
              <w:top w:val="single" w:sz="4" w:space="0" w:color="auto"/>
              <w:left w:val="nil"/>
              <w:bottom w:val="single" w:sz="4" w:space="0" w:color="auto"/>
              <w:right w:val="single" w:sz="8" w:space="0" w:color="auto"/>
            </w:tcBorders>
            <w:shd w:val="clear" w:color="auto" w:fill="auto"/>
            <w:vAlign w:val="center"/>
          </w:tcPr>
          <w:p w14:paraId="136A2E67" w14:textId="77777777" w:rsidR="00700609" w:rsidRPr="009D56EB" w:rsidRDefault="00700609" w:rsidP="00681BA8">
            <w:pPr>
              <w:pStyle w:val="Tabletext"/>
              <w:jc w:val="center"/>
              <w:rPr>
                <w:sz w:val="20"/>
              </w:rPr>
            </w:pPr>
            <w:r w:rsidRPr="009D56EB">
              <w:rPr>
                <w:sz w:val="20"/>
              </w:rPr>
              <w:t>15.3</w:t>
            </w:r>
          </w:p>
        </w:tc>
        <w:tc>
          <w:tcPr>
            <w:tcW w:w="53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B82EE52" w14:textId="77777777" w:rsidR="00700609" w:rsidRPr="009D56EB" w:rsidRDefault="00700609" w:rsidP="00681BA8">
            <w:pPr>
              <w:pStyle w:val="Tabletext"/>
              <w:jc w:val="center"/>
              <w:rPr>
                <w:sz w:val="20"/>
              </w:rPr>
            </w:pPr>
            <w:r w:rsidRPr="009D56EB">
              <w:rPr>
                <w:sz w:val="20"/>
              </w:rPr>
              <w:t>12.8</w:t>
            </w:r>
          </w:p>
        </w:tc>
        <w:tc>
          <w:tcPr>
            <w:tcW w:w="73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18FDB5E1" w14:textId="77777777" w:rsidR="00700609" w:rsidRPr="009D56EB" w:rsidRDefault="00700609" w:rsidP="00681BA8">
            <w:pPr>
              <w:pStyle w:val="Tabletext"/>
              <w:jc w:val="center"/>
              <w:rPr>
                <w:sz w:val="20"/>
              </w:rPr>
            </w:pPr>
          </w:p>
        </w:tc>
      </w:tr>
    </w:tbl>
    <w:p w14:paraId="592EFA10" w14:textId="77777777" w:rsidR="00700609" w:rsidRPr="00AE3A31" w:rsidRDefault="00700609" w:rsidP="00700609">
      <w:pPr>
        <w:sectPr w:rsidR="00700609" w:rsidRPr="00AE3A31" w:rsidSect="0076438B">
          <w:headerReference w:type="default" r:id="rId24"/>
          <w:headerReference w:type="first" r:id="rId25"/>
          <w:footerReference w:type="first" r:id="rId26"/>
          <w:pgSz w:w="16834" w:h="11907" w:orient="landscape" w:code="9"/>
          <w:pgMar w:top="1134" w:right="1418" w:bottom="1134" w:left="1134" w:header="720" w:footer="482" w:gutter="0"/>
          <w:cols w:space="720"/>
          <w:titlePg/>
        </w:sectPr>
      </w:pPr>
    </w:p>
    <w:p w14:paraId="7A3C202F" w14:textId="77777777" w:rsidR="00700609" w:rsidRPr="00AE3A31" w:rsidRDefault="00700609" w:rsidP="00700609">
      <w:pPr>
        <w:pStyle w:val="TableNo"/>
        <w:spacing w:before="480"/>
      </w:pPr>
      <w:r w:rsidRPr="00AE3A31">
        <w:lastRenderedPageBreak/>
        <w:t>TABLE 7</w:t>
      </w:r>
    </w:p>
    <w:p w14:paraId="6FABAC3F" w14:textId="77777777" w:rsidR="00700609" w:rsidRPr="00AE3A31" w:rsidRDefault="00700609" w:rsidP="00700609">
      <w:pPr>
        <w:pStyle w:val="Tabletitle"/>
      </w:pPr>
      <w:r w:rsidRPr="00AE3A31">
        <w:t>Link budget calculations for MetAids operated in the frequency band 1 668.4-1 700 MHz</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17"/>
        <w:gridCol w:w="1303"/>
        <w:gridCol w:w="1016"/>
        <w:gridCol w:w="1016"/>
        <w:gridCol w:w="1087"/>
      </w:tblGrid>
      <w:tr w:rsidR="00700609" w:rsidRPr="00AE3A31" w14:paraId="56360E59" w14:textId="77777777" w:rsidTr="00681BA8">
        <w:trPr>
          <w:cantSplit/>
          <w:tblHeader/>
          <w:jc w:val="center"/>
        </w:trPr>
        <w:tc>
          <w:tcPr>
            <w:tcW w:w="2706" w:type="pct"/>
            <w:vAlign w:val="center"/>
          </w:tcPr>
          <w:p w14:paraId="27FBF2C9" w14:textId="77777777" w:rsidR="00700609" w:rsidRPr="00AE3A31" w:rsidRDefault="00700609" w:rsidP="00681BA8">
            <w:pPr>
              <w:pStyle w:val="Tablehead"/>
              <w:keepLines/>
            </w:pPr>
            <w:r w:rsidRPr="00AE3A31">
              <w:t>Performance factor</w:t>
            </w:r>
          </w:p>
        </w:tc>
        <w:tc>
          <w:tcPr>
            <w:tcW w:w="1203" w:type="pct"/>
            <w:gridSpan w:val="2"/>
            <w:vAlign w:val="center"/>
          </w:tcPr>
          <w:p w14:paraId="079DD347" w14:textId="77777777" w:rsidR="00700609" w:rsidRPr="00AE3A31" w:rsidRDefault="00700609" w:rsidP="00681BA8">
            <w:pPr>
              <w:pStyle w:val="Tablehead"/>
              <w:keepLines/>
            </w:pPr>
            <w:r w:rsidRPr="00AE3A31">
              <w:t>Type G</w:t>
            </w:r>
            <w:r w:rsidRPr="00AE3A31">
              <w:br/>
              <w:t>RDF System</w:t>
            </w:r>
          </w:p>
        </w:tc>
        <w:tc>
          <w:tcPr>
            <w:tcW w:w="1091" w:type="pct"/>
            <w:gridSpan w:val="2"/>
            <w:vAlign w:val="center"/>
          </w:tcPr>
          <w:p w14:paraId="4CBEFE7E" w14:textId="77777777" w:rsidR="00700609" w:rsidRPr="00AE3A31" w:rsidRDefault="00700609" w:rsidP="00681BA8">
            <w:pPr>
              <w:pStyle w:val="Tablehead"/>
              <w:keepLines/>
            </w:pPr>
            <w:r w:rsidRPr="00AE3A31">
              <w:t>Type H</w:t>
            </w:r>
            <w:r w:rsidRPr="00AE3A31">
              <w:br/>
              <w:t>GPS System</w:t>
            </w:r>
          </w:p>
        </w:tc>
      </w:tr>
      <w:tr w:rsidR="00700609" w:rsidRPr="00AE3A31" w14:paraId="5E03AF79" w14:textId="77777777" w:rsidTr="00681BA8">
        <w:trPr>
          <w:cantSplit/>
          <w:jc w:val="center"/>
        </w:trPr>
        <w:tc>
          <w:tcPr>
            <w:tcW w:w="2706" w:type="pct"/>
          </w:tcPr>
          <w:p w14:paraId="72D15FB8" w14:textId="77777777" w:rsidR="00700609" w:rsidRPr="00AE3A31" w:rsidRDefault="00700609" w:rsidP="00681BA8">
            <w:pPr>
              <w:pStyle w:val="Tabletext"/>
              <w:keepNext/>
              <w:keepLines/>
              <w:spacing w:beforeLines="30" w:before="72"/>
            </w:pPr>
            <w:r w:rsidRPr="00AE3A31">
              <w:t>Modulation type</w:t>
            </w:r>
          </w:p>
        </w:tc>
        <w:tc>
          <w:tcPr>
            <w:tcW w:w="1203" w:type="pct"/>
            <w:gridSpan w:val="2"/>
          </w:tcPr>
          <w:p w14:paraId="65520B8E"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AM</w:t>
            </w:r>
          </w:p>
        </w:tc>
        <w:tc>
          <w:tcPr>
            <w:tcW w:w="1091" w:type="pct"/>
            <w:gridSpan w:val="2"/>
          </w:tcPr>
          <w:p w14:paraId="17922E37" w14:textId="77777777" w:rsidR="00700609" w:rsidRPr="00AE3A31" w:rsidRDefault="00700609" w:rsidP="00681BA8">
            <w:pPr>
              <w:pStyle w:val="Tabletext"/>
              <w:keepNext/>
              <w:keepLines/>
              <w:spacing w:beforeLines="30" w:before="72"/>
              <w:jc w:val="center"/>
            </w:pPr>
            <w:r w:rsidRPr="00AE3A31">
              <w:t>FM</w:t>
            </w:r>
          </w:p>
        </w:tc>
      </w:tr>
      <w:tr w:rsidR="00700609" w:rsidRPr="00AE3A31" w14:paraId="400A1CB3" w14:textId="77777777" w:rsidTr="00681BA8">
        <w:trPr>
          <w:cantSplit/>
          <w:jc w:val="center"/>
        </w:trPr>
        <w:tc>
          <w:tcPr>
            <w:tcW w:w="2706" w:type="pct"/>
          </w:tcPr>
          <w:p w14:paraId="4E6F9756" w14:textId="77777777" w:rsidR="00700609" w:rsidRPr="00AE3A31" w:rsidRDefault="00700609" w:rsidP="00681BA8">
            <w:pPr>
              <w:pStyle w:val="Tabletext"/>
              <w:keepNext/>
              <w:keepLines/>
              <w:spacing w:beforeLines="30" w:before="72"/>
            </w:pPr>
            <w:r w:rsidRPr="00AE3A31">
              <w:t xml:space="preserve">Frequency range </w:t>
            </w:r>
          </w:p>
        </w:tc>
        <w:tc>
          <w:tcPr>
            <w:tcW w:w="1203" w:type="pct"/>
            <w:gridSpan w:val="2"/>
          </w:tcPr>
          <w:p w14:paraId="2A0DAB0A"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 xml:space="preserve">1 668.4-1 700 </w:t>
            </w:r>
          </w:p>
        </w:tc>
        <w:tc>
          <w:tcPr>
            <w:tcW w:w="1091" w:type="pct"/>
            <w:gridSpan w:val="2"/>
          </w:tcPr>
          <w:p w14:paraId="69676E94" w14:textId="77777777" w:rsidR="00700609" w:rsidRPr="00AE3A31" w:rsidRDefault="00700609" w:rsidP="00681BA8">
            <w:pPr>
              <w:pStyle w:val="Tabletext"/>
              <w:keepNext/>
              <w:keepLines/>
              <w:spacing w:beforeLines="30" w:before="72"/>
              <w:jc w:val="center"/>
            </w:pPr>
            <w:r w:rsidRPr="00AE3A31">
              <w:t>1 675-1 683</w:t>
            </w:r>
          </w:p>
        </w:tc>
      </w:tr>
      <w:tr w:rsidR="00700609" w:rsidRPr="00AE3A31" w14:paraId="454BA65F" w14:textId="77777777" w:rsidTr="00681BA8">
        <w:trPr>
          <w:cantSplit/>
          <w:jc w:val="center"/>
        </w:trPr>
        <w:tc>
          <w:tcPr>
            <w:tcW w:w="2706" w:type="pct"/>
          </w:tcPr>
          <w:p w14:paraId="5EFBDF4F" w14:textId="77777777" w:rsidR="00700609" w:rsidRPr="00AE3A31" w:rsidRDefault="00700609" w:rsidP="00681BA8">
            <w:pPr>
              <w:pStyle w:val="Tabletext"/>
              <w:spacing w:beforeLines="30" w:before="72"/>
            </w:pPr>
            <w:r w:rsidRPr="00AE3A31">
              <w:t>Per cent time performance is not exceeded (%)</w:t>
            </w:r>
          </w:p>
        </w:tc>
        <w:tc>
          <w:tcPr>
            <w:tcW w:w="676" w:type="pct"/>
          </w:tcPr>
          <w:p w14:paraId="7FB2C332" w14:textId="77777777" w:rsidR="00700609" w:rsidRPr="00AE3A31" w:rsidRDefault="00700609" w:rsidP="00681BA8">
            <w:pPr>
              <w:pStyle w:val="Tabletext"/>
              <w:spacing w:beforeLines="30" w:before="72"/>
              <w:jc w:val="center"/>
            </w:pPr>
            <w:r w:rsidRPr="00AE3A31">
              <w:t xml:space="preserve">0.02 </w:t>
            </w:r>
            <w:r w:rsidRPr="00AE3A31">
              <w:br/>
              <w:t>track loss</w:t>
            </w:r>
          </w:p>
        </w:tc>
        <w:tc>
          <w:tcPr>
            <w:tcW w:w="527" w:type="pct"/>
          </w:tcPr>
          <w:p w14:paraId="07F74BC8" w14:textId="77777777" w:rsidR="00700609" w:rsidRPr="00AE3A31" w:rsidRDefault="00700609" w:rsidP="00681BA8">
            <w:pPr>
              <w:pStyle w:val="Tabletext"/>
              <w:spacing w:beforeLines="30" w:before="72"/>
              <w:jc w:val="center"/>
            </w:pPr>
            <w:r w:rsidRPr="00AE3A31">
              <w:t xml:space="preserve">0.08 </w:t>
            </w:r>
            <w:r w:rsidRPr="00AE3A31">
              <w:br/>
              <w:t>data loss</w:t>
            </w:r>
          </w:p>
        </w:tc>
        <w:tc>
          <w:tcPr>
            <w:tcW w:w="527" w:type="pct"/>
          </w:tcPr>
          <w:p w14:paraId="3522D973" w14:textId="77777777" w:rsidR="00700609" w:rsidRPr="00AE3A31" w:rsidRDefault="00700609" w:rsidP="00681BA8">
            <w:pPr>
              <w:pStyle w:val="Tabletext"/>
              <w:spacing w:beforeLines="30" w:before="72"/>
              <w:jc w:val="center"/>
            </w:pPr>
            <w:r w:rsidRPr="00AE3A31">
              <w:t>0.025</w:t>
            </w:r>
            <w:r w:rsidRPr="00AE3A31">
              <w:br/>
              <w:t>track loss</w:t>
            </w:r>
          </w:p>
        </w:tc>
        <w:tc>
          <w:tcPr>
            <w:tcW w:w="564" w:type="pct"/>
          </w:tcPr>
          <w:p w14:paraId="14FCE78C" w14:textId="77777777" w:rsidR="00700609" w:rsidRPr="00AE3A31" w:rsidRDefault="00700609" w:rsidP="00681BA8">
            <w:pPr>
              <w:pStyle w:val="Tabletext"/>
              <w:spacing w:beforeLines="30" w:before="72"/>
              <w:jc w:val="center"/>
            </w:pPr>
            <w:r w:rsidRPr="00AE3A31">
              <w:t>0.125</w:t>
            </w:r>
            <w:r w:rsidRPr="00AE3A31">
              <w:br/>
              <w:t>data loss</w:t>
            </w:r>
          </w:p>
        </w:tc>
      </w:tr>
      <w:tr w:rsidR="00700609" w:rsidRPr="00AE3A31" w14:paraId="04D0911F" w14:textId="77777777" w:rsidTr="00681BA8">
        <w:trPr>
          <w:cantSplit/>
          <w:jc w:val="center"/>
        </w:trPr>
        <w:tc>
          <w:tcPr>
            <w:tcW w:w="2706" w:type="pct"/>
          </w:tcPr>
          <w:p w14:paraId="023A736A" w14:textId="5F67AA30" w:rsidR="00700609" w:rsidRPr="00AE3A31" w:rsidRDefault="00700609" w:rsidP="00681BA8">
            <w:pPr>
              <w:pStyle w:val="Tabletext"/>
              <w:spacing w:beforeLines="30" w:before="72"/>
            </w:pPr>
            <w:r w:rsidRPr="00AE3A31">
              <w:t>Airborne transmitter output power (dBW)</w:t>
            </w:r>
          </w:p>
        </w:tc>
        <w:tc>
          <w:tcPr>
            <w:tcW w:w="1203" w:type="pct"/>
            <w:gridSpan w:val="2"/>
          </w:tcPr>
          <w:p w14:paraId="176A6860"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−6.0</w:t>
            </w:r>
          </w:p>
        </w:tc>
        <w:tc>
          <w:tcPr>
            <w:tcW w:w="1091" w:type="pct"/>
            <w:gridSpan w:val="2"/>
          </w:tcPr>
          <w:p w14:paraId="6832ED90" w14:textId="77777777" w:rsidR="00700609" w:rsidRPr="00AE3A31" w:rsidRDefault="00700609" w:rsidP="00681BA8">
            <w:pPr>
              <w:pStyle w:val="Tabletext"/>
              <w:spacing w:beforeLines="30" w:before="72"/>
              <w:jc w:val="center"/>
            </w:pPr>
            <w:r w:rsidRPr="00AE3A31">
              <w:t>−5.0</w:t>
            </w:r>
          </w:p>
        </w:tc>
      </w:tr>
      <w:tr w:rsidR="00700609" w:rsidRPr="00AE3A31" w14:paraId="06E33AB1" w14:textId="77777777" w:rsidTr="00681BA8">
        <w:trPr>
          <w:cantSplit/>
          <w:jc w:val="center"/>
        </w:trPr>
        <w:tc>
          <w:tcPr>
            <w:tcW w:w="2706" w:type="pct"/>
          </w:tcPr>
          <w:p w14:paraId="505C03A4" w14:textId="43BAF7DD" w:rsidR="00700609" w:rsidRPr="00AE3A31" w:rsidRDefault="00700609" w:rsidP="00681BA8">
            <w:pPr>
              <w:pStyle w:val="Tabletext"/>
              <w:spacing w:beforeLines="30" w:before="72"/>
            </w:pPr>
            <w:r w:rsidRPr="00AE3A31">
              <w:t>Airborne antenna gain average (dBi)</w:t>
            </w:r>
          </w:p>
        </w:tc>
        <w:tc>
          <w:tcPr>
            <w:tcW w:w="1203" w:type="pct"/>
            <w:gridSpan w:val="2"/>
          </w:tcPr>
          <w:p w14:paraId="750478F3"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2.0</w:t>
            </w:r>
          </w:p>
        </w:tc>
        <w:tc>
          <w:tcPr>
            <w:tcW w:w="1091" w:type="pct"/>
            <w:gridSpan w:val="2"/>
          </w:tcPr>
          <w:p w14:paraId="47A10254" w14:textId="77777777" w:rsidR="00700609" w:rsidRPr="00AE3A31" w:rsidRDefault="00700609" w:rsidP="00681BA8">
            <w:pPr>
              <w:pStyle w:val="Tabletext"/>
              <w:spacing w:beforeLines="30" w:before="72"/>
              <w:jc w:val="center"/>
            </w:pPr>
            <w:r w:rsidRPr="00AE3A31">
              <w:t>−2</w:t>
            </w:r>
          </w:p>
        </w:tc>
      </w:tr>
      <w:tr w:rsidR="00700609" w:rsidRPr="00AE3A31" w14:paraId="4BABE66E" w14:textId="77777777" w:rsidTr="00681BA8">
        <w:trPr>
          <w:cantSplit/>
          <w:jc w:val="center"/>
        </w:trPr>
        <w:tc>
          <w:tcPr>
            <w:tcW w:w="2706" w:type="pct"/>
          </w:tcPr>
          <w:p w14:paraId="564F5A89" w14:textId="2B470E4B" w:rsidR="00700609" w:rsidRPr="003876AA" w:rsidRDefault="00700609" w:rsidP="00681BA8">
            <w:pPr>
              <w:pStyle w:val="Tabletext"/>
              <w:spacing w:beforeLines="30" w:before="72"/>
              <w:rPr>
                <w:lang w:val="pt-PT"/>
              </w:rPr>
            </w:pPr>
            <w:r w:rsidRPr="003876AA">
              <w:rPr>
                <w:lang w:val="pt-PT"/>
              </w:rPr>
              <w:t>Airborne radiosonde e.i.r.p. (dBW)</w:t>
            </w:r>
          </w:p>
        </w:tc>
        <w:tc>
          <w:tcPr>
            <w:tcW w:w="1203" w:type="pct"/>
            <w:gridSpan w:val="2"/>
          </w:tcPr>
          <w:p w14:paraId="3D51297D"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−4.0</w:t>
            </w:r>
          </w:p>
        </w:tc>
        <w:tc>
          <w:tcPr>
            <w:tcW w:w="1091" w:type="pct"/>
            <w:gridSpan w:val="2"/>
          </w:tcPr>
          <w:p w14:paraId="6DB17394" w14:textId="77777777" w:rsidR="00700609" w:rsidRPr="00AE3A31" w:rsidRDefault="00700609" w:rsidP="00681BA8">
            <w:pPr>
              <w:pStyle w:val="Tabletext"/>
              <w:spacing w:beforeLines="30" w:before="72"/>
              <w:jc w:val="center"/>
            </w:pPr>
            <w:r w:rsidRPr="00AE3A31">
              <w:t>−3.0</w:t>
            </w:r>
          </w:p>
        </w:tc>
      </w:tr>
      <w:tr w:rsidR="00700609" w:rsidRPr="00AE3A31" w14:paraId="6FB02FC8" w14:textId="77777777" w:rsidTr="00681BA8">
        <w:trPr>
          <w:cantSplit/>
          <w:jc w:val="center"/>
        </w:trPr>
        <w:tc>
          <w:tcPr>
            <w:tcW w:w="2706" w:type="pct"/>
          </w:tcPr>
          <w:p w14:paraId="1CB3F8EF" w14:textId="56C79B25" w:rsidR="00700609" w:rsidRPr="00AE3A31" w:rsidRDefault="00700609" w:rsidP="00681BA8">
            <w:pPr>
              <w:pStyle w:val="Tabletext"/>
              <w:spacing w:beforeLines="30" w:before="72"/>
            </w:pPr>
            <w:r w:rsidRPr="00AE3A31">
              <w:t>Maximum link length (km)</w:t>
            </w:r>
          </w:p>
        </w:tc>
        <w:tc>
          <w:tcPr>
            <w:tcW w:w="1203" w:type="pct"/>
            <w:gridSpan w:val="2"/>
          </w:tcPr>
          <w:p w14:paraId="3F619CAD"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250</w:t>
            </w:r>
          </w:p>
        </w:tc>
        <w:tc>
          <w:tcPr>
            <w:tcW w:w="1091" w:type="pct"/>
            <w:gridSpan w:val="2"/>
          </w:tcPr>
          <w:p w14:paraId="1EC46700" w14:textId="77777777" w:rsidR="00700609" w:rsidRPr="00AE3A31" w:rsidRDefault="00700609" w:rsidP="00681BA8">
            <w:pPr>
              <w:pStyle w:val="Tabletext"/>
              <w:spacing w:beforeLines="30" w:before="72"/>
              <w:jc w:val="center"/>
            </w:pPr>
            <w:r w:rsidRPr="00AE3A31">
              <w:t>250</w:t>
            </w:r>
          </w:p>
        </w:tc>
      </w:tr>
      <w:tr w:rsidR="00700609" w:rsidRPr="00AE3A31" w14:paraId="1109066E" w14:textId="77777777" w:rsidTr="00681BA8">
        <w:trPr>
          <w:cantSplit/>
          <w:jc w:val="center"/>
        </w:trPr>
        <w:tc>
          <w:tcPr>
            <w:tcW w:w="2706" w:type="pct"/>
          </w:tcPr>
          <w:p w14:paraId="5526021E" w14:textId="7E851E71" w:rsidR="00700609" w:rsidRPr="00AE3A31" w:rsidRDefault="00700609" w:rsidP="00681BA8">
            <w:pPr>
              <w:pStyle w:val="Tabletext"/>
              <w:spacing w:beforeLines="30" w:before="72"/>
            </w:pPr>
            <w:r w:rsidRPr="00AE3A31">
              <w:t>Free-space path loss (dB)</w:t>
            </w:r>
          </w:p>
        </w:tc>
        <w:tc>
          <w:tcPr>
            <w:tcW w:w="1203" w:type="pct"/>
            <w:gridSpan w:val="2"/>
          </w:tcPr>
          <w:p w14:paraId="2E2C197B"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144.9</w:t>
            </w:r>
          </w:p>
        </w:tc>
        <w:tc>
          <w:tcPr>
            <w:tcW w:w="1091" w:type="pct"/>
            <w:gridSpan w:val="2"/>
          </w:tcPr>
          <w:p w14:paraId="6CDA62B1" w14:textId="77777777" w:rsidR="00700609" w:rsidRPr="00AE3A31" w:rsidRDefault="00700609" w:rsidP="00681BA8">
            <w:pPr>
              <w:pStyle w:val="Tabletext"/>
              <w:spacing w:beforeLines="30" w:before="72"/>
              <w:jc w:val="center"/>
            </w:pPr>
            <w:r w:rsidRPr="00AE3A31">
              <w:t>144.9</w:t>
            </w:r>
          </w:p>
        </w:tc>
      </w:tr>
      <w:tr w:rsidR="00700609" w:rsidRPr="00AE3A31" w14:paraId="1E234ACF" w14:textId="77777777" w:rsidTr="00681BA8">
        <w:trPr>
          <w:cantSplit/>
          <w:jc w:val="center"/>
        </w:trPr>
        <w:tc>
          <w:tcPr>
            <w:tcW w:w="2706" w:type="pct"/>
          </w:tcPr>
          <w:p w14:paraId="2248739E" w14:textId="210B5DC2" w:rsidR="00700609" w:rsidRPr="00AE3A31" w:rsidRDefault="00700609" w:rsidP="00681BA8">
            <w:pPr>
              <w:pStyle w:val="Tabletext"/>
              <w:spacing w:beforeLines="30" w:before="72"/>
            </w:pPr>
            <w:r w:rsidRPr="00AE3A31">
              <w:t>Excess path loss (rain, fading, etc.) (dB)</w:t>
            </w:r>
          </w:p>
        </w:tc>
        <w:tc>
          <w:tcPr>
            <w:tcW w:w="1203" w:type="pct"/>
            <w:gridSpan w:val="2"/>
          </w:tcPr>
          <w:p w14:paraId="50883D14"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2.0</w:t>
            </w:r>
          </w:p>
        </w:tc>
        <w:tc>
          <w:tcPr>
            <w:tcW w:w="1091" w:type="pct"/>
            <w:gridSpan w:val="2"/>
          </w:tcPr>
          <w:p w14:paraId="159C0973" w14:textId="77777777" w:rsidR="00700609" w:rsidRPr="00AE3A31" w:rsidRDefault="00700609" w:rsidP="00681BA8">
            <w:pPr>
              <w:pStyle w:val="Tabletext"/>
              <w:spacing w:beforeLines="30" w:before="72"/>
              <w:jc w:val="center"/>
            </w:pPr>
            <w:r w:rsidRPr="00AE3A31">
              <w:t>5.0</w:t>
            </w:r>
          </w:p>
        </w:tc>
      </w:tr>
      <w:tr w:rsidR="00700609" w:rsidRPr="00AE3A31" w14:paraId="70D558D4" w14:textId="77777777" w:rsidTr="00681BA8">
        <w:trPr>
          <w:cantSplit/>
          <w:jc w:val="center"/>
        </w:trPr>
        <w:tc>
          <w:tcPr>
            <w:tcW w:w="2706" w:type="pct"/>
          </w:tcPr>
          <w:p w14:paraId="4AF9AC5C" w14:textId="3E0E15FD" w:rsidR="00700609" w:rsidRPr="00AE3A31" w:rsidRDefault="00700609" w:rsidP="00681BA8">
            <w:pPr>
              <w:pStyle w:val="Tabletext"/>
              <w:spacing w:beforeLines="30" w:before="72"/>
            </w:pPr>
            <w:r w:rsidRPr="00AE3A31">
              <w:t>Ground station antenna gain (dBi)</w:t>
            </w:r>
          </w:p>
        </w:tc>
        <w:tc>
          <w:tcPr>
            <w:tcW w:w="1203" w:type="pct"/>
            <w:gridSpan w:val="2"/>
          </w:tcPr>
          <w:p w14:paraId="675611FF"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28.0</w:t>
            </w:r>
          </w:p>
        </w:tc>
        <w:tc>
          <w:tcPr>
            <w:tcW w:w="1091" w:type="pct"/>
            <w:gridSpan w:val="2"/>
          </w:tcPr>
          <w:p w14:paraId="6BFD55E6" w14:textId="77777777" w:rsidR="00700609" w:rsidRPr="00AE3A31" w:rsidRDefault="00700609" w:rsidP="00681BA8">
            <w:pPr>
              <w:pStyle w:val="Tabletext"/>
              <w:spacing w:beforeLines="30" w:before="72"/>
              <w:jc w:val="center"/>
            </w:pPr>
            <w:r w:rsidRPr="00AE3A31">
              <w:t>26</w:t>
            </w:r>
          </w:p>
        </w:tc>
      </w:tr>
      <w:tr w:rsidR="00700609" w:rsidRPr="00AE3A31" w14:paraId="335F1457" w14:textId="77777777" w:rsidTr="00681BA8">
        <w:trPr>
          <w:cantSplit/>
          <w:jc w:val="center"/>
        </w:trPr>
        <w:tc>
          <w:tcPr>
            <w:tcW w:w="2706" w:type="pct"/>
          </w:tcPr>
          <w:p w14:paraId="43BDBC05" w14:textId="3475483B" w:rsidR="00700609" w:rsidRPr="00AE3A31" w:rsidRDefault="00700609" w:rsidP="00681BA8">
            <w:pPr>
              <w:pStyle w:val="Tabletext"/>
              <w:spacing w:beforeLines="30" w:before="72"/>
            </w:pPr>
            <w:r w:rsidRPr="00AE3A31">
              <w:t>Ground station antenna pointing error (dB)</w:t>
            </w:r>
          </w:p>
        </w:tc>
        <w:tc>
          <w:tcPr>
            <w:tcW w:w="1203" w:type="pct"/>
            <w:gridSpan w:val="2"/>
          </w:tcPr>
          <w:p w14:paraId="60E2E128"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0.5</w:t>
            </w:r>
          </w:p>
        </w:tc>
        <w:tc>
          <w:tcPr>
            <w:tcW w:w="1091" w:type="pct"/>
            <w:gridSpan w:val="2"/>
          </w:tcPr>
          <w:p w14:paraId="7AE4B776" w14:textId="77777777" w:rsidR="00700609" w:rsidRPr="00AE3A31" w:rsidRDefault="00700609" w:rsidP="00681BA8">
            <w:pPr>
              <w:pStyle w:val="Tabletext"/>
              <w:spacing w:beforeLines="30" w:before="72"/>
              <w:jc w:val="center"/>
            </w:pPr>
            <w:r w:rsidRPr="00AE3A31">
              <w:t>0.0</w:t>
            </w:r>
          </w:p>
        </w:tc>
      </w:tr>
      <w:tr w:rsidR="00700609" w:rsidRPr="00AE3A31" w14:paraId="574B3C96" w14:textId="77777777" w:rsidTr="00681BA8">
        <w:trPr>
          <w:cantSplit/>
          <w:jc w:val="center"/>
        </w:trPr>
        <w:tc>
          <w:tcPr>
            <w:tcW w:w="2706" w:type="pct"/>
          </w:tcPr>
          <w:p w14:paraId="619C2BCA" w14:textId="1A4CE0D5" w:rsidR="00700609" w:rsidRPr="00AE3A31" w:rsidRDefault="00700609" w:rsidP="00681BA8">
            <w:pPr>
              <w:pStyle w:val="Tabletext"/>
              <w:spacing w:beforeLines="30" w:before="72"/>
            </w:pPr>
            <w:r w:rsidRPr="00AE3A31">
              <w:t>Receiver system loss (antenna feed, cables, etc.) (dB)</w:t>
            </w:r>
          </w:p>
        </w:tc>
        <w:tc>
          <w:tcPr>
            <w:tcW w:w="1203" w:type="pct"/>
            <w:gridSpan w:val="2"/>
          </w:tcPr>
          <w:p w14:paraId="3F48CA96"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3.0</w:t>
            </w:r>
          </w:p>
        </w:tc>
        <w:tc>
          <w:tcPr>
            <w:tcW w:w="1091" w:type="pct"/>
            <w:gridSpan w:val="2"/>
          </w:tcPr>
          <w:p w14:paraId="6690AD0A" w14:textId="77777777" w:rsidR="00700609" w:rsidRPr="00AE3A31" w:rsidRDefault="00700609" w:rsidP="00681BA8">
            <w:pPr>
              <w:pStyle w:val="Tabletext"/>
              <w:spacing w:beforeLines="30" w:before="72"/>
              <w:jc w:val="center"/>
            </w:pPr>
            <w:r w:rsidRPr="00AE3A31">
              <w:t>0.5</w:t>
            </w:r>
          </w:p>
        </w:tc>
      </w:tr>
      <w:tr w:rsidR="00700609" w:rsidRPr="00AE3A31" w14:paraId="0878C54D" w14:textId="77777777" w:rsidTr="00681BA8">
        <w:trPr>
          <w:cantSplit/>
          <w:jc w:val="center"/>
        </w:trPr>
        <w:tc>
          <w:tcPr>
            <w:tcW w:w="2706" w:type="pct"/>
          </w:tcPr>
          <w:p w14:paraId="7C602C2B" w14:textId="41070EC9" w:rsidR="00700609" w:rsidRPr="00AE3A31" w:rsidRDefault="00700609" w:rsidP="00681BA8">
            <w:pPr>
              <w:pStyle w:val="Tabletext"/>
              <w:spacing w:beforeLines="30" w:before="72"/>
            </w:pPr>
            <w:r w:rsidRPr="00AE3A31">
              <w:t>Polarization mismatch loss (dB)</w:t>
            </w:r>
          </w:p>
        </w:tc>
        <w:tc>
          <w:tcPr>
            <w:tcW w:w="1203" w:type="pct"/>
            <w:gridSpan w:val="2"/>
          </w:tcPr>
          <w:p w14:paraId="108B5A1F"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0.5</w:t>
            </w:r>
          </w:p>
        </w:tc>
        <w:tc>
          <w:tcPr>
            <w:tcW w:w="1091" w:type="pct"/>
            <w:gridSpan w:val="2"/>
          </w:tcPr>
          <w:p w14:paraId="4D0D0B56" w14:textId="77777777" w:rsidR="00700609" w:rsidRPr="00AE3A31" w:rsidRDefault="00700609" w:rsidP="00681BA8">
            <w:pPr>
              <w:pStyle w:val="Tabletext"/>
              <w:spacing w:beforeLines="30" w:before="72"/>
              <w:jc w:val="center"/>
            </w:pPr>
            <w:r w:rsidRPr="00AE3A31">
              <w:t>3</w:t>
            </w:r>
          </w:p>
        </w:tc>
      </w:tr>
      <w:tr w:rsidR="00700609" w:rsidRPr="00AE3A31" w14:paraId="52F9C93A" w14:textId="77777777" w:rsidTr="00681BA8">
        <w:trPr>
          <w:cantSplit/>
          <w:jc w:val="center"/>
        </w:trPr>
        <w:tc>
          <w:tcPr>
            <w:tcW w:w="2706" w:type="pct"/>
          </w:tcPr>
          <w:p w14:paraId="1C35D365" w14:textId="09299354" w:rsidR="00700609" w:rsidRPr="00AE3A31" w:rsidRDefault="00700609" w:rsidP="00681BA8">
            <w:pPr>
              <w:pStyle w:val="Tabletext"/>
              <w:spacing w:beforeLines="30" w:before="72"/>
            </w:pPr>
            <w:r w:rsidRPr="00AE3A31">
              <w:t>Received signal power (dBW)</w:t>
            </w:r>
          </w:p>
        </w:tc>
        <w:tc>
          <w:tcPr>
            <w:tcW w:w="1203" w:type="pct"/>
            <w:gridSpan w:val="2"/>
          </w:tcPr>
          <w:p w14:paraId="57FB9AEA"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−126.9</w:t>
            </w:r>
          </w:p>
        </w:tc>
        <w:tc>
          <w:tcPr>
            <w:tcW w:w="1091" w:type="pct"/>
            <w:gridSpan w:val="2"/>
          </w:tcPr>
          <w:p w14:paraId="6A72D8F3" w14:textId="77777777" w:rsidR="00700609" w:rsidRPr="00AE3A31" w:rsidRDefault="00700609" w:rsidP="00681BA8">
            <w:pPr>
              <w:pStyle w:val="Tabletext"/>
              <w:spacing w:beforeLines="30" w:before="72"/>
              <w:jc w:val="center"/>
            </w:pPr>
            <w:r w:rsidRPr="00AE3A31">
              <w:t>−130.4</w:t>
            </w:r>
          </w:p>
        </w:tc>
      </w:tr>
      <w:tr w:rsidR="00700609" w:rsidRPr="00AE3A31" w14:paraId="439A2EC4" w14:textId="77777777" w:rsidTr="00681BA8">
        <w:trPr>
          <w:cantSplit/>
          <w:jc w:val="center"/>
        </w:trPr>
        <w:tc>
          <w:tcPr>
            <w:tcW w:w="2706" w:type="pct"/>
          </w:tcPr>
          <w:p w14:paraId="53A9A5F0" w14:textId="51E963DB" w:rsidR="00700609" w:rsidRPr="00AE3A31" w:rsidRDefault="00700609" w:rsidP="00681BA8">
            <w:pPr>
              <w:pStyle w:val="Tabletext"/>
              <w:spacing w:beforeLines="30" w:before="72"/>
            </w:pPr>
            <w:r w:rsidRPr="00AE3A31">
              <w:t>Ground receiver reference bandwidth (kHz)</w:t>
            </w:r>
          </w:p>
        </w:tc>
        <w:tc>
          <w:tcPr>
            <w:tcW w:w="1203" w:type="pct"/>
            <w:gridSpan w:val="2"/>
          </w:tcPr>
          <w:p w14:paraId="2E4FC94C"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1 300</w:t>
            </w:r>
          </w:p>
        </w:tc>
        <w:tc>
          <w:tcPr>
            <w:tcW w:w="1091" w:type="pct"/>
            <w:gridSpan w:val="2"/>
          </w:tcPr>
          <w:p w14:paraId="45EA2BAC" w14:textId="77777777" w:rsidR="00700609" w:rsidRPr="00AE3A31" w:rsidRDefault="00700609" w:rsidP="00681BA8">
            <w:pPr>
              <w:pStyle w:val="Tabletext"/>
              <w:spacing w:beforeLines="30" w:before="72"/>
              <w:jc w:val="center"/>
            </w:pPr>
            <w:r w:rsidRPr="00AE3A31">
              <w:t>150</w:t>
            </w:r>
          </w:p>
        </w:tc>
      </w:tr>
      <w:tr w:rsidR="00700609" w:rsidRPr="00AE3A31" w14:paraId="03C279FE" w14:textId="77777777" w:rsidTr="00681BA8">
        <w:trPr>
          <w:cantSplit/>
          <w:jc w:val="center"/>
        </w:trPr>
        <w:tc>
          <w:tcPr>
            <w:tcW w:w="2706" w:type="pct"/>
          </w:tcPr>
          <w:p w14:paraId="0D00E169" w14:textId="3CF237A9" w:rsidR="00700609" w:rsidRPr="00AE3A31" w:rsidRDefault="00700609" w:rsidP="00681BA8">
            <w:pPr>
              <w:pStyle w:val="Tabletext"/>
              <w:spacing w:beforeLines="30" w:before="72"/>
            </w:pPr>
            <w:r w:rsidRPr="00AE3A31">
              <w:t>Ground receiver reference bandwidth (dBHz)</w:t>
            </w:r>
          </w:p>
        </w:tc>
        <w:tc>
          <w:tcPr>
            <w:tcW w:w="1203" w:type="pct"/>
            <w:gridSpan w:val="2"/>
          </w:tcPr>
          <w:p w14:paraId="75D42234"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61.1</w:t>
            </w:r>
          </w:p>
        </w:tc>
        <w:tc>
          <w:tcPr>
            <w:tcW w:w="1091" w:type="pct"/>
            <w:gridSpan w:val="2"/>
          </w:tcPr>
          <w:p w14:paraId="66311368" w14:textId="77777777" w:rsidR="00700609" w:rsidRPr="00AE3A31" w:rsidRDefault="00700609" w:rsidP="00681BA8">
            <w:pPr>
              <w:pStyle w:val="Tabletext"/>
              <w:spacing w:beforeLines="30" w:before="72"/>
              <w:jc w:val="center"/>
            </w:pPr>
            <w:r w:rsidRPr="00AE3A31">
              <w:t>52</w:t>
            </w:r>
          </w:p>
        </w:tc>
      </w:tr>
      <w:tr w:rsidR="00700609" w:rsidRPr="00AE3A31" w14:paraId="26C415AD" w14:textId="77777777" w:rsidTr="00681BA8">
        <w:trPr>
          <w:cantSplit/>
          <w:jc w:val="center"/>
        </w:trPr>
        <w:tc>
          <w:tcPr>
            <w:tcW w:w="2706" w:type="pct"/>
          </w:tcPr>
          <w:p w14:paraId="56CEA664" w14:textId="1A6CB8A0" w:rsidR="00700609" w:rsidRPr="00AE3A31" w:rsidRDefault="00700609" w:rsidP="00681BA8">
            <w:pPr>
              <w:pStyle w:val="Tabletext"/>
              <w:spacing w:beforeLines="30" w:before="72"/>
            </w:pPr>
            <w:r w:rsidRPr="00AE3A31">
              <w:t xml:space="preserve">Received energy per Hz, </w:t>
            </w:r>
            <w:r w:rsidRPr="00AE3A31">
              <w:rPr>
                <w:i/>
              </w:rPr>
              <w:t>C</w:t>
            </w:r>
            <w:r w:rsidRPr="00AE3A31">
              <w:rPr>
                <w:vertAlign w:val="subscript"/>
              </w:rPr>
              <w:t>0</w:t>
            </w:r>
            <w:r w:rsidRPr="00AE3A31">
              <w:t xml:space="preserve"> (dB(W/Hz))</w:t>
            </w:r>
          </w:p>
        </w:tc>
        <w:tc>
          <w:tcPr>
            <w:tcW w:w="1203" w:type="pct"/>
            <w:gridSpan w:val="2"/>
          </w:tcPr>
          <w:p w14:paraId="50D22F1B"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−188.0</w:t>
            </w:r>
          </w:p>
        </w:tc>
        <w:tc>
          <w:tcPr>
            <w:tcW w:w="1091" w:type="pct"/>
            <w:gridSpan w:val="2"/>
          </w:tcPr>
          <w:p w14:paraId="2A66046A" w14:textId="77777777" w:rsidR="00700609" w:rsidRPr="00AE3A31" w:rsidRDefault="00700609" w:rsidP="00681BA8">
            <w:pPr>
              <w:pStyle w:val="Tabletext"/>
              <w:spacing w:beforeLines="30" w:before="72"/>
              <w:jc w:val="center"/>
            </w:pPr>
            <w:r w:rsidRPr="00AE3A31">
              <w:t>−182.4</w:t>
            </w:r>
          </w:p>
        </w:tc>
      </w:tr>
      <w:tr w:rsidR="00700609" w:rsidRPr="00AE3A31" w14:paraId="0DE81700" w14:textId="77777777" w:rsidTr="00681BA8">
        <w:trPr>
          <w:cantSplit/>
          <w:jc w:val="center"/>
        </w:trPr>
        <w:tc>
          <w:tcPr>
            <w:tcW w:w="2706" w:type="pct"/>
          </w:tcPr>
          <w:p w14:paraId="4B80460B" w14:textId="4B75C562" w:rsidR="00700609" w:rsidRPr="00AE3A31" w:rsidRDefault="00700609" w:rsidP="00681BA8">
            <w:pPr>
              <w:pStyle w:val="Tabletext"/>
              <w:spacing w:beforeLines="30" w:before="72"/>
            </w:pPr>
            <w:r w:rsidRPr="00AE3A31">
              <w:t>Ground receiver system noise temperature (K)</w:t>
            </w:r>
          </w:p>
        </w:tc>
        <w:tc>
          <w:tcPr>
            <w:tcW w:w="1203" w:type="pct"/>
            <w:gridSpan w:val="2"/>
          </w:tcPr>
          <w:p w14:paraId="130BF6AE"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738</w:t>
            </w:r>
          </w:p>
        </w:tc>
        <w:tc>
          <w:tcPr>
            <w:tcW w:w="1091" w:type="pct"/>
            <w:gridSpan w:val="2"/>
          </w:tcPr>
          <w:p w14:paraId="4D032D27" w14:textId="77777777" w:rsidR="00700609" w:rsidRPr="00AE3A31" w:rsidRDefault="00700609" w:rsidP="00681BA8">
            <w:pPr>
              <w:pStyle w:val="Tabletext"/>
              <w:spacing w:beforeLines="30" w:before="72"/>
              <w:jc w:val="center"/>
            </w:pPr>
            <w:r w:rsidRPr="00AE3A31">
              <w:t>1 000</w:t>
            </w:r>
          </w:p>
        </w:tc>
      </w:tr>
      <w:tr w:rsidR="00700609" w:rsidRPr="00AE3A31" w14:paraId="0CF9B460" w14:textId="77777777" w:rsidTr="00681BA8">
        <w:trPr>
          <w:cantSplit/>
          <w:jc w:val="center"/>
        </w:trPr>
        <w:tc>
          <w:tcPr>
            <w:tcW w:w="2706" w:type="pct"/>
          </w:tcPr>
          <w:p w14:paraId="1BC708B5" w14:textId="079BF34E" w:rsidR="00700609" w:rsidRPr="00AE3A31" w:rsidRDefault="00700609" w:rsidP="00681BA8">
            <w:pPr>
              <w:pStyle w:val="Tabletext"/>
              <w:spacing w:beforeLines="30" w:before="72"/>
            </w:pPr>
            <w:r w:rsidRPr="00AE3A31">
              <w:t>Ground receiver system noise power (dBW)</w:t>
            </w:r>
          </w:p>
        </w:tc>
        <w:tc>
          <w:tcPr>
            <w:tcW w:w="1203" w:type="pct"/>
            <w:gridSpan w:val="2"/>
          </w:tcPr>
          <w:p w14:paraId="3DA5D9F3"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−168.7</w:t>
            </w:r>
          </w:p>
        </w:tc>
        <w:tc>
          <w:tcPr>
            <w:tcW w:w="1091" w:type="pct"/>
            <w:gridSpan w:val="2"/>
          </w:tcPr>
          <w:p w14:paraId="1EA72316" w14:textId="77777777" w:rsidR="00700609" w:rsidRPr="00AE3A31" w:rsidRDefault="00700609" w:rsidP="00681BA8">
            <w:pPr>
              <w:pStyle w:val="Tabletext"/>
              <w:spacing w:beforeLines="30" w:before="72"/>
              <w:jc w:val="center"/>
            </w:pPr>
            <w:r w:rsidRPr="00AE3A31">
              <w:t>−146.8</w:t>
            </w:r>
          </w:p>
        </w:tc>
      </w:tr>
      <w:tr w:rsidR="00700609" w:rsidRPr="00AE3A31" w14:paraId="42050056" w14:textId="77777777" w:rsidTr="00681BA8">
        <w:trPr>
          <w:cantSplit/>
          <w:jc w:val="center"/>
        </w:trPr>
        <w:tc>
          <w:tcPr>
            <w:tcW w:w="2706" w:type="pct"/>
          </w:tcPr>
          <w:p w14:paraId="62896EE3" w14:textId="3DC999A6" w:rsidR="00700609" w:rsidRPr="00AE3A31" w:rsidRDefault="00700609" w:rsidP="00C14F39">
            <w:pPr>
              <w:pStyle w:val="Tabletext"/>
              <w:spacing w:beforeLines="30" w:before="72"/>
              <w:ind w:left="284" w:hanging="284"/>
              <w:jc w:val="left"/>
            </w:pPr>
            <w:r w:rsidRPr="00AE3A31">
              <w:t xml:space="preserve">Ground receiver noise spectral density, </w:t>
            </w:r>
            <w:r w:rsidRPr="00AE3A31">
              <w:rPr>
                <w:i/>
              </w:rPr>
              <w:t>N</w:t>
            </w:r>
            <w:r w:rsidRPr="00AE3A31">
              <w:rPr>
                <w:vertAlign w:val="subscript"/>
              </w:rPr>
              <w:t>0</w:t>
            </w:r>
            <w:r w:rsidRPr="00AE3A31">
              <w:t xml:space="preserve"> (dB(W/Hz))</w:t>
            </w:r>
          </w:p>
        </w:tc>
        <w:tc>
          <w:tcPr>
            <w:tcW w:w="1203" w:type="pct"/>
            <w:gridSpan w:val="2"/>
          </w:tcPr>
          <w:p w14:paraId="4D6FD427"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−200.5</w:t>
            </w:r>
          </w:p>
        </w:tc>
        <w:tc>
          <w:tcPr>
            <w:tcW w:w="1091" w:type="pct"/>
            <w:gridSpan w:val="2"/>
          </w:tcPr>
          <w:p w14:paraId="562AC644" w14:textId="77777777" w:rsidR="00700609" w:rsidRPr="00AE3A31" w:rsidRDefault="00700609" w:rsidP="00681BA8">
            <w:pPr>
              <w:pStyle w:val="Tabletext"/>
              <w:spacing w:beforeLines="30" w:before="72"/>
              <w:jc w:val="center"/>
            </w:pPr>
            <w:r w:rsidRPr="00AE3A31">
              <w:t>−197.4</w:t>
            </w:r>
          </w:p>
        </w:tc>
      </w:tr>
      <w:tr w:rsidR="00700609" w:rsidRPr="00AE3A31" w14:paraId="0CE54DE3" w14:textId="77777777" w:rsidTr="00681BA8">
        <w:trPr>
          <w:cantSplit/>
          <w:jc w:val="center"/>
        </w:trPr>
        <w:tc>
          <w:tcPr>
            <w:tcW w:w="2706" w:type="pct"/>
          </w:tcPr>
          <w:p w14:paraId="54EAB0B8" w14:textId="272E1448" w:rsidR="00700609" w:rsidRPr="00AE3A31" w:rsidRDefault="00700609" w:rsidP="00681BA8">
            <w:pPr>
              <w:pStyle w:val="Tabletext"/>
              <w:spacing w:beforeLines="30" w:before="72"/>
            </w:pPr>
            <w:r w:rsidRPr="00AE3A31">
              <w:t xml:space="preserve">Minimum </w:t>
            </w:r>
            <w:r w:rsidRPr="00AE3A31">
              <w:rPr>
                <w:i/>
              </w:rPr>
              <w:t>C</w:t>
            </w:r>
            <w:r w:rsidRPr="00AE3A31">
              <w:rPr>
                <w:vertAlign w:val="subscript"/>
              </w:rPr>
              <w:t>0</w:t>
            </w:r>
            <w:r w:rsidRPr="00AE3A31">
              <w:t>/</w:t>
            </w:r>
            <w:r w:rsidRPr="00AE3A31">
              <w:rPr>
                <w:i/>
              </w:rPr>
              <w:t>N</w:t>
            </w:r>
            <w:r w:rsidRPr="00AE3A31">
              <w:rPr>
                <w:vertAlign w:val="subscript"/>
              </w:rPr>
              <w:t>0</w:t>
            </w:r>
            <w:r w:rsidRPr="00AE3A31">
              <w:t xml:space="preserve"> (dB)</w:t>
            </w:r>
          </w:p>
        </w:tc>
        <w:tc>
          <w:tcPr>
            <w:tcW w:w="676" w:type="pct"/>
          </w:tcPr>
          <w:p w14:paraId="4A8A55A4"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7</w:t>
            </w:r>
          </w:p>
        </w:tc>
        <w:tc>
          <w:tcPr>
            <w:tcW w:w="527" w:type="pct"/>
          </w:tcPr>
          <w:p w14:paraId="38044367" w14:textId="77777777" w:rsidR="00700609" w:rsidRPr="00AE3A31" w:rsidRDefault="00700609" w:rsidP="00681BA8">
            <w:pPr>
              <w:pStyle w:val="Tabletext"/>
              <w:keepNext/>
              <w:keepLines/>
              <w:tabs>
                <w:tab w:val="left" w:leader="dot" w:pos="7938"/>
                <w:tab w:val="center" w:pos="9526"/>
              </w:tabs>
              <w:spacing w:beforeLines="30" w:before="72"/>
              <w:ind w:left="567" w:hanging="567"/>
              <w:jc w:val="center"/>
            </w:pPr>
            <w:r w:rsidRPr="00AE3A31">
              <w:t>12</w:t>
            </w:r>
          </w:p>
        </w:tc>
        <w:tc>
          <w:tcPr>
            <w:tcW w:w="527" w:type="pct"/>
          </w:tcPr>
          <w:p w14:paraId="169AA38F" w14:textId="77777777" w:rsidR="00700609" w:rsidRPr="00AE3A31" w:rsidRDefault="00700609" w:rsidP="00681BA8">
            <w:pPr>
              <w:pStyle w:val="Tabletext"/>
              <w:spacing w:beforeLines="30" w:before="72"/>
              <w:jc w:val="center"/>
            </w:pPr>
            <w:r w:rsidRPr="00AE3A31">
              <w:t>6</w:t>
            </w:r>
          </w:p>
        </w:tc>
        <w:tc>
          <w:tcPr>
            <w:tcW w:w="564" w:type="pct"/>
          </w:tcPr>
          <w:p w14:paraId="45814FF5" w14:textId="77777777" w:rsidR="00700609" w:rsidRPr="00AE3A31" w:rsidRDefault="00700609" w:rsidP="00681BA8">
            <w:pPr>
              <w:pStyle w:val="Tabletext"/>
              <w:spacing w:beforeLines="30" w:before="72"/>
              <w:jc w:val="center"/>
            </w:pPr>
            <w:r w:rsidRPr="00AE3A31">
              <w:t>12</w:t>
            </w:r>
          </w:p>
        </w:tc>
      </w:tr>
      <w:tr w:rsidR="00700609" w:rsidRPr="00AE3A31" w14:paraId="04FD557E" w14:textId="77777777" w:rsidTr="00681BA8">
        <w:trPr>
          <w:cantSplit/>
          <w:jc w:val="center"/>
        </w:trPr>
        <w:tc>
          <w:tcPr>
            <w:tcW w:w="2706" w:type="pct"/>
          </w:tcPr>
          <w:p w14:paraId="53E9B5CF" w14:textId="00232106" w:rsidR="00700609" w:rsidRPr="00AE3A31" w:rsidRDefault="00700609" w:rsidP="00681BA8">
            <w:pPr>
              <w:pStyle w:val="Tabletext"/>
              <w:spacing w:beforeLines="30" w:before="72"/>
            </w:pPr>
            <w:r w:rsidRPr="00AE3A31">
              <w:t xml:space="preserve">Actual </w:t>
            </w:r>
            <w:r w:rsidRPr="00AE3A31">
              <w:rPr>
                <w:i/>
              </w:rPr>
              <w:t>C</w:t>
            </w:r>
            <w:r w:rsidRPr="00AE3A31">
              <w:rPr>
                <w:vertAlign w:val="subscript"/>
              </w:rPr>
              <w:t>0</w:t>
            </w:r>
            <w:r w:rsidRPr="00AE3A31">
              <w:t>/</w:t>
            </w:r>
            <w:r w:rsidRPr="00AE3A31">
              <w:rPr>
                <w:i/>
              </w:rPr>
              <w:t>N</w:t>
            </w:r>
            <w:r w:rsidRPr="00AE3A31">
              <w:rPr>
                <w:vertAlign w:val="subscript"/>
              </w:rPr>
              <w:t>0</w:t>
            </w:r>
            <w:r w:rsidRPr="00AE3A31">
              <w:t xml:space="preserve"> for flight (dB)</w:t>
            </w:r>
          </w:p>
        </w:tc>
        <w:tc>
          <w:tcPr>
            <w:tcW w:w="1203" w:type="pct"/>
            <w:gridSpan w:val="2"/>
          </w:tcPr>
          <w:p w14:paraId="47F0B6D1" w14:textId="77777777" w:rsidR="00700609" w:rsidRPr="00AE3A31" w:rsidRDefault="00700609" w:rsidP="00681BA8">
            <w:pPr>
              <w:pStyle w:val="Tabletext"/>
              <w:keepLines/>
              <w:tabs>
                <w:tab w:val="left" w:leader="dot" w:pos="7938"/>
                <w:tab w:val="center" w:pos="9526"/>
              </w:tabs>
              <w:spacing w:beforeLines="30" w:before="72"/>
              <w:ind w:left="567" w:hanging="567"/>
              <w:jc w:val="center"/>
            </w:pPr>
            <w:r w:rsidRPr="00AE3A31">
              <w:t>12.5</w:t>
            </w:r>
          </w:p>
        </w:tc>
        <w:tc>
          <w:tcPr>
            <w:tcW w:w="1091" w:type="pct"/>
            <w:gridSpan w:val="2"/>
          </w:tcPr>
          <w:p w14:paraId="78A249FD" w14:textId="77777777" w:rsidR="00700609" w:rsidRPr="00AE3A31" w:rsidRDefault="00700609" w:rsidP="00681BA8">
            <w:pPr>
              <w:pStyle w:val="Tabletext"/>
              <w:spacing w:beforeLines="30" w:before="72"/>
              <w:jc w:val="center"/>
            </w:pPr>
            <w:r w:rsidRPr="00AE3A31">
              <w:t>15</w:t>
            </w:r>
          </w:p>
        </w:tc>
      </w:tr>
      <w:tr w:rsidR="00700609" w:rsidRPr="00AE3A31" w14:paraId="4550CC86" w14:textId="77777777" w:rsidTr="00681BA8">
        <w:trPr>
          <w:cantSplit/>
          <w:jc w:val="center"/>
        </w:trPr>
        <w:tc>
          <w:tcPr>
            <w:tcW w:w="2706" w:type="pct"/>
          </w:tcPr>
          <w:p w14:paraId="05C56984" w14:textId="4B3D31CF" w:rsidR="00700609" w:rsidRPr="00AE3A31" w:rsidRDefault="00700609" w:rsidP="00681BA8">
            <w:pPr>
              <w:pStyle w:val="Tabletext"/>
              <w:spacing w:beforeLines="30" w:before="72"/>
            </w:pPr>
            <w:r w:rsidRPr="00AE3A31">
              <w:t>Margin (dB)</w:t>
            </w:r>
          </w:p>
        </w:tc>
        <w:tc>
          <w:tcPr>
            <w:tcW w:w="676" w:type="pct"/>
          </w:tcPr>
          <w:p w14:paraId="016D9CE9" w14:textId="77777777" w:rsidR="00700609" w:rsidRPr="00AE3A31" w:rsidRDefault="00700609" w:rsidP="00681BA8">
            <w:pPr>
              <w:pStyle w:val="Tabletext"/>
              <w:keepLines/>
              <w:tabs>
                <w:tab w:val="left" w:leader="dot" w:pos="7938"/>
                <w:tab w:val="center" w:pos="9526"/>
              </w:tabs>
              <w:spacing w:beforeLines="30" w:before="72"/>
              <w:ind w:left="567" w:hanging="567"/>
              <w:jc w:val="center"/>
            </w:pPr>
            <w:r w:rsidRPr="00AE3A31">
              <w:t>5.5</w:t>
            </w:r>
          </w:p>
        </w:tc>
        <w:tc>
          <w:tcPr>
            <w:tcW w:w="527" w:type="pct"/>
          </w:tcPr>
          <w:p w14:paraId="652953B6" w14:textId="77777777" w:rsidR="00700609" w:rsidRPr="00AE3A31" w:rsidRDefault="00700609" w:rsidP="00681BA8">
            <w:pPr>
              <w:pStyle w:val="Tabletext"/>
              <w:keepLines/>
              <w:tabs>
                <w:tab w:val="left" w:leader="dot" w:pos="7938"/>
                <w:tab w:val="center" w:pos="9526"/>
              </w:tabs>
              <w:spacing w:beforeLines="30" w:before="72"/>
              <w:ind w:left="567" w:hanging="567"/>
              <w:jc w:val="center"/>
            </w:pPr>
            <w:r w:rsidRPr="00AE3A31">
              <w:t>0.5</w:t>
            </w:r>
          </w:p>
        </w:tc>
        <w:tc>
          <w:tcPr>
            <w:tcW w:w="527" w:type="pct"/>
          </w:tcPr>
          <w:p w14:paraId="7D7D4861" w14:textId="77777777" w:rsidR="00700609" w:rsidRPr="00AE3A31" w:rsidRDefault="00700609" w:rsidP="00681BA8">
            <w:pPr>
              <w:pStyle w:val="Tabletext"/>
              <w:spacing w:beforeLines="30" w:before="72"/>
              <w:jc w:val="center"/>
            </w:pPr>
            <w:r w:rsidRPr="00AE3A31">
              <w:t>9.0</w:t>
            </w:r>
          </w:p>
        </w:tc>
        <w:tc>
          <w:tcPr>
            <w:tcW w:w="564" w:type="pct"/>
          </w:tcPr>
          <w:p w14:paraId="4A4E9FAF" w14:textId="77777777" w:rsidR="00700609" w:rsidRPr="00AE3A31" w:rsidRDefault="00700609" w:rsidP="00681BA8">
            <w:pPr>
              <w:pStyle w:val="Tabletext"/>
              <w:spacing w:beforeLines="30" w:before="72"/>
              <w:jc w:val="center"/>
            </w:pPr>
            <w:r w:rsidRPr="00AE3A31">
              <w:t>3.0</w:t>
            </w:r>
          </w:p>
        </w:tc>
      </w:tr>
    </w:tbl>
    <w:p w14:paraId="47C30340" w14:textId="77777777" w:rsidR="00700609" w:rsidRPr="00AE3A31" w:rsidRDefault="00700609" w:rsidP="00700609">
      <w:pPr>
        <w:pStyle w:val="Tablefin"/>
      </w:pPr>
    </w:p>
    <w:p w14:paraId="1F608E89" w14:textId="77777777" w:rsidR="00700609" w:rsidRPr="00AE3A31" w:rsidRDefault="00700609" w:rsidP="00700609">
      <w:pPr>
        <w:pStyle w:val="Heading1"/>
      </w:pPr>
      <w:r w:rsidRPr="00AE3A31">
        <w:t>4</w:t>
      </w:r>
      <w:r w:rsidRPr="00AE3A31">
        <w:tab/>
        <w:t>Calculation of MetAids interference criteria</w:t>
      </w:r>
    </w:p>
    <w:p w14:paraId="5648E0E7" w14:textId="77777777" w:rsidR="00700609" w:rsidRPr="00AE3A31" w:rsidRDefault="00700609" w:rsidP="00700609">
      <w:pPr>
        <w:pStyle w:val="Heading2"/>
      </w:pPr>
      <w:r w:rsidRPr="00AE3A31">
        <w:t>4.1</w:t>
      </w:r>
      <w:r w:rsidRPr="00AE3A31">
        <w:tab/>
        <w:t>Radiosondes</w:t>
      </w:r>
    </w:p>
    <w:p w14:paraId="44E8F488" w14:textId="77777777" w:rsidR="00700609" w:rsidRPr="00AE3A31" w:rsidRDefault="00700609" w:rsidP="00700609">
      <w:r w:rsidRPr="00AE3A31">
        <w:t>The interference criteria can be calculated utilizing equations (1), (2) and (3), and the results of the link budget analysis in Tables 5, 6 and 7. The interference criteria established for each of the three radiosonde systems are presented in Tables 8 and 9.</w:t>
      </w:r>
    </w:p>
    <w:p w14:paraId="37F9CD7D" w14:textId="77777777" w:rsidR="00700609" w:rsidRPr="00AE3A31" w:rsidRDefault="00700609" w:rsidP="00700609">
      <w:pPr>
        <w:pStyle w:val="TableNo"/>
      </w:pPr>
      <w:r w:rsidRPr="00AE3A31">
        <w:lastRenderedPageBreak/>
        <w:t>TABLE 8</w:t>
      </w:r>
    </w:p>
    <w:p w14:paraId="054D0436" w14:textId="77777777" w:rsidR="00700609" w:rsidRPr="00AE3A31" w:rsidRDefault="00700609" w:rsidP="00700609">
      <w:pPr>
        <w:pStyle w:val="Tabletitle"/>
      </w:pPr>
      <w:r w:rsidRPr="00AE3A31">
        <w:t xml:space="preserve">Interference criteria for non-NAVAID radiosonde systems operating in </w:t>
      </w:r>
      <w:r w:rsidRPr="00AE3A31">
        <w:br/>
        <w:t>the frequency band 400.15-406 MHz</w:t>
      </w:r>
      <w:r w:rsidRPr="00AE3A31">
        <w:rPr>
          <w:vertAlign w:val="superscript"/>
        </w:rPr>
        <w:t>(1)</w:t>
      </w:r>
    </w:p>
    <w:tbl>
      <w:tblPr>
        <w:tblW w:w="9639" w:type="dxa"/>
        <w:jc w:val="center"/>
        <w:tblLook w:val="04A0" w:firstRow="1" w:lastRow="0" w:firstColumn="1" w:lastColumn="0" w:noHBand="0" w:noVBand="1"/>
      </w:tblPr>
      <w:tblGrid>
        <w:gridCol w:w="4454"/>
        <w:gridCol w:w="1006"/>
        <w:gridCol w:w="1008"/>
        <w:gridCol w:w="1056"/>
        <w:gridCol w:w="1099"/>
        <w:gridCol w:w="1016"/>
      </w:tblGrid>
      <w:tr w:rsidR="00700609" w:rsidRPr="00AE3A31" w14:paraId="2D146C55" w14:textId="77777777" w:rsidTr="00681BA8">
        <w:trPr>
          <w:cantSplit/>
          <w:jc w:val="center"/>
        </w:trPr>
        <w:tc>
          <w:tcPr>
            <w:tcW w:w="2310"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76A75040" w14:textId="77777777" w:rsidR="00700609" w:rsidRPr="00AE3A31" w:rsidRDefault="00700609" w:rsidP="00681BA8">
            <w:pPr>
              <w:pStyle w:val="Tablehead"/>
            </w:pPr>
            <w:r w:rsidRPr="00AE3A31">
              <w:t>Type System</w:t>
            </w:r>
          </w:p>
        </w:tc>
        <w:tc>
          <w:tcPr>
            <w:tcW w:w="522"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BE8FC7" w14:textId="77777777" w:rsidR="00700609" w:rsidRPr="00AE3A31" w:rsidRDefault="00700609" w:rsidP="00681BA8">
            <w:pPr>
              <w:pStyle w:val="Tablehead"/>
            </w:pPr>
            <w:r w:rsidRPr="00AE3A31">
              <w:t>Type A</w:t>
            </w:r>
          </w:p>
        </w:tc>
        <w:tc>
          <w:tcPr>
            <w:tcW w:w="523" w:type="pct"/>
            <w:tcBorders>
              <w:top w:val="single" w:sz="8" w:space="0" w:color="auto"/>
              <w:left w:val="nil"/>
              <w:bottom w:val="single" w:sz="8" w:space="0" w:color="auto"/>
              <w:right w:val="single" w:sz="8" w:space="0" w:color="000000"/>
            </w:tcBorders>
            <w:shd w:val="clear" w:color="auto" w:fill="auto"/>
            <w:noWrap/>
            <w:vAlign w:val="center"/>
            <w:hideMark/>
          </w:tcPr>
          <w:p w14:paraId="289E87C2" w14:textId="77777777" w:rsidR="00700609" w:rsidRPr="00AE3A31" w:rsidRDefault="00700609" w:rsidP="00681BA8">
            <w:pPr>
              <w:pStyle w:val="Tablehead"/>
            </w:pPr>
            <w:r w:rsidRPr="00AE3A31">
              <w:t>Type B</w:t>
            </w:r>
          </w:p>
        </w:tc>
        <w:tc>
          <w:tcPr>
            <w:tcW w:w="548" w:type="pct"/>
            <w:tcBorders>
              <w:top w:val="single" w:sz="8" w:space="0" w:color="auto"/>
              <w:left w:val="nil"/>
              <w:bottom w:val="single" w:sz="8" w:space="0" w:color="auto"/>
              <w:right w:val="single" w:sz="8" w:space="0" w:color="000000"/>
            </w:tcBorders>
            <w:shd w:val="clear" w:color="auto" w:fill="auto"/>
            <w:noWrap/>
            <w:vAlign w:val="center"/>
            <w:hideMark/>
          </w:tcPr>
          <w:p w14:paraId="64CAD55F" w14:textId="77777777" w:rsidR="00700609" w:rsidRPr="00AE3A31" w:rsidRDefault="00700609" w:rsidP="00681BA8">
            <w:pPr>
              <w:pStyle w:val="Tablehead"/>
            </w:pPr>
            <w:r w:rsidRPr="00AE3A31">
              <w:t>Type C</w:t>
            </w:r>
          </w:p>
        </w:tc>
        <w:tc>
          <w:tcPr>
            <w:tcW w:w="570"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688AAE" w14:textId="77777777" w:rsidR="00700609" w:rsidRPr="00AE3A31" w:rsidRDefault="00700609" w:rsidP="00681BA8">
            <w:pPr>
              <w:pStyle w:val="Tablehead"/>
            </w:pPr>
            <w:r w:rsidRPr="00AE3A31">
              <w:t>Type D</w:t>
            </w:r>
          </w:p>
        </w:tc>
        <w:tc>
          <w:tcPr>
            <w:tcW w:w="527" w:type="pct"/>
            <w:tcBorders>
              <w:top w:val="single" w:sz="8" w:space="0" w:color="auto"/>
              <w:left w:val="nil"/>
              <w:bottom w:val="single" w:sz="8" w:space="0" w:color="auto"/>
              <w:right w:val="single" w:sz="4" w:space="0" w:color="auto"/>
            </w:tcBorders>
            <w:shd w:val="clear" w:color="auto" w:fill="auto"/>
            <w:noWrap/>
            <w:vAlign w:val="center"/>
            <w:hideMark/>
          </w:tcPr>
          <w:p w14:paraId="499D2800" w14:textId="77777777" w:rsidR="00700609" w:rsidRPr="00AE3A31" w:rsidRDefault="00700609" w:rsidP="00681BA8">
            <w:pPr>
              <w:pStyle w:val="Tablehead"/>
            </w:pPr>
            <w:r w:rsidRPr="00AE3A31">
              <w:t>Type E</w:t>
            </w:r>
          </w:p>
        </w:tc>
      </w:tr>
      <w:tr w:rsidR="00700609" w:rsidRPr="00AE3A31" w14:paraId="3DE01E47" w14:textId="77777777" w:rsidTr="00681BA8">
        <w:trPr>
          <w:cantSplit/>
          <w:jc w:val="center"/>
        </w:trPr>
        <w:tc>
          <w:tcPr>
            <w:tcW w:w="2310" w:type="pct"/>
            <w:tcBorders>
              <w:top w:val="nil"/>
              <w:left w:val="single" w:sz="8" w:space="0" w:color="auto"/>
              <w:bottom w:val="single" w:sz="4" w:space="0" w:color="auto"/>
              <w:right w:val="single" w:sz="8" w:space="0" w:color="000000"/>
            </w:tcBorders>
            <w:shd w:val="clear" w:color="auto" w:fill="auto"/>
            <w:vAlign w:val="center"/>
            <w:hideMark/>
          </w:tcPr>
          <w:p w14:paraId="038CB4AD" w14:textId="77777777" w:rsidR="00700609" w:rsidRPr="00AE3A31" w:rsidRDefault="00700609" w:rsidP="00681BA8">
            <w:pPr>
              <w:pStyle w:val="Tablehead"/>
            </w:pPr>
            <w:r w:rsidRPr="00AE3A31">
              <w:t>Parameter</w:t>
            </w:r>
          </w:p>
        </w:tc>
        <w:tc>
          <w:tcPr>
            <w:tcW w:w="522" w:type="pct"/>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7FC0260" w14:textId="77777777" w:rsidR="00700609" w:rsidRPr="00AE3A31" w:rsidRDefault="00700609" w:rsidP="00681BA8">
            <w:pPr>
              <w:pStyle w:val="Tablehead"/>
            </w:pPr>
            <w:r w:rsidRPr="00AE3A31">
              <w:t>FM</w:t>
            </w:r>
          </w:p>
        </w:tc>
        <w:tc>
          <w:tcPr>
            <w:tcW w:w="523" w:type="pct"/>
            <w:tcBorders>
              <w:top w:val="single" w:sz="8" w:space="0" w:color="auto"/>
              <w:left w:val="nil"/>
              <w:bottom w:val="single" w:sz="4" w:space="0" w:color="auto"/>
              <w:right w:val="single" w:sz="8" w:space="0" w:color="000000"/>
            </w:tcBorders>
            <w:shd w:val="clear" w:color="auto" w:fill="auto"/>
            <w:noWrap/>
            <w:vAlign w:val="center"/>
            <w:hideMark/>
          </w:tcPr>
          <w:p w14:paraId="29F3F930" w14:textId="77777777" w:rsidR="00700609" w:rsidRPr="00AE3A31" w:rsidRDefault="00700609" w:rsidP="00681BA8">
            <w:pPr>
              <w:pStyle w:val="Tablehead"/>
            </w:pPr>
            <w:r w:rsidRPr="00AE3A31">
              <w:t>GMSK</w:t>
            </w:r>
          </w:p>
        </w:tc>
        <w:tc>
          <w:tcPr>
            <w:tcW w:w="548" w:type="pct"/>
            <w:tcBorders>
              <w:top w:val="single" w:sz="8" w:space="0" w:color="auto"/>
              <w:left w:val="nil"/>
              <w:bottom w:val="single" w:sz="4" w:space="0" w:color="auto"/>
              <w:right w:val="single" w:sz="8" w:space="0" w:color="000000"/>
            </w:tcBorders>
            <w:shd w:val="clear" w:color="auto" w:fill="auto"/>
            <w:noWrap/>
            <w:vAlign w:val="center"/>
            <w:hideMark/>
          </w:tcPr>
          <w:p w14:paraId="0FAB77E3" w14:textId="77777777" w:rsidR="00700609" w:rsidRPr="00AE3A31" w:rsidRDefault="00700609" w:rsidP="00681BA8">
            <w:pPr>
              <w:pStyle w:val="Tablehead"/>
            </w:pPr>
            <w:r w:rsidRPr="00AE3A31">
              <w:t>GFSK</w:t>
            </w:r>
          </w:p>
        </w:tc>
        <w:tc>
          <w:tcPr>
            <w:tcW w:w="570" w:type="pct"/>
            <w:tcBorders>
              <w:top w:val="single" w:sz="8" w:space="0" w:color="auto"/>
              <w:left w:val="nil"/>
              <w:bottom w:val="single" w:sz="4" w:space="0" w:color="auto"/>
              <w:right w:val="single" w:sz="8" w:space="0" w:color="000000"/>
            </w:tcBorders>
            <w:shd w:val="clear" w:color="auto" w:fill="auto"/>
            <w:noWrap/>
            <w:vAlign w:val="center"/>
            <w:hideMark/>
          </w:tcPr>
          <w:p w14:paraId="402303F3" w14:textId="77777777" w:rsidR="00700609" w:rsidRPr="00AE3A31" w:rsidRDefault="00700609" w:rsidP="00681BA8">
            <w:pPr>
              <w:pStyle w:val="Tablehead"/>
            </w:pPr>
            <w:r w:rsidRPr="00AE3A31">
              <w:t>QAM</w:t>
            </w:r>
          </w:p>
        </w:tc>
        <w:tc>
          <w:tcPr>
            <w:tcW w:w="527" w:type="pct"/>
            <w:tcBorders>
              <w:top w:val="single" w:sz="8" w:space="0" w:color="auto"/>
              <w:left w:val="nil"/>
              <w:bottom w:val="single" w:sz="8" w:space="0" w:color="auto"/>
              <w:right w:val="single" w:sz="8" w:space="0" w:color="000000"/>
            </w:tcBorders>
            <w:shd w:val="clear" w:color="auto" w:fill="auto"/>
            <w:noWrap/>
            <w:vAlign w:val="center"/>
            <w:hideMark/>
          </w:tcPr>
          <w:p w14:paraId="1A5B5BDE" w14:textId="77777777" w:rsidR="00700609" w:rsidRPr="00AE3A31" w:rsidRDefault="00700609" w:rsidP="00681BA8">
            <w:pPr>
              <w:pStyle w:val="Tablehead"/>
            </w:pPr>
            <w:r w:rsidRPr="00AE3A31">
              <w:t>FSK</w:t>
            </w:r>
          </w:p>
        </w:tc>
      </w:tr>
      <w:tr w:rsidR="00700609" w:rsidRPr="00AE3A31" w14:paraId="596F5C45" w14:textId="77777777" w:rsidTr="00681BA8">
        <w:trPr>
          <w:cantSplit/>
          <w:jc w:val="center"/>
        </w:trPr>
        <w:tc>
          <w:tcPr>
            <w:tcW w:w="2310" w:type="pct"/>
            <w:tcBorders>
              <w:top w:val="single" w:sz="4" w:space="0" w:color="auto"/>
              <w:left w:val="single" w:sz="8" w:space="0" w:color="auto"/>
              <w:bottom w:val="single" w:sz="8" w:space="0" w:color="auto"/>
              <w:right w:val="single" w:sz="8" w:space="0" w:color="000000"/>
            </w:tcBorders>
            <w:shd w:val="clear" w:color="auto" w:fill="auto"/>
            <w:vAlign w:val="center"/>
            <w:hideMark/>
          </w:tcPr>
          <w:p w14:paraId="59F66055" w14:textId="77777777" w:rsidR="00700609" w:rsidRPr="00AE3A31" w:rsidRDefault="00700609" w:rsidP="00C14F39">
            <w:pPr>
              <w:pStyle w:val="Tabletext"/>
              <w:jc w:val="left"/>
            </w:pPr>
            <w:r w:rsidRPr="00AE3A31">
              <w:t>Receiver noise spectral density (dB(W/Hz))</w:t>
            </w:r>
          </w:p>
        </w:tc>
        <w:tc>
          <w:tcPr>
            <w:tcW w:w="522" w:type="pct"/>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BDA9536" w14:textId="77777777" w:rsidR="00700609" w:rsidRPr="00AE3A31" w:rsidRDefault="00700609" w:rsidP="00681BA8">
            <w:pPr>
              <w:pStyle w:val="Tabletext"/>
              <w:jc w:val="center"/>
            </w:pPr>
            <w:r w:rsidRPr="00AE3A31">
              <w:t>−200.8</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14:paraId="6B9B2DE1" w14:textId="77777777" w:rsidR="00700609" w:rsidRPr="00AE3A31" w:rsidRDefault="00700609" w:rsidP="00681BA8">
            <w:pPr>
              <w:pStyle w:val="Tabletext"/>
              <w:jc w:val="center"/>
            </w:pPr>
            <w:r w:rsidRPr="00AE3A31">
              <w:t>−200.8</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14:paraId="3B3BF4D8" w14:textId="77777777" w:rsidR="00700609" w:rsidRPr="00AE3A31" w:rsidRDefault="00700609" w:rsidP="00681BA8">
            <w:pPr>
              <w:pStyle w:val="Tabletext"/>
              <w:jc w:val="center"/>
            </w:pPr>
            <w:r w:rsidRPr="00AE3A31">
              <w:t>−206.3</w:t>
            </w:r>
          </w:p>
        </w:tc>
        <w:tc>
          <w:tcPr>
            <w:tcW w:w="570" w:type="pct"/>
            <w:tcBorders>
              <w:top w:val="single" w:sz="4" w:space="0" w:color="auto"/>
              <w:left w:val="nil"/>
              <w:bottom w:val="single" w:sz="4" w:space="0" w:color="auto"/>
              <w:right w:val="single" w:sz="8" w:space="0" w:color="000000"/>
            </w:tcBorders>
            <w:shd w:val="clear" w:color="auto" w:fill="auto"/>
            <w:noWrap/>
            <w:vAlign w:val="center"/>
            <w:hideMark/>
          </w:tcPr>
          <w:p w14:paraId="062CCFB9" w14:textId="77777777" w:rsidR="00700609" w:rsidRPr="00AE3A31" w:rsidRDefault="00700609" w:rsidP="00681BA8">
            <w:pPr>
              <w:pStyle w:val="Tabletext"/>
              <w:jc w:val="center"/>
            </w:pPr>
            <w:r w:rsidRPr="00AE3A31">
              <w:t>−204.5</w:t>
            </w:r>
          </w:p>
        </w:tc>
        <w:tc>
          <w:tcPr>
            <w:tcW w:w="527" w:type="pct"/>
            <w:tcBorders>
              <w:top w:val="single" w:sz="4" w:space="0" w:color="auto"/>
              <w:left w:val="nil"/>
              <w:bottom w:val="single" w:sz="4" w:space="0" w:color="auto"/>
              <w:right w:val="single" w:sz="8" w:space="0" w:color="000000"/>
            </w:tcBorders>
            <w:shd w:val="clear" w:color="auto" w:fill="auto"/>
            <w:noWrap/>
            <w:vAlign w:val="center"/>
            <w:hideMark/>
          </w:tcPr>
          <w:p w14:paraId="0029AA1A" w14:textId="77777777" w:rsidR="00700609" w:rsidRPr="00AE3A31" w:rsidRDefault="00700609" w:rsidP="00681BA8">
            <w:pPr>
              <w:pStyle w:val="Tabletext"/>
              <w:jc w:val="center"/>
            </w:pPr>
            <w:r w:rsidRPr="00AE3A31">
              <w:t>−199.9</w:t>
            </w:r>
          </w:p>
        </w:tc>
      </w:tr>
      <w:tr w:rsidR="00700609" w:rsidRPr="00AE3A31" w14:paraId="69866DD2" w14:textId="77777777" w:rsidTr="00681BA8">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339F15" w14:textId="77777777" w:rsidR="00700609" w:rsidRPr="00AE3A31" w:rsidRDefault="00700609" w:rsidP="00C14F39">
            <w:pPr>
              <w:pStyle w:val="Tabletext"/>
              <w:jc w:val="left"/>
            </w:pPr>
            <w:r w:rsidRPr="00AE3A31">
              <w:t>Receiver reference bandwidth (dB/Hz)</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14:paraId="776AAC96" w14:textId="77777777" w:rsidR="00700609" w:rsidRPr="00AE3A31" w:rsidRDefault="00700609" w:rsidP="00681BA8">
            <w:pPr>
              <w:pStyle w:val="Tabletext"/>
              <w:jc w:val="center"/>
            </w:pPr>
            <w:r w:rsidRPr="00AE3A31">
              <w:t>54.8</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14:paraId="526BED07" w14:textId="77777777" w:rsidR="00700609" w:rsidRPr="00AE3A31" w:rsidRDefault="00700609" w:rsidP="00681BA8">
            <w:pPr>
              <w:pStyle w:val="Tabletext"/>
              <w:jc w:val="center"/>
            </w:pPr>
            <w:r w:rsidRPr="00AE3A31">
              <w:t>37.8</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14:paraId="11710D2C" w14:textId="77777777" w:rsidR="00700609" w:rsidRPr="00AE3A31" w:rsidRDefault="00700609" w:rsidP="00681BA8">
            <w:pPr>
              <w:pStyle w:val="Tabletext"/>
              <w:jc w:val="center"/>
            </w:pPr>
            <w:r w:rsidRPr="00AE3A31">
              <w:t>40.4</w:t>
            </w:r>
          </w:p>
        </w:tc>
        <w:tc>
          <w:tcPr>
            <w:tcW w:w="570" w:type="pct"/>
            <w:tcBorders>
              <w:top w:val="single" w:sz="4" w:space="0" w:color="auto"/>
              <w:left w:val="nil"/>
              <w:bottom w:val="single" w:sz="4" w:space="0" w:color="auto"/>
              <w:right w:val="single" w:sz="8" w:space="0" w:color="000000"/>
            </w:tcBorders>
            <w:shd w:val="clear" w:color="auto" w:fill="auto"/>
            <w:noWrap/>
            <w:vAlign w:val="center"/>
            <w:hideMark/>
          </w:tcPr>
          <w:p w14:paraId="39130C7A" w14:textId="77777777" w:rsidR="00700609" w:rsidRPr="00AE3A31" w:rsidRDefault="00700609" w:rsidP="00681BA8">
            <w:pPr>
              <w:pStyle w:val="Tabletext"/>
              <w:jc w:val="center"/>
            </w:pPr>
            <w:r w:rsidRPr="00AE3A31">
              <w:t>42.3</w:t>
            </w:r>
          </w:p>
        </w:tc>
        <w:tc>
          <w:tcPr>
            <w:tcW w:w="527" w:type="pct"/>
            <w:tcBorders>
              <w:top w:val="single" w:sz="4" w:space="0" w:color="auto"/>
              <w:left w:val="nil"/>
              <w:bottom w:val="single" w:sz="4" w:space="0" w:color="auto"/>
              <w:right w:val="single" w:sz="8" w:space="0" w:color="000000"/>
            </w:tcBorders>
            <w:shd w:val="clear" w:color="auto" w:fill="auto"/>
            <w:noWrap/>
            <w:vAlign w:val="center"/>
            <w:hideMark/>
          </w:tcPr>
          <w:p w14:paraId="2AD286B4" w14:textId="77777777" w:rsidR="00700609" w:rsidRPr="00AE3A31" w:rsidRDefault="00700609" w:rsidP="00681BA8">
            <w:pPr>
              <w:pStyle w:val="Tabletext"/>
              <w:jc w:val="center"/>
            </w:pPr>
            <w:r w:rsidRPr="00AE3A31">
              <w:t>42.7</w:t>
            </w:r>
          </w:p>
        </w:tc>
      </w:tr>
      <w:tr w:rsidR="00700609" w:rsidRPr="00AE3A31" w14:paraId="1513A321" w14:textId="77777777" w:rsidTr="00681BA8">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5300799" w14:textId="77777777" w:rsidR="00700609" w:rsidRPr="00AE3A31" w:rsidRDefault="00700609" w:rsidP="00C14F39">
            <w:pPr>
              <w:pStyle w:val="Tabletext"/>
              <w:jc w:val="left"/>
            </w:pPr>
            <w:r w:rsidRPr="00AE3A31">
              <w:t xml:space="preserve">Link margin (dB) </w:t>
            </w:r>
            <w:r w:rsidRPr="00AE3A31">
              <w:rPr>
                <w:i/>
                <w:iCs/>
              </w:rPr>
              <w:t>P</w:t>
            </w:r>
            <w:r w:rsidRPr="00AE3A31">
              <w:rPr>
                <w:i/>
                <w:iCs/>
                <w:vertAlign w:val="subscript"/>
              </w:rPr>
              <w:t>LOCK-LOSS</w:t>
            </w:r>
            <w:r w:rsidRPr="00AE3A31">
              <w:t xml:space="preserve"> = 0.02% (dB)</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14:paraId="7EA07183" w14:textId="77777777" w:rsidR="00700609" w:rsidRPr="00AE3A31" w:rsidRDefault="00700609" w:rsidP="00681BA8">
            <w:pPr>
              <w:pStyle w:val="Tabletext"/>
              <w:jc w:val="center"/>
            </w:pPr>
            <w:r w:rsidRPr="00AE3A31">
              <w:t>6.0</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14:paraId="6C2FB53C" w14:textId="77777777" w:rsidR="00700609" w:rsidRPr="00AE3A31" w:rsidRDefault="00700609" w:rsidP="00681BA8">
            <w:pPr>
              <w:pStyle w:val="Tabletext"/>
              <w:jc w:val="center"/>
            </w:pPr>
            <w:r w:rsidRPr="00AE3A31">
              <w:rPr>
                <w:vertAlign w:val="superscript"/>
              </w:rPr>
              <w:t>(1)</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14:paraId="7D48A85E" w14:textId="77777777" w:rsidR="00700609" w:rsidRPr="00AE3A31" w:rsidRDefault="00700609" w:rsidP="00681BA8">
            <w:pPr>
              <w:pStyle w:val="Tabletext"/>
              <w:jc w:val="center"/>
            </w:pPr>
            <w:r w:rsidRPr="00AE3A31">
              <w:t>20.3</w:t>
            </w:r>
          </w:p>
        </w:tc>
        <w:tc>
          <w:tcPr>
            <w:tcW w:w="570" w:type="pct"/>
            <w:tcBorders>
              <w:top w:val="single" w:sz="4" w:space="0" w:color="auto"/>
              <w:left w:val="nil"/>
              <w:bottom w:val="single" w:sz="4" w:space="0" w:color="auto"/>
              <w:right w:val="single" w:sz="8" w:space="0" w:color="000000"/>
            </w:tcBorders>
            <w:shd w:val="clear" w:color="000000" w:fill="auto"/>
            <w:noWrap/>
            <w:vAlign w:val="center"/>
            <w:hideMark/>
          </w:tcPr>
          <w:p w14:paraId="67701BCD" w14:textId="77777777" w:rsidR="00700609" w:rsidRPr="00AE3A31" w:rsidRDefault="00700609" w:rsidP="00681BA8">
            <w:pPr>
              <w:pStyle w:val="Tabletext"/>
              <w:jc w:val="center"/>
            </w:pPr>
            <w:r w:rsidRPr="00AE3A31">
              <w:rPr>
                <w:vertAlign w:val="superscript"/>
              </w:rPr>
              <w:t>(1)</w:t>
            </w:r>
          </w:p>
        </w:tc>
        <w:tc>
          <w:tcPr>
            <w:tcW w:w="527" w:type="pct"/>
            <w:tcBorders>
              <w:top w:val="single" w:sz="4" w:space="0" w:color="auto"/>
              <w:left w:val="nil"/>
              <w:bottom w:val="single" w:sz="4" w:space="0" w:color="auto"/>
              <w:right w:val="single" w:sz="8" w:space="0" w:color="000000"/>
            </w:tcBorders>
            <w:shd w:val="clear" w:color="auto" w:fill="auto"/>
            <w:noWrap/>
            <w:vAlign w:val="center"/>
            <w:hideMark/>
          </w:tcPr>
          <w:p w14:paraId="52E778D7" w14:textId="77777777" w:rsidR="00700609" w:rsidRPr="00AE3A31" w:rsidRDefault="00700609" w:rsidP="00681BA8">
            <w:pPr>
              <w:pStyle w:val="Tabletext"/>
              <w:jc w:val="center"/>
            </w:pPr>
            <w:r w:rsidRPr="00AE3A31">
              <w:t>14.7</w:t>
            </w:r>
          </w:p>
        </w:tc>
      </w:tr>
      <w:tr w:rsidR="00700609" w:rsidRPr="00AE3A31" w14:paraId="326C5442" w14:textId="77777777" w:rsidTr="00681BA8">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65E65B" w14:textId="77777777" w:rsidR="00700609" w:rsidRPr="00AE3A31" w:rsidRDefault="00700609" w:rsidP="00C14F39">
            <w:pPr>
              <w:pStyle w:val="Tabletext"/>
              <w:jc w:val="left"/>
            </w:pPr>
            <w:r w:rsidRPr="00AE3A31">
              <w:t xml:space="preserve">Link margin (dB) </w:t>
            </w:r>
            <w:r w:rsidRPr="00AE3A31">
              <w:rPr>
                <w:i/>
                <w:iCs/>
              </w:rPr>
              <w:t>P</w:t>
            </w:r>
            <w:r w:rsidRPr="00AE3A31">
              <w:rPr>
                <w:i/>
                <w:iCs/>
                <w:vertAlign w:val="subscript"/>
              </w:rPr>
              <w:t>DATA-LOSS</w:t>
            </w:r>
            <w:r w:rsidRPr="00AE3A31">
              <w:t xml:space="preserve"> = 0.2% (dB)</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14:paraId="394301D5" w14:textId="77777777" w:rsidR="00700609" w:rsidRPr="00AE3A31" w:rsidRDefault="00700609" w:rsidP="00681BA8">
            <w:pPr>
              <w:pStyle w:val="Tabletext"/>
              <w:jc w:val="center"/>
            </w:pPr>
            <w:r w:rsidRPr="00AE3A31">
              <w:t>1.0</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14:paraId="5AAA1AE0" w14:textId="77777777" w:rsidR="00700609" w:rsidRPr="00AE3A31" w:rsidRDefault="00700609" w:rsidP="00681BA8">
            <w:pPr>
              <w:pStyle w:val="Tabletext"/>
              <w:jc w:val="center"/>
            </w:pPr>
            <w:r w:rsidRPr="00AE3A31">
              <w:t>16.6</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14:paraId="4AD5DCB0" w14:textId="77777777" w:rsidR="00700609" w:rsidRPr="00AE3A31" w:rsidRDefault="00700609" w:rsidP="00681BA8">
            <w:pPr>
              <w:pStyle w:val="Tabletext"/>
              <w:jc w:val="center"/>
            </w:pPr>
            <w:r w:rsidRPr="00AE3A31">
              <w:t>15.3</w:t>
            </w:r>
          </w:p>
        </w:tc>
        <w:tc>
          <w:tcPr>
            <w:tcW w:w="570" w:type="pct"/>
            <w:tcBorders>
              <w:top w:val="single" w:sz="4" w:space="0" w:color="auto"/>
              <w:left w:val="nil"/>
              <w:bottom w:val="single" w:sz="4" w:space="0" w:color="auto"/>
              <w:right w:val="single" w:sz="8" w:space="0" w:color="000000"/>
            </w:tcBorders>
            <w:shd w:val="clear" w:color="auto" w:fill="auto"/>
            <w:noWrap/>
            <w:vAlign w:val="center"/>
            <w:hideMark/>
          </w:tcPr>
          <w:p w14:paraId="09803990" w14:textId="77777777" w:rsidR="00700609" w:rsidRPr="00AE3A31" w:rsidRDefault="00700609" w:rsidP="00681BA8">
            <w:pPr>
              <w:pStyle w:val="Tabletext"/>
              <w:jc w:val="center"/>
            </w:pPr>
            <w:r w:rsidRPr="00AE3A31">
              <w:t>12.8</w:t>
            </w:r>
          </w:p>
        </w:tc>
        <w:tc>
          <w:tcPr>
            <w:tcW w:w="527" w:type="pct"/>
            <w:tcBorders>
              <w:top w:val="single" w:sz="4" w:space="0" w:color="auto"/>
              <w:left w:val="nil"/>
              <w:bottom w:val="single" w:sz="4" w:space="0" w:color="auto"/>
              <w:right w:val="single" w:sz="8" w:space="0" w:color="000000"/>
            </w:tcBorders>
            <w:shd w:val="clear" w:color="000000" w:fill="FFFFFF"/>
            <w:noWrap/>
            <w:vAlign w:val="center"/>
            <w:hideMark/>
          </w:tcPr>
          <w:p w14:paraId="172CF2D3" w14:textId="77777777" w:rsidR="00700609" w:rsidRPr="00AE3A31" w:rsidRDefault="00700609" w:rsidP="00681BA8">
            <w:pPr>
              <w:pStyle w:val="Tabletext"/>
              <w:jc w:val="center"/>
            </w:pPr>
            <w:r w:rsidRPr="00AE3A31">
              <w:t>9.7</w:t>
            </w:r>
          </w:p>
        </w:tc>
      </w:tr>
      <w:tr w:rsidR="00700609" w:rsidRPr="00AE3A31" w14:paraId="60D7738A" w14:textId="77777777" w:rsidTr="00681BA8">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0E92605" w14:textId="77777777" w:rsidR="00700609" w:rsidRPr="00AE3A31" w:rsidRDefault="00700609" w:rsidP="00C14F39">
            <w:pPr>
              <w:pStyle w:val="Tabletext"/>
              <w:jc w:val="left"/>
              <w:rPr>
                <w:color w:val="000000"/>
              </w:rPr>
            </w:pPr>
            <w:r w:rsidRPr="00AE3A31">
              <w:t xml:space="preserve">Interference level not to be exceeded more than </w:t>
            </w:r>
            <w:r w:rsidRPr="00AE3A31">
              <w:rPr>
                <w:i/>
                <w:iCs/>
              </w:rPr>
              <w:t>P</w:t>
            </w:r>
            <w:r w:rsidRPr="00AE3A31">
              <w:rPr>
                <w:i/>
                <w:iCs/>
                <w:vertAlign w:val="subscript"/>
              </w:rPr>
              <w:t>LOCK-LOSS</w:t>
            </w:r>
            <w:r w:rsidRPr="00AE3A31">
              <w:t xml:space="preserve"> = 0.02% of the time (equation (1)) </w:t>
            </w:r>
            <w:r w:rsidRPr="00AE3A31">
              <w:rPr>
                <w:color w:val="000000"/>
              </w:rPr>
              <w:t>(dBW (REF BW))</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14:paraId="0B645095" w14:textId="77777777" w:rsidR="00700609" w:rsidRPr="00AE3A31" w:rsidRDefault="00700609" w:rsidP="00681BA8">
            <w:pPr>
              <w:pStyle w:val="Tabletext"/>
              <w:jc w:val="center"/>
            </w:pPr>
            <w:r w:rsidRPr="00AE3A31">
              <w:t>−141.2</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14:paraId="2274118A" w14:textId="77777777" w:rsidR="00700609" w:rsidRPr="00AE3A31" w:rsidRDefault="00700609" w:rsidP="00681BA8">
            <w:pPr>
              <w:pStyle w:val="Tabletext"/>
              <w:jc w:val="center"/>
              <w:rPr>
                <w:vertAlign w:val="superscript"/>
              </w:rPr>
            </w:pPr>
            <w:r w:rsidRPr="00AE3A31">
              <w:rPr>
                <w:vertAlign w:val="superscript"/>
              </w:rPr>
              <w:t>(1)</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14:paraId="59D19CF5" w14:textId="77777777" w:rsidR="00700609" w:rsidRPr="00AE3A31" w:rsidRDefault="00700609" w:rsidP="00681BA8">
            <w:pPr>
              <w:pStyle w:val="Tabletext"/>
              <w:jc w:val="center"/>
            </w:pPr>
            <w:r w:rsidRPr="00AE3A31">
              <w:t>−145.6</w:t>
            </w:r>
          </w:p>
        </w:tc>
        <w:tc>
          <w:tcPr>
            <w:tcW w:w="570" w:type="pct"/>
            <w:tcBorders>
              <w:top w:val="single" w:sz="4" w:space="0" w:color="auto"/>
              <w:left w:val="nil"/>
              <w:bottom w:val="single" w:sz="4" w:space="0" w:color="auto"/>
              <w:right w:val="single" w:sz="8" w:space="0" w:color="000000"/>
            </w:tcBorders>
            <w:shd w:val="clear" w:color="000000" w:fill="auto"/>
            <w:noWrap/>
            <w:vAlign w:val="center"/>
            <w:hideMark/>
          </w:tcPr>
          <w:p w14:paraId="597F3F94" w14:textId="77777777" w:rsidR="00700609" w:rsidRPr="00AE3A31" w:rsidRDefault="00700609" w:rsidP="00681BA8">
            <w:pPr>
              <w:pStyle w:val="Tabletext"/>
              <w:jc w:val="center"/>
            </w:pPr>
            <w:r w:rsidRPr="00AE3A31">
              <w:rPr>
                <w:vertAlign w:val="superscript"/>
              </w:rPr>
              <w:t>(1)</w:t>
            </w:r>
          </w:p>
        </w:tc>
        <w:tc>
          <w:tcPr>
            <w:tcW w:w="527" w:type="pct"/>
            <w:tcBorders>
              <w:top w:val="single" w:sz="4" w:space="0" w:color="auto"/>
              <w:left w:val="nil"/>
              <w:bottom w:val="single" w:sz="4" w:space="0" w:color="auto"/>
              <w:right w:val="single" w:sz="8" w:space="0" w:color="000000"/>
            </w:tcBorders>
            <w:shd w:val="clear" w:color="auto" w:fill="auto"/>
            <w:noWrap/>
            <w:vAlign w:val="center"/>
            <w:hideMark/>
          </w:tcPr>
          <w:p w14:paraId="01B6E763" w14:textId="77777777" w:rsidR="00700609" w:rsidRPr="00AE3A31" w:rsidRDefault="00700609" w:rsidP="00681BA8">
            <w:pPr>
              <w:pStyle w:val="Tabletext"/>
              <w:jc w:val="center"/>
            </w:pPr>
            <w:r w:rsidRPr="00AE3A31">
              <w:t>−142.7</w:t>
            </w:r>
          </w:p>
        </w:tc>
      </w:tr>
      <w:tr w:rsidR="00700609" w:rsidRPr="00AE3A31" w14:paraId="67F1BAE0" w14:textId="77777777" w:rsidTr="00681BA8">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786647" w14:textId="77777777" w:rsidR="00700609" w:rsidRPr="00AE3A31" w:rsidRDefault="00700609" w:rsidP="00C14F39">
            <w:pPr>
              <w:pStyle w:val="Tabletext"/>
              <w:jc w:val="left"/>
              <w:rPr>
                <w:color w:val="000000"/>
              </w:rPr>
            </w:pPr>
            <w:r w:rsidRPr="00AE3A31">
              <w:t xml:space="preserve">Interference level not to be exceeded more than </w:t>
            </w:r>
            <w:r w:rsidRPr="00AE3A31">
              <w:rPr>
                <w:i/>
                <w:iCs/>
              </w:rPr>
              <w:t>P</w:t>
            </w:r>
            <w:r w:rsidRPr="00AE3A31">
              <w:rPr>
                <w:i/>
                <w:iCs/>
                <w:vertAlign w:val="subscript"/>
              </w:rPr>
              <w:t>DATA-LOSS</w:t>
            </w:r>
            <w:r w:rsidRPr="00AE3A31">
              <w:t xml:space="preserve"> = 0.2% of the time (equation (2)) </w:t>
            </w:r>
            <w:r w:rsidRPr="00AE3A31">
              <w:rPr>
                <w:color w:val="000000"/>
              </w:rPr>
              <w:t>(dBW (REF BW))</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14:paraId="59F886E9" w14:textId="77777777" w:rsidR="00700609" w:rsidRPr="00AE3A31" w:rsidRDefault="00700609" w:rsidP="00681BA8">
            <w:pPr>
              <w:pStyle w:val="Tabletext"/>
              <w:jc w:val="center"/>
            </w:pPr>
            <w:r w:rsidRPr="00AE3A31">
              <w:t>−151.7</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14:paraId="2E5C7FAC" w14:textId="77777777" w:rsidR="00700609" w:rsidRPr="00AE3A31" w:rsidRDefault="00700609" w:rsidP="00681BA8">
            <w:pPr>
              <w:pStyle w:val="Tabletext"/>
              <w:jc w:val="center"/>
            </w:pPr>
            <w:r w:rsidRPr="00AE3A31">
              <w:t>−146.5</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14:paraId="2D9AB9F5" w14:textId="77777777" w:rsidR="00700609" w:rsidRPr="00AE3A31" w:rsidRDefault="00700609" w:rsidP="00681BA8">
            <w:pPr>
              <w:pStyle w:val="Tabletext"/>
              <w:jc w:val="center"/>
            </w:pPr>
            <w:r w:rsidRPr="00AE3A31">
              <w:t>−150.7</w:t>
            </w:r>
          </w:p>
        </w:tc>
        <w:tc>
          <w:tcPr>
            <w:tcW w:w="570" w:type="pct"/>
            <w:tcBorders>
              <w:top w:val="single" w:sz="4" w:space="0" w:color="auto"/>
              <w:left w:val="nil"/>
              <w:bottom w:val="single" w:sz="4" w:space="0" w:color="auto"/>
              <w:right w:val="single" w:sz="8" w:space="0" w:color="000000"/>
            </w:tcBorders>
            <w:shd w:val="clear" w:color="auto" w:fill="auto"/>
            <w:noWrap/>
            <w:vAlign w:val="center"/>
            <w:hideMark/>
          </w:tcPr>
          <w:p w14:paraId="23DCC8FE" w14:textId="77777777" w:rsidR="00700609" w:rsidRPr="00AE3A31" w:rsidRDefault="00700609" w:rsidP="00681BA8">
            <w:pPr>
              <w:pStyle w:val="Tabletext"/>
              <w:jc w:val="center"/>
            </w:pPr>
            <w:r w:rsidRPr="00AE3A31">
              <w:t>−149.7</w:t>
            </w:r>
          </w:p>
        </w:tc>
        <w:tc>
          <w:tcPr>
            <w:tcW w:w="527" w:type="pct"/>
            <w:tcBorders>
              <w:top w:val="single" w:sz="4" w:space="0" w:color="auto"/>
              <w:left w:val="nil"/>
              <w:bottom w:val="single" w:sz="4" w:space="0" w:color="auto"/>
              <w:right w:val="single" w:sz="8" w:space="0" w:color="000000"/>
            </w:tcBorders>
            <w:shd w:val="clear" w:color="auto" w:fill="auto"/>
            <w:noWrap/>
            <w:vAlign w:val="center"/>
            <w:hideMark/>
          </w:tcPr>
          <w:p w14:paraId="68177BB5" w14:textId="77777777" w:rsidR="00700609" w:rsidRPr="00AE3A31" w:rsidRDefault="00700609" w:rsidP="00681BA8">
            <w:pPr>
              <w:pStyle w:val="Tabletext"/>
              <w:jc w:val="center"/>
            </w:pPr>
            <w:r w:rsidRPr="00AE3A31">
              <w:t>−148.0</w:t>
            </w:r>
          </w:p>
        </w:tc>
      </w:tr>
      <w:tr w:rsidR="00700609" w:rsidRPr="00AE3A31" w14:paraId="22BABB1D" w14:textId="77777777" w:rsidTr="00681BA8">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9B0156" w14:textId="77777777" w:rsidR="00700609" w:rsidRPr="00AE3A31" w:rsidRDefault="00700609" w:rsidP="00C14F39">
            <w:pPr>
              <w:pStyle w:val="Tabletext"/>
              <w:jc w:val="left"/>
              <w:rPr>
                <w:color w:val="000000"/>
              </w:rPr>
            </w:pPr>
            <w:r w:rsidRPr="00AE3A31">
              <w:t xml:space="preserve">Interference level not to be exceeded more than 20% of the time (equation (3)) </w:t>
            </w:r>
            <w:r w:rsidRPr="00AE3A31">
              <w:rPr>
                <w:color w:val="000000"/>
              </w:rPr>
              <w:t>(dBW (REF BW))</w:t>
            </w:r>
          </w:p>
        </w:tc>
        <w:tc>
          <w:tcPr>
            <w:tcW w:w="522" w:type="pct"/>
            <w:tcBorders>
              <w:top w:val="single" w:sz="4" w:space="0" w:color="auto"/>
              <w:left w:val="nil"/>
              <w:bottom w:val="single" w:sz="8" w:space="0" w:color="auto"/>
              <w:right w:val="single" w:sz="8" w:space="0" w:color="000000"/>
            </w:tcBorders>
            <w:shd w:val="clear" w:color="auto" w:fill="auto"/>
            <w:noWrap/>
            <w:vAlign w:val="center"/>
            <w:hideMark/>
          </w:tcPr>
          <w:p w14:paraId="388F118A" w14:textId="77777777" w:rsidR="00700609" w:rsidRPr="00AE3A31" w:rsidRDefault="00700609" w:rsidP="00681BA8">
            <w:pPr>
              <w:pStyle w:val="Tabletext"/>
              <w:jc w:val="center"/>
            </w:pPr>
            <w:r w:rsidRPr="00AE3A31">
              <w:t>−156.0</w:t>
            </w:r>
          </w:p>
        </w:tc>
        <w:tc>
          <w:tcPr>
            <w:tcW w:w="523" w:type="pct"/>
            <w:tcBorders>
              <w:top w:val="single" w:sz="4" w:space="0" w:color="auto"/>
              <w:left w:val="nil"/>
              <w:bottom w:val="single" w:sz="8" w:space="0" w:color="auto"/>
              <w:right w:val="single" w:sz="8" w:space="0" w:color="000000"/>
            </w:tcBorders>
            <w:shd w:val="clear" w:color="auto" w:fill="auto"/>
            <w:noWrap/>
            <w:vAlign w:val="center"/>
            <w:hideMark/>
          </w:tcPr>
          <w:p w14:paraId="63A0B80B" w14:textId="77777777" w:rsidR="00700609" w:rsidRPr="00AE3A31" w:rsidRDefault="00700609" w:rsidP="00681BA8">
            <w:pPr>
              <w:pStyle w:val="Tabletext"/>
              <w:jc w:val="center"/>
            </w:pPr>
            <w:r w:rsidRPr="00AE3A31">
              <w:t>−158.9</w:t>
            </w:r>
          </w:p>
        </w:tc>
        <w:tc>
          <w:tcPr>
            <w:tcW w:w="548" w:type="pct"/>
            <w:tcBorders>
              <w:top w:val="single" w:sz="4" w:space="0" w:color="auto"/>
              <w:left w:val="nil"/>
              <w:bottom w:val="single" w:sz="8" w:space="0" w:color="auto"/>
              <w:right w:val="single" w:sz="8" w:space="0" w:color="000000"/>
            </w:tcBorders>
            <w:shd w:val="clear" w:color="auto" w:fill="auto"/>
            <w:noWrap/>
            <w:vAlign w:val="center"/>
            <w:hideMark/>
          </w:tcPr>
          <w:p w14:paraId="27C160D4" w14:textId="77777777" w:rsidR="00700609" w:rsidRPr="00AE3A31" w:rsidRDefault="00700609" w:rsidP="00681BA8">
            <w:pPr>
              <w:pStyle w:val="Tabletext"/>
              <w:jc w:val="center"/>
            </w:pPr>
            <w:r w:rsidRPr="00AE3A31">
              <w:t>−162.4</w:t>
            </w:r>
          </w:p>
        </w:tc>
        <w:tc>
          <w:tcPr>
            <w:tcW w:w="570" w:type="pct"/>
            <w:tcBorders>
              <w:top w:val="single" w:sz="4" w:space="0" w:color="auto"/>
              <w:left w:val="nil"/>
              <w:bottom w:val="single" w:sz="8" w:space="0" w:color="auto"/>
              <w:right w:val="single" w:sz="8" w:space="0" w:color="000000"/>
            </w:tcBorders>
            <w:shd w:val="clear" w:color="auto" w:fill="auto"/>
            <w:noWrap/>
            <w:vAlign w:val="center"/>
            <w:hideMark/>
          </w:tcPr>
          <w:p w14:paraId="40AC6EE5" w14:textId="77777777" w:rsidR="00700609" w:rsidRPr="00AE3A31" w:rsidRDefault="00700609" w:rsidP="00681BA8">
            <w:pPr>
              <w:pStyle w:val="Tabletext"/>
              <w:jc w:val="center"/>
            </w:pPr>
            <w:r w:rsidRPr="00AE3A31">
              <w:t>−160.0</w:t>
            </w:r>
          </w:p>
        </w:tc>
        <w:tc>
          <w:tcPr>
            <w:tcW w:w="527" w:type="pct"/>
            <w:tcBorders>
              <w:top w:val="single" w:sz="4" w:space="0" w:color="auto"/>
              <w:left w:val="nil"/>
              <w:bottom w:val="single" w:sz="8" w:space="0" w:color="auto"/>
              <w:right w:val="single" w:sz="8" w:space="0" w:color="000000"/>
            </w:tcBorders>
            <w:shd w:val="clear" w:color="auto" w:fill="auto"/>
            <w:noWrap/>
            <w:vAlign w:val="center"/>
            <w:hideMark/>
          </w:tcPr>
          <w:p w14:paraId="322724C7" w14:textId="77777777" w:rsidR="00700609" w:rsidRPr="00AE3A31" w:rsidRDefault="00700609" w:rsidP="00681BA8">
            <w:pPr>
              <w:pStyle w:val="Tabletext"/>
              <w:jc w:val="center"/>
            </w:pPr>
            <w:r w:rsidRPr="00AE3A31">
              <w:t>−156.8</w:t>
            </w:r>
          </w:p>
        </w:tc>
      </w:tr>
      <w:tr w:rsidR="00700609" w:rsidRPr="00AE3A31" w14:paraId="213ECAE6" w14:textId="77777777" w:rsidTr="00681BA8">
        <w:trPr>
          <w:cantSplit/>
          <w:jc w:val="center"/>
        </w:trPr>
        <w:tc>
          <w:tcPr>
            <w:tcW w:w="5000" w:type="pct"/>
            <w:gridSpan w:val="6"/>
            <w:tcBorders>
              <w:top w:val="single" w:sz="8" w:space="0" w:color="auto"/>
            </w:tcBorders>
            <w:shd w:val="clear" w:color="auto" w:fill="auto"/>
            <w:vAlign w:val="center"/>
          </w:tcPr>
          <w:p w14:paraId="70A912B0" w14:textId="77777777" w:rsidR="00700609" w:rsidRPr="00AE3A31" w:rsidRDefault="00700609" w:rsidP="00681BA8">
            <w:pPr>
              <w:pStyle w:val="Tabletext"/>
              <w:ind w:left="284" w:hanging="284"/>
            </w:pPr>
            <w:r w:rsidRPr="00AE3A31">
              <w:rPr>
                <w:vertAlign w:val="superscript"/>
              </w:rPr>
              <w:t xml:space="preserve">(1) </w:t>
            </w:r>
            <w:r w:rsidRPr="00AE3A31">
              <w:tab/>
              <w:t>Systems with omnidirectional antennas are not vulnerable to losing antenna lock on the signal due to interference or signal fading.</w:t>
            </w:r>
          </w:p>
        </w:tc>
      </w:tr>
    </w:tbl>
    <w:p w14:paraId="00FA8ED5" w14:textId="77777777" w:rsidR="00700609" w:rsidRPr="00AE3A31" w:rsidRDefault="00700609" w:rsidP="00700609">
      <w:pPr>
        <w:pStyle w:val="Tablefin"/>
      </w:pPr>
    </w:p>
    <w:p w14:paraId="27463A7A" w14:textId="77777777" w:rsidR="00700609" w:rsidRPr="00AE3A31" w:rsidRDefault="00700609" w:rsidP="00700609">
      <w:pPr>
        <w:pStyle w:val="TableNo"/>
      </w:pPr>
      <w:r w:rsidRPr="00AE3A31">
        <w:t>TABLE 9</w:t>
      </w:r>
    </w:p>
    <w:p w14:paraId="4C3E1D88" w14:textId="77777777" w:rsidR="00700609" w:rsidRPr="00AE3A31" w:rsidRDefault="00700609" w:rsidP="00700609">
      <w:pPr>
        <w:pStyle w:val="Tabletitle"/>
      </w:pPr>
      <w:r w:rsidRPr="00AE3A31">
        <w:t xml:space="preserve">Interference criteria for radiosonde systems operating in the frequency </w:t>
      </w:r>
      <w:r w:rsidRPr="00AE3A31">
        <w:br/>
        <w:t>band 1 668.4-1 700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07"/>
        <w:gridCol w:w="2035"/>
        <w:gridCol w:w="1797"/>
      </w:tblGrid>
      <w:tr w:rsidR="00700609" w:rsidRPr="009B7003" w14:paraId="211A740F" w14:textId="77777777" w:rsidTr="00681BA8">
        <w:trPr>
          <w:jc w:val="center"/>
        </w:trPr>
        <w:tc>
          <w:tcPr>
            <w:tcW w:w="6091" w:type="dxa"/>
            <w:vAlign w:val="center"/>
          </w:tcPr>
          <w:p w14:paraId="05FFCD21" w14:textId="77777777" w:rsidR="00700609" w:rsidRPr="00AE3A31" w:rsidRDefault="00700609" w:rsidP="00681BA8">
            <w:pPr>
              <w:pStyle w:val="Tablehead"/>
              <w:spacing w:before="60" w:after="60"/>
            </w:pPr>
            <w:r w:rsidRPr="00AE3A31">
              <w:t>Parameter</w:t>
            </w:r>
          </w:p>
        </w:tc>
        <w:tc>
          <w:tcPr>
            <w:tcW w:w="2126" w:type="dxa"/>
            <w:vAlign w:val="center"/>
          </w:tcPr>
          <w:p w14:paraId="416D1732" w14:textId="77777777" w:rsidR="00700609" w:rsidRPr="009B7003" w:rsidRDefault="00700609" w:rsidP="00681BA8">
            <w:pPr>
              <w:pStyle w:val="Tablehead"/>
              <w:spacing w:before="60" w:after="60"/>
              <w:rPr>
                <w:lang w:val="de-CH"/>
              </w:rPr>
            </w:pPr>
            <w:r w:rsidRPr="009B7003">
              <w:rPr>
                <w:lang w:val="de-CH"/>
              </w:rPr>
              <w:t>Type G</w:t>
            </w:r>
          </w:p>
          <w:p w14:paraId="111FB973" w14:textId="77777777" w:rsidR="00700609" w:rsidRPr="009B7003" w:rsidRDefault="00700609" w:rsidP="00681BA8">
            <w:pPr>
              <w:pStyle w:val="Tablehead"/>
              <w:spacing w:before="60" w:after="60"/>
              <w:rPr>
                <w:lang w:val="de-CH"/>
              </w:rPr>
            </w:pPr>
            <w:r w:rsidRPr="009B7003">
              <w:rPr>
                <w:lang w:val="de-CH"/>
              </w:rPr>
              <w:t xml:space="preserve">RDF system </w:t>
            </w:r>
            <w:r w:rsidRPr="009B7003">
              <w:rPr>
                <w:lang w:val="de-CH"/>
              </w:rPr>
              <w:br/>
              <w:t>1 668.4-1 700 MHz</w:t>
            </w:r>
          </w:p>
        </w:tc>
        <w:tc>
          <w:tcPr>
            <w:tcW w:w="1876" w:type="dxa"/>
            <w:vAlign w:val="center"/>
          </w:tcPr>
          <w:p w14:paraId="091A33EB" w14:textId="77777777" w:rsidR="00700609" w:rsidRPr="009B7003" w:rsidRDefault="00700609" w:rsidP="00681BA8">
            <w:pPr>
              <w:pStyle w:val="Tablehead"/>
              <w:spacing w:before="60" w:after="60"/>
              <w:rPr>
                <w:lang w:val="de-CH"/>
              </w:rPr>
            </w:pPr>
            <w:r w:rsidRPr="009B7003">
              <w:rPr>
                <w:lang w:val="de-CH"/>
              </w:rPr>
              <w:t>Type F</w:t>
            </w:r>
          </w:p>
          <w:p w14:paraId="4D466841" w14:textId="77777777" w:rsidR="00700609" w:rsidRPr="009B7003" w:rsidRDefault="00700609" w:rsidP="00681BA8">
            <w:pPr>
              <w:pStyle w:val="Tablehead"/>
              <w:spacing w:before="60" w:after="60"/>
              <w:rPr>
                <w:lang w:val="de-CH"/>
              </w:rPr>
            </w:pPr>
            <w:r w:rsidRPr="009B7003">
              <w:rPr>
                <w:lang w:val="de-CH"/>
              </w:rPr>
              <w:t xml:space="preserve">GPS system </w:t>
            </w:r>
            <w:r w:rsidRPr="009B7003">
              <w:rPr>
                <w:lang w:val="de-CH"/>
              </w:rPr>
              <w:br/>
              <w:t>1 675-1 683 MHz</w:t>
            </w:r>
          </w:p>
        </w:tc>
      </w:tr>
      <w:tr w:rsidR="00700609" w:rsidRPr="00AE3A31" w14:paraId="6A8B42DF" w14:textId="77777777" w:rsidTr="00681BA8">
        <w:trPr>
          <w:jc w:val="center"/>
        </w:trPr>
        <w:tc>
          <w:tcPr>
            <w:tcW w:w="6091" w:type="dxa"/>
          </w:tcPr>
          <w:p w14:paraId="0EE33340" w14:textId="77777777" w:rsidR="00700609" w:rsidRPr="00AE3A31" w:rsidRDefault="00700609" w:rsidP="00681BA8">
            <w:pPr>
              <w:pStyle w:val="Tabletext"/>
            </w:pPr>
            <w:r w:rsidRPr="00AE3A31">
              <w:t>Receiver noise spectral density (dB(W/Hz))</w:t>
            </w:r>
          </w:p>
        </w:tc>
        <w:tc>
          <w:tcPr>
            <w:tcW w:w="2126" w:type="dxa"/>
          </w:tcPr>
          <w:p w14:paraId="3D31E2E3" w14:textId="77777777" w:rsidR="00700609" w:rsidRPr="00AE3A31" w:rsidRDefault="00700609" w:rsidP="00681BA8">
            <w:pPr>
              <w:pStyle w:val="Tabletext"/>
              <w:jc w:val="center"/>
            </w:pPr>
            <w:r w:rsidRPr="00AE3A31">
              <w:t>−200.5</w:t>
            </w:r>
          </w:p>
        </w:tc>
        <w:tc>
          <w:tcPr>
            <w:tcW w:w="1876" w:type="dxa"/>
          </w:tcPr>
          <w:p w14:paraId="3DD9E0A1" w14:textId="77777777" w:rsidR="00700609" w:rsidRPr="00AE3A31" w:rsidRDefault="00700609" w:rsidP="00681BA8">
            <w:pPr>
              <w:pStyle w:val="Tabletext"/>
              <w:jc w:val="center"/>
            </w:pPr>
            <w:r w:rsidRPr="00AE3A31">
              <w:t>−197.4</w:t>
            </w:r>
          </w:p>
        </w:tc>
      </w:tr>
      <w:tr w:rsidR="00700609" w:rsidRPr="00AE3A31" w14:paraId="674986C7" w14:textId="77777777" w:rsidTr="00681BA8">
        <w:trPr>
          <w:jc w:val="center"/>
        </w:trPr>
        <w:tc>
          <w:tcPr>
            <w:tcW w:w="6091" w:type="dxa"/>
          </w:tcPr>
          <w:p w14:paraId="7B9162AA" w14:textId="77777777" w:rsidR="00700609" w:rsidRPr="00AE3A31" w:rsidRDefault="00700609" w:rsidP="00681BA8">
            <w:pPr>
              <w:pStyle w:val="Tabletext"/>
            </w:pPr>
            <w:r w:rsidRPr="00AE3A31">
              <w:t>Receiver reference bandwidth (kHz)</w:t>
            </w:r>
          </w:p>
        </w:tc>
        <w:tc>
          <w:tcPr>
            <w:tcW w:w="2126" w:type="dxa"/>
          </w:tcPr>
          <w:p w14:paraId="1383050D" w14:textId="77777777" w:rsidR="00700609" w:rsidRPr="00AE3A31" w:rsidRDefault="00700609" w:rsidP="00681BA8">
            <w:pPr>
              <w:pStyle w:val="Tabletext"/>
              <w:jc w:val="center"/>
            </w:pPr>
            <w:r w:rsidRPr="00AE3A31">
              <w:t>1 300</w:t>
            </w:r>
          </w:p>
        </w:tc>
        <w:tc>
          <w:tcPr>
            <w:tcW w:w="1876" w:type="dxa"/>
          </w:tcPr>
          <w:p w14:paraId="24658FC7" w14:textId="77777777" w:rsidR="00700609" w:rsidRPr="00AE3A31" w:rsidRDefault="00700609" w:rsidP="00681BA8">
            <w:pPr>
              <w:pStyle w:val="Tabletext"/>
              <w:jc w:val="center"/>
            </w:pPr>
            <w:r w:rsidRPr="00AE3A31">
              <w:t>150</w:t>
            </w:r>
          </w:p>
        </w:tc>
      </w:tr>
      <w:tr w:rsidR="00700609" w:rsidRPr="00AE3A31" w14:paraId="4D847C88" w14:textId="77777777" w:rsidTr="00681BA8">
        <w:trPr>
          <w:jc w:val="center"/>
        </w:trPr>
        <w:tc>
          <w:tcPr>
            <w:tcW w:w="6091" w:type="dxa"/>
          </w:tcPr>
          <w:p w14:paraId="0AC4770F" w14:textId="77777777" w:rsidR="00700609" w:rsidRPr="00AE3A31" w:rsidRDefault="00700609" w:rsidP="00681BA8">
            <w:pPr>
              <w:pStyle w:val="Tabletext"/>
            </w:pPr>
            <w:r w:rsidRPr="00AE3A31">
              <w:t>First short-term link margin (dB),</w:t>
            </w:r>
            <w:r w:rsidRPr="00AE3A31">
              <w:rPr>
                <w:i/>
              </w:rPr>
              <w:t xml:space="preserve"> P</w:t>
            </w:r>
            <w:r w:rsidRPr="00AE3A31">
              <w:rPr>
                <w:i/>
                <w:vertAlign w:val="subscript"/>
              </w:rPr>
              <w:t>LOCK-LOSS</w:t>
            </w:r>
          </w:p>
        </w:tc>
        <w:tc>
          <w:tcPr>
            <w:tcW w:w="2126" w:type="dxa"/>
          </w:tcPr>
          <w:p w14:paraId="2E182A1B" w14:textId="77777777" w:rsidR="00700609" w:rsidRPr="00AE3A31" w:rsidRDefault="00700609" w:rsidP="00681BA8">
            <w:pPr>
              <w:pStyle w:val="Tabletext"/>
              <w:jc w:val="center"/>
            </w:pPr>
            <w:r w:rsidRPr="00AE3A31">
              <w:t>5.5</w:t>
            </w:r>
          </w:p>
        </w:tc>
        <w:tc>
          <w:tcPr>
            <w:tcW w:w="1876" w:type="dxa"/>
          </w:tcPr>
          <w:p w14:paraId="7014155D" w14:textId="77777777" w:rsidR="00700609" w:rsidRPr="00AE3A31" w:rsidRDefault="00700609" w:rsidP="00681BA8">
            <w:pPr>
              <w:pStyle w:val="Tabletext"/>
              <w:jc w:val="center"/>
            </w:pPr>
            <w:r w:rsidRPr="00AE3A31">
              <w:t>9.0</w:t>
            </w:r>
          </w:p>
        </w:tc>
      </w:tr>
      <w:tr w:rsidR="00700609" w:rsidRPr="00AE3A31" w14:paraId="0B1D2CAA" w14:textId="77777777" w:rsidTr="00681BA8">
        <w:trPr>
          <w:trHeight w:val="300"/>
          <w:jc w:val="center"/>
        </w:trPr>
        <w:tc>
          <w:tcPr>
            <w:tcW w:w="6091" w:type="dxa"/>
          </w:tcPr>
          <w:p w14:paraId="6EAA4F09" w14:textId="77777777" w:rsidR="00700609" w:rsidRPr="00AE3A31" w:rsidRDefault="00700609" w:rsidP="00681BA8">
            <w:pPr>
              <w:pStyle w:val="Tabletext"/>
            </w:pPr>
            <w:r w:rsidRPr="00AE3A31">
              <w:t xml:space="preserve">First short-term percentage of time, </w:t>
            </w:r>
            <w:r w:rsidRPr="00AE3A31">
              <w:rPr>
                <w:i/>
              </w:rPr>
              <w:t>P</w:t>
            </w:r>
            <w:r w:rsidRPr="00AE3A31">
              <w:rPr>
                <w:i/>
                <w:vertAlign w:val="subscript"/>
              </w:rPr>
              <w:t>LOCK-LOSS</w:t>
            </w:r>
            <w:r w:rsidRPr="00AE3A31">
              <w:t xml:space="preserve"> (%)</w:t>
            </w:r>
          </w:p>
        </w:tc>
        <w:tc>
          <w:tcPr>
            <w:tcW w:w="2126" w:type="dxa"/>
          </w:tcPr>
          <w:p w14:paraId="16A7001D" w14:textId="77777777" w:rsidR="00700609" w:rsidRPr="00AE3A31" w:rsidRDefault="00700609" w:rsidP="00681BA8">
            <w:pPr>
              <w:pStyle w:val="Tabletext"/>
              <w:jc w:val="center"/>
            </w:pPr>
            <w:r w:rsidRPr="00AE3A31">
              <w:t>0.02</w:t>
            </w:r>
          </w:p>
        </w:tc>
        <w:tc>
          <w:tcPr>
            <w:tcW w:w="1876" w:type="dxa"/>
          </w:tcPr>
          <w:p w14:paraId="1FBC051F" w14:textId="77777777" w:rsidR="00700609" w:rsidRPr="00AE3A31" w:rsidRDefault="00700609" w:rsidP="00681BA8">
            <w:pPr>
              <w:pStyle w:val="Tabletext"/>
              <w:jc w:val="center"/>
            </w:pPr>
            <w:r w:rsidRPr="00AE3A31">
              <w:t>0.025</w:t>
            </w:r>
          </w:p>
        </w:tc>
      </w:tr>
      <w:tr w:rsidR="00700609" w:rsidRPr="00AE3A31" w14:paraId="3F8F3C64" w14:textId="77777777" w:rsidTr="00681BA8">
        <w:trPr>
          <w:jc w:val="center"/>
        </w:trPr>
        <w:tc>
          <w:tcPr>
            <w:tcW w:w="6091" w:type="dxa"/>
          </w:tcPr>
          <w:p w14:paraId="79472449" w14:textId="77777777" w:rsidR="00700609" w:rsidRPr="00AE3A31" w:rsidRDefault="00700609" w:rsidP="00681BA8">
            <w:pPr>
              <w:pStyle w:val="Tabletext"/>
            </w:pPr>
            <w:r w:rsidRPr="00AE3A31">
              <w:t>Second short-term link margin (dB),</w:t>
            </w:r>
            <w:r w:rsidRPr="00AE3A31">
              <w:rPr>
                <w:i/>
              </w:rPr>
              <w:t xml:space="preserve"> P</w:t>
            </w:r>
            <w:r w:rsidRPr="00AE3A31">
              <w:rPr>
                <w:i/>
                <w:vertAlign w:val="subscript"/>
              </w:rPr>
              <w:t>DATA-LOSS</w:t>
            </w:r>
            <w:r w:rsidRPr="00AE3A31">
              <w:t xml:space="preserve"> </w:t>
            </w:r>
          </w:p>
        </w:tc>
        <w:tc>
          <w:tcPr>
            <w:tcW w:w="2126" w:type="dxa"/>
          </w:tcPr>
          <w:p w14:paraId="3947FD01" w14:textId="77777777" w:rsidR="00700609" w:rsidRPr="00AE3A31" w:rsidRDefault="00700609" w:rsidP="00681BA8">
            <w:pPr>
              <w:pStyle w:val="Tabletext"/>
              <w:jc w:val="center"/>
            </w:pPr>
            <w:r w:rsidRPr="00AE3A31">
              <w:t>0.5</w:t>
            </w:r>
          </w:p>
        </w:tc>
        <w:tc>
          <w:tcPr>
            <w:tcW w:w="1876" w:type="dxa"/>
          </w:tcPr>
          <w:p w14:paraId="19C1EC34" w14:textId="77777777" w:rsidR="00700609" w:rsidRPr="00AE3A31" w:rsidRDefault="00700609" w:rsidP="00681BA8">
            <w:pPr>
              <w:pStyle w:val="Tabletext"/>
              <w:jc w:val="center"/>
            </w:pPr>
            <w:r w:rsidRPr="00AE3A31">
              <w:t>3.0</w:t>
            </w:r>
          </w:p>
        </w:tc>
      </w:tr>
      <w:tr w:rsidR="00700609" w:rsidRPr="00AE3A31" w14:paraId="22757E7B" w14:textId="77777777" w:rsidTr="00681BA8">
        <w:trPr>
          <w:jc w:val="center"/>
        </w:trPr>
        <w:tc>
          <w:tcPr>
            <w:tcW w:w="6091" w:type="dxa"/>
          </w:tcPr>
          <w:p w14:paraId="750C9653" w14:textId="77777777" w:rsidR="00700609" w:rsidRPr="00AE3A31" w:rsidRDefault="00700609" w:rsidP="00681BA8">
            <w:pPr>
              <w:pStyle w:val="Tabletext"/>
            </w:pPr>
            <w:r w:rsidRPr="00AE3A31">
              <w:t xml:space="preserve">Second short-term percentage of time, </w:t>
            </w:r>
            <w:r w:rsidRPr="00AE3A31">
              <w:rPr>
                <w:i/>
              </w:rPr>
              <w:t>P</w:t>
            </w:r>
            <w:r w:rsidRPr="00AE3A31">
              <w:rPr>
                <w:i/>
                <w:vertAlign w:val="subscript"/>
              </w:rPr>
              <w:t>DATA-LOSS</w:t>
            </w:r>
            <w:r w:rsidRPr="00AE3A31">
              <w:t xml:space="preserve"> (%)</w:t>
            </w:r>
          </w:p>
        </w:tc>
        <w:tc>
          <w:tcPr>
            <w:tcW w:w="2126" w:type="dxa"/>
          </w:tcPr>
          <w:p w14:paraId="7EEFF1B9" w14:textId="77777777" w:rsidR="00700609" w:rsidRPr="00AE3A31" w:rsidRDefault="00700609" w:rsidP="00681BA8">
            <w:pPr>
              <w:pStyle w:val="Tabletext"/>
              <w:jc w:val="center"/>
            </w:pPr>
            <w:r w:rsidRPr="00AE3A31">
              <w:t>0.08</w:t>
            </w:r>
          </w:p>
        </w:tc>
        <w:tc>
          <w:tcPr>
            <w:tcW w:w="1876" w:type="dxa"/>
          </w:tcPr>
          <w:p w14:paraId="561944E9" w14:textId="77777777" w:rsidR="00700609" w:rsidRPr="00AE3A31" w:rsidRDefault="00700609" w:rsidP="00681BA8">
            <w:pPr>
              <w:pStyle w:val="Tabletext"/>
              <w:jc w:val="center"/>
            </w:pPr>
            <w:r w:rsidRPr="00AE3A31">
              <w:t>0.125</w:t>
            </w:r>
          </w:p>
        </w:tc>
      </w:tr>
      <w:tr w:rsidR="00700609" w:rsidRPr="00AE3A31" w14:paraId="0578DD75" w14:textId="77777777" w:rsidTr="00681BA8">
        <w:trPr>
          <w:jc w:val="center"/>
        </w:trPr>
        <w:tc>
          <w:tcPr>
            <w:tcW w:w="6091" w:type="dxa"/>
          </w:tcPr>
          <w:p w14:paraId="1081F460" w14:textId="77777777" w:rsidR="00700609" w:rsidRPr="00AE3A31" w:rsidRDefault="00700609" w:rsidP="00681BA8">
            <w:pPr>
              <w:pStyle w:val="Tabletext"/>
            </w:pPr>
            <w:r w:rsidRPr="00AE3A31">
              <w:t xml:space="preserve">Interference level not to be exceeded more than </w:t>
            </w:r>
            <w:r w:rsidRPr="00AE3A31">
              <w:rPr>
                <w:i/>
              </w:rPr>
              <w:t>P</w:t>
            </w:r>
            <w:r w:rsidRPr="00AE3A31">
              <w:rPr>
                <w:i/>
                <w:vertAlign w:val="subscript"/>
              </w:rPr>
              <w:t>LOCK-LOSS</w:t>
            </w:r>
            <w:r w:rsidRPr="00AE3A31">
              <w:t>% of the time (equation (1)</w:t>
            </w:r>
            <w:r>
              <w:t>)</w:t>
            </w:r>
            <w:r w:rsidRPr="00AE3A31">
              <w:t xml:space="preserve"> (dBW within ref. bandwidth)</w:t>
            </w:r>
          </w:p>
        </w:tc>
        <w:tc>
          <w:tcPr>
            <w:tcW w:w="2126" w:type="dxa"/>
          </w:tcPr>
          <w:p w14:paraId="6488C97C" w14:textId="77777777" w:rsidR="00700609" w:rsidRPr="00AE3A31" w:rsidRDefault="00700609" w:rsidP="00681BA8">
            <w:pPr>
              <w:pStyle w:val="Tabletext"/>
              <w:jc w:val="center"/>
            </w:pPr>
            <w:r w:rsidRPr="00AE3A31">
              <w:t>−135.3</w:t>
            </w:r>
          </w:p>
        </w:tc>
        <w:tc>
          <w:tcPr>
            <w:tcW w:w="1876" w:type="dxa"/>
          </w:tcPr>
          <w:p w14:paraId="6EA6863E" w14:textId="77777777" w:rsidR="00700609" w:rsidRPr="00AE3A31" w:rsidRDefault="00700609" w:rsidP="00681BA8">
            <w:pPr>
              <w:pStyle w:val="Tabletext"/>
              <w:jc w:val="center"/>
            </w:pPr>
            <w:r w:rsidRPr="00AE3A31">
              <w:t>−137.2</w:t>
            </w:r>
          </w:p>
        </w:tc>
      </w:tr>
      <w:tr w:rsidR="00700609" w:rsidRPr="00AE3A31" w14:paraId="3F044A70" w14:textId="77777777" w:rsidTr="00681BA8">
        <w:trPr>
          <w:jc w:val="center"/>
        </w:trPr>
        <w:tc>
          <w:tcPr>
            <w:tcW w:w="6091" w:type="dxa"/>
          </w:tcPr>
          <w:p w14:paraId="08D47865" w14:textId="77777777" w:rsidR="00700609" w:rsidRPr="00AE3A31" w:rsidRDefault="00700609" w:rsidP="00681BA8">
            <w:pPr>
              <w:pStyle w:val="Tabletext"/>
              <w:rPr>
                <w:szCs w:val="22"/>
              </w:rPr>
            </w:pPr>
            <w:r w:rsidRPr="00AE3A31">
              <w:t xml:space="preserve">Interference level not to be exceeded more than </w:t>
            </w:r>
            <w:r w:rsidRPr="00AE3A31">
              <w:rPr>
                <w:i/>
              </w:rPr>
              <w:t>P</w:t>
            </w:r>
            <w:r w:rsidRPr="00AE3A31">
              <w:rPr>
                <w:i/>
                <w:vertAlign w:val="subscript"/>
              </w:rPr>
              <w:t>DATA-LOSS</w:t>
            </w:r>
            <w:r w:rsidRPr="00AE3A31">
              <w:t>% of the time (equation (2)</w:t>
            </w:r>
            <w:r>
              <w:t>)</w:t>
            </w:r>
            <w:r w:rsidRPr="00AE3A31">
              <w:t xml:space="preserve"> (dBW within ref. bandwidth)</w:t>
            </w:r>
          </w:p>
        </w:tc>
        <w:tc>
          <w:tcPr>
            <w:tcW w:w="2126" w:type="dxa"/>
          </w:tcPr>
          <w:p w14:paraId="5A1B7895" w14:textId="77777777" w:rsidR="00700609" w:rsidRPr="00AE3A31" w:rsidRDefault="00700609" w:rsidP="00681BA8">
            <w:pPr>
              <w:pStyle w:val="Tabletext"/>
              <w:jc w:val="center"/>
            </w:pPr>
            <w:r w:rsidRPr="00AE3A31">
              <w:t>−148.5</w:t>
            </w:r>
          </w:p>
        </w:tc>
        <w:tc>
          <w:tcPr>
            <w:tcW w:w="1876" w:type="dxa"/>
          </w:tcPr>
          <w:p w14:paraId="6AEDC750" w14:textId="77777777" w:rsidR="00700609" w:rsidRPr="00AE3A31" w:rsidRDefault="00700609" w:rsidP="00681BA8">
            <w:pPr>
              <w:pStyle w:val="Tabletext"/>
              <w:jc w:val="center"/>
            </w:pPr>
            <w:r w:rsidRPr="00AE3A31">
              <w:t>−145.7</w:t>
            </w:r>
          </w:p>
        </w:tc>
      </w:tr>
      <w:tr w:rsidR="00700609" w:rsidRPr="00AE3A31" w14:paraId="169F0FEB" w14:textId="77777777" w:rsidTr="00681BA8">
        <w:trPr>
          <w:jc w:val="center"/>
        </w:trPr>
        <w:tc>
          <w:tcPr>
            <w:tcW w:w="6091" w:type="dxa"/>
          </w:tcPr>
          <w:p w14:paraId="22A886A0" w14:textId="77777777" w:rsidR="00700609" w:rsidRPr="00AE3A31" w:rsidRDefault="00700609" w:rsidP="00681BA8">
            <w:pPr>
              <w:pStyle w:val="Tabletext"/>
              <w:rPr>
                <w:szCs w:val="22"/>
              </w:rPr>
            </w:pPr>
            <w:r w:rsidRPr="00AE3A31">
              <w:t>Interference level not to be exceeded more than 20% of the time (equation (3)</w:t>
            </w:r>
            <w:r>
              <w:t>)</w:t>
            </w:r>
            <w:r w:rsidRPr="00AE3A31">
              <w:t xml:space="preserve"> (dBW within ref. bandwidth)</w:t>
            </w:r>
          </w:p>
        </w:tc>
        <w:tc>
          <w:tcPr>
            <w:tcW w:w="2126" w:type="dxa"/>
          </w:tcPr>
          <w:p w14:paraId="36417D18" w14:textId="77777777" w:rsidR="00700609" w:rsidRPr="00AE3A31" w:rsidRDefault="00700609" w:rsidP="00681BA8">
            <w:pPr>
              <w:pStyle w:val="Tabletext"/>
              <w:jc w:val="center"/>
            </w:pPr>
            <w:r w:rsidRPr="00AE3A31">
              <w:t>−149.36</w:t>
            </w:r>
          </w:p>
        </w:tc>
        <w:tc>
          <w:tcPr>
            <w:tcW w:w="1876" w:type="dxa"/>
          </w:tcPr>
          <w:p w14:paraId="0968DAD0" w14:textId="77777777" w:rsidR="00700609" w:rsidRPr="00AE3A31" w:rsidRDefault="00700609" w:rsidP="00681BA8">
            <w:pPr>
              <w:pStyle w:val="Tabletext"/>
              <w:jc w:val="center"/>
            </w:pPr>
            <w:r w:rsidRPr="00AE3A31">
              <w:t>−151.51</w:t>
            </w:r>
          </w:p>
        </w:tc>
      </w:tr>
    </w:tbl>
    <w:p w14:paraId="6F32603E" w14:textId="77777777" w:rsidR="00700609" w:rsidRPr="00AE3A31" w:rsidRDefault="00700609" w:rsidP="00700609">
      <w:pPr>
        <w:pStyle w:val="Tablefin"/>
      </w:pPr>
    </w:p>
    <w:p w14:paraId="7AA31B5D" w14:textId="77777777" w:rsidR="00700609" w:rsidRPr="00AE3A31" w:rsidRDefault="00700609" w:rsidP="00700609">
      <w:pPr>
        <w:pStyle w:val="Heading2"/>
      </w:pPr>
      <w:r w:rsidRPr="00AE3A31">
        <w:lastRenderedPageBreak/>
        <w:t>4.2</w:t>
      </w:r>
      <w:r w:rsidRPr="00AE3A31">
        <w:tab/>
        <w:t>Dropsondes</w:t>
      </w:r>
    </w:p>
    <w:p w14:paraId="5E5DADE7" w14:textId="77777777" w:rsidR="00700609" w:rsidRPr="00AE3A31" w:rsidRDefault="00700609" w:rsidP="00700609">
      <w:r w:rsidRPr="00AE3A31">
        <w:t>Equations (1), (2) and (3) can be used to calculate the interference criteria for dropsondes. The interference criteria for dropsondes are presented in Table 10.</w:t>
      </w:r>
    </w:p>
    <w:p w14:paraId="4AE55F25" w14:textId="77777777" w:rsidR="00700609" w:rsidRPr="00AE3A31" w:rsidRDefault="00700609" w:rsidP="00700609">
      <w:pPr>
        <w:pStyle w:val="TableNo"/>
      </w:pPr>
      <w:r w:rsidRPr="00AE3A31">
        <w:t>TABLE 10</w:t>
      </w:r>
    </w:p>
    <w:p w14:paraId="5C7FDB51" w14:textId="77777777" w:rsidR="00700609" w:rsidRPr="00AE3A31" w:rsidRDefault="00700609" w:rsidP="00700609">
      <w:pPr>
        <w:pStyle w:val="Tabletitle"/>
      </w:pPr>
      <w:r w:rsidRPr="00AE3A31">
        <w:t>Interference criteria for dropsonde systems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1"/>
        <w:gridCol w:w="2798"/>
      </w:tblGrid>
      <w:tr w:rsidR="00700609" w:rsidRPr="00AE3A31" w14:paraId="2AEAD1EE" w14:textId="77777777" w:rsidTr="00681BA8">
        <w:trPr>
          <w:jc w:val="center"/>
        </w:trPr>
        <w:tc>
          <w:tcPr>
            <w:tcW w:w="6516" w:type="dxa"/>
            <w:vAlign w:val="center"/>
          </w:tcPr>
          <w:p w14:paraId="300D9A34" w14:textId="77777777" w:rsidR="00700609" w:rsidRPr="00AE3A31" w:rsidRDefault="00700609" w:rsidP="00681BA8">
            <w:pPr>
              <w:pStyle w:val="Tablehead"/>
            </w:pPr>
            <w:r w:rsidRPr="00AE3A31">
              <w:t>Parameter</w:t>
            </w:r>
          </w:p>
        </w:tc>
        <w:tc>
          <w:tcPr>
            <w:tcW w:w="2665" w:type="dxa"/>
            <w:vAlign w:val="center"/>
          </w:tcPr>
          <w:p w14:paraId="14E18653" w14:textId="77777777" w:rsidR="00700609" w:rsidRPr="00AE3A31" w:rsidRDefault="00700609" w:rsidP="00681BA8">
            <w:pPr>
              <w:pStyle w:val="Tablehead"/>
            </w:pPr>
            <w:r w:rsidRPr="00AE3A31">
              <w:t>Dropsonde systems</w:t>
            </w:r>
            <w:r w:rsidRPr="00AE3A31">
              <w:br/>
              <w:t>400.15-406 MHz</w:t>
            </w:r>
          </w:p>
        </w:tc>
      </w:tr>
      <w:tr w:rsidR="00700609" w:rsidRPr="00AE3A31" w14:paraId="016D5C8F" w14:textId="77777777" w:rsidTr="00681BA8">
        <w:trPr>
          <w:jc w:val="center"/>
        </w:trPr>
        <w:tc>
          <w:tcPr>
            <w:tcW w:w="6516" w:type="dxa"/>
          </w:tcPr>
          <w:p w14:paraId="0D845EA5" w14:textId="77777777" w:rsidR="00700609" w:rsidRPr="00AE3A31" w:rsidRDefault="00700609" w:rsidP="00681BA8">
            <w:pPr>
              <w:pStyle w:val="Tabletext"/>
            </w:pPr>
            <w:r w:rsidRPr="00AE3A31">
              <w:t>Receiver noise spectral density (dB(W/Hz))</w:t>
            </w:r>
          </w:p>
        </w:tc>
        <w:tc>
          <w:tcPr>
            <w:tcW w:w="2665" w:type="dxa"/>
          </w:tcPr>
          <w:p w14:paraId="2A2FA8D9" w14:textId="77777777" w:rsidR="00700609" w:rsidRPr="00AE3A31" w:rsidRDefault="00700609" w:rsidP="00681BA8">
            <w:pPr>
              <w:pStyle w:val="Tabletext"/>
              <w:jc w:val="center"/>
            </w:pPr>
            <w:r w:rsidRPr="00AE3A31">
              <w:t>−202.5</w:t>
            </w:r>
          </w:p>
        </w:tc>
      </w:tr>
      <w:tr w:rsidR="00700609" w:rsidRPr="00AE3A31" w14:paraId="480C5D0D" w14:textId="77777777" w:rsidTr="00681BA8">
        <w:trPr>
          <w:jc w:val="center"/>
        </w:trPr>
        <w:tc>
          <w:tcPr>
            <w:tcW w:w="6516" w:type="dxa"/>
          </w:tcPr>
          <w:p w14:paraId="5B84979D" w14:textId="77777777" w:rsidR="00700609" w:rsidRPr="00AE3A31" w:rsidRDefault="00700609" w:rsidP="00681BA8">
            <w:pPr>
              <w:pStyle w:val="Tabletext"/>
            </w:pPr>
            <w:r w:rsidRPr="00AE3A31">
              <w:t>Receiver reference bandwidth (dB/Hz)</w:t>
            </w:r>
          </w:p>
        </w:tc>
        <w:tc>
          <w:tcPr>
            <w:tcW w:w="2665" w:type="dxa"/>
          </w:tcPr>
          <w:p w14:paraId="08B94EB0" w14:textId="77777777" w:rsidR="00700609" w:rsidRPr="00AE3A31" w:rsidRDefault="00700609" w:rsidP="00681BA8">
            <w:pPr>
              <w:pStyle w:val="Tabletext"/>
              <w:jc w:val="center"/>
            </w:pPr>
            <w:r w:rsidRPr="00AE3A31">
              <w:t>42.5</w:t>
            </w:r>
          </w:p>
        </w:tc>
      </w:tr>
      <w:tr w:rsidR="00700609" w:rsidRPr="00AE3A31" w14:paraId="2AF46937" w14:textId="77777777" w:rsidTr="00681BA8">
        <w:trPr>
          <w:jc w:val="center"/>
        </w:trPr>
        <w:tc>
          <w:tcPr>
            <w:tcW w:w="6516" w:type="dxa"/>
          </w:tcPr>
          <w:p w14:paraId="1D5A8E85" w14:textId="77777777" w:rsidR="00700609" w:rsidRPr="00AE3A31" w:rsidRDefault="00700609" w:rsidP="00681BA8">
            <w:pPr>
              <w:pStyle w:val="Tabletext"/>
            </w:pPr>
            <w:r w:rsidRPr="00AE3A31">
              <w:t xml:space="preserve">Link margin (dB) </w:t>
            </w:r>
            <w:r w:rsidRPr="00AE3A31">
              <w:rPr>
                <w:i/>
              </w:rPr>
              <w:t>P</w:t>
            </w:r>
            <w:r w:rsidRPr="00AE3A31">
              <w:rPr>
                <w:i/>
                <w:vertAlign w:val="subscript"/>
              </w:rPr>
              <w:t>DATA-LOSS</w:t>
            </w:r>
            <w:r w:rsidRPr="00AE3A31">
              <w:t xml:space="preserve"> = 0.06%</w:t>
            </w:r>
          </w:p>
        </w:tc>
        <w:tc>
          <w:tcPr>
            <w:tcW w:w="2665" w:type="dxa"/>
          </w:tcPr>
          <w:p w14:paraId="361A5324" w14:textId="77777777" w:rsidR="00700609" w:rsidRPr="00AE3A31" w:rsidRDefault="00700609" w:rsidP="00681BA8">
            <w:pPr>
              <w:pStyle w:val="Tabletext"/>
              <w:jc w:val="center"/>
            </w:pPr>
            <w:r w:rsidRPr="00AE3A31">
              <w:t>2.1</w:t>
            </w:r>
          </w:p>
        </w:tc>
      </w:tr>
      <w:tr w:rsidR="00700609" w:rsidRPr="00AE3A31" w14:paraId="32619A30" w14:textId="77777777" w:rsidTr="00681BA8">
        <w:trPr>
          <w:jc w:val="center"/>
        </w:trPr>
        <w:tc>
          <w:tcPr>
            <w:tcW w:w="6516" w:type="dxa"/>
          </w:tcPr>
          <w:p w14:paraId="7D753459" w14:textId="77777777" w:rsidR="00700609" w:rsidRPr="00AE3A31" w:rsidRDefault="00700609" w:rsidP="00681BA8">
            <w:pPr>
              <w:pStyle w:val="Tabletext"/>
              <w:rPr>
                <w:szCs w:val="22"/>
              </w:rPr>
            </w:pPr>
            <w:r w:rsidRPr="00AE3A31">
              <w:t xml:space="preserve">Interference level not to be exceeded more than </w:t>
            </w:r>
            <w:r w:rsidRPr="00AE3A31">
              <w:rPr>
                <w:i/>
              </w:rPr>
              <w:t>P</w:t>
            </w:r>
            <w:r w:rsidRPr="00AE3A31">
              <w:rPr>
                <w:i/>
                <w:vertAlign w:val="subscript"/>
              </w:rPr>
              <w:t>DATA-LOSS</w:t>
            </w:r>
            <w:r w:rsidRPr="00AE3A31">
              <w:t>% = 0.06% of the time (equation (2)) (dBW(20 kHz))</w:t>
            </w:r>
          </w:p>
        </w:tc>
        <w:tc>
          <w:tcPr>
            <w:tcW w:w="2665" w:type="dxa"/>
          </w:tcPr>
          <w:p w14:paraId="14664494" w14:textId="77777777" w:rsidR="00700609" w:rsidRPr="00AE3A31" w:rsidRDefault="00700609" w:rsidP="00681BA8">
            <w:pPr>
              <w:pStyle w:val="Tabletext"/>
              <w:jc w:val="center"/>
            </w:pPr>
            <w:r w:rsidRPr="00AE3A31">
              <w:t>−161.6</w:t>
            </w:r>
          </w:p>
        </w:tc>
      </w:tr>
      <w:tr w:rsidR="00700609" w:rsidRPr="00AE3A31" w14:paraId="52744331" w14:textId="77777777" w:rsidTr="00681BA8">
        <w:trPr>
          <w:jc w:val="center"/>
        </w:trPr>
        <w:tc>
          <w:tcPr>
            <w:tcW w:w="6516" w:type="dxa"/>
          </w:tcPr>
          <w:p w14:paraId="6564F4A8" w14:textId="77777777" w:rsidR="00700609" w:rsidRPr="00AE3A31" w:rsidRDefault="00700609" w:rsidP="00681BA8">
            <w:pPr>
              <w:pStyle w:val="Tabletext"/>
              <w:rPr>
                <w:szCs w:val="22"/>
              </w:rPr>
            </w:pPr>
            <w:r w:rsidRPr="00AE3A31">
              <w:t>Interference level not to be exceeded more than 20% of the time (equation (3)) (dBW(20 kHz))</w:t>
            </w:r>
          </w:p>
        </w:tc>
        <w:tc>
          <w:tcPr>
            <w:tcW w:w="2665" w:type="dxa"/>
          </w:tcPr>
          <w:p w14:paraId="6D0ACD56" w14:textId="77777777" w:rsidR="00700609" w:rsidRPr="00AE3A31" w:rsidRDefault="00700609" w:rsidP="00681BA8">
            <w:pPr>
              <w:pStyle w:val="Tabletext"/>
              <w:jc w:val="center"/>
            </w:pPr>
            <w:r w:rsidRPr="00AE3A31">
              <w:t>−167.06</w:t>
            </w:r>
          </w:p>
        </w:tc>
      </w:tr>
    </w:tbl>
    <w:p w14:paraId="51429ED1" w14:textId="77777777" w:rsidR="00700609" w:rsidRPr="00AE3A31" w:rsidRDefault="00700609" w:rsidP="00700609">
      <w:pPr>
        <w:pStyle w:val="Tablefin"/>
      </w:pPr>
    </w:p>
    <w:p w14:paraId="03D3A6F9" w14:textId="77777777" w:rsidR="00700609" w:rsidRPr="00AE3A31" w:rsidRDefault="00700609" w:rsidP="00700609">
      <w:pPr>
        <w:pStyle w:val="Heading2"/>
      </w:pPr>
      <w:r w:rsidRPr="00AE3A31">
        <w:t>4.3</w:t>
      </w:r>
      <w:r w:rsidRPr="00AE3A31">
        <w:tab/>
        <w:t>Rocketsondes</w:t>
      </w:r>
    </w:p>
    <w:p w14:paraId="69B95946" w14:textId="77777777" w:rsidR="00700609" w:rsidRPr="00AE3A31" w:rsidRDefault="00700609" w:rsidP="00700609">
      <w:r w:rsidRPr="00AE3A31">
        <w:t>Equations (1), (2) and (3) can be used to calculate the interference criteria for rocketsondes. The interference criteria for rocketsondes are presented in Table 11.</w:t>
      </w:r>
    </w:p>
    <w:p w14:paraId="06A2C2D3" w14:textId="77777777" w:rsidR="00700609" w:rsidRPr="00AE3A31" w:rsidRDefault="00700609" w:rsidP="00700609">
      <w:pPr>
        <w:pStyle w:val="TableNo"/>
      </w:pPr>
      <w:r w:rsidRPr="00AE3A31">
        <w:t>TABLE 11</w:t>
      </w:r>
    </w:p>
    <w:p w14:paraId="2D18DDD0" w14:textId="77777777" w:rsidR="00700609" w:rsidRPr="00AE3A31" w:rsidRDefault="00700609" w:rsidP="00700609">
      <w:pPr>
        <w:pStyle w:val="Tabletitle"/>
      </w:pPr>
      <w:r w:rsidRPr="00AE3A31">
        <w:t>Interference criteria for rocketsonde systems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6941"/>
        <w:gridCol w:w="2699"/>
      </w:tblGrid>
      <w:tr w:rsidR="00700609" w:rsidRPr="00AE3A31" w14:paraId="6CAFF018" w14:textId="77777777" w:rsidTr="00681BA8">
        <w:trPr>
          <w:jc w:val="center"/>
        </w:trPr>
        <w:tc>
          <w:tcPr>
            <w:tcW w:w="6941" w:type="dxa"/>
            <w:vAlign w:val="center"/>
          </w:tcPr>
          <w:p w14:paraId="2E024124" w14:textId="77777777" w:rsidR="00700609" w:rsidRPr="00AE3A31" w:rsidRDefault="00700609" w:rsidP="00681BA8">
            <w:pPr>
              <w:pStyle w:val="Tablehead"/>
              <w:keepLines/>
            </w:pPr>
            <w:r w:rsidRPr="00AE3A31">
              <w:t>Parameter</w:t>
            </w:r>
          </w:p>
        </w:tc>
        <w:tc>
          <w:tcPr>
            <w:tcW w:w="2699" w:type="dxa"/>
            <w:vAlign w:val="center"/>
          </w:tcPr>
          <w:p w14:paraId="2789CDFB" w14:textId="77777777" w:rsidR="00700609" w:rsidRPr="00AE3A31" w:rsidRDefault="00700609" w:rsidP="00681BA8">
            <w:pPr>
              <w:pStyle w:val="Tablehead"/>
              <w:keepLines/>
            </w:pPr>
            <w:r w:rsidRPr="00AE3A31">
              <w:t>Rocketsonde systems</w:t>
            </w:r>
            <w:r w:rsidRPr="00AE3A31">
              <w:br/>
              <w:t>400.15-406 MHz</w:t>
            </w:r>
          </w:p>
        </w:tc>
      </w:tr>
      <w:tr w:rsidR="00700609" w:rsidRPr="00AE3A31" w14:paraId="0962CBCB" w14:textId="77777777" w:rsidTr="00681BA8">
        <w:trPr>
          <w:jc w:val="center"/>
        </w:trPr>
        <w:tc>
          <w:tcPr>
            <w:tcW w:w="6941" w:type="dxa"/>
          </w:tcPr>
          <w:p w14:paraId="349AC7B9" w14:textId="77777777" w:rsidR="00700609" w:rsidRPr="00AE3A31" w:rsidRDefault="00700609" w:rsidP="00681BA8">
            <w:pPr>
              <w:pStyle w:val="Tabletext"/>
              <w:keepNext/>
              <w:keepLines/>
            </w:pPr>
            <w:r w:rsidRPr="00AE3A31">
              <w:t>Receiver noise spectral density (dB(W/Hz))</w:t>
            </w:r>
          </w:p>
        </w:tc>
        <w:tc>
          <w:tcPr>
            <w:tcW w:w="2699" w:type="dxa"/>
          </w:tcPr>
          <w:p w14:paraId="30ECD98D" w14:textId="77777777" w:rsidR="00700609" w:rsidRPr="00AE3A31" w:rsidRDefault="00700609" w:rsidP="00681BA8">
            <w:pPr>
              <w:pStyle w:val="Tabletext"/>
              <w:keepNext/>
              <w:keepLines/>
              <w:jc w:val="center"/>
            </w:pPr>
            <w:r w:rsidRPr="00AE3A31">
              <w:t>−200.5</w:t>
            </w:r>
          </w:p>
        </w:tc>
      </w:tr>
      <w:tr w:rsidR="00700609" w:rsidRPr="00AE3A31" w14:paraId="38D9F05B" w14:textId="77777777" w:rsidTr="00681BA8">
        <w:trPr>
          <w:jc w:val="center"/>
        </w:trPr>
        <w:tc>
          <w:tcPr>
            <w:tcW w:w="6941" w:type="dxa"/>
          </w:tcPr>
          <w:p w14:paraId="2E30EEDB" w14:textId="77777777" w:rsidR="00700609" w:rsidRPr="00AE3A31" w:rsidRDefault="00700609" w:rsidP="00681BA8">
            <w:pPr>
              <w:pStyle w:val="Tabletext"/>
            </w:pPr>
            <w:r w:rsidRPr="00AE3A31">
              <w:t>Receiver reference bandwidth (dB/Hz)</w:t>
            </w:r>
          </w:p>
        </w:tc>
        <w:tc>
          <w:tcPr>
            <w:tcW w:w="2699" w:type="dxa"/>
          </w:tcPr>
          <w:p w14:paraId="264825AC" w14:textId="77777777" w:rsidR="00700609" w:rsidRPr="00AE3A31" w:rsidRDefault="00700609" w:rsidP="00681BA8">
            <w:pPr>
              <w:pStyle w:val="Tabletext"/>
              <w:jc w:val="center"/>
            </w:pPr>
            <w:r w:rsidRPr="00AE3A31">
              <w:t>64.8</w:t>
            </w:r>
          </w:p>
        </w:tc>
      </w:tr>
      <w:tr w:rsidR="00700609" w:rsidRPr="00AE3A31" w14:paraId="50379101" w14:textId="77777777" w:rsidTr="00681BA8">
        <w:trPr>
          <w:jc w:val="center"/>
        </w:trPr>
        <w:tc>
          <w:tcPr>
            <w:tcW w:w="6941" w:type="dxa"/>
          </w:tcPr>
          <w:p w14:paraId="1BE6A7BB" w14:textId="77777777" w:rsidR="00700609" w:rsidRPr="00AE3A31" w:rsidRDefault="00700609" w:rsidP="00681BA8">
            <w:pPr>
              <w:pStyle w:val="Tabletext"/>
            </w:pPr>
            <w:r w:rsidRPr="00AE3A31">
              <w:t xml:space="preserve">Link margin (dB) </w:t>
            </w:r>
            <w:r w:rsidRPr="00AE3A31">
              <w:rPr>
                <w:i/>
              </w:rPr>
              <w:t>P</w:t>
            </w:r>
            <w:r w:rsidRPr="00AE3A31">
              <w:rPr>
                <w:i/>
                <w:vertAlign w:val="subscript"/>
              </w:rPr>
              <w:t>LOCK-LOSS</w:t>
            </w:r>
            <w:r w:rsidRPr="00AE3A31">
              <w:t> = 0.02%</w:t>
            </w:r>
          </w:p>
        </w:tc>
        <w:tc>
          <w:tcPr>
            <w:tcW w:w="2699" w:type="dxa"/>
          </w:tcPr>
          <w:p w14:paraId="7ABD6E26" w14:textId="77777777" w:rsidR="00700609" w:rsidRPr="00AE3A31" w:rsidRDefault="00700609" w:rsidP="00681BA8">
            <w:pPr>
              <w:pStyle w:val="Tabletext"/>
              <w:jc w:val="center"/>
            </w:pPr>
            <w:r w:rsidRPr="00AE3A31">
              <w:t>18.9</w:t>
            </w:r>
          </w:p>
        </w:tc>
      </w:tr>
      <w:tr w:rsidR="00700609" w:rsidRPr="00AE3A31" w14:paraId="7FA6E589" w14:textId="77777777" w:rsidTr="00681BA8">
        <w:trPr>
          <w:jc w:val="center"/>
        </w:trPr>
        <w:tc>
          <w:tcPr>
            <w:tcW w:w="6941" w:type="dxa"/>
          </w:tcPr>
          <w:p w14:paraId="7EC2AE19" w14:textId="77777777" w:rsidR="00700609" w:rsidRPr="00AE3A31" w:rsidRDefault="00700609" w:rsidP="00681BA8">
            <w:pPr>
              <w:pStyle w:val="Tabletext"/>
            </w:pPr>
            <w:r w:rsidRPr="00AE3A31">
              <w:t xml:space="preserve">Link margin (dB) </w:t>
            </w:r>
            <w:r w:rsidRPr="00AE3A31">
              <w:rPr>
                <w:i/>
              </w:rPr>
              <w:t>P</w:t>
            </w:r>
            <w:r w:rsidRPr="00AE3A31">
              <w:rPr>
                <w:i/>
                <w:vertAlign w:val="subscript"/>
              </w:rPr>
              <w:t>DATA-LOSS</w:t>
            </w:r>
            <w:r w:rsidRPr="00AE3A31">
              <w:t> = 0.06%</w:t>
            </w:r>
          </w:p>
        </w:tc>
        <w:tc>
          <w:tcPr>
            <w:tcW w:w="2699" w:type="dxa"/>
          </w:tcPr>
          <w:p w14:paraId="0D9DF404" w14:textId="77777777" w:rsidR="00700609" w:rsidRPr="00AE3A31" w:rsidRDefault="00700609" w:rsidP="00681BA8">
            <w:pPr>
              <w:pStyle w:val="Tabletext"/>
              <w:jc w:val="center"/>
            </w:pPr>
            <w:r w:rsidRPr="00AE3A31">
              <w:t>13.85</w:t>
            </w:r>
          </w:p>
        </w:tc>
      </w:tr>
      <w:tr w:rsidR="00700609" w:rsidRPr="00AE3A31" w14:paraId="078A012C" w14:textId="77777777" w:rsidTr="00681BA8">
        <w:trPr>
          <w:jc w:val="center"/>
        </w:trPr>
        <w:tc>
          <w:tcPr>
            <w:tcW w:w="6941" w:type="dxa"/>
          </w:tcPr>
          <w:p w14:paraId="40C0BFCA" w14:textId="77777777" w:rsidR="00700609" w:rsidRPr="00AE3A31" w:rsidRDefault="00700609" w:rsidP="00681BA8">
            <w:pPr>
              <w:pStyle w:val="Tabletext"/>
              <w:rPr>
                <w:szCs w:val="22"/>
              </w:rPr>
            </w:pPr>
            <w:r w:rsidRPr="00AE3A31">
              <w:t xml:space="preserve">Interference level not to be exceeded more than </w:t>
            </w:r>
            <w:r w:rsidRPr="00AE3A31">
              <w:rPr>
                <w:i/>
              </w:rPr>
              <w:t>P</w:t>
            </w:r>
            <w:r w:rsidRPr="00AE3A31">
              <w:rPr>
                <w:i/>
                <w:vertAlign w:val="subscript"/>
              </w:rPr>
              <w:t>LOCK-LOSS</w:t>
            </w:r>
            <w:r w:rsidRPr="00AE3A31">
              <w:t> = 0.02% of the time (equation (1)) (dBW(3 MHz))</w:t>
            </w:r>
          </w:p>
        </w:tc>
        <w:tc>
          <w:tcPr>
            <w:tcW w:w="2699" w:type="dxa"/>
          </w:tcPr>
          <w:p w14:paraId="3D8A8E83" w14:textId="77777777" w:rsidR="00700609" w:rsidRPr="00AE3A31" w:rsidRDefault="00700609" w:rsidP="00681BA8">
            <w:pPr>
              <w:pStyle w:val="Tabletext"/>
              <w:jc w:val="center"/>
            </w:pPr>
            <w:r w:rsidRPr="00AE3A31">
              <w:t xml:space="preserve">−116.9 </w:t>
            </w:r>
          </w:p>
        </w:tc>
      </w:tr>
      <w:tr w:rsidR="00700609" w:rsidRPr="00AE3A31" w14:paraId="137786C0" w14:textId="77777777" w:rsidTr="00681BA8">
        <w:trPr>
          <w:jc w:val="center"/>
        </w:trPr>
        <w:tc>
          <w:tcPr>
            <w:tcW w:w="6941" w:type="dxa"/>
          </w:tcPr>
          <w:p w14:paraId="545BB6B2" w14:textId="77777777" w:rsidR="00700609" w:rsidRPr="00AE3A31" w:rsidRDefault="00700609" w:rsidP="00681BA8">
            <w:pPr>
              <w:pStyle w:val="Tabletext"/>
              <w:rPr>
                <w:szCs w:val="22"/>
              </w:rPr>
            </w:pPr>
            <w:r w:rsidRPr="00AE3A31">
              <w:t xml:space="preserve">Interference level not to be exceeded more than </w:t>
            </w:r>
            <w:r w:rsidRPr="00AE3A31">
              <w:rPr>
                <w:i/>
              </w:rPr>
              <w:t>P</w:t>
            </w:r>
            <w:r w:rsidRPr="00AE3A31">
              <w:rPr>
                <w:i/>
                <w:vertAlign w:val="subscript"/>
              </w:rPr>
              <w:t>DATA-LOSS</w:t>
            </w:r>
            <w:r w:rsidRPr="00AE3A31">
              <w:t> = 0.06% of the time (equation (2)) (dBW(3 MHz))</w:t>
            </w:r>
          </w:p>
        </w:tc>
        <w:tc>
          <w:tcPr>
            <w:tcW w:w="2699" w:type="dxa"/>
          </w:tcPr>
          <w:p w14:paraId="5D7CAFF7" w14:textId="77777777" w:rsidR="00700609" w:rsidRPr="00AE3A31" w:rsidRDefault="00700609" w:rsidP="00681BA8">
            <w:pPr>
              <w:pStyle w:val="Tabletext"/>
              <w:jc w:val="center"/>
            </w:pPr>
            <w:r w:rsidRPr="00AE3A31">
              <w:t xml:space="preserve">−122.1 </w:t>
            </w:r>
          </w:p>
        </w:tc>
      </w:tr>
      <w:tr w:rsidR="00700609" w:rsidRPr="00AE3A31" w14:paraId="78073A8B" w14:textId="77777777" w:rsidTr="00681BA8">
        <w:trPr>
          <w:jc w:val="center"/>
        </w:trPr>
        <w:tc>
          <w:tcPr>
            <w:tcW w:w="6941" w:type="dxa"/>
          </w:tcPr>
          <w:p w14:paraId="6B793C6E" w14:textId="77777777" w:rsidR="00700609" w:rsidRPr="00AE3A31" w:rsidRDefault="00700609" w:rsidP="00681BA8">
            <w:pPr>
              <w:pStyle w:val="Tabletext"/>
              <w:rPr>
                <w:szCs w:val="22"/>
              </w:rPr>
            </w:pPr>
            <w:r w:rsidRPr="00AE3A31">
              <w:t>Interference level not to be exceeded more than 20% of the time (equation (3)) (dBW(3 MHz))</w:t>
            </w:r>
          </w:p>
        </w:tc>
        <w:tc>
          <w:tcPr>
            <w:tcW w:w="2699" w:type="dxa"/>
          </w:tcPr>
          <w:p w14:paraId="25102925" w14:textId="77777777" w:rsidR="00700609" w:rsidRPr="00AE3A31" w:rsidRDefault="00700609" w:rsidP="00681BA8">
            <w:pPr>
              <w:pStyle w:val="Tabletext"/>
              <w:jc w:val="center"/>
            </w:pPr>
            <w:r w:rsidRPr="00AE3A31">
              <w:t xml:space="preserve">−132.98 </w:t>
            </w:r>
          </w:p>
        </w:tc>
      </w:tr>
    </w:tbl>
    <w:p w14:paraId="10D60580" w14:textId="77777777" w:rsidR="00C14F39" w:rsidRPr="00AE3A31" w:rsidRDefault="00C14F39" w:rsidP="00C14F39">
      <w:pPr>
        <w:pStyle w:val="Tablefin"/>
      </w:pPr>
    </w:p>
    <w:p w14:paraId="6C05C843" w14:textId="0F936EA1" w:rsidR="003B14C2" w:rsidRPr="00C96909" w:rsidRDefault="003B14C2" w:rsidP="003F6906">
      <w:pPr>
        <w:pStyle w:val="Line"/>
        <w:rPr>
          <w:lang w:eastAsia="zh-CN"/>
        </w:rPr>
      </w:pPr>
    </w:p>
    <w:sectPr w:rsidR="003B14C2" w:rsidRPr="00C96909" w:rsidSect="00700609">
      <w:headerReference w:type="even" r:id="rId27"/>
      <w:headerReference w:type="default" r:id="rId28"/>
      <w:footerReference w:type="default" r:id="rId29"/>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0BDC" w14:textId="77777777" w:rsidR="003B14C2" w:rsidRDefault="003B14C2">
      <w:r>
        <w:separator/>
      </w:r>
    </w:p>
  </w:endnote>
  <w:endnote w:type="continuationSeparator" w:id="0">
    <w:p w14:paraId="0A402263" w14:textId="77777777" w:rsidR="003B14C2" w:rsidRDefault="003B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2331" w14:textId="77777777" w:rsidR="00700609" w:rsidRDefault="00700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3DB3" w14:textId="77777777" w:rsidR="003B14C2" w:rsidRDefault="003B14C2">
    <w:pPr>
      <w:pStyle w:val="Footer"/>
    </w:pPr>
    <w:r>
      <w:drawing>
        <wp:anchor distT="0" distB="0" distL="0" distR="0" simplePos="0" relativeHeight="251659264" behindDoc="0" locked="0" layoutInCell="1" allowOverlap="1" wp14:anchorId="69BB206F" wp14:editId="4AD844ED">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0F52" w14:textId="77777777" w:rsidR="00700609" w:rsidRDefault="007006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3FFD" w14:textId="1D99B0F9" w:rsidR="00700609" w:rsidRPr="00F67101" w:rsidRDefault="00700609" w:rsidP="00F671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28D7" w14:textId="669D747E" w:rsidR="00700609" w:rsidRPr="00700609" w:rsidRDefault="00700609" w:rsidP="007006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C43B" w14:textId="0FB67BF1" w:rsidR="00700609" w:rsidRPr="009D56EB" w:rsidRDefault="00700609" w:rsidP="009D56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6CC9" w14:textId="69C6EFDC" w:rsidR="003350FE" w:rsidRDefault="00335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4CFA" w14:textId="77777777" w:rsidR="003B14C2" w:rsidRDefault="003B14C2">
      <w:r>
        <w:separator/>
      </w:r>
    </w:p>
  </w:footnote>
  <w:footnote w:type="continuationSeparator" w:id="0">
    <w:p w14:paraId="0D0440B0" w14:textId="77777777" w:rsidR="003B14C2" w:rsidRDefault="003B1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55CC" w14:textId="77777777" w:rsidR="003B14C2" w:rsidRDefault="003B14C2">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9F69" w14:textId="2F556E40"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3876AA" w:rsidRPr="003876AA">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3876AA">
      <w:rPr>
        <w:b/>
        <w:bCs/>
        <w:noProof/>
      </w:rPr>
      <w:t>ITU-R  RS.1263-3</w:t>
    </w:r>
    <w:r>
      <w:rP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DAED" w14:textId="503055D3" w:rsidR="00607D68" w:rsidRDefault="00607D68">
    <w:pPr>
      <w:pStyle w:val="Header"/>
    </w:pPr>
    <w:r>
      <w:tab/>
    </w:r>
    <w:r w:rsidR="003876AA">
      <w:fldChar w:fldCharType="begin"/>
    </w:r>
    <w:r w:rsidR="003876AA">
      <w:instrText xml:space="preserve"> DOCPROPERTY "Header" \* MERGEFORMAT </w:instrText>
    </w:r>
    <w:r w:rsidR="003876AA">
      <w:fldChar w:fldCharType="separate"/>
    </w:r>
    <w:r w:rsidR="003876AA" w:rsidRPr="003876AA">
      <w:rPr>
        <w:b/>
        <w:bCs/>
      </w:rPr>
      <w:t xml:space="preserve">Rec. </w:t>
    </w:r>
    <w:r w:rsidR="003876AA">
      <w:rPr>
        <w:b/>
        <w:bCs/>
      </w:rPr>
      <w:fldChar w:fldCharType="end"/>
    </w:r>
    <w:r>
      <w:rPr>
        <w:b/>
        <w:bCs/>
      </w:rPr>
      <w:t xml:space="preserve"> </w:t>
    </w:r>
    <w:r>
      <w:rPr>
        <w:b/>
        <w:bCs/>
      </w:rPr>
      <w:fldChar w:fldCharType="begin"/>
    </w:r>
    <w:r>
      <w:rPr>
        <w:b/>
        <w:bCs/>
      </w:rPr>
      <w:instrText>styleref href</w:instrText>
    </w:r>
    <w:r>
      <w:rPr>
        <w:b/>
        <w:bCs/>
      </w:rPr>
      <w:fldChar w:fldCharType="separate"/>
    </w:r>
    <w:r w:rsidR="003876AA">
      <w:rPr>
        <w:b/>
        <w:bCs/>
        <w:noProof/>
      </w:rPr>
      <w:t>ITU-R  RS.1263-3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3B14C2" w:rsidRPr="00A239D1" w14:paraId="390801AD" w14:textId="77777777" w:rsidTr="0019307B">
      <w:tc>
        <w:tcPr>
          <w:tcW w:w="4634" w:type="dxa"/>
          <w:vAlign w:val="center"/>
        </w:tcPr>
        <w:p w14:paraId="21B54E11" w14:textId="77777777" w:rsidR="003B14C2" w:rsidRPr="005B0371" w:rsidRDefault="003B14C2"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80A35D" w14:textId="77777777" w:rsidR="003B14C2" w:rsidRPr="00260B24" w:rsidRDefault="003B14C2"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3B14C2" w:rsidRPr="00A239D1" w14:paraId="65DEA190" w14:textId="77777777" w:rsidTr="0019307B">
      <w:tc>
        <w:tcPr>
          <w:tcW w:w="4634" w:type="dxa"/>
          <w:vAlign w:val="center"/>
        </w:tcPr>
        <w:p w14:paraId="033509FE" w14:textId="77777777" w:rsidR="003B14C2" w:rsidRPr="00260B24" w:rsidRDefault="003B14C2"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24CCF4F8" w14:textId="77777777" w:rsidR="003B14C2" w:rsidRPr="00260B24" w:rsidRDefault="003B14C2"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28E90F7E" w14:textId="77777777" w:rsidR="003B14C2" w:rsidRDefault="003B14C2"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D1C0180" wp14:editId="06723A2F">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672ED6C4" wp14:editId="0AF2182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602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0042A1F" w14:textId="77777777" w:rsidR="003B14C2" w:rsidRDefault="003B14C2"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0495B983" wp14:editId="7EFA772E">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8B974"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7D2" w14:textId="77777777" w:rsidR="00700609" w:rsidRDefault="007006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0DBC" w14:textId="5F7179F9" w:rsidR="003B14C2" w:rsidRPr="00D72623" w:rsidRDefault="003B14C2"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3876AA">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3876AA">
      <w:rPr>
        <w:b/>
        <w:bCs/>
        <w:noProof/>
      </w:rPr>
      <w:t>ITU-R  RS.1263-3</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FC2F" w14:textId="4AC95D5E" w:rsidR="003B14C2" w:rsidRDefault="003B14C2">
    <w:pPr>
      <w:pStyle w:val="Header"/>
    </w:pPr>
    <w:r>
      <w:tab/>
    </w:r>
    <w:r>
      <w:rPr>
        <w:b/>
        <w:bCs/>
      </w:rPr>
      <w:fldChar w:fldCharType="begin"/>
    </w:r>
    <w:r>
      <w:rPr>
        <w:b/>
        <w:bCs/>
      </w:rPr>
      <w:instrText xml:space="preserve"> DOCPROPERTY "Header" \* MERGEFORMAT </w:instrText>
    </w:r>
    <w:r>
      <w:rPr>
        <w:b/>
        <w:bCs/>
      </w:rPr>
      <w:fldChar w:fldCharType="separate"/>
    </w:r>
    <w:r w:rsidR="003876AA">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3876AA">
      <w:rPr>
        <w:b/>
        <w:bCs/>
        <w:noProof/>
      </w:rPr>
      <w:t>ITU-R  RS.1263-3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2A5D" w14:textId="701C48B0" w:rsidR="00700609" w:rsidRPr="00700609" w:rsidRDefault="00700609" w:rsidP="00700609">
    <w:pPr>
      <w:pStyle w:val="Header"/>
      <w:jc w:val="left"/>
      <w:rPr>
        <w:rStyle w:val="PageNumber"/>
        <w:lang w:val="en-US"/>
      </w:rPr>
    </w:pP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3876AA">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3876AA">
      <w:rPr>
        <w:b/>
        <w:bCs/>
        <w:noProof/>
      </w:rPr>
      <w:t>ITU-R  RS.1263-3</w:t>
    </w:r>
    <w:r>
      <w:rPr>
        <w:b/>
        <w:bCs/>
      </w:rPr>
      <w:fldChar w:fldCharType="end"/>
    </w:r>
    <w:r>
      <w:rPr>
        <w:lang w:val="en-U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D201" w14:textId="598B04C7" w:rsidR="00700609" w:rsidRPr="00700609" w:rsidRDefault="00700609" w:rsidP="00700609">
    <w:pPr>
      <w:pStyle w:val="Header"/>
      <w:jc w:val="left"/>
      <w:rPr>
        <w:lang w:val="en-US"/>
      </w:rPr>
    </w:pP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3876AA">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3876AA">
      <w:rPr>
        <w:b/>
        <w:bCs/>
        <w:noProof/>
      </w:rPr>
      <w:t>ITU-R  RS.1263-3</w:t>
    </w:r>
    <w:r>
      <w:rPr>
        <w:b/>
        <w:bCs/>
      </w:rPr>
      <w:fldChar w:fldCharType="end"/>
    </w:r>
    <w:r>
      <w:rPr>
        <w:lang w:val="en-U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3</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BA2A" w14:textId="1A1B0152" w:rsidR="00700609" w:rsidRDefault="00700609" w:rsidP="00700609">
    <w:pPr>
      <w:pStyle w:val="Header"/>
      <w:tabs>
        <w:tab w:val="clear" w:pos="4848"/>
        <w:tab w:val="clear" w:pos="9696"/>
        <w:tab w:val="center" w:pos="7088"/>
        <w:tab w:val="right" w:pos="14034"/>
      </w:tabs>
    </w:pPr>
    <w:r>
      <w:tab/>
    </w:r>
    <w:r>
      <w:rPr>
        <w:b/>
        <w:bCs/>
      </w:rPr>
      <w:fldChar w:fldCharType="begin"/>
    </w:r>
    <w:r>
      <w:rPr>
        <w:b/>
        <w:bCs/>
      </w:rPr>
      <w:instrText xml:space="preserve"> DOCPROPERTY "Header" \* MERGEFORMAT </w:instrText>
    </w:r>
    <w:r>
      <w:rPr>
        <w:b/>
        <w:bCs/>
      </w:rPr>
      <w:fldChar w:fldCharType="separate"/>
    </w:r>
    <w:r w:rsidR="003876AA">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3876AA">
      <w:rPr>
        <w:b/>
        <w:bCs/>
        <w:noProof/>
      </w:rPr>
      <w:t>ITU-R  RS.1263-3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9</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3322" w14:textId="3C1DD869" w:rsidR="00700609" w:rsidRPr="00700609" w:rsidRDefault="00700609" w:rsidP="00700609">
    <w:pPr>
      <w:pStyle w:val="Header"/>
      <w:tabs>
        <w:tab w:val="clear" w:pos="4848"/>
        <w:tab w:val="center" w:pos="7088"/>
      </w:tabs>
      <w:jc w:val="left"/>
      <w:rPr>
        <w:rStyle w:val="PageNumbe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8</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3876AA">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3876AA">
      <w:rPr>
        <w:b/>
        <w:bCs/>
        <w:noProof/>
      </w:rPr>
      <w:t>ITU-R  RS.1263-3</w:t>
    </w:r>
    <w:r>
      <w:rPr>
        <w:b/>
        <w:bCs/>
      </w:rPr>
      <w:fldChar w:fldCharType="end"/>
    </w:r>
    <w:r>
      <w:rPr>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C2"/>
    <w:rsid w:val="00217EBF"/>
    <w:rsid w:val="00242AEE"/>
    <w:rsid w:val="002D76C4"/>
    <w:rsid w:val="003350FE"/>
    <w:rsid w:val="003876AA"/>
    <w:rsid w:val="003B14C2"/>
    <w:rsid w:val="003F6906"/>
    <w:rsid w:val="0047254B"/>
    <w:rsid w:val="0052529D"/>
    <w:rsid w:val="00555A6D"/>
    <w:rsid w:val="00607D68"/>
    <w:rsid w:val="00700609"/>
    <w:rsid w:val="007468DA"/>
    <w:rsid w:val="008E1C50"/>
    <w:rsid w:val="009B7003"/>
    <w:rsid w:val="009D4D97"/>
    <w:rsid w:val="009D56EB"/>
    <w:rsid w:val="009E00A8"/>
    <w:rsid w:val="00A6617B"/>
    <w:rsid w:val="00AB0DC8"/>
    <w:rsid w:val="00B14A9C"/>
    <w:rsid w:val="00B44E24"/>
    <w:rsid w:val="00C14F39"/>
    <w:rsid w:val="00DC2B47"/>
    <w:rsid w:val="00DF4176"/>
    <w:rsid w:val="00F01690"/>
    <w:rsid w:val="00F671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15AEA8"/>
  <w15:docId w15:val="{9D977E59-A9AA-48A7-A804-D3AFC8A8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aliases w:val="X. TITRE"/>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uiPriority w:val="99"/>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F67101"/>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F01690"/>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aliases w:val="X. TITRE Char"/>
    <w:basedOn w:val="DefaultParagraphFont"/>
    <w:link w:val="Heading1"/>
    <w:rsid w:val="003B14C2"/>
    <w:rPr>
      <w:b/>
      <w:sz w:val="24"/>
      <w:lang w:val="en-GB" w:eastAsia="en-US"/>
    </w:rPr>
  </w:style>
  <w:style w:type="character" w:customStyle="1" w:styleId="HeaderChar">
    <w:name w:val="Header Char"/>
    <w:basedOn w:val="DefaultParagraphFont"/>
    <w:link w:val="Header"/>
    <w:rsid w:val="003B14C2"/>
    <w:rPr>
      <w:sz w:val="24"/>
      <w:lang w:val="en-GB" w:eastAsia="en-US"/>
    </w:rPr>
  </w:style>
  <w:style w:type="character" w:customStyle="1" w:styleId="FooterChar">
    <w:name w:val="Footer Char"/>
    <w:basedOn w:val="DefaultParagraphFont"/>
    <w:link w:val="Footer"/>
    <w:uiPriority w:val="99"/>
    <w:qFormat/>
    <w:rsid w:val="003B14C2"/>
    <w:rPr>
      <w:noProof/>
      <w:sz w:val="18"/>
      <w:lang w:val="en-GB" w:eastAsia="en-US"/>
    </w:rPr>
  </w:style>
  <w:style w:type="character" w:styleId="Hyperlink">
    <w:name w:val="Hyperlink"/>
    <w:basedOn w:val="DefaultParagraphFont"/>
    <w:uiPriority w:val="99"/>
    <w:rsid w:val="003B14C2"/>
    <w:rPr>
      <w:color w:val="0000FF"/>
      <w:u w:val="single"/>
    </w:rPr>
  </w:style>
  <w:style w:type="table" w:styleId="TableGrid">
    <w:name w:val="Table Grid"/>
    <w:basedOn w:val="TableNormal"/>
    <w:rsid w:val="003B14C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3B14C2"/>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3B14C2"/>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3B14C2"/>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3B14C2"/>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basedOn w:val="DefaultParagraphFont"/>
    <w:link w:val="FootnoteText"/>
    <w:rsid w:val="003B14C2"/>
    <w:rPr>
      <w:sz w:val="22"/>
      <w:lang w:val="en-GB" w:eastAsia="en-US"/>
    </w:rPr>
  </w:style>
  <w:style w:type="character" w:customStyle="1" w:styleId="NormalaftertitleChar">
    <w:name w:val="Normal_after_title Char"/>
    <w:link w:val="Normalaftertitle"/>
    <w:uiPriority w:val="99"/>
    <w:locked/>
    <w:rsid w:val="003B14C2"/>
    <w:rPr>
      <w:sz w:val="24"/>
      <w:lang w:val="en-GB" w:eastAsia="en-US"/>
    </w:rPr>
  </w:style>
  <w:style w:type="character" w:customStyle="1" w:styleId="CallChar">
    <w:name w:val="Call Char"/>
    <w:link w:val="Call"/>
    <w:rsid w:val="003B14C2"/>
    <w:rPr>
      <w:i/>
      <w:sz w:val="24"/>
      <w:lang w:val="en-GB" w:eastAsia="en-US"/>
    </w:rPr>
  </w:style>
  <w:style w:type="character" w:customStyle="1" w:styleId="enumlev1Char">
    <w:name w:val="enumlev1 Char"/>
    <w:link w:val="enumlev1"/>
    <w:rsid w:val="003B14C2"/>
    <w:rPr>
      <w:sz w:val="24"/>
      <w:lang w:val="en-GB" w:eastAsia="en-US"/>
    </w:rPr>
  </w:style>
  <w:style w:type="character" w:customStyle="1" w:styleId="NoteChar">
    <w:name w:val="Note Char"/>
    <w:link w:val="Note"/>
    <w:locked/>
    <w:rsid w:val="003B14C2"/>
    <w:rPr>
      <w:sz w:val="22"/>
      <w:lang w:val="en-GB" w:eastAsia="en-US"/>
    </w:rPr>
  </w:style>
  <w:style w:type="character" w:customStyle="1" w:styleId="HeadingbChar">
    <w:name w:val="Heading_b Char"/>
    <w:link w:val="Headingb"/>
    <w:locked/>
    <w:rsid w:val="003B14C2"/>
    <w:rPr>
      <w:b/>
      <w:sz w:val="24"/>
      <w:lang w:val="en-GB" w:eastAsia="en-US"/>
    </w:rPr>
  </w:style>
  <w:style w:type="paragraph" w:customStyle="1" w:styleId="Artheading">
    <w:name w:val="Art_heading"/>
    <w:basedOn w:val="Normal"/>
    <w:next w:val="Normal"/>
    <w:rsid w:val="00700609"/>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700609"/>
    <w:rPr>
      <w:vertAlign w:val="superscript"/>
    </w:rPr>
  </w:style>
  <w:style w:type="paragraph" w:customStyle="1" w:styleId="Figurewithouttitle">
    <w:name w:val="Figure_without_title"/>
    <w:basedOn w:val="FigureNo"/>
    <w:next w:val="Normal"/>
    <w:rsid w:val="00700609"/>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700609"/>
    <w:pPr>
      <w:overflowPunct/>
      <w:autoSpaceDE/>
      <w:autoSpaceDN/>
      <w:adjustRightInd/>
      <w:spacing w:before="40"/>
      <w:jc w:val="left"/>
      <w:textAlignment w:val="auto"/>
    </w:pPr>
    <w:rPr>
      <w:noProof w:val="0"/>
      <w:sz w:val="16"/>
    </w:rPr>
  </w:style>
  <w:style w:type="paragraph" w:customStyle="1" w:styleId="Source">
    <w:name w:val="Source"/>
    <w:basedOn w:val="Normal"/>
    <w:next w:val="Normal"/>
    <w:rsid w:val="00700609"/>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qFormat/>
    <w:rsid w:val="00700609"/>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700609"/>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rsid w:val="00700609"/>
    <w:pPr>
      <w:tabs>
        <w:tab w:val="left" w:pos="567"/>
        <w:tab w:val="left" w:pos="1701"/>
        <w:tab w:val="left" w:pos="2835"/>
      </w:tabs>
      <w:spacing w:before="240"/>
    </w:pPr>
    <w:rPr>
      <w:b w:val="0"/>
      <w:caps/>
    </w:rPr>
  </w:style>
  <w:style w:type="paragraph" w:customStyle="1" w:styleId="Title2">
    <w:name w:val="Title 2"/>
    <w:basedOn w:val="Source"/>
    <w:next w:val="Normal"/>
    <w:rsid w:val="00700609"/>
    <w:pPr>
      <w:overflowPunct/>
      <w:autoSpaceDE/>
      <w:autoSpaceDN/>
      <w:adjustRightInd/>
      <w:spacing w:before="480"/>
      <w:textAlignment w:val="auto"/>
    </w:pPr>
    <w:rPr>
      <w:b w:val="0"/>
      <w:caps/>
    </w:rPr>
  </w:style>
  <w:style w:type="paragraph" w:customStyle="1" w:styleId="Title3">
    <w:name w:val="Title 3"/>
    <w:basedOn w:val="Title2"/>
    <w:next w:val="Normal"/>
    <w:rsid w:val="00700609"/>
    <w:pPr>
      <w:spacing w:before="240"/>
    </w:pPr>
    <w:rPr>
      <w:caps w:val="0"/>
    </w:rPr>
  </w:style>
  <w:style w:type="paragraph" w:customStyle="1" w:styleId="Title4">
    <w:name w:val="Title 4"/>
    <w:basedOn w:val="Title3"/>
    <w:next w:val="Heading1"/>
    <w:rsid w:val="00700609"/>
    <w:rPr>
      <w:b/>
    </w:rPr>
  </w:style>
  <w:style w:type="character" w:customStyle="1" w:styleId="Appdef">
    <w:name w:val="App_def"/>
    <w:basedOn w:val="DefaultParagraphFont"/>
    <w:rsid w:val="00700609"/>
    <w:rPr>
      <w:rFonts w:ascii="Times New Roman" w:hAnsi="Times New Roman"/>
      <w:b/>
    </w:rPr>
  </w:style>
  <w:style w:type="character" w:customStyle="1" w:styleId="Appref">
    <w:name w:val="App_ref"/>
    <w:basedOn w:val="DefaultParagraphFont"/>
    <w:rsid w:val="00700609"/>
  </w:style>
  <w:style w:type="character" w:customStyle="1" w:styleId="Artdef">
    <w:name w:val="Art_def"/>
    <w:basedOn w:val="DefaultParagraphFont"/>
    <w:rsid w:val="00700609"/>
    <w:rPr>
      <w:rFonts w:ascii="Times New Roman" w:hAnsi="Times New Roman"/>
      <w:b/>
    </w:rPr>
  </w:style>
  <w:style w:type="character" w:customStyle="1" w:styleId="Artref">
    <w:name w:val="Art_ref"/>
    <w:basedOn w:val="DefaultParagraphFont"/>
    <w:rsid w:val="00700609"/>
  </w:style>
  <w:style w:type="character" w:customStyle="1" w:styleId="Tablefreq">
    <w:name w:val="Table_freq"/>
    <w:basedOn w:val="DefaultParagraphFont"/>
    <w:rsid w:val="00700609"/>
    <w:rPr>
      <w:b/>
      <w:color w:val="auto"/>
      <w:sz w:val="20"/>
    </w:rPr>
  </w:style>
  <w:style w:type="paragraph" w:customStyle="1" w:styleId="Formal">
    <w:name w:val="Formal"/>
    <w:basedOn w:val="ASN1"/>
    <w:rsid w:val="00700609"/>
    <w:pPr>
      <w:tabs>
        <w:tab w:val="left" w:pos="1871"/>
      </w:tabs>
      <w:jc w:val="left"/>
    </w:pPr>
    <w:rPr>
      <w:rFonts w:ascii="Times New Roman Bold" w:hAnsi="Times New Roman Bold"/>
      <w:b w:val="0"/>
    </w:rPr>
  </w:style>
  <w:style w:type="paragraph" w:customStyle="1" w:styleId="Section1">
    <w:name w:val="Section_1"/>
    <w:basedOn w:val="Normal"/>
    <w:rsid w:val="00700609"/>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700609"/>
    <w:rPr>
      <w:b w:val="0"/>
      <w:i/>
    </w:rPr>
  </w:style>
  <w:style w:type="paragraph" w:customStyle="1" w:styleId="AnnexNo">
    <w:name w:val="Annex_No"/>
    <w:basedOn w:val="Normal"/>
    <w:next w:val="Normal"/>
    <w:rsid w:val="0070060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70060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700609"/>
  </w:style>
  <w:style w:type="paragraph" w:customStyle="1" w:styleId="Appendixtitle">
    <w:name w:val="Appendix_title"/>
    <w:basedOn w:val="Annextitle"/>
    <w:next w:val="Normal"/>
    <w:rsid w:val="00700609"/>
  </w:style>
  <w:style w:type="paragraph" w:customStyle="1" w:styleId="Border">
    <w:name w:val="Border"/>
    <w:basedOn w:val="Normal"/>
    <w:rsid w:val="0070060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700609"/>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700609"/>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700609"/>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700609"/>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700609"/>
  </w:style>
  <w:style w:type="paragraph" w:customStyle="1" w:styleId="Normalaftertitle0">
    <w:name w:val="Normal after title"/>
    <w:basedOn w:val="Normal"/>
    <w:next w:val="Normal"/>
    <w:rsid w:val="00700609"/>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700609"/>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700609"/>
    <w:pPr>
      <w:tabs>
        <w:tab w:val="clear" w:pos="794"/>
        <w:tab w:val="clear" w:pos="1191"/>
        <w:tab w:val="left" w:pos="1134"/>
      </w:tabs>
      <w:jc w:val="left"/>
    </w:pPr>
  </w:style>
  <w:style w:type="paragraph" w:customStyle="1" w:styleId="Section3">
    <w:name w:val="Section_3"/>
    <w:basedOn w:val="Section1"/>
    <w:rsid w:val="00700609"/>
    <w:rPr>
      <w:b w:val="0"/>
    </w:rPr>
  </w:style>
  <w:style w:type="paragraph" w:customStyle="1" w:styleId="TableTextS5">
    <w:name w:val="Table_TextS5"/>
    <w:basedOn w:val="Normal"/>
    <w:rsid w:val="00700609"/>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70060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700609"/>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700609"/>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700609"/>
  </w:style>
  <w:style w:type="paragraph" w:customStyle="1" w:styleId="Committee">
    <w:name w:val="Committee"/>
    <w:basedOn w:val="Normal"/>
    <w:qFormat/>
    <w:rsid w:val="0070060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paragraph" w:customStyle="1" w:styleId="Normalend">
    <w:name w:val="Normal_end"/>
    <w:basedOn w:val="Normal"/>
    <w:next w:val="Normal"/>
    <w:qFormat/>
    <w:rsid w:val="00700609"/>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700609"/>
    <w:pPr>
      <w:keepNext/>
      <w:keepLines/>
    </w:pPr>
  </w:style>
  <w:style w:type="paragraph" w:customStyle="1" w:styleId="Subsection1">
    <w:name w:val="Subsection_1"/>
    <w:basedOn w:val="Section1"/>
    <w:next w:val="Normalaftertitle0"/>
    <w:qFormat/>
    <w:rsid w:val="00700609"/>
  </w:style>
  <w:style w:type="paragraph" w:customStyle="1" w:styleId="Volumetitle">
    <w:name w:val="Volume_title"/>
    <w:basedOn w:val="Normal"/>
    <w:qFormat/>
    <w:rsid w:val="00700609"/>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700609"/>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700609"/>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700609"/>
    <w:rPr>
      <w:rFonts w:ascii="Times New Roman" w:hAnsi="Times New Roman"/>
      <w:b w:val="0"/>
    </w:rPr>
  </w:style>
  <w:style w:type="paragraph" w:customStyle="1" w:styleId="Tablesplit">
    <w:name w:val="Table_split"/>
    <w:basedOn w:val="Tabletext"/>
    <w:qFormat/>
    <w:rsid w:val="0070060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700609"/>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700609"/>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700609"/>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700609"/>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700609"/>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700609"/>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700609"/>
    <w:rPr>
      <w:rFonts w:ascii="Times New Roman Bold" w:hAnsi="Times New Roman Bold"/>
      <w:b/>
      <w:sz w:val="18"/>
      <w:lang w:val="en-GB" w:eastAsia="en-US"/>
    </w:rPr>
  </w:style>
  <w:style w:type="paragraph" w:customStyle="1" w:styleId="Figurewithlegend">
    <w:name w:val="Figure_with_legend"/>
    <w:basedOn w:val="Figure"/>
    <w:rsid w:val="00700609"/>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700609"/>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700609"/>
    <w:rPr>
      <w:sz w:val="24"/>
      <w:lang w:val="en-GB" w:eastAsia="en-US"/>
    </w:rPr>
  </w:style>
  <w:style w:type="paragraph" w:styleId="Revision">
    <w:name w:val="Revision"/>
    <w:hidden/>
    <w:uiPriority w:val="99"/>
    <w:semiHidden/>
    <w:rsid w:val="00700609"/>
    <w:rPr>
      <w:sz w:val="24"/>
      <w:lang w:val="en-GB" w:eastAsia="en-US"/>
    </w:rPr>
  </w:style>
  <w:style w:type="character" w:customStyle="1" w:styleId="Recdef">
    <w:name w:val="Rec_def"/>
    <w:basedOn w:val="DefaultParagraphFont"/>
    <w:rsid w:val="00700609"/>
    <w:rPr>
      <w:b/>
    </w:rPr>
  </w:style>
  <w:style w:type="character" w:customStyle="1" w:styleId="Resdef">
    <w:name w:val="Res_def"/>
    <w:basedOn w:val="DefaultParagraphFont"/>
    <w:rsid w:val="00700609"/>
    <w:rPr>
      <w:rFonts w:ascii="Times New Roman" w:hAnsi="Times New Roman"/>
      <w:b/>
    </w:rPr>
  </w:style>
  <w:style w:type="character" w:customStyle="1" w:styleId="TableNoChar">
    <w:name w:val="Table_No Char"/>
    <w:link w:val="TableNo"/>
    <w:rsid w:val="00700609"/>
    <w:rPr>
      <w:sz w:val="24"/>
      <w:lang w:val="en-GB" w:eastAsia="en-US"/>
    </w:rPr>
  </w:style>
  <w:style w:type="character" w:customStyle="1" w:styleId="TabletitleChar">
    <w:name w:val="Table_title Char"/>
    <w:link w:val="Tabletitle"/>
    <w:rsid w:val="00700609"/>
    <w:rPr>
      <w:b/>
      <w:sz w:val="24"/>
      <w:lang w:val="en-GB" w:eastAsia="en-US"/>
    </w:rPr>
  </w:style>
  <w:style w:type="character" w:customStyle="1" w:styleId="Heading2Char">
    <w:name w:val="Heading 2 Char"/>
    <w:basedOn w:val="DefaultParagraphFont"/>
    <w:link w:val="Heading2"/>
    <w:rsid w:val="00700609"/>
    <w:rPr>
      <w:b/>
      <w:sz w:val="24"/>
      <w:lang w:val="en-GB" w:eastAsia="en-US"/>
    </w:rPr>
  </w:style>
  <w:style w:type="paragraph" w:styleId="BalloonText">
    <w:name w:val="Balloon Text"/>
    <w:basedOn w:val="Normal"/>
    <w:link w:val="BalloonTextChar"/>
    <w:unhideWhenUsed/>
    <w:rsid w:val="00700609"/>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
    <w:name w:val="Balloon Text Char"/>
    <w:basedOn w:val="DefaultParagraphFont"/>
    <w:link w:val="BalloonText"/>
    <w:rsid w:val="00700609"/>
    <w:rPr>
      <w:rFonts w:ascii="Segoe UI" w:hAnsi="Segoe UI" w:cs="Segoe UI"/>
      <w:sz w:val="18"/>
      <w:szCs w:val="18"/>
      <w:lang w:val="en-GB" w:eastAsia="en-US"/>
    </w:rPr>
  </w:style>
  <w:style w:type="paragraph" w:customStyle="1" w:styleId="qn">
    <w:name w:val="qn"/>
    <w:rsid w:val="00700609"/>
    <w:pPr>
      <w:tabs>
        <w:tab w:val="left" w:pos="1134"/>
        <w:tab w:val="left" w:pos="1871"/>
        <w:tab w:val="left" w:pos="2268"/>
      </w:tabs>
      <w:overflowPunct w:val="0"/>
      <w:autoSpaceDE w:val="0"/>
      <w:autoSpaceDN w:val="0"/>
      <w:adjustRightInd w:val="0"/>
      <w:spacing w:before="120"/>
      <w:textAlignment w:val="baseline"/>
    </w:pPr>
    <w:rPr>
      <w:sz w:val="24"/>
      <w:lang w:val="en-GB" w:eastAsia="en-US"/>
    </w:rPr>
  </w:style>
  <w:style w:type="character" w:customStyle="1" w:styleId="UnresolvedMention1">
    <w:name w:val="Unresolved Mention1"/>
    <w:basedOn w:val="DefaultParagraphFont"/>
    <w:uiPriority w:val="99"/>
    <w:semiHidden/>
    <w:unhideWhenUsed/>
    <w:rsid w:val="00700609"/>
    <w:rPr>
      <w:color w:val="605E5C"/>
      <w:shd w:val="clear" w:color="auto" w:fill="E1DFDD"/>
    </w:rPr>
  </w:style>
  <w:style w:type="character" w:styleId="UnresolvedMention">
    <w:name w:val="Unresolved Mention"/>
    <w:basedOn w:val="DefaultParagraphFont"/>
    <w:uiPriority w:val="99"/>
    <w:semiHidden/>
    <w:unhideWhenUsed/>
    <w:rsid w:val="00700609"/>
    <w:rPr>
      <w:color w:val="605E5C"/>
      <w:shd w:val="clear" w:color="auto" w:fill="E1DFDD"/>
    </w:rPr>
  </w:style>
  <w:style w:type="character" w:styleId="PlaceholderText">
    <w:name w:val="Placeholder Text"/>
    <w:basedOn w:val="DefaultParagraphFont"/>
    <w:uiPriority w:val="99"/>
    <w:semiHidden/>
    <w:rsid w:val="00700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publ/R-REC/en" TargetMode="External"/><Relationship Id="rId18" Type="http://schemas.openxmlformats.org/officeDocument/2006/relationships/hyperlink" Target="http://www.itu.int/rec/R-REC-SA.1021/en" TargetMode="External"/><Relationship Id="rId26"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header" Target="header2.xml"/><Relationship Id="rId12" Type="http://schemas.openxmlformats.org/officeDocument/2006/relationships/hyperlink" Target="http://www.itu.int/ITU-R/go/patents/en" TargetMode="External"/><Relationship Id="rId17" Type="http://schemas.openxmlformats.org/officeDocument/2006/relationships/hyperlink" Target="http://www.itu.int/rec/R-REC-RS.1165/en" TargetMode="External"/><Relationship Id="rId25"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yperlink" Target="http://www.itu.int/rec/R-REC-P.528/en" TargetMode="Externa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eader" Target="header11.xml"/><Relationship Id="rId10" Type="http://schemas.openxmlformats.org/officeDocument/2006/relationships/header" Target="header3.xml"/><Relationship Id="rId19" Type="http://schemas.openxmlformats.org/officeDocument/2006/relationships/hyperlink" Target="http://www.itu.int/rec/R-REC-RS.1165/en"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96</TotalTime>
  <Pages>13</Pages>
  <Words>3450</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Recommendation ITU-R RS.1263-3 (12/2023) - Interference criteria for meteorological aids operated in the 400.15-406 MHz and 1 668.4-1 700 MHz bands</vt:lpstr>
    </vt:vector>
  </TitlesOfParts>
  <Manager/>
  <Company>ITU</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RS.1263-3 (12/2023) - Interference criteria for meteorological aids operated in the 400.15-406 MHz and 1 668.4-1 700 MHz bands</dc:title>
  <dc:subject/>
  <dc:creator>Gachet, Christelle</dc:creator>
  <cp:keywords/>
  <dc:description/>
  <cp:lastModifiedBy>Al-Yammouni, Hala</cp:lastModifiedBy>
  <cp:revision>14</cp:revision>
  <cp:lastPrinted>2024-01-18T14:42:00Z</cp:lastPrinted>
  <dcterms:created xsi:type="dcterms:W3CDTF">2024-01-15T14:50:00Z</dcterms:created>
  <dcterms:modified xsi:type="dcterms:W3CDTF">2024-01-18T14:47:00Z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