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D176F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6B4274">
              <w:rPr>
                <w:rFonts w:ascii="Tahoma" w:hAnsi="Tahoma" w:cs="Tahoma"/>
                <w:b/>
                <w:bCs/>
                <w:iCs/>
                <w:color w:val="243285"/>
                <w:sz w:val="36"/>
                <w:szCs w:val="36"/>
              </w:rPr>
              <w:t>RS</w:t>
            </w:r>
            <w:r w:rsidRPr="004F65E4">
              <w:rPr>
                <w:rFonts w:ascii="Tahoma" w:hAnsi="Tahoma" w:cs="Tahoma"/>
                <w:b/>
                <w:bCs/>
                <w:iCs/>
                <w:color w:val="243285"/>
                <w:sz w:val="36"/>
                <w:szCs w:val="36"/>
              </w:rPr>
              <w:t>.</w:t>
            </w:r>
            <w:r w:rsidR="00D176FD">
              <w:rPr>
                <w:rFonts w:ascii="Tahoma" w:hAnsi="Tahoma" w:cs="Tahoma"/>
                <w:b/>
                <w:bCs/>
                <w:iCs/>
                <w:color w:val="243285"/>
                <w:sz w:val="36"/>
                <w:szCs w:val="36"/>
              </w:rPr>
              <w:t>1884</w:t>
            </w:r>
          </w:p>
          <w:p w:rsidR="00FE79FE" w:rsidRPr="004F65E4" w:rsidRDefault="00FE79FE" w:rsidP="00D176F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176FD">
              <w:rPr>
                <w:rFonts w:ascii="Tahoma" w:hAnsi="Tahoma" w:cs="Tahoma"/>
                <w:b/>
                <w:bCs/>
                <w:iCs/>
                <w:color w:val="243285"/>
                <w:szCs w:val="24"/>
              </w:rPr>
              <w:t>02</w:t>
            </w:r>
            <w:r w:rsidRPr="004F65E4">
              <w:rPr>
                <w:rFonts w:ascii="Tahoma" w:hAnsi="Tahoma" w:cs="Tahoma"/>
                <w:b/>
                <w:bCs/>
                <w:iCs/>
                <w:color w:val="243285"/>
                <w:szCs w:val="24"/>
              </w:rPr>
              <w:t>/</w:t>
            </w:r>
            <w:r w:rsidR="00D176FD">
              <w:rPr>
                <w:rFonts w:ascii="Tahoma" w:hAnsi="Tahoma" w:cs="Tahoma"/>
                <w:b/>
                <w:bCs/>
                <w:iCs/>
                <w:color w:val="243285"/>
                <w:szCs w:val="24"/>
              </w:rPr>
              <w:t>2011</w:t>
            </w:r>
            <w:r w:rsidRPr="004F65E4">
              <w:rPr>
                <w:rFonts w:ascii="Tahoma" w:hAnsi="Tahoma" w:cs="Tahoma"/>
                <w:b/>
                <w:bCs/>
                <w:iCs/>
                <w:color w:val="243285"/>
                <w:szCs w:val="24"/>
              </w:rPr>
              <w:t>)</w:t>
            </w:r>
          </w:p>
        </w:tc>
      </w:tr>
      <w:tr w:rsidR="00FE79FE" w:rsidRPr="00047754">
        <w:tc>
          <w:tcPr>
            <w:tcW w:w="10089" w:type="dxa"/>
          </w:tcPr>
          <w:p w:rsidR="00013002" w:rsidRPr="00047754"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D176FD" w:rsidP="00A75517">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Methodology for determining terrestrial and space-to-Earth sharing and coordination criteria for meteorological aids</w:t>
            </w:r>
            <w:r>
              <w:rPr>
                <w:rFonts w:ascii="Tahoma" w:hAnsi="Tahoma" w:cs="Tahoma"/>
                <w:b/>
                <w:bCs/>
                <w:iCs/>
                <w:color w:val="243285"/>
                <w:sz w:val="44"/>
                <w:szCs w:val="44"/>
                <w:lang w:val="en-US"/>
              </w:rPr>
              <w:br/>
              <w:t>in the 400.15-406 MHz and</w:t>
            </w:r>
            <w:r>
              <w:rPr>
                <w:rFonts w:ascii="Tahoma" w:hAnsi="Tahoma" w:cs="Tahoma"/>
                <w:b/>
                <w:bCs/>
                <w:iCs/>
                <w:color w:val="243285"/>
                <w:sz w:val="44"/>
                <w:szCs w:val="44"/>
                <w:lang w:val="en-US"/>
              </w:rPr>
              <w:br/>
              <w:t>1 668-1700 MHz bands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047754">
        <w:tc>
          <w:tcPr>
            <w:tcW w:w="10089" w:type="dxa"/>
          </w:tcPr>
          <w:p w:rsidR="003E346A" w:rsidRPr="00047754" w:rsidRDefault="003E346A" w:rsidP="003E346A">
            <w:pPr>
              <w:spacing w:before="80" w:line="280" w:lineRule="exact"/>
              <w:ind w:right="640"/>
              <w:rPr>
                <w:rFonts w:ascii="Tahoma" w:hAnsi="Tahoma" w:cs="Tahoma"/>
                <w:b/>
                <w:bCs/>
                <w:iCs/>
                <w:color w:val="243285"/>
                <w:sz w:val="32"/>
                <w:szCs w:val="32"/>
                <w:lang w:val="en-US"/>
              </w:rPr>
            </w:pPr>
          </w:p>
          <w:p w:rsidR="003E346A" w:rsidRPr="00047754" w:rsidRDefault="003E346A" w:rsidP="003E346A">
            <w:pPr>
              <w:spacing w:before="80" w:line="280" w:lineRule="exact"/>
              <w:ind w:right="640"/>
              <w:rPr>
                <w:rFonts w:ascii="Tahoma" w:hAnsi="Tahoma" w:cs="Tahoma"/>
                <w:b/>
                <w:bCs/>
                <w:iCs/>
                <w:color w:val="243285"/>
                <w:sz w:val="32"/>
                <w:szCs w:val="32"/>
                <w:lang w:val="en-US"/>
              </w:rPr>
            </w:pPr>
          </w:p>
          <w:p w:rsidR="003E346A" w:rsidRPr="00047754" w:rsidRDefault="003E346A" w:rsidP="003E346A">
            <w:pPr>
              <w:spacing w:before="80" w:after="180" w:line="360" w:lineRule="exact"/>
              <w:ind w:right="720"/>
              <w:rPr>
                <w:rFonts w:ascii="Tahoma" w:hAnsi="Tahoma" w:cs="Tahoma"/>
                <w:b/>
                <w:bCs/>
                <w:iCs/>
                <w:color w:val="243285"/>
                <w:sz w:val="36"/>
                <w:szCs w:val="36"/>
                <w:lang w:val="en-US"/>
              </w:rPr>
            </w:pPr>
          </w:p>
          <w:p w:rsidR="00013002" w:rsidRPr="001511A6" w:rsidRDefault="00761EC0" w:rsidP="006B427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w:t>
            </w:r>
            <w:r w:rsidR="006B4274">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 xml:space="preserve"> Series</w:t>
            </w:r>
          </w:p>
          <w:p w:rsidR="00FE79FE" w:rsidRPr="006B4274" w:rsidRDefault="006B4274" w:rsidP="00FE79FE">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0B130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0B1300">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047754">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9A3B35">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47754"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761EC0">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6B4274">
        <w:tc>
          <w:tcPr>
            <w:tcW w:w="1140" w:type="dxa"/>
            <w:tcBorders>
              <w:top w:val="nil"/>
              <w:bottom w:val="nil"/>
            </w:tcBorders>
            <w:shd w:val="clear" w:color="auto" w:fill="auto"/>
          </w:tcPr>
          <w:p w:rsidR="00A31928" w:rsidRPr="006B4274" w:rsidRDefault="00A31928" w:rsidP="006B1D2B">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A31928" w:rsidRPr="00761EC0" w:rsidRDefault="00A31928" w:rsidP="006B1D2B">
            <w:pPr>
              <w:spacing w:before="30" w:after="30"/>
              <w:jc w:val="left"/>
              <w:rPr>
                <w:rFonts w:hAnsi="Times New Roman Bold"/>
                <w:sz w:val="20"/>
                <w:lang w:val="fr-CH"/>
              </w:rPr>
            </w:pPr>
            <w:r w:rsidRPr="00761EC0">
              <w:rPr>
                <w:rFonts w:hAnsi="Times New Roman Bold"/>
                <w:sz w:val="20"/>
                <w:lang w:val="fr-CH"/>
              </w:rPr>
              <w:t>Radiowave propagation</w:t>
            </w:r>
          </w:p>
        </w:tc>
      </w:tr>
      <w:tr w:rsidR="00A31928" w:rsidRPr="00761EC0" w:rsidTr="006B4274">
        <w:tc>
          <w:tcPr>
            <w:tcW w:w="1140" w:type="dxa"/>
            <w:tcBorders>
              <w:top w:val="nil"/>
              <w:bottom w:val="nil"/>
            </w:tcBorders>
            <w:shd w:val="clear" w:color="auto" w:fill="auto"/>
          </w:tcPr>
          <w:p w:rsidR="00A31928" w:rsidRPr="006B4274" w:rsidRDefault="00A31928" w:rsidP="006B1D2B">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A31928" w:rsidRPr="006B427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A31928" w:rsidRPr="00036EE3" w:rsidTr="006B4274">
        <w:tc>
          <w:tcPr>
            <w:tcW w:w="1140" w:type="dxa"/>
            <w:tcBorders>
              <w:top w:val="nil"/>
              <w:bottom w:val="nil"/>
            </w:tcBorders>
            <w:shd w:val="clear" w:color="auto" w:fill="F3F3F3"/>
          </w:tcPr>
          <w:p w:rsidR="00A31928" w:rsidRPr="006B4274" w:rsidRDefault="00A31928" w:rsidP="006B1D2B">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A31928" w:rsidRPr="006B427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A31928" w:rsidRPr="00036EE3" w:rsidTr="006B4274">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47754"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47754">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047754">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04775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E24164">
        <w:rPr>
          <w:sz w:val="20"/>
          <w:lang w:val="en-US"/>
        </w:rPr>
        <w:t>1</w:t>
      </w:r>
      <w:r w:rsidR="00047754">
        <w:rPr>
          <w:sz w:val="20"/>
          <w:lang w:val="en-US"/>
        </w:rPr>
        <w:t>1</w:t>
      </w:r>
    </w:p>
    <w:p w:rsidR="00470E28" w:rsidRDefault="00470E28" w:rsidP="00906589">
      <w:pPr>
        <w:jc w:val="center"/>
        <w:rPr>
          <w:sz w:val="22"/>
          <w:lang w:val="en-US"/>
        </w:rPr>
      </w:pPr>
    </w:p>
    <w:p w:rsidR="00586EF8" w:rsidRPr="00470E28" w:rsidRDefault="00586EF8" w:rsidP="0004775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E24164">
        <w:rPr>
          <w:sz w:val="20"/>
          <w:lang w:val="en-US"/>
        </w:rPr>
        <w:t>1</w:t>
      </w:r>
      <w:r w:rsidR="00047754">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D176FD" w:rsidP="00D176F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RS</w:t>
      </w:r>
      <w:r w:rsidRPr="00BF487A">
        <w:rPr>
          <w:rStyle w:val="href"/>
          <w:lang w:val="en-US"/>
        </w:rPr>
        <w:t>.</w:t>
      </w:r>
      <w:r>
        <w:rPr>
          <w:rStyle w:val="href"/>
          <w:lang w:val="en-US"/>
        </w:rPr>
        <w:t>1884</w:t>
      </w:r>
    </w:p>
    <w:p w:rsidR="00D176FD" w:rsidRPr="00047754" w:rsidRDefault="00D176FD" w:rsidP="00FD03E1">
      <w:pPr>
        <w:pStyle w:val="Rectitle"/>
        <w:rPr>
          <w:lang w:val="en-US"/>
        </w:rPr>
      </w:pPr>
      <w:r w:rsidRPr="00047754">
        <w:rPr>
          <w:lang w:val="en-US"/>
        </w:rPr>
        <w:t>Methodology for determining terrestrial and space-to-Earth</w:t>
      </w:r>
      <w:r w:rsidR="00FD03E1" w:rsidRPr="00047754">
        <w:rPr>
          <w:lang w:val="en-US"/>
        </w:rPr>
        <w:br/>
      </w:r>
      <w:r w:rsidRPr="00047754">
        <w:rPr>
          <w:lang w:val="en-US"/>
        </w:rPr>
        <w:t>sharing</w:t>
      </w:r>
      <w:r w:rsidR="00FD03E1" w:rsidRPr="00047754">
        <w:rPr>
          <w:lang w:val="en-US"/>
        </w:rPr>
        <w:t xml:space="preserve"> </w:t>
      </w:r>
      <w:r w:rsidRPr="00047754">
        <w:rPr>
          <w:lang w:val="en-US"/>
        </w:rPr>
        <w:t>and coordination criteria for meteorological aids</w:t>
      </w:r>
      <w:r w:rsidR="00FD03E1" w:rsidRPr="00047754">
        <w:rPr>
          <w:lang w:val="en-US"/>
        </w:rPr>
        <w:br/>
      </w:r>
      <w:r w:rsidRPr="00047754">
        <w:rPr>
          <w:lang w:val="en-US"/>
        </w:rPr>
        <w:t>in</w:t>
      </w:r>
      <w:r w:rsidR="00FD03E1" w:rsidRPr="00047754">
        <w:rPr>
          <w:lang w:val="en-US"/>
        </w:rPr>
        <w:t xml:space="preserve"> </w:t>
      </w:r>
      <w:r w:rsidRPr="00047754">
        <w:rPr>
          <w:lang w:val="en-US"/>
        </w:rPr>
        <w:t>the 400.15-406 MHz and 1 668</w:t>
      </w:r>
      <w:r w:rsidRPr="00047754">
        <w:rPr>
          <w:lang w:val="en-US"/>
        </w:rPr>
        <w:noBreakHyphen/>
        <w:t>1 700 MHz bands</w:t>
      </w:r>
    </w:p>
    <w:p w:rsidR="00D176FD" w:rsidRPr="00047754" w:rsidRDefault="00D176FD" w:rsidP="00D176FD">
      <w:pPr>
        <w:pStyle w:val="Recdate"/>
        <w:rPr>
          <w:lang w:val="en-US"/>
        </w:rPr>
      </w:pPr>
    </w:p>
    <w:p w:rsidR="00D176FD" w:rsidRPr="00047754" w:rsidRDefault="00D176FD" w:rsidP="00D176FD">
      <w:pPr>
        <w:pStyle w:val="Recdate"/>
        <w:rPr>
          <w:lang w:val="en-US"/>
        </w:rPr>
      </w:pPr>
      <w:r w:rsidRPr="00047754">
        <w:rPr>
          <w:lang w:val="en-US"/>
        </w:rPr>
        <w:t>(2011)</w:t>
      </w:r>
    </w:p>
    <w:p w:rsidR="00F54315" w:rsidRPr="00047754" w:rsidRDefault="00F54315" w:rsidP="00F54315">
      <w:pPr>
        <w:rPr>
          <w:lang w:val="en-US"/>
        </w:rPr>
      </w:pPr>
    </w:p>
    <w:p w:rsidR="00D176FD" w:rsidRPr="00047754" w:rsidRDefault="00D176FD" w:rsidP="00FD03E1">
      <w:pPr>
        <w:pStyle w:val="HeadingSum"/>
        <w:rPr>
          <w:sz w:val="24"/>
          <w:lang w:val="en-US"/>
        </w:rPr>
      </w:pPr>
      <w:r w:rsidRPr="00047754">
        <w:rPr>
          <w:sz w:val="24"/>
          <w:lang w:val="en-US"/>
        </w:rPr>
        <w:t>Scope</w:t>
      </w:r>
    </w:p>
    <w:p w:rsidR="00D176FD" w:rsidRPr="00047754" w:rsidRDefault="00D176FD" w:rsidP="00FD03E1">
      <w:pPr>
        <w:pStyle w:val="Summary"/>
        <w:rPr>
          <w:sz w:val="24"/>
          <w:lang w:val="en-US"/>
        </w:rPr>
      </w:pPr>
      <w:r w:rsidRPr="00047754">
        <w:rPr>
          <w:sz w:val="24"/>
          <w:lang w:val="en-US"/>
        </w:rPr>
        <w:t>This Recommendation provides information on determining terrestrial and space-to-Earth sharing and coordination criteria for meteorological aids (radiosondes, dropsondes and rocketsondes) operating in the 400.15-406 MHz and 1 668.4-1 700 MHz bands.</w:t>
      </w:r>
    </w:p>
    <w:p w:rsidR="00F54315" w:rsidRPr="00047754" w:rsidRDefault="00F54315" w:rsidP="00F54315">
      <w:pPr>
        <w:rPr>
          <w:lang w:val="en-US"/>
        </w:rPr>
      </w:pPr>
    </w:p>
    <w:p w:rsidR="00D176FD" w:rsidRPr="00047754" w:rsidRDefault="00D176FD" w:rsidP="00FD03E1">
      <w:pPr>
        <w:pStyle w:val="Normalaftertitle"/>
        <w:rPr>
          <w:lang w:val="en-US"/>
        </w:rPr>
      </w:pPr>
      <w:r w:rsidRPr="00047754">
        <w:rPr>
          <w:lang w:val="en-US"/>
        </w:rPr>
        <w:t>The ITU Radiocommunication Assembly,</w:t>
      </w:r>
    </w:p>
    <w:p w:rsidR="00D176FD" w:rsidRPr="00047754" w:rsidRDefault="00D176FD" w:rsidP="00D176FD">
      <w:pPr>
        <w:pStyle w:val="Call"/>
        <w:rPr>
          <w:lang w:val="en-US"/>
        </w:rPr>
      </w:pPr>
      <w:r w:rsidRPr="00047754">
        <w:rPr>
          <w:lang w:val="en-US"/>
        </w:rPr>
        <w:t>considering</w:t>
      </w:r>
    </w:p>
    <w:p w:rsidR="00D176FD" w:rsidRPr="00047754" w:rsidRDefault="00D176FD" w:rsidP="00D176FD">
      <w:pPr>
        <w:rPr>
          <w:lang w:val="en-US"/>
        </w:rPr>
      </w:pPr>
      <w:r w:rsidRPr="00047754">
        <w:rPr>
          <w:lang w:val="en-US"/>
        </w:rPr>
        <w:t>a)</w:t>
      </w:r>
      <w:r w:rsidRPr="00047754">
        <w:rPr>
          <w:lang w:val="en-US"/>
        </w:rPr>
        <w:tab/>
        <w:t>that frequency bands allocated to the meteorological aids service may be shared by systems operating in other services, including the Earth exploration-satellite and meteorological</w:t>
      </w:r>
      <w:r w:rsidRPr="00047754">
        <w:rPr>
          <w:lang w:val="en-US"/>
        </w:rPr>
        <w:noBreakHyphen/>
        <w:t>satellite services;</w:t>
      </w:r>
    </w:p>
    <w:p w:rsidR="00D176FD" w:rsidRPr="00047754" w:rsidRDefault="00D176FD" w:rsidP="00D176FD">
      <w:pPr>
        <w:rPr>
          <w:lang w:val="en-US"/>
        </w:rPr>
      </w:pPr>
      <w:r w:rsidRPr="00047754">
        <w:rPr>
          <w:lang w:val="en-US"/>
        </w:rPr>
        <w:t>b)</w:t>
      </w:r>
      <w:r w:rsidRPr="00047754">
        <w:rPr>
          <w:lang w:val="en-US"/>
        </w:rPr>
        <w:tab/>
        <w:t>that sharing and coordination criteria for these systems should relate to the maximum level of interference that can be accepted from an individual interferer;</w:t>
      </w:r>
    </w:p>
    <w:p w:rsidR="00D176FD" w:rsidRPr="00047754" w:rsidRDefault="00D176FD" w:rsidP="00D176FD">
      <w:pPr>
        <w:rPr>
          <w:lang w:val="en-US"/>
        </w:rPr>
      </w:pPr>
      <w:r w:rsidRPr="00047754">
        <w:rPr>
          <w:lang w:val="en-US"/>
        </w:rPr>
        <w:t>c)</w:t>
      </w:r>
      <w:r w:rsidRPr="00047754">
        <w:rPr>
          <w:lang w:val="en-US"/>
        </w:rPr>
        <w:tab/>
        <w:t>that the methodology used to develop sharing and coordination criteria for the Earth exploration-satellite and meteorological-satellite services may be applied to systems operating in the meteorological aids service in order to determine acceptable single-entry levels of interference that are greater than or equal to the permissible levels,</w:t>
      </w:r>
    </w:p>
    <w:p w:rsidR="00D176FD" w:rsidRPr="00047754" w:rsidRDefault="00D176FD" w:rsidP="00D176FD">
      <w:pPr>
        <w:pStyle w:val="Call"/>
        <w:rPr>
          <w:lang w:val="en-US"/>
        </w:rPr>
      </w:pPr>
      <w:r w:rsidRPr="00047754">
        <w:rPr>
          <w:lang w:val="en-US"/>
        </w:rPr>
        <w:t>recommends</w:t>
      </w:r>
    </w:p>
    <w:p w:rsidR="00D176FD" w:rsidRPr="00047754" w:rsidRDefault="00D176FD" w:rsidP="00D176FD">
      <w:pPr>
        <w:rPr>
          <w:lang w:val="en-US"/>
        </w:rPr>
      </w:pPr>
      <w:r w:rsidRPr="00047754">
        <w:rPr>
          <w:b/>
          <w:bCs/>
          <w:lang w:val="en-US"/>
        </w:rPr>
        <w:t>1</w:t>
      </w:r>
      <w:r w:rsidRPr="00047754">
        <w:rPr>
          <w:lang w:val="en-US"/>
        </w:rPr>
        <w:tab/>
        <w:t>that the methodology given in Annex 1 should be used for the development of sharing and coordination criteria and in compatibility studies between Earth exploration</w:t>
      </w:r>
      <w:r w:rsidRPr="00047754">
        <w:rPr>
          <w:lang w:val="en-US"/>
        </w:rPr>
        <w:noBreakHyphen/>
        <w:t>satellite and meteorological-satellite services, and meteorological aids service;</w:t>
      </w:r>
    </w:p>
    <w:p w:rsidR="00D176FD" w:rsidRPr="00047754" w:rsidRDefault="00D176FD" w:rsidP="00D176FD">
      <w:pPr>
        <w:rPr>
          <w:b/>
          <w:bCs/>
          <w:lang w:val="en-US"/>
        </w:rPr>
      </w:pPr>
      <w:r w:rsidRPr="00047754">
        <w:rPr>
          <w:b/>
          <w:bCs/>
          <w:lang w:val="en-US"/>
        </w:rPr>
        <w:t>2</w:t>
      </w:r>
      <w:r w:rsidRPr="00047754">
        <w:rPr>
          <w:b/>
          <w:bCs/>
          <w:lang w:val="en-US"/>
        </w:rPr>
        <w:tab/>
      </w:r>
      <w:r w:rsidRPr="00047754">
        <w:rPr>
          <w:lang w:val="en-US"/>
        </w:rPr>
        <w:t>that the example given in Annex 2 should be used as a guide in implementation of the methodology given in Annex 1;</w:t>
      </w:r>
    </w:p>
    <w:p w:rsidR="00D176FD" w:rsidRPr="00047754" w:rsidRDefault="00D176FD" w:rsidP="00D176FD">
      <w:pPr>
        <w:rPr>
          <w:lang w:val="en-US"/>
        </w:rPr>
      </w:pPr>
      <w:r w:rsidRPr="00047754">
        <w:rPr>
          <w:b/>
          <w:bCs/>
          <w:lang w:val="en-US"/>
        </w:rPr>
        <w:t>3</w:t>
      </w:r>
      <w:r w:rsidRPr="00047754">
        <w:rPr>
          <w:b/>
          <w:bCs/>
          <w:lang w:val="en-US"/>
        </w:rPr>
        <w:tab/>
      </w:r>
      <w:r w:rsidRPr="00047754">
        <w:rPr>
          <w:lang w:val="en-US"/>
        </w:rPr>
        <w:t xml:space="preserve">that the interference criteria given in Recommendation ITU-R RS.1263 for meteorological aids operating in the 400.15-406 MHz and 1 668.4-1 700 MHz bands, should be considered in the development of coordination criteria for the specific systems operating in the Earth exploration-satellite and meteorological-satellite services. </w:t>
      </w:r>
    </w:p>
    <w:p w:rsidR="00D176FD" w:rsidRPr="00047754" w:rsidRDefault="00D176FD" w:rsidP="00FD03E1">
      <w:pPr>
        <w:pStyle w:val="AnnexNoTitle"/>
        <w:rPr>
          <w:lang w:val="en-US"/>
        </w:rPr>
      </w:pPr>
      <w:r w:rsidRPr="00047754">
        <w:rPr>
          <w:lang w:val="en-US"/>
        </w:rPr>
        <w:lastRenderedPageBreak/>
        <w:t>Annex 1</w:t>
      </w:r>
      <w:r w:rsidR="00FD03E1" w:rsidRPr="00047754">
        <w:rPr>
          <w:lang w:val="en-US"/>
        </w:rPr>
        <w:br/>
      </w:r>
      <w:r w:rsidR="00FD03E1" w:rsidRPr="00047754">
        <w:rPr>
          <w:lang w:val="en-US"/>
        </w:rPr>
        <w:br/>
      </w:r>
      <w:r w:rsidRPr="00047754">
        <w:rPr>
          <w:lang w:val="en-US"/>
        </w:rPr>
        <w:t>Methodology for determining sharing and coordination criteria</w:t>
      </w:r>
    </w:p>
    <w:p w:rsidR="00D176FD" w:rsidRPr="00047754" w:rsidRDefault="00D176FD" w:rsidP="00D176FD">
      <w:pPr>
        <w:pStyle w:val="Heading1"/>
        <w:rPr>
          <w:lang w:val="en-US"/>
        </w:rPr>
      </w:pPr>
      <w:r w:rsidRPr="00047754">
        <w:rPr>
          <w:lang w:val="en-US"/>
        </w:rPr>
        <w:t>1</w:t>
      </w:r>
      <w:r w:rsidRPr="00047754">
        <w:rPr>
          <w:lang w:val="en-US"/>
        </w:rPr>
        <w:tab/>
        <w:t>Initial division of interference criteria</w:t>
      </w:r>
    </w:p>
    <w:p w:rsidR="00D176FD" w:rsidRPr="00047754" w:rsidRDefault="00D176FD" w:rsidP="00D176FD">
      <w:pPr>
        <w:rPr>
          <w:lang w:val="en-US"/>
        </w:rPr>
      </w:pPr>
      <w:r w:rsidRPr="00047754">
        <w:rPr>
          <w:lang w:val="en-US"/>
        </w:rPr>
        <w:t>In cases involving space and terrestrial services, it is useful to initially divide the permissible level of total interfering signal power (i.e. interference criteria) between interference via terrestrial signal paths (i.e. for earth and terrestrial station transmissions) and space-to-Earth signal paths because the assumed number of interferers and the associated interference statistics usually differ between these two categories of interfering services. In other cases, this initial division is unnecessary. The initial division is accomplished using the following equations:</w:t>
      </w:r>
    </w:p>
    <w:p w:rsidR="00F54315" w:rsidRDefault="00F54315" w:rsidP="00F54315">
      <w:pPr>
        <w:pStyle w:val="Blanc"/>
      </w:pPr>
      <w:bookmarkStart w:id="3" w:name="F001"/>
    </w:p>
    <w:p w:rsidR="00D176FD" w:rsidRPr="00047754" w:rsidRDefault="00D176FD" w:rsidP="00D176FD">
      <w:pPr>
        <w:pStyle w:val="Equation"/>
        <w:rPr>
          <w:lang w:val="en-US"/>
        </w:rPr>
      </w:pPr>
      <w:r w:rsidRPr="00047754">
        <w:rPr>
          <w:lang w:val="en-US"/>
        </w:rPr>
        <w:tab/>
      </w:r>
      <w:r w:rsidRPr="00047754">
        <w:rPr>
          <w:lang w:val="en-US"/>
        </w:rPr>
        <w:tab/>
      </w:r>
      <w:r w:rsidRPr="00047754">
        <w:rPr>
          <w:i/>
          <w:iCs/>
          <w:lang w:val="en-US"/>
        </w:rPr>
        <w:t>i</w:t>
      </w:r>
      <w:r w:rsidRPr="00047754">
        <w:rPr>
          <w:i/>
          <w:iCs/>
          <w:position w:val="-4"/>
          <w:lang w:val="en-US"/>
        </w:rPr>
        <w:t>s </w:t>
      </w:r>
      <w:r w:rsidRPr="00047754">
        <w:rPr>
          <w:lang w:val="en-US"/>
        </w:rPr>
        <w:t xml:space="preserve">(20)  = </w:t>
      </w:r>
      <w:r w:rsidRPr="00047754">
        <w:rPr>
          <w:i/>
          <w:iCs/>
          <w:lang w:val="en-US"/>
        </w:rPr>
        <w:t>i </w:t>
      </w:r>
      <w:r w:rsidRPr="00047754">
        <w:rPr>
          <w:lang w:val="en-US"/>
        </w:rPr>
        <w:t>(20)  ×  (</w:t>
      </w:r>
      <w:r w:rsidRPr="00047754">
        <w:rPr>
          <w:i/>
          <w:iCs/>
          <w:lang w:val="en-US"/>
        </w:rPr>
        <w:t>A</w:t>
      </w:r>
      <w:r w:rsidRPr="00047754">
        <w:rPr>
          <w:i/>
          <w:iCs/>
          <w:position w:val="-4"/>
          <w:lang w:val="en-US"/>
        </w:rPr>
        <w:t>s</w:t>
      </w:r>
      <w:r w:rsidRPr="00047754">
        <w:rPr>
          <w:position w:val="-4"/>
          <w:lang w:val="en-US"/>
        </w:rPr>
        <w:t> </w:t>
      </w:r>
      <w:r w:rsidRPr="00047754">
        <w:rPr>
          <w:lang w:val="en-US"/>
        </w:rPr>
        <w:t>/100)</w:t>
      </w:r>
      <w:r w:rsidRPr="00047754">
        <w:rPr>
          <w:lang w:val="en-US"/>
        </w:rPr>
        <w:tab/>
        <w:t>(1a)</w:t>
      </w:r>
    </w:p>
    <w:p w:rsidR="00F54315" w:rsidRDefault="00F54315" w:rsidP="00F54315">
      <w:pPr>
        <w:pStyle w:val="Blanc"/>
      </w:pPr>
    </w:p>
    <w:p w:rsidR="00D176FD" w:rsidRPr="00047754" w:rsidRDefault="00D176FD" w:rsidP="00D176FD">
      <w:pPr>
        <w:pStyle w:val="Equation"/>
        <w:rPr>
          <w:lang w:val="en-US"/>
        </w:rPr>
      </w:pPr>
      <w:r w:rsidRPr="00047754">
        <w:rPr>
          <w:lang w:val="en-US"/>
        </w:rPr>
        <w:tab/>
      </w:r>
      <w:r w:rsidRPr="00047754">
        <w:rPr>
          <w:lang w:val="en-US"/>
        </w:rPr>
        <w:tab/>
      </w:r>
      <w:r w:rsidRPr="00047754">
        <w:rPr>
          <w:i/>
          <w:iCs/>
          <w:lang w:val="en-US"/>
        </w:rPr>
        <w:t>i</w:t>
      </w:r>
      <w:r w:rsidRPr="00047754">
        <w:rPr>
          <w:i/>
          <w:iCs/>
          <w:position w:val="-4"/>
          <w:lang w:val="en-US"/>
        </w:rPr>
        <w:t>t </w:t>
      </w:r>
      <w:r w:rsidRPr="00047754">
        <w:rPr>
          <w:lang w:val="en-US"/>
        </w:rPr>
        <w:t xml:space="preserve">(20)  =  </w:t>
      </w:r>
      <w:r w:rsidRPr="00047754">
        <w:rPr>
          <w:i/>
          <w:iCs/>
          <w:lang w:val="en-US"/>
        </w:rPr>
        <w:t>i</w:t>
      </w:r>
      <w:r w:rsidRPr="00047754">
        <w:rPr>
          <w:lang w:val="en-US"/>
        </w:rPr>
        <w:t xml:space="preserve"> (20)  –  </w:t>
      </w:r>
      <w:r w:rsidRPr="00047754">
        <w:rPr>
          <w:i/>
          <w:iCs/>
          <w:lang w:val="en-US"/>
        </w:rPr>
        <w:t>i</w:t>
      </w:r>
      <w:r w:rsidRPr="00047754">
        <w:rPr>
          <w:i/>
          <w:iCs/>
          <w:position w:val="-4"/>
          <w:lang w:val="en-US"/>
        </w:rPr>
        <w:t>s </w:t>
      </w:r>
      <w:r w:rsidRPr="00047754">
        <w:rPr>
          <w:lang w:val="en-US"/>
        </w:rPr>
        <w:t>(20)</w:t>
      </w:r>
      <w:r w:rsidRPr="00047754">
        <w:rPr>
          <w:lang w:val="en-US"/>
        </w:rPr>
        <w:tab/>
        <w:t>(1b)</w:t>
      </w:r>
      <w:bookmarkEnd w:id="3"/>
    </w:p>
    <w:p w:rsidR="00F54315" w:rsidRDefault="00F54315" w:rsidP="00F54315">
      <w:pPr>
        <w:pStyle w:val="Blanc"/>
      </w:pPr>
      <w:bookmarkStart w:id="4" w:name="F002"/>
    </w:p>
    <w:p w:rsidR="00D176FD" w:rsidRPr="00047754" w:rsidRDefault="00D176FD" w:rsidP="00D176FD">
      <w:pPr>
        <w:pStyle w:val="Equation"/>
        <w:rPr>
          <w:lang w:val="en-US"/>
        </w:rPr>
      </w:pPr>
      <w:r w:rsidRPr="00047754">
        <w:rPr>
          <w:lang w:val="en-US"/>
        </w:rPr>
        <w:tab/>
      </w:r>
      <w:r w:rsidRPr="00047754">
        <w:rPr>
          <w:lang w:val="en-US"/>
        </w:rPr>
        <w:tab/>
      </w:r>
      <w:r w:rsidRPr="00047754">
        <w:rPr>
          <w:i/>
          <w:iCs/>
          <w:lang w:val="en-US"/>
        </w:rPr>
        <w:t>i</w:t>
      </w:r>
      <w:r w:rsidRPr="00047754">
        <w:rPr>
          <w:i/>
          <w:iCs/>
          <w:position w:val="-4"/>
          <w:lang w:val="en-US"/>
        </w:rPr>
        <w:t>t</w:t>
      </w:r>
      <w:r w:rsidRPr="00047754">
        <w:rPr>
          <w:position w:val="-4"/>
          <w:lang w:val="en-US"/>
        </w:rPr>
        <w:t> </w:t>
      </w:r>
      <w:r w:rsidRPr="00047754">
        <w:rPr>
          <w:lang w:val="en-US"/>
        </w:rPr>
        <w:t>(</w:t>
      </w:r>
      <w:r w:rsidRPr="00047754">
        <w:rPr>
          <w:i/>
          <w:iCs/>
          <w:lang w:val="en-US"/>
        </w:rPr>
        <w:t>p</w:t>
      </w:r>
      <w:r w:rsidRPr="00047754">
        <w:rPr>
          <w:i/>
          <w:iCs/>
          <w:position w:val="-4"/>
          <w:lang w:val="en-US"/>
        </w:rPr>
        <w:t>t</w:t>
      </w:r>
      <w:r w:rsidRPr="00047754">
        <w:rPr>
          <w:lang w:val="en-US"/>
        </w:rPr>
        <w:t xml:space="preserve">)  =  </w:t>
      </w:r>
      <w:r w:rsidRPr="00047754">
        <w:rPr>
          <w:i/>
          <w:iCs/>
          <w:lang w:val="en-US"/>
        </w:rPr>
        <w:t>i</w:t>
      </w:r>
      <w:r w:rsidRPr="00047754">
        <w:rPr>
          <w:lang w:val="en-US"/>
        </w:rPr>
        <w:t> (</w:t>
      </w:r>
      <w:r w:rsidRPr="00047754">
        <w:rPr>
          <w:i/>
          <w:iCs/>
          <w:lang w:val="en-US"/>
        </w:rPr>
        <w:t>p</w:t>
      </w:r>
      <w:r w:rsidRPr="00047754">
        <w:rPr>
          <w:lang w:val="en-US"/>
        </w:rPr>
        <w:t xml:space="preserve">)  –  </w:t>
      </w:r>
      <w:r w:rsidRPr="00047754">
        <w:rPr>
          <w:i/>
          <w:iCs/>
          <w:lang w:val="en-US"/>
        </w:rPr>
        <w:t>i</w:t>
      </w:r>
      <w:r w:rsidRPr="00047754">
        <w:rPr>
          <w:i/>
          <w:iCs/>
          <w:position w:val="-4"/>
          <w:lang w:val="en-US"/>
        </w:rPr>
        <w:t>s</w:t>
      </w:r>
      <w:r w:rsidRPr="00047754">
        <w:rPr>
          <w:position w:val="-4"/>
          <w:lang w:val="en-US"/>
        </w:rPr>
        <w:t> </w:t>
      </w:r>
      <w:r w:rsidRPr="00047754">
        <w:rPr>
          <w:lang w:val="en-US"/>
        </w:rPr>
        <w:t>(</w:t>
      </w:r>
      <w:r w:rsidRPr="00047754">
        <w:rPr>
          <w:i/>
          <w:iCs/>
          <w:lang w:val="en-US"/>
        </w:rPr>
        <w:t>p</w:t>
      </w:r>
      <w:r w:rsidRPr="00047754">
        <w:rPr>
          <w:i/>
          <w:iCs/>
          <w:position w:val="-4"/>
          <w:lang w:val="en-US"/>
        </w:rPr>
        <w:t>s</w:t>
      </w:r>
      <w:r w:rsidRPr="00047754">
        <w:rPr>
          <w:lang w:val="en-US"/>
        </w:rPr>
        <w:t>)</w:t>
      </w:r>
      <w:r w:rsidRPr="00047754">
        <w:rPr>
          <w:lang w:val="en-US"/>
        </w:rPr>
        <w:tab/>
        <w:t>(2a)</w:t>
      </w:r>
    </w:p>
    <w:p w:rsidR="00F54315" w:rsidRDefault="00F54315" w:rsidP="00F54315">
      <w:pPr>
        <w:pStyle w:val="Blanc"/>
      </w:pPr>
    </w:p>
    <w:p w:rsidR="00D176FD" w:rsidRPr="00047754" w:rsidRDefault="00D176FD" w:rsidP="00D176FD">
      <w:pPr>
        <w:pStyle w:val="Equation"/>
        <w:rPr>
          <w:lang w:val="en-US"/>
        </w:rPr>
      </w:pPr>
      <w:r w:rsidRPr="00047754">
        <w:rPr>
          <w:lang w:val="en-US"/>
        </w:rPr>
        <w:tab/>
      </w:r>
      <w:r w:rsidRPr="00047754">
        <w:rPr>
          <w:lang w:val="en-US"/>
        </w:rPr>
        <w:tab/>
      </w:r>
      <w:r w:rsidRPr="00047754">
        <w:rPr>
          <w:i/>
          <w:iCs/>
          <w:lang w:val="en-US"/>
        </w:rPr>
        <w:t>p</w:t>
      </w:r>
      <w:r w:rsidRPr="00047754">
        <w:rPr>
          <w:i/>
          <w:iCs/>
          <w:position w:val="-4"/>
          <w:lang w:val="en-US"/>
        </w:rPr>
        <w:t>s</w:t>
      </w:r>
      <w:r w:rsidRPr="00047754">
        <w:rPr>
          <w:lang w:val="en-US"/>
        </w:rPr>
        <w:t xml:space="preserve">  =  </w:t>
      </w:r>
      <w:r w:rsidRPr="00047754">
        <w:rPr>
          <w:i/>
          <w:iCs/>
          <w:lang w:val="en-US"/>
        </w:rPr>
        <w:t>p</w:t>
      </w:r>
      <w:r w:rsidRPr="00047754">
        <w:rPr>
          <w:lang w:val="en-US"/>
        </w:rPr>
        <w:t xml:space="preserve">  ×  (</w:t>
      </w:r>
      <w:r w:rsidRPr="00047754">
        <w:rPr>
          <w:i/>
          <w:iCs/>
          <w:lang w:val="en-US"/>
        </w:rPr>
        <w:t>a</w:t>
      </w:r>
      <w:r w:rsidRPr="00047754">
        <w:rPr>
          <w:i/>
          <w:iCs/>
          <w:position w:val="-4"/>
          <w:lang w:val="en-US"/>
        </w:rPr>
        <w:t>s</w:t>
      </w:r>
      <w:r w:rsidRPr="00047754">
        <w:rPr>
          <w:position w:val="-4"/>
          <w:lang w:val="en-US"/>
        </w:rPr>
        <w:t> </w:t>
      </w:r>
      <w:r w:rsidRPr="00047754">
        <w:rPr>
          <w:lang w:val="en-US"/>
        </w:rPr>
        <w:t>/100)</w:t>
      </w:r>
      <w:r w:rsidRPr="00047754">
        <w:rPr>
          <w:lang w:val="en-US"/>
        </w:rPr>
        <w:tab/>
        <w:t>(2b)</w:t>
      </w:r>
    </w:p>
    <w:p w:rsidR="00F54315" w:rsidRDefault="00F54315" w:rsidP="00F54315">
      <w:pPr>
        <w:pStyle w:val="Blanc"/>
      </w:pPr>
    </w:p>
    <w:p w:rsidR="00D176FD" w:rsidRPr="00047754" w:rsidRDefault="00D176FD" w:rsidP="00D176FD">
      <w:pPr>
        <w:pStyle w:val="Equation"/>
        <w:rPr>
          <w:lang w:val="en-US"/>
        </w:rPr>
      </w:pPr>
      <w:r w:rsidRPr="00047754">
        <w:rPr>
          <w:lang w:val="en-US"/>
        </w:rPr>
        <w:tab/>
      </w:r>
      <w:r w:rsidRPr="00047754">
        <w:rPr>
          <w:lang w:val="en-US"/>
        </w:rPr>
        <w:tab/>
      </w:r>
      <w:r w:rsidRPr="00047754">
        <w:rPr>
          <w:i/>
          <w:iCs/>
          <w:lang w:val="en-US"/>
        </w:rPr>
        <w:t>p</w:t>
      </w:r>
      <w:r w:rsidRPr="00047754">
        <w:rPr>
          <w:i/>
          <w:iCs/>
          <w:position w:val="-4"/>
          <w:lang w:val="en-US"/>
        </w:rPr>
        <w:t>t</w:t>
      </w:r>
      <w:r w:rsidRPr="00047754">
        <w:rPr>
          <w:lang w:val="en-US"/>
        </w:rPr>
        <w:t xml:space="preserve">  =  </w:t>
      </w:r>
      <w:r w:rsidRPr="00047754">
        <w:rPr>
          <w:i/>
          <w:iCs/>
          <w:lang w:val="en-US"/>
        </w:rPr>
        <w:t>p</w:t>
      </w:r>
      <w:r w:rsidRPr="00047754">
        <w:rPr>
          <w:lang w:val="en-US"/>
        </w:rPr>
        <w:t xml:space="preserve">  –  </w:t>
      </w:r>
      <w:r w:rsidRPr="00047754">
        <w:rPr>
          <w:i/>
          <w:iCs/>
          <w:lang w:val="en-US"/>
        </w:rPr>
        <w:t>p</w:t>
      </w:r>
      <w:r w:rsidRPr="00047754">
        <w:rPr>
          <w:i/>
          <w:iCs/>
          <w:position w:val="-4"/>
          <w:lang w:val="en-US"/>
        </w:rPr>
        <w:t>s</w:t>
      </w:r>
      <w:r w:rsidRPr="00047754">
        <w:rPr>
          <w:lang w:val="en-US"/>
        </w:rPr>
        <w:tab/>
        <w:t>(2c)</w:t>
      </w:r>
      <w:bookmarkEnd w:id="4"/>
    </w:p>
    <w:p w:rsidR="00D176FD" w:rsidRPr="00047754" w:rsidRDefault="00D176FD" w:rsidP="00D176FD">
      <w:pPr>
        <w:rPr>
          <w:lang w:val="en-US"/>
        </w:rPr>
      </w:pPr>
      <w:r w:rsidRPr="00047754">
        <w:rPr>
          <w:lang w:val="en-US"/>
        </w:rPr>
        <w:t>where:</w:t>
      </w:r>
    </w:p>
    <w:p w:rsidR="00D176FD" w:rsidRPr="008F60B1" w:rsidRDefault="00D176FD" w:rsidP="00D176FD">
      <w:pPr>
        <w:pStyle w:val="Equationlegend"/>
        <w:rPr>
          <w:rFonts w:eastAsia="SimSun"/>
        </w:rPr>
      </w:pPr>
      <w:r w:rsidRPr="008F60B1">
        <w:rPr>
          <w:rFonts w:eastAsia="SimSun"/>
          <w:i/>
          <w:iCs/>
        </w:rPr>
        <w:tab/>
        <w:t>i </w:t>
      </w:r>
      <w:r w:rsidRPr="008F60B1">
        <w:rPr>
          <w:rFonts w:eastAsia="SimSun"/>
        </w:rPr>
        <w:t>(20) :</w:t>
      </w:r>
      <w:r w:rsidRPr="008F60B1">
        <w:rPr>
          <w:rFonts w:eastAsia="SimSun"/>
        </w:rPr>
        <w:tab/>
        <w:t>permissible level of total interfering signal power (W) to be exceeded for no more than 20% of the time (i.e. long-term interference criteria)</w:t>
      </w:r>
    </w:p>
    <w:p w:rsidR="00D176FD" w:rsidRPr="008F60B1" w:rsidRDefault="00D176FD" w:rsidP="00D176FD">
      <w:pPr>
        <w:pStyle w:val="Equationlegend"/>
        <w:rPr>
          <w:rFonts w:eastAsia="SimSun"/>
        </w:rPr>
      </w:pPr>
      <w:r w:rsidRPr="008F60B1">
        <w:rPr>
          <w:rFonts w:eastAsia="SimSun"/>
          <w:i/>
          <w:iCs/>
        </w:rPr>
        <w:tab/>
        <w:t>i</w:t>
      </w:r>
      <w:r w:rsidRPr="008F60B1">
        <w:rPr>
          <w:rFonts w:eastAsia="SimSun"/>
          <w:i/>
          <w:iCs/>
          <w:position w:val="-4"/>
        </w:rPr>
        <w:t>s</w:t>
      </w:r>
      <w:r w:rsidRPr="008F60B1">
        <w:rPr>
          <w:rFonts w:eastAsia="SimSun"/>
          <w:position w:val="-4"/>
        </w:rPr>
        <w:t> </w:t>
      </w:r>
      <w:r w:rsidRPr="008F60B1">
        <w:rPr>
          <w:rFonts w:eastAsia="SimSun"/>
        </w:rPr>
        <w:t xml:space="preserve">(20), </w:t>
      </w:r>
      <w:r w:rsidRPr="008F60B1">
        <w:rPr>
          <w:rFonts w:eastAsia="SimSun"/>
          <w:i/>
          <w:iCs/>
        </w:rPr>
        <w:t>i</w:t>
      </w:r>
      <w:r w:rsidRPr="008F60B1">
        <w:rPr>
          <w:rFonts w:eastAsia="SimSun"/>
          <w:i/>
          <w:iCs/>
          <w:position w:val="-4"/>
        </w:rPr>
        <w:t>s</w:t>
      </w:r>
      <w:r w:rsidRPr="008F60B1">
        <w:rPr>
          <w:rFonts w:eastAsia="SimSun"/>
          <w:position w:val="-4"/>
        </w:rPr>
        <w:t> </w:t>
      </w:r>
      <w:r w:rsidRPr="008F60B1">
        <w:rPr>
          <w:rFonts w:eastAsia="SimSun"/>
        </w:rPr>
        <w:t>(</w:t>
      </w:r>
      <w:r w:rsidRPr="008F60B1">
        <w:rPr>
          <w:rFonts w:eastAsia="SimSun"/>
          <w:i/>
          <w:iCs/>
        </w:rPr>
        <w:t>p</w:t>
      </w:r>
      <w:r w:rsidRPr="008F60B1">
        <w:rPr>
          <w:rFonts w:eastAsia="SimSun"/>
          <w:i/>
          <w:iCs/>
          <w:position w:val="-4"/>
        </w:rPr>
        <w:t>s</w:t>
      </w:r>
      <w:r w:rsidRPr="008F60B1">
        <w:rPr>
          <w:rFonts w:eastAsia="SimSun"/>
        </w:rPr>
        <w:t>) :</w:t>
      </w:r>
      <w:r w:rsidRPr="008F60B1">
        <w:rPr>
          <w:rFonts w:eastAsia="SimSun"/>
        </w:rPr>
        <w:tab/>
        <w:t xml:space="preserve">interfering signal power (W) level budgeted for space-to-Earth signals that is to be exceeded for no more than 20% and </w:t>
      </w:r>
      <w:r w:rsidRPr="008F60B1">
        <w:rPr>
          <w:rFonts w:eastAsia="SimSun"/>
          <w:i/>
          <w:iCs/>
        </w:rPr>
        <w:t>p</w:t>
      </w:r>
      <w:r w:rsidRPr="008F60B1">
        <w:rPr>
          <w:rFonts w:eastAsia="SimSun"/>
          <w:i/>
          <w:iCs/>
          <w:position w:val="-4"/>
        </w:rPr>
        <w:t>s</w:t>
      </w:r>
      <w:r w:rsidRPr="008F60B1">
        <w:rPr>
          <w:rFonts w:eastAsia="SimSun"/>
        </w:rPr>
        <w:t>% of the time, respectively</w:t>
      </w:r>
    </w:p>
    <w:p w:rsidR="00D176FD" w:rsidRPr="008F60B1" w:rsidRDefault="00D176FD" w:rsidP="00D176FD">
      <w:pPr>
        <w:pStyle w:val="Equationlegend"/>
        <w:rPr>
          <w:rFonts w:eastAsia="SimSun"/>
        </w:rPr>
      </w:pPr>
      <w:r w:rsidRPr="008F60B1">
        <w:rPr>
          <w:rFonts w:eastAsia="SimSun"/>
          <w:i/>
          <w:iCs/>
        </w:rPr>
        <w:tab/>
        <w:t>i</w:t>
      </w:r>
      <w:r w:rsidRPr="008F60B1">
        <w:rPr>
          <w:rFonts w:eastAsia="SimSun"/>
          <w:i/>
          <w:iCs/>
          <w:position w:val="-4"/>
        </w:rPr>
        <w:t>t</w:t>
      </w:r>
      <w:r w:rsidRPr="008F60B1">
        <w:rPr>
          <w:rFonts w:eastAsia="SimSun"/>
          <w:position w:val="-4"/>
        </w:rPr>
        <w:t> </w:t>
      </w:r>
      <w:r w:rsidRPr="008F60B1">
        <w:rPr>
          <w:rFonts w:eastAsia="SimSun"/>
        </w:rPr>
        <w:t xml:space="preserve">(20), </w:t>
      </w:r>
      <w:r w:rsidRPr="008F60B1">
        <w:rPr>
          <w:rFonts w:eastAsia="SimSun"/>
          <w:i/>
          <w:iCs/>
        </w:rPr>
        <w:t>i</w:t>
      </w:r>
      <w:r w:rsidRPr="008F60B1">
        <w:rPr>
          <w:rFonts w:eastAsia="SimSun"/>
          <w:i/>
          <w:iCs/>
          <w:position w:val="-4"/>
        </w:rPr>
        <w:t>t</w:t>
      </w:r>
      <w:r w:rsidRPr="008F60B1">
        <w:rPr>
          <w:rFonts w:eastAsia="SimSun"/>
          <w:position w:val="-4"/>
        </w:rPr>
        <w:t> </w:t>
      </w:r>
      <w:r w:rsidRPr="008F60B1">
        <w:rPr>
          <w:rFonts w:eastAsia="SimSun"/>
        </w:rPr>
        <w:t>(</w:t>
      </w:r>
      <w:r w:rsidRPr="008F60B1">
        <w:rPr>
          <w:rFonts w:eastAsia="SimSun"/>
          <w:i/>
          <w:iCs/>
        </w:rPr>
        <w:t>p</w:t>
      </w:r>
      <w:r w:rsidRPr="008F60B1">
        <w:rPr>
          <w:rFonts w:eastAsia="SimSun"/>
          <w:i/>
          <w:iCs/>
          <w:position w:val="-4"/>
        </w:rPr>
        <w:t>t</w:t>
      </w:r>
      <w:r w:rsidRPr="008F60B1">
        <w:rPr>
          <w:rFonts w:eastAsia="SimSun"/>
        </w:rPr>
        <w:t>) :</w:t>
      </w:r>
      <w:r w:rsidRPr="008F60B1">
        <w:rPr>
          <w:rFonts w:eastAsia="SimSun"/>
          <w:i/>
          <w:iCs/>
        </w:rPr>
        <w:tab/>
      </w:r>
      <w:r w:rsidRPr="008F60B1">
        <w:rPr>
          <w:rFonts w:eastAsia="SimSun"/>
        </w:rPr>
        <w:t xml:space="preserve">interfering signal power (W) level budgeted for terrestrial signal paths that is to be exceeded for no more than 20% and </w:t>
      </w:r>
      <w:r w:rsidRPr="008F60B1">
        <w:rPr>
          <w:rFonts w:eastAsia="SimSun"/>
          <w:i/>
          <w:iCs/>
        </w:rPr>
        <w:t>p</w:t>
      </w:r>
      <w:r w:rsidRPr="008F60B1">
        <w:rPr>
          <w:rFonts w:eastAsia="SimSun"/>
          <w:i/>
          <w:iCs/>
          <w:position w:val="-4"/>
        </w:rPr>
        <w:t>t</w:t>
      </w:r>
      <w:r w:rsidRPr="008F60B1">
        <w:rPr>
          <w:rFonts w:eastAsia="SimSun"/>
        </w:rPr>
        <w:t>% of the time, respectively</w:t>
      </w:r>
    </w:p>
    <w:p w:rsidR="00D176FD" w:rsidRPr="008F60B1" w:rsidRDefault="00D176FD" w:rsidP="00D176FD">
      <w:pPr>
        <w:pStyle w:val="Equationlegend"/>
        <w:rPr>
          <w:rFonts w:eastAsia="SimSun"/>
        </w:rPr>
      </w:pPr>
      <w:r w:rsidRPr="008F60B1">
        <w:rPr>
          <w:rFonts w:eastAsia="SimSun"/>
          <w:i/>
          <w:iCs/>
        </w:rPr>
        <w:tab/>
        <w:t>A</w:t>
      </w:r>
      <w:r w:rsidRPr="008F60B1">
        <w:rPr>
          <w:rFonts w:eastAsia="SimSun"/>
          <w:i/>
          <w:iCs/>
          <w:position w:val="-4"/>
        </w:rPr>
        <w:t>s </w:t>
      </w:r>
      <w:r w:rsidRPr="008F60B1">
        <w:rPr>
          <w:rFonts w:eastAsia="SimSun"/>
        </w:rPr>
        <w:t>:</w:t>
      </w:r>
      <w:r w:rsidRPr="008F60B1">
        <w:rPr>
          <w:rFonts w:eastAsia="SimSun"/>
        </w:rPr>
        <w:tab/>
        <w:t>percentage of permissible level of total interfering signal power (W) allotted for interference from space-to-Earth signals</w:t>
      </w:r>
    </w:p>
    <w:p w:rsidR="00D176FD" w:rsidRPr="008F60B1" w:rsidRDefault="00D176FD" w:rsidP="00D176FD">
      <w:pPr>
        <w:pStyle w:val="Equationlegend"/>
        <w:rPr>
          <w:rFonts w:eastAsia="SimSun"/>
        </w:rPr>
      </w:pPr>
      <w:r w:rsidRPr="008F60B1">
        <w:rPr>
          <w:rFonts w:eastAsia="SimSun"/>
          <w:i/>
          <w:iCs/>
        </w:rPr>
        <w:tab/>
        <w:t>i</w:t>
      </w:r>
      <w:r w:rsidRPr="008F60B1">
        <w:rPr>
          <w:rFonts w:eastAsia="SimSun"/>
        </w:rPr>
        <w:t> (</w:t>
      </w:r>
      <w:r w:rsidRPr="008F60B1">
        <w:rPr>
          <w:rFonts w:eastAsia="SimSun"/>
          <w:i/>
          <w:iCs/>
        </w:rPr>
        <w:t>p</w:t>
      </w:r>
      <w:r w:rsidRPr="008F60B1">
        <w:rPr>
          <w:rFonts w:eastAsia="SimSun"/>
        </w:rPr>
        <w:t>) :</w:t>
      </w:r>
      <w:r w:rsidRPr="008F60B1">
        <w:rPr>
          <w:rFonts w:eastAsia="SimSun"/>
          <w:i/>
          <w:iCs/>
        </w:rPr>
        <w:tab/>
      </w:r>
      <w:r w:rsidRPr="008F60B1">
        <w:rPr>
          <w:rFonts w:eastAsia="SimSun"/>
        </w:rPr>
        <w:t xml:space="preserve">permissible level of total interfering signal power (W) to be exceeded for no more than </w:t>
      </w:r>
      <w:r w:rsidRPr="008F60B1">
        <w:rPr>
          <w:rFonts w:eastAsia="SimSun"/>
          <w:i/>
          <w:iCs/>
        </w:rPr>
        <w:t>p</w:t>
      </w:r>
      <w:r w:rsidRPr="008F60B1">
        <w:rPr>
          <w:rFonts w:eastAsia="SimSun"/>
        </w:rPr>
        <w:t>% of the time (i.e. short-term interference criteria)</w:t>
      </w:r>
    </w:p>
    <w:p w:rsidR="00D176FD" w:rsidRPr="008F60B1" w:rsidRDefault="00D176FD" w:rsidP="00D176FD">
      <w:pPr>
        <w:pStyle w:val="Equationlegend"/>
        <w:rPr>
          <w:rFonts w:eastAsia="SimSun"/>
        </w:rPr>
      </w:pPr>
      <w:r w:rsidRPr="008F60B1">
        <w:rPr>
          <w:rFonts w:eastAsia="SimSun"/>
          <w:i/>
          <w:iCs/>
        </w:rPr>
        <w:tab/>
        <w:t>p </w:t>
      </w:r>
      <w:r w:rsidRPr="008F60B1">
        <w:rPr>
          <w:rFonts w:eastAsia="SimSun"/>
        </w:rPr>
        <w:t>:</w:t>
      </w:r>
      <w:r w:rsidRPr="008F60B1">
        <w:rPr>
          <w:rFonts w:eastAsia="SimSun"/>
          <w:i/>
          <w:iCs/>
        </w:rPr>
        <w:tab/>
      </w:r>
      <w:r w:rsidRPr="008F60B1">
        <w:rPr>
          <w:rFonts w:eastAsia="SimSun"/>
        </w:rPr>
        <w:t>percentage of time associated with the short-term interference criteria</w:t>
      </w:r>
    </w:p>
    <w:p w:rsidR="00D176FD" w:rsidRPr="008F60B1" w:rsidRDefault="00D176FD" w:rsidP="00D176FD">
      <w:pPr>
        <w:pStyle w:val="Equationlegend"/>
        <w:rPr>
          <w:rFonts w:eastAsia="SimSun"/>
        </w:rPr>
      </w:pPr>
      <w:r w:rsidRPr="008F60B1">
        <w:rPr>
          <w:rFonts w:eastAsia="SimSun"/>
          <w:i/>
          <w:iCs/>
        </w:rPr>
        <w:tab/>
        <w:t>p</w:t>
      </w:r>
      <w:r w:rsidRPr="008F60B1">
        <w:rPr>
          <w:rFonts w:eastAsia="SimSun"/>
          <w:i/>
          <w:iCs/>
          <w:position w:val="-4"/>
        </w:rPr>
        <w:t>s </w:t>
      </w:r>
      <w:r w:rsidRPr="008F60B1">
        <w:rPr>
          <w:rFonts w:eastAsia="SimSun"/>
        </w:rPr>
        <w:t>:</w:t>
      </w:r>
      <w:r w:rsidRPr="008F60B1">
        <w:rPr>
          <w:rFonts w:eastAsia="SimSun"/>
          <w:i/>
          <w:iCs/>
        </w:rPr>
        <w:tab/>
      </w:r>
      <w:r w:rsidRPr="008F60B1">
        <w:rPr>
          <w:rFonts w:eastAsia="SimSun"/>
        </w:rPr>
        <w:t>percentage of time that space-to-Earth signals may exceed the interference threshold</w:t>
      </w:r>
    </w:p>
    <w:p w:rsidR="00D176FD" w:rsidRPr="008F60B1" w:rsidRDefault="00D176FD" w:rsidP="00D176FD">
      <w:pPr>
        <w:pStyle w:val="Equationlegend"/>
        <w:rPr>
          <w:rFonts w:eastAsia="SimSun"/>
        </w:rPr>
      </w:pPr>
      <w:r w:rsidRPr="008F60B1">
        <w:rPr>
          <w:rFonts w:eastAsia="SimSun"/>
          <w:i/>
          <w:iCs/>
        </w:rPr>
        <w:tab/>
        <w:t>p</w:t>
      </w:r>
      <w:r w:rsidRPr="008F60B1">
        <w:rPr>
          <w:rFonts w:eastAsia="SimSun"/>
          <w:i/>
          <w:iCs/>
          <w:position w:val="-4"/>
        </w:rPr>
        <w:t>t </w:t>
      </w:r>
      <w:r w:rsidRPr="008F60B1">
        <w:rPr>
          <w:rFonts w:eastAsia="SimSun"/>
        </w:rPr>
        <w:t>:</w:t>
      </w:r>
      <w:r w:rsidRPr="008F60B1">
        <w:rPr>
          <w:rFonts w:eastAsia="SimSun"/>
          <w:i/>
          <w:iCs/>
        </w:rPr>
        <w:tab/>
      </w:r>
      <w:r w:rsidRPr="008F60B1">
        <w:rPr>
          <w:rFonts w:eastAsia="SimSun"/>
        </w:rPr>
        <w:t>percentage of time that signals propagated over terrestrial paths may exceed the interference threshold</w:t>
      </w:r>
    </w:p>
    <w:p w:rsidR="00D176FD" w:rsidRPr="008F60B1" w:rsidRDefault="00D176FD" w:rsidP="00D176FD">
      <w:pPr>
        <w:pStyle w:val="Equationlegend"/>
        <w:rPr>
          <w:rFonts w:eastAsia="SimSun"/>
        </w:rPr>
      </w:pPr>
      <w:r w:rsidRPr="008F60B1">
        <w:rPr>
          <w:rFonts w:eastAsia="SimSun"/>
          <w:i/>
          <w:iCs/>
        </w:rPr>
        <w:tab/>
        <w:t>a</w:t>
      </w:r>
      <w:r w:rsidRPr="008F60B1">
        <w:rPr>
          <w:rFonts w:eastAsia="SimSun"/>
          <w:i/>
          <w:iCs/>
          <w:position w:val="-4"/>
        </w:rPr>
        <w:t>s</w:t>
      </w:r>
      <w:r w:rsidRPr="008F60B1">
        <w:rPr>
          <w:rFonts w:ascii="Tms Rmn" w:eastAsia="SimSun" w:hAnsi="Tms Rmn"/>
          <w:i/>
          <w:iCs/>
          <w:position w:val="-4"/>
        </w:rPr>
        <w:t> </w:t>
      </w:r>
      <w:r w:rsidRPr="008F60B1">
        <w:rPr>
          <w:rFonts w:eastAsia="SimSun"/>
        </w:rPr>
        <w:t>:</w:t>
      </w:r>
      <w:r w:rsidRPr="008F60B1">
        <w:rPr>
          <w:rFonts w:eastAsia="SimSun"/>
          <w:i/>
          <w:iCs/>
        </w:rPr>
        <w:tab/>
      </w:r>
      <w:r w:rsidRPr="008F60B1">
        <w:rPr>
          <w:rFonts w:eastAsia="SimSun"/>
        </w:rPr>
        <w:t xml:space="preserve">portion of the percentage of time </w:t>
      </w:r>
      <w:r w:rsidRPr="008F60B1">
        <w:rPr>
          <w:rFonts w:eastAsia="SimSun"/>
          <w:i/>
          <w:iCs/>
        </w:rPr>
        <w:t>p</w:t>
      </w:r>
      <w:r w:rsidRPr="008F60B1">
        <w:rPr>
          <w:rFonts w:eastAsia="SimSun"/>
        </w:rPr>
        <w:t xml:space="preserve"> allotted to interference from space-to-Earth signals.</w:t>
      </w:r>
    </w:p>
    <w:p w:rsidR="00D176FD" w:rsidRPr="00047754" w:rsidRDefault="00D176FD" w:rsidP="00D176FD">
      <w:pPr>
        <w:rPr>
          <w:lang w:val="en-US"/>
        </w:rPr>
      </w:pPr>
      <w:r w:rsidRPr="00047754">
        <w:rPr>
          <w:lang w:val="en-US"/>
        </w:rPr>
        <w:t>In equations (1a) and (1b), the long-term interference criteria are divided on a power basis among interference categories. This is because long-term space-to-Earth and terrestrial interference levels are expected to be present simultaneously.</w:t>
      </w:r>
    </w:p>
    <w:p w:rsidR="00D176FD" w:rsidRPr="00047754" w:rsidRDefault="00D176FD" w:rsidP="00D176FD">
      <w:pPr>
        <w:rPr>
          <w:lang w:val="en-US"/>
        </w:rPr>
      </w:pPr>
      <w:r w:rsidRPr="00047754">
        <w:rPr>
          <w:lang w:val="en-US"/>
        </w:rPr>
        <w:lastRenderedPageBreak/>
        <w:t>The short-term interference criteria are divided, in equations (2a), (2b) and (2c), among space-to-Earth and terrestrial interference categories. Short-term enhanced levels of interference are not likely to occur simultaneously. However, interference from space</w:t>
      </w:r>
      <w:r w:rsidRPr="00047754">
        <w:rPr>
          <w:lang w:val="en-US"/>
        </w:rPr>
        <w:noBreakHyphen/>
        <w:t>to</w:t>
      </w:r>
      <w:r w:rsidRPr="00047754">
        <w:rPr>
          <w:lang w:val="en-US"/>
        </w:rPr>
        <w:noBreakHyphen/>
        <w:t>Earth paths at their long-term levels must be considered when the short-term interference budget is established for terrestrial interfering signal paths, and vice versa.</w:t>
      </w:r>
    </w:p>
    <w:p w:rsidR="00D176FD" w:rsidRPr="00047754" w:rsidRDefault="00D176FD" w:rsidP="00D176FD">
      <w:pPr>
        <w:rPr>
          <w:lang w:val="en-US"/>
        </w:rPr>
      </w:pPr>
      <w:r w:rsidRPr="00047754">
        <w:rPr>
          <w:lang w:val="en-US"/>
        </w:rPr>
        <w:t xml:space="preserve">Values for the parameters </w:t>
      </w:r>
      <w:r w:rsidRPr="00047754">
        <w:rPr>
          <w:i/>
          <w:iCs/>
          <w:lang w:val="en-US"/>
        </w:rPr>
        <w:t>A</w:t>
      </w:r>
      <w:r w:rsidRPr="00047754">
        <w:rPr>
          <w:i/>
          <w:iCs/>
          <w:vertAlign w:val="subscript"/>
          <w:lang w:val="en-US"/>
        </w:rPr>
        <w:t>s</w:t>
      </w:r>
      <w:r w:rsidRPr="00047754">
        <w:rPr>
          <w:lang w:val="en-US"/>
        </w:rPr>
        <w:t xml:space="preserve"> and </w:t>
      </w:r>
      <w:r w:rsidRPr="00047754">
        <w:rPr>
          <w:i/>
          <w:iCs/>
          <w:lang w:val="en-US"/>
        </w:rPr>
        <w:t>a</w:t>
      </w:r>
      <w:r w:rsidRPr="00047754">
        <w:rPr>
          <w:i/>
          <w:iCs/>
          <w:vertAlign w:val="subscript"/>
          <w:lang w:val="en-US"/>
        </w:rPr>
        <w:t>s</w:t>
      </w:r>
      <w:r w:rsidRPr="00047754">
        <w:rPr>
          <w:lang w:val="en-US"/>
        </w:rPr>
        <w:t xml:space="preserve"> should be selected to correspond with the relative levels of interference expected from space and terrestrial services. These parameter values are estimated from the allocations, interfering service characteristics, and anticipated usage of the subject frequency band.</w:t>
      </w:r>
    </w:p>
    <w:p w:rsidR="00D176FD" w:rsidRPr="00047754" w:rsidRDefault="00D176FD" w:rsidP="00D176FD">
      <w:pPr>
        <w:pStyle w:val="Heading1"/>
        <w:rPr>
          <w:lang w:val="en-US"/>
        </w:rPr>
      </w:pPr>
      <w:r w:rsidRPr="00047754">
        <w:rPr>
          <w:lang w:val="en-US"/>
        </w:rPr>
        <w:t>2</w:t>
      </w:r>
      <w:r w:rsidRPr="00047754">
        <w:rPr>
          <w:lang w:val="en-US"/>
        </w:rPr>
        <w:tab/>
        <w:t>Determination of permissible single-entry interference levels</w:t>
      </w:r>
    </w:p>
    <w:p w:rsidR="00D176FD" w:rsidRPr="00047754" w:rsidRDefault="00D176FD" w:rsidP="00D176FD">
      <w:pPr>
        <w:rPr>
          <w:lang w:val="en-US"/>
        </w:rPr>
      </w:pPr>
      <w:r w:rsidRPr="00047754">
        <w:rPr>
          <w:lang w:val="en-US"/>
        </w:rPr>
        <w:t>Equations (3), (4a) and (4b) accomplish subdivision of the interference budgeted to space-to-Earth signal paths (and terrestrial signal paths, where applicable) in order to establish an appropriate permissible level of interfering signal power from individual transmitters (i.e. single-entry interference).</w:t>
      </w:r>
    </w:p>
    <w:p w:rsidR="00F54315" w:rsidRDefault="00F54315" w:rsidP="00F54315">
      <w:pPr>
        <w:pStyle w:val="Blanc"/>
      </w:pPr>
      <w:bookmarkStart w:id="5" w:name="F003"/>
    </w:p>
    <w:p w:rsidR="00D176FD" w:rsidRPr="00047754" w:rsidRDefault="00D176FD" w:rsidP="00D176FD">
      <w:pPr>
        <w:pStyle w:val="Equation"/>
        <w:rPr>
          <w:lang w:val="en-US"/>
        </w:rPr>
      </w:pPr>
      <w:r w:rsidRPr="00047754">
        <w:rPr>
          <w:lang w:val="en-US"/>
        </w:rPr>
        <w:tab/>
      </w:r>
      <w:r w:rsidRPr="00047754">
        <w:rPr>
          <w:lang w:val="en-US"/>
        </w:rPr>
        <w:tab/>
      </w:r>
      <w:r w:rsidRPr="00047754">
        <w:rPr>
          <w:i/>
          <w:iCs/>
          <w:lang w:val="en-US"/>
        </w:rPr>
        <w:t>i′</w:t>
      </w:r>
      <w:r w:rsidRPr="00047754">
        <w:rPr>
          <w:lang w:val="en-US"/>
        </w:rPr>
        <w:t xml:space="preserve">(20)  =  </w:t>
      </w:r>
      <w:r w:rsidRPr="00047754">
        <w:rPr>
          <w:i/>
          <w:iCs/>
          <w:lang w:val="en-US"/>
        </w:rPr>
        <w:t>i</w:t>
      </w:r>
      <w:r w:rsidRPr="00047754">
        <w:rPr>
          <w:lang w:val="en-US"/>
        </w:rPr>
        <w:t xml:space="preserve"> (20) / </w:t>
      </w:r>
      <w:r w:rsidRPr="00047754">
        <w:rPr>
          <w:i/>
          <w:iCs/>
          <w:lang w:val="en-US"/>
        </w:rPr>
        <w:t>n</w:t>
      </w:r>
      <w:r w:rsidRPr="00047754">
        <w:rPr>
          <w:lang w:val="en-US"/>
        </w:rPr>
        <w:tab/>
        <w:t>(3)</w:t>
      </w:r>
      <w:bookmarkEnd w:id="5"/>
    </w:p>
    <w:p w:rsidR="00F54315" w:rsidRDefault="00F54315" w:rsidP="00F54315">
      <w:pPr>
        <w:pStyle w:val="Blanc"/>
      </w:pPr>
      <w:bookmarkStart w:id="6" w:name="F004"/>
    </w:p>
    <w:p w:rsidR="00D176FD" w:rsidRPr="00047754" w:rsidRDefault="00D176FD" w:rsidP="00D176FD">
      <w:pPr>
        <w:pStyle w:val="Equation"/>
        <w:rPr>
          <w:lang w:val="en-US"/>
        </w:rPr>
      </w:pPr>
      <w:r w:rsidRPr="00047754">
        <w:rPr>
          <w:lang w:val="en-US"/>
        </w:rPr>
        <w:tab/>
      </w:r>
      <w:r w:rsidRPr="00047754">
        <w:rPr>
          <w:lang w:val="en-US"/>
        </w:rPr>
        <w:tab/>
      </w:r>
      <w:r w:rsidRPr="00047754">
        <w:rPr>
          <w:i/>
          <w:iCs/>
          <w:lang w:val="en-US"/>
        </w:rPr>
        <w:t>i′</w:t>
      </w:r>
      <w:r w:rsidRPr="00047754">
        <w:rPr>
          <w:lang w:val="en-US"/>
        </w:rPr>
        <w:t>(</w:t>
      </w:r>
      <w:r w:rsidRPr="00047754">
        <w:rPr>
          <w:i/>
          <w:iCs/>
          <w:lang w:val="en-US"/>
        </w:rPr>
        <w:t>p′</w:t>
      </w:r>
      <w:r w:rsidRPr="00047754">
        <w:rPr>
          <w:lang w:val="en-US"/>
        </w:rPr>
        <w:t xml:space="preserve">)  =  </w:t>
      </w:r>
      <w:r w:rsidRPr="00047754">
        <w:rPr>
          <w:i/>
          <w:iCs/>
          <w:lang w:val="en-US"/>
        </w:rPr>
        <w:t>i</w:t>
      </w:r>
      <w:r w:rsidRPr="00047754">
        <w:rPr>
          <w:lang w:val="en-US"/>
        </w:rPr>
        <w:t> (</w:t>
      </w:r>
      <w:r w:rsidRPr="00047754">
        <w:rPr>
          <w:i/>
          <w:iCs/>
          <w:lang w:val="en-US"/>
        </w:rPr>
        <w:t>p</w:t>
      </w:r>
      <w:r w:rsidRPr="00047754">
        <w:rPr>
          <w:lang w:val="en-US"/>
        </w:rPr>
        <w:t xml:space="preserve">) / </w:t>
      </w:r>
      <w:r w:rsidRPr="00047754">
        <w:rPr>
          <w:i/>
          <w:iCs/>
          <w:lang w:val="en-US"/>
        </w:rPr>
        <w:t>yn</w:t>
      </w:r>
      <w:r w:rsidRPr="00047754">
        <w:rPr>
          <w:lang w:val="en-US"/>
        </w:rPr>
        <w:t xml:space="preserve">  –  (</w:t>
      </w:r>
      <w:r w:rsidRPr="00047754">
        <w:rPr>
          <w:i/>
          <w:iCs/>
          <w:lang w:val="en-US"/>
        </w:rPr>
        <w:t>i</w:t>
      </w:r>
      <w:r w:rsidRPr="00047754">
        <w:rPr>
          <w:lang w:val="en-US"/>
        </w:rPr>
        <w:t xml:space="preserve"> (20)  ×  (1  –  </w:t>
      </w:r>
      <w:r w:rsidRPr="00047754">
        <w:rPr>
          <w:i/>
          <w:iCs/>
          <w:lang w:val="en-US"/>
        </w:rPr>
        <w:t>y</w:t>
      </w:r>
      <w:r w:rsidRPr="00047754">
        <w:rPr>
          <w:lang w:val="en-US"/>
        </w:rPr>
        <w:t>))</w:t>
      </w:r>
      <w:r w:rsidRPr="00047754">
        <w:rPr>
          <w:lang w:val="en-US"/>
        </w:rPr>
        <w:tab/>
        <w:t>(4a)</w:t>
      </w:r>
    </w:p>
    <w:p w:rsidR="00F54315" w:rsidRDefault="00F54315" w:rsidP="00F54315">
      <w:pPr>
        <w:pStyle w:val="Blanc"/>
      </w:pPr>
    </w:p>
    <w:p w:rsidR="00D176FD" w:rsidRPr="00047754" w:rsidRDefault="00D176FD" w:rsidP="00D176FD">
      <w:pPr>
        <w:pStyle w:val="Equation"/>
        <w:rPr>
          <w:lang w:val="en-US"/>
        </w:rPr>
      </w:pPr>
      <w:r w:rsidRPr="00047754">
        <w:rPr>
          <w:lang w:val="en-US"/>
        </w:rPr>
        <w:tab/>
      </w:r>
      <w:r w:rsidRPr="00047754">
        <w:rPr>
          <w:lang w:val="en-US"/>
        </w:rPr>
        <w:tab/>
      </w:r>
      <w:r w:rsidRPr="00047754">
        <w:rPr>
          <w:i/>
          <w:iCs/>
          <w:lang w:val="en-US"/>
        </w:rPr>
        <w:t>p′</w:t>
      </w:r>
      <w:r w:rsidRPr="00047754">
        <w:rPr>
          <w:lang w:val="en-US"/>
        </w:rPr>
        <w:t xml:space="preserve">  =  </w:t>
      </w:r>
      <w:r w:rsidRPr="00047754">
        <w:rPr>
          <w:i/>
          <w:iCs/>
          <w:lang w:val="en-US"/>
        </w:rPr>
        <w:t xml:space="preserve">p </w:t>
      </w:r>
      <w:r w:rsidRPr="00047754">
        <w:rPr>
          <w:lang w:val="en-US"/>
        </w:rPr>
        <w:t xml:space="preserve">/ </w:t>
      </w:r>
      <w:r w:rsidRPr="00047754">
        <w:rPr>
          <w:i/>
          <w:iCs/>
          <w:lang w:val="en-US"/>
        </w:rPr>
        <w:t>n</w:t>
      </w:r>
      <w:r w:rsidRPr="00047754">
        <w:rPr>
          <w:lang w:val="en-US"/>
        </w:rPr>
        <w:tab/>
        <w:t>(4b)</w:t>
      </w:r>
      <w:bookmarkEnd w:id="6"/>
    </w:p>
    <w:p w:rsidR="00F54315" w:rsidRDefault="00F54315" w:rsidP="00F54315">
      <w:pPr>
        <w:pStyle w:val="Blanc"/>
      </w:pPr>
    </w:p>
    <w:p w:rsidR="00D176FD" w:rsidRPr="00047754" w:rsidRDefault="00D176FD" w:rsidP="00D176FD">
      <w:pPr>
        <w:rPr>
          <w:lang w:val="en-US"/>
        </w:rPr>
      </w:pPr>
      <w:r w:rsidRPr="00047754">
        <w:rPr>
          <w:lang w:val="en-US"/>
        </w:rPr>
        <w:t>where primed (′) parameters denote the permissible level of single-entry interfering signal power (i.e. sharing criteria) and:</w:t>
      </w:r>
    </w:p>
    <w:p w:rsidR="00D176FD" w:rsidRPr="008F60B1" w:rsidRDefault="00D176FD" w:rsidP="00D176FD">
      <w:pPr>
        <w:pStyle w:val="Equationlegend"/>
        <w:rPr>
          <w:rFonts w:eastAsia="SimSun"/>
        </w:rPr>
      </w:pPr>
      <w:r w:rsidRPr="008F60B1">
        <w:rPr>
          <w:rFonts w:eastAsia="SimSun"/>
          <w:i/>
          <w:iCs/>
        </w:rPr>
        <w:tab/>
        <w:t>i</w:t>
      </w:r>
      <w:r>
        <w:rPr>
          <w:rFonts w:eastAsia="SimSun"/>
          <w:i/>
          <w:iCs/>
        </w:rPr>
        <w:t>′</w:t>
      </w:r>
      <w:r w:rsidRPr="008F60B1">
        <w:rPr>
          <w:rFonts w:eastAsia="SimSun"/>
          <w:i/>
          <w:iCs/>
        </w:rPr>
        <w:t> </w:t>
      </w:r>
      <w:r w:rsidRPr="008F60B1">
        <w:rPr>
          <w:rFonts w:eastAsia="SimSun"/>
        </w:rPr>
        <w:t>(20):</w:t>
      </w:r>
      <w:r w:rsidRPr="008F60B1">
        <w:rPr>
          <w:rFonts w:eastAsia="SimSun"/>
        </w:rPr>
        <w:tab/>
        <w:t xml:space="preserve">permissible level of interfering signal power (W) for individual space or terrestrial interferers (depending on value of </w:t>
      </w:r>
      <w:r w:rsidRPr="008F60B1">
        <w:rPr>
          <w:rFonts w:eastAsia="SimSun"/>
          <w:i/>
          <w:iCs/>
        </w:rPr>
        <w:t>i</w:t>
      </w:r>
      <w:r w:rsidRPr="008F60B1">
        <w:rPr>
          <w:rFonts w:eastAsia="SimSun"/>
        </w:rPr>
        <w:t> (20) that is used) to be exceeded for no more than 20% of the time</w:t>
      </w:r>
    </w:p>
    <w:p w:rsidR="00D176FD" w:rsidRPr="008F60B1" w:rsidRDefault="00D176FD" w:rsidP="00D176FD">
      <w:pPr>
        <w:pStyle w:val="Equationlegend"/>
        <w:rPr>
          <w:rFonts w:eastAsia="SimSun"/>
        </w:rPr>
      </w:pPr>
      <w:r w:rsidRPr="008F60B1">
        <w:rPr>
          <w:rFonts w:eastAsia="SimSun"/>
          <w:i/>
          <w:iCs/>
        </w:rPr>
        <w:tab/>
        <w:t>i </w:t>
      </w:r>
      <w:r w:rsidRPr="008F60B1">
        <w:rPr>
          <w:rFonts w:eastAsia="SimSun"/>
        </w:rPr>
        <w:t>(20):</w:t>
      </w:r>
      <w:r w:rsidRPr="008F60B1">
        <w:rPr>
          <w:rFonts w:eastAsia="SimSun"/>
        </w:rPr>
        <w:tab/>
        <w:t>permissible level of total interfering signal power (W) for space or terrestrial interferers to be exceeded for no more than 20% of the time</w:t>
      </w:r>
    </w:p>
    <w:p w:rsidR="00D176FD" w:rsidRPr="008F60B1" w:rsidRDefault="00D176FD" w:rsidP="00D176FD">
      <w:pPr>
        <w:pStyle w:val="Equationlegend"/>
        <w:rPr>
          <w:rFonts w:eastAsia="SimSun"/>
        </w:rPr>
      </w:pPr>
      <w:r w:rsidRPr="008F60B1">
        <w:rPr>
          <w:rFonts w:eastAsia="SimSun"/>
          <w:i/>
          <w:iCs/>
        </w:rPr>
        <w:tab/>
        <w:t>p</w:t>
      </w:r>
      <w:r w:rsidRPr="008F60B1">
        <w:rPr>
          <w:rFonts w:eastAsia="SimSun"/>
        </w:rPr>
        <w:t> :</w:t>
      </w:r>
      <w:r w:rsidRPr="008F60B1">
        <w:rPr>
          <w:rFonts w:eastAsia="SimSun"/>
          <w:i/>
          <w:iCs/>
        </w:rPr>
        <w:tab/>
      </w:r>
      <w:r w:rsidRPr="008F60B1">
        <w:rPr>
          <w:rFonts w:eastAsia="SimSun"/>
        </w:rPr>
        <w:t xml:space="preserve">percentage of time associated with the short-term interference criteria (equals </w:t>
      </w:r>
      <w:r w:rsidRPr="008F60B1">
        <w:rPr>
          <w:rFonts w:eastAsia="SimSun"/>
          <w:i/>
          <w:iCs/>
        </w:rPr>
        <w:t>p</w:t>
      </w:r>
      <w:r w:rsidRPr="008F60B1">
        <w:rPr>
          <w:rFonts w:eastAsia="SimSun"/>
          <w:i/>
          <w:iCs/>
          <w:position w:val="-4"/>
        </w:rPr>
        <w:t>s</w:t>
      </w:r>
      <w:r w:rsidRPr="008F60B1">
        <w:rPr>
          <w:rFonts w:eastAsia="SimSun"/>
        </w:rPr>
        <w:t xml:space="preserve"> or </w:t>
      </w:r>
      <w:r w:rsidRPr="008F60B1">
        <w:rPr>
          <w:rFonts w:eastAsia="SimSun"/>
          <w:i/>
          <w:iCs/>
        </w:rPr>
        <w:t>p</w:t>
      </w:r>
      <w:r w:rsidRPr="008F60B1">
        <w:rPr>
          <w:rFonts w:eastAsia="SimSun"/>
          <w:i/>
          <w:iCs/>
          <w:position w:val="-4"/>
        </w:rPr>
        <w:t>t</w:t>
      </w:r>
      <w:r w:rsidRPr="008F60B1">
        <w:rPr>
          <w:rFonts w:eastAsia="SimSun"/>
          <w:position w:val="-4"/>
        </w:rPr>
        <w:t xml:space="preserve"> </w:t>
      </w:r>
      <w:r w:rsidRPr="008F60B1">
        <w:rPr>
          <w:rFonts w:eastAsia="SimSun"/>
        </w:rPr>
        <w:t>in cases where the initial subdivision of interference is made)</w:t>
      </w:r>
    </w:p>
    <w:p w:rsidR="00D176FD" w:rsidRPr="008F60B1" w:rsidRDefault="00D176FD" w:rsidP="00D176FD">
      <w:pPr>
        <w:pStyle w:val="Equationlegend"/>
        <w:rPr>
          <w:rFonts w:eastAsia="SimSun"/>
        </w:rPr>
      </w:pPr>
      <w:r w:rsidRPr="008F60B1">
        <w:rPr>
          <w:rFonts w:eastAsia="SimSun"/>
          <w:i/>
          <w:iCs/>
        </w:rPr>
        <w:tab/>
        <w:t>p</w:t>
      </w:r>
      <w:r>
        <w:rPr>
          <w:rFonts w:eastAsia="SimSun"/>
          <w:i/>
          <w:iCs/>
        </w:rPr>
        <w:t>′</w:t>
      </w:r>
      <w:r w:rsidRPr="008F60B1">
        <w:rPr>
          <w:rFonts w:eastAsia="SimSun"/>
          <w:i/>
          <w:iCs/>
        </w:rPr>
        <w:t> </w:t>
      </w:r>
      <w:r w:rsidRPr="008F60B1">
        <w:rPr>
          <w:rFonts w:eastAsia="SimSun"/>
        </w:rPr>
        <w:t>:</w:t>
      </w:r>
      <w:r w:rsidRPr="008F60B1">
        <w:rPr>
          <w:rFonts w:eastAsia="SimSun"/>
          <w:i/>
          <w:iCs/>
        </w:rPr>
        <w:tab/>
      </w:r>
      <w:r w:rsidRPr="008F60B1">
        <w:rPr>
          <w:rFonts w:eastAsia="SimSun"/>
        </w:rPr>
        <w:t xml:space="preserve">percentage of time calculated for use in specifying short-term </w:t>
      </w:r>
      <w:r>
        <w:rPr>
          <w:rFonts w:eastAsia="SimSun"/>
        </w:rPr>
        <w:t>single-entry</w:t>
      </w:r>
      <w:r w:rsidRPr="008F60B1">
        <w:rPr>
          <w:rFonts w:eastAsia="SimSun"/>
        </w:rPr>
        <w:t xml:space="preserve"> sharing criteria</w:t>
      </w:r>
    </w:p>
    <w:p w:rsidR="00D176FD" w:rsidRPr="008F60B1" w:rsidRDefault="00D176FD" w:rsidP="00D176FD">
      <w:pPr>
        <w:pStyle w:val="Equationlegend"/>
        <w:rPr>
          <w:rFonts w:eastAsia="SimSun"/>
        </w:rPr>
      </w:pPr>
      <w:r w:rsidRPr="008F60B1">
        <w:rPr>
          <w:rFonts w:eastAsia="SimSun"/>
          <w:i/>
          <w:iCs/>
        </w:rPr>
        <w:tab/>
        <w:t>n </w:t>
      </w:r>
      <w:r w:rsidRPr="008F60B1">
        <w:rPr>
          <w:rFonts w:eastAsia="SimSun"/>
        </w:rPr>
        <w:t>:</w:t>
      </w:r>
      <w:r w:rsidRPr="008F60B1">
        <w:rPr>
          <w:rFonts w:eastAsia="SimSun"/>
          <w:i/>
          <w:iCs/>
        </w:rPr>
        <w:tab/>
      </w:r>
      <w:r w:rsidRPr="008F60B1">
        <w:rPr>
          <w:rFonts w:eastAsia="SimSun"/>
        </w:rPr>
        <w:t>equivalent number of space or terrestrial interferers</w:t>
      </w:r>
    </w:p>
    <w:p w:rsidR="00D176FD" w:rsidRPr="008F60B1" w:rsidRDefault="00D176FD" w:rsidP="00D176FD">
      <w:pPr>
        <w:pStyle w:val="Equationlegend"/>
        <w:rPr>
          <w:rFonts w:eastAsia="SimSun"/>
        </w:rPr>
      </w:pPr>
      <w:r w:rsidRPr="008F60B1">
        <w:rPr>
          <w:rFonts w:eastAsia="SimSun"/>
          <w:i/>
          <w:iCs/>
        </w:rPr>
        <w:tab/>
        <w:t>i</w:t>
      </w:r>
      <w:r>
        <w:rPr>
          <w:rFonts w:eastAsia="SimSun"/>
          <w:i/>
          <w:iCs/>
        </w:rPr>
        <w:t>′</w:t>
      </w:r>
      <w:r w:rsidRPr="008F60B1">
        <w:rPr>
          <w:rFonts w:eastAsia="SimSun"/>
          <w:i/>
          <w:iCs/>
        </w:rPr>
        <w:t> </w:t>
      </w:r>
      <w:r w:rsidRPr="008F60B1">
        <w:rPr>
          <w:rFonts w:eastAsia="SimSun"/>
        </w:rPr>
        <w:t>(</w:t>
      </w:r>
      <w:r w:rsidRPr="008F60B1">
        <w:rPr>
          <w:rFonts w:eastAsia="SimSun"/>
          <w:i/>
          <w:iCs/>
        </w:rPr>
        <w:t>p</w:t>
      </w:r>
      <w:r>
        <w:rPr>
          <w:rFonts w:eastAsia="SimSun"/>
          <w:i/>
          <w:iCs/>
        </w:rPr>
        <w:t>′</w:t>
      </w:r>
      <w:r w:rsidRPr="008F60B1">
        <w:rPr>
          <w:rFonts w:eastAsia="SimSun"/>
        </w:rPr>
        <w:t>) :</w:t>
      </w:r>
      <w:r w:rsidRPr="008F60B1">
        <w:rPr>
          <w:rFonts w:eastAsia="SimSun"/>
          <w:i/>
          <w:iCs/>
        </w:rPr>
        <w:tab/>
      </w:r>
      <w:r w:rsidRPr="008F60B1">
        <w:rPr>
          <w:rFonts w:eastAsia="SimSun"/>
        </w:rPr>
        <w:t xml:space="preserve">permissible level of interfering signal power (W) for individual space or terrestrial interferers (depending on value of </w:t>
      </w:r>
      <w:r w:rsidRPr="008F60B1">
        <w:rPr>
          <w:rFonts w:eastAsia="SimSun"/>
          <w:i/>
          <w:iCs/>
        </w:rPr>
        <w:t>i </w:t>
      </w:r>
      <w:r w:rsidRPr="008F60B1">
        <w:rPr>
          <w:rFonts w:eastAsia="SimSun"/>
        </w:rPr>
        <w:t>( </w:t>
      </w:r>
      <w:r w:rsidRPr="008F60B1">
        <w:rPr>
          <w:rFonts w:eastAsia="SimSun"/>
          <w:i/>
          <w:iCs/>
        </w:rPr>
        <w:t>p</w:t>
      </w:r>
      <w:r w:rsidRPr="008F60B1">
        <w:rPr>
          <w:rFonts w:eastAsia="SimSun"/>
        </w:rPr>
        <w:t xml:space="preserve">) that is used) to be exceeded for no more than </w:t>
      </w:r>
      <w:r w:rsidRPr="008F60B1">
        <w:rPr>
          <w:rFonts w:eastAsia="SimSun"/>
          <w:i/>
          <w:iCs/>
        </w:rPr>
        <w:t>p</w:t>
      </w:r>
      <w:r>
        <w:rPr>
          <w:rFonts w:eastAsia="SimSun"/>
          <w:i/>
          <w:iCs/>
        </w:rPr>
        <w:t>′</w:t>
      </w:r>
      <w:r w:rsidRPr="008F60B1">
        <w:rPr>
          <w:rFonts w:eastAsia="SimSun"/>
          <w:i/>
          <w:iCs/>
        </w:rPr>
        <w:t> </w:t>
      </w:r>
      <w:r w:rsidRPr="008F60B1">
        <w:rPr>
          <w:rFonts w:eastAsia="SimSun"/>
        </w:rPr>
        <w:t>% of the time</w:t>
      </w:r>
    </w:p>
    <w:p w:rsidR="00D176FD" w:rsidRPr="008F60B1" w:rsidRDefault="00D176FD" w:rsidP="00D176FD">
      <w:pPr>
        <w:pStyle w:val="Equationlegend"/>
        <w:rPr>
          <w:rFonts w:eastAsia="SimSun"/>
        </w:rPr>
      </w:pPr>
      <w:r w:rsidRPr="008F60B1">
        <w:rPr>
          <w:rFonts w:eastAsia="SimSun"/>
          <w:i/>
          <w:iCs/>
        </w:rPr>
        <w:tab/>
        <w:t>i </w:t>
      </w:r>
      <w:r w:rsidRPr="008F60B1">
        <w:rPr>
          <w:rFonts w:eastAsia="SimSun"/>
        </w:rPr>
        <w:t>( </w:t>
      </w:r>
      <w:r w:rsidRPr="008F60B1">
        <w:rPr>
          <w:rFonts w:eastAsia="SimSun"/>
          <w:i/>
          <w:iCs/>
        </w:rPr>
        <w:t>p</w:t>
      </w:r>
      <w:r w:rsidRPr="008F60B1">
        <w:rPr>
          <w:rFonts w:eastAsia="SimSun"/>
        </w:rPr>
        <w:t>) :</w:t>
      </w:r>
      <w:r w:rsidRPr="008F60B1">
        <w:rPr>
          <w:rFonts w:eastAsia="SimSun"/>
          <w:i/>
          <w:iCs/>
        </w:rPr>
        <w:tab/>
      </w:r>
      <w:r w:rsidRPr="008F60B1">
        <w:rPr>
          <w:rFonts w:eastAsia="SimSun"/>
        </w:rPr>
        <w:t xml:space="preserve">permissible level of total interfering signal power (W) for space or terrestrial interferers to be exceeded for no more than </w:t>
      </w:r>
      <w:r w:rsidRPr="008F60B1">
        <w:rPr>
          <w:rFonts w:eastAsia="SimSun"/>
          <w:i/>
          <w:iCs/>
        </w:rPr>
        <w:t>p</w:t>
      </w:r>
      <w:r w:rsidRPr="008F60B1">
        <w:rPr>
          <w:rFonts w:eastAsia="SimSun"/>
        </w:rPr>
        <w:t>% of the time</w:t>
      </w:r>
    </w:p>
    <w:p w:rsidR="00D176FD" w:rsidRPr="008F60B1" w:rsidRDefault="00D176FD" w:rsidP="00D176FD">
      <w:pPr>
        <w:pStyle w:val="Equationlegend"/>
        <w:rPr>
          <w:rFonts w:eastAsia="SimSun"/>
        </w:rPr>
      </w:pPr>
      <w:r w:rsidRPr="008F60B1">
        <w:rPr>
          <w:rFonts w:eastAsia="SimSun"/>
          <w:i/>
          <w:iCs/>
        </w:rPr>
        <w:tab/>
        <w:t>y</w:t>
      </w:r>
      <w:r w:rsidRPr="008F60B1">
        <w:rPr>
          <w:rFonts w:ascii="Tms Rmn" w:eastAsia="SimSun" w:hAnsi="Tms Rmn"/>
          <w:i/>
          <w:iCs/>
          <w:sz w:val="12"/>
          <w:szCs w:val="12"/>
        </w:rPr>
        <w:t> </w:t>
      </w:r>
      <w:r w:rsidRPr="008F60B1">
        <w:rPr>
          <w:rFonts w:eastAsia="SimSun"/>
        </w:rPr>
        <w:t>:</w:t>
      </w:r>
      <w:r w:rsidRPr="008F60B1">
        <w:rPr>
          <w:rFonts w:eastAsia="SimSun"/>
        </w:rPr>
        <w:tab/>
        <w:t xml:space="preserve">fraction of space or terrestrial interferers producing interference at enhanced levels (0 &lt; </w:t>
      </w:r>
      <w:r w:rsidRPr="008F60B1">
        <w:rPr>
          <w:rFonts w:eastAsia="SimSun"/>
          <w:i/>
          <w:iCs/>
        </w:rPr>
        <w:t>y</w:t>
      </w:r>
      <w:r w:rsidRPr="008F60B1">
        <w:rPr>
          <w:rFonts w:eastAsia="SimSun"/>
        </w:rPr>
        <w:t xml:space="preserve"> &lt; 1), (</w:t>
      </w:r>
      <w:r w:rsidRPr="008F60B1">
        <w:rPr>
          <w:rFonts w:eastAsia="SimSun"/>
          <w:i/>
          <w:iCs/>
        </w:rPr>
        <w:t>y</w:t>
      </w:r>
      <w:r w:rsidRPr="008F60B1">
        <w:rPr>
          <w:rFonts w:eastAsia="SimSun"/>
        </w:rPr>
        <w:t xml:space="preserve"> is analogous to a correlation coefficient and is usually equal to 1/</w:t>
      </w:r>
      <w:r w:rsidRPr="008F60B1">
        <w:rPr>
          <w:rFonts w:eastAsia="SimSun"/>
          <w:i/>
          <w:iCs/>
        </w:rPr>
        <w:t>n</w:t>
      </w:r>
      <w:r w:rsidRPr="008F60B1">
        <w:rPr>
          <w:rFonts w:eastAsia="SimSun"/>
        </w:rPr>
        <w:t>, i.e. interference entries are mutually uncorrelated).</w:t>
      </w:r>
    </w:p>
    <w:p w:rsidR="00D176FD" w:rsidRPr="00047754" w:rsidRDefault="00D176FD" w:rsidP="00F54315">
      <w:pPr>
        <w:keepNext/>
        <w:keepLines/>
        <w:rPr>
          <w:lang w:val="en-US"/>
        </w:rPr>
      </w:pPr>
      <w:r w:rsidRPr="00047754">
        <w:rPr>
          <w:lang w:val="en-US"/>
        </w:rPr>
        <w:lastRenderedPageBreak/>
        <w:t>Equations (3), (4a) and (4b) are similar in nature to equations (1a), (1b), (2a), (2b) and (2c). Long-term interference allowances are subdivided on a power basis and short-term interference allowances are subdivided on a percentage of time basis. In equation (4), only some of the interferers are assumed to be enhanced to their short-term levels because they are uncorrelated. While these interference entries are enhanced, all other entries are assumed to be at their long-term levels.</w:t>
      </w:r>
    </w:p>
    <w:p w:rsidR="00F54315" w:rsidRPr="00047754" w:rsidRDefault="00F54315" w:rsidP="00F54315">
      <w:pPr>
        <w:keepNext/>
        <w:keepLines/>
        <w:rPr>
          <w:lang w:val="en-US"/>
        </w:rPr>
      </w:pPr>
    </w:p>
    <w:p w:rsidR="00F54315" w:rsidRPr="00047754" w:rsidRDefault="00F54315" w:rsidP="00F54315">
      <w:pPr>
        <w:keepNext/>
        <w:keepLines/>
        <w:rPr>
          <w:lang w:val="en-US"/>
        </w:rPr>
      </w:pPr>
    </w:p>
    <w:p w:rsidR="00F54315" w:rsidRPr="00047754" w:rsidRDefault="00F54315" w:rsidP="00F54315">
      <w:pPr>
        <w:keepNext/>
        <w:keepLines/>
        <w:rPr>
          <w:lang w:val="en-US"/>
        </w:rPr>
      </w:pPr>
    </w:p>
    <w:p w:rsidR="00F54315" w:rsidRPr="00047754" w:rsidRDefault="00F54315" w:rsidP="00F54315">
      <w:pPr>
        <w:keepNext/>
        <w:keepLines/>
        <w:rPr>
          <w:lang w:val="en-US"/>
        </w:rPr>
      </w:pPr>
    </w:p>
    <w:p w:rsidR="00D176FD" w:rsidRPr="00047754" w:rsidRDefault="00D176FD" w:rsidP="00FD03E1">
      <w:pPr>
        <w:pStyle w:val="AnnexNoTitle"/>
        <w:rPr>
          <w:lang w:val="en-US"/>
        </w:rPr>
      </w:pPr>
      <w:r w:rsidRPr="00047754">
        <w:rPr>
          <w:lang w:val="en-US"/>
        </w:rPr>
        <w:t>Annex 2</w:t>
      </w:r>
      <w:r w:rsidR="00FD03E1" w:rsidRPr="00047754">
        <w:rPr>
          <w:lang w:val="en-US"/>
        </w:rPr>
        <w:br/>
      </w:r>
      <w:r w:rsidR="00FD03E1" w:rsidRPr="00047754">
        <w:rPr>
          <w:lang w:val="en-US"/>
        </w:rPr>
        <w:br/>
      </w:r>
      <w:r w:rsidRPr="00047754">
        <w:rPr>
          <w:lang w:val="en-US"/>
        </w:rPr>
        <w:t>Example of the application of the methodology</w:t>
      </w:r>
    </w:p>
    <w:p w:rsidR="00D176FD" w:rsidRPr="00047754" w:rsidRDefault="00D176FD" w:rsidP="00D176FD">
      <w:pPr>
        <w:pStyle w:val="Heading1"/>
        <w:rPr>
          <w:lang w:val="en-US"/>
        </w:rPr>
      </w:pPr>
      <w:bookmarkStart w:id="7" w:name="_Toc393251811"/>
      <w:r w:rsidRPr="00047754">
        <w:rPr>
          <w:lang w:val="en-US"/>
        </w:rPr>
        <w:t>1</w:t>
      </w:r>
      <w:r w:rsidRPr="00047754">
        <w:rPr>
          <w:lang w:val="en-US"/>
        </w:rPr>
        <w:tab/>
        <w:t>Introduction</w:t>
      </w:r>
      <w:bookmarkEnd w:id="7"/>
    </w:p>
    <w:p w:rsidR="00D176FD" w:rsidRPr="00047754" w:rsidRDefault="00D176FD" w:rsidP="00D176FD">
      <w:pPr>
        <w:rPr>
          <w:lang w:val="en-US"/>
        </w:rPr>
      </w:pPr>
      <w:r w:rsidRPr="00047754">
        <w:rPr>
          <w:lang w:val="en-US"/>
        </w:rPr>
        <w:t>This example is for calculation of sharing and coordination criteria for meteorological aids systems operating in the bands 400.15 to 406 MHz (referred to as the 403 MHz band throughout) and 1</w:t>
      </w:r>
      <w:r w:rsidRPr="00047754">
        <w:rPr>
          <w:sz w:val="12"/>
          <w:szCs w:val="12"/>
          <w:lang w:val="en-US"/>
        </w:rPr>
        <w:t> </w:t>
      </w:r>
      <w:r w:rsidRPr="00047754">
        <w:rPr>
          <w:lang w:val="en-US"/>
        </w:rPr>
        <w:t>668.4 to 1</w:t>
      </w:r>
      <w:r w:rsidRPr="00047754">
        <w:rPr>
          <w:sz w:val="12"/>
          <w:szCs w:val="12"/>
          <w:lang w:val="en-US"/>
        </w:rPr>
        <w:t> </w:t>
      </w:r>
      <w:r w:rsidRPr="00047754">
        <w:rPr>
          <w:lang w:val="en-US"/>
        </w:rPr>
        <w:t>700 MHz (referred to as the 1</w:t>
      </w:r>
      <w:r w:rsidRPr="00047754">
        <w:rPr>
          <w:sz w:val="12"/>
          <w:szCs w:val="12"/>
          <w:lang w:val="en-US"/>
        </w:rPr>
        <w:t> </w:t>
      </w:r>
      <w:r w:rsidRPr="00047754">
        <w:rPr>
          <w:lang w:val="en-US"/>
        </w:rPr>
        <w:t>680 MHz band throughout). For reference purposes these bands are allocated to the meteorological aids service (MetAids) on a primary basis.</w:t>
      </w:r>
    </w:p>
    <w:p w:rsidR="00D176FD" w:rsidRPr="00047754" w:rsidRDefault="00D176FD" w:rsidP="00D176FD">
      <w:pPr>
        <w:pStyle w:val="Heading1"/>
        <w:rPr>
          <w:lang w:val="en-US"/>
        </w:rPr>
      </w:pPr>
      <w:bookmarkStart w:id="8" w:name="_Toc393251812"/>
      <w:r w:rsidRPr="00047754">
        <w:rPr>
          <w:lang w:val="en-US"/>
        </w:rPr>
        <w:t>2</w:t>
      </w:r>
      <w:r w:rsidRPr="00047754">
        <w:rPr>
          <w:lang w:val="en-US"/>
        </w:rPr>
        <w:tab/>
        <w:t>Methodology for calculation of MetAids sharing and coordination criteria</w:t>
      </w:r>
      <w:bookmarkEnd w:id="8"/>
    </w:p>
    <w:p w:rsidR="00D176FD" w:rsidRPr="00047754" w:rsidRDefault="00D176FD" w:rsidP="00D176FD">
      <w:pPr>
        <w:rPr>
          <w:lang w:val="en-US"/>
        </w:rPr>
      </w:pPr>
      <w:r w:rsidRPr="00047754">
        <w:rPr>
          <w:lang w:val="en-US"/>
        </w:rPr>
        <w:t>The interference criteria for MetAids are given in Recommendation ITU-R RS.1263-1 and are presented in Tables 1 and 2. With these values, the sharing and coordination criteria for MetAids can be determined in accordance with the methodology that was outlined in Annex 1.</w:t>
      </w:r>
    </w:p>
    <w:p w:rsidR="00F54315" w:rsidRPr="00047754" w:rsidRDefault="00F54315" w:rsidP="00F54315">
      <w:pPr>
        <w:pStyle w:val="Heading2"/>
        <w:rPr>
          <w:lang w:val="en-US"/>
        </w:rPr>
      </w:pPr>
      <w:r w:rsidRPr="00047754">
        <w:rPr>
          <w:lang w:val="en-US"/>
        </w:rPr>
        <w:t>2.1</w:t>
      </w:r>
      <w:r w:rsidRPr="00047754">
        <w:rPr>
          <w:lang w:val="en-US"/>
        </w:rPr>
        <w:tab/>
        <w:t>Initial division of interference criteria</w:t>
      </w:r>
    </w:p>
    <w:p w:rsidR="00F54315" w:rsidRPr="00047754" w:rsidRDefault="00F54315" w:rsidP="00F54315">
      <w:pPr>
        <w:rPr>
          <w:snapToGrid w:val="0"/>
          <w:lang w:val="en-US"/>
        </w:rPr>
      </w:pPr>
      <w:r w:rsidRPr="00047754">
        <w:rPr>
          <w:snapToGrid w:val="0"/>
          <w:lang w:val="en-US"/>
        </w:rPr>
        <w:t>Annex 1 states that the long-term allowable interference levels for each type of MetAids system listed in Tables 1 and 2 must be subdivided between terrestrial services (</w:t>
      </w:r>
      <w:r w:rsidRPr="00047754">
        <w:rPr>
          <w:i/>
          <w:iCs/>
          <w:snapToGrid w:val="0"/>
          <w:lang w:val="en-US"/>
        </w:rPr>
        <w:t>i</w:t>
      </w:r>
      <w:r w:rsidRPr="00047754">
        <w:rPr>
          <w:i/>
          <w:iCs/>
          <w:snapToGrid w:val="0"/>
          <w:vertAlign w:val="subscript"/>
          <w:lang w:val="en-US"/>
        </w:rPr>
        <w:t>t</w:t>
      </w:r>
      <w:r w:rsidRPr="00047754">
        <w:rPr>
          <w:snapToGrid w:val="0"/>
          <w:lang w:val="en-US"/>
        </w:rPr>
        <w:t>(20)) and space-to-Earth paths (</w:t>
      </w:r>
      <w:r w:rsidRPr="00047754">
        <w:rPr>
          <w:i/>
          <w:iCs/>
          <w:snapToGrid w:val="0"/>
          <w:lang w:val="en-US"/>
        </w:rPr>
        <w:t>i</w:t>
      </w:r>
      <w:r w:rsidRPr="00047754">
        <w:rPr>
          <w:i/>
          <w:iCs/>
          <w:snapToGrid w:val="0"/>
          <w:vertAlign w:val="subscript"/>
          <w:lang w:val="en-US"/>
        </w:rPr>
        <w:t>s</w:t>
      </w:r>
      <w:r w:rsidRPr="00047754">
        <w:rPr>
          <w:snapToGrid w:val="0"/>
          <w:lang w:val="en-US"/>
        </w:rPr>
        <w:t>(20)). Since long-term interference is present for large percentages of time (the levels from terrestrial services and from space-to-Earth will both be present simultaneously for large percentages of time), the interference is divided on a power basis. Subdivision is accomplished using equations (1a) and (1b) of Annex 1. For illustrative purposes within the 403 MHz and 1 680 MHz bands, the power will be subdivided such that 40% is attributed to space-to-Earth paths and 60% will be apportioned to terrestrial paths. The long-term interference criteria for the terrestrial services and the space-to-Earth paths are presented in Table 3.</w:t>
      </w:r>
    </w:p>
    <w:p w:rsidR="00F54315" w:rsidRDefault="00F54315" w:rsidP="00D176FD">
      <w:pPr>
        <w:rPr>
          <w:lang w:val="en-US"/>
        </w:rPr>
        <w:sectPr w:rsidR="00F54315" w:rsidSect="007565CC">
          <w:pgSz w:w="11907" w:h="16834" w:code="9"/>
          <w:pgMar w:top="1418" w:right="1134" w:bottom="1134" w:left="1134" w:header="720" w:footer="482" w:gutter="0"/>
          <w:pgNumType w:start="1"/>
          <w:cols w:space="720"/>
        </w:sectPr>
      </w:pPr>
    </w:p>
    <w:p w:rsidR="00D176FD" w:rsidRPr="00047754" w:rsidRDefault="00FD03E1" w:rsidP="00D176FD">
      <w:pPr>
        <w:pStyle w:val="TableNo"/>
        <w:rPr>
          <w:lang w:val="en-US"/>
        </w:rPr>
      </w:pPr>
      <w:r w:rsidRPr="00047754">
        <w:rPr>
          <w:lang w:val="en-US"/>
        </w:rPr>
        <w:lastRenderedPageBreak/>
        <w:t>TABLE</w:t>
      </w:r>
      <w:r w:rsidR="00D176FD" w:rsidRPr="00047754">
        <w:rPr>
          <w:lang w:val="en-US"/>
        </w:rPr>
        <w:t xml:space="preserve"> 1</w:t>
      </w:r>
    </w:p>
    <w:p w:rsidR="00D176FD" w:rsidRPr="00047754" w:rsidRDefault="00D176FD" w:rsidP="00D176FD">
      <w:pPr>
        <w:pStyle w:val="Tabletitle"/>
        <w:rPr>
          <w:lang w:val="en-US"/>
        </w:rPr>
      </w:pPr>
      <w:r w:rsidRPr="00047754">
        <w:rPr>
          <w:lang w:val="en-US"/>
        </w:rPr>
        <w:t>Interference criteria for radiosonde systems in the MetAids service</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4251"/>
        <w:gridCol w:w="2552"/>
        <w:gridCol w:w="2552"/>
        <w:gridCol w:w="2552"/>
        <w:gridCol w:w="2552"/>
      </w:tblGrid>
      <w:tr w:rsidR="00D176FD" w:rsidRPr="00047754" w:rsidTr="00860C1F">
        <w:trPr>
          <w:jc w:val="center"/>
        </w:trPr>
        <w:tc>
          <w:tcPr>
            <w:tcW w:w="4251" w:type="dxa"/>
            <w:vAlign w:val="center"/>
          </w:tcPr>
          <w:p w:rsidR="00D176FD" w:rsidRPr="008F60B1" w:rsidRDefault="00D176FD" w:rsidP="00FD03E1">
            <w:pPr>
              <w:pStyle w:val="Tablehead"/>
            </w:pPr>
            <w:r w:rsidRPr="008F60B1">
              <w:t>Parameter</w:t>
            </w:r>
          </w:p>
        </w:tc>
        <w:tc>
          <w:tcPr>
            <w:tcW w:w="2552" w:type="dxa"/>
            <w:vAlign w:val="center"/>
          </w:tcPr>
          <w:p w:rsidR="00D176FD" w:rsidRPr="00047754" w:rsidRDefault="00D176FD" w:rsidP="00860C1F">
            <w:pPr>
              <w:pStyle w:val="Tablehead"/>
              <w:ind w:left="-57" w:right="-57"/>
              <w:rPr>
                <w:lang w:val="en-US"/>
              </w:rPr>
            </w:pPr>
            <w:r w:rsidRPr="00047754">
              <w:rPr>
                <w:lang w:val="en-US"/>
              </w:rPr>
              <w:t>Radio direction finding (RDF) radiosonde system</w:t>
            </w:r>
            <w:r w:rsidRPr="00047754">
              <w:rPr>
                <w:lang w:val="en-US"/>
              </w:rPr>
              <w:br/>
              <w:t>1 668.4-1 700 MHz</w:t>
            </w:r>
          </w:p>
        </w:tc>
        <w:tc>
          <w:tcPr>
            <w:tcW w:w="2552" w:type="dxa"/>
            <w:vAlign w:val="center"/>
          </w:tcPr>
          <w:p w:rsidR="00D176FD" w:rsidRPr="008F60B1" w:rsidRDefault="00D176FD" w:rsidP="00FD03E1">
            <w:pPr>
              <w:pStyle w:val="Tablehead"/>
            </w:pPr>
            <w:r w:rsidRPr="008F60B1">
              <w:t xml:space="preserve">GPS radiosonde system </w:t>
            </w:r>
            <w:r w:rsidRPr="008F60B1">
              <w:br/>
              <w:t>1 675-1 683 MHz</w:t>
            </w:r>
          </w:p>
        </w:tc>
        <w:tc>
          <w:tcPr>
            <w:tcW w:w="2552" w:type="dxa"/>
            <w:vAlign w:val="center"/>
          </w:tcPr>
          <w:p w:rsidR="00D176FD" w:rsidRPr="00047754" w:rsidRDefault="00D176FD" w:rsidP="00860C1F">
            <w:pPr>
              <w:pStyle w:val="Tablehead"/>
              <w:rPr>
                <w:lang w:val="en-US"/>
              </w:rPr>
            </w:pPr>
            <w:r w:rsidRPr="00047754">
              <w:rPr>
                <w:lang w:val="en-US"/>
              </w:rPr>
              <w:t>NAVAID with directional antenna</w:t>
            </w:r>
            <w:r w:rsidR="00860C1F" w:rsidRPr="00047754">
              <w:rPr>
                <w:lang w:val="en-US"/>
              </w:rPr>
              <w:br/>
            </w:r>
            <w:r w:rsidRPr="00047754">
              <w:rPr>
                <w:lang w:val="en-US"/>
              </w:rPr>
              <w:t>400.15-406 MHz</w:t>
            </w:r>
          </w:p>
        </w:tc>
        <w:tc>
          <w:tcPr>
            <w:tcW w:w="2552" w:type="dxa"/>
            <w:vAlign w:val="center"/>
          </w:tcPr>
          <w:p w:rsidR="00D176FD" w:rsidRPr="00047754" w:rsidRDefault="00D176FD" w:rsidP="00FD03E1">
            <w:pPr>
              <w:pStyle w:val="Tablehead"/>
              <w:rPr>
                <w:lang w:val="en-US"/>
              </w:rPr>
            </w:pPr>
            <w:r w:rsidRPr="00047754">
              <w:rPr>
                <w:lang w:val="en-US"/>
              </w:rPr>
              <w:t>NAVAID with omnidirectional antenna</w:t>
            </w:r>
            <w:r w:rsidRPr="00047754">
              <w:rPr>
                <w:lang w:val="en-US"/>
              </w:rPr>
              <w:br/>
              <w:t>400.15-406 MHz</w:t>
            </w:r>
          </w:p>
        </w:tc>
      </w:tr>
      <w:tr w:rsidR="00D176FD" w:rsidRPr="008F60B1" w:rsidTr="00860C1F">
        <w:trPr>
          <w:jc w:val="center"/>
        </w:trPr>
        <w:tc>
          <w:tcPr>
            <w:tcW w:w="4251" w:type="dxa"/>
          </w:tcPr>
          <w:p w:rsidR="00D176FD" w:rsidRPr="008F60B1" w:rsidRDefault="00D176FD" w:rsidP="00860C1F">
            <w:pPr>
              <w:pStyle w:val="Tabletext"/>
              <w:jc w:val="left"/>
            </w:pPr>
            <w:r w:rsidRPr="008F60B1">
              <w:t>System reference bandwidth</w:t>
            </w:r>
            <w:r w:rsidR="00FD03E1">
              <w:t xml:space="preserve"> (kHz)</w:t>
            </w:r>
          </w:p>
        </w:tc>
        <w:tc>
          <w:tcPr>
            <w:tcW w:w="2552" w:type="dxa"/>
            <w:vAlign w:val="center"/>
          </w:tcPr>
          <w:p w:rsidR="00D176FD" w:rsidRPr="008F60B1" w:rsidRDefault="00D176FD" w:rsidP="00FD03E1">
            <w:pPr>
              <w:pStyle w:val="Tabletext"/>
              <w:jc w:val="center"/>
            </w:pPr>
            <w:r w:rsidRPr="008F60B1">
              <w:t>1 300</w:t>
            </w:r>
          </w:p>
        </w:tc>
        <w:tc>
          <w:tcPr>
            <w:tcW w:w="2552" w:type="dxa"/>
            <w:vAlign w:val="center"/>
          </w:tcPr>
          <w:p w:rsidR="00D176FD" w:rsidRPr="008F60B1" w:rsidRDefault="00D176FD" w:rsidP="00FD03E1">
            <w:pPr>
              <w:pStyle w:val="Tabletext"/>
              <w:jc w:val="center"/>
            </w:pPr>
            <w:r w:rsidRPr="008F60B1">
              <w:t>150</w:t>
            </w:r>
          </w:p>
        </w:tc>
        <w:tc>
          <w:tcPr>
            <w:tcW w:w="2552" w:type="dxa"/>
            <w:vAlign w:val="center"/>
          </w:tcPr>
          <w:p w:rsidR="00D176FD" w:rsidRPr="008F60B1" w:rsidRDefault="00D176FD" w:rsidP="00FD03E1">
            <w:pPr>
              <w:pStyle w:val="Tabletext"/>
              <w:jc w:val="center"/>
            </w:pPr>
            <w:r w:rsidRPr="008F60B1">
              <w:t>300</w:t>
            </w:r>
          </w:p>
        </w:tc>
        <w:tc>
          <w:tcPr>
            <w:tcW w:w="2552" w:type="dxa"/>
            <w:vAlign w:val="center"/>
          </w:tcPr>
          <w:p w:rsidR="00D176FD" w:rsidRPr="008F60B1" w:rsidRDefault="00D176FD" w:rsidP="00FD03E1">
            <w:pPr>
              <w:pStyle w:val="Tabletext"/>
              <w:jc w:val="center"/>
            </w:pPr>
            <w:r w:rsidRPr="008F60B1">
              <w:t>300</w:t>
            </w:r>
          </w:p>
        </w:tc>
      </w:tr>
      <w:tr w:rsidR="00D176FD" w:rsidRPr="008F60B1" w:rsidTr="00860C1F">
        <w:trPr>
          <w:jc w:val="center"/>
        </w:trPr>
        <w:tc>
          <w:tcPr>
            <w:tcW w:w="4251" w:type="dxa"/>
          </w:tcPr>
          <w:p w:rsidR="00D176FD" w:rsidRPr="00047754" w:rsidRDefault="00D176FD" w:rsidP="00860C1F">
            <w:pPr>
              <w:pStyle w:val="Tabletext"/>
              <w:jc w:val="left"/>
              <w:rPr>
                <w:lang w:val="en-US"/>
              </w:rPr>
            </w:pPr>
            <w:r w:rsidRPr="00047754">
              <w:rPr>
                <w:lang w:val="en-US"/>
              </w:rPr>
              <w:t xml:space="preserve">Interference signal power (dBW) in the reference bandwidth to be exceeded no more than </w:t>
            </w:r>
            <w:r w:rsidRPr="00047754">
              <w:rPr>
                <w:i/>
                <w:iCs/>
                <w:lang w:val="en-US"/>
              </w:rPr>
              <w:t>p</w:t>
            </w:r>
            <w:r w:rsidRPr="00047754">
              <w:rPr>
                <w:i/>
                <w:iCs/>
                <w:vertAlign w:val="subscript"/>
                <w:lang w:val="en-US"/>
              </w:rPr>
              <w:t>LOCK-LOSS</w:t>
            </w:r>
            <w:r w:rsidRPr="00047754">
              <w:rPr>
                <w:lang w:val="en-US"/>
              </w:rPr>
              <w:t xml:space="preserve"> </w:t>
            </w:r>
            <w:r w:rsidR="00FD03E1" w:rsidRPr="00047754">
              <w:rPr>
                <w:lang w:val="en-US"/>
              </w:rPr>
              <w:t>(</w:t>
            </w:r>
            <w:r w:rsidRPr="00047754">
              <w:rPr>
                <w:lang w:val="en-US"/>
              </w:rPr>
              <w:t>%</w:t>
            </w:r>
            <w:r w:rsidR="00FD03E1" w:rsidRPr="00047754">
              <w:rPr>
                <w:lang w:val="en-US"/>
              </w:rPr>
              <w:t>)</w:t>
            </w:r>
            <w:r w:rsidRPr="00047754">
              <w:rPr>
                <w:lang w:val="en-US"/>
              </w:rPr>
              <w:t xml:space="preserve"> of the time</w:t>
            </w:r>
            <w:r w:rsidRPr="00047754">
              <w:rPr>
                <w:sz w:val="8"/>
                <w:szCs w:val="8"/>
                <w:lang w:val="en-US"/>
              </w:rPr>
              <w:t> </w:t>
            </w:r>
          </w:p>
        </w:tc>
        <w:tc>
          <w:tcPr>
            <w:tcW w:w="2552" w:type="dxa"/>
            <w:vAlign w:val="center"/>
          </w:tcPr>
          <w:p w:rsidR="00D176FD" w:rsidRPr="008F60B1" w:rsidRDefault="002B0E83" w:rsidP="00FD03E1">
            <w:pPr>
              <w:pStyle w:val="Tabletext"/>
              <w:jc w:val="center"/>
            </w:pPr>
            <w:r>
              <w:t>–</w:t>
            </w:r>
            <w:r w:rsidR="00D176FD" w:rsidRPr="008F60B1">
              <w:t>135.3</w:t>
            </w:r>
          </w:p>
        </w:tc>
        <w:tc>
          <w:tcPr>
            <w:tcW w:w="2552" w:type="dxa"/>
            <w:vAlign w:val="center"/>
          </w:tcPr>
          <w:p w:rsidR="00D176FD" w:rsidRPr="008F60B1" w:rsidRDefault="002B0E83" w:rsidP="00FD03E1">
            <w:pPr>
              <w:pStyle w:val="Tabletext"/>
              <w:jc w:val="center"/>
            </w:pPr>
            <w:r>
              <w:t>–</w:t>
            </w:r>
            <w:r w:rsidR="00D176FD" w:rsidRPr="008F60B1">
              <w:t>137.2</w:t>
            </w:r>
          </w:p>
        </w:tc>
        <w:tc>
          <w:tcPr>
            <w:tcW w:w="2552" w:type="dxa"/>
            <w:vAlign w:val="center"/>
          </w:tcPr>
          <w:p w:rsidR="00D176FD" w:rsidRPr="008F60B1" w:rsidRDefault="002B0E83" w:rsidP="00FD03E1">
            <w:pPr>
              <w:pStyle w:val="Tabletext"/>
              <w:jc w:val="center"/>
            </w:pPr>
            <w:r>
              <w:t>–</w:t>
            </w:r>
            <w:r w:rsidR="00D176FD" w:rsidRPr="008F60B1">
              <w:t>141.9</w:t>
            </w:r>
          </w:p>
        </w:tc>
        <w:tc>
          <w:tcPr>
            <w:tcW w:w="2552" w:type="dxa"/>
            <w:vAlign w:val="center"/>
          </w:tcPr>
          <w:p w:rsidR="00D176FD" w:rsidRPr="008F60B1" w:rsidRDefault="00D176FD" w:rsidP="00FD03E1">
            <w:pPr>
              <w:pStyle w:val="Tabletext"/>
              <w:jc w:val="center"/>
            </w:pPr>
            <w:r w:rsidRPr="008F60B1">
              <w:t>N</w:t>
            </w:r>
            <w:r w:rsidR="00FD03E1">
              <w:t>/A</w:t>
            </w:r>
            <w:r w:rsidRPr="008F60B1">
              <w:rPr>
                <w:vertAlign w:val="superscript"/>
              </w:rPr>
              <w:t>(1)</w:t>
            </w:r>
          </w:p>
        </w:tc>
      </w:tr>
      <w:tr w:rsidR="00D176FD" w:rsidRPr="008F60B1" w:rsidTr="00860C1F">
        <w:trPr>
          <w:trHeight w:val="288"/>
          <w:jc w:val="center"/>
        </w:trPr>
        <w:tc>
          <w:tcPr>
            <w:tcW w:w="4251" w:type="dxa"/>
          </w:tcPr>
          <w:p w:rsidR="00D176FD" w:rsidRPr="00047754" w:rsidRDefault="00D176FD" w:rsidP="00860C1F">
            <w:pPr>
              <w:pStyle w:val="Tabletext"/>
              <w:jc w:val="left"/>
              <w:rPr>
                <w:lang w:val="en-US"/>
              </w:rPr>
            </w:pPr>
            <w:r w:rsidRPr="00047754">
              <w:rPr>
                <w:lang w:val="en-US"/>
              </w:rPr>
              <w:t xml:space="preserve">Percentage of time, </w:t>
            </w:r>
            <w:r w:rsidRPr="00047754">
              <w:rPr>
                <w:i/>
                <w:iCs/>
                <w:lang w:val="en-US"/>
              </w:rPr>
              <w:t>p</w:t>
            </w:r>
            <w:r w:rsidRPr="00047754">
              <w:rPr>
                <w:i/>
                <w:iCs/>
                <w:vertAlign w:val="subscript"/>
                <w:lang w:val="en-US"/>
              </w:rPr>
              <w:t>LOCK-LOSS</w:t>
            </w:r>
            <w:r w:rsidRPr="00047754">
              <w:rPr>
                <w:vertAlign w:val="subscript"/>
                <w:lang w:val="en-US"/>
              </w:rPr>
              <w:t xml:space="preserve"> </w:t>
            </w:r>
            <w:r w:rsidRPr="00047754">
              <w:rPr>
                <w:lang w:val="en-US"/>
              </w:rPr>
              <w:t>(%)</w:t>
            </w:r>
            <w:r w:rsidRPr="00047754">
              <w:rPr>
                <w:vertAlign w:val="superscript"/>
                <w:lang w:val="en-US"/>
              </w:rPr>
              <w:t xml:space="preserve">(2) </w:t>
            </w:r>
          </w:p>
        </w:tc>
        <w:tc>
          <w:tcPr>
            <w:tcW w:w="2552" w:type="dxa"/>
            <w:vAlign w:val="center"/>
          </w:tcPr>
          <w:p w:rsidR="00D176FD" w:rsidRPr="008F60B1" w:rsidRDefault="00D176FD" w:rsidP="00FD03E1">
            <w:pPr>
              <w:pStyle w:val="Tabletext"/>
              <w:jc w:val="center"/>
            </w:pPr>
            <w:r>
              <w:t>0</w:t>
            </w:r>
            <w:r w:rsidRPr="008F60B1">
              <w:t>.02</w:t>
            </w:r>
          </w:p>
        </w:tc>
        <w:tc>
          <w:tcPr>
            <w:tcW w:w="2552" w:type="dxa"/>
            <w:vAlign w:val="center"/>
          </w:tcPr>
          <w:p w:rsidR="00D176FD" w:rsidRPr="008F60B1" w:rsidRDefault="00D176FD" w:rsidP="00FD03E1">
            <w:pPr>
              <w:pStyle w:val="Tabletext"/>
              <w:jc w:val="center"/>
            </w:pPr>
            <w:r>
              <w:t>0</w:t>
            </w:r>
            <w:r w:rsidRPr="008F60B1">
              <w:t>.025</w:t>
            </w:r>
          </w:p>
        </w:tc>
        <w:tc>
          <w:tcPr>
            <w:tcW w:w="2552" w:type="dxa"/>
            <w:vAlign w:val="center"/>
          </w:tcPr>
          <w:p w:rsidR="00D176FD" w:rsidRPr="008F60B1" w:rsidRDefault="00D176FD" w:rsidP="00FD03E1">
            <w:pPr>
              <w:pStyle w:val="Tabletext"/>
              <w:jc w:val="center"/>
            </w:pPr>
            <w:r>
              <w:t>0</w:t>
            </w:r>
            <w:r w:rsidRPr="008F60B1">
              <w:t>.02</w:t>
            </w:r>
          </w:p>
        </w:tc>
        <w:tc>
          <w:tcPr>
            <w:tcW w:w="2552" w:type="dxa"/>
            <w:vAlign w:val="center"/>
          </w:tcPr>
          <w:p w:rsidR="00D176FD" w:rsidRPr="008F60B1" w:rsidRDefault="00D176FD" w:rsidP="00FD03E1">
            <w:pPr>
              <w:pStyle w:val="Tabletext"/>
              <w:jc w:val="center"/>
            </w:pPr>
            <w:r w:rsidRPr="008F60B1">
              <w:t>N</w:t>
            </w:r>
            <w:r w:rsidR="00FD03E1">
              <w:t>/A</w:t>
            </w:r>
            <w:r w:rsidRPr="008F60B1">
              <w:rPr>
                <w:vertAlign w:val="superscript"/>
              </w:rPr>
              <w:t>(1)</w:t>
            </w:r>
          </w:p>
        </w:tc>
      </w:tr>
      <w:tr w:rsidR="00D176FD" w:rsidRPr="008F60B1" w:rsidTr="00860C1F">
        <w:trPr>
          <w:jc w:val="center"/>
        </w:trPr>
        <w:tc>
          <w:tcPr>
            <w:tcW w:w="4251" w:type="dxa"/>
          </w:tcPr>
          <w:p w:rsidR="00D176FD" w:rsidRPr="00047754" w:rsidRDefault="00D176FD" w:rsidP="00860C1F">
            <w:pPr>
              <w:pStyle w:val="Tabletext"/>
              <w:jc w:val="left"/>
              <w:rPr>
                <w:lang w:val="en-US"/>
              </w:rPr>
            </w:pPr>
            <w:r w:rsidRPr="00047754">
              <w:rPr>
                <w:lang w:val="en-US"/>
              </w:rPr>
              <w:t>Interference signal power (dBW) in the reference bandwidth to be exceeded no more than p</w:t>
            </w:r>
            <w:r w:rsidRPr="00047754">
              <w:rPr>
                <w:i/>
                <w:iCs/>
                <w:vertAlign w:val="subscript"/>
                <w:lang w:val="en-US"/>
              </w:rPr>
              <w:t>DATA-LOSS</w:t>
            </w:r>
            <w:r w:rsidR="00FD03E1" w:rsidRPr="00047754">
              <w:rPr>
                <w:i/>
                <w:iCs/>
                <w:vertAlign w:val="subscript"/>
                <w:lang w:val="en-US"/>
              </w:rPr>
              <w:t xml:space="preserve"> </w:t>
            </w:r>
            <w:r w:rsidR="00FD03E1" w:rsidRPr="00047754">
              <w:rPr>
                <w:lang w:val="en-US"/>
              </w:rPr>
              <w:t>(</w:t>
            </w:r>
            <w:r w:rsidRPr="00047754">
              <w:rPr>
                <w:lang w:val="en-US"/>
              </w:rPr>
              <w:t>%</w:t>
            </w:r>
            <w:r w:rsidR="00FD03E1" w:rsidRPr="00047754">
              <w:rPr>
                <w:lang w:val="en-US"/>
              </w:rPr>
              <w:t>)</w:t>
            </w:r>
            <w:r w:rsidRPr="00047754">
              <w:rPr>
                <w:lang w:val="en-US"/>
              </w:rPr>
              <w:t xml:space="preserve"> of the time</w:t>
            </w:r>
            <w:r w:rsidRPr="00047754">
              <w:rPr>
                <w:sz w:val="8"/>
                <w:szCs w:val="8"/>
                <w:lang w:val="en-US"/>
              </w:rPr>
              <w:t> </w:t>
            </w:r>
          </w:p>
        </w:tc>
        <w:tc>
          <w:tcPr>
            <w:tcW w:w="2552" w:type="dxa"/>
            <w:vAlign w:val="center"/>
          </w:tcPr>
          <w:p w:rsidR="00D176FD" w:rsidRPr="008F60B1" w:rsidRDefault="002B0E83" w:rsidP="00FD03E1">
            <w:pPr>
              <w:pStyle w:val="Tabletext"/>
              <w:jc w:val="center"/>
            </w:pPr>
            <w:r>
              <w:t>–</w:t>
            </w:r>
            <w:r w:rsidR="00D176FD" w:rsidRPr="008F60B1">
              <w:t>139.4</w:t>
            </w:r>
          </w:p>
        </w:tc>
        <w:tc>
          <w:tcPr>
            <w:tcW w:w="2552" w:type="dxa"/>
            <w:vAlign w:val="center"/>
          </w:tcPr>
          <w:p w:rsidR="00D176FD" w:rsidRPr="008F60B1" w:rsidRDefault="002B0E83" w:rsidP="00FD03E1">
            <w:pPr>
              <w:pStyle w:val="Tabletext"/>
              <w:jc w:val="center"/>
            </w:pPr>
            <w:r>
              <w:t>–</w:t>
            </w:r>
            <w:r w:rsidR="00D176FD" w:rsidRPr="008F60B1">
              <w:t>145.7</w:t>
            </w:r>
          </w:p>
        </w:tc>
        <w:tc>
          <w:tcPr>
            <w:tcW w:w="2552" w:type="dxa"/>
            <w:vAlign w:val="center"/>
          </w:tcPr>
          <w:p w:rsidR="00D176FD" w:rsidRPr="008F60B1" w:rsidRDefault="002B0E83" w:rsidP="00FD03E1">
            <w:pPr>
              <w:pStyle w:val="Tabletext"/>
              <w:jc w:val="center"/>
            </w:pPr>
            <w:r>
              <w:t>–</w:t>
            </w:r>
            <w:r w:rsidR="00D176FD" w:rsidRPr="008F60B1">
              <w:t>149.6</w:t>
            </w:r>
          </w:p>
        </w:tc>
        <w:tc>
          <w:tcPr>
            <w:tcW w:w="2552" w:type="dxa"/>
            <w:vAlign w:val="center"/>
          </w:tcPr>
          <w:p w:rsidR="00D176FD" w:rsidRPr="008F60B1" w:rsidRDefault="002B0E83" w:rsidP="00FD03E1">
            <w:pPr>
              <w:pStyle w:val="Tabletext"/>
              <w:jc w:val="center"/>
            </w:pPr>
            <w:r>
              <w:t>–</w:t>
            </w:r>
            <w:r w:rsidR="00D176FD" w:rsidRPr="008F60B1">
              <w:t>154.4</w:t>
            </w:r>
          </w:p>
        </w:tc>
      </w:tr>
      <w:tr w:rsidR="00D176FD" w:rsidRPr="008F60B1" w:rsidTr="00860C1F">
        <w:trPr>
          <w:jc w:val="center"/>
        </w:trPr>
        <w:tc>
          <w:tcPr>
            <w:tcW w:w="4251" w:type="dxa"/>
          </w:tcPr>
          <w:p w:rsidR="00D176FD" w:rsidRPr="00047754" w:rsidRDefault="00D176FD" w:rsidP="00860C1F">
            <w:pPr>
              <w:pStyle w:val="Tabletext"/>
              <w:jc w:val="left"/>
              <w:rPr>
                <w:lang w:val="en-US"/>
              </w:rPr>
            </w:pPr>
            <w:r w:rsidRPr="00047754">
              <w:rPr>
                <w:lang w:val="en-US"/>
              </w:rPr>
              <w:t xml:space="preserve">Percentage of time, </w:t>
            </w:r>
            <w:r w:rsidRPr="00047754">
              <w:rPr>
                <w:i/>
                <w:iCs/>
                <w:lang w:val="en-US"/>
              </w:rPr>
              <w:t>p</w:t>
            </w:r>
            <w:r w:rsidRPr="00047754">
              <w:rPr>
                <w:i/>
                <w:iCs/>
                <w:vertAlign w:val="subscript"/>
                <w:lang w:val="en-US"/>
              </w:rPr>
              <w:t>DATA-LOSS</w:t>
            </w:r>
            <w:r w:rsidRPr="00047754">
              <w:rPr>
                <w:lang w:val="en-US"/>
              </w:rPr>
              <w:t xml:space="preserve"> (%)</w:t>
            </w:r>
            <w:r w:rsidRPr="00047754">
              <w:rPr>
                <w:vertAlign w:val="superscript"/>
                <w:lang w:val="en-US"/>
              </w:rPr>
              <w:t>(2)</w:t>
            </w:r>
          </w:p>
        </w:tc>
        <w:tc>
          <w:tcPr>
            <w:tcW w:w="2552" w:type="dxa"/>
            <w:vAlign w:val="center"/>
          </w:tcPr>
          <w:p w:rsidR="00D176FD" w:rsidRPr="008F60B1" w:rsidRDefault="00D176FD" w:rsidP="00FD03E1">
            <w:pPr>
              <w:pStyle w:val="Tabletext"/>
              <w:jc w:val="center"/>
              <w:rPr>
                <w:highlight w:val="yellow"/>
              </w:rPr>
            </w:pPr>
            <w:r>
              <w:t>0</w:t>
            </w:r>
            <w:r w:rsidRPr="008F60B1">
              <w:t>.8</w:t>
            </w:r>
          </w:p>
        </w:tc>
        <w:tc>
          <w:tcPr>
            <w:tcW w:w="2552" w:type="dxa"/>
            <w:vAlign w:val="center"/>
          </w:tcPr>
          <w:p w:rsidR="00D176FD" w:rsidRPr="008F60B1" w:rsidRDefault="00D176FD" w:rsidP="00FD03E1">
            <w:pPr>
              <w:pStyle w:val="Tabletext"/>
              <w:jc w:val="center"/>
            </w:pPr>
            <w:r w:rsidRPr="008F60B1">
              <w:t>0.125</w:t>
            </w:r>
          </w:p>
        </w:tc>
        <w:tc>
          <w:tcPr>
            <w:tcW w:w="2552" w:type="dxa"/>
            <w:vAlign w:val="center"/>
          </w:tcPr>
          <w:p w:rsidR="00D176FD" w:rsidRPr="008F60B1" w:rsidRDefault="00D176FD" w:rsidP="00FD03E1">
            <w:pPr>
              <w:pStyle w:val="Tabletext"/>
              <w:jc w:val="center"/>
            </w:pPr>
            <w:r>
              <w:t>0</w:t>
            </w:r>
            <w:r w:rsidRPr="008F60B1">
              <w:t>.2</w:t>
            </w:r>
          </w:p>
        </w:tc>
        <w:tc>
          <w:tcPr>
            <w:tcW w:w="2552" w:type="dxa"/>
            <w:vAlign w:val="center"/>
          </w:tcPr>
          <w:p w:rsidR="00D176FD" w:rsidRPr="008F60B1" w:rsidRDefault="00D176FD" w:rsidP="00FD03E1">
            <w:pPr>
              <w:pStyle w:val="Tabletext"/>
              <w:jc w:val="center"/>
              <w:rPr>
                <w:highlight w:val="yellow"/>
              </w:rPr>
            </w:pPr>
            <w:r>
              <w:t>0</w:t>
            </w:r>
            <w:r w:rsidRPr="008F60B1">
              <w:t>.2</w:t>
            </w:r>
          </w:p>
        </w:tc>
      </w:tr>
      <w:tr w:rsidR="00D176FD" w:rsidRPr="008F60B1" w:rsidTr="00860C1F">
        <w:trPr>
          <w:jc w:val="center"/>
        </w:trPr>
        <w:tc>
          <w:tcPr>
            <w:tcW w:w="4251" w:type="dxa"/>
          </w:tcPr>
          <w:p w:rsidR="00D176FD" w:rsidRPr="00047754" w:rsidRDefault="00D176FD" w:rsidP="00860C1F">
            <w:pPr>
              <w:pStyle w:val="Tabletext"/>
              <w:jc w:val="left"/>
              <w:rPr>
                <w:lang w:val="en-US"/>
              </w:rPr>
            </w:pPr>
            <w:r w:rsidRPr="00047754">
              <w:rPr>
                <w:lang w:val="en-US"/>
              </w:rPr>
              <w:t>Interference signal power (dBW) in the reference bandwidth to be exceeded no more than 20% of the time</w:t>
            </w:r>
            <w:r w:rsidRPr="00047754">
              <w:rPr>
                <w:sz w:val="8"/>
                <w:szCs w:val="8"/>
                <w:lang w:val="en-US"/>
              </w:rPr>
              <w:t> </w:t>
            </w:r>
            <w:r w:rsidRPr="00047754">
              <w:rPr>
                <w:position w:val="6"/>
                <w:sz w:val="14"/>
                <w:szCs w:val="14"/>
                <w:lang w:val="en-US"/>
              </w:rPr>
              <w:t>(2)</w:t>
            </w:r>
          </w:p>
        </w:tc>
        <w:tc>
          <w:tcPr>
            <w:tcW w:w="2552" w:type="dxa"/>
            <w:vAlign w:val="center"/>
          </w:tcPr>
          <w:p w:rsidR="00D176FD" w:rsidRPr="008F60B1" w:rsidRDefault="002B0E83" w:rsidP="00FD03E1">
            <w:pPr>
              <w:pStyle w:val="Tabletext"/>
              <w:jc w:val="center"/>
            </w:pPr>
            <w:r>
              <w:t>–</w:t>
            </w:r>
            <w:r w:rsidR="00D176FD" w:rsidRPr="008F60B1">
              <w:t>155.2</w:t>
            </w:r>
          </w:p>
        </w:tc>
        <w:tc>
          <w:tcPr>
            <w:tcW w:w="2552" w:type="dxa"/>
            <w:vAlign w:val="center"/>
          </w:tcPr>
          <w:p w:rsidR="00D176FD" w:rsidRPr="008F60B1" w:rsidRDefault="002B0E83" w:rsidP="00FD03E1">
            <w:pPr>
              <w:pStyle w:val="Tabletext"/>
              <w:jc w:val="center"/>
            </w:pPr>
            <w:r>
              <w:t>–</w:t>
            </w:r>
            <w:r w:rsidR="00D176FD" w:rsidRPr="008F60B1">
              <w:t>152.6</w:t>
            </w:r>
          </w:p>
        </w:tc>
        <w:tc>
          <w:tcPr>
            <w:tcW w:w="2552" w:type="dxa"/>
            <w:vAlign w:val="center"/>
          </w:tcPr>
          <w:p w:rsidR="00D176FD" w:rsidRPr="008F60B1" w:rsidRDefault="002B0E83" w:rsidP="00FD03E1">
            <w:pPr>
              <w:pStyle w:val="Tabletext"/>
              <w:jc w:val="center"/>
            </w:pPr>
            <w:r>
              <w:t>–</w:t>
            </w:r>
            <w:r w:rsidR="00D176FD" w:rsidRPr="008F60B1">
              <w:t>156.1</w:t>
            </w:r>
          </w:p>
        </w:tc>
        <w:tc>
          <w:tcPr>
            <w:tcW w:w="2552" w:type="dxa"/>
            <w:vAlign w:val="center"/>
          </w:tcPr>
          <w:p w:rsidR="00D176FD" w:rsidRPr="008F60B1" w:rsidRDefault="002B0E83" w:rsidP="00FD03E1">
            <w:pPr>
              <w:pStyle w:val="Tabletext"/>
              <w:jc w:val="center"/>
            </w:pPr>
            <w:r>
              <w:t>–</w:t>
            </w:r>
            <w:r w:rsidR="00D176FD" w:rsidRPr="008F60B1">
              <w:t>156.1</w:t>
            </w:r>
          </w:p>
        </w:tc>
      </w:tr>
      <w:tr w:rsidR="00D176FD" w:rsidRPr="00047754" w:rsidTr="00FD0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459" w:type="dxa"/>
            <w:gridSpan w:val="5"/>
            <w:tcBorders>
              <w:top w:val="nil"/>
              <w:left w:val="nil"/>
              <w:bottom w:val="nil"/>
              <w:right w:val="nil"/>
            </w:tcBorders>
          </w:tcPr>
          <w:p w:rsidR="00FD03E1" w:rsidRPr="00047754" w:rsidRDefault="00FD03E1" w:rsidP="00FD03E1">
            <w:pPr>
              <w:pStyle w:val="Tablelegend"/>
              <w:rPr>
                <w:lang w:val="en-US"/>
              </w:rPr>
            </w:pPr>
            <w:r w:rsidRPr="00047754">
              <w:rPr>
                <w:lang w:val="en-US"/>
              </w:rPr>
              <w:t>N/A: Not applicable.</w:t>
            </w:r>
          </w:p>
          <w:p w:rsidR="00D176FD" w:rsidRPr="00047754" w:rsidRDefault="00D176FD" w:rsidP="00FD03E1">
            <w:pPr>
              <w:pStyle w:val="Tablelegend"/>
              <w:rPr>
                <w:lang w:val="en-US"/>
              </w:rPr>
            </w:pPr>
            <w:r w:rsidRPr="00047754">
              <w:rPr>
                <w:vertAlign w:val="superscript"/>
                <w:lang w:val="en-US"/>
              </w:rPr>
              <w:t>(1)</w:t>
            </w:r>
            <w:r w:rsidRPr="00047754">
              <w:rPr>
                <w:sz w:val="18"/>
                <w:szCs w:val="18"/>
                <w:lang w:val="en-US"/>
              </w:rPr>
              <w:tab/>
            </w:r>
            <w:r w:rsidRPr="00047754">
              <w:rPr>
                <w:lang w:val="en-US"/>
              </w:rPr>
              <w:t>Systems with omnidirectional antennas are not vulnerable to losing antenna lock on the signal due to interference or signal fading.</w:t>
            </w:r>
          </w:p>
          <w:p w:rsidR="00D176FD" w:rsidRPr="00047754" w:rsidRDefault="00D176FD" w:rsidP="00FD03E1">
            <w:pPr>
              <w:pStyle w:val="Tablelegend"/>
              <w:rPr>
                <w:lang w:val="en-US"/>
              </w:rPr>
            </w:pPr>
            <w:r w:rsidRPr="00047754">
              <w:rPr>
                <w:vertAlign w:val="superscript"/>
                <w:lang w:val="en-US"/>
              </w:rPr>
              <w:t>(2)</w:t>
            </w:r>
            <w:r w:rsidRPr="00047754">
              <w:rPr>
                <w:sz w:val="18"/>
                <w:szCs w:val="18"/>
                <w:lang w:val="en-US"/>
              </w:rPr>
              <w:tab/>
            </w:r>
            <w:r w:rsidRPr="00047754">
              <w:rPr>
                <w:lang w:val="en-US"/>
              </w:rPr>
              <w:t xml:space="preserve">This percentage of time shall not be exceeded on a per-flight basis. </w:t>
            </w:r>
          </w:p>
        </w:tc>
      </w:tr>
    </w:tbl>
    <w:p w:rsidR="00D176FD" w:rsidRDefault="00D176FD" w:rsidP="00860C1F">
      <w:pPr>
        <w:pStyle w:val="Tablefin"/>
      </w:pPr>
    </w:p>
    <w:p w:rsidR="00D176FD" w:rsidRDefault="00D176FD" w:rsidP="00D176FD">
      <w:pPr>
        <w:rPr>
          <w:lang w:val="en-US"/>
        </w:rPr>
        <w:sectPr w:rsidR="00D176FD" w:rsidSect="00860C1F">
          <w:headerReference w:type="default" r:id="rId14"/>
          <w:pgSz w:w="16834" w:h="11907" w:orient="landscape" w:code="9"/>
          <w:pgMar w:top="1134" w:right="1418" w:bottom="1134" w:left="1134" w:header="720" w:footer="482" w:gutter="0"/>
          <w:cols w:space="720"/>
        </w:sectPr>
      </w:pPr>
    </w:p>
    <w:p w:rsidR="00D176FD" w:rsidRPr="00047754" w:rsidRDefault="00860C1F" w:rsidP="00860C1F">
      <w:pPr>
        <w:pStyle w:val="TableNo"/>
        <w:spacing w:before="0"/>
        <w:rPr>
          <w:snapToGrid w:val="0"/>
          <w:lang w:val="en-US"/>
        </w:rPr>
      </w:pPr>
      <w:bookmarkStart w:id="9" w:name="_Toc393251813"/>
      <w:r w:rsidRPr="00047754">
        <w:rPr>
          <w:snapToGrid w:val="0"/>
          <w:lang w:val="en-US"/>
        </w:rPr>
        <w:lastRenderedPageBreak/>
        <w:t>TABLE</w:t>
      </w:r>
      <w:r w:rsidR="00D176FD" w:rsidRPr="00047754">
        <w:rPr>
          <w:snapToGrid w:val="0"/>
          <w:lang w:val="en-US"/>
        </w:rPr>
        <w:t xml:space="preserve"> 2</w:t>
      </w:r>
    </w:p>
    <w:p w:rsidR="00D176FD" w:rsidRPr="00047754" w:rsidRDefault="00D176FD" w:rsidP="00D176FD">
      <w:pPr>
        <w:pStyle w:val="Tabletitle"/>
        <w:rPr>
          <w:snapToGrid w:val="0"/>
          <w:lang w:val="en-US"/>
        </w:rPr>
      </w:pPr>
      <w:r w:rsidRPr="00047754">
        <w:rPr>
          <w:snapToGrid w:val="0"/>
          <w:lang w:val="en-US"/>
        </w:rPr>
        <w:t xml:space="preserve">Interference criteria for rocketsonde and dropsonde </w:t>
      </w:r>
      <w:r w:rsidRPr="00047754">
        <w:rPr>
          <w:lang w:val="en-US"/>
        </w:rPr>
        <w:t>systems</w:t>
      </w:r>
      <w:r w:rsidRPr="00047754">
        <w:rPr>
          <w:snapToGrid w:val="0"/>
          <w:lang w:val="en-US"/>
        </w:rPr>
        <w:t xml:space="preserve"> in the MetAids service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3969"/>
        <w:gridCol w:w="2835"/>
        <w:gridCol w:w="2835"/>
      </w:tblGrid>
      <w:tr w:rsidR="00D176FD" w:rsidRPr="008F60B1" w:rsidTr="00860C1F">
        <w:trPr>
          <w:jc w:val="center"/>
        </w:trPr>
        <w:tc>
          <w:tcPr>
            <w:tcW w:w="3969" w:type="dxa"/>
          </w:tcPr>
          <w:p w:rsidR="00D176FD" w:rsidRPr="008F60B1" w:rsidRDefault="00D176FD" w:rsidP="00FD03E1">
            <w:pPr>
              <w:pStyle w:val="Tablehead"/>
            </w:pPr>
            <w:r w:rsidRPr="008F60B1">
              <w:t>Parameter</w:t>
            </w:r>
          </w:p>
        </w:tc>
        <w:tc>
          <w:tcPr>
            <w:tcW w:w="2835" w:type="dxa"/>
          </w:tcPr>
          <w:p w:rsidR="00D176FD" w:rsidRPr="008F60B1" w:rsidRDefault="00D176FD" w:rsidP="00860C1F">
            <w:pPr>
              <w:pStyle w:val="Tablehead"/>
              <w:ind w:left="-57" w:right="-57"/>
            </w:pPr>
            <w:r w:rsidRPr="008F60B1">
              <w:t>Airborne dropsonde systems</w:t>
            </w:r>
            <w:r w:rsidRPr="008F60B1">
              <w:br/>
              <w:t>400.15-406 MHz</w:t>
            </w:r>
          </w:p>
        </w:tc>
        <w:tc>
          <w:tcPr>
            <w:tcW w:w="2835" w:type="dxa"/>
          </w:tcPr>
          <w:p w:rsidR="00D176FD" w:rsidRPr="008F60B1" w:rsidRDefault="00D176FD" w:rsidP="00FD03E1">
            <w:pPr>
              <w:pStyle w:val="Tablehead"/>
            </w:pPr>
            <w:r w:rsidRPr="008F60B1">
              <w:t>Rocketsonde systems</w:t>
            </w:r>
            <w:r w:rsidRPr="008F60B1">
              <w:br/>
              <w:t>400.15-406 MHz</w:t>
            </w:r>
          </w:p>
        </w:tc>
      </w:tr>
      <w:tr w:rsidR="00D176FD" w:rsidRPr="008F60B1" w:rsidTr="00860C1F">
        <w:trPr>
          <w:jc w:val="center"/>
        </w:trPr>
        <w:tc>
          <w:tcPr>
            <w:tcW w:w="3969" w:type="dxa"/>
          </w:tcPr>
          <w:p w:rsidR="00D176FD" w:rsidRPr="008F60B1" w:rsidRDefault="00D176FD" w:rsidP="00860C1F">
            <w:pPr>
              <w:pStyle w:val="Tabletext"/>
              <w:jc w:val="left"/>
            </w:pPr>
            <w:r w:rsidRPr="008F60B1">
              <w:t>System reference bandwidth</w:t>
            </w:r>
            <w:r w:rsidR="00860C1F">
              <w:t xml:space="preserve"> (kHz)</w:t>
            </w:r>
          </w:p>
        </w:tc>
        <w:tc>
          <w:tcPr>
            <w:tcW w:w="2835" w:type="dxa"/>
            <w:vAlign w:val="center"/>
          </w:tcPr>
          <w:p w:rsidR="00D176FD" w:rsidRPr="008F60B1" w:rsidRDefault="00860C1F" w:rsidP="00FD03E1">
            <w:pPr>
              <w:pStyle w:val="Tabletext"/>
              <w:jc w:val="center"/>
            </w:pPr>
            <w:r>
              <w:t>20</w:t>
            </w:r>
          </w:p>
        </w:tc>
        <w:tc>
          <w:tcPr>
            <w:tcW w:w="2835" w:type="dxa"/>
            <w:vAlign w:val="center"/>
          </w:tcPr>
          <w:p w:rsidR="00D176FD" w:rsidRPr="008F60B1" w:rsidRDefault="00860C1F" w:rsidP="00FD03E1">
            <w:pPr>
              <w:pStyle w:val="Tabletext"/>
              <w:jc w:val="center"/>
            </w:pPr>
            <w:r>
              <w:t>3</w:t>
            </w:r>
          </w:p>
        </w:tc>
      </w:tr>
      <w:tr w:rsidR="00D176FD" w:rsidRPr="008F60B1" w:rsidTr="00860C1F">
        <w:trPr>
          <w:jc w:val="center"/>
        </w:trPr>
        <w:tc>
          <w:tcPr>
            <w:tcW w:w="3969" w:type="dxa"/>
          </w:tcPr>
          <w:p w:rsidR="00D176FD" w:rsidRPr="00047754" w:rsidRDefault="00D176FD" w:rsidP="00860C1F">
            <w:pPr>
              <w:pStyle w:val="Tabletext"/>
              <w:jc w:val="left"/>
              <w:rPr>
                <w:lang w:val="en-US"/>
              </w:rPr>
            </w:pPr>
            <w:r w:rsidRPr="00047754">
              <w:rPr>
                <w:lang w:val="en-US"/>
              </w:rPr>
              <w:t xml:space="preserve">Interference signal power (dBW) in the reference bandwidth to be exceeded no more than </w:t>
            </w:r>
            <w:r w:rsidRPr="00047754">
              <w:rPr>
                <w:i/>
                <w:iCs/>
                <w:lang w:val="en-US"/>
              </w:rPr>
              <w:t>p</w:t>
            </w:r>
            <w:r w:rsidRPr="00047754">
              <w:rPr>
                <w:i/>
                <w:iCs/>
                <w:vertAlign w:val="subscript"/>
                <w:lang w:val="en-US"/>
              </w:rPr>
              <w:t>LOCK-LOSS</w:t>
            </w:r>
            <w:r w:rsidR="00860C1F" w:rsidRPr="00047754">
              <w:rPr>
                <w:i/>
                <w:iCs/>
                <w:lang w:val="en-US"/>
              </w:rPr>
              <w:t xml:space="preserve"> </w:t>
            </w:r>
            <w:r w:rsidR="00860C1F" w:rsidRPr="00047754">
              <w:rPr>
                <w:lang w:val="en-US"/>
              </w:rPr>
              <w:t>(</w:t>
            </w:r>
            <w:r w:rsidRPr="00047754">
              <w:rPr>
                <w:lang w:val="en-US"/>
              </w:rPr>
              <w:t>%</w:t>
            </w:r>
            <w:r w:rsidR="00860C1F" w:rsidRPr="00047754">
              <w:rPr>
                <w:lang w:val="en-US"/>
              </w:rPr>
              <w:t>)</w:t>
            </w:r>
            <w:r w:rsidRPr="00047754">
              <w:rPr>
                <w:lang w:val="en-US"/>
              </w:rPr>
              <w:t xml:space="preserve"> of the time </w:t>
            </w:r>
          </w:p>
        </w:tc>
        <w:tc>
          <w:tcPr>
            <w:tcW w:w="2835" w:type="dxa"/>
            <w:vAlign w:val="center"/>
          </w:tcPr>
          <w:p w:rsidR="00D176FD" w:rsidRPr="008F60B1" w:rsidRDefault="00D176FD" w:rsidP="00FD03E1">
            <w:pPr>
              <w:pStyle w:val="Tabletext"/>
              <w:jc w:val="center"/>
            </w:pPr>
            <w:r w:rsidRPr="008F60B1">
              <w:t>N/A</w:t>
            </w:r>
            <w:r w:rsidRPr="008F60B1">
              <w:rPr>
                <w:vertAlign w:val="superscript"/>
              </w:rPr>
              <w:t>(1)</w:t>
            </w:r>
          </w:p>
        </w:tc>
        <w:tc>
          <w:tcPr>
            <w:tcW w:w="2835" w:type="dxa"/>
            <w:vAlign w:val="center"/>
          </w:tcPr>
          <w:p w:rsidR="00D176FD" w:rsidRPr="008F60B1" w:rsidRDefault="00860C1F" w:rsidP="00FD03E1">
            <w:pPr>
              <w:pStyle w:val="Tabletext"/>
              <w:jc w:val="center"/>
            </w:pPr>
            <w:r>
              <w:rPr>
                <w:sz w:val="20"/>
              </w:rPr>
              <w:t>–</w:t>
            </w:r>
            <w:r w:rsidR="00D176FD" w:rsidRPr="008F60B1">
              <w:t>116.9</w:t>
            </w:r>
          </w:p>
        </w:tc>
      </w:tr>
      <w:tr w:rsidR="00D176FD" w:rsidRPr="008F60B1" w:rsidTr="00860C1F">
        <w:trPr>
          <w:jc w:val="center"/>
        </w:trPr>
        <w:tc>
          <w:tcPr>
            <w:tcW w:w="3969" w:type="dxa"/>
          </w:tcPr>
          <w:p w:rsidR="00D176FD" w:rsidRPr="008F60B1" w:rsidRDefault="00D176FD" w:rsidP="00860C1F">
            <w:pPr>
              <w:pStyle w:val="Tabletext"/>
              <w:jc w:val="left"/>
            </w:pPr>
            <w:r w:rsidRPr="008F60B1">
              <w:rPr>
                <w:i/>
                <w:iCs/>
              </w:rPr>
              <w:t>p</w:t>
            </w:r>
            <w:r w:rsidRPr="008F60B1">
              <w:rPr>
                <w:i/>
                <w:iCs/>
                <w:vertAlign w:val="subscript"/>
              </w:rPr>
              <w:t>LOCK-LOSS</w:t>
            </w:r>
            <w:r w:rsidRPr="008F60B1">
              <w:t xml:space="preserve"> (%)</w:t>
            </w:r>
            <w:r w:rsidRPr="008F60B1">
              <w:rPr>
                <w:vertAlign w:val="superscript"/>
              </w:rPr>
              <w:t>(2)</w:t>
            </w:r>
          </w:p>
        </w:tc>
        <w:tc>
          <w:tcPr>
            <w:tcW w:w="2835" w:type="dxa"/>
            <w:vAlign w:val="center"/>
          </w:tcPr>
          <w:p w:rsidR="00D176FD" w:rsidRPr="008F60B1" w:rsidRDefault="00D176FD" w:rsidP="00FD03E1">
            <w:pPr>
              <w:pStyle w:val="Tabletext"/>
              <w:jc w:val="center"/>
            </w:pPr>
            <w:r w:rsidRPr="008F60B1">
              <w:t>N/A</w:t>
            </w:r>
            <w:r w:rsidRPr="008F60B1">
              <w:rPr>
                <w:vertAlign w:val="superscript"/>
              </w:rPr>
              <w:t>(1)</w:t>
            </w:r>
          </w:p>
        </w:tc>
        <w:tc>
          <w:tcPr>
            <w:tcW w:w="2835" w:type="dxa"/>
            <w:vAlign w:val="center"/>
          </w:tcPr>
          <w:p w:rsidR="00D176FD" w:rsidRPr="008F60B1" w:rsidRDefault="00D176FD" w:rsidP="00FD03E1">
            <w:pPr>
              <w:pStyle w:val="Tabletext"/>
              <w:jc w:val="center"/>
            </w:pPr>
            <w:r>
              <w:t>0</w:t>
            </w:r>
            <w:r w:rsidRPr="008F60B1">
              <w:t>.02</w:t>
            </w:r>
          </w:p>
        </w:tc>
      </w:tr>
      <w:tr w:rsidR="00D176FD" w:rsidRPr="008F60B1" w:rsidTr="00860C1F">
        <w:trPr>
          <w:jc w:val="center"/>
        </w:trPr>
        <w:tc>
          <w:tcPr>
            <w:tcW w:w="3969" w:type="dxa"/>
          </w:tcPr>
          <w:p w:rsidR="00D176FD" w:rsidRPr="00047754" w:rsidRDefault="00D176FD" w:rsidP="00860C1F">
            <w:pPr>
              <w:pStyle w:val="Tabletext"/>
              <w:jc w:val="left"/>
              <w:rPr>
                <w:lang w:val="en-US"/>
              </w:rPr>
            </w:pPr>
            <w:r w:rsidRPr="00047754">
              <w:rPr>
                <w:lang w:val="en-US"/>
              </w:rPr>
              <w:t xml:space="preserve">Interference signal power (dBW) in the reference bandwidth to be exceeded no more than </w:t>
            </w:r>
            <w:r w:rsidRPr="00047754">
              <w:rPr>
                <w:i/>
                <w:iCs/>
                <w:lang w:val="en-US"/>
              </w:rPr>
              <w:t>p</w:t>
            </w:r>
            <w:r w:rsidRPr="00047754">
              <w:rPr>
                <w:i/>
                <w:iCs/>
                <w:vertAlign w:val="subscript"/>
                <w:lang w:val="en-US"/>
              </w:rPr>
              <w:t>DATA-LOSS</w:t>
            </w:r>
            <w:r w:rsidRPr="00047754">
              <w:rPr>
                <w:i/>
                <w:iCs/>
                <w:lang w:val="en-US"/>
              </w:rPr>
              <w:t xml:space="preserve"> </w:t>
            </w:r>
            <w:r w:rsidR="00860C1F" w:rsidRPr="00047754">
              <w:rPr>
                <w:lang w:val="en-US"/>
              </w:rPr>
              <w:t>(</w:t>
            </w:r>
            <w:r w:rsidRPr="00047754">
              <w:rPr>
                <w:lang w:val="en-US"/>
              </w:rPr>
              <w:t>%</w:t>
            </w:r>
            <w:r w:rsidR="00860C1F" w:rsidRPr="00047754">
              <w:rPr>
                <w:lang w:val="en-US"/>
              </w:rPr>
              <w:t>)</w:t>
            </w:r>
            <w:r w:rsidRPr="00047754">
              <w:rPr>
                <w:lang w:val="en-US"/>
              </w:rPr>
              <w:t xml:space="preserve"> of the time </w:t>
            </w:r>
          </w:p>
        </w:tc>
        <w:tc>
          <w:tcPr>
            <w:tcW w:w="2835" w:type="dxa"/>
            <w:vAlign w:val="center"/>
          </w:tcPr>
          <w:p w:rsidR="00D176FD" w:rsidRPr="008F60B1" w:rsidRDefault="00860C1F" w:rsidP="00FD03E1">
            <w:pPr>
              <w:pStyle w:val="Tabletext"/>
              <w:jc w:val="center"/>
            </w:pPr>
            <w:r>
              <w:rPr>
                <w:sz w:val="20"/>
              </w:rPr>
              <w:t>–</w:t>
            </w:r>
            <w:r w:rsidR="00D176FD" w:rsidRPr="008F60B1">
              <w:t>161.6</w:t>
            </w:r>
          </w:p>
        </w:tc>
        <w:tc>
          <w:tcPr>
            <w:tcW w:w="2835" w:type="dxa"/>
            <w:vAlign w:val="center"/>
          </w:tcPr>
          <w:p w:rsidR="00D176FD" w:rsidRPr="008F60B1" w:rsidRDefault="00860C1F" w:rsidP="00FD03E1">
            <w:pPr>
              <w:pStyle w:val="Tabletext"/>
              <w:jc w:val="center"/>
            </w:pPr>
            <w:r>
              <w:rPr>
                <w:sz w:val="20"/>
              </w:rPr>
              <w:t>–</w:t>
            </w:r>
            <w:r w:rsidR="00D176FD" w:rsidRPr="008F60B1">
              <w:t>122.1</w:t>
            </w:r>
          </w:p>
        </w:tc>
      </w:tr>
      <w:tr w:rsidR="00D176FD" w:rsidRPr="008F60B1" w:rsidTr="00860C1F">
        <w:trPr>
          <w:jc w:val="center"/>
        </w:trPr>
        <w:tc>
          <w:tcPr>
            <w:tcW w:w="3969" w:type="dxa"/>
          </w:tcPr>
          <w:p w:rsidR="00D176FD" w:rsidRPr="008F60B1" w:rsidRDefault="00D176FD" w:rsidP="00860C1F">
            <w:pPr>
              <w:pStyle w:val="Tabletext"/>
              <w:jc w:val="left"/>
            </w:pPr>
            <w:r w:rsidRPr="008F60B1">
              <w:t>p</w:t>
            </w:r>
            <w:r w:rsidRPr="008F60B1">
              <w:rPr>
                <w:i/>
                <w:iCs/>
                <w:vertAlign w:val="subscript"/>
              </w:rPr>
              <w:t>DATA-LOSS</w:t>
            </w:r>
            <w:r w:rsidRPr="008F60B1">
              <w:rPr>
                <w:i/>
                <w:iCs/>
              </w:rPr>
              <w:t xml:space="preserve"> </w:t>
            </w:r>
            <w:r w:rsidRPr="008F60B1">
              <w:t>(%)</w:t>
            </w:r>
            <w:r w:rsidRPr="008F60B1">
              <w:rPr>
                <w:vertAlign w:val="superscript"/>
              </w:rPr>
              <w:t>(2)</w:t>
            </w:r>
          </w:p>
        </w:tc>
        <w:tc>
          <w:tcPr>
            <w:tcW w:w="2835" w:type="dxa"/>
            <w:vAlign w:val="center"/>
          </w:tcPr>
          <w:p w:rsidR="00D176FD" w:rsidRPr="008F60B1" w:rsidRDefault="00D176FD" w:rsidP="00FD03E1">
            <w:pPr>
              <w:pStyle w:val="Tabletext"/>
              <w:jc w:val="center"/>
            </w:pPr>
            <w:r>
              <w:t>0</w:t>
            </w:r>
            <w:r w:rsidRPr="008F60B1">
              <w:t>.060</w:t>
            </w:r>
          </w:p>
        </w:tc>
        <w:tc>
          <w:tcPr>
            <w:tcW w:w="2835" w:type="dxa"/>
            <w:vAlign w:val="center"/>
          </w:tcPr>
          <w:p w:rsidR="00D176FD" w:rsidRPr="008F60B1" w:rsidRDefault="00D176FD" w:rsidP="00FD03E1">
            <w:pPr>
              <w:pStyle w:val="Tabletext"/>
              <w:jc w:val="center"/>
            </w:pPr>
            <w:r>
              <w:t>0</w:t>
            </w:r>
            <w:r w:rsidRPr="008F60B1">
              <w:t>.060</w:t>
            </w:r>
          </w:p>
        </w:tc>
      </w:tr>
      <w:tr w:rsidR="00D176FD" w:rsidRPr="008F60B1" w:rsidTr="00860C1F">
        <w:trPr>
          <w:jc w:val="center"/>
        </w:trPr>
        <w:tc>
          <w:tcPr>
            <w:tcW w:w="3969" w:type="dxa"/>
          </w:tcPr>
          <w:p w:rsidR="00D176FD" w:rsidRPr="00047754" w:rsidRDefault="00D176FD" w:rsidP="00860C1F">
            <w:pPr>
              <w:pStyle w:val="Tabletext"/>
              <w:jc w:val="left"/>
              <w:rPr>
                <w:lang w:val="en-US"/>
              </w:rPr>
            </w:pPr>
            <w:r w:rsidRPr="00047754">
              <w:rPr>
                <w:lang w:val="en-US"/>
              </w:rPr>
              <w:t>Interference signal power (dBW) in the reference bandwidth to be exceeded no more than 20% of the time </w:t>
            </w:r>
          </w:p>
        </w:tc>
        <w:tc>
          <w:tcPr>
            <w:tcW w:w="2835" w:type="dxa"/>
            <w:vAlign w:val="center"/>
          </w:tcPr>
          <w:p w:rsidR="00D176FD" w:rsidRPr="008F60B1" w:rsidRDefault="00860C1F" w:rsidP="00FD03E1">
            <w:pPr>
              <w:pStyle w:val="Tabletext"/>
              <w:jc w:val="center"/>
            </w:pPr>
            <w:r>
              <w:rPr>
                <w:sz w:val="20"/>
              </w:rPr>
              <w:t>–</w:t>
            </w:r>
            <w:r w:rsidR="00D176FD" w:rsidRPr="008F60B1">
              <w:t>168.9</w:t>
            </w:r>
          </w:p>
        </w:tc>
        <w:tc>
          <w:tcPr>
            <w:tcW w:w="2835" w:type="dxa"/>
            <w:vAlign w:val="center"/>
          </w:tcPr>
          <w:p w:rsidR="00D176FD" w:rsidRPr="008F60B1" w:rsidRDefault="00860C1F" w:rsidP="00FD03E1">
            <w:pPr>
              <w:pStyle w:val="Tabletext"/>
              <w:jc w:val="center"/>
            </w:pPr>
            <w:r>
              <w:rPr>
                <w:sz w:val="20"/>
              </w:rPr>
              <w:t>–</w:t>
            </w:r>
            <w:r w:rsidR="00D176FD" w:rsidRPr="008F60B1">
              <w:t>135.6</w:t>
            </w:r>
          </w:p>
        </w:tc>
      </w:tr>
      <w:tr w:rsidR="00D176FD" w:rsidRPr="00047754" w:rsidTr="00860C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Borders>
              <w:top w:val="nil"/>
              <w:left w:val="nil"/>
              <w:bottom w:val="nil"/>
              <w:right w:val="nil"/>
            </w:tcBorders>
          </w:tcPr>
          <w:p w:rsidR="00860C1F" w:rsidRPr="00047754" w:rsidRDefault="00860C1F" w:rsidP="00860C1F">
            <w:pPr>
              <w:pStyle w:val="Tablelegend"/>
              <w:rPr>
                <w:lang w:val="en-US"/>
              </w:rPr>
            </w:pPr>
            <w:r w:rsidRPr="00047754">
              <w:rPr>
                <w:lang w:val="en-US"/>
              </w:rPr>
              <w:t>N/A: Not applicable.</w:t>
            </w:r>
          </w:p>
          <w:p w:rsidR="00D176FD" w:rsidRPr="00047754" w:rsidRDefault="00D176FD" w:rsidP="00860C1F">
            <w:pPr>
              <w:pStyle w:val="Tablelegend"/>
              <w:rPr>
                <w:lang w:val="en-US"/>
              </w:rPr>
            </w:pPr>
            <w:r w:rsidRPr="00047754">
              <w:rPr>
                <w:szCs w:val="22"/>
                <w:vertAlign w:val="superscript"/>
                <w:lang w:val="en-US"/>
              </w:rPr>
              <w:t>(1)</w:t>
            </w:r>
            <w:r w:rsidRPr="00047754">
              <w:rPr>
                <w:sz w:val="18"/>
                <w:szCs w:val="18"/>
                <w:lang w:val="en-US"/>
              </w:rPr>
              <w:tab/>
            </w:r>
            <w:r w:rsidRPr="00047754">
              <w:rPr>
                <w:lang w:val="en-US"/>
              </w:rPr>
              <w:t>Systems with omnidirectional antennas are not vulnerable to losing antenna lock on the signal due to interference or signal fading.</w:t>
            </w:r>
          </w:p>
          <w:p w:rsidR="00D176FD" w:rsidRPr="00047754" w:rsidRDefault="00D176FD" w:rsidP="00860C1F">
            <w:pPr>
              <w:pStyle w:val="Tablelegend"/>
              <w:rPr>
                <w:sz w:val="18"/>
                <w:szCs w:val="18"/>
                <w:lang w:val="en-US"/>
              </w:rPr>
            </w:pPr>
            <w:r w:rsidRPr="00047754">
              <w:rPr>
                <w:szCs w:val="22"/>
                <w:vertAlign w:val="superscript"/>
                <w:lang w:val="en-US"/>
              </w:rPr>
              <w:t>(2)</w:t>
            </w:r>
            <w:r w:rsidRPr="00047754">
              <w:rPr>
                <w:sz w:val="18"/>
                <w:szCs w:val="18"/>
                <w:vertAlign w:val="superscript"/>
                <w:lang w:val="en-US"/>
              </w:rPr>
              <w:tab/>
            </w:r>
            <w:r w:rsidRPr="00047754">
              <w:rPr>
                <w:lang w:val="en-US"/>
              </w:rPr>
              <w:t>This percentage of time shall not be exceeded on a per-flight basis.</w:t>
            </w:r>
          </w:p>
        </w:tc>
      </w:tr>
    </w:tbl>
    <w:p w:rsidR="00860C1F" w:rsidRDefault="00860C1F" w:rsidP="00860C1F">
      <w:pPr>
        <w:pStyle w:val="Tablefin"/>
      </w:pPr>
    </w:p>
    <w:p w:rsidR="00F54315" w:rsidRDefault="00F54315" w:rsidP="00F54315">
      <w:pPr>
        <w:rPr>
          <w:lang w:val="en-GB"/>
        </w:rPr>
      </w:pPr>
    </w:p>
    <w:p w:rsidR="00F54315" w:rsidRPr="00F54315" w:rsidRDefault="00F54315" w:rsidP="00F54315">
      <w:pPr>
        <w:rPr>
          <w:lang w:val="en-GB"/>
        </w:rPr>
      </w:pPr>
    </w:p>
    <w:bookmarkEnd w:id="9"/>
    <w:p w:rsidR="00D176FD" w:rsidRPr="00047754" w:rsidRDefault="00860C1F" w:rsidP="00D176FD">
      <w:pPr>
        <w:pStyle w:val="TableNo"/>
        <w:rPr>
          <w:snapToGrid w:val="0"/>
          <w:lang w:val="en-US"/>
        </w:rPr>
      </w:pPr>
      <w:r w:rsidRPr="00047754">
        <w:rPr>
          <w:snapToGrid w:val="0"/>
          <w:lang w:val="en-US"/>
        </w:rPr>
        <w:t>TABLE</w:t>
      </w:r>
      <w:r w:rsidR="00D176FD" w:rsidRPr="00047754">
        <w:rPr>
          <w:snapToGrid w:val="0"/>
          <w:lang w:val="en-US"/>
        </w:rPr>
        <w:t xml:space="preserve"> 3</w:t>
      </w:r>
    </w:p>
    <w:p w:rsidR="00D176FD" w:rsidRPr="00047754" w:rsidRDefault="00D176FD" w:rsidP="00D176FD">
      <w:pPr>
        <w:pStyle w:val="Tabletitle"/>
        <w:rPr>
          <w:snapToGrid w:val="0"/>
          <w:lang w:val="en-US"/>
        </w:rPr>
      </w:pPr>
      <w:r w:rsidRPr="00047754">
        <w:rPr>
          <w:snapToGrid w:val="0"/>
          <w:lang w:val="en-US"/>
        </w:rPr>
        <w:t>Terrestrial and space-to-Earth long-term interference criteria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3469"/>
        <w:gridCol w:w="812"/>
        <w:gridCol w:w="2273"/>
        <w:gridCol w:w="812"/>
        <w:gridCol w:w="2273"/>
      </w:tblGrid>
      <w:tr w:rsidR="00D176FD" w:rsidRPr="00860C1F" w:rsidTr="002B0E83">
        <w:trPr>
          <w:trHeight w:val="327"/>
          <w:jc w:val="center"/>
        </w:trPr>
        <w:tc>
          <w:tcPr>
            <w:tcW w:w="3686" w:type="dxa"/>
          </w:tcPr>
          <w:p w:rsidR="00D176FD" w:rsidRPr="00860C1F" w:rsidRDefault="00D176FD" w:rsidP="00FD03E1">
            <w:pPr>
              <w:pStyle w:val="Tablehead"/>
              <w:rPr>
                <w:sz w:val="20"/>
              </w:rPr>
            </w:pPr>
            <w:r w:rsidRPr="00860C1F">
              <w:rPr>
                <w:sz w:val="20"/>
              </w:rPr>
              <w:t>System type</w:t>
            </w:r>
          </w:p>
        </w:tc>
        <w:tc>
          <w:tcPr>
            <w:tcW w:w="851" w:type="dxa"/>
          </w:tcPr>
          <w:p w:rsidR="00D176FD" w:rsidRPr="00860C1F" w:rsidRDefault="00D176FD" w:rsidP="00FD03E1">
            <w:pPr>
              <w:pStyle w:val="Tablehead"/>
              <w:rPr>
                <w:sz w:val="20"/>
              </w:rPr>
            </w:pPr>
            <w:r w:rsidRPr="00860C1F">
              <w:rPr>
                <w:i/>
                <w:iCs/>
                <w:sz w:val="20"/>
              </w:rPr>
              <w:t>a</w:t>
            </w:r>
            <w:r w:rsidRPr="00860C1F">
              <w:rPr>
                <w:i/>
                <w:iCs/>
                <w:position w:val="-4"/>
                <w:sz w:val="20"/>
                <w:szCs w:val="14"/>
              </w:rPr>
              <w:t>s</w:t>
            </w:r>
            <w:r w:rsidRPr="00860C1F">
              <w:rPr>
                <w:sz w:val="20"/>
              </w:rPr>
              <w:br/>
              <w:t>(%)</w:t>
            </w:r>
          </w:p>
        </w:tc>
        <w:tc>
          <w:tcPr>
            <w:tcW w:w="2410" w:type="dxa"/>
          </w:tcPr>
          <w:p w:rsidR="00D176FD" w:rsidRPr="00860C1F" w:rsidRDefault="00D176FD" w:rsidP="00FD03E1">
            <w:pPr>
              <w:pStyle w:val="Tablehead"/>
              <w:rPr>
                <w:sz w:val="20"/>
              </w:rPr>
            </w:pPr>
            <w:r w:rsidRPr="00860C1F">
              <w:rPr>
                <w:i/>
                <w:iCs/>
                <w:sz w:val="20"/>
              </w:rPr>
              <w:t>i</w:t>
            </w:r>
            <w:r w:rsidRPr="00860C1F">
              <w:rPr>
                <w:i/>
                <w:iCs/>
                <w:position w:val="-4"/>
                <w:sz w:val="20"/>
                <w:szCs w:val="14"/>
              </w:rPr>
              <w:t>s</w:t>
            </w:r>
            <w:r w:rsidRPr="00860C1F">
              <w:rPr>
                <w:position w:val="-4"/>
                <w:sz w:val="20"/>
                <w:szCs w:val="14"/>
              </w:rPr>
              <w:t>(20)</w:t>
            </w:r>
          </w:p>
        </w:tc>
        <w:tc>
          <w:tcPr>
            <w:tcW w:w="851" w:type="dxa"/>
          </w:tcPr>
          <w:p w:rsidR="00D176FD" w:rsidRPr="00860C1F" w:rsidRDefault="00D176FD" w:rsidP="00FD03E1">
            <w:pPr>
              <w:pStyle w:val="Tablehead"/>
              <w:rPr>
                <w:sz w:val="20"/>
              </w:rPr>
            </w:pPr>
            <w:r w:rsidRPr="00860C1F">
              <w:rPr>
                <w:i/>
                <w:iCs/>
                <w:sz w:val="20"/>
              </w:rPr>
              <w:t>a</w:t>
            </w:r>
            <w:r w:rsidRPr="00860C1F">
              <w:rPr>
                <w:i/>
                <w:iCs/>
                <w:position w:val="-4"/>
                <w:sz w:val="20"/>
                <w:szCs w:val="14"/>
              </w:rPr>
              <w:t>t</w:t>
            </w:r>
            <w:r w:rsidRPr="00860C1F">
              <w:rPr>
                <w:sz w:val="20"/>
              </w:rPr>
              <w:br/>
              <w:t>(%)</w:t>
            </w:r>
          </w:p>
        </w:tc>
        <w:tc>
          <w:tcPr>
            <w:tcW w:w="2410" w:type="dxa"/>
          </w:tcPr>
          <w:p w:rsidR="00D176FD" w:rsidRPr="00860C1F" w:rsidRDefault="00D176FD" w:rsidP="00FD03E1">
            <w:pPr>
              <w:pStyle w:val="Tablehead"/>
              <w:rPr>
                <w:sz w:val="20"/>
              </w:rPr>
            </w:pPr>
            <w:r w:rsidRPr="00860C1F">
              <w:rPr>
                <w:i/>
                <w:iCs/>
                <w:sz w:val="20"/>
              </w:rPr>
              <w:t>i</w:t>
            </w:r>
            <w:r w:rsidRPr="00860C1F">
              <w:rPr>
                <w:i/>
                <w:iCs/>
                <w:position w:val="-4"/>
                <w:sz w:val="20"/>
                <w:szCs w:val="14"/>
              </w:rPr>
              <w:t>t</w:t>
            </w:r>
            <w:r w:rsidRPr="00860C1F">
              <w:rPr>
                <w:position w:val="-4"/>
                <w:sz w:val="20"/>
                <w:szCs w:val="14"/>
              </w:rPr>
              <w:t>(20)</w:t>
            </w:r>
          </w:p>
        </w:tc>
      </w:tr>
      <w:tr w:rsidR="00D176FD" w:rsidRPr="00860C1F" w:rsidTr="002B0E83">
        <w:trPr>
          <w:jc w:val="center"/>
        </w:trPr>
        <w:tc>
          <w:tcPr>
            <w:tcW w:w="3686" w:type="dxa"/>
          </w:tcPr>
          <w:p w:rsidR="00D176FD" w:rsidRPr="00860C1F" w:rsidRDefault="00D176FD" w:rsidP="00860C1F">
            <w:pPr>
              <w:pStyle w:val="Tabletext"/>
              <w:jc w:val="left"/>
              <w:rPr>
                <w:sz w:val="20"/>
              </w:rPr>
            </w:pPr>
            <w:r w:rsidRPr="00860C1F">
              <w:rPr>
                <w:sz w:val="20"/>
              </w:rPr>
              <w:t>1</w:t>
            </w:r>
            <w:r w:rsidRPr="00860C1F">
              <w:rPr>
                <w:sz w:val="20"/>
                <w:szCs w:val="12"/>
              </w:rPr>
              <w:t> </w:t>
            </w:r>
            <w:r w:rsidRPr="00860C1F">
              <w:rPr>
                <w:sz w:val="20"/>
              </w:rPr>
              <w:t>680 MHz RDF</w:t>
            </w:r>
          </w:p>
        </w:tc>
        <w:tc>
          <w:tcPr>
            <w:tcW w:w="851" w:type="dxa"/>
          </w:tcPr>
          <w:p w:rsidR="00D176FD" w:rsidRPr="00860C1F" w:rsidRDefault="00D176FD" w:rsidP="00FD03E1">
            <w:pPr>
              <w:pStyle w:val="Tabletext"/>
              <w:jc w:val="center"/>
              <w:rPr>
                <w:sz w:val="20"/>
              </w:rPr>
            </w:pPr>
            <w:r w:rsidRPr="00860C1F">
              <w:rPr>
                <w:sz w:val="20"/>
              </w:rPr>
              <w:t>40</w:t>
            </w:r>
          </w:p>
        </w:tc>
        <w:tc>
          <w:tcPr>
            <w:tcW w:w="2410" w:type="dxa"/>
          </w:tcPr>
          <w:p w:rsidR="00D176FD" w:rsidRPr="00860C1F" w:rsidRDefault="00047754" w:rsidP="00860C1F">
            <w:pPr>
              <w:pStyle w:val="Tabletext"/>
              <w:rPr>
                <w:sz w:val="20"/>
              </w:rPr>
            </w:pPr>
            <w:r>
              <w:rPr>
                <w:sz w:val="20"/>
              </w:rPr>
              <w:t>–</w:t>
            </w:r>
            <w:bookmarkStart w:id="10" w:name="_GoBack"/>
            <w:bookmarkEnd w:id="10"/>
            <w:r w:rsidR="00D176FD" w:rsidRPr="00860C1F">
              <w:rPr>
                <w:sz w:val="20"/>
              </w:rPr>
              <w:t>157.4 dB(W/1.3 MHz)</w:t>
            </w:r>
          </w:p>
        </w:tc>
        <w:tc>
          <w:tcPr>
            <w:tcW w:w="851" w:type="dxa"/>
          </w:tcPr>
          <w:p w:rsidR="00D176FD" w:rsidRPr="00860C1F" w:rsidRDefault="00D176FD" w:rsidP="00FD03E1">
            <w:pPr>
              <w:pStyle w:val="Tabletext"/>
              <w:jc w:val="center"/>
              <w:rPr>
                <w:sz w:val="20"/>
              </w:rPr>
            </w:pPr>
            <w:r w:rsidRPr="00860C1F">
              <w:rPr>
                <w:sz w:val="20"/>
              </w:rPr>
              <w:t>60</w:t>
            </w:r>
          </w:p>
        </w:tc>
        <w:tc>
          <w:tcPr>
            <w:tcW w:w="2410" w:type="dxa"/>
          </w:tcPr>
          <w:p w:rsidR="00D176FD" w:rsidRPr="00860C1F" w:rsidRDefault="00D176FD" w:rsidP="00FD03E1">
            <w:pPr>
              <w:pStyle w:val="Tabletext"/>
              <w:rPr>
                <w:sz w:val="20"/>
              </w:rPr>
            </w:pPr>
            <w:r w:rsidRPr="00860C1F">
              <w:rPr>
                <w:sz w:val="20"/>
              </w:rPr>
              <w:t>−159.2 dB(W/1.3 MHz)</w:t>
            </w:r>
          </w:p>
        </w:tc>
      </w:tr>
      <w:tr w:rsidR="00D176FD" w:rsidRPr="00860C1F" w:rsidTr="002B0E83">
        <w:trPr>
          <w:jc w:val="center"/>
        </w:trPr>
        <w:tc>
          <w:tcPr>
            <w:tcW w:w="3686" w:type="dxa"/>
          </w:tcPr>
          <w:p w:rsidR="00D176FD" w:rsidRPr="00860C1F" w:rsidRDefault="00D176FD" w:rsidP="00860C1F">
            <w:pPr>
              <w:pStyle w:val="Tabletext"/>
              <w:jc w:val="left"/>
              <w:rPr>
                <w:sz w:val="20"/>
              </w:rPr>
            </w:pPr>
            <w:r w:rsidRPr="00860C1F">
              <w:rPr>
                <w:sz w:val="20"/>
              </w:rPr>
              <w:t>GPS radiosonde</w:t>
            </w:r>
            <w:r w:rsidR="00860C1F">
              <w:rPr>
                <w:sz w:val="20"/>
              </w:rPr>
              <w:t xml:space="preserve"> </w:t>
            </w:r>
            <w:r w:rsidRPr="00860C1F">
              <w:rPr>
                <w:sz w:val="20"/>
              </w:rPr>
              <w:t>(1 675-1 683 MHz)</w:t>
            </w:r>
          </w:p>
        </w:tc>
        <w:tc>
          <w:tcPr>
            <w:tcW w:w="851" w:type="dxa"/>
            <w:vAlign w:val="center"/>
          </w:tcPr>
          <w:p w:rsidR="00D176FD" w:rsidRPr="00860C1F" w:rsidRDefault="00D176FD" w:rsidP="00FD03E1">
            <w:pPr>
              <w:pStyle w:val="Tabletext"/>
              <w:jc w:val="center"/>
              <w:rPr>
                <w:sz w:val="20"/>
              </w:rPr>
            </w:pPr>
            <w:r w:rsidRPr="00860C1F">
              <w:rPr>
                <w:sz w:val="20"/>
              </w:rPr>
              <w:t>40</w:t>
            </w:r>
          </w:p>
        </w:tc>
        <w:tc>
          <w:tcPr>
            <w:tcW w:w="2410" w:type="dxa"/>
            <w:vAlign w:val="center"/>
          </w:tcPr>
          <w:p w:rsidR="00D176FD" w:rsidRPr="00860C1F" w:rsidRDefault="00860C1F" w:rsidP="00FD03E1">
            <w:pPr>
              <w:pStyle w:val="Tabletext"/>
              <w:rPr>
                <w:sz w:val="20"/>
              </w:rPr>
            </w:pPr>
            <w:r>
              <w:rPr>
                <w:sz w:val="20"/>
              </w:rPr>
              <w:t>–</w:t>
            </w:r>
            <w:r w:rsidR="00D176FD" w:rsidRPr="00860C1F">
              <w:rPr>
                <w:sz w:val="20"/>
              </w:rPr>
              <w:t>154.8 dB(W/150 kHz)</w:t>
            </w:r>
          </w:p>
        </w:tc>
        <w:tc>
          <w:tcPr>
            <w:tcW w:w="851" w:type="dxa"/>
            <w:vAlign w:val="center"/>
          </w:tcPr>
          <w:p w:rsidR="00D176FD" w:rsidRPr="00860C1F" w:rsidRDefault="00D176FD" w:rsidP="00FD03E1">
            <w:pPr>
              <w:pStyle w:val="Tabletext"/>
              <w:jc w:val="center"/>
              <w:rPr>
                <w:sz w:val="20"/>
              </w:rPr>
            </w:pPr>
            <w:r w:rsidRPr="00860C1F">
              <w:rPr>
                <w:sz w:val="20"/>
              </w:rPr>
              <w:t>60</w:t>
            </w:r>
          </w:p>
        </w:tc>
        <w:tc>
          <w:tcPr>
            <w:tcW w:w="2410" w:type="dxa"/>
            <w:vAlign w:val="center"/>
          </w:tcPr>
          <w:p w:rsidR="00D176FD" w:rsidRPr="00860C1F" w:rsidRDefault="00D176FD" w:rsidP="00FD03E1">
            <w:pPr>
              <w:pStyle w:val="Tabletext"/>
              <w:rPr>
                <w:sz w:val="20"/>
              </w:rPr>
            </w:pPr>
            <w:r w:rsidRPr="00860C1F">
              <w:rPr>
                <w:sz w:val="20"/>
              </w:rPr>
              <w:t>−156.6 dB(W/150 kHz)</w:t>
            </w:r>
          </w:p>
        </w:tc>
      </w:tr>
      <w:tr w:rsidR="00D176FD" w:rsidRPr="00860C1F" w:rsidTr="002B0E83">
        <w:trPr>
          <w:jc w:val="center"/>
        </w:trPr>
        <w:tc>
          <w:tcPr>
            <w:tcW w:w="3686" w:type="dxa"/>
          </w:tcPr>
          <w:p w:rsidR="00D176FD" w:rsidRPr="00047754" w:rsidRDefault="00D176FD" w:rsidP="00860C1F">
            <w:pPr>
              <w:pStyle w:val="Tabletext"/>
              <w:jc w:val="left"/>
              <w:rPr>
                <w:sz w:val="20"/>
                <w:lang w:val="en-US"/>
              </w:rPr>
            </w:pPr>
            <w:r w:rsidRPr="00047754">
              <w:rPr>
                <w:sz w:val="20"/>
                <w:lang w:val="en-US"/>
              </w:rPr>
              <w:t>403 MHz NAVAID with directional antenna</w:t>
            </w:r>
          </w:p>
        </w:tc>
        <w:tc>
          <w:tcPr>
            <w:tcW w:w="851" w:type="dxa"/>
            <w:vAlign w:val="center"/>
          </w:tcPr>
          <w:p w:rsidR="00D176FD" w:rsidRPr="00860C1F" w:rsidRDefault="00D176FD" w:rsidP="00FD03E1">
            <w:pPr>
              <w:pStyle w:val="Tabletext"/>
              <w:jc w:val="center"/>
              <w:rPr>
                <w:sz w:val="20"/>
              </w:rPr>
            </w:pPr>
            <w:r w:rsidRPr="00860C1F">
              <w:rPr>
                <w:sz w:val="20"/>
              </w:rPr>
              <w:t>40</w:t>
            </w:r>
          </w:p>
        </w:tc>
        <w:tc>
          <w:tcPr>
            <w:tcW w:w="2410" w:type="dxa"/>
            <w:vAlign w:val="center"/>
          </w:tcPr>
          <w:p w:rsidR="00D176FD" w:rsidRPr="00860C1F" w:rsidRDefault="00860C1F" w:rsidP="00860C1F">
            <w:pPr>
              <w:pStyle w:val="Tabletext"/>
              <w:rPr>
                <w:sz w:val="20"/>
              </w:rPr>
            </w:pPr>
            <w:r>
              <w:rPr>
                <w:sz w:val="20"/>
              </w:rPr>
              <w:t>–</w:t>
            </w:r>
            <w:r w:rsidR="00D176FD" w:rsidRPr="00860C1F">
              <w:rPr>
                <w:sz w:val="20"/>
              </w:rPr>
              <w:t>158.3 dB(W/300 kHz)</w:t>
            </w:r>
          </w:p>
        </w:tc>
        <w:tc>
          <w:tcPr>
            <w:tcW w:w="851" w:type="dxa"/>
            <w:vAlign w:val="center"/>
          </w:tcPr>
          <w:p w:rsidR="00D176FD" w:rsidRPr="00860C1F" w:rsidRDefault="00D176FD" w:rsidP="00FD03E1">
            <w:pPr>
              <w:pStyle w:val="Tabletext"/>
              <w:jc w:val="center"/>
              <w:rPr>
                <w:sz w:val="20"/>
              </w:rPr>
            </w:pPr>
            <w:r w:rsidRPr="00860C1F">
              <w:rPr>
                <w:sz w:val="20"/>
              </w:rPr>
              <w:t>60</w:t>
            </w:r>
          </w:p>
        </w:tc>
        <w:tc>
          <w:tcPr>
            <w:tcW w:w="2410" w:type="dxa"/>
            <w:vAlign w:val="center"/>
          </w:tcPr>
          <w:p w:rsidR="00D176FD" w:rsidRPr="00860C1F" w:rsidRDefault="00D176FD" w:rsidP="00860C1F">
            <w:pPr>
              <w:pStyle w:val="Tabletext"/>
              <w:rPr>
                <w:sz w:val="20"/>
              </w:rPr>
            </w:pPr>
            <w:r w:rsidRPr="00860C1F">
              <w:rPr>
                <w:sz w:val="20"/>
              </w:rPr>
              <w:t>−160.1 dB(W/300 kHz)</w:t>
            </w:r>
          </w:p>
        </w:tc>
      </w:tr>
      <w:tr w:rsidR="00D176FD" w:rsidRPr="00860C1F" w:rsidTr="002B0E83">
        <w:trPr>
          <w:jc w:val="center"/>
        </w:trPr>
        <w:tc>
          <w:tcPr>
            <w:tcW w:w="3686" w:type="dxa"/>
          </w:tcPr>
          <w:p w:rsidR="00D176FD" w:rsidRPr="00047754" w:rsidRDefault="00D176FD" w:rsidP="00860C1F">
            <w:pPr>
              <w:pStyle w:val="Tabletext"/>
              <w:jc w:val="left"/>
              <w:rPr>
                <w:sz w:val="20"/>
                <w:lang w:val="en-US"/>
              </w:rPr>
            </w:pPr>
            <w:r w:rsidRPr="00047754">
              <w:rPr>
                <w:sz w:val="20"/>
                <w:lang w:val="en-US"/>
              </w:rPr>
              <w:t>403 MHz NAVAID with omnidirectional antenna</w:t>
            </w:r>
          </w:p>
        </w:tc>
        <w:tc>
          <w:tcPr>
            <w:tcW w:w="851" w:type="dxa"/>
            <w:vAlign w:val="center"/>
          </w:tcPr>
          <w:p w:rsidR="00D176FD" w:rsidRPr="00860C1F" w:rsidRDefault="00D176FD" w:rsidP="00FD03E1">
            <w:pPr>
              <w:pStyle w:val="Tabletext"/>
              <w:jc w:val="center"/>
              <w:rPr>
                <w:sz w:val="20"/>
              </w:rPr>
            </w:pPr>
            <w:r w:rsidRPr="00860C1F">
              <w:rPr>
                <w:sz w:val="20"/>
              </w:rPr>
              <w:t>40</w:t>
            </w:r>
          </w:p>
        </w:tc>
        <w:tc>
          <w:tcPr>
            <w:tcW w:w="2410" w:type="dxa"/>
            <w:vAlign w:val="center"/>
          </w:tcPr>
          <w:p w:rsidR="00D176FD" w:rsidRPr="00860C1F" w:rsidRDefault="00860C1F" w:rsidP="00860C1F">
            <w:pPr>
              <w:pStyle w:val="Tabletext"/>
              <w:rPr>
                <w:sz w:val="20"/>
              </w:rPr>
            </w:pPr>
            <w:r>
              <w:rPr>
                <w:sz w:val="20"/>
              </w:rPr>
              <w:t>–</w:t>
            </w:r>
            <w:r w:rsidR="00D176FD" w:rsidRPr="00860C1F">
              <w:rPr>
                <w:sz w:val="20"/>
              </w:rPr>
              <w:t>158.3 dB(W/300 kHz)</w:t>
            </w:r>
          </w:p>
        </w:tc>
        <w:tc>
          <w:tcPr>
            <w:tcW w:w="851" w:type="dxa"/>
            <w:vAlign w:val="center"/>
          </w:tcPr>
          <w:p w:rsidR="00D176FD" w:rsidRPr="00860C1F" w:rsidRDefault="00D176FD" w:rsidP="00FD03E1">
            <w:pPr>
              <w:pStyle w:val="Tabletext"/>
              <w:jc w:val="center"/>
              <w:rPr>
                <w:sz w:val="20"/>
              </w:rPr>
            </w:pPr>
            <w:r w:rsidRPr="00860C1F">
              <w:rPr>
                <w:sz w:val="20"/>
              </w:rPr>
              <w:t>60</w:t>
            </w:r>
          </w:p>
        </w:tc>
        <w:tc>
          <w:tcPr>
            <w:tcW w:w="2410" w:type="dxa"/>
            <w:vAlign w:val="center"/>
          </w:tcPr>
          <w:p w:rsidR="00D176FD" w:rsidRPr="00860C1F" w:rsidRDefault="00D176FD" w:rsidP="00FD03E1">
            <w:pPr>
              <w:pStyle w:val="Tabletext"/>
              <w:rPr>
                <w:sz w:val="20"/>
              </w:rPr>
            </w:pPr>
            <w:r w:rsidRPr="00860C1F">
              <w:rPr>
                <w:sz w:val="20"/>
              </w:rPr>
              <w:t>−160.1 dB(W/300 kHz)</w:t>
            </w:r>
          </w:p>
        </w:tc>
      </w:tr>
      <w:tr w:rsidR="00D176FD" w:rsidRPr="00860C1F" w:rsidTr="002B0E83">
        <w:trPr>
          <w:jc w:val="center"/>
        </w:trPr>
        <w:tc>
          <w:tcPr>
            <w:tcW w:w="3686" w:type="dxa"/>
          </w:tcPr>
          <w:p w:rsidR="00D176FD" w:rsidRPr="00860C1F" w:rsidRDefault="00D176FD" w:rsidP="00860C1F">
            <w:pPr>
              <w:pStyle w:val="Tabletext"/>
              <w:jc w:val="left"/>
              <w:rPr>
                <w:sz w:val="20"/>
              </w:rPr>
            </w:pPr>
            <w:r w:rsidRPr="00860C1F">
              <w:rPr>
                <w:sz w:val="20"/>
              </w:rPr>
              <w:t>403 MHz dropsonde</w:t>
            </w:r>
          </w:p>
        </w:tc>
        <w:tc>
          <w:tcPr>
            <w:tcW w:w="851" w:type="dxa"/>
          </w:tcPr>
          <w:p w:rsidR="00D176FD" w:rsidRPr="00860C1F" w:rsidRDefault="00D176FD" w:rsidP="00FD03E1">
            <w:pPr>
              <w:pStyle w:val="Tabletext"/>
              <w:jc w:val="center"/>
              <w:rPr>
                <w:sz w:val="20"/>
              </w:rPr>
            </w:pPr>
            <w:r w:rsidRPr="00860C1F">
              <w:rPr>
                <w:sz w:val="20"/>
              </w:rPr>
              <w:t>40</w:t>
            </w:r>
          </w:p>
        </w:tc>
        <w:tc>
          <w:tcPr>
            <w:tcW w:w="2410" w:type="dxa"/>
          </w:tcPr>
          <w:p w:rsidR="00D176FD" w:rsidRPr="00860C1F" w:rsidRDefault="00860C1F" w:rsidP="00860C1F">
            <w:pPr>
              <w:pStyle w:val="Tabletext"/>
              <w:rPr>
                <w:sz w:val="20"/>
              </w:rPr>
            </w:pPr>
            <w:r>
              <w:rPr>
                <w:sz w:val="20"/>
              </w:rPr>
              <w:t>–</w:t>
            </w:r>
            <w:r w:rsidR="00D176FD" w:rsidRPr="00860C1F">
              <w:rPr>
                <w:sz w:val="20"/>
              </w:rPr>
              <w:t>171.1 dB(W/20 kHz)</w:t>
            </w:r>
          </w:p>
        </w:tc>
        <w:tc>
          <w:tcPr>
            <w:tcW w:w="851" w:type="dxa"/>
          </w:tcPr>
          <w:p w:rsidR="00D176FD" w:rsidRPr="00860C1F" w:rsidRDefault="00D176FD" w:rsidP="00FD03E1">
            <w:pPr>
              <w:pStyle w:val="Tabletext"/>
              <w:jc w:val="center"/>
              <w:rPr>
                <w:sz w:val="20"/>
              </w:rPr>
            </w:pPr>
            <w:r w:rsidRPr="00860C1F">
              <w:rPr>
                <w:sz w:val="20"/>
              </w:rPr>
              <w:t>60</w:t>
            </w:r>
          </w:p>
        </w:tc>
        <w:tc>
          <w:tcPr>
            <w:tcW w:w="2410" w:type="dxa"/>
          </w:tcPr>
          <w:p w:rsidR="00D176FD" w:rsidRPr="00860C1F" w:rsidRDefault="00D176FD" w:rsidP="00860C1F">
            <w:pPr>
              <w:pStyle w:val="Tabletext"/>
              <w:rPr>
                <w:sz w:val="20"/>
              </w:rPr>
            </w:pPr>
            <w:r w:rsidRPr="00860C1F">
              <w:rPr>
                <w:sz w:val="20"/>
              </w:rPr>
              <w:t>−172.9 dB(W/20 kHz)</w:t>
            </w:r>
          </w:p>
        </w:tc>
      </w:tr>
      <w:tr w:rsidR="00D176FD" w:rsidRPr="00860C1F" w:rsidTr="002B0E83">
        <w:trPr>
          <w:jc w:val="center"/>
        </w:trPr>
        <w:tc>
          <w:tcPr>
            <w:tcW w:w="3686" w:type="dxa"/>
          </w:tcPr>
          <w:p w:rsidR="00D176FD" w:rsidRPr="00860C1F" w:rsidRDefault="00D176FD" w:rsidP="00860C1F">
            <w:pPr>
              <w:pStyle w:val="Tabletext"/>
              <w:jc w:val="left"/>
              <w:rPr>
                <w:sz w:val="20"/>
              </w:rPr>
            </w:pPr>
            <w:r w:rsidRPr="00860C1F">
              <w:rPr>
                <w:sz w:val="20"/>
              </w:rPr>
              <w:t>403 MHz rocketsonde</w:t>
            </w:r>
          </w:p>
        </w:tc>
        <w:tc>
          <w:tcPr>
            <w:tcW w:w="851" w:type="dxa"/>
          </w:tcPr>
          <w:p w:rsidR="00D176FD" w:rsidRPr="00860C1F" w:rsidRDefault="00D176FD" w:rsidP="00FD03E1">
            <w:pPr>
              <w:pStyle w:val="Tabletext"/>
              <w:jc w:val="center"/>
              <w:rPr>
                <w:sz w:val="20"/>
              </w:rPr>
            </w:pPr>
            <w:r w:rsidRPr="00860C1F">
              <w:rPr>
                <w:sz w:val="20"/>
              </w:rPr>
              <w:t>40</w:t>
            </w:r>
          </w:p>
        </w:tc>
        <w:tc>
          <w:tcPr>
            <w:tcW w:w="2410" w:type="dxa"/>
          </w:tcPr>
          <w:p w:rsidR="00D176FD" w:rsidRPr="00860C1F" w:rsidRDefault="00860C1F" w:rsidP="00FD03E1">
            <w:pPr>
              <w:pStyle w:val="Tabletext"/>
              <w:rPr>
                <w:sz w:val="20"/>
              </w:rPr>
            </w:pPr>
            <w:r>
              <w:rPr>
                <w:sz w:val="20"/>
              </w:rPr>
              <w:t>–</w:t>
            </w:r>
            <w:r w:rsidR="00D176FD" w:rsidRPr="00860C1F">
              <w:rPr>
                <w:sz w:val="20"/>
              </w:rPr>
              <w:t>137.8 dB(W/3.0 MHz)</w:t>
            </w:r>
          </w:p>
        </w:tc>
        <w:tc>
          <w:tcPr>
            <w:tcW w:w="851" w:type="dxa"/>
          </w:tcPr>
          <w:p w:rsidR="00D176FD" w:rsidRPr="00860C1F" w:rsidRDefault="00D176FD" w:rsidP="00FD03E1">
            <w:pPr>
              <w:pStyle w:val="Tabletext"/>
              <w:jc w:val="center"/>
              <w:rPr>
                <w:sz w:val="20"/>
              </w:rPr>
            </w:pPr>
            <w:r w:rsidRPr="00860C1F">
              <w:rPr>
                <w:sz w:val="20"/>
              </w:rPr>
              <w:t>60</w:t>
            </w:r>
          </w:p>
        </w:tc>
        <w:tc>
          <w:tcPr>
            <w:tcW w:w="2410" w:type="dxa"/>
          </w:tcPr>
          <w:p w:rsidR="00D176FD" w:rsidRPr="00860C1F" w:rsidRDefault="00D176FD" w:rsidP="00860C1F">
            <w:pPr>
              <w:pStyle w:val="Tabletext"/>
              <w:rPr>
                <w:sz w:val="20"/>
              </w:rPr>
            </w:pPr>
            <w:r w:rsidRPr="00860C1F">
              <w:rPr>
                <w:sz w:val="20"/>
              </w:rPr>
              <w:t>−136.9 dB(W/3.0 MHz)</w:t>
            </w:r>
          </w:p>
        </w:tc>
      </w:tr>
    </w:tbl>
    <w:p w:rsidR="002B0E83" w:rsidRDefault="002B0E83" w:rsidP="002B0E83">
      <w:pPr>
        <w:pStyle w:val="Tablefin"/>
      </w:pPr>
    </w:p>
    <w:p w:rsidR="00D176FD" w:rsidRPr="00047754" w:rsidRDefault="00D176FD" w:rsidP="00F54315">
      <w:pPr>
        <w:keepLines/>
        <w:rPr>
          <w:lang w:val="en-US"/>
        </w:rPr>
      </w:pPr>
      <w:r w:rsidRPr="00047754">
        <w:rPr>
          <w:lang w:val="en-US"/>
        </w:rPr>
        <w:lastRenderedPageBreak/>
        <w:t>The short-term interference criteria associated with loss of lock and loss of data must then be calculated using equations (2a) and (2b) of Annex 1. Since short-term interference from the two services is mutually uncorrelated (short-term interference occurs for only very small percentages of time, and the probability of short-term interference from the two services occurring simultaneously is negligible), the short-term criteria are divided on a time basis. Since the probability of long-term levels being present during periods of short-term interference is high, the long-term level must be subtracted from the short-term level in this calculation. For the 403 MHz and 1</w:t>
      </w:r>
      <w:r w:rsidRPr="00047754">
        <w:rPr>
          <w:sz w:val="12"/>
          <w:szCs w:val="12"/>
          <w:lang w:val="en-US"/>
        </w:rPr>
        <w:t> </w:t>
      </w:r>
      <w:r w:rsidRPr="00047754">
        <w:rPr>
          <w:lang w:val="en-US"/>
        </w:rPr>
        <w:t>680 MHz bands, the time will be subdivided such that 40% is apportioned to space-to-Earth paths, and 60% will be apportioned to terrestrial paths. The results of the short-term subdivision are presented in Table 4.</w:t>
      </w:r>
    </w:p>
    <w:p w:rsidR="00D176FD" w:rsidRPr="00047754" w:rsidRDefault="002D7BB4" w:rsidP="00D176FD">
      <w:pPr>
        <w:pStyle w:val="TableNo"/>
        <w:rPr>
          <w:lang w:val="en-US"/>
        </w:rPr>
      </w:pPr>
      <w:r w:rsidRPr="00047754">
        <w:rPr>
          <w:lang w:val="en-US"/>
        </w:rPr>
        <w:t>TABLE</w:t>
      </w:r>
      <w:r w:rsidR="00D176FD" w:rsidRPr="00047754">
        <w:rPr>
          <w:lang w:val="en-US"/>
        </w:rPr>
        <w:t xml:space="preserve"> 4</w:t>
      </w:r>
    </w:p>
    <w:p w:rsidR="00D176FD" w:rsidRPr="00047754" w:rsidRDefault="00D176FD" w:rsidP="00D176FD">
      <w:pPr>
        <w:pStyle w:val="Tabletitle"/>
        <w:rPr>
          <w:lang w:val="en-US"/>
        </w:rPr>
      </w:pPr>
      <w:r w:rsidRPr="00047754">
        <w:rPr>
          <w:lang w:val="en-US"/>
        </w:rPr>
        <w:t>Short-term terrestrial and space-to-Earth interference criteria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424"/>
        <w:gridCol w:w="1088"/>
        <w:gridCol w:w="810"/>
        <w:gridCol w:w="2241"/>
        <w:gridCol w:w="745"/>
        <w:gridCol w:w="2331"/>
      </w:tblGrid>
      <w:tr w:rsidR="00D176FD" w:rsidRPr="00CE694C" w:rsidTr="00CE694C">
        <w:trPr>
          <w:jc w:val="center"/>
        </w:trPr>
        <w:tc>
          <w:tcPr>
            <w:tcW w:w="2424" w:type="dxa"/>
            <w:tcBorders>
              <w:bottom w:val="nil"/>
              <w:right w:val="nil"/>
            </w:tcBorders>
          </w:tcPr>
          <w:p w:rsidR="00D176FD" w:rsidRPr="00CE694C" w:rsidRDefault="00D176FD" w:rsidP="00FD03E1">
            <w:pPr>
              <w:pStyle w:val="Tablehead"/>
              <w:rPr>
                <w:sz w:val="20"/>
              </w:rPr>
            </w:pPr>
            <w:r w:rsidRPr="00CE694C">
              <w:rPr>
                <w:sz w:val="20"/>
              </w:rPr>
              <w:t>System type</w:t>
            </w:r>
          </w:p>
        </w:tc>
        <w:tc>
          <w:tcPr>
            <w:tcW w:w="1088" w:type="dxa"/>
            <w:tcBorders>
              <w:left w:val="nil"/>
            </w:tcBorders>
          </w:tcPr>
          <w:p w:rsidR="00D176FD" w:rsidRPr="00CE694C" w:rsidRDefault="00D176FD" w:rsidP="00FD03E1">
            <w:pPr>
              <w:pStyle w:val="Tablehead"/>
              <w:rPr>
                <w:sz w:val="20"/>
              </w:rPr>
            </w:pPr>
          </w:p>
        </w:tc>
        <w:tc>
          <w:tcPr>
            <w:tcW w:w="810" w:type="dxa"/>
          </w:tcPr>
          <w:p w:rsidR="00D176FD" w:rsidRPr="00CE694C" w:rsidRDefault="00D176FD" w:rsidP="00FD03E1">
            <w:pPr>
              <w:pStyle w:val="Tablehead"/>
              <w:rPr>
                <w:sz w:val="20"/>
              </w:rPr>
            </w:pPr>
            <w:r w:rsidRPr="00CE694C">
              <w:rPr>
                <w:i/>
                <w:iCs/>
                <w:sz w:val="20"/>
              </w:rPr>
              <w:t>p</w:t>
            </w:r>
            <w:r w:rsidRPr="00CE694C">
              <w:rPr>
                <w:i/>
                <w:iCs/>
                <w:position w:val="-4"/>
                <w:sz w:val="20"/>
                <w:szCs w:val="14"/>
              </w:rPr>
              <w:t>s</w:t>
            </w:r>
            <w:r w:rsidRPr="00CE694C">
              <w:rPr>
                <w:sz w:val="20"/>
              </w:rPr>
              <w:t xml:space="preserve"> </w:t>
            </w:r>
            <w:r w:rsidRPr="00CE694C">
              <w:rPr>
                <w:sz w:val="20"/>
              </w:rPr>
              <w:br/>
              <w:t>(%)</w:t>
            </w:r>
          </w:p>
        </w:tc>
        <w:tc>
          <w:tcPr>
            <w:tcW w:w="2241" w:type="dxa"/>
          </w:tcPr>
          <w:p w:rsidR="00D176FD" w:rsidRPr="00CE694C" w:rsidRDefault="00D176FD" w:rsidP="00FD03E1">
            <w:pPr>
              <w:pStyle w:val="Tablehead"/>
              <w:rPr>
                <w:sz w:val="20"/>
              </w:rPr>
            </w:pPr>
            <w:r w:rsidRPr="00CE694C">
              <w:rPr>
                <w:i/>
                <w:iCs/>
                <w:sz w:val="20"/>
              </w:rPr>
              <w:t>i</w:t>
            </w:r>
            <w:r w:rsidRPr="00CE694C">
              <w:rPr>
                <w:i/>
                <w:iCs/>
                <w:position w:val="-4"/>
                <w:sz w:val="20"/>
                <w:szCs w:val="14"/>
              </w:rPr>
              <w:t>s</w:t>
            </w:r>
            <w:r w:rsidRPr="00CE694C">
              <w:rPr>
                <w:position w:val="-4"/>
                <w:sz w:val="20"/>
                <w:szCs w:val="14"/>
              </w:rPr>
              <w:t>(</w:t>
            </w:r>
            <w:r w:rsidRPr="00CE694C">
              <w:rPr>
                <w:i/>
                <w:iCs/>
                <w:position w:val="-4"/>
                <w:sz w:val="20"/>
                <w:szCs w:val="14"/>
              </w:rPr>
              <w:t>ps</w:t>
            </w:r>
            <w:r w:rsidRPr="00CE694C">
              <w:rPr>
                <w:position w:val="-4"/>
                <w:sz w:val="20"/>
                <w:szCs w:val="14"/>
              </w:rPr>
              <w:t>)</w:t>
            </w:r>
          </w:p>
        </w:tc>
        <w:tc>
          <w:tcPr>
            <w:tcW w:w="745" w:type="dxa"/>
          </w:tcPr>
          <w:p w:rsidR="00D176FD" w:rsidRPr="00CE694C" w:rsidRDefault="00D176FD" w:rsidP="00FD03E1">
            <w:pPr>
              <w:pStyle w:val="Tablehead"/>
              <w:rPr>
                <w:sz w:val="20"/>
              </w:rPr>
            </w:pPr>
            <w:r w:rsidRPr="00CE694C">
              <w:rPr>
                <w:i/>
                <w:iCs/>
                <w:sz w:val="20"/>
              </w:rPr>
              <w:t>p</w:t>
            </w:r>
            <w:r w:rsidRPr="00CE694C">
              <w:rPr>
                <w:i/>
                <w:iCs/>
                <w:position w:val="-4"/>
                <w:sz w:val="20"/>
                <w:szCs w:val="14"/>
              </w:rPr>
              <w:t>t</w:t>
            </w:r>
            <w:r w:rsidRPr="00CE694C">
              <w:rPr>
                <w:sz w:val="20"/>
              </w:rPr>
              <w:t xml:space="preserve"> </w:t>
            </w:r>
            <w:r w:rsidRPr="00CE694C">
              <w:rPr>
                <w:sz w:val="20"/>
              </w:rPr>
              <w:br/>
              <w:t>(%)</w:t>
            </w:r>
          </w:p>
        </w:tc>
        <w:tc>
          <w:tcPr>
            <w:tcW w:w="2331" w:type="dxa"/>
          </w:tcPr>
          <w:p w:rsidR="00D176FD" w:rsidRPr="00CE694C" w:rsidRDefault="00D176FD" w:rsidP="00FD03E1">
            <w:pPr>
              <w:pStyle w:val="Tablehead"/>
              <w:rPr>
                <w:sz w:val="20"/>
              </w:rPr>
            </w:pPr>
            <w:r w:rsidRPr="00CE694C">
              <w:rPr>
                <w:i/>
                <w:iCs/>
                <w:sz w:val="20"/>
              </w:rPr>
              <w:t>i</w:t>
            </w:r>
            <w:r w:rsidRPr="00CE694C">
              <w:rPr>
                <w:i/>
                <w:iCs/>
                <w:position w:val="-4"/>
                <w:sz w:val="20"/>
                <w:szCs w:val="14"/>
              </w:rPr>
              <w:t>t</w:t>
            </w:r>
            <w:r w:rsidRPr="00CE694C">
              <w:rPr>
                <w:position w:val="-4"/>
                <w:sz w:val="20"/>
                <w:szCs w:val="14"/>
              </w:rPr>
              <w:t>(</w:t>
            </w:r>
            <w:r w:rsidRPr="00CE694C">
              <w:rPr>
                <w:i/>
                <w:iCs/>
                <w:position w:val="-4"/>
                <w:sz w:val="20"/>
                <w:szCs w:val="14"/>
              </w:rPr>
              <w:t>pt</w:t>
            </w:r>
            <w:r w:rsidRPr="00CE694C">
              <w:rPr>
                <w:position w:val="-4"/>
                <w:sz w:val="20"/>
                <w:szCs w:val="14"/>
              </w:rPr>
              <w:t>)</w:t>
            </w:r>
          </w:p>
        </w:tc>
      </w:tr>
      <w:tr w:rsidR="00D176FD" w:rsidRPr="00CE694C" w:rsidTr="00CE694C">
        <w:trPr>
          <w:jc w:val="center"/>
        </w:trPr>
        <w:tc>
          <w:tcPr>
            <w:tcW w:w="2424" w:type="dxa"/>
            <w:vMerge w:val="restart"/>
          </w:tcPr>
          <w:p w:rsidR="00D176FD" w:rsidRPr="00CE694C" w:rsidRDefault="00D176FD" w:rsidP="00CE694C">
            <w:pPr>
              <w:pStyle w:val="Tabletext"/>
              <w:jc w:val="left"/>
              <w:rPr>
                <w:sz w:val="20"/>
              </w:rPr>
            </w:pPr>
            <w:r w:rsidRPr="00CE694C">
              <w:rPr>
                <w:sz w:val="20"/>
              </w:rPr>
              <w:t>1</w:t>
            </w:r>
            <w:r w:rsidRPr="00CE694C">
              <w:rPr>
                <w:sz w:val="20"/>
                <w:szCs w:val="12"/>
              </w:rPr>
              <w:t> </w:t>
            </w:r>
            <w:r w:rsidRPr="00CE694C">
              <w:rPr>
                <w:sz w:val="20"/>
              </w:rPr>
              <w:t>680 MHz RDF</w:t>
            </w:r>
          </w:p>
        </w:tc>
        <w:tc>
          <w:tcPr>
            <w:tcW w:w="1088" w:type="dxa"/>
          </w:tcPr>
          <w:p w:rsidR="00D176FD" w:rsidRPr="00CE694C" w:rsidRDefault="00D176FD" w:rsidP="00FD03E1">
            <w:pPr>
              <w:pStyle w:val="Tabletext"/>
              <w:rPr>
                <w:sz w:val="20"/>
              </w:rPr>
            </w:pPr>
            <w:r w:rsidRPr="00CE694C">
              <w:rPr>
                <w:sz w:val="20"/>
              </w:rPr>
              <w:t>Lock loss</w:t>
            </w:r>
          </w:p>
        </w:tc>
        <w:tc>
          <w:tcPr>
            <w:tcW w:w="810" w:type="dxa"/>
          </w:tcPr>
          <w:p w:rsidR="00D176FD" w:rsidRPr="00CE694C" w:rsidRDefault="00D176FD" w:rsidP="00FD03E1">
            <w:pPr>
              <w:pStyle w:val="Tabletext"/>
              <w:jc w:val="center"/>
              <w:rPr>
                <w:sz w:val="20"/>
              </w:rPr>
            </w:pPr>
            <w:r w:rsidRPr="00CE694C">
              <w:rPr>
                <w:sz w:val="20"/>
              </w:rPr>
              <w:t>0.008</w:t>
            </w:r>
          </w:p>
        </w:tc>
        <w:tc>
          <w:tcPr>
            <w:tcW w:w="2241" w:type="dxa"/>
          </w:tcPr>
          <w:p w:rsidR="00D176FD" w:rsidRPr="00CE694C" w:rsidRDefault="00D47630" w:rsidP="00FD03E1">
            <w:pPr>
              <w:pStyle w:val="Tabletext"/>
              <w:rPr>
                <w:sz w:val="20"/>
              </w:rPr>
            </w:pPr>
            <w:r>
              <w:rPr>
                <w:sz w:val="20"/>
              </w:rPr>
              <w:t>–</w:t>
            </w:r>
            <w:r w:rsidR="00D176FD" w:rsidRPr="00CE694C">
              <w:rPr>
                <w:sz w:val="20"/>
              </w:rPr>
              <w:t>135.3 dB(W/1.3 MHz)</w:t>
            </w:r>
          </w:p>
        </w:tc>
        <w:tc>
          <w:tcPr>
            <w:tcW w:w="745" w:type="dxa"/>
          </w:tcPr>
          <w:p w:rsidR="00D176FD" w:rsidRPr="00CE694C" w:rsidRDefault="00D176FD" w:rsidP="00FD03E1">
            <w:pPr>
              <w:pStyle w:val="Tabletext"/>
              <w:jc w:val="center"/>
              <w:rPr>
                <w:sz w:val="20"/>
              </w:rPr>
            </w:pPr>
            <w:r w:rsidRPr="00CE694C">
              <w:rPr>
                <w:sz w:val="20"/>
              </w:rPr>
              <w:t>0.012</w:t>
            </w:r>
          </w:p>
        </w:tc>
        <w:tc>
          <w:tcPr>
            <w:tcW w:w="2331" w:type="dxa"/>
          </w:tcPr>
          <w:p w:rsidR="00D176FD" w:rsidRPr="00CE694C" w:rsidRDefault="00D47630" w:rsidP="00FD03E1">
            <w:pPr>
              <w:pStyle w:val="Tabletext"/>
              <w:rPr>
                <w:sz w:val="20"/>
              </w:rPr>
            </w:pPr>
            <w:r>
              <w:rPr>
                <w:sz w:val="20"/>
              </w:rPr>
              <w:t>–</w:t>
            </w:r>
            <w:r w:rsidR="00D176FD" w:rsidRPr="00CE694C">
              <w:rPr>
                <w:sz w:val="20"/>
              </w:rPr>
              <w:t>135.3 dB(W/1.3 MHz)</w:t>
            </w:r>
          </w:p>
        </w:tc>
      </w:tr>
      <w:tr w:rsidR="00D176FD" w:rsidRPr="00CE694C" w:rsidTr="00CE694C">
        <w:trPr>
          <w:jc w:val="center"/>
        </w:trPr>
        <w:tc>
          <w:tcPr>
            <w:tcW w:w="2424" w:type="dxa"/>
            <w:vMerge/>
            <w:tcBorders>
              <w:bottom w:val="single" w:sz="4" w:space="0" w:color="auto"/>
            </w:tcBorders>
          </w:tcPr>
          <w:p w:rsidR="00D176FD" w:rsidRPr="00CE694C" w:rsidRDefault="00D176FD" w:rsidP="00CE694C">
            <w:pPr>
              <w:pStyle w:val="Tabletext"/>
              <w:jc w:val="left"/>
              <w:rPr>
                <w:sz w:val="20"/>
              </w:rPr>
            </w:pPr>
          </w:p>
        </w:tc>
        <w:tc>
          <w:tcPr>
            <w:tcW w:w="1088" w:type="dxa"/>
          </w:tcPr>
          <w:p w:rsidR="00D176FD" w:rsidRPr="00CE694C" w:rsidRDefault="00D176FD" w:rsidP="00FD03E1">
            <w:pPr>
              <w:pStyle w:val="Tabletext"/>
              <w:rPr>
                <w:sz w:val="20"/>
              </w:rPr>
            </w:pPr>
            <w:r w:rsidRPr="00CE694C">
              <w:rPr>
                <w:sz w:val="20"/>
              </w:rPr>
              <w:t>Data loss</w:t>
            </w:r>
          </w:p>
        </w:tc>
        <w:tc>
          <w:tcPr>
            <w:tcW w:w="810" w:type="dxa"/>
          </w:tcPr>
          <w:p w:rsidR="00D176FD" w:rsidRPr="00CE694C" w:rsidRDefault="00D176FD" w:rsidP="00FD03E1">
            <w:pPr>
              <w:pStyle w:val="Tabletext"/>
              <w:jc w:val="center"/>
              <w:rPr>
                <w:sz w:val="20"/>
              </w:rPr>
            </w:pPr>
            <w:r w:rsidRPr="00CE694C">
              <w:rPr>
                <w:sz w:val="20"/>
              </w:rPr>
              <w:t>0.5</w:t>
            </w:r>
          </w:p>
        </w:tc>
        <w:tc>
          <w:tcPr>
            <w:tcW w:w="2241" w:type="dxa"/>
          </w:tcPr>
          <w:p w:rsidR="00D176FD" w:rsidRPr="00CE694C" w:rsidRDefault="00D47630" w:rsidP="00FD03E1">
            <w:pPr>
              <w:pStyle w:val="Tabletext"/>
              <w:rPr>
                <w:sz w:val="20"/>
              </w:rPr>
            </w:pPr>
            <w:r>
              <w:rPr>
                <w:sz w:val="20"/>
              </w:rPr>
              <w:t>–</w:t>
            </w:r>
            <w:r w:rsidR="00D176FD" w:rsidRPr="00CE694C">
              <w:rPr>
                <w:sz w:val="20"/>
              </w:rPr>
              <w:t>139.5 dB(W/1.3 MHz)</w:t>
            </w:r>
          </w:p>
        </w:tc>
        <w:tc>
          <w:tcPr>
            <w:tcW w:w="745" w:type="dxa"/>
          </w:tcPr>
          <w:p w:rsidR="00D176FD" w:rsidRPr="00CE694C" w:rsidRDefault="00D176FD" w:rsidP="00FD03E1">
            <w:pPr>
              <w:pStyle w:val="Tabletext"/>
              <w:jc w:val="center"/>
              <w:rPr>
                <w:sz w:val="20"/>
              </w:rPr>
            </w:pPr>
            <w:r w:rsidRPr="00CE694C">
              <w:rPr>
                <w:sz w:val="20"/>
              </w:rPr>
              <w:t>0.75</w:t>
            </w:r>
          </w:p>
        </w:tc>
        <w:tc>
          <w:tcPr>
            <w:tcW w:w="2331" w:type="dxa"/>
          </w:tcPr>
          <w:p w:rsidR="00D176FD" w:rsidRPr="00CE694C" w:rsidRDefault="00D47630" w:rsidP="00FD03E1">
            <w:pPr>
              <w:pStyle w:val="Tabletext"/>
              <w:rPr>
                <w:sz w:val="20"/>
              </w:rPr>
            </w:pPr>
            <w:r>
              <w:rPr>
                <w:sz w:val="20"/>
              </w:rPr>
              <w:t>–</w:t>
            </w:r>
            <w:r w:rsidR="00D176FD" w:rsidRPr="00CE694C">
              <w:rPr>
                <w:sz w:val="20"/>
              </w:rPr>
              <w:t>139.4 dB(W/1.3 MHz)</w:t>
            </w:r>
          </w:p>
        </w:tc>
      </w:tr>
      <w:tr w:rsidR="00D176FD" w:rsidRPr="00CE694C" w:rsidTr="00CE694C">
        <w:trPr>
          <w:jc w:val="center"/>
        </w:trPr>
        <w:tc>
          <w:tcPr>
            <w:tcW w:w="2424" w:type="dxa"/>
            <w:tcBorders>
              <w:top w:val="single" w:sz="4" w:space="0" w:color="auto"/>
              <w:left w:val="single" w:sz="4" w:space="0" w:color="auto"/>
              <w:bottom w:val="nil"/>
              <w:right w:val="single" w:sz="4" w:space="0" w:color="auto"/>
            </w:tcBorders>
          </w:tcPr>
          <w:p w:rsidR="00D176FD" w:rsidRPr="00CE694C" w:rsidRDefault="00D176FD" w:rsidP="00CE694C">
            <w:pPr>
              <w:pStyle w:val="Tabletext"/>
              <w:jc w:val="left"/>
              <w:rPr>
                <w:sz w:val="20"/>
              </w:rPr>
            </w:pPr>
            <w:r w:rsidRPr="00CE694C">
              <w:rPr>
                <w:sz w:val="20"/>
              </w:rPr>
              <w:t>GPS</w:t>
            </w:r>
          </w:p>
        </w:tc>
        <w:tc>
          <w:tcPr>
            <w:tcW w:w="1088" w:type="dxa"/>
            <w:tcBorders>
              <w:left w:val="single" w:sz="4" w:space="0" w:color="auto"/>
            </w:tcBorders>
          </w:tcPr>
          <w:p w:rsidR="00D176FD" w:rsidRPr="00CE694C" w:rsidRDefault="00D176FD" w:rsidP="00FD03E1">
            <w:pPr>
              <w:pStyle w:val="Tabletext"/>
              <w:rPr>
                <w:sz w:val="20"/>
              </w:rPr>
            </w:pPr>
            <w:r w:rsidRPr="00CE694C">
              <w:rPr>
                <w:sz w:val="20"/>
              </w:rPr>
              <w:t>Lock loss</w:t>
            </w:r>
          </w:p>
        </w:tc>
        <w:tc>
          <w:tcPr>
            <w:tcW w:w="810" w:type="dxa"/>
          </w:tcPr>
          <w:p w:rsidR="00D176FD" w:rsidRPr="00CE694C" w:rsidRDefault="00D176FD" w:rsidP="00FD03E1">
            <w:pPr>
              <w:pStyle w:val="Tabletext"/>
              <w:jc w:val="center"/>
              <w:rPr>
                <w:sz w:val="20"/>
              </w:rPr>
            </w:pPr>
            <w:r w:rsidRPr="00CE694C">
              <w:rPr>
                <w:sz w:val="20"/>
              </w:rPr>
              <w:t>0.01</w:t>
            </w:r>
          </w:p>
        </w:tc>
        <w:tc>
          <w:tcPr>
            <w:tcW w:w="2241" w:type="dxa"/>
          </w:tcPr>
          <w:p w:rsidR="00D176FD" w:rsidRPr="00CE694C" w:rsidRDefault="00D47630" w:rsidP="00FD03E1">
            <w:pPr>
              <w:pStyle w:val="Tabletext"/>
              <w:rPr>
                <w:sz w:val="20"/>
              </w:rPr>
            </w:pPr>
            <w:r>
              <w:rPr>
                <w:sz w:val="20"/>
              </w:rPr>
              <w:t>–</w:t>
            </w:r>
            <w:r w:rsidR="00D176FD" w:rsidRPr="00CE694C">
              <w:rPr>
                <w:sz w:val="20"/>
              </w:rPr>
              <w:t>137.28 dB(W/150 kHz)</w:t>
            </w:r>
          </w:p>
        </w:tc>
        <w:tc>
          <w:tcPr>
            <w:tcW w:w="745" w:type="dxa"/>
          </w:tcPr>
          <w:p w:rsidR="00D176FD" w:rsidRPr="00CE694C" w:rsidRDefault="00D176FD" w:rsidP="00FD03E1">
            <w:pPr>
              <w:pStyle w:val="Tabletext"/>
              <w:jc w:val="center"/>
              <w:rPr>
                <w:sz w:val="20"/>
              </w:rPr>
            </w:pPr>
            <w:r w:rsidRPr="00CE694C">
              <w:rPr>
                <w:sz w:val="20"/>
              </w:rPr>
              <w:t>0.015</w:t>
            </w:r>
          </w:p>
        </w:tc>
        <w:tc>
          <w:tcPr>
            <w:tcW w:w="2331" w:type="dxa"/>
          </w:tcPr>
          <w:p w:rsidR="00D176FD" w:rsidRPr="00CE694C" w:rsidRDefault="00D47630" w:rsidP="00FD03E1">
            <w:pPr>
              <w:pStyle w:val="Tabletext"/>
              <w:rPr>
                <w:sz w:val="20"/>
              </w:rPr>
            </w:pPr>
            <w:r>
              <w:rPr>
                <w:sz w:val="20"/>
              </w:rPr>
              <w:t>–</w:t>
            </w:r>
            <w:r w:rsidR="00D176FD" w:rsidRPr="00CE694C">
              <w:rPr>
                <w:sz w:val="20"/>
              </w:rPr>
              <w:t>137.25 dB(W/150 kHz)</w:t>
            </w:r>
          </w:p>
        </w:tc>
      </w:tr>
      <w:tr w:rsidR="00D176FD" w:rsidRPr="00CE694C" w:rsidTr="00CE694C">
        <w:trPr>
          <w:jc w:val="center"/>
        </w:trPr>
        <w:tc>
          <w:tcPr>
            <w:tcW w:w="2424" w:type="dxa"/>
            <w:tcBorders>
              <w:top w:val="nil"/>
              <w:left w:val="single" w:sz="4" w:space="0" w:color="auto"/>
              <w:bottom w:val="single" w:sz="4" w:space="0" w:color="auto"/>
              <w:right w:val="single" w:sz="4" w:space="0" w:color="auto"/>
            </w:tcBorders>
          </w:tcPr>
          <w:p w:rsidR="00D176FD" w:rsidRPr="00CE694C" w:rsidRDefault="00D176FD" w:rsidP="00CE694C">
            <w:pPr>
              <w:pStyle w:val="Tabletext"/>
              <w:jc w:val="left"/>
              <w:rPr>
                <w:sz w:val="20"/>
              </w:rPr>
            </w:pPr>
            <w:r w:rsidRPr="00CE694C">
              <w:rPr>
                <w:sz w:val="20"/>
              </w:rPr>
              <w:t>Radiosonde</w:t>
            </w:r>
            <w:r w:rsidRPr="00CE694C">
              <w:rPr>
                <w:sz w:val="20"/>
              </w:rPr>
              <w:br/>
              <w:t>(1 675</w:t>
            </w:r>
            <w:r w:rsidRPr="00CE694C">
              <w:rPr>
                <w:sz w:val="20"/>
              </w:rPr>
              <w:noBreakHyphen/>
              <w:t>1 683 MHz)</w:t>
            </w:r>
          </w:p>
        </w:tc>
        <w:tc>
          <w:tcPr>
            <w:tcW w:w="1088" w:type="dxa"/>
            <w:tcBorders>
              <w:left w:val="single" w:sz="4" w:space="0" w:color="auto"/>
            </w:tcBorders>
          </w:tcPr>
          <w:p w:rsidR="00D176FD" w:rsidRPr="00CE694C" w:rsidRDefault="00D176FD" w:rsidP="00FD03E1">
            <w:pPr>
              <w:pStyle w:val="Tabletext"/>
              <w:rPr>
                <w:sz w:val="20"/>
              </w:rPr>
            </w:pPr>
            <w:r w:rsidRPr="00CE694C">
              <w:rPr>
                <w:sz w:val="20"/>
              </w:rPr>
              <w:t>Data loss</w:t>
            </w:r>
          </w:p>
        </w:tc>
        <w:tc>
          <w:tcPr>
            <w:tcW w:w="810" w:type="dxa"/>
          </w:tcPr>
          <w:p w:rsidR="00D176FD" w:rsidRPr="00CE694C" w:rsidRDefault="00D176FD" w:rsidP="00FD03E1">
            <w:pPr>
              <w:pStyle w:val="Tabletext"/>
              <w:jc w:val="center"/>
              <w:rPr>
                <w:sz w:val="20"/>
              </w:rPr>
            </w:pPr>
            <w:r w:rsidRPr="00CE694C">
              <w:rPr>
                <w:sz w:val="20"/>
              </w:rPr>
              <w:t>0.05</w:t>
            </w:r>
          </w:p>
        </w:tc>
        <w:tc>
          <w:tcPr>
            <w:tcW w:w="2241" w:type="dxa"/>
          </w:tcPr>
          <w:p w:rsidR="00D176FD" w:rsidRPr="00CE694C" w:rsidRDefault="00D47630" w:rsidP="00FD03E1">
            <w:pPr>
              <w:pStyle w:val="Tabletext"/>
              <w:rPr>
                <w:sz w:val="20"/>
              </w:rPr>
            </w:pPr>
            <w:r>
              <w:rPr>
                <w:sz w:val="20"/>
              </w:rPr>
              <w:t>–</w:t>
            </w:r>
            <w:r w:rsidR="00D176FD" w:rsidRPr="00CE694C">
              <w:rPr>
                <w:sz w:val="20"/>
              </w:rPr>
              <w:t>146.27 dB(W/150 kHz)</w:t>
            </w:r>
          </w:p>
        </w:tc>
        <w:tc>
          <w:tcPr>
            <w:tcW w:w="745" w:type="dxa"/>
          </w:tcPr>
          <w:p w:rsidR="00D176FD" w:rsidRPr="00CE694C" w:rsidRDefault="00D176FD" w:rsidP="00FD03E1">
            <w:pPr>
              <w:pStyle w:val="Tabletext"/>
              <w:jc w:val="center"/>
              <w:rPr>
                <w:sz w:val="20"/>
              </w:rPr>
            </w:pPr>
            <w:r w:rsidRPr="00CE694C">
              <w:rPr>
                <w:sz w:val="20"/>
              </w:rPr>
              <w:t>0.075</w:t>
            </w:r>
          </w:p>
        </w:tc>
        <w:tc>
          <w:tcPr>
            <w:tcW w:w="2331" w:type="dxa"/>
          </w:tcPr>
          <w:p w:rsidR="00D176FD" w:rsidRPr="00CE694C" w:rsidRDefault="00D47630" w:rsidP="00FD03E1">
            <w:pPr>
              <w:pStyle w:val="Tabletext"/>
              <w:rPr>
                <w:sz w:val="20"/>
              </w:rPr>
            </w:pPr>
            <w:r>
              <w:rPr>
                <w:sz w:val="20"/>
              </w:rPr>
              <w:t>–</w:t>
            </w:r>
            <w:r w:rsidR="00D176FD" w:rsidRPr="00CE694C">
              <w:rPr>
                <w:sz w:val="20"/>
              </w:rPr>
              <w:t>146.1 dB(W/150 kHz)</w:t>
            </w:r>
          </w:p>
        </w:tc>
      </w:tr>
      <w:tr w:rsidR="00D176FD" w:rsidRPr="00CE694C" w:rsidTr="00CE694C">
        <w:trPr>
          <w:jc w:val="center"/>
        </w:trPr>
        <w:tc>
          <w:tcPr>
            <w:tcW w:w="2424" w:type="dxa"/>
            <w:vMerge w:val="restart"/>
            <w:tcBorders>
              <w:top w:val="single" w:sz="4" w:space="0" w:color="auto"/>
            </w:tcBorders>
          </w:tcPr>
          <w:p w:rsidR="00D176FD" w:rsidRPr="00047754" w:rsidRDefault="00D176FD" w:rsidP="00CE694C">
            <w:pPr>
              <w:pStyle w:val="Tabletext"/>
              <w:jc w:val="left"/>
              <w:rPr>
                <w:sz w:val="20"/>
                <w:lang w:val="en-US"/>
              </w:rPr>
            </w:pPr>
            <w:r w:rsidRPr="00047754">
              <w:rPr>
                <w:sz w:val="20"/>
                <w:lang w:val="en-US"/>
              </w:rPr>
              <w:t>403 MHz NAVAID</w:t>
            </w:r>
            <w:r w:rsidR="00CE694C" w:rsidRPr="00047754">
              <w:rPr>
                <w:sz w:val="20"/>
                <w:lang w:val="en-US"/>
              </w:rPr>
              <w:br/>
            </w:r>
            <w:r w:rsidRPr="00047754">
              <w:rPr>
                <w:sz w:val="20"/>
                <w:lang w:val="en-US"/>
              </w:rPr>
              <w:t>with directional antenna</w:t>
            </w:r>
          </w:p>
        </w:tc>
        <w:tc>
          <w:tcPr>
            <w:tcW w:w="1088" w:type="dxa"/>
          </w:tcPr>
          <w:p w:rsidR="00D176FD" w:rsidRPr="00CE694C" w:rsidRDefault="00D176FD" w:rsidP="00FD03E1">
            <w:pPr>
              <w:pStyle w:val="Tabletext"/>
              <w:rPr>
                <w:sz w:val="20"/>
              </w:rPr>
            </w:pPr>
            <w:r w:rsidRPr="00CE694C">
              <w:rPr>
                <w:sz w:val="20"/>
              </w:rPr>
              <w:t xml:space="preserve">Lock loss </w:t>
            </w:r>
          </w:p>
        </w:tc>
        <w:tc>
          <w:tcPr>
            <w:tcW w:w="810" w:type="dxa"/>
          </w:tcPr>
          <w:p w:rsidR="00D176FD" w:rsidRPr="00CE694C" w:rsidRDefault="00D176FD" w:rsidP="00FD03E1">
            <w:pPr>
              <w:pStyle w:val="Tabletext"/>
              <w:jc w:val="center"/>
              <w:rPr>
                <w:sz w:val="20"/>
              </w:rPr>
            </w:pPr>
            <w:r w:rsidRPr="00CE694C">
              <w:rPr>
                <w:sz w:val="20"/>
              </w:rPr>
              <w:t>0.008</w:t>
            </w:r>
          </w:p>
        </w:tc>
        <w:tc>
          <w:tcPr>
            <w:tcW w:w="2241" w:type="dxa"/>
          </w:tcPr>
          <w:p w:rsidR="00D176FD" w:rsidRPr="00CE694C" w:rsidRDefault="00D47630" w:rsidP="00D47630">
            <w:pPr>
              <w:pStyle w:val="Tabletext"/>
              <w:rPr>
                <w:sz w:val="20"/>
              </w:rPr>
            </w:pPr>
            <w:r>
              <w:rPr>
                <w:sz w:val="20"/>
              </w:rPr>
              <w:t>–</w:t>
            </w:r>
            <w:r w:rsidR="00D176FD" w:rsidRPr="00CE694C">
              <w:rPr>
                <w:sz w:val="20"/>
              </w:rPr>
              <w:t>142.0 dB(W/300 kHz)</w:t>
            </w:r>
          </w:p>
        </w:tc>
        <w:tc>
          <w:tcPr>
            <w:tcW w:w="745" w:type="dxa"/>
          </w:tcPr>
          <w:p w:rsidR="00D176FD" w:rsidRPr="00CE694C" w:rsidRDefault="00D176FD" w:rsidP="00FD03E1">
            <w:pPr>
              <w:pStyle w:val="Tabletext"/>
              <w:jc w:val="center"/>
              <w:rPr>
                <w:sz w:val="20"/>
              </w:rPr>
            </w:pPr>
            <w:r w:rsidRPr="00CE694C">
              <w:rPr>
                <w:sz w:val="20"/>
              </w:rPr>
              <w:t>0.012</w:t>
            </w:r>
          </w:p>
        </w:tc>
        <w:tc>
          <w:tcPr>
            <w:tcW w:w="2331" w:type="dxa"/>
          </w:tcPr>
          <w:p w:rsidR="00D176FD" w:rsidRPr="00CE694C" w:rsidRDefault="00D47630" w:rsidP="00D47630">
            <w:pPr>
              <w:pStyle w:val="Tabletext"/>
              <w:rPr>
                <w:sz w:val="20"/>
              </w:rPr>
            </w:pPr>
            <w:r>
              <w:rPr>
                <w:sz w:val="20"/>
              </w:rPr>
              <w:t>–</w:t>
            </w:r>
            <w:r w:rsidR="00D176FD" w:rsidRPr="00CE694C">
              <w:rPr>
                <w:sz w:val="20"/>
              </w:rPr>
              <w:t>141.9 dB(W/300 kHz)</w:t>
            </w:r>
          </w:p>
        </w:tc>
      </w:tr>
      <w:tr w:rsidR="00D176FD" w:rsidRPr="00CE694C" w:rsidTr="00CE694C">
        <w:trPr>
          <w:jc w:val="center"/>
        </w:trPr>
        <w:tc>
          <w:tcPr>
            <w:tcW w:w="2424" w:type="dxa"/>
            <w:vMerge/>
            <w:tcBorders>
              <w:bottom w:val="nil"/>
            </w:tcBorders>
          </w:tcPr>
          <w:p w:rsidR="00D176FD" w:rsidRPr="00CE694C" w:rsidRDefault="00D176FD" w:rsidP="00CE694C">
            <w:pPr>
              <w:pStyle w:val="Tabletext"/>
              <w:jc w:val="left"/>
              <w:rPr>
                <w:sz w:val="20"/>
              </w:rPr>
            </w:pPr>
          </w:p>
        </w:tc>
        <w:tc>
          <w:tcPr>
            <w:tcW w:w="1088" w:type="dxa"/>
          </w:tcPr>
          <w:p w:rsidR="00D176FD" w:rsidRPr="00CE694C" w:rsidRDefault="00D176FD" w:rsidP="00FD03E1">
            <w:pPr>
              <w:pStyle w:val="Tabletext"/>
              <w:rPr>
                <w:sz w:val="20"/>
              </w:rPr>
            </w:pPr>
            <w:r w:rsidRPr="00CE694C">
              <w:rPr>
                <w:sz w:val="20"/>
              </w:rPr>
              <w:t>Data loss</w:t>
            </w:r>
          </w:p>
        </w:tc>
        <w:tc>
          <w:tcPr>
            <w:tcW w:w="810" w:type="dxa"/>
          </w:tcPr>
          <w:p w:rsidR="00D176FD" w:rsidRPr="00CE694C" w:rsidRDefault="00D176FD" w:rsidP="00FD03E1">
            <w:pPr>
              <w:pStyle w:val="Tabletext"/>
              <w:jc w:val="center"/>
              <w:rPr>
                <w:sz w:val="20"/>
              </w:rPr>
            </w:pPr>
            <w:r w:rsidRPr="00CE694C">
              <w:rPr>
                <w:sz w:val="20"/>
              </w:rPr>
              <w:t>0.5</w:t>
            </w:r>
          </w:p>
        </w:tc>
        <w:tc>
          <w:tcPr>
            <w:tcW w:w="2241" w:type="dxa"/>
          </w:tcPr>
          <w:p w:rsidR="00D176FD" w:rsidRPr="00CE694C" w:rsidRDefault="00D47630" w:rsidP="00D47630">
            <w:pPr>
              <w:pStyle w:val="Tabletext"/>
              <w:rPr>
                <w:sz w:val="20"/>
              </w:rPr>
            </w:pPr>
            <w:r>
              <w:rPr>
                <w:sz w:val="20"/>
              </w:rPr>
              <w:t>–</w:t>
            </w:r>
            <w:r w:rsidR="00D176FD" w:rsidRPr="00CE694C">
              <w:rPr>
                <w:sz w:val="20"/>
              </w:rPr>
              <w:t>150.2 dB(W/300 kHz)</w:t>
            </w:r>
          </w:p>
        </w:tc>
        <w:tc>
          <w:tcPr>
            <w:tcW w:w="745" w:type="dxa"/>
          </w:tcPr>
          <w:p w:rsidR="00D176FD" w:rsidRPr="00CE694C" w:rsidRDefault="00D176FD" w:rsidP="00FD03E1">
            <w:pPr>
              <w:pStyle w:val="Tabletext"/>
              <w:jc w:val="center"/>
              <w:rPr>
                <w:sz w:val="20"/>
              </w:rPr>
            </w:pPr>
            <w:r w:rsidRPr="00CE694C">
              <w:rPr>
                <w:sz w:val="20"/>
              </w:rPr>
              <w:t>0.75</w:t>
            </w:r>
          </w:p>
        </w:tc>
        <w:tc>
          <w:tcPr>
            <w:tcW w:w="2331" w:type="dxa"/>
          </w:tcPr>
          <w:p w:rsidR="00D176FD" w:rsidRPr="00CE694C" w:rsidRDefault="00D47630" w:rsidP="00D47630">
            <w:pPr>
              <w:pStyle w:val="Tabletext"/>
              <w:rPr>
                <w:sz w:val="20"/>
              </w:rPr>
            </w:pPr>
            <w:r>
              <w:rPr>
                <w:sz w:val="20"/>
              </w:rPr>
              <w:t>–</w:t>
            </w:r>
            <w:r w:rsidR="00D176FD" w:rsidRPr="00CE694C">
              <w:rPr>
                <w:sz w:val="20"/>
              </w:rPr>
              <w:t>150.0 dB(W/300 kHz)</w:t>
            </w:r>
          </w:p>
        </w:tc>
      </w:tr>
      <w:tr w:rsidR="00D176FD" w:rsidRPr="00CE694C" w:rsidTr="00CE694C">
        <w:trPr>
          <w:jc w:val="center"/>
        </w:trPr>
        <w:tc>
          <w:tcPr>
            <w:tcW w:w="2424" w:type="dxa"/>
            <w:vMerge w:val="restart"/>
          </w:tcPr>
          <w:p w:rsidR="00D176FD" w:rsidRPr="00047754" w:rsidRDefault="00D176FD" w:rsidP="00CE694C">
            <w:pPr>
              <w:pStyle w:val="Tabletext"/>
              <w:jc w:val="left"/>
              <w:rPr>
                <w:sz w:val="20"/>
                <w:lang w:val="en-US"/>
              </w:rPr>
            </w:pPr>
            <w:r w:rsidRPr="00047754">
              <w:rPr>
                <w:sz w:val="20"/>
                <w:lang w:val="en-US"/>
              </w:rPr>
              <w:t>403 MHz NAVAID with omnidirectional antenna</w:t>
            </w:r>
          </w:p>
        </w:tc>
        <w:tc>
          <w:tcPr>
            <w:tcW w:w="1088" w:type="dxa"/>
          </w:tcPr>
          <w:p w:rsidR="00D176FD" w:rsidRPr="00CE694C" w:rsidRDefault="00D176FD" w:rsidP="00FD03E1">
            <w:pPr>
              <w:pStyle w:val="Tabletext"/>
              <w:rPr>
                <w:sz w:val="20"/>
              </w:rPr>
            </w:pPr>
            <w:r w:rsidRPr="00CE694C">
              <w:rPr>
                <w:sz w:val="20"/>
              </w:rPr>
              <w:t xml:space="preserve">Lock loss </w:t>
            </w:r>
          </w:p>
        </w:tc>
        <w:tc>
          <w:tcPr>
            <w:tcW w:w="810" w:type="dxa"/>
          </w:tcPr>
          <w:p w:rsidR="00D176FD" w:rsidRPr="00CE694C" w:rsidRDefault="00D176FD" w:rsidP="00FD03E1">
            <w:pPr>
              <w:pStyle w:val="Tabletext"/>
              <w:jc w:val="center"/>
              <w:rPr>
                <w:sz w:val="20"/>
              </w:rPr>
            </w:pPr>
            <w:r w:rsidRPr="00CE694C">
              <w:rPr>
                <w:sz w:val="20"/>
              </w:rPr>
              <w:t>0.008</w:t>
            </w:r>
          </w:p>
        </w:tc>
        <w:tc>
          <w:tcPr>
            <w:tcW w:w="2241" w:type="dxa"/>
          </w:tcPr>
          <w:p w:rsidR="00D176FD" w:rsidRPr="00CE694C" w:rsidRDefault="00D176FD" w:rsidP="00FD03E1">
            <w:pPr>
              <w:pStyle w:val="Tabletext"/>
              <w:jc w:val="center"/>
              <w:rPr>
                <w:b/>
                <w:bCs/>
                <w:sz w:val="20"/>
              </w:rPr>
            </w:pPr>
            <w:r w:rsidRPr="00CE694C">
              <w:rPr>
                <w:sz w:val="20"/>
              </w:rPr>
              <w:t>N/A</w:t>
            </w:r>
            <w:r w:rsidRPr="00CE694C">
              <w:rPr>
                <w:sz w:val="20"/>
                <w:vertAlign w:val="superscript"/>
              </w:rPr>
              <w:t>(1)</w:t>
            </w:r>
          </w:p>
        </w:tc>
        <w:tc>
          <w:tcPr>
            <w:tcW w:w="745" w:type="dxa"/>
          </w:tcPr>
          <w:p w:rsidR="00D176FD" w:rsidRPr="00CE694C" w:rsidRDefault="00D176FD" w:rsidP="00FD03E1">
            <w:pPr>
              <w:pStyle w:val="Tabletext"/>
              <w:jc w:val="center"/>
              <w:rPr>
                <w:sz w:val="20"/>
              </w:rPr>
            </w:pPr>
            <w:r w:rsidRPr="00CE694C">
              <w:rPr>
                <w:sz w:val="20"/>
              </w:rPr>
              <w:t>0.012</w:t>
            </w:r>
          </w:p>
        </w:tc>
        <w:tc>
          <w:tcPr>
            <w:tcW w:w="2331" w:type="dxa"/>
          </w:tcPr>
          <w:p w:rsidR="00D176FD" w:rsidRPr="00CE694C" w:rsidRDefault="00D176FD" w:rsidP="00FD03E1">
            <w:pPr>
              <w:pStyle w:val="Tabletext"/>
              <w:jc w:val="center"/>
              <w:rPr>
                <w:b/>
                <w:bCs/>
                <w:sz w:val="20"/>
              </w:rPr>
            </w:pPr>
            <w:r w:rsidRPr="00CE694C">
              <w:rPr>
                <w:sz w:val="20"/>
              </w:rPr>
              <w:t>N/A</w:t>
            </w:r>
            <w:r w:rsidRPr="00CE694C">
              <w:rPr>
                <w:sz w:val="20"/>
                <w:vertAlign w:val="superscript"/>
              </w:rPr>
              <w:t>(1)</w:t>
            </w:r>
          </w:p>
        </w:tc>
      </w:tr>
      <w:tr w:rsidR="00D176FD" w:rsidRPr="00CE694C" w:rsidTr="00CE694C">
        <w:trPr>
          <w:jc w:val="center"/>
        </w:trPr>
        <w:tc>
          <w:tcPr>
            <w:tcW w:w="2424" w:type="dxa"/>
            <w:vMerge/>
            <w:tcBorders>
              <w:bottom w:val="nil"/>
            </w:tcBorders>
          </w:tcPr>
          <w:p w:rsidR="00D176FD" w:rsidRPr="00CE694C" w:rsidRDefault="00D176FD" w:rsidP="00CE694C">
            <w:pPr>
              <w:pStyle w:val="Tabletext"/>
              <w:jc w:val="left"/>
              <w:rPr>
                <w:sz w:val="20"/>
              </w:rPr>
            </w:pPr>
          </w:p>
        </w:tc>
        <w:tc>
          <w:tcPr>
            <w:tcW w:w="1088" w:type="dxa"/>
          </w:tcPr>
          <w:p w:rsidR="00D176FD" w:rsidRPr="00CE694C" w:rsidRDefault="00D176FD" w:rsidP="00FD03E1">
            <w:pPr>
              <w:pStyle w:val="Tabletext"/>
              <w:rPr>
                <w:sz w:val="20"/>
              </w:rPr>
            </w:pPr>
            <w:r w:rsidRPr="00CE694C">
              <w:rPr>
                <w:sz w:val="20"/>
              </w:rPr>
              <w:t>Data loss</w:t>
            </w:r>
          </w:p>
        </w:tc>
        <w:tc>
          <w:tcPr>
            <w:tcW w:w="810" w:type="dxa"/>
          </w:tcPr>
          <w:p w:rsidR="00D176FD" w:rsidRPr="00CE694C" w:rsidRDefault="00D176FD" w:rsidP="00FD03E1">
            <w:pPr>
              <w:pStyle w:val="Tabletext"/>
              <w:jc w:val="center"/>
              <w:rPr>
                <w:sz w:val="20"/>
              </w:rPr>
            </w:pPr>
            <w:r w:rsidRPr="00CE694C">
              <w:rPr>
                <w:sz w:val="20"/>
              </w:rPr>
              <w:t>0.5</w:t>
            </w:r>
          </w:p>
        </w:tc>
        <w:tc>
          <w:tcPr>
            <w:tcW w:w="2241" w:type="dxa"/>
          </w:tcPr>
          <w:p w:rsidR="00D176FD" w:rsidRPr="00CE694C" w:rsidRDefault="00D47630" w:rsidP="00FD03E1">
            <w:pPr>
              <w:pStyle w:val="Tabletext"/>
              <w:rPr>
                <w:sz w:val="20"/>
              </w:rPr>
            </w:pPr>
            <w:r>
              <w:rPr>
                <w:sz w:val="20"/>
              </w:rPr>
              <w:t>–</w:t>
            </w:r>
            <w:r w:rsidR="00D176FD" w:rsidRPr="00CE694C">
              <w:rPr>
                <w:sz w:val="20"/>
              </w:rPr>
              <w:t>156.7 dB(W/300 kHz)</w:t>
            </w:r>
          </w:p>
        </w:tc>
        <w:tc>
          <w:tcPr>
            <w:tcW w:w="745" w:type="dxa"/>
          </w:tcPr>
          <w:p w:rsidR="00D176FD" w:rsidRPr="00CE694C" w:rsidRDefault="00D176FD" w:rsidP="00FD03E1">
            <w:pPr>
              <w:pStyle w:val="Tabletext"/>
              <w:jc w:val="center"/>
              <w:rPr>
                <w:sz w:val="20"/>
              </w:rPr>
            </w:pPr>
            <w:r w:rsidRPr="00CE694C">
              <w:rPr>
                <w:sz w:val="20"/>
              </w:rPr>
              <w:t>0.75</w:t>
            </w:r>
          </w:p>
        </w:tc>
        <w:tc>
          <w:tcPr>
            <w:tcW w:w="2331" w:type="dxa"/>
          </w:tcPr>
          <w:p w:rsidR="00D176FD" w:rsidRPr="00CE694C" w:rsidRDefault="00D47630" w:rsidP="00FD03E1">
            <w:pPr>
              <w:pStyle w:val="Tabletext"/>
              <w:rPr>
                <w:sz w:val="20"/>
              </w:rPr>
            </w:pPr>
            <w:r>
              <w:rPr>
                <w:sz w:val="20"/>
              </w:rPr>
              <w:t>–</w:t>
            </w:r>
            <w:r w:rsidR="00D176FD" w:rsidRPr="00CE694C">
              <w:rPr>
                <w:sz w:val="20"/>
              </w:rPr>
              <w:t>155.8 dB(W/300 kHz)</w:t>
            </w:r>
          </w:p>
        </w:tc>
      </w:tr>
      <w:tr w:rsidR="00D176FD" w:rsidRPr="00CE694C" w:rsidTr="00CE694C">
        <w:trPr>
          <w:jc w:val="center"/>
        </w:trPr>
        <w:tc>
          <w:tcPr>
            <w:tcW w:w="2424" w:type="dxa"/>
            <w:vMerge w:val="restart"/>
          </w:tcPr>
          <w:p w:rsidR="00D176FD" w:rsidRPr="00CE694C" w:rsidRDefault="00D176FD" w:rsidP="00CE694C">
            <w:pPr>
              <w:pStyle w:val="Tabletext"/>
              <w:jc w:val="left"/>
              <w:rPr>
                <w:sz w:val="20"/>
              </w:rPr>
            </w:pPr>
            <w:r w:rsidRPr="00CE694C">
              <w:rPr>
                <w:sz w:val="20"/>
              </w:rPr>
              <w:t>403 MHz dropsonde</w:t>
            </w:r>
            <w:r w:rsidRPr="00CE694C">
              <w:rPr>
                <w:sz w:val="20"/>
                <w:vertAlign w:val="superscript"/>
              </w:rPr>
              <w:t>(1)</w:t>
            </w:r>
          </w:p>
        </w:tc>
        <w:tc>
          <w:tcPr>
            <w:tcW w:w="1088" w:type="dxa"/>
          </w:tcPr>
          <w:p w:rsidR="00D176FD" w:rsidRPr="00CE694C" w:rsidRDefault="00D176FD" w:rsidP="00FD03E1">
            <w:pPr>
              <w:pStyle w:val="Tabletext"/>
              <w:rPr>
                <w:sz w:val="20"/>
              </w:rPr>
            </w:pPr>
            <w:r w:rsidRPr="00CE694C">
              <w:rPr>
                <w:sz w:val="20"/>
              </w:rPr>
              <w:t xml:space="preserve">Lock loss </w:t>
            </w:r>
          </w:p>
        </w:tc>
        <w:tc>
          <w:tcPr>
            <w:tcW w:w="810" w:type="dxa"/>
          </w:tcPr>
          <w:p w:rsidR="00D176FD" w:rsidRPr="00CE694C" w:rsidRDefault="00D176FD" w:rsidP="00FD03E1">
            <w:pPr>
              <w:pStyle w:val="Tabletext"/>
              <w:jc w:val="center"/>
              <w:rPr>
                <w:sz w:val="20"/>
              </w:rPr>
            </w:pPr>
            <w:r w:rsidRPr="00CE694C">
              <w:rPr>
                <w:sz w:val="20"/>
              </w:rPr>
              <w:t>0.008</w:t>
            </w:r>
          </w:p>
        </w:tc>
        <w:tc>
          <w:tcPr>
            <w:tcW w:w="2241" w:type="dxa"/>
          </w:tcPr>
          <w:p w:rsidR="00D176FD" w:rsidRPr="00CE694C" w:rsidRDefault="00D176FD" w:rsidP="00FD03E1">
            <w:pPr>
              <w:pStyle w:val="Tabletext"/>
              <w:jc w:val="center"/>
              <w:rPr>
                <w:b/>
                <w:bCs/>
                <w:sz w:val="20"/>
              </w:rPr>
            </w:pPr>
            <w:r w:rsidRPr="00CE694C">
              <w:rPr>
                <w:sz w:val="20"/>
              </w:rPr>
              <w:t>N/A</w:t>
            </w:r>
            <w:r w:rsidRPr="00CE694C">
              <w:rPr>
                <w:sz w:val="20"/>
                <w:vertAlign w:val="superscript"/>
              </w:rPr>
              <w:t>(1)</w:t>
            </w:r>
          </w:p>
        </w:tc>
        <w:tc>
          <w:tcPr>
            <w:tcW w:w="745" w:type="dxa"/>
          </w:tcPr>
          <w:p w:rsidR="00D176FD" w:rsidRPr="00CE694C" w:rsidRDefault="00D176FD" w:rsidP="00FD03E1">
            <w:pPr>
              <w:pStyle w:val="Tabletext"/>
              <w:jc w:val="center"/>
              <w:rPr>
                <w:sz w:val="20"/>
              </w:rPr>
            </w:pPr>
            <w:r w:rsidRPr="00CE694C">
              <w:rPr>
                <w:sz w:val="20"/>
              </w:rPr>
              <w:t>0.012</w:t>
            </w:r>
          </w:p>
        </w:tc>
        <w:tc>
          <w:tcPr>
            <w:tcW w:w="2331" w:type="dxa"/>
          </w:tcPr>
          <w:p w:rsidR="00D176FD" w:rsidRPr="00CE694C" w:rsidRDefault="00D176FD" w:rsidP="00FD03E1">
            <w:pPr>
              <w:pStyle w:val="Tabletext"/>
              <w:jc w:val="center"/>
              <w:rPr>
                <w:b/>
                <w:bCs/>
                <w:sz w:val="20"/>
              </w:rPr>
            </w:pPr>
            <w:r w:rsidRPr="00CE694C">
              <w:rPr>
                <w:sz w:val="20"/>
              </w:rPr>
              <w:t>N/A</w:t>
            </w:r>
            <w:r w:rsidRPr="00CE694C">
              <w:rPr>
                <w:sz w:val="20"/>
                <w:vertAlign w:val="superscript"/>
              </w:rPr>
              <w:t>(1)</w:t>
            </w:r>
          </w:p>
        </w:tc>
      </w:tr>
      <w:tr w:rsidR="00D176FD" w:rsidRPr="00CE694C" w:rsidTr="00CE694C">
        <w:trPr>
          <w:jc w:val="center"/>
        </w:trPr>
        <w:tc>
          <w:tcPr>
            <w:tcW w:w="2424" w:type="dxa"/>
            <w:vMerge/>
            <w:tcBorders>
              <w:bottom w:val="nil"/>
            </w:tcBorders>
          </w:tcPr>
          <w:p w:rsidR="00D176FD" w:rsidRPr="00CE694C" w:rsidRDefault="00D176FD" w:rsidP="00CE694C">
            <w:pPr>
              <w:pStyle w:val="Tabletext"/>
              <w:jc w:val="left"/>
              <w:rPr>
                <w:sz w:val="20"/>
              </w:rPr>
            </w:pPr>
          </w:p>
        </w:tc>
        <w:tc>
          <w:tcPr>
            <w:tcW w:w="1088" w:type="dxa"/>
          </w:tcPr>
          <w:p w:rsidR="00D176FD" w:rsidRPr="00CE694C" w:rsidRDefault="00D176FD" w:rsidP="00FD03E1">
            <w:pPr>
              <w:pStyle w:val="Tabletext"/>
              <w:rPr>
                <w:sz w:val="20"/>
              </w:rPr>
            </w:pPr>
            <w:r w:rsidRPr="00CE694C">
              <w:rPr>
                <w:sz w:val="20"/>
              </w:rPr>
              <w:t>Data loss</w:t>
            </w:r>
          </w:p>
        </w:tc>
        <w:tc>
          <w:tcPr>
            <w:tcW w:w="810" w:type="dxa"/>
          </w:tcPr>
          <w:p w:rsidR="00D176FD" w:rsidRPr="00CE694C" w:rsidRDefault="00D176FD" w:rsidP="00FD03E1">
            <w:pPr>
              <w:pStyle w:val="Tabletext"/>
              <w:jc w:val="center"/>
              <w:rPr>
                <w:sz w:val="20"/>
              </w:rPr>
            </w:pPr>
            <w:r w:rsidRPr="00CE694C">
              <w:rPr>
                <w:sz w:val="20"/>
              </w:rPr>
              <w:t>0.012</w:t>
            </w:r>
          </w:p>
        </w:tc>
        <w:tc>
          <w:tcPr>
            <w:tcW w:w="2241" w:type="dxa"/>
          </w:tcPr>
          <w:p w:rsidR="00D176FD" w:rsidRPr="00CE694C" w:rsidRDefault="00D47630" w:rsidP="00FD03E1">
            <w:pPr>
              <w:pStyle w:val="Tabletext"/>
              <w:rPr>
                <w:sz w:val="20"/>
              </w:rPr>
            </w:pPr>
            <w:r>
              <w:rPr>
                <w:sz w:val="20"/>
              </w:rPr>
              <w:t>–</w:t>
            </w:r>
            <w:r w:rsidR="00D176FD" w:rsidRPr="00CE694C">
              <w:rPr>
                <w:sz w:val="20"/>
              </w:rPr>
              <w:t>162.1 dB(W/20 kHz)</w:t>
            </w:r>
          </w:p>
        </w:tc>
        <w:tc>
          <w:tcPr>
            <w:tcW w:w="745" w:type="dxa"/>
          </w:tcPr>
          <w:p w:rsidR="00D176FD" w:rsidRPr="00CE694C" w:rsidRDefault="00D176FD" w:rsidP="00FD03E1">
            <w:pPr>
              <w:pStyle w:val="Tabletext"/>
              <w:jc w:val="center"/>
              <w:rPr>
                <w:sz w:val="20"/>
              </w:rPr>
            </w:pPr>
            <w:r w:rsidRPr="00CE694C">
              <w:rPr>
                <w:sz w:val="20"/>
              </w:rPr>
              <w:t>0.018</w:t>
            </w:r>
          </w:p>
        </w:tc>
        <w:tc>
          <w:tcPr>
            <w:tcW w:w="2331" w:type="dxa"/>
          </w:tcPr>
          <w:p w:rsidR="00D176FD" w:rsidRPr="00CE694C" w:rsidRDefault="00D47630" w:rsidP="00FD03E1">
            <w:pPr>
              <w:pStyle w:val="Tabletext"/>
              <w:rPr>
                <w:sz w:val="20"/>
              </w:rPr>
            </w:pPr>
            <w:r>
              <w:rPr>
                <w:sz w:val="20"/>
              </w:rPr>
              <w:t>–</w:t>
            </w:r>
            <w:r w:rsidR="00D176FD" w:rsidRPr="00CE694C">
              <w:rPr>
                <w:sz w:val="20"/>
              </w:rPr>
              <w:t>161.9 dB(W/20 kHz)</w:t>
            </w:r>
          </w:p>
        </w:tc>
      </w:tr>
      <w:tr w:rsidR="00D176FD" w:rsidRPr="00CE694C" w:rsidTr="00CE694C">
        <w:trPr>
          <w:jc w:val="center"/>
        </w:trPr>
        <w:tc>
          <w:tcPr>
            <w:tcW w:w="2424" w:type="dxa"/>
            <w:vMerge w:val="restart"/>
          </w:tcPr>
          <w:p w:rsidR="00D176FD" w:rsidRPr="00CE694C" w:rsidRDefault="00D176FD" w:rsidP="00CE694C">
            <w:pPr>
              <w:pStyle w:val="Tabletext"/>
              <w:jc w:val="left"/>
              <w:rPr>
                <w:sz w:val="20"/>
              </w:rPr>
            </w:pPr>
            <w:r w:rsidRPr="00CE694C">
              <w:rPr>
                <w:sz w:val="20"/>
              </w:rPr>
              <w:t>403 MHz rocketsonde</w:t>
            </w:r>
          </w:p>
        </w:tc>
        <w:tc>
          <w:tcPr>
            <w:tcW w:w="1088" w:type="dxa"/>
            <w:tcBorders>
              <w:bottom w:val="nil"/>
            </w:tcBorders>
          </w:tcPr>
          <w:p w:rsidR="00D176FD" w:rsidRPr="00CE694C" w:rsidRDefault="00D176FD" w:rsidP="00FD03E1">
            <w:pPr>
              <w:pStyle w:val="Tabletext"/>
              <w:rPr>
                <w:sz w:val="20"/>
              </w:rPr>
            </w:pPr>
            <w:r w:rsidRPr="00CE694C">
              <w:rPr>
                <w:sz w:val="20"/>
              </w:rPr>
              <w:t>Lock loss</w:t>
            </w:r>
          </w:p>
        </w:tc>
        <w:tc>
          <w:tcPr>
            <w:tcW w:w="810" w:type="dxa"/>
            <w:tcBorders>
              <w:bottom w:val="nil"/>
            </w:tcBorders>
          </w:tcPr>
          <w:p w:rsidR="00D176FD" w:rsidRPr="00CE694C" w:rsidRDefault="00D176FD" w:rsidP="00FD03E1">
            <w:pPr>
              <w:pStyle w:val="Tabletext"/>
              <w:jc w:val="center"/>
              <w:rPr>
                <w:sz w:val="20"/>
              </w:rPr>
            </w:pPr>
            <w:r w:rsidRPr="00CE694C">
              <w:rPr>
                <w:sz w:val="20"/>
              </w:rPr>
              <w:t>0.008</w:t>
            </w:r>
          </w:p>
        </w:tc>
        <w:tc>
          <w:tcPr>
            <w:tcW w:w="2241" w:type="dxa"/>
            <w:tcBorders>
              <w:bottom w:val="nil"/>
            </w:tcBorders>
          </w:tcPr>
          <w:p w:rsidR="00D176FD" w:rsidRPr="00CE694C" w:rsidRDefault="00D47630" w:rsidP="00FD03E1">
            <w:pPr>
              <w:pStyle w:val="Tabletext"/>
              <w:rPr>
                <w:sz w:val="20"/>
              </w:rPr>
            </w:pPr>
            <w:r>
              <w:rPr>
                <w:sz w:val="20"/>
              </w:rPr>
              <w:t>–</w:t>
            </w:r>
            <w:r w:rsidR="00D176FD" w:rsidRPr="00CE694C">
              <w:rPr>
                <w:sz w:val="20"/>
              </w:rPr>
              <w:t>116.9 dB(W/3.0 MHz)</w:t>
            </w:r>
          </w:p>
        </w:tc>
        <w:tc>
          <w:tcPr>
            <w:tcW w:w="745" w:type="dxa"/>
            <w:tcBorders>
              <w:bottom w:val="nil"/>
            </w:tcBorders>
          </w:tcPr>
          <w:p w:rsidR="00D176FD" w:rsidRPr="00CE694C" w:rsidRDefault="00D176FD" w:rsidP="00FD03E1">
            <w:pPr>
              <w:pStyle w:val="Tabletext"/>
              <w:jc w:val="center"/>
              <w:rPr>
                <w:sz w:val="20"/>
              </w:rPr>
            </w:pPr>
            <w:r w:rsidRPr="00CE694C">
              <w:rPr>
                <w:sz w:val="20"/>
              </w:rPr>
              <w:t>0.012</w:t>
            </w:r>
          </w:p>
        </w:tc>
        <w:tc>
          <w:tcPr>
            <w:tcW w:w="2331" w:type="dxa"/>
            <w:tcBorders>
              <w:bottom w:val="nil"/>
            </w:tcBorders>
          </w:tcPr>
          <w:p w:rsidR="00D176FD" w:rsidRPr="00CE694C" w:rsidRDefault="00D47630" w:rsidP="00D47630">
            <w:pPr>
              <w:pStyle w:val="Tabletext"/>
              <w:rPr>
                <w:sz w:val="20"/>
              </w:rPr>
            </w:pPr>
            <w:r>
              <w:rPr>
                <w:sz w:val="20"/>
              </w:rPr>
              <w:t>–</w:t>
            </w:r>
            <w:r w:rsidR="00D176FD" w:rsidRPr="00CE694C">
              <w:rPr>
                <w:sz w:val="20"/>
              </w:rPr>
              <w:t>116.9 dB(W/3.0 MHz)</w:t>
            </w:r>
          </w:p>
        </w:tc>
      </w:tr>
      <w:tr w:rsidR="00D176FD" w:rsidRPr="00CE694C" w:rsidTr="00CE694C">
        <w:trPr>
          <w:jc w:val="center"/>
        </w:trPr>
        <w:tc>
          <w:tcPr>
            <w:tcW w:w="2424" w:type="dxa"/>
            <w:vMerge/>
            <w:tcBorders>
              <w:bottom w:val="single" w:sz="6" w:space="0" w:color="000000"/>
            </w:tcBorders>
          </w:tcPr>
          <w:p w:rsidR="00D176FD" w:rsidRPr="00CE694C" w:rsidRDefault="00D176FD" w:rsidP="00FD03E1">
            <w:pPr>
              <w:pStyle w:val="Tabletext"/>
              <w:rPr>
                <w:sz w:val="20"/>
              </w:rPr>
            </w:pPr>
          </w:p>
        </w:tc>
        <w:tc>
          <w:tcPr>
            <w:tcW w:w="1088" w:type="dxa"/>
            <w:tcBorders>
              <w:bottom w:val="single" w:sz="6" w:space="0" w:color="000000"/>
            </w:tcBorders>
          </w:tcPr>
          <w:p w:rsidR="00D176FD" w:rsidRPr="00CE694C" w:rsidRDefault="00D176FD" w:rsidP="00FD03E1">
            <w:pPr>
              <w:pStyle w:val="Tabletext"/>
              <w:rPr>
                <w:sz w:val="20"/>
              </w:rPr>
            </w:pPr>
            <w:r w:rsidRPr="00CE694C">
              <w:rPr>
                <w:sz w:val="20"/>
              </w:rPr>
              <w:t xml:space="preserve">Data loss </w:t>
            </w:r>
          </w:p>
        </w:tc>
        <w:tc>
          <w:tcPr>
            <w:tcW w:w="810" w:type="dxa"/>
            <w:tcBorders>
              <w:bottom w:val="single" w:sz="6" w:space="0" w:color="000000"/>
            </w:tcBorders>
          </w:tcPr>
          <w:p w:rsidR="00D176FD" w:rsidRPr="00CE694C" w:rsidRDefault="00D176FD" w:rsidP="00FD03E1">
            <w:pPr>
              <w:pStyle w:val="Tabletext"/>
              <w:jc w:val="center"/>
              <w:rPr>
                <w:sz w:val="20"/>
              </w:rPr>
            </w:pPr>
            <w:r w:rsidRPr="00CE694C">
              <w:rPr>
                <w:sz w:val="20"/>
              </w:rPr>
              <w:t>0.012</w:t>
            </w:r>
          </w:p>
        </w:tc>
        <w:tc>
          <w:tcPr>
            <w:tcW w:w="2241" w:type="dxa"/>
            <w:tcBorders>
              <w:bottom w:val="single" w:sz="6" w:space="0" w:color="000000"/>
            </w:tcBorders>
          </w:tcPr>
          <w:p w:rsidR="00D176FD" w:rsidRPr="00CE694C" w:rsidRDefault="00D47630" w:rsidP="00FD03E1">
            <w:pPr>
              <w:pStyle w:val="Tabletext"/>
              <w:rPr>
                <w:sz w:val="20"/>
              </w:rPr>
            </w:pPr>
            <w:r>
              <w:rPr>
                <w:sz w:val="20"/>
              </w:rPr>
              <w:t>–</w:t>
            </w:r>
            <w:r w:rsidR="00D176FD" w:rsidRPr="00CE694C">
              <w:rPr>
                <w:sz w:val="20"/>
              </w:rPr>
              <w:t>122.2 dB(W/3.0 MHz)</w:t>
            </w:r>
          </w:p>
        </w:tc>
        <w:tc>
          <w:tcPr>
            <w:tcW w:w="745" w:type="dxa"/>
            <w:tcBorders>
              <w:bottom w:val="single" w:sz="6" w:space="0" w:color="000000"/>
            </w:tcBorders>
          </w:tcPr>
          <w:p w:rsidR="00D176FD" w:rsidRPr="00CE694C" w:rsidRDefault="00D176FD" w:rsidP="00FD03E1">
            <w:pPr>
              <w:pStyle w:val="Tabletext"/>
              <w:jc w:val="center"/>
              <w:rPr>
                <w:sz w:val="20"/>
              </w:rPr>
            </w:pPr>
            <w:r w:rsidRPr="00CE694C">
              <w:rPr>
                <w:sz w:val="20"/>
              </w:rPr>
              <w:t>0.018</w:t>
            </w:r>
          </w:p>
        </w:tc>
        <w:tc>
          <w:tcPr>
            <w:tcW w:w="2331" w:type="dxa"/>
            <w:tcBorders>
              <w:bottom w:val="single" w:sz="6" w:space="0" w:color="000000"/>
            </w:tcBorders>
          </w:tcPr>
          <w:p w:rsidR="00D176FD" w:rsidRPr="00CE694C" w:rsidRDefault="00D47630" w:rsidP="00D47630">
            <w:pPr>
              <w:pStyle w:val="Tabletext"/>
              <w:rPr>
                <w:sz w:val="20"/>
              </w:rPr>
            </w:pPr>
            <w:r>
              <w:rPr>
                <w:sz w:val="20"/>
              </w:rPr>
              <w:t>–</w:t>
            </w:r>
            <w:r w:rsidR="00D176FD" w:rsidRPr="00CE694C">
              <w:rPr>
                <w:sz w:val="20"/>
              </w:rPr>
              <w:t>122.2 dB(W/3.0 MHz)</w:t>
            </w:r>
          </w:p>
        </w:tc>
      </w:tr>
      <w:tr w:rsidR="00CE694C" w:rsidRPr="00047754" w:rsidTr="00CE694C">
        <w:trPr>
          <w:jc w:val="center"/>
        </w:trPr>
        <w:tc>
          <w:tcPr>
            <w:tcW w:w="9639" w:type="dxa"/>
            <w:gridSpan w:val="6"/>
            <w:tcBorders>
              <w:left w:val="nil"/>
              <w:bottom w:val="nil"/>
              <w:right w:val="nil"/>
            </w:tcBorders>
          </w:tcPr>
          <w:p w:rsidR="00CE694C" w:rsidRPr="00047754" w:rsidRDefault="00CE694C" w:rsidP="00CE694C">
            <w:pPr>
              <w:pStyle w:val="Tablelegend"/>
              <w:rPr>
                <w:sz w:val="20"/>
                <w:lang w:val="en-US"/>
              </w:rPr>
            </w:pPr>
            <w:r w:rsidRPr="00047754">
              <w:rPr>
                <w:sz w:val="20"/>
                <w:lang w:val="en-US"/>
              </w:rPr>
              <w:t>N/A: Not applicable.</w:t>
            </w:r>
          </w:p>
          <w:p w:rsidR="00CE694C" w:rsidRPr="00047754" w:rsidRDefault="00CE694C" w:rsidP="00CE694C">
            <w:pPr>
              <w:pStyle w:val="Tablelegend"/>
              <w:rPr>
                <w:sz w:val="20"/>
                <w:lang w:val="en-US"/>
              </w:rPr>
            </w:pPr>
            <w:r w:rsidRPr="00047754">
              <w:rPr>
                <w:sz w:val="20"/>
                <w:vertAlign w:val="superscript"/>
                <w:lang w:val="en-US"/>
              </w:rPr>
              <w:t>(1)</w:t>
            </w:r>
            <w:r w:rsidRPr="00047754">
              <w:rPr>
                <w:sz w:val="20"/>
                <w:lang w:val="en-US"/>
              </w:rPr>
              <w:tab/>
              <w:t>Systems with omnidirectional antennas are not vulnerable to losing antenna lock on the signal due to interference or signal fading.</w:t>
            </w:r>
          </w:p>
        </w:tc>
      </w:tr>
    </w:tbl>
    <w:p w:rsidR="00D176FD" w:rsidRPr="008F60B1" w:rsidRDefault="00D176FD" w:rsidP="00CE694C">
      <w:pPr>
        <w:pStyle w:val="Tablefin"/>
      </w:pPr>
    </w:p>
    <w:p w:rsidR="00D176FD" w:rsidRPr="00047754" w:rsidRDefault="00D176FD" w:rsidP="00D176FD">
      <w:pPr>
        <w:pStyle w:val="Heading2"/>
        <w:rPr>
          <w:snapToGrid w:val="0"/>
          <w:lang w:val="en-US"/>
        </w:rPr>
      </w:pPr>
      <w:bookmarkStart w:id="11" w:name="_Toc393251814"/>
      <w:r w:rsidRPr="00047754">
        <w:rPr>
          <w:snapToGrid w:val="0"/>
          <w:lang w:val="en-US"/>
        </w:rPr>
        <w:t>2.2</w:t>
      </w:r>
      <w:r w:rsidRPr="00047754">
        <w:rPr>
          <w:snapToGrid w:val="0"/>
          <w:lang w:val="en-US"/>
        </w:rPr>
        <w:tab/>
        <w:t>Calculation of single-entry criteria</w:t>
      </w:r>
      <w:bookmarkEnd w:id="11"/>
    </w:p>
    <w:p w:rsidR="00D176FD" w:rsidRPr="00047754" w:rsidRDefault="00D176FD" w:rsidP="00D176FD">
      <w:pPr>
        <w:rPr>
          <w:snapToGrid w:val="0"/>
          <w:lang w:val="en-US"/>
        </w:rPr>
      </w:pPr>
      <w:r w:rsidRPr="00047754">
        <w:rPr>
          <w:snapToGrid w:val="0"/>
          <w:lang w:val="en-US"/>
        </w:rPr>
        <w:t xml:space="preserve">In accordance with Annex 1, single-entry criteria are normally calculated for individual emitters. Since the exact characteristics of the systems which could potentially be sharing in these bands is not known, the single-entry levels will be calculated for a single system rather than emitter. Subdivision of the levels for individual emitters can be accomplished in the formal coordination process. In order to divide the interference into individual systems, the number of terrestrial systems, </w:t>
      </w:r>
      <w:r w:rsidRPr="00047754">
        <w:rPr>
          <w:i/>
          <w:iCs/>
          <w:snapToGrid w:val="0"/>
          <w:lang w:val="en-US"/>
        </w:rPr>
        <w:t>nt</w:t>
      </w:r>
      <w:r w:rsidRPr="00047754">
        <w:rPr>
          <w:snapToGrid w:val="0"/>
          <w:lang w:val="en-US"/>
        </w:rPr>
        <w:t xml:space="preserve">, and the number of space-to-Earth, </w:t>
      </w:r>
      <w:r w:rsidRPr="00047754">
        <w:rPr>
          <w:i/>
          <w:iCs/>
          <w:snapToGrid w:val="0"/>
          <w:lang w:val="en-US"/>
        </w:rPr>
        <w:t>ns</w:t>
      </w:r>
      <w:r w:rsidRPr="00047754">
        <w:rPr>
          <w:snapToGrid w:val="0"/>
          <w:lang w:val="en-US"/>
        </w:rPr>
        <w:t> – </w:t>
      </w:r>
      <w:r w:rsidRPr="00047754">
        <w:rPr>
          <w:i/>
          <w:iCs/>
          <w:snapToGrid w:val="0"/>
          <w:lang w:val="en-US"/>
        </w:rPr>
        <w:t>E</w:t>
      </w:r>
      <w:r w:rsidRPr="00047754">
        <w:rPr>
          <w:snapToGrid w:val="0"/>
          <w:lang w:val="en-US"/>
        </w:rPr>
        <w:t>, systems must be estimated. For both bands it will be assumed that three terrestrial systems may be present (</w:t>
      </w:r>
      <w:r w:rsidRPr="00047754">
        <w:rPr>
          <w:i/>
          <w:iCs/>
          <w:snapToGrid w:val="0"/>
          <w:lang w:val="en-US"/>
        </w:rPr>
        <w:t>nt</w:t>
      </w:r>
      <w:r w:rsidRPr="00047754">
        <w:rPr>
          <w:snapToGrid w:val="0"/>
          <w:lang w:val="en-US"/>
        </w:rPr>
        <w:t> = 3) and three space-to-Earth systems may be present (</w:t>
      </w:r>
      <w:r w:rsidRPr="00047754">
        <w:rPr>
          <w:i/>
          <w:iCs/>
          <w:snapToGrid w:val="0"/>
          <w:lang w:val="en-US"/>
        </w:rPr>
        <w:t>ns</w:t>
      </w:r>
      <w:r w:rsidRPr="00047754">
        <w:rPr>
          <w:snapToGrid w:val="0"/>
          <w:lang w:val="en-US"/>
        </w:rPr>
        <w:t> – </w:t>
      </w:r>
      <w:r w:rsidRPr="00047754">
        <w:rPr>
          <w:i/>
          <w:iCs/>
          <w:snapToGrid w:val="0"/>
          <w:lang w:val="en-US"/>
        </w:rPr>
        <w:t>E</w:t>
      </w:r>
      <w:r w:rsidRPr="00047754">
        <w:rPr>
          <w:snapToGrid w:val="0"/>
          <w:lang w:val="en-US"/>
        </w:rPr>
        <w:t> = 3). The long-term interference is subdivided on a power basis since long-term levels are mutually correlated; and is calculated using equation (3) of Annex 1. Since the short-term levels can be assumed to be mutually uncorrelated, the short-term levels are subdivided on a time basis. The long-term level will also be present for large percentages of time and must be subtracted from the short-term level. This division is performed using equations (4a) and (4b) of Annex 1. The short-term and long-term single-entry (single service) criteria are calculated in accordance with Annex 1 and presented in Tables 5 and 6.</w:t>
      </w:r>
    </w:p>
    <w:p w:rsidR="00D176FD" w:rsidRPr="00047754" w:rsidRDefault="00CE694C" w:rsidP="00D176FD">
      <w:pPr>
        <w:pStyle w:val="TableNo"/>
        <w:rPr>
          <w:snapToGrid w:val="0"/>
          <w:lang w:val="en-US"/>
        </w:rPr>
      </w:pPr>
      <w:r w:rsidRPr="00047754">
        <w:rPr>
          <w:snapToGrid w:val="0"/>
          <w:lang w:val="en-US"/>
        </w:rPr>
        <w:lastRenderedPageBreak/>
        <w:t>TABLE</w:t>
      </w:r>
      <w:r w:rsidR="00D176FD" w:rsidRPr="00047754">
        <w:rPr>
          <w:snapToGrid w:val="0"/>
          <w:lang w:val="en-US"/>
        </w:rPr>
        <w:t xml:space="preserve"> 5</w:t>
      </w:r>
    </w:p>
    <w:p w:rsidR="00D176FD" w:rsidRPr="00047754" w:rsidRDefault="00D176FD" w:rsidP="00BF190D">
      <w:pPr>
        <w:pStyle w:val="Tabletitle"/>
        <w:rPr>
          <w:snapToGrid w:val="0"/>
          <w:lang w:val="en-US"/>
        </w:rPr>
      </w:pPr>
      <w:r w:rsidRPr="00047754">
        <w:rPr>
          <w:snapToGrid w:val="0"/>
          <w:lang w:val="en-US"/>
        </w:rPr>
        <w:t>Long-term single system entry criteria</w:t>
      </w:r>
      <w:r w:rsidR="00BF190D" w:rsidRPr="00047754">
        <w:rPr>
          <w:snapToGrid w:val="0"/>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3745"/>
        <w:gridCol w:w="2947"/>
        <w:gridCol w:w="2947"/>
      </w:tblGrid>
      <w:tr w:rsidR="00D176FD" w:rsidRPr="008F60B1" w:rsidTr="00D47630">
        <w:trPr>
          <w:jc w:val="center"/>
        </w:trPr>
        <w:tc>
          <w:tcPr>
            <w:tcW w:w="3402" w:type="dxa"/>
          </w:tcPr>
          <w:p w:rsidR="00D176FD" w:rsidRPr="008F60B1" w:rsidRDefault="00D176FD" w:rsidP="00FD03E1">
            <w:pPr>
              <w:pStyle w:val="Tablehead"/>
            </w:pPr>
            <w:r w:rsidRPr="008F60B1">
              <w:t>System type</w:t>
            </w:r>
          </w:p>
        </w:tc>
        <w:tc>
          <w:tcPr>
            <w:tcW w:w="2676" w:type="dxa"/>
          </w:tcPr>
          <w:p w:rsidR="00D176FD" w:rsidRPr="008F60B1" w:rsidRDefault="00CC3B9A" w:rsidP="00CC3B9A">
            <w:pPr>
              <w:pStyle w:val="Tablehead"/>
            </w:pPr>
            <w:r w:rsidRPr="008F60B1">
              <w:rPr>
                <w:i/>
                <w:iCs/>
              </w:rPr>
              <w:t>i</w:t>
            </w:r>
            <w:r w:rsidRPr="00CC3B9A">
              <w:sym w:font="Symbol" w:char="F0A2"/>
            </w:r>
            <w:r w:rsidR="00D176FD" w:rsidRPr="00CC3B9A">
              <w:rPr>
                <w:i/>
                <w:iCs/>
                <w:szCs w:val="14"/>
                <w:vertAlign w:val="subscript"/>
              </w:rPr>
              <w:t>s</w:t>
            </w:r>
            <w:r w:rsidR="00D176FD" w:rsidRPr="00CC3B9A">
              <w:rPr>
                <w:szCs w:val="14"/>
                <w:vertAlign w:val="subscript"/>
              </w:rPr>
              <w:t>(20)</w:t>
            </w:r>
          </w:p>
        </w:tc>
        <w:tc>
          <w:tcPr>
            <w:tcW w:w="2676" w:type="dxa"/>
          </w:tcPr>
          <w:p w:rsidR="00D176FD" w:rsidRPr="008F60B1" w:rsidRDefault="00CC3B9A" w:rsidP="00FD03E1">
            <w:pPr>
              <w:pStyle w:val="Tablehead"/>
            </w:pPr>
            <w:r w:rsidRPr="008F60B1">
              <w:rPr>
                <w:i/>
                <w:iCs/>
              </w:rPr>
              <w:t>i</w:t>
            </w:r>
            <w:r w:rsidRPr="00CC3B9A">
              <w:sym w:font="Symbol" w:char="F0A2"/>
            </w:r>
            <w:r w:rsidRPr="00CC3B9A">
              <w:rPr>
                <w:i/>
                <w:iCs/>
                <w:szCs w:val="14"/>
                <w:vertAlign w:val="subscript"/>
              </w:rPr>
              <w:t>s</w:t>
            </w:r>
            <w:r w:rsidRPr="00CC3B9A">
              <w:rPr>
                <w:szCs w:val="14"/>
                <w:vertAlign w:val="subscript"/>
              </w:rPr>
              <w:t>(20)</w:t>
            </w:r>
          </w:p>
        </w:tc>
      </w:tr>
      <w:tr w:rsidR="00D176FD" w:rsidRPr="008F60B1" w:rsidTr="00D47630">
        <w:trPr>
          <w:jc w:val="center"/>
        </w:trPr>
        <w:tc>
          <w:tcPr>
            <w:tcW w:w="3402" w:type="dxa"/>
          </w:tcPr>
          <w:p w:rsidR="00D176FD" w:rsidRPr="008F60B1" w:rsidRDefault="00D176FD" w:rsidP="00BF190D">
            <w:pPr>
              <w:pStyle w:val="Tabletext"/>
              <w:jc w:val="left"/>
            </w:pPr>
            <w:r w:rsidRPr="008F60B1">
              <w:t>1</w:t>
            </w:r>
            <w:r w:rsidRPr="008F60B1">
              <w:rPr>
                <w:sz w:val="12"/>
                <w:szCs w:val="12"/>
              </w:rPr>
              <w:t> </w:t>
            </w:r>
            <w:r w:rsidRPr="008F60B1">
              <w:t>680 MHz RDF</w:t>
            </w:r>
          </w:p>
        </w:tc>
        <w:tc>
          <w:tcPr>
            <w:tcW w:w="2676" w:type="dxa"/>
          </w:tcPr>
          <w:p w:rsidR="00D176FD" w:rsidRPr="008F60B1" w:rsidRDefault="00BF190D" w:rsidP="00BF190D">
            <w:pPr>
              <w:pStyle w:val="Tabletext"/>
            </w:pPr>
            <w:r>
              <w:t>–</w:t>
            </w:r>
            <w:r w:rsidR="00D176FD" w:rsidRPr="008F60B1">
              <w:t>164.0 dB(W/1.3 MHz)</w:t>
            </w:r>
          </w:p>
        </w:tc>
        <w:tc>
          <w:tcPr>
            <w:tcW w:w="2676" w:type="dxa"/>
          </w:tcPr>
          <w:p w:rsidR="00D176FD" w:rsidRPr="008F60B1" w:rsidRDefault="00BF190D" w:rsidP="00FD03E1">
            <w:pPr>
              <w:pStyle w:val="Tabletext"/>
            </w:pPr>
            <w:r>
              <w:t>–</w:t>
            </w:r>
            <w:r w:rsidR="00D176FD" w:rsidRPr="008F60B1">
              <w:t>162.2 dB(W/1.3 MHz)</w:t>
            </w:r>
          </w:p>
        </w:tc>
      </w:tr>
      <w:tr w:rsidR="00D176FD" w:rsidRPr="008F60B1" w:rsidTr="00D47630">
        <w:trPr>
          <w:jc w:val="center"/>
        </w:trPr>
        <w:tc>
          <w:tcPr>
            <w:tcW w:w="3402" w:type="dxa"/>
          </w:tcPr>
          <w:p w:rsidR="00D176FD" w:rsidRPr="008F60B1" w:rsidRDefault="00D176FD" w:rsidP="00BF190D">
            <w:pPr>
              <w:pStyle w:val="Tabletext"/>
              <w:jc w:val="left"/>
            </w:pPr>
            <w:r w:rsidRPr="008F60B1">
              <w:t>GPS radiosonde (1 675-1 683 MHz)</w:t>
            </w:r>
          </w:p>
        </w:tc>
        <w:tc>
          <w:tcPr>
            <w:tcW w:w="2676" w:type="dxa"/>
          </w:tcPr>
          <w:p w:rsidR="00D176FD" w:rsidRPr="008F60B1" w:rsidRDefault="00BF190D" w:rsidP="00FD03E1">
            <w:pPr>
              <w:pStyle w:val="Tabletext"/>
            </w:pPr>
            <w:r>
              <w:t>–</w:t>
            </w:r>
            <w:r w:rsidR="00D176FD" w:rsidRPr="008F60B1">
              <w:t>161.4 dB(W/150 kHz)</w:t>
            </w:r>
          </w:p>
        </w:tc>
        <w:tc>
          <w:tcPr>
            <w:tcW w:w="2676" w:type="dxa"/>
          </w:tcPr>
          <w:p w:rsidR="00D176FD" w:rsidRPr="008F60B1" w:rsidRDefault="00BF190D" w:rsidP="00FD03E1">
            <w:pPr>
              <w:pStyle w:val="Tabletext"/>
            </w:pPr>
            <w:r>
              <w:t>–</w:t>
            </w:r>
            <w:r w:rsidR="00D176FD" w:rsidRPr="008F60B1">
              <w:t>159.6 dB (W/150 kHz)</w:t>
            </w:r>
          </w:p>
        </w:tc>
      </w:tr>
      <w:tr w:rsidR="00D176FD" w:rsidRPr="008F60B1" w:rsidTr="00D47630">
        <w:trPr>
          <w:jc w:val="center"/>
        </w:trPr>
        <w:tc>
          <w:tcPr>
            <w:tcW w:w="3402" w:type="dxa"/>
          </w:tcPr>
          <w:p w:rsidR="00D176FD" w:rsidRPr="00047754" w:rsidRDefault="00D176FD" w:rsidP="00BF190D">
            <w:pPr>
              <w:pStyle w:val="Tabletext"/>
              <w:jc w:val="left"/>
              <w:rPr>
                <w:lang w:val="en-US"/>
              </w:rPr>
            </w:pPr>
            <w:r w:rsidRPr="00047754">
              <w:rPr>
                <w:lang w:val="en-US"/>
              </w:rPr>
              <w:t>403 MHz NAVAID</w:t>
            </w:r>
            <w:r w:rsidR="00BF190D" w:rsidRPr="00047754">
              <w:rPr>
                <w:lang w:val="en-US"/>
              </w:rPr>
              <w:br/>
            </w:r>
            <w:r w:rsidRPr="00047754">
              <w:rPr>
                <w:lang w:val="en-US"/>
              </w:rPr>
              <w:t>with directional antenna</w:t>
            </w:r>
          </w:p>
        </w:tc>
        <w:tc>
          <w:tcPr>
            <w:tcW w:w="2676" w:type="dxa"/>
          </w:tcPr>
          <w:p w:rsidR="00D176FD" w:rsidRPr="008F60B1" w:rsidRDefault="00BF190D" w:rsidP="00FD03E1">
            <w:pPr>
              <w:pStyle w:val="Tabletext"/>
            </w:pPr>
            <w:r>
              <w:t>–</w:t>
            </w:r>
            <w:r w:rsidR="00D176FD" w:rsidRPr="008F60B1">
              <w:t>164.9 dB(W/300 kHz)</w:t>
            </w:r>
          </w:p>
        </w:tc>
        <w:tc>
          <w:tcPr>
            <w:tcW w:w="2676" w:type="dxa"/>
          </w:tcPr>
          <w:p w:rsidR="00D176FD" w:rsidRPr="008F60B1" w:rsidRDefault="00BF190D" w:rsidP="00FD03E1">
            <w:pPr>
              <w:pStyle w:val="Tabletext"/>
            </w:pPr>
            <w:r>
              <w:t>–</w:t>
            </w:r>
            <w:r w:rsidR="00D176FD" w:rsidRPr="008F60B1">
              <w:t>163.1 dB(W/300 kHz)</w:t>
            </w:r>
          </w:p>
        </w:tc>
      </w:tr>
      <w:tr w:rsidR="00D176FD" w:rsidRPr="008F60B1" w:rsidTr="00D47630">
        <w:trPr>
          <w:jc w:val="center"/>
        </w:trPr>
        <w:tc>
          <w:tcPr>
            <w:tcW w:w="3402" w:type="dxa"/>
          </w:tcPr>
          <w:p w:rsidR="00D176FD" w:rsidRPr="00047754" w:rsidRDefault="00D176FD" w:rsidP="00BF190D">
            <w:pPr>
              <w:pStyle w:val="Tabletext"/>
              <w:jc w:val="left"/>
              <w:rPr>
                <w:lang w:val="en-US"/>
              </w:rPr>
            </w:pPr>
            <w:r w:rsidRPr="00047754">
              <w:rPr>
                <w:lang w:val="en-US"/>
              </w:rPr>
              <w:t>403 MHz NAVAID</w:t>
            </w:r>
            <w:r w:rsidR="00BF190D" w:rsidRPr="00047754">
              <w:rPr>
                <w:lang w:val="en-US"/>
              </w:rPr>
              <w:br/>
            </w:r>
            <w:r w:rsidRPr="00047754">
              <w:rPr>
                <w:lang w:val="en-US"/>
              </w:rPr>
              <w:t>with omnidirectional antenna</w:t>
            </w:r>
          </w:p>
        </w:tc>
        <w:tc>
          <w:tcPr>
            <w:tcW w:w="2676" w:type="dxa"/>
          </w:tcPr>
          <w:p w:rsidR="00D176FD" w:rsidRPr="008F60B1" w:rsidRDefault="00BF190D" w:rsidP="00FD03E1">
            <w:pPr>
              <w:pStyle w:val="Tabletext"/>
            </w:pPr>
            <w:r>
              <w:t>–</w:t>
            </w:r>
            <w:r w:rsidR="00D176FD" w:rsidRPr="008F60B1">
              <w:t>164.9 dB(W/300 kHz)</w:t>
            </w:r>
          </w:p>
        </w:tc>
        <w:tc>
          <w:tcPr>
            <w:tcW w:w="2676" w:type="dxa"/>
          </w:tcPr>
          <w:p w:rsidR="00D176FD" w:rsidRPr="008F60B1" w:rsidRDefault="00BF190D" w:rsidP="00FD03E1">
            <w:pPr>
              <w:pStyle w:val="Tabletext"/>
            </w:pPr>
            <w:r>
              <w:t>–</w:t>
            </w:r>
            <w:r w:rsidR="00D176FD" w:rsidRPr="008F60B1">
              <w:t>163.1 dB(W/300 kHz)</w:t>
            </w:r>
          </w:p>
        </w:tc>
      </w:tr>
      <w:tr w:rsidR="00D176FD" w:rsidRPr="008F60B1" w:rsidTr="00D47630">
        <w:trPr>
          <w:jc w:val="center"/>
        </w:trPr>
        <w:tc>
          <w:tcPr>
            <w:tcW w:w="3402" w:type="dxa"/>
          </w:tcPr>
          <w:p w:rsidR="00D176FD" w:rsidRPr="008F60B1" w:rsidRDefault="00D176FD" w:rsidP="00BF190D">
            <w:pPr>
              <w:pStyle w:val="Tabletext"/>
              <w:jc w:val="left"/>
            </w:pPr>
            <w:r w:rsidRPr="008F60B1">
              <w:t>403 MHz dropsonde</w:t>
            </w:r>
          </w:p>
        </w:tc>
        <w:tc>
          <w:tcPr>
            <w:tcW w:w="2676" w:type="dxa"/>
          </w:tcPr>
          <w:p w:rsidR="00D176FD" w:rsidRPr="008F60B1" w:rsidRDefault="00BF190D" w:rsidP="00FD03E1">
            <w:pPr>
              <w:pStyle w:val="Tabletext"/>
            </w:pPr>
            <w:r>
              <w:t>–</w:t>
            </w:r>
            <w:r w:rsidR="00D176FD" w:rsidRPr="008F60B1">
              <w:t>177.7 dB(W/20 kHz)</w:t>
            </w:r>
          </w:p>
        </w:tc>
        <w:tc>
          <w:tcPr>
            <w:tcW w:w="2676" w:type="dxa"/>
          </w:tcPr>
          <w:p w:rsidR="00D176FD" w:rsidRPr="008F60B1" w:rsidRDefault="00BF190D" w:rsidP="00FD03E1">
            <w:pPr>
              <w:pStyle w:val="Tabletext"/>
            </w:pPr>
            <w:r>
              <w:t>–</w:t>
            </w:r>
            <w:r w:rsidR="00D176FD" w:rsidRPr="008F60B1">
              <w:t>175.9 dB(W/20 kHz)</w:t>
            </w:r>
          </w:p>
        </w:tc>
      </w:tr>
      <w:tr w:rsidR="00D176FD" w:rsidRPr="008F60B1" w:rsidTr="00D47630">
        <w:trPr>
          <w:jc w:val="center"/>
        </w:trPr>
        <w:tc>
          <w:tcPr>
            <w:tcW w:w="3402" w:type="dxa"/>
          </w:tcPr>
          <w:p w:rsidR="00D176FD" w:rsidRPr="008F60B1" w:rsidRDefault="00D176FD" w:rsidP="00BF190D">
            <w:pPr>
              <w:pStyle w:val="Tabletext"/>
              <w:jc w:val="left"/>
            </w:pPr>
            <w:r w:rsidRPr="008F60B1">
              <w:t>403 MHz rocketsonde</w:t>
            </w:r>
          </w:p>
        </w:tc>
        <w:tc>
          <w:tcPr>
            <w:tcW w:w="2676" w:type="dxa"/>
          </w:tcPr>
          <w:p w:rsidR="00D176FD" w:rsidRPr="008F60B1" w:rsidRDefault="00BF190D" w:rsidP="00FD03E1">
            <w:pPr>
              <w:pStyle w:val="Tabletext"/>
            </w:pPr>
            <w:r>
              <w:t>–</w:t>
            </w:r>
            <w:r w:rsidR="00D176FD" w:rsidRPr="008F60B1">
              <w:t>144.4 dB(W/3.0 MHz)</w:t>
            </w:r>
          </w:p>
        </w:tc>
        <w:tc>
          <w:tcPr>
            <w:tcW w:w="2676" w:type="dxa"/>
          </w:tcPr>
          <w:p w:rsidR="00D176FD" w:rsidRPr="008F60B1" w:rsidRDefault="00BF190D" w:rsidP="00FD03E1">
            <w:pPr>
              <w:pStyle w:val="Tabletext"/>
            </w:pPr>
            <w:r>
              <w:t>–</w:t>
            </w:r>
            <w:r w:rsidR="00D176FD" w:rsidRPr="008F60B1">
              <w:t>142.6 dB(W/3.0 MHz)</w:t>
            </w:r>
          </w:p>
        </w:tc>
      </w:tr>
      <w:tr w:rsidR="00D176FD" w:rsidRPr="00047754" w:rsidTr="00D47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754" w:type="dxa"/>
            <w:gridSpan w:val="3"/>
            <w:tcBorders>
              <w:top w:val="nil"/>
              <w:left w:val="nil"/>
              <w:bottom w:val="nil"/>
              <w:right w:val="nil"/>
            </w:tcBorders>
          </w:tcPr>
          <w:p w:rsidR="00D176FD" w:rsidRPr="00047754" w:rsidRDefault="00D176FD" w:rsidP="00BF190D">
            <w:pPr>
              <w:pStyle w:val="Tablelegend"/>
              <w:rPr>
                <w:lang w:val="en-US"/>
              </w:rPr>
            </w:pPr>
            <w:r w:rsidRPr="00047754">
              <w:rPr>
                <w:lang w:val="en-US"/>
              </w:rPr>
              <w:t>*</w:t>
            </w:r>
            <w:r w:rsidRPr="00047754">
              <w:rPr>
                <w:lang w:val="en-US"/>
              </w:rPr>
              <w:tab/>
              <w:t>Since details of systems which could potentially share are unknown, these levels are calculated for a single system. Further subdivision to the single emitter level may be performed during the formal coordination process.</w:t>
            </w:r>
          </w:p>
        </w:tc>
      </w:tr>
    </w:tbl>
    <w:p w:rsidR="00BF190D" w:rsidRDefault="00BF190D" w:rsidP="00BF190D">
      <w:pPr>
        <w:pStyle w:val="Tablefin"/>
      </w:pPr>
    </w:p>
    <w:p w:rsidR="00F54315" w:rsidRPr="00F54315" w:rsidRDefault="00F54315" w:rsidP="00F54315">
      <w:pPr>
        <w:rPr>
          <w:lang w:val="en-GB"/>
        </w:rPr>
      </w:pPr>
    </w:p>
    <w:p w:rsidR="00D176FD" w:rsidRPr="00047754" w:rsidRDefault="00BF190D" w:rsidP="00D176FD">
      <w:pPr>
        <w:pStyle w:val="TableNo"/>
        <w:rPr>
          <w:snapToGrid w:val="0"/>
          <w:lang w:val="en-US"/>
        </w:rPr>
      </w:pPr>
      <w:r w:rsidRPr="00047754">
        <w:rPr>
          <w:lang w:val="en-US"/>
        </w:rPr>
        <w:t>TABLE</w:t>
      </w:r>
      <w:r w:rsidR="00D176FD" w:rsidRPr="00047754">
        <w:rPr>
          <w:snapToGrid w:val="0"/>
          <w:lang w:val="en-US"/>
        </w:rPr>
        <w:t xml:space="preserve"> 6</w:t>
      </w:r>
    </w:p>
    <w:p w:rsidR="00D176FD" w:rsidRPr="00047754" w:rsidRDefault="00D176FD" w:rsidP="00BF190D">
      <w:pPr>
        <w:pStyle w:val="Tabletitle"/>
        <w:rPr>
          <w:snapToGrid w:val="0"/>
          <w:lang w:val="en-US"/>
        </w:rPr>
      </w:pPr>
      <w:r w:rsidRPr="00047754">
        <w:rPr>
          <w:snapToGrid w:val="0"/>
          <w:lang w:val="en-US"/>
        </w:rPr>
        <w:t>Short-term single system entry criteria</w:t>
      </w:r>
      <w:r w:rsidR="00BF190D" w:rsidRPr="00047754">
        <w:rPr>
          <w:snapToGrid w:val="0"/>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5"/>
        <w:gridCol w:w="1026"/>
        <w:gridCol w:w="970"/>
        <w:gridCol w:w="2250"/>
        <w:gridCol w:w="837"/>
        <w:gridCol w:w="2291"/>
      </w:tblGrid>
      <w:tr w:rsidR="00D176FD" w:rsidRPr="00BF190D" w:rsidTr="00BF190D">
        <w:trPr>
          <w:jc w:val="center"/>
        </w:trPr>
        <w:tc>
          <w:tcPr>
            <w:tcW w:w="2291" w:type="dxa"/>
            <w:tcBorders>
              <w:bottom w:val="nil"/>
              <w:right w:val="nil"/>
            </w:tcBorders>
          </w:tcPr>
          <w:p w:rsidR="00D176FD" w:rsidRPr="00BF190D" w:rsidRDefault="00D176FD" w:rsidP="00FD03E1">
            <w:pPr>
              <w:pStyle w:val="Tablehead"/>
              <w:rPr>
                <w:sz w:val="20"/>
              </w:rPr>
            </w:pPr>
            <w:r w:rsidRPr="00BF190D">
              <w:rPr>
                <w:sz w:val="20"/>
              </w:rPr>
              <w:t>System type</w:t>
            </w:r>
          </w:p>
        </w:tc>
        <w:tc>
          <w:tcPr>
            <w:tcW w:w="1036" w:type="dxa"/>
            <w:tcBorders>
              <w:left w:val="nil"/>
            </w:tcBorders>
          </w:tcPr>
          <w:p w:rsidR="00D176FD" w:rsidRPr="00BF190D" w:rsidRDefault="00D176FD" w:rsidP="00FD03E1">
            <w:pPr>
              <w:pStyle w:val="Tablehead"/>
              <w:rPr>
                <w:sz w:val="20"/>
              </w:rPr>
            </w:pPr>
          </w:p>
        </w:tc>
        <w:tc>
          <w:tcPr>
            <w:tcW w:w="980" w:type="dxa"/>
          </w:tcPr>
          <w:p w:rsidR="00D176FD" w:rsidRPr="00BF190D" w:rsidRDefault="00CC3B9A" w:rsidP="00FD03E1">
            <w:pPr>
              <w:pStyle w:val="Tablehead"/>
              <w:rPr>
                <w:sz w:val="20"/>
              </w:rPr>
            </w:pPr>
            <w:r w:rsidRPr="00CC3B9A">
              <w:rPr>
                <w:i/>
                <w:iCs/>
                <w:sz w:val="20"/>
              </w:rPr>
              <w:t>p</w:t>
            </w:r>
            <w:r>
              <w:rPr>
                <w:sz w:val="20"/>
              </w:rPr>
              <w:sym w:font="Symbol" w:char="F0A2"/>
            </w:r>
            <w:r w:rsidRPr="00CC3B9A">
              <w:rPr>
                <w:rFonts w:ascii="Times New Roman Bold" w:hAnsi="Times New Roman Bold" w:cs="Times New Roman Bold"/>
                <w:sz w:val="20"/>
                <w:vertAlign w:val="subscript"/>
              </w:rPr>
              <w:t>s</w:t>
            </w:r>
            <w:r w:rsidR="00D176FD" w:rsidRPr="00BF190D">
              <w:rPr>
                <w:sz w:val="20"/>
              </w:rPr>
              <w:br/>
              <w:t>(%)</w:t>
            </w:r>
          </w:p>
        </w:tc>
        <w:tc>
          <w:tcPr>
            <w:tcW w:w="2276" w:type="dxa"/>
          </w:tcPr>
          <w:p w:rsidR="00D176FD" w:rsidRPr="00BF190D" w:rsidRDefault="00CC3B9A" w:rsidP="00CC3B9A">
            <w:pPr>
              <w:pStyle w:val="Tablehead"/>
              <w:rPr>
                <w:sz w:val="20"/>
              </w:rPr>
            </w:pPr>
            <w:r w:rsidRPr="00CC3B9A">
              <w:rPr>
                <w:i/>
                <w:iCs/>
                <w:sz w:val="20"/>
              </w:rPr>
              <w:t>i</w:t>
            </w:r>
            <w:r w:rsidRPr="00CC3B9A">
              <w:rPr>
                <w:sz w:val="20"/>
              </w:rPr>
              <w:sym w:font="Symbol" w:char="F0A2"/>
            </w:r>
            <w:r w:rsidRPr="00CC3B9A">
              <w:rPr>
                <w:i/>
                <w:iCs/>
                <w:sz w:val="20"/>
                <w:szCs w:val="14"/>
                <w:vertAlign w:val="subscript"/>
              </w:rPr>
              <w:t>s</w:t>
            </w:r>
            <w:r w:rsidRPr="00CC3B9A">
              <w:rPr>
                <w:sz w:val="20"/>
                <w:szCs w:val="14"/>
                <w:vertAlign w:val="subscript"/>
              </w:rPr>
              <w:t>(</w:t>
            </w:r>
            <w:r w:rsidRPr="00CC3B9A">
              <w:rPr>
                <w:i/>
                <w:iCs/>
                <w:sz w:val="20"/>
                <w:szCs w:val="14"/>
                <w:vertAlign w:val="subscript"/>
              </w:rPr>
              <w:t>p</w:t>
            </w:r>
            <w:r w:rsidRPr="00CC3B9A">
              <w:rPr>
                <w:sz w:val="20"/>
                <w:szCs w:val="14"/>
                <w:vertAlign w:val="subscript"/>
              </w:rPr>
              <w:sym w:font="Symbol" w:char="F0A2"/>
            </w:r>
            <w:r w:rsidRPr="00CC3B9A">
              <w:rPr>
                <w:i/>
                <w:iCs/>
                <w:sz w:val="20"/>
                <w:szCs w:val="14"/>
                <w:vertAlign w:val="subscript"/>
              </w:rPr>
              <w:t>s</w:t>
            </w:r>
            <w:r w:rsidRPr="00CC3B9A">
              <w:rPr>
                <w:sz w:val="20"/>
                <w:szCs w:val="14"/>
                <w:vertAlign w:val="subscript"/>
              </w:rPr>
              <w:t>)</w:t>
            </w:r>
          </w:p>
        </w:tc>
        <w:tc>
          <w:tcPr>
            <w:tcW w:w="845" w:type="dxa"/>
          </w:tcPr>
          <w:p w:rsidR="00D176FD" w:rsidRPr="00BF190D" w:rsidRDefault="00CC3B9A" w:rsidP="00CC3B9A">
            <w:pPr>
              <w:pStyle w:val="Tablehead"/>
              <w:rPr>
                <w:sz w:val="20"/>
              </w:rPr>
            </w:pPr>
            <w:r w:rsidRPr="00CC3B9A">
              <w:rPr>
                <w:i/>
                <w:iCs/>
                <w:sz w:val="20"/>
              </w:rPr>
              <w:t>p</w:t>
            </w:r>
            <w:r>
              <w:rPr>
                <w:sz w:val="20"/>
              </w:rPr>
              <w:sym w:font="Symbol" w:char="F0A2"/>
            </w:r>
            <w:r>
              <w:rPr>
                <w:rFonts w:ascii="Times New Roman Bold" w:hAnsi="Times New Roman Bold" w:cs="Times New Roman Bold"/>
                <w:sz w:val="20"/>
                <w:vertAlign w:val="subscript"/>
              </w:rPr>
              <w:t>t</w:t>
            </w:r>
            <w:r w:rsidRPr="00BF190D">
              <w:rPr>
                <w:sz w:val="20"/>
              </w:rPr>
              <w:br/>
              <w:t>(%)</w:t>
            </w:r>
          </w:p>
        </w:tc>
        <w:tc>
          <w:tcPr>
            <w:tcW w:w="2318" w:type="dxa"/>
          </w:tcPr>
          <w:p w:rsidR="00D176FD" w:rsidRPr="00BF190D" w:rsidRDefault="00CC3B9A" w:rsidP="00CC3B9A">
            <w:pPr>
              <w:pStyle w:val="Tablehead"/>
              <w:rPr>
                <w:sz w:val="20"/>
              </w:rPr>
            </w:pPr>
            <w:r w:rsidRPr="00CC3B9A">
              <w:rPr>
                <w:i/>
                <w:iCs/>
                <w:sz w:val="20"/>
              </w:rPr>
              <w:t>i</w:t>
            </w:r>
            <w:r w:rsidRPr="00CC3B9A">
              <w:rPr>
                <w:sz w:val="20"/>
              </w:rPr>
              <w:sym w:font="Symbol" w:char="F0A2"/>
            </w:r>
            <w:r w:rsidRPr="00CC3B9A">
              <w:rPr>
                <w:i/>
                <w:iCs/>
                <w:sz w:val="20"/>
                <w:szCs w:val="14"/>
                <w:vertAlign w:val="subscript"/>
              </w:rPr>
              <w:t>s</w:t>
            </w:r>
            <w:r w:rsidRPr="00CC3B9A">
              <w:rPr>
                <w:sz w:val="20"/>
                <w:szCs w:val="14"/>
                <w:vertAlign w:val="subscript"/>
              </w:rPr>
              <w:t>(</w:t>
            </w:r>
            <w:r w:rsidRPr="00CC3B9A">
              <w:rPr>
                <w:i/>
                <w:iCs/>
                <w:sz w:val="20"/>
                <w:szCs w:val="14"/>
                <w:vertAlign w:val="subscript"/>
              </w:rPr>
              <w:t>p</w:t>
            </w:r>
            <w:r w:rsidRPr="00CC3B9A">
              <w:rPr>
                <w:sz w:val="20"/>
                <w:szCs w:val="14"/>
                <w:vertAlign w:val="subscript"/>
              </w:rPr>
              <w:sym w:font="Symbol" w:char="F0A2"/>
            </w:r>
            <w:r>
              <w:rPr>
                <w:i/>
                <w:iCs/>
                <w:sz w:val="20"/>
                <w:szCs w:val="14"/>
                <w:vertAlign w:val="subscript"/>
              </w:rPr>
              <w:t>t</w:t>
            </w:r>
            <w:r w:rsidRPr="00CC3B9A">
              <w:rPr>
                <w:sz w:val="20"/>
                <w:szCs w:val="14"/>
                <w:vertAlign w:val="subscript"/>
              </w:rPr>
              <w:t>)</w:t>
            </w:r>
          </w:p>
        </w:tc>
      </w:tr>
      <w:tr w:rsidR="00D176FD" w:rsidRPr="00BF190D" w:rsidTr="00BF190D">
        <w:trPr>
          <w:jc w:val="center"/>
        </w:trPr>
        <w:tc>
          <w:tcPr>
            <w:tcW w:w="2291" w:type="dxa"/>
            <w:tcBorders>
              <w:bottom w:val="nil"/>
            </w:tcBorders>
            <w:vAlign w:val="center"/>
          </w:tcPr>
          <w:p w:rsidR="00D176FD" w:rsidRPr="00BF190D" w:rsidRDefault="00D176FD" w:rsidP="00BF190D">
            <w:pPr>
              <w:pStyle w:val="Tabletext"/>
              <w:jc w:val="left"/>
              <w:rPr>
                <w:sz w:val="20"/>
              </w:rPr>
            </w:pPr>
            <w:r w:rsidRPr="00BF190D">
              <w:rPr>
                <w:sz w:val="20"/>
              </w:rPr>
              <w:t>1</w:t>
            </w:r>
            <w:r w:rsidRPr="00BF190D">
              <w:rPr>
                <w:sz w:val="20"/>
                <w:szCs w:val="12"/>
              </w:rPr>
              <w:t> </w:t>
            </w:r>
            <w:r w:rsidRPr="00BF190D">
              <w:rPr>
                <w:sz w:val="20"/>
              </w:rPr>
              <w:t>680 MHz RDF</w:t>
            </w:r>
          </w:p>
        </w:tc>
        <w:tc>
          <w:tcPr>
            <w:tcW w:w="1036" w:type="dxa"/>
          </w:tcPr>
          <w:p w:rsidR="00D176FD" w:rsidRPr="00BF190D" w:rsidRDefault="00D176FD" w:rsidP="00FD03E1">
            <w:pPr>
              <w:pStyle w:val="Tabletext"/>
              <w:rPr>
                <w:sz w:val="20"/>
              </w:rPr>
            </w:pPr>
            <w:r w:rsidRPr="00BF190D">
              <w:rPr>
                <w:sz w:val="20"/>
              </w:rPr>
              <w:t>Lock loss</w:t>
            </w:r>
          </w:p>
        </w:tc>
        <w:tc>
          <w:tcPr>
            <w:tcW w:w="980" w:type="dxa"/>
          </w:tcPr>
          <w:p w:rsidR="00D176FD" w:rsidRPr="00BF190D" w:rsidRDefault="00D176FD" w:rsidP="00FD03E1">
            <w:pPr>
              <w:pStyle w:val="Tabletext"/>
              <w:jc w:val="center"/>
              <w:rPr>
                <w:sz w:val="20"/>
              </w:rPr>
            </w:pPr>
            <w:r w:rsidRPr="00BF190D">
              <w:rPr>
                <w:sz w:val="20"/>
              </w:rPr>
              <w:t>0.003</w:t>
            </w:r>
          </w:p>
        </w:tc>
        <w:tc>
          <w:tcPr>
            <w:tcW w:w="2276" w:type="dxa"/>
          </w:tcPr>
          <w:p w:rsidR="00D176FD" w:rsidRPr="00BF190D" w:rsidRDefault="00D176FD" w:rsidP="00BF190D">
            <w:pPr>
              <w:pStyle w:val="Tabletext"/>
              <w:rPr>
                <w:sz w:val="20"/>
              </w:rPr>
            </w:pPr>
            <w:r w:rsidRPr="00BF190D">
              <w:rPr>
                <w:sz w:val="20"/>
              </w:rPr>
              <w:t>–135.3 dB(W/1.3 MHz)</w:t>
            </w:r>
          </w:p>
        </w:tc>
        <w:tc>
          <w:tcPr>
            <w:tcW w:w="845" w:type="dxa"/>
          </w:tcPr>
          <w:p w:rsidR="00D176FD" w:rsidRPr="00BF190D" w:rsidRDefault="00D176FD" w:rsidP="00FD03E1">
            <w:pPr>
              <w:pStyle w:val="Tabletext"/>
              <w:jc w:val="center"/>
              <w:rPr>
                <w:sz w:val="20"/>
              </w:rPr>
            </w:pPr>
            <w:r w:rsidRPr="00BF190D">
              <w:rPr>
                <w:sz w:val="20"/>
              </w:rPr>
              <w:t>0.004</w:t>
            </w:r>
          </w:p>
        </w:tc>
        <w:tc>
          <w:tcPr>
            <w:tcW w:w="2318" w:type="dxa"/>
          </w:tcPr>
          <w:p w:rsidR="00D176FD" w:rsidRPr="00BF190D" w:rsidRDefault="00BF190D" w:rsidP="00BF190D">
            <w:pPr>
              <w:pStyle w:val="Tabletext"/>
              <w:rPr>
                <w:sz w:val="20"/>
              </w:rPr>
            </w:pPr>
            <w:r>
              <w:rPr>
                <w:sz w:val="20"/>
              </w:rPr>
              <w:t>–</w:t>
            </w:r>
            <w:r w:rsidR="00D176FD" w:rsidRPr="00BF190D">
              <w:rPr>
                <w:sz w:val="20"/>
              </w:rPr>
              <w:t>135.3 dB(W/1.3 MHz)</w:t>
            </w:r>
          </w:p>
        </w:tc>
      </w:tr>
      <w:tr w:rsidR="00D176FD" w:rsidRPr="00BF190D" w:rsidTr="00BF190D">
        <w:trPr>
          <w:jc w:val="center"/>
        </w:trPr>
        <w:tc>
          <w:tcPr>
            <w:tcW w:w="2291" w:type="dxa"/>
            <w:tcBorders>
              <w:top w:val="nil"/>
              <w:bottom w:val="single" w:sz="4" w:space="0" w:color="auto"/>
            </w:tcBorders>
          </w:tcPr>
          <w:p w:rsidR="00D176FD" w:rsidRPr="00BF190D" w:rsidRDefault="00D176FD" w:rsidP="00BF190D">
            <w:pPr>
              <w:pStyle w:val="Tabletext"/>
              <w:jc w:val="left"/>
              <w:rPr>
                <w:sz w:val="20"/>
              </w:rPr>
            </w:pPr>
          </w:p>
        </w:tc>
        <w:tc>
          <w:tcPr>
            <w:tcW w:w="1036" w:type="dxa"/>
          </w:tcPr>
          <w:p w:rsidR="00D176FD" w:rsidRPr="00BF190D" w:rsidRDefault="00D176FD" w:rsidP="00FD03E1">
            <w:pPr>
              <w:pStyle w:val="Tabletext"/>
              <w:rPr>
                <w:sz w:val="20"/>
              </w:rPr>
            </w:pPr>
            <w:r w:rsidRPr="00BF190D">
              <w:rPr>
                <w:sz w:val="20"/>
              </w:rPr>
              <w:t xml:space="preserve">Data loss </w:t>
            </w:r>
          </w:p>
        </w:tc>
        <w:tc>
          <w:tcPr>
            <w:tcW w:w="980" w:type="dxa"/>
          </w:tcPr>
          <w:p w:rsidR="00D176FD" w:rsidRPr="00BF190D" w:rsidRDefault="00D176FD" w:rsidP="00FD03E1">
            <w:pPr>
              <w:pStyle w:val="Tabletext"/>
              <w:jc w:val="center"/>
              <w:rPr>
                <w:sz w:val="20"/>
              </w:rPr>
            </w:pPr>
            <w:r w:rsidRPr="00BF190D">
              <w:rPr>
                <w:sz w:val="20"/>
              </w:rPr>
              <w:t>0.167</w:t>
            </w:r>
          </w:p>
        </w:tc>
        <w:tc>
          <w:tcPr>
            <w:tcW w:w="2276" w:type="dxa"/>
          </w:tcPr>
          <w:p w:rsidR="00D176FD" w:rsidRPr="00BF190D" w:rsidRDefault="00D176FD" w:rsidP="00BF190D">
            <w:pPr>
              <w:pStyle w:val="Tabletext"/>
              <w:rPr>
                <w:sz w:val="20"/>
              </w:rPr>
            </w:pPr>
            <w:r w:rsidRPr="00BF190D">
              <w:rPr>
                <w:sz w:val="20"/>
              </w:rPr>
              <w:t>–139.4 dB(W/1.3 MHz)</w:t>
            </w:r>
          </w:p>
        </w:tc>
        <w:tc>
          <w:tcPr>
            <w:tcW w:w="845" w:type="dxa"/>
          </w:tcPr>
          <w:p w:rsidR="00D176FD" w:rsidRPr="00BF190D" w:rsidRDefault="00D176FD" w:rsidP="00FD03E1">
            <w:pPr>
              <w:pStyle w:val="Tabletext"/>
              <w:jc w:val="center"/>
              <w:rPr>
                <w:sz w:val="20"/>
              </w:rPr>
            </w:pPr>
            <w:r w:rsidRPr="00BF190D">
              <w:rPr>
                <w:sz w:val="20"/>
              </w:rPr>
              <w:t>0.25</w:t>
            </w:r>
          </w:p>
        </w:tc>
        <w:tc>
          <w:tcPr>
            <w:tcW w:w="2318" w:type="dxa"/>
          </w:tcPr>
          <w:p w:rsidR="00D176FD" w:rsidRPr="00BF190D" w:rsidRDefault="00D176FD" w:rsidP="00BF190D">
            <w:pPr>
              <w:pStyle w:val="Tabletext"/>
              <w:rPr>
                <w:sz w:val="20"/>
              </w:rPr>
            </w:pPr>
            <w:r w:rsidRPr="00BF190D">
              <w:rPr>
                <w:sz w:val="20"/>
              </w:rPr>
              <w:t>–139.4 dB(W/1.3 MHz)</w:t>
            </w:r>
          </w:p>
        </w:tc>
      </w:tr>
      <w:tr w:rsidR="00D176FD" w:rsidRPr="00BF190D" w:rsidTr="00BF190D">
        <w:trPr>
          <w:jc w:val="center"/>
        </w:trPr>
        <w:tc>
          <w:tcPr>
            <w:tcW w:w="2291" w:type="dxa"/>
            <w:vMerge w:val="restart"/>
            <w:tcBorders>
              <w:top w:val="single" w:sz="4" w:space="0" w:color="auto"/>
              <w:left w:val="single" w:sz="4" w:space="0" w:color="auto"/>
              <w:right w:val="single" w:sz="4" w:space="0" w:color="auto"/>
            </w:tcBorders>
            <w:vAlign w:val="center"/>
          </w:tcPr>
          <w:p w:rsidR="00D176FD" w:rsidRPr="00BF190D" w:rsidRDefault="00D176FD" w:rsidP="00BF190D">
            <w:pPr>
              <w:pStyle w:val="Tabletext"/>
              <w:jc w:val="left"/>
              <w:rPr>
                <w:sz w:val="20"/>
              </w:rPr>
            </w:pPr>
            <w:r w:rsidRPr="00BF190D">
              <w:rPr>
                <w:sz w:val="20"/>
              </w:rPr>
              <w:t xml:space="preserve">GPS radiosonde </w:t>
            </w:r>
            <w:r w:rsidRPr="00BF190D">
              <w:rPr>
                <w:sz w:val="20"/>
              </w:rPr>
              <w:br/>
              <w:t>(1 675</w:t>
            </w:r>
            <w:r w:rsidRPr="00BF190D">
              <w:rPr>
                <w:sz w:val="20"/>
              </w:rPr>
              <w:noBreakHyphen/>
              <w:t>1 683 MHz)</w:t>
            </w:r>
          </w:p>
        </w:tc>
        <w:tc>
          <w:tcPr>
            <w:tcW w:w="1036" w:type="dxa"/>
            <w:tcBorders>
              <w:left w:val="single" w:sz="4" w:space="0" w:color="auto"/>
            </w:tcBorders>
          </w:tcPr>
          <w:p w:rsidR="00D176FD" w:rsidRPr="00BF190D" w:rsidRDefault="00D176FD" w:rsidP="00FD03E1">
            <w:pPr>
              <w:pStyle w:val="Tabletext"/>
              <w:rPr>
                <w:sz w:val="20"/>
              </w:rPr>
            </w:pPr>
            <w:r w:rsidRPr="00BF190D">
              <w:rPr>
                <w:sz w:val="20"/>
              </w:rPr>
              <w:t>Lock loss</w:t>
            </w:r>
          </w:p>
        </w:tc>
        <w:tc>
          <w:tcPr>
            <w:tcW w:w="980" w:type="dxa"/>
          </w:tcPr>
          <w:p w:rsidR="00D176FD" w:rsidRPr="00BF190D" w:rsidRDefault="00D176FD" w:rsidP="00FD03E1">
            <w:pPr>
              <w:pStyle w:val="Tabletext"/>
              <w:jc w:val="center"/>
              <w:rPr>
                <w:sz w:val="20"/>
              </w:rPr>
            </w:pPr>
            <w:r w:rsidRPr="00BF190D">
              <w:rPr>
                <w:sz w:val="20"/>
              </w:rPr>
              <w:t>0.003</w:t>
            </w:r>
          </w:p>
        </w:tc>
        <w:tc>
          <w:tcPr>
            <w:tcW w:w="2276" w:type="dxa"/>
          </w:tcPr>
          <w:p w:rsidR="00D176FD" w:rsidRPr="00BF190D" w:rsidRDefault="00D176FD" w:rsidP="00FD03E1">
            <w:pPr>
              <w:pStyle w:val="Tabletext"/>
              <w:rPr>
                <w:sz w:val="20"/>
              </w:rPr>
            </w:pPr>
            <w:r w:rsidRPr="00BF190D">
              <w:rPr>
                <w:sz w:val="20"/>
              </w:rPr>
              <w:t>–137.2 dB(W/150 kHz)</w:t>
            </w:r>
          </w:p>
        </w:tc>
        <w:tc>
          <w:tcPr>
            <w:tcW w:w="845" w:type="dxa"/>
          </w:tcPr>
          <w:p w:rsidR="00D176FD" w:rsidRPr="00BF190D" w:rsidRDefault="00D176FD" w:rsidP="00FD03E1">
            <w:pPr>
              <w:pStyle w:val="Tabletext"/>
              <w:jc w:val="center"/>
              <w:rPr>
                <w:sz w:val="20"/>
              </w:rPr>
            </w:pPr>
            <w:r w:rsidRPr="00BF190D">
              <w:rPr>
                <w:sz w:val="20"/>
              </w:rPr>
              <w:t>0.005</w:t>
            </w:r>
          </w:p>
        </w:tc>
        <w:tc>
          <w:tcPr>
            <w:tcW w:w="2318" w:type="dxa"/>
          </w:tcPr>
          <w:p w:rsidR="00D176FD" w:rsidRPr="00BF190D" w:rsidRDefault="00D176FD" w:rsidP="00FD03E1">
            <w:pPr>
              <w:pStyle w:val="Tabletext"/>
              <w:rPr>
                <w:sz w:val="20"/>
              </w:rPr>
            </w:pPr>
            <w:r w:rsidRPr="00BF190D">
              <w:rPr>
                <w:sz w:val="20"/>
              </w:rPr>
              <w:t>–137.2 dB(W/150 kHz)</w:t>
            </w:r>
          </w:p>
        </w:tc>
      </w:tr>
      <w:tr w:rsidR="00D176FD" w:rsidRPr="00BF190D" w:rsidTr="00BF190D">
        <w:trPr>
          <w:jc w:val="center"/>
        </w:trPr>
        <w:tc>
          <w:tcPr>
            <w:tcW w:w="2291" w:type="dxa"/>
            <w:vMerge/>
            <w:tcBorders>
              <w:left w:val="single" w:sz="4" w:space="0" w:color="auto"/>
              <w:bottom w:val="single" w:sz="4" w:space="0" w:color="auto"/>
              <w:right w:val="single" w:sz="4" w:space="0" w:color="auto"/>
            </w:tcBorders>
            <w:vAlign w:val="center"/>
          </w:tcPr>
          <w:p w:rsidR="00D176FD" w:rsidRPr="00BF190D" w:rsidRDefault="00D176FD" w:rsidP="00BF190D">
            <w:pPr>
              <w:pStyle w:val="Tabletext"/>
              <w:jc w:val="left"/>
              <w:rPr>
                <w:sz w:val="20"/>
              </w:rPr>
            </w:pPr>
          </w:p>
        </w:tc>
        <w:tc>
          <w:tcPr>
            <w:tcW w:w="1036" w:type="dxa"/>
            <w:tcBorders>
              <w:left w:val="single" w:sz="4" w:space="0" w:color="auto"/>
            </w:tcBorders>
          </w:tcPr>
          <w:p w:rsidR="00D176FD" w:rsidRPr="00BF190D" w:rsidRDefault="00D176FD" w:rsidP="00FD03E1">
            <w:pPr>
              <w:pStyle w:val="Tabletext"/>
              <w:rPr>
                <w:sz w:val="20"/>
              </w:rPr>
            </w:pPr>
            <w:r w:rsidRPr="00BF190D">
              <w:rPr>
                <w:sz w:val="20"/>
              </w:rPr>
              <w:t xml:space="preserve">Data loss </w:t>
            </w:r>
          </w:p>
        </w:tc>
        <w:tc>
          <w:tcPr>
            <w:tcW w:w="980" w:type="dxa"/>
          </w:tcPr>
          <w:p w:rsidR="00D176FD" w:rsidRPr="00BF190D" w:rsidRDefault="00D176FD" w:rsidP="00FD03E1">
            <w:pPr>
              <w:pStyle w:val="Tabletext"/>
              <w:jc w:val="center"/>
              <w:rPr>
                <w:sz w:val="20"/>
              </w:rPr>
            </w:pPr>
            <w:r w:rsidRPr="00BF190D">
              <w:rPr>
                <w:sz w:val="20"/>
              </w:rPr>
              <w:t>0.017</w:t>
            </w:r>
          </w:p>
        </w:tc>
        <w:tc>
          <w:tcPr>
            <w:tcW w:w="2276" w:type="dxa"/>
          </w:tcPr>
          <w:p w:rsidR="00D176FD" w:rsidRPr="00BF190D" w:rsidRDefault="00D176FD" w:rsidP="00FD03E1">
            <w:pPr>
              <w:pStyle w:val="Tabletext"/>
              <w:rPr>
                <w:sz w:val="20"/>
              </w:rPr>
            </w:pPr>
            <w:r w:rsidRPr="00BF190D">
              <w:rPr>
                <w:sz w:val="20"/>
              </w:rPr>
              <w:t>–145.9 dB(W/150 kHz)</w:t>
            </w:r>
          </w:p>
        </w:tc>
        <w:tc>
          <w:tcPr>
            <w:tcW w:w="845" w:type="dxa"/>
          </w:tcPr>
          <w:p w:rsidR="00D176FD" w:rsidRPr="00BF190D" w:rsidRDefault="00D176FD" w:rsidP="00FD03E1">
            <w:pPr>
              <w:pStyle w:val="Tabletext"/>
              <w:jc w:val="center"/>
              <w:rPr>
                <w:sz w:val="20"/>
              </w:rPr>
            </w:pPr>
            <w:r w:rsidRPr="00BF190D">
              <w:rPr>
                <w:sz w:val="20"/>
              </w:rPr>
              <w:t>0.025</w:t>
            </w:r>
          </w:p>
        </w:tc>
        <w:tc>
          <w:tcPr>
            <w:tcW w:w="2318" w:type="dxa"/>
          </w:tcPr>
          <w:p w:rsidR="00D176FD" w:rsidRPr="00BF190D" w:rsidRDefault="00D176FD" w:rsidP="00FD03E1">
            <w:pPr>
              <w:pStyle w:val="Tabletext"/>
              <w:rPr>
                <w:sz w:val="20"/>
              </w:rPr>
            </w:pPr>
            <w:r w:rsidRPr="00BF190D">
              <w:rPr>
                <w:sz w:val="20"/>
              </w:rPr>
              <w:t>–145.7 dB(W/150 kHz)</w:t>
            </w:r>
          </w:p>
        </w:tc>
      </w:tr>
      <w:tr w:rsidR="00D176FD" w:rsidRPr="00BF190D" w:rsidTr="00BF190D">
        <w:trPr>
          <w:jc w:val="center"/>
        </w:trPr>
        <w:tc>
          <w:tcPr>
            <w:tcW w:w="2291" w:type="dxa"/>
            <w:vMerge w:val="restart"/>
            <w:tcBorders>
              <w:top w:val="single" w:sz="4" w:space="0" w:color="auto"/>
            </w:tcBorders>
          </w:tcPr>
          <w:p w:rsidR="00D176FD" w:rsidRPr="00047754" w:rsidRDefault="00D176FD" w:rsidP="00BF190D">
            <w:pPr>
              <w:pStyle w:val="Tabletext"/>
              <w:jc w:val="left"/>
              <w:rPr>
                <w:sz w:val="20"/>
                <w:lang w:val="en-US"/>
              </w:rPr>
            </w:pPr>
            <w:r w:rsidRPr="00047754">
              <w:rPr>
                <w:sz w:val="20"/>
                <w:lang w:val="en-US"/>
              </w:rPr>
              <w:t>403 MHz NAVAID with directional antenna</w:t>
            </w:r>
          </w:p>
        </w:tc>
        <w:tc>
          <w:tcPr>
            <w:tcW w:w="1036" w:type="dxa"/>
          </w:tcPr>
          <w:p w:rsidR="00D176FD" w:rsidRPr="00BF190D" w:rsidRDefault="00D176FD" w:rsidP="00FD03E1">
            <w:pPr>
              <w:pStyle w:val="Tabletext"/>
              <w:rPr>
                <w:sz w:val="20"/>
              </w:rPr>
            </w:pPr>
            <w:r w:rsidRPr="00BF190D">
              <w:rPr>
                <w:sz w:val="20"/>
              </w:rPr>
              <w:t xml:space="preserve">Lock loss </w:t>
            </w:r>
          </w:p>
        </w:tc>
        <w:tc>
          <w:tcPr>
            <w:tcW w:w="980" w:type="dxa"/>
          </w:tcPr>
          <w:p w:rsidR="00D176FD" w:rsidRPr="00BF190D" w:rsidRDefault="00D176FD" w:rsidP="00FD03E1">
            <w:pPr>
              <w:pStyle w:val="Tabletext"/>
              <w:jc w:val="center"/>
              <w:rPr>
                <w:sz w:val="20"/>
              </w:rPr>
            </w:pPr>
            <w:r w:rsidRPr="00BF190D">
              <w:rPr>
                <w:sz w:val="20"/>
              </w:rPr>
              <w:t>0.003</w:t>
            </w:r>
          </w:p>
        </w:tc>
        <w:tc>
          <w:tcPr>
            <w:tcW w:w="2276" w:type="dxa"/>
          </w:tcPr>
          <w:p w:rsidR="00D176FD" w:rsidRPr="00BF190D" w:rsidRDefault="00D176FD" w:rsidP="00BF190D">
            <w:pPr>
              <w:pStyle w:val="Tabletext"/>
              <w:rPr>
                <w:sz w:val="20"/>
              </w:rPr>
            </w:pPr>
            <w:r w:rsidRPr="00BF190D">
              <w:rPr>
                <w:sz w:val="20"/>
              </w:rPr>
              <w:t>–141.9 dB(W/300 kHz)</w:t>
            </w:r>
          </w:p>
        </w:tc>
        <w:tc>
          <w:tcPr>
            <w:tcW w:w="845" w:type="dxa"/>
          </w:tcPr>
          <w:p w:rsidR="00D176FD" w:rsidRPr="00BF190D" w:rsidRDefault="00D176FD" w:rsidP="00FD03E1">
            <w:pPr>
              <w:pStyle w:val="Tabletext"/>
              <w:jc w:val="center"/>
              <w:rPr>
                <w:sz w:val="20"/>
              </w:rPr>
            </w:pPr>
            <w:r w:rsidRPr="00BF190D">
              <w:rPr>
                <w:sz w:val="20"/>
              </w:rPr>
              <w:t>0.004</w:t>
            </w:r>
          </w:p>
        </w:tc>
        <w:tc>
          <w:tcPr>
            <w:tcW w:w="2318" w:type="dxa"/>
          </w:tcPr>
          <w:p w:rsidR="00D176FD" w:rsidRPr="00BF190D" w:rsidRDefault="00D176FD" w:rsidP="00BF190D">
            <w:pPr>
              <w:pStyle w:val="Tabletext"/>
              <w:rPr>
                <w:sz w:val="20"/>
              </w:rPr>
            </w:pPr>
            <w:r w:rsidRPr="00BF190D">
              <w:rPr>
                <w:sz w:val="20"/>
              </w:rPr>
              <w:t>–141.9 dB(W/300 kHz)</w:t>
            </w:r>
          </w:p>
        </w:tc>
      </w:tr>
      <w:tr w:rsidR="00D176FD" w:rsidRPr="00BF190D" w:rsidTr="00BF190D">
        <w:trPr>
          <w:jc w:val="center"/>
        </w:trPr>
        <w:tc>
          <w:tcPr>
            <w:tcW w:w="2291" w:type="dxa"/>
            <w:vMerge/>
            <w:tcBorders>
              <w:bottom w:val="nil"/>
            </w:tcBorders>
          </w:tcPr>
          <w:p w:rsidR="00D176FD" w:rsidRPr="00BF190D" w:rsidRDefault="00D176FD" w:rsidP="00BF190D">
            <w:pPr>
              <w:pStyle w:val="Tabletext"/>
              <w:jc w:val="left"/>
              <w:rPr>
                <w:sz w:val="20"/>
              </w:rPr>
            </w:pPr>
          </w:p>
        </w:tc>
        <w:tc>
          <w:tcPr>
            <w:tcW w:w="1036" w:type="dxa"/>
          </w:tcPr>
          <w:p w:rsidR="00D176FD" w:rsidRPr="00BF190D" w:rsidRDefault="00D176FD" w:rsidP="00FD03E1">
            <w:pPr>
              <w:pStyle w:val="Tabletext"/>
              <w:rPr>
                <w:sz w:val="20"/>
              </w:rPr>
            </w:pPr>
            <w:r w:rsidRPr="00BF190D">
              <w:rPr>
                <w:sz w:val="20"/>
              </w:rPr>
              <w:t>Data loss</w:t>
            </w:r>
          </w:p>
        </w:tc>
        <w:tc>
          <w:tcPr>
            <w:tcW w:w="980" w:type="dxa"/>
          </w:tcPr>
          <w:p w:rsidR="00D176FD" w:rsidRPr="00BF190D" w:rsidRDefault="00D176FD" w:rsidP="00FD03E1">
            <w:pPr>
              <w:pStyle w:val="Tabletext"/>
              <w:jc w:val="center"/>
              <w:rPr>
                <w:sz w:val="20"/>
              </w:rPr>
            </w:pPr>
            <w:r w:rsidRPr="00BF190D">
              <w:rPr>
                <w:sz w:val="20"/>
              </w:rPr>
              <w:t>0.167</w:t>
            </w:r>
          </w:p>
        </w:tc>
        <w:tc>
          <w:tcPr>
            <w:tcW w:w="2276" w:type="dxa"/>
          </w:tcPr>
          <w:p w:rsidR="00D176FD" w:rsidRPr="00BF190D" w:rsidRDefault="00D176FD" w:rsidP="00BF190D">
            <w:pPr>
              <w:pStyle w:val="Tabletext"/>
              <w:rPr>
                <w:sz w:val="20"/>
              </w:rPr>
            </w:pPr>
            <w:r w:rsidRPr="00BF190D">
              <w:rPr>
                <w:sz w:val="20"/>
              </w:rPr>
              <w:t>–149.8 dB(W/300 kHz)</w:t>
            </w:r>
          </w:p>
        </w:tc>
        <w:tc>
          <w:tcPr>
            <w:tcW w:w="845" w:type="dxa"/>
          </w:tcPr>
          <w:p w:rsidR="00D176FD" w:rsidRPr="00BF190D" w:rsidRDefault="00D176FD" w:rsidP="00FD03E1">
            <w:pPr>
              <w:pStyle w:val="Tabletext"/>
              <w:jc w:val="center"/>
              <w:rPr>
                <w:sz w:val="20"/>
              </w:rPr>
            </w:pPr>
            <w:r w:rsidRPr="00BF190D">
              <w:rPr>
                <w:sz w:val="20"/>
              </w:rPr>
              <w:t>0.25</w:t>
            </w:r>
          </w:p>
        </w:tc>
        <w:tc>
          <w:tcPr>
            <w:tcW w:w="2318" w:type="dxa"/>
          </w:tcPr>
          <w:p w:rsidR="00D176FD" w:rsidRPr="00BF190D" w:rsidRDefault="00D176FD" w:rsidP="00BF190D">
            <w:pPr>
              <w:pStyle w:val="Tabletext"/>
              <w:rPr>
                <w:sz w:val="20"/>
              </w:rPr>
            </w:pPr>
            <w:r w:rsidRPr="00BF190D">
              <w:rPr>
                <w:sz w:val="20"/>
              </w:rPr>
              <w:t>–149.6 dB(W/300 kHz)</w:t>
            </w:r>
          </w:p>
        </w:tc>
      </w:tr>
      <w:tr w:rsidR="00D176FD" w:rsidRPr="00BF190D" w:rsidTr="00BF190D">
        <w:trPr>
          <w:jc w:val="center"/>
        </w:trPr>
        <w:tc>
          <w:tcPr>
            <w:tcW w:w="2291" w:type="dxa"/>
            <w:vMerge w:val="restart"/>
          </w:tcPr>
          <w:p w:rsidR="00D176FD" w:rsidRPr="00047754" w:rsidRDefault="00D176FD" w:rsidP="00BF190D">
            <w:pPr>
              <w:pStyle w:val="Tabletext"/>
              <w:jc w:val="left"/>
              <w:rPr>
                <w:sz w:val="20"/>
                <w:lang w:val="en-US"/>
              </w:rPr>
            </w:pPr>
            <w:r w:rsidRPr="00047754">
              <w:rPr>
                <w:sz w:val="20"/>
                <w:lang w:val="en-US"/>
              </w:rPr>
              <w:t>403 MHz NAVAID with omnidirectional antenna</w:t>
            </w:r>
          </w:p>
        </w:tc>
        <w:tc>
          <w:tcPr>
            <w:tcW w:w="1036" w:type="dxa"/>
          </w:tcPr>
          <w:p w:rsidR="00D176FD" w:rsidRPr="00BF190D" w:rsidRDefault="00D176FD" w:rsidP="00FD03E1">
            <w:pPr>
              <w:pStyle w:val="Tabletext"/>
              <w:rPr>
                <w:sz w:val="20"/>
              </w:rPr>
            </w:pPr>
            <w:r w:rsidRPr="00BF190D">
              <w:rPr>
                <w:sz w:val="20"/>
              </w:rPr>
              <w:t xml:space="preserve">Lock loss </w:t>
            </w:r>
          </w:p>
        </w:tc>
        <w:tc>
          <w:tcPr>
            <w:tcW w:w="980" w:type="dxa"/>
          </w:tcPr>
          <w:p w:rsidR="00D176FD" w:rsidRPr="00BF190D" w:rsidRDefault="00D176FD" w:rsidP="00FD03E1">
            <w:pPr>
              <w:pStyle w:val="Tabletext"/>
              <w:jc w:val="center"/>
              <w:rPr>
                <w:sz w:val="20"/>
              </w:rPr>
            </w:pPr>
            <w:r w:rsidRPr="00BF190D">
              <w:rPr>
                <w:sz w:val="20"/>
              </w:rPr>
              <w:t>0.003</w:t>
            </w:r>
          </w:p>
        </w:tc>
        <w:tc>
          <w:tcPr>
            <w:tcW w:w="2276" w:type="dxa"/>
          </w:tcPr>
          <w:p w:rsidR="00D176FD" w:rsidRPr="00BF190D" w:rsidRDefault="00D176FD" w:rsidP="00FD03E1">
            <w:pPr>
              <w:pStyle w:val="Tabletext"/>
              <w:jc w:val="center"/>
              <w:rPr>
                <w:sz w:val="20"/>
              </w:rPr>
            </w:pPr>
            <w:r w:rsidRPr="00BF190D">
              <w:rPr>
                <w:sz w:val="20"/>
              </w:rPr>
              <w:t>N/A</w:t>
            </w:r>
            <w:r w:rsidRPr="00BF190D">
              <w:rPr>
                <w:sz w:val="20"/>
                <w:vertAlign w:val="superscript"/>
              </w:rPr>
              <w:t>(1)</w:t>
            </w:r>
          </w:p>
        </w:tc>
        <w:tc>
          <w:tcPr>
            <w:tcW w:w="845" w:type="dxa"/>
          </w:tcPr>
          <w:p w:rsidR="00D176FD" w:rsidRPr="00BF190D" w:rsidRDefault="00D176FD" w:rsidP="00FD03E1">
            <w:pPr>
              <w:pStyle w:val="Tabletext"/>
              <w:jc w:val="center"/>
              <w:rPr>
                <w:sz w:val="20"/>
              </w:rPr>
            </w:pPr>
            <w:r w:rsidRPr="00BF190D">
              <w:rPr>
                <w:sz w:val="20"/>
              </w:rPr>
              <w:t>0.004</w:t>
            </w:r>
          </w:p>
        </w:tc>
        <w:tc>
          <w:tcPr>
            <w:tcW w:w="2318" w:type="dxa"/>
          </w:tcPr>
          <w:p w:rsidR="00D176FD" w:rsidRPr="00BF190D" w:rsidRDefault="00D176FD" w:rsidP="00FD03E1">
            <w:pPr>
              <w:pStyle w:val="Tabletext"/>
              <w:jc w:val="center"/>
              <w:rPr>
                <w:sz w:val="20"/>
              </w:rPr>
            </w:pPr>
            <w:r w:rsidRPr="00BF190D">
              <w:rPr>
                <w:sz w:val="20"/>
              </w:rPr>
              <w:t>N/A</w:t>
            </w:r>
            <w:r w:rsidRPr="00BF190D">
              <w:rPr>
                <w:sz w:val="20"/>
                <w:vertAlign w:val="superscript"/>
              </w:rPr>
              <w:t>(1)</w:t>
            </w:r>
          </w:p>
        </w:tc>
      </w:tr>
      <w:tr w:rsidR="00D176FD" w:rsidRPr="00BF190D" w:rsidTr="00BF190D">
        <w:trPr>
          <w:jc w:val="center"/>
        </w:trPr>
        <w:tc>
          <w:tcPr>
            <w:tcW w:w="2291" w:type="dxa"/>
            <w:vMerge/>
            <w:tcBorders>
              <w:bottom w:val="nil"/>
            </w:tcBorders>
          </w:tcPr>
          <w:p w:rsidR="00D176FD" w:rsidRPr="00BF190D" w:rsidRDefault="00D176FD" w:rsidP="00BF190D">
            <w:pPr>
              <w:pStyle w:val="Tabletext"/>
              <w:jc w:val="left"/>
              <w:rPr>
                <w:sz w:val="20"/>
              </w:rPr>
            </w:pPr>
          </w:p>
        </w:tc>
        <w:tc>
          <w:tcPr>
            <w:tcW w:w="1036" w:type="dxa"/>
          </w:tcPr>
          <w:p w:rsidR="00D176FD" w:rsidRPr="00BF190D" w:rsidRDefault="00D176FD" w:rsidP="00FD03E1">
            <w:pPr>
              <w:pStyle w:val="Tabletext"/>
              <w:rPr>
                <w:sz w:val="20"/>
              </w:rPr>
            </w:pPr>
            <w:r w:rsidRPr="00BF190D">
              <w:rPr>
                <w:sz w:val="20"/>
              </w:rPr>
              <w:t>Data loss</w:t>
            </w:r>
          </w:p>
        </w:tc>
        <w:tc>
          <w:tcPr>
            <w:tcW w:w="980" w:type="dxa"/>
          </w:tcPr>
          <w:p w:rsidR="00D176FD" w:rsidRPr="00BF190D" w:rsidRDefault="00D176FD" w:rsidP="00FD03E1">
            <w:pPr>
              <w:pStyle w:val="Tabletext"/>
              <w:jc w:val="center"/>
              <w:rPr>
                <w:sz w:val="20"/>
              </w:rPr>
            </w:pPr>
            <w:r w:rsidRPr="00BF190D">
              <w:rPr>
                <w:sz w:val="20"/>
              </w:rPr>
              <w:t>0.167</w:t>
            </w:r>
          </w:p>
        </w:tc>
        <w:tc>
          <w:tcPr>
            <w:tcW w:w="2276" w:type="dxa"/>
          </w:tcPr>
          <w:p w:rsidR="00D176FD" w:rsidRPr="00BF190D" w:rsidRDefault="00D176FD" w:rsidP="00BF190D">
            <w:pPr>
              <w:pStyle w:val="Tabletext"/>
              <w:rPr>
                <w:sz w:val="20"/>
              </w:rPr>
            </w:pPr>
            <w:r w:rsidRPr="00BF190D">
              <w:rPr>
                <w:sz w:val="20"/>
              </w:rPr>
              <w:t>–155.03 dB(W/300 kHz)</w:t>
            </w:r>
          </w:p>
        </w:tc>
        <w:tc>
          <w:tcPr>
            <w:tcW w:w="845" w:type="dxa"/>
          </w:tcPr>
          <w:p w:rsidR="00D176FD" w:rsidRPr="00BF190D" w:rsidRDefault="00D176FD" w:rsidP="00FD03E1">
            <w:pPr>
              <w:pStyle w:val="Tabletext"/>
              <w:jc w:val="center"/>
              <w:rPr>
                <w:sz w:val="20"/>
              </w:rPr>
            </w:pPr>
            <w:r w:rsidRPr="00BF190D">
              <w:rPr>
                <w:sz w:val="20"/>
              </w:rPr>
              <w:t>0.25</w:t>
            </w:r>
          </w:p>
        </w:tc>
        <w:tc>
          <w:tcPr>
            <w:tcW w:w="2318" w:type="dxa"/>
          </w:tcPr>
          <w:p w:rsidR="00D176FD" w:rsidRPr="00BF190D" w:rsidRDefault="00D176FD" w:rsidP="00BF190D">
            <w:pPr>
              <w:pStyle w:val="Tabletext"/>
              <w:rPr>
                <w:sz w:val="20"/>
              </w:rPr>
            </w:pPr>
            <w:r w:rsidRPr="00BF190D">
              <w:rPr>
                <w:sz w:val="20"/>
              </w:rPr>
              <w:t>–154.4 dB(W/300 kHz)</w:t>
            </w:r>
          </w:p>
        </w:tc>
      </w:tr>
      <w:tr w:rsidR="00D176FD" w:rsidRPr="00BF190D" w:rsidTr="00BF190D">
        <w:trPr>
          <w:jc w:val="center"/>
        </w:trPr>
        <w:tc>
          <w:tcPr>
            <w:tcW w:w="2291" w:type="dxa"/>
            <w:vMerge w:val="restart"/>
          </w:tcPr>
          <w:p w:rsidR="00D176FD" w:rsidRPr="00BF190D" w:rsidRDefault="00D176FD" w:rsidP="00BF190D">
            <w:pPr>
              <w:pStyle w:val="Tabletext"/>
              <w:jc w:val="left"/>
              <w:rPr>
                <w:sz w:val="20"/>
              </w:rPr>
            </w:pPr>
            <w:r w:rsidRPr="00BF190D">
              <w:rPr>
                <w:sz w:val="20"/>
              </w:rPr>
              <w:t>403 MHz dropsonde</w:t>
            </w:r>
          </w:p>
        </w:tc>
        <w:tc>
          <w:tcPr>
            <w:tcW w:w="1036" w:type="dxa"/>
          </w:tcPr>
          <w:p w:rsidR="00D176FD" w:rsidRPr="00BF190D" w:rsidRDefault="00D176FD" w:rsidP="00FD03E1">
            <w:pPr>
              <w:pStyle w:val="Tabletext"/>
              <w:rPr>
                <w:sz w:val="20"/>
              </w:rPr>
            </w:pPr>
            <w:r w:rsidRPr="00BF190D">
              <w:rPr>
                <w:sz w:val="20"/>
              </w:rPr>
              <w:t xml:space="preserve">Lock loss </w:t>
            </w:r>
          </w:p>
        </w:tc>
        <w:tc>
          <w:tcPr>
            <w:tcW w:w="980" w:type="dxa"/>
          </w:tcPr>
          <w:p w:rsidR="00D176FD" w:rsidRPr="00BF190D" w:rsidRDefault="00D176FD" w:rsidP="00FD03E1">
            <w:pPr>
              <w:pStyle w:val="Tabletext"/>
              <w:jc w:val="center"/>
              <w:rPr>
                <w:sz w:val="20"/>
              </w:rPr>
            </w:pPr>
            <w:r w:rsidRPr="00BF190D">
              <w:rPr>
                <w:sz w:val="20"/>
              </w:rPr>
              <w:t>0.003</w:t>
            </w:r>
          </w:p>
        </w:tc>
        <w:tc>
          <w:tcPr>
            <w:tcW w:w="2276" w:type="dxa"/>
          </w:tcPr>
          <w:p w:rsidR="00D176FD" w:rsidRPr="00BF190D" w:rsidRDefault="00D176FD" w:rsidP="00BF190D">
            <w:pPr>
              <w:pStyle w:val="Tabletext"/>
              <w:rPr>
                <w:sz w:val="20"/>
              </w:rPr>
            </w:pPr>
            <w:r w:rsidRPr="00BF190D">
              <w:rPr>
                <w:sz w:val="20"/>
              </w:rPr>
              <w:t>–153.4 dB(W/20 kHz)</w:t>
            </w:r>
          </w:p>
        </w:tc>
        <w:tc>
          <w:tcPr>
            <w:tcW w:w="845" w:type="dxa"/>
          </w:tcPr>
          <w:p w:rsidR="00D176FD" w:rsidRPr="00BF190D" w:rsidRDefault="00D176FD" w:rsidP="00FD03E1">
            <w:pPr>
              <w:pStyle w:val="Tabletext"/>
              <w:jc w:val="center"/>
              <w:rPr>
                <w:sz w:val="20"/>
              </w:rPr>
            </w:pPr>
            <w:r w:rsidRPr="00BF190D">
              <w:rPr>
                <w:sz w:val="20"/>
              </w:rPr>
              <w:t>0.004</w:t>
            </w:r>
          </w:p>
        </w:tc>
        <w:tc>
          <w:tcPr>
            <w:tcW w:w="2318" w:type="dxa"/>
          </w:tcPr>
          <w:p w:rsidR="00D176FD" w:rsidRPr="00BF190D" w:rsidRDefault="00D176FD" w:rsidP="00BF190D">
            <w:pPr>
              <w:pStyle w:val="Tabletext"/>
              <w:rPr>
                <w:sz w:val="20"/>
              </w:rPr>
            </w:pPr>
            <w:r w:rsidRPr="00BF190D">
              <w:rPr>
                <w:sz w:val="20"/>
              </w:rPr>
              <w:t>–153.5 dB(W/20 kHz)</w:t>
            </w:r>
          </w:p>
        </w:tc>
      </w:tr>
      <w:tr w:rsidR="00D176FD" w:rsidRPr="00BF190D" w:rsidTr="00BF190D">
        <w:trPr>
          <w:jc w:val="center"/>
        </w:trPr>
        <w:tc>
          <w:tcPr>
            <w:tcW w:w="2291" w:type="dxa"/>
            <w:vMerge/>
            <w:tcBorders>
              <w:bottom w:val="nil"/>
            </w:tcBorders>
          </w:tcPr>
          <w:p w:rsidR="00D176FD" w:rsidRPr="00BF190D" w:rsidRDefault="00D176FD" w:rsidP="00BF190D">
            <w:pPr>
              <w:pStyle w:val="Tabletext"/>
              <w:jc w:val="left"/>
              <w:rPr>
                <w:sz w:val="20"/>
              </w:rPr>
            </w:pPr>
          </w:p>
        </w:tc>
        <w:tc>
          <w:tcPr>
            <w:tcW w:w="1036" w:type="dxa"/>
          </w:tcPr>
          <w:p w:rsidR="00D176FD" w:rsidRPr="00BF190D" w:rsidRDefault="00D176FD" w:rsidP="00FD03E1">
            <w:pPr>
              <w:pStyle w:val="Tabletext"/>
              <w:rPr>
                <w:sz w:val="20"/>
              </w:rPr>
            </w:pPr>
            <w:r w:rsidRPr="00BF190D">
              <w:rPr>
                <w:sz w:val="20"/>
              </w:rPr>
              <w:t>Data loss</w:t>
            </w:r>
          </w:p>
        </w:tc>
        <w:tc>
          <w:tcPr>
            <w:tcW w:w="980" w:type="dxa"/>
          </w:tcPr>
          <w:p w:rsidR="00D176FD" w:rsidRPr="00BF190D" w:rsidRDefault="00D176FD" w:rsidP="00FD03E1">
            <w:pPr>
              <w:pStyle w:val="Tabletext"/>
              <w:jc w:val="center"/>
              <w:rPr>
                <w:sz w:val="20"/>
              </w:rPr>
            </w:pPr>
            <w:r w:rsidRPr="00BF190D">
              <w:rPr>
                <w:sz w:val="20"/>
              </w:rPr>
              <w:t>0.004</w:t>
            </w:r>
          </w:p>
        </w:tc>
        <w:tc>
          <w:tcPr>
            <w:tcW w:w="2276" w:type="dxa"/>
          </w:tcPr>
          <w:p w:rsidR="00D176FD" w:rsidRPr="00BF190D" w:rsidRDefault="00D176FD" w:rsidP="00BF190D">
            <w:pPr>
              <w:pStyle w:val="Tabletext"/>
              <w:rPr>
                <w:sz w:val="20"/>
              </w:rPr>
            </w:pPr>
            <w:r w:rsidRPr="00BF190D">
              <w:rPr>
                <w:sz w:val="20"/>
              </w:rPr>
              <w:t>–161.8 dB(W/20 kHz)</w:t>
            </w:r>
          </w:p>
        </w:tc>
        <w:tc>
          <w:tcPr>
            <w:tcW w:w="845" w:type="dxa"/>
          </w:tcPr>
          <w:p w:rsidR="00D176FD" w:rsidRPr="00BF190D" w:rsidRDefault="00D176FD" w:rsidP="00FD03E1">
            <w:pPr>
              <w:pStyle w:val="Tabletext"/>
              <w:jc w:val="center"/>
              <w:rPr>
                <w:sz w:val="20"/>
              </w:rPr>
            </w:pPr>
            <w:r w:rsidRPr="00BF190D">
              <w:rPr>
                <w:sz w:val="20"/>
              </w:rPr>
              <w:t>0.006</w:t>
            </w:r>
          </w:p>
        </w:tc>
        <w:tc>
          <w:tcPr>
            <w:tcW w:w="2318" w:type="dxa"/>
          </w:tcPr>
          <w:p w:rsidR="00D176FD" w:rsidRPr="00BF190D" w:rsidRDefault="00D176FD" w:rsidP="00BF190D">
            <w:pPr>
              <w:pStyle w:val="Tabletext"/>
              <w:rPr>
                <w:sz w:val="20"/>
              </w:rPr>
            </w:pPr>
            <w:r w:rsidRPr="00BF190D">
              <w:rPr>
                <w:sz w:val="20"/>
              </w:rPr>
              <w:t>–161.6 dB(W/20 kHz)</w:t>
            </w:r>
          </w:p>
        </w:tc>
      </w:tr>
      <w:tr w:rsidR="00D176FD" w:rsidRPr="00BF190D" w:rsidTr="00BF190D">
        <w:trPr>
          <w:jc w:val="center"/>
        </w:trPr>
        <w:tc>
          <w:tcPr>
            <w:tcW w:w="2291" w:type="dxa"/>
            <w:vMerge w:val="restart"/>
          </w:tcPr>
          <w:p w:rsidR="00D176FD" w:rsidRPr="00BF190D" w:rsidRDefault="00D176FD" w:rsidP="00BF190D">
            <w:pPr>
              <w:pStyle w:val="Tabletext"/>
              <w:jc w:val="left"/>
              <w:rPr>
                <w:sz w:val="20"/>
              </w:rPr>
            </w:pPr>
            <w:r w:rsidRPr="00BF190D">
              <w:rPr>
                <w:sz w:val="20"/>
              </w:rPr>
              <w:t>403 MHz rocketsonde</w:t>
            </w:r>
          </w:p>
        </w:tc>
        <w:tc>
          <w:tcPr>
            <w:tcW w:w="1036" w:type="dxa"/>
            <w:tcBorders>
              <w:bottom w:val="nil"/>
            </w:tcBorders>
          </w:tcPr>
          <w:p w:rsidR="00D176FD" w:rsidRPr="00BF190D" w:rsidRDefault="00D176FD" w:rsidP="00FD03E1">
            <w:pPr>
              <w:pStyle w:val="Tabletext"/>
              <w:rPr>
                <w:sz w:val="20"/>
              </w:rPr>
            </w:pPr>
            <w:r w:rsidRPr="00BF190D">
              <w:rPr>
                <w:sz w:val="20"/>
              </w:rPr>
              <w:t>Lock loss</w:t>
            </w:r>
          </w:p>
        </w:tc>
        <w:tc>
          <w:tcPr>
            <w:tcW w:w="980" w:type="dxa"/>
            <w:tcBorders>
              <w:bottom w:val="nil"/>
            </w:tcBorders>
          </w:tcPr>
          <w:p w:rsidR="00D176FD" w:rsidRPr="00BF190D" w:rsidRDefault="00D176FD" w:rsidP="00FD03E1">
            <w:pPr>
              <w:pStyle w:val="Tabletext"/>
              <w:jc w:val="center"/>
              <w:rPr>
                <w:sz w:val="20"/>
              </w:rPr>
            </w:pPr>
            <w:r w:rsidRPr="00BF190D">
              <w:rPr>
                <w:sz w:val="20"/>
              </w:rPr>
              <w:t>0.003</w:t>
            </w:r>
          </w:p>
        </w:tc>
        <w:tc>
          <w:tcPr>
            <w:tcW w:w="2276" w:type="dxa"/>
            <w:tcBorders>
              <w:bottom w:val="nil"/>
            </w:tcBorders>
          </w:tcPr>
          <w:p w:rsidR="00D176FD" w:rsidRPr="00BF190D" w:rsidRDefault="00D176FD" w:rsidP="00FD03E1">
            <w:pPr>
              <w:pStyle w:val="Tabletext"/>
              <w:jc w:val="center"/>
              <w:rPr>
                <w:sz w:val="20"/>
              </w:rPr>
            </w:pPr>
            <w:r w:rsidRPr="00BF190D">
              <w:rPr>
                <w:sz w:val="20"/>
              </w:rPr>
              <w:t>N/A</w:t>
            </w:r>
            <w:r w:rsidRPr="00BF190D">
              <w:rPr>
                <w:sz w:val="20"/>
                <w:vertAlign w:val="superscript"/>
              </w:rPr>
              <w:t>(1)</w:t>
            </w:r>
          </w:p>
        </w:tc>
        <w:tc>
          <w:tcPr>
            <w:tcW w:w="845" w:type="dxa"/>
            <w:tcBorders>
              <w:bottom w:val="nil"/>
            </w:tcBorders>
          </w:tcPr>
          <w:p w:rsidR="00D176FD" w:rsidRPr="00BF190D" w:rsidRDefault="00D176FD" w:rsidP="00FD03E1">
            <w:pPr>
              <w:pStyle w:val="Tabletext"/>
              <w:jc w:val="center"/>
              <w:rPr>
                <w:sz w:val="20"/>
              </w:rPr>
            </w:pPr>
            <w:r w:rsidRPr="00BF190D">
              <w:rPr>
                <w:sz w:val="20"/>
              </w:rPr>
              <w:t>0.004</w:t>
            </w:r>
          </w:p>
        </w:tc>
        <w:tc>
          <w:tcPr>
            <w:tcW w:w="2318" w:type="dxa"/>
            <w:tcBorders>
              <w:bottom w:val="nil"/>
            </w:tcBorders>
          </w:tcPr>
          <w:p w:rsidR="00D176FD" w:rsidRPr="00BF190D" w:rsidRDefault="00D176FD" w:rsidP="00FD03E1">
            <w:pPr>
              <w:pStyle w:val="Tabletext"/>
              <w:jc w:val="center"/>
              <w:rPr>
                <w:sz w:val="20"/>
              </w:rPr>
            </w:pPr>
            <w:r w:rsidRPr="00BF190D">
              <w:rPr>
                <w:sz w:val="20"/>
              </w:rPr>
              <w:t>N/A</w:t>
            </w:r>
            <w:r w:rsidRPr="00BF190D">
              <w:rPr>
                <w:sz w:val="20"/>
                <w:vertAlign w:val="superscript"/>
              </w:rPr>
              <w:t>(1)</w:t>
            </w:r>
          </w:p>
        </w:tc>
      </w:tr>
      <w:tr w:rsidR="00D176FD" w:rsidRPr="00BF190D" w:rsidTr="00BF190D">
        <w:trPr>
          <w:jc w:val="center"/>
        </w:trPr>
        <w:tc>
          <w:tcPr>
            <w:tcW w:w="2291" w:type="dxa"/>
            <w:vMerge/>
            <w:tcBorders>
              <w:bottom w:val="single" w:sz="6" w:space="0" w:color="auto"/>
            </w:tcBorders>
          </w:tcPr>
          <w:p w:rsidR="00D176FD" w:rsidRPr="00BF190D" w:rsidRDefault="00D176FD" w:rsidP="00FD03E1">
            <w:pPr>
              <w:pStyle w:val="Tabletext"/>
              <w:rPr>
                <w:sz w:val="20"/>
              </w:rPr>
            </w:pPr>
          </w:p>
        </w:tc>
        <w:tc>
          <w:tcPr>
            <w:tcW w:w="1036" w:type="dxa"/>
            <w:tcBorders>
              <w:bottom w:val="single" w:sz="6" w:space="0" w:color="auto"/>
            </w:tcBorders>
          </w:tcPr>
          <w:p w:rsidR="00D176FD" w:rsidRPr="00BF190D" w:rsidRDefault="00D176FD" w:rsidP="00FD03E1">
            <w:pPr>
              <w:pStyle w:val="Tabletext"/>
              <w:rPr>
                <w:sz w:val="20"/>
              </w:rPr>
            </w:pPr>
            <w:r w:rsidRPr="00BF190D">
              <w:rPr>
                <w:sz w:val="20"/>
              </w:rPr>
              <w:t xml:space="preserve">Data loss </w:t>
            </w:r>
          </w:p>
        </w:tc>
        <w:tc>
          <w:tcPr>
            <w:tcW w:w="980" w:type="dxa"/>
            <w:tcBorders>
              <w:bottom w:val="single" w:sz="6" w:space="0" w:color="auto"/>
            </w:tcBorders>
          </w:tcPr>
          <w:p w:rsidR="00D176FD" w:rsidRPr="00BF190D" w:rsidRDefault="00D176FD" w:rsidP="00FD03E1">
            <w:pPr>
              <w:pStyle w:val="Tabletext"/>
              <w:jc w:val="center"/>
              <w:rPr>
                <w:sz w:val="20"/>
              </w:rPr>
            </w:pPr>
            <w:r w:rsidRPr="00BF190D">
              <w:rPr>
                <w:sz w:val="20"/>
              </w:rPr>
              <w:t>0.004</w:t>
            </w:r>
          </w:p>
        </w:tc>
        <w:tc>
          <w:tcPr>
            <w:tcW w:w="2276" w:type="dxa"/>
            <w:tcBorders>
              <w:bottom w:val="single" w:sz="6" w:space="0" w:color="auto"/>
            </w:tcBorders>
          </w:tcPr>
          <w:p w:rsidR="00D176FD" w:rsidRPr="00BF190D" w:rsidRDefault="00D176FD" w:rsidP="00BF190D">
            <w:pPr>
              <w:pStyle w:val="Tabletext"/>
              <w:rPr>
                <w:sz w:val="20"/>
              </w:rPr>
            </w:pPr>
            <w:r w:rsidRPr="00BF190D">
              <w:rPr>
                <w:sz w:val="20"/>
              </w:rPr>
              <w:t>–122.1 dB(W/3.0 MHz)</w:t>
            </w:r>
          </w:p>
        </w:tc>
        <w:tc>
          <w:tcPr>
            <w:tcW w:w="845" w:type="dxa"/>
            <w:tcBorders>
              <w:bottom w:val="single" w:sz="6" w:space="0" w:color="auto"/>
            </w:tcBorders>
          </w:tcPr>
          <w:p w:rsidR="00D176FD" w:rsidRPr="00BF190D" w:rsidRDefault="00D176FD" w:rsidP="00FD03E1">
            <w:pPr>
              <w:pStyle w:val="Tabletext"/>
              <w:jc w:val="center"/>
              <w:rPr>
                <w:sz w:val="20"/>
              </w:rPr>
            </w:pPr>
            <w:r w:rsidRPr="00BF190D">
              <w:rPr>
                <w:sz w:val="20"/>
              </w:rPr>
              <w:t>0.006</w:t>
            </w:r>
          </w:p>
        </w:tc>
        <w:tc>
          <w:tcPr>
            <w:tcW w:w="2318" w:type="dxa"/>
            <w:tcBorders>
              <w:bottom w:val="single" w:sz="6" w:space="0" w:color="auto"/>
            </w:tcBorders>
          </w:tcPr>
          <w:p w:rsidR="00D176FD" w:rsidRPr="00BF190D" w:rsidRDefault="00D176FD" w:rsidP="00BF190D">
            <w:pPr>
              <w:pStyle w:val="Tabletext"/>
              <w:rPr>
                <w:sz w:val="20"/>
              </w:rPr>
            </w:pPr>
            <w:r w:rsidRPr="00BF190D">
              <w:rPr>
                <w:sz w:val="20"/>
              </w:rPr>
              <w:t>–122.1 dB(W/3.0 MHz)</w:t>
            </w:r>
          </w:p>
        </w:tc>
      </w:tr>
      <w:tr w:rsidR="00D176FD" w:rsidRPr="00047754" w:rsidTr="00BF1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746" w:type="dxa"/>
            <w:gridSpan w:val="6"/>
            <w:tcBorders>
              <w:top w:val="nil"/>
              <w:left w:val="nil"/>
              <w:bottom w:val="nil"/>
              <w:right w:val="nil"/>
            </w:tcBorders>
          </w:tcPr>
          <w:p w:rsidR="00BF190D" w:rsidRPr="00047754" w:rsidRDefault="00BF190D" w:rsidP="00BF190D">
            <w:pPr>
              <w:pStyle w:val="Tablelegend"/>
              <w:rPr>
                <w:sz w:val="20"/>
                <w:lang w:val="en-US"/>
              </w:rPr>
            </w:pPr>
            <w:r w:rsidRPr="00047754">
              <w:rPr>
                <w:sz w:val="20"/>
                <w:lang w:val="en-US"/>
              </w:rPr>
              <w:t>N/A: Not applicable.</w:t>
            </w:r>
          </w:p>
          <w:p w:rsidR="00D176FD" w:rsidRPr="00047754" w:rsidRDefault="00D176FD" w:rsidP="00BF190D">
            <w:pPr>
              <w:pStyle w:val="Tablelegend"/>
              <w:rPr>
                <w:sz w:val="20"/>
                <w:lang w:val="en-US"/>
              </w:rPr>
            </w:pPr>
            <w:r w:rsidRPr="00047754">
              <w:rPr>
                <w:sz w:val="20"/>
                <w:lang w:val="en-US"/>
              </w:rPr>
              <w:t>*</w:t>
            </w:r>
            <w:r w:rsidRPr="00047754">
              <w:rPr>
                <w:sz w:val="20"/>
                <w:lang w:val="en-US"/>
              </w:rPr>
              <w:tab/>
              <w:t>Since details of systems which could potentially share are unknown, these levels are calculated for a single system. Further subdivision to the single emitter level may be performed during the formal coordination process.</w:t>
            </w:r>
          </w:p>
          <w:p w:rsidR="00D176FD" w:rsidRPr="00047754" w:rsidRDefault="00D176FD" w:rsidP="00BF190D">
            <w:pPr>
              <w:pStyle w:val="Tablelegend"/>
              <w:rPr>
                <w:szCs w:val="18"/>
                <w:lang w:val="en-US"/>
              </w:rPr>
            </w:pPr>
            <w:r w:rsidRPr="00047754">
              <w:rPr>
                <w:sz w:val="20"/>
                <w:vertAlign w:val="superscript"/>
                <w:lang w:val="en-US"/>
              </w:rPr>
              <w:t>(1)</w:t>
            </w:r>
            <w:r w:rsidRPr="00047754">
              <w:rPr>
                <w:sz w:val="20"/>
                <w:lang w:val="en-US"/>
              </w:rPr>
              <w:tab/>
              <w:t>Systems with omnidirectional antennas are not vulnerable to losing antenna lock on the signal due to interference or signal fading.</w:t>
            </w:r>
          </w:p>
        </w:tc>
      </w:tr>
    </w:tbl>
    <w:p w:rsidR="00D176FD" w:rsidRDefault="00D176FD" w:rsidP="00D176FD">
      <w:pPr>
        <w:pStyle w:val="Tablefin"/>
      </w:pPr>
    </w:p>
    <w:p w:rsidR="00D176FD" w:rsidRDefault="00D176FD" w:rsidP="00D176FD">
      <w:pPr>
        <w:rPr>
          <w:lang w:val="en-US"/>
        </w:rPr>
      </w:pPr>
    </w:p>
    <w:p w:rsidR="00D176FD" w:rsidRDefault="00D176FD" w:rsidP="00D176FD">
      <w:pPr>
        <w:rPr>
          <w:lang w:val="en-US"/>
        </w:rPr>
      </w:pPr>
    </w:p>
    <w:p w:rsidR="00D176FD" w:rsidRPr="00D176FD" w:rsidRDefault="00D176FD" w:rsidP="00D176FD">
      <w:pPr>
        <w:pStyle w:val="Line"/>
      </w:pPr>
    </w:p>
    <w:sectPr w:rsidR="00D176FD" w:rsidRPr="00D176FD" w:rsidSect="00860C1F">
      <w:headerReference w:type="even" r:id="rId15"/>
      <w:headerReference w:type="default" r:id="rId16"/>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630" w:rsidRDefault="00D47630">
      <w:r>
        <w:separator/>
      </w:r>
    </w:p>
  </w:endnote>
  <w:endnote w:type="continuationSeparator" w:id="0">
    <w:p w:rsidR="00D47630" w:rsidRDefault="00D47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630" w:rsidRDefault="00D47630">
      <w:r>
        <w:separator/>
      </w:r>
    </w:p>
  </w:footnote>
  <w:footnote w:type="continuationSeparator" w:id="0">
    <w:p w:rsidR="00D47630" w:rsidRDefault="00D476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30" w:rsidRDefault="00D4763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30" w:rsidRDefault="00D4763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30" w:rsidRPr="00FC42AF" w:rsidRDefault="00C37F73">
    <w:pPr>
      <w:pStyle w:val="Header"/>
      <w:jc w:val="left"/>
    </w:pPr>
    <w:r>
      <w:rPr>
        <w:rStyle w:val="PageNumber"/>
        <w:b/>
        <w:bCs/>
      </w:rPr>
      <w:fldChar w:fldCharType="begin"/>
    </w:r>
    <w:r w:rsidR="00D47630" w:rsidRPr="00FC42AF">
      <w:rPr>
        <w:rStyle w:val="PageNumber"/>
        <w:b/>
        <w:bCs/>
      </w:rPr>
      <w:instrText xml:space="preserve"> PAGE </w:instrText>
    </w:r>
    <w:r>
      <w:rPr>
        <w:rStyle w:val="PageNumber"/>
        <w:b/>
        <w:bCs/>
      </w:rPr>
      <w:fldChar w:fldCharType="separate"/>
    </w:r>
    <w:r w:rsidR="00047754">
      <w:rPr>
        <w:rStyle w:val="PageNumber"/>
        <w:b/>
        <w:bCs/>
        <w:noProof/>
      </w:rPr>
      <w:t>4</w:t>
    </w:r>
    <w:r>
      <w:rPr>
        <w:rStyle w:val="PageNumber"/>
        <w:b/>
        <w:bCs/>
      </w:rPr>
      <w:fldChar w:fldCharType="end"/>
    </w:r>
    <w:r w:rsidR="00D47630" w:rsidRPr="00FC42AF">
      <w:tab/>
    </w:r>
    <w:r w:rsidR="00047754">
      <w:fldChar w:fldCharType="begin"/>
    </w:r>
    <w:r w:rsidR="00047754">
      <w:instrText xml:space="preserve"> DOCPROPERTY "Header" \* MERGEFORMAT </w:instrText>
    </w:r>
    <w:r w:rsidR="00047754">
      <w:fldChar w:fldCharType="separate"/>
    </w:r>
    <w:r w:rsidR="00F54315" w:rsidRPr="00F54315">
      <w:rPr>
        <w:b/>
        <w:bCs/>
      </w:rPr>
      <w:t xml:space="preserve">Rec. </w:t>
    </w:r>
    <w:r w:rsidR="00047754">
      <w:rPr>
        <w:b/>
        <w:bCs/>
      </w:rPr>
      <w:fldChar w:fldCharType="end"/>
    </w:r>
    <w:r w:rsidR="00D47630">
      <w:rPr>
        <w:b/>
        <w:bCs/>
      </w:rPr>
      <w:t xml:space="preserve"> </w:t>
    </w:r>
    <w:r>
      <w:rPr>
        <w:b/>
        <w:bCs/>
      </w:rPr>
      <w:fldChar w:fldCharType="begin"/>
    </w:r>
    <w:r w:rsidR="00D47630" w:rsidRPr="00FC42AF">
      <w:rPr>
        <w:b/>
        <w:bCs/>
      </w:rPr>
      <w:instrText>styleref href</w:instrText>
    </w:r>
    <w:r>
      <w:rPr>
        <w:b/>
        <w:bCs/>
      </w:rPr>
      <w:fldChar w:fldCharType="separate"/>
    </w:r>
    <w:r w:rsidR="00047754">
      <w:rPr>
        <w:b/>
        <w:bCs/>
        <w:noProof/>
      </w:rPr>
      <w:t>ITU-R  RS.1884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30" w:rsidRDefault="00D47630">
    <w:pPr>
      <w:pStyle w:val="Header"/>
    </w:pPr>
    <w:r>
      <w:tab/>
    </w:r>
    <w:r w:rsidR="00047754">
      <w:fldChar w:fldCharType="begin"/>
    </w:r>
    <w:r w:rsidR="00047754">
      <w:instrText xml:space="preserve"> DOCPROPERTY "Header" \* MERGEFORMAT </w:instrText>
    </w:r>
    <w:r w:rsidR="00047754">
      <w:fldChar w:fldCharType="separate"/>
    </w:r>
    <w:r w:rsidR="00F54315" w:rsidRPr="00F54315">
      <w:rPr>
        <w:b/>
        <w:bCs/>
      </w:rPr>
      <w:t xml:space="preserve">Rec. </w:t>
    </w:r>
    <w:r w:rsidR="00047754">
      <w:rPr>
        <w:b/>
        <w:bCs/>
      </w:rPr>
      <w:fldChar w:fldCharType="end"/>
    </w:r>
    <w:r>
      <w:rPr>
        <w:b/>
        <w:bCs/>
      </w:rPr>
      <w:t xml:space="preserve"> </w:t>
    </w:r>
    <w:r w:rsidR="00C37F73">
      <w:rPr>
        <w:b/>
        <w:bCs/>
      </w:rPr>
      <w:fldChar w:fldCharType="begin"/>
    </w:r>
    <w:r>
      <w:rPr>
        <w:b/>
        <w:bCs/>
      </w:rPr>
      <w:instrText>styleref href</w:instrText>
    </w:r>
    <w:r w:rsidR="00C37F73">
      <w:rPr>
        <w:b/>
        <w:bCs/>
      </w:rPr>
      <w:fldChar w:fldCharType="separate"/>
    </w:r>
    <w:r w:rsidR="00047754">
      <w:rPr>
        <w:b/>
        <w:bCs/>
        <w:noProof/>
      </w:rPr>
      <w:t>ITU-R  RS.1884</w:t>
    </w:r>
    <w:r w:rsidR="00C37F73">
      <w:rPr>
        <w:b/>
        <w:bCs/>
      </w:rPr>
      <w:fldChar w:fldCharType="end"/>
    </w:r>
    <w:r>
      <w:tab/>
    </w:r>
    <w:r w:rsidR="00C37F73">
      <w:rPr>
        <w:rStyle w:val="PageNumber"/>
        <w:b/>
        <w:bCs/>
      </w:rPr>
      <w:fldChar w:fldCharType="begin"/>
    </w:r>
    <w:r>
      <w:rPr>
        <w:rStyle w:val="PageNumber"/>
        <w:b/>
        <w:bCs/>
      </w:rPr>
      <w:instrText xml:space="preserve"> PAGE </w:instrText>
    </w:r>
    <w:r w:rsidR="00C37F73">
      <w:rPr>
        <w:rStyle w:val="PageNumber"/>
        <w:b/>
        <w:bCs/>
      </w:rPr>
      <w:fldChar w:fldCharType="separate"/>
    </w:r>
    <w:r w:rsidR="00047754">
      <w:rPr>
        <w:rStyle w:val="PageNumber"/>
        <w:b/>
        <w:bCs/>
        <w:noProof/>
      </w:rPr>
      <w:t>3</w:t>
    </w:r>
    <w:r w:rsidR="00C37F73">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30" w:rsidRDefault="00D47630" w:rsidP="00860C1F">
    <w:pPr>
      <w:pStyle w:val="Header"/>
      <w:tabs>
        <w:tab w:val="clear" w:pos="4848"/>
        <w:tab w:val="clear" w:pos="9696"/>
        <w:tab w:val="center" w:pos="7258"/>
        <w:tab w:val="right" w:pos="14515"/>
      </w:tabs>
    </w:pPr>
    <w:r>
      <w:tab/>
    </w:r>
    <w:r w:rsidR="00047754">
      <w:fldChar w:fldCharType="begin"/>
    </w:r>
    <w:r w:rsidR="00047754">
      <w:instrText xml:space="preserve"> DOCPROPERTY "Header" \* MERGEFORMAT </w:instrText>
    </w:r>
    <w:r w:rsidR="00047754">
      <w:fldChar w:fldCharType="separate"/>
    </w:r>
    <w:r w:rsidR="00F54315" w:rsidRPr="00F54315">
      <w:rPr>
        <w:b/>
        <w:bCs/>
      </w:rPr>
      <w:t xml:space="preserve">Rec. </w:t>
    </w:r>
    <w:r w:rsidR="00047754">
      <w:rPr>
        <w:b/>
        <w:bCs/>
      </w:rPr>
      <w:fldChar w:fldCharType="end"/>
    </w:r>
    <w:r>
      <w:rPr>
        <w:b/>
        <w:bCs/>
      </w:rPr>
      <w:t xml:space="preserve"> </w:t>
    </w:r>
    <w:r w:rsidR="00C37F73">
      <w:rPr>
        <w:b/>
        <w:bCs/>
      </w:rPr>
      <w:fldChar w:fldCharType="begin"/>
    </w:r>
    <w:r>
      <w:rPr>
        <w:b/>
        <w:bCs/>
      </w:rPr>
      <w:instrText>styleref href</w:instrText>
    </w:r>
    <w:r w:rsidR="00C37F73">
      <w:rPr>
        <w:b/>
        <w:bCs/>
      </w:rPr>
      <w:fldChar w:fldCharType="separate"/>
    </w:r>
    <w:r w:rsidR="00047754">
      <w:rPr>
        <w:b/>
        <w:bCs/>
        <w:noProof/>
      </w:rPr>
      <w:t>ITU-R  RS.1884</w:t>
    </w:r>
    <w:r w:rsidR="00C37F73">
      <w:rPr>
        <w:b/>
        <w:bCs/>
      </w:rPr>
      <w:fldChar w:fldCharType="end"/>
    </w:r>
    <w:r>
      <w:tab/>
    </w:r>
    <w:r w:rsidR="00C37F73">
      <w:rPr>
        <w:rStyle w:val="PageNumber"/>
        <w:b/>
        <w:bCs/>
      </w:rPr>
      <w:fldChar w:fldCharType="begin"/>
    </w:r>
    <w:r>
      <w:rPr>
        <w:rStyle w:val="PageNumber"/>
        <w:b/>
        <w:bCs/>
      </w:rPr>
      <w:instrText xml:space="preserve"> PAGE </w:instrText>
    </w:r>
    <w:r w:rsidR="00C37F73">
      <w:rPr>
        <w:rStyle w:val="PageNumber"/>
        <w:b/>
        <w:bCs/>
      </w:rPr>
      <w:fldChar w:fldCharType="separate"/>
    </w:r>
    <w:r w:rsidR="00047754">
      <w:rPr>
        <w:rStyle w:val="PageNumber"/>
        <w:b/>
        <w:bCs/>
        <w:noProof/>
      </w:rPr>
      <w:t>5</w:t>
    </w:r>
    <w:r w:rsidR="00C37F73">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30" w:rsidRPr="00FC42AF" w:rsidRDefault="00C37F73">
    <w:pPr>
      <w:pStyle w:val="Header"/>
      <w:jc w:val="left"/>
    </w:pPr>
    <w:r>
      <w:rPr>
        <w:rStyle w:val="PageNumber"/>
        <w:b/>
        <w:bCs/>
      </w:rPr>
      <w:fldChar w:fldCharType="begin"/>
    </w:r>
    <w:r w:rsidR="00D47630" w:rsidRPr="00FC42AF">
      <w:rPr>
        <w:rStyle w:val="PageNumber"/>
        <w:b/>
        <w:bCs/>
      </w:rPr>
      <w:instrText xml:space="preserve"> PAGE </w:instrText>
    </w:r>
    <w:r>
      <w:rPr>
        <w:rStyle w:val="PageNumber"/>
        <w:b/>
        <w:bCs/>
      </w:rPr>
      <w:fldChar w:fldCharType="separate"/>
    </w:r>
    <w:r w:rsidR="00047754">
      <w:rPr>
        <w:rStyle w:val="PageNumber"/>
        <w:b/>
        <w:bCs/>
        <w:noProof/>
      </w:rPr>
      <w:t>6</w:t>
    </w:r>
    <w:r>
      <w:rPr>
        <w:rStyle w:val="PageNumber"/>
        <w:b/>
        <w:bCs/>
      </w:rPr>
      <w:fldChar w:fldCharType="end"/>
    </w:r>
    <w:r w:rsidR="00D47630" w:rsidRPr="00FC42AF">
      <w:tab/>
    </w:r>
    <w:r w:rsidR="00047754">
      <w:fldChar w:fldCharType="begin"/>
    </w:r>
    <w:r w:rsidR="00047754">
      <w:instrText xml:space="preserve"> DOCPROPERTY "Header" \* MERGEFORMAT </w:instrText>
    </w:r>
    <w:r w:rsidR="00047754">
      <w:fldChar w:fldCharType="separate"/>
    </w:r>
    <w:r w:rsidR="00F54315" w:rsidRPr="00F54315">
      <w:rPr>
        <w:b/>
        <w:bCs/>
      </w:rPr>
      <w:t xml:space="preserve">Rec. </w:t>
    </w:r>
    <w:r w:rsidR="00047754">
      <w:rPr>
        <w:b/>
        <w:bCs/>
      </w:rPr>
      <w:fldChar w:fldCharType="end"/>
    </w:r>
    <w:r w:rsidR="00D47630">
      <w:rPr>
        <w:b/>
        <w:bCs/>
      </w:rPr>
      <w:t xml:space="preserve"> </w:t>
    </w:r>
    <w:r>
      <w:rPr>
        <w:b/>
        <w:bCs/>
      </w:rPr>
      <w:fldChar w:fldCharType="begin"/>
    </w:r>
    <w:r w:rsidR="00D47630" w:rsidRPr="00FC42AF">
      <w:rPr>
        <w:b/>
        <w:bCs/>
      </w:rPr>
      <w:instrText>styleref href</w:instrText>
    </w:r>
    <w:r>
      <w:rPr>
        <w:b/>
        <w:bCs/>
      </w:rPr>
      <w:fldChar w:fldCharType="separate"/>
    </w:r>
    <w:r w:rsidR="00047754">
      <w:rPr>
        <w:b/>
        <w:bCs/>
        <w:noProof/>
      </w:rPr>
      <w:t>ITU-R  RS.1884</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30" w:rsidRDefault="00D47630">
    <w:pPr>
      <w:pStyle w:val="Header"/>
    </w:pPr>
    <w:r>
      <w:tab/>
    </w:r>
    <w:r w:rsidR="00047754">
      <w:fldChar w:fldCharType="begin"/>
    </w:r>
    <w:r w:rsidR="00047754">
      <w:instrText xml:space="preserve"> DOCPROPERTY "Header" \* MERGEFORMAT </w:instrText>
    </w:r>
    <w:r w:rsidR="00047754">
      <w:fldChar w:fldCharType="separate"/>
    </w:r>
    <w:r w:rsidR="00F54315" w:rsidRPr="00F54315">
      <w:rPr>
        <w:b/>
        <w:bCs/>
      </w:rPr>
      <w:t xml:space="preserve">Rec. </w:t>
    </w:r>
    <w:r w:rsidR="00047754">
      <w:rPr>
        <w:b/>
        <w:bCs/>
      </w:rPr>
      <w:fldChar w:fldCharType="end"/>
    </w:r>
    <w:r>
      <w:rPr>
        <w:b/>
        <w:bCs/>
      </w:rPr>
      <w:t xml:space="preserve"> </w:t>
    </w:r>
    <w:r w:rsidR="00C37F73">
      <w:rPr>
        <w:b/>
        <w:bCs/>
      </w:rPr>
      <w:fldChar w:fldCharType="begin"/>
    </w:r>
    <w:r>
      <w:rPr>
        <w:b/>
        <w:bCs/>
      </w:rPr>
      <w:instrText>styleref href</w:instrText>
    </w:r>
    <w:r w:rsidR="00C37F73">
      <w:rPr>
        <w:b/>
        <w:bCs/>
      </w:rPr>
      <w:fldChar w:fldCharType="separate"/>
    </w:r>
    <w:r w:rsidR="00047754">
      <w:rPr>
        <w:b/>
        <w:bCs/>
        <w:noProof/>
      </w:rPr>
      <w:t>ITU-R  RS.1884</w:t>
    </w:r>
    <w:r w:rsidR="00C37F73">
      <w:rPr>
        <w:b/>
        <w:bCs/>
      </w:rPr>
      <w:fldChar w:fldCharType="end"/>
    </w:r>
    <w:r>
      <w:tab/>
    </w:r>
    <w:r w:rsidR="00C37F73">
      <w:rPr>
        <w:rStyle w:val="PageNumber"/>
        <w:b/>
        <w:bCs/>
      </w:rPr>
      <w:fldChar w:fldCharType="begin"/>
    </w:r>
    <w:r>
      <w:rPr>
        <w:rStyle w:val="PageNumber"/>
        <w:b/>
        <w:bCs/>
      </w:rPr>
      <w:instrText xml:space="preserve"> PAGE </w:instrText>
    </w:r>
    <w:r w:rsidR="00C37F73">
      <w:rPr>
        <w:rStyle w:val="PageNumber"/>
        <w:b/>
        <w:bCs/>
      </w:rPr>
      <w:fldChar w:fldCharType="separate"/>
    </w:r>
    <w:r w:rsidR="00047754">
      <w:rPr>
        <w:rStyle w:val="PageNumber"/>
        <w:b/>
        <w:bCs/>
        <w:noProof/>
      </w:rPr>
      <w:t>7</w:t>
    </w:r>
    <w:r w:rsidR="00C37F73">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6EE3"/>
    <w:rsid w:val="00047754"/>
    <w:rsid w:val="00072484"/>
    <w:rsid w:val="00096612"/>
    <w:rsid w:val="000A4386"/>
    <w:rsid w:val="000B1300"/>
    <w:rsid w:val="000B7683"/>
    <w:rsid w:val="000D0677"/>
    <w:rsid w:val="000E6A6E"/>
    <w:rsid w:val="00102934"/>
    <w:rsid w:val="00147110"/>
    <w:rsid w:val="001511A6"/>
    <w:rsid w:val="001A7DC3"/>
    <w:rsid w:val="001F1DB9"/>
    <w:rsid w:val="002058CE"/>
    <w:rsid w:val="002165F1"/>
    <w:rsid w:val="00276D21"/>
    <w:rsid w:val="00296D7F"/>
    <w:rsid w:val="002B0E83"/>
    <w:rsid w:val="002B3CF6"/>
    <w:rsid w:val="002C768A"/>
    <w:rsid w:val="002D76C4"/>
    <w:rsid w:val="002D7BB4"/>
    <w:rsid w:val="002F5199"/>
    <w:rsid w:val="00356B5D"/>
    <w:rsid w:val="003E346A"/>
    <w:rsid w:val="0041667C"/>
    <w:rsid w:val="00420DFD"/>
    <w:rsid w:val="00437A76"/>
    <w:rsid w:val="00470E28"/>
    <w:rsid w:val="00470FEC"/>
    <w:rsid w:val="004934C5"/>
    <w:rsid w:val="004F65E4"/>
    <w:rsid w:val="00556548"/>
    <w:rsid w:val="00567417"/>
    <w:rsid w:val="00586EF8"/>
    <w:rsid w:val="005B3E23"/>
    <w:rsid w:val="005B49AB"/>
    <w:rsid w:val="005B50E7"/>
    <w:rsid w:val="005E7B4F"/>
    <w:rsid w:val="00601882"/>
    <w:rsid w:val="00607D68"/>
    <w:rsid w:val="00613212"/>
    <w:rsid w:val="006149B1"/>
    <w:rsid w:val="00680D2B"/>
    <w:rsid w:val="00681B32"/>
    <w:rsid w:val="006B1D2B"/>
    <w:rsid w:val="006B4274"/>
    <w:rsid w:val="006E1131"/>
    <w:rsid w:val="006E2037"/>
    <w:rsid w:val="006E6199"/>
    <w:rsid w:val="00712870"/>
    <w:rsid w:val="00743D85"/>
    <w:rsid w:val="00753CF4"/>
    <w:rsid w:val="007565CC"/>
    <w:rsid w:val="00761EC0"/>
    <w:rsid w:val="00763B9A"/>
    <w:rsid w:val="00794726"/>
    <w:rsid w:val="007A6AA8"/>
    <w:rsid w:val="007D224F"/>
    <w:rsid w:val="0080588F"/>
    <w:rsid w:val="008310C9"/>
    <w:rsid w:val="00853CC5"/>
    <w:rsid w:val="00860C1F"/>
    <w:rsid w:val="008C7848"/>
    <w:rsid w:val="00906589"/>
    <w:rsid w:val="00906AD6"/>
    <w:rsid w:val="00917AF2"/>
    <w:rsid w:val="0092418A"/>
    <w:rsid w:val="00934ED7"/>
    <w:rsid w:val="009543C3"/>
    <w:rsid w:val="00966E1B"/>
    <w:rsid w:val="009947C0"/>
    <w:rsid w:val="009A29B3"/>
    <w:rsid w:val="009A3B35"/>
    <w:rsid w:val="009F2D2C"/>
    <w:rsid w:val="00A31928"/>
    <w:rsid w:val="00A62A14"/>
    <w:rsid w:val="00A6617B"/>
    <w:rsid w:val="00A71FE5"/>
    <w:rsid w:val="00A75517"/>
    <w:rsid w:val="00A971A1"/>
    <w:rsid w:val="00AA3AD8"/>
    <w:rsid w:val="00AB0DC8"/>
    <w:rsid w:val="00B033C8"/>
    <w:rsid w:val="00B33425"/>
    <w:rsid w:val="00B44E24"/>
    <w:rsid w:val="00B54ECC"/>
    <w:rsid w:val="00B714F3"/>
    <w:rsid w:val="00B87B6B"/>
    <w:rsid w:val="00BC5D77"/>
    <w:rsid w:val="00BF190D"/>
    <w:rsid w:val="00BF487A"/>
    <w:rsid w:val="00C37F73"/>
    <w:rsid w:val="00C46BD9"/>
    <w:rsid w:val="00C54198"/>
    <w:rsid w:val="00C55258"/>
    <w:rsid w:val="00C73560"/>
    <w:rsid w:val="00CB0F14"/>
    <w:rsid w:val="00CC3B9A"/>
    <w:rsid w:val="00CD659B"/>
    <w:rsid w:val="00CE0A43"/>
    <w:rsid w:val="00CE694C"/>
    <w:rsid w:val="00D176FD"/>
    <w:rsid w:val="00D47630"/>
    <w:rsid w:val="00D703EF"/>
    <w:rsid w:val="00D83556"/>
    <w:rsid w:val="00DE5094"/>
    <w:rsid w:val="00DF4176"/>
    <w:rsid w:val="00E17240"/>
    <w:rsid w:val="00E24164"/>
    <w:rsid w:val="00E406BD"/>
    <w:rsid w:val="00E74595"/>
    <w:rsid w:val="00EB7C57"/>
    <w:rsid w:val="00ED2695"/>
    <w:rsid w:val="00F30C9B"/>
    <w:rsid w:val="00F354B1"/>
    <w:rsid w:val="00F54315"/>
    <w:rsid w:val="00FB0E4E"/>
    <w:rsid w:val="00FC33E6"/>
    <w:rsid w:val="00FC42AF"/>
    <w:rsid w:val="00FD03E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03E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D03E1"/>
    <w:pPr>
      <w:keepNext/>
      <w:keepLines/>
      <w:spacing w:before="480"/>
      <w:ind w:left="794" w:hanging="794"/>
      <w:outlineLvl w:val="0"/>
    </w:pPr>
    <w:rPr>
      <w:b/>
    </w:rPr>
  </w:style>
  <w:style w:type="paragraph" w:styleId="Heading2">
    <w:name w:val="heading 2"/>
    <w:basedOn w:val="Heading1"/>
    <w:next w:val="Normal"/>
    <w:qFormat/>
    <w:rsid w:val="00FD03E1"/>
    <w:pPr>
      <w:spacing w:before="320"/>
      <w:outlineLvl w:val="1"/>
    </w:pPr>
  </w:style>
  <w:style w:type="paragraph" w:styleId="Heading3">
    <w:name w:val="heading 3"/>
    <w:basedOn w:val="Heading1"/>
    <w:next w:val="Normal"/>
    <w:qFormat/>
    <w:rsid w:val="00FD03E1"/>
    <w:pPr>
      <w:spacing w:before="200"/>
      <w:outlineLvl w:val="2"/>
    </w:pPr>
  </w:style>
  <w:style w:type="paragraph" w:styleId="Heading4">
    <w:name w:val="heading 4"/>
    <w:basedOn w:val="Heading3"/>
    <w:next w:val="Normal"/>
    <w:qFormat/>
    <w:rsid w:val="00FD03E1"/>
    <w:pPr>
      <w:tabs>
        <w:tab w:val="clear" w:pos="794"/>
        <w:tab w:val="left" w:pos="992"/>
      </w:tabs>
      <w:ind w:left="992" w:hanging="992"/>
      <w:outlineLvl w:val="3"/>
    </w:pPr>
  </w:style>
  <w:style w:type="paragraph" w:styleId="Heading5">
    <w:name w:val="heading 5"/>
    <w:basedOn w:val="Heading4"/>
    <w:next w:val="Normal"/>
    <w:qFormat/>
    <w:rsid w:val="00FD03E1"/>
    <w:pPr>
      <w:outlineLvl w:val="4"/>
    </w:pPr>
  </w:style>
  <w:style w:type="paragraph" w:styleId="Heading6">
    <w:name w:val="heading 6"/>
    <w:basedOn w:val="Heading4"/>
    <w:next w:val="Normal"/>
    <w:qFormat/>
    <w:rsid w:val="00FD03E1"/>
    <w:pPr>
      <w:tabs>
        <w:tab w:val="clear" w:pos="992"/>
        <w:tab w:val="clear" w:pos="1191"/>
      </w:tabs>
      <w:ind w:left="1588" w:hanging="1588"/>
      <w:outlineLvl w:val="5"/>
    </w:pPr>
  </w:style>
  <w:style w:type="paragraph" w:styleId="Heading7">
    <w:name w:val="heading 7"/>
    <w:basedOn w:val="Heading6"/>
    <w:next w:val="Normal"/>
    <w:qFormat/>
    <w:rsid w:val="00FD03E1"/>
    <w:pPr>
      <w:outlineLvl w:val="6"/>
    </w:pPr>
  </w:style>
  <w:style w:type="paragraph" w:styleId="Heading8">
    <w:name w:val="heading 8"/>
    <w:basedOn w:val="Heading6"/>
    <w:next w:val="Normal"/>
    <w:qFormat/>
    <w:rsid w:val="00FD03E1"/>
    <w:pPr>
      <w:outlineLvl w:val="7"/>
    </w:pPr>
  </w:style>
  <w:style w:type="paragraph" w:styleId="Heading9">
    <w:name w:val="heading 9"/>
    <w:basedOn w:val="Heading6"/>
    <w:next w:val="Normal"/>
    <w:qFormat/>
    <w:rsid w:val="00FD03E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D03E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FD03E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D03E1"/>
  </w:style>
  <w:style w:type="paragraph" w:customStyle="1" w:styleId="Headingb">
    <w:name w:val="Heading_b"/>
    <w:basedOn w:val="Heading3"/>
    <w:next w:val="Normal"/>
    <w:rsid w:val="00FD03E1"/>
    <w:pPr>
      <w:spacing w:before="160"/>
      <w:ind w:left="0" w:firstLine="0"/>
      <w:outlineLvl w:val="9"/>
    </w:pPr>
  </w:style>
  <w:style w:type="paragraph" w:customStyle="1" w:styleId="Headingi">
    <w:name w:val="Heading_i"/>
    <w:basedOn w:val="Heading3"/>
    <w:next w:val="Normal"/>
    <w:rsid w:val="00FD03E1"/>
    <w:pPr>
      <w:spacing w:before="160"/>
      <w:ind w:left="0" w:firstLine="0"/>
    </w:pPr>
    <w:rPr>
      <w:b w:val="0"/>
      <w:i/>
    </w:rPr>
  </w:style>
  <w:style w:type="character" w:customStyle="1" w:styleId="href">
    <w:name w:val="href"/>
    <w:basedOn w:val="DefaultParagraphFont"/>
    <w:rsid w:val="00FD03E1"/>
  </w:style>
  <w:style w:type="paragraph" w:customStyle="1" w:styleId="AnnexNoTitle">
    <w:name w:val="Annex_NoTitle"/>
    <w:basedOn w:val="Normal"/>
    <w:next w:val="Normalaftertitle"/>
    <w:rsid w:val="00FD03E1"/>
    <w:pPr>
      <w:keepNext/>
      <w:keepLines/>
      <w:spacing w:before="480" w:after="80"/>
      <w:jc w:val="center"/>
    </w:pPr>
    <w:rPr>
      <w:b/>
      <w:sz w:val="28"/>
    </w:rPr>
  </w:style>
  <w:style w:type="paragraph" w:customStyle="1" w:styleId="Normalaftertitle">
    <w:name w:val="Normal_after_title"/>
    <w:basedOn w:val="Normal"/>
    <w:next w:val="Normal"/>
    <w:rsid w:val="00FD03E1"/>
    <w:pPr>
      <w:spacing w:before="320"/>
    </w:pPr>
  </w:style>
  <w:style w:type="paragraph" w:customStyle="1" w:styleId="enumlev2">
    <w:name w:val="enumlev2"/>
    <w:basedOn w:val="enumlev1"/>
    <w:rsid w:val="00FD03E1"/>
    <w:pPr>
      <w:ind w:left="1191" w:hanging="397"/>
    </w:pPr>
  </w:style>
  <w:style w:type="paragraph" w:customStyle="1" w:styleId="enumlev1">
    <w:name w:val="enumlev1"/>
    <w:basedOn w:val="Normal"/>
    <w:rsid w:val="00FD03E1"/>
    <w:pPr>
      <w:spacing w:before="80"/>
      <w:ind w:left="794" w:hanging="794"/>
    </w:pPr>
  </w:style>
  <w:style w:type="paragraph" w:customStyle="1" w:styleId="enumlev3">
    <w:name w:val="enumlev3"/>
    <w:basedOn w:val="enumlev2"/>
    <w:rsid w:val="00FD03E1"/>
    <w:pPr>
      <w:ind w:left="1588"/>
    </w:pPr>
  </w:style>
  <w:style w:type="paragraph" w:customStyle="1" w:styleId="Note">
    <w:name w:val="Note"/>
    <w:basedOn w:val="Normal"/>
    <w:rsid w:val="00FD03E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D03E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D03E1"/>
    <w:pPr>
      <w:keepNext/>
      <w:keepLines/>
      <w:spacing w:before="240"/>
      <w:jc w:val="center"/>
    </w:pPr>
    <w:rPr>
      <w:b/>
      <w:sz w:val="28"/>
    </w:rPr>
  </w:style>
  <w:style w:type="paragraph" w:customStyle="1" w:styleId="Recref">
    <w:name w:val="Rec_ref"/>
    <w:basedOn w:val="Normal"/>
    <w:next w:val="Recdate"/>
    <w:rsid w:val="00FD03E1"/>
    <w:pPr>
      <w:jc w:val="center"/>
    </w:pPr>
  </w:style>
  <w:style w:type="paragraph" w:customStyle="1" w:styleId="Recdate">
    <w:name w:val="Rec_date"/>
    <w:basedOn w:val="Recref"/>
    <w:next w:val="Normalaftertitle"/>
    <w:rsid w:val="00FD03E1"/>
    <w:pPr>
      <w:jc w:val="right"/>
    </w:pPr>
  </w:style>
  <w:style w:type="paragraph" w:customStyle="1" w:styleId="HeadingSum">
    <w:name w:val="Heading_Sum"/>
    <w:basedOn w:val="Headingb"/>
    <w:next w:val="Normal"/>
    <w:rsid w:val="00FD03E1"/>
    <w:pPr>
      <w:spacing w:before="240"/>
    </w:pPr>
    <w:rPr>
      <w:sz w:val="22"/>
      <w:lang w:val="es-ES_tradnl"/>
    </w:rPr>
  </w:style>
  <w:style w:type="paragraph" w:customStyle="1" w:styleId="AppendixNoTitle">
    <w:name w:val="Appendix_NoTitle"/>
    <w:basedOn w:val="AnnexNoTitle"/>
    <w:next w:val="Normal"/>
    <w:rsid w:val="00FD03E1"/>
  </w:style>
  <w:style w:type="paragraph" w:customStyle="1" w:styleId="Tablefin">
    <w:name w:val="Table_fin"/>
    <w:basedOn w:val="Normal"/>
    <w:next w:val="Normal"/>
    <w:rsid w:val="00FD03E1"/>
    <w:pPr>
      <w:spacing w:before="0"/>
    </w:pPr>
    <w:rPr>
      <w:sz w:val="20"/>
      <w:lang w:val="en-GB"/>
    </w:rPr>
  </w:style>
  <w:style w:type="paragraph" w:customStyle="1" w:styleId="Tablehead">
    <w:name w:val="Table_head"/>
    <w:basedOn w:val="Normal"/>
    <w:next w:val="Normal"/>
    <w:rsid w:val="00FD03E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D03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D03E1"/>
    <w:pPr>
      <w:keepNext/>
      <w:spacing w:before="360" w:after="120"/>
      <w:jc w:val="center"/>
    </w:pPr>
  </w:style>
  <w:style w:type="paragraph" w:customStyle="1" w:styleId="Tabletext">
    <w:name w:val="Table_text"/>
    <w:basedOn w:val="Normal"/>
    <w:rsid w:val="00FD03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D03E1"/>
    <w:pPr>
      <w:tabs>
        <w:tab w:val="clear" w:pos="1191"/>
        <w:tab w:val="clear" w:pos="1588"/>
        <w:tab w:val="clear" w:pos="1985"/>
        <w:tab w:val="center" w:pos="4820"/>
        <w:tab w:val="right" w:pos="9639"/>
      </w:tabs>
    </w:pPr>
  </w:style>
  <w:style w:type="paragraph" w:customStyle="1" w:styleId="Equationlegend">
    <w:name w:val="Equation_legend"/>
    <w:basedOn w:val="NormalIndent"/>
    <w:rsid w:val="00FD03E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D03E1"/>
    <w:pPr>
      <w:ind w:left="794"/>
    </w:pPr>
  </w:style>
  <w:style w:type="paragraph" w:customStyle="1" w:styleId="Figurelegend">
    <w:name w:val="Figure_legend"/>
    <w:basedOn w:val="Normal"/>
    <w:rsid w:val="00FD03E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D03E1"/>
    <w:pPr>
      <w:keepNext/>
      <w:keepLines/>
      <w:spacing w:before="480" w:after="80"/>
      <w:jc w:val="center"/>
    </w:pPr>
    <w:rPr>
      <w:caps/>
      <w:sz w:val="18"/>
    </w:rPr>
  </w:style>
  <w:style w:type="paragraph" w:customStyle="1" w:styleId="Figuretitle">
    <w:name w:val="Figure_title"/>
    <w:basedOn w:val="Normal"/>
    <w:next w:val="Figure"/>
    <w:rsid w:val="00FD03E1"/>
    <w:pPr>
      <w:keepNext/>
      <w:spacing w:before="0" w:after="120"/>
      <w:jc w:val="center"/>
    </w:pPr>
    <w:rPr>
      <w:rFonts w:ascii="Times New Roman Bold" w:hAnsi="Times New Roman Bold"/>
      <w:b/>
      <w:sz w:val="18"/>
    </w:rPr>
  </w:style>
  <w:style w:type="paragraph" w:customStyle="1" w:styleId="Figure">
    <w:name w:val="Figure"/>
    <w:basedOn w:val="FigureNo"/>
    <w:next w:val="Normal"/>
    <w:rsid w:val="00FD03E1"/>
    <w:pPr>
      <w:keepNext w:val="0"/>
      <w:spacing w:before="0" w:after="240"/>
    </w:pPr>
  </w:style>
  <w:style w:type="paragraph" w:customStyle="1" w:styleId="tocpart">
    <w:name w:val="tocpart"/>
    <w:basedOn w:val="Normal"/>
    <w:rsid w:val="00FD03E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D03E1"/>
    <w:pPr>
      <w:keepNext/>
      <w:keepLines/>
      <w:spacing w:before="480"/>
      <w:jc w:val="center"/>
    </w:pPr>
    <w:rPr>
      <w:sz w:val="28"/>
    </w:rPr>
  </w:style>
  <w:style w:type="paragraph" w:customStyle="1" w:styleId="Arttitle">
    <w:name w:val="Art_title"/>
    <w:basedOn w:val="Normal"/>
    <w:next w:val="Normalaftertitle"/>
    <w:rsid w:val="00FD03E1"/>
    <w:pPr>
      <w:keepNext/>
      <w:keepLines/>
      <w:spacing w:before="240"/>
      <w:jc w:val="center"/>
    </w:pPr>
    <w:rPr>
      <w:b/>
      <w:sz w:val="28"/>
    </w:rPr>
  </w:style>
  <w:style w:type="paragraph" w:customStyle="1" w:styleId="Blanc">
    <w:name w:val="Blanc"/>
    <w:basedOn w:val="Normal"/>
    <w:next w:val="Tabletext"/>
    <w:rsid w:val="00FD03E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D03E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D03E1"/>
    <w:pPr>
      <w:keepNext/>
      <w:keepLines/>
      <w:spacing w:before="160"/>
      <w:ind w:left="794"/>
    </w:pPr>
    <w:rPr>
      <w:i/>
    </w:rPr>
  </w:style>
  <w:style w:type="paragraph" w:customStyle="1" w:styleId="ChapNo">
    <w:name w:val="Chap_No"/>
    <w:basedOn w:val="ArtNo"/>
    <w:next w:val="Chaptitle"/>
    <w:rsid w:val="00FD03E1"/>
    <w:rPr>
      <w:b/>
    </w:rPr>
  </w:style>
  <w:style w:type="paragraph" w:customStyle="1" w:styleId="Chaptitle">
    <w:name w:val="Chap_title"/>
    <w:basedOn w:val="Arttitle"/>
    <w:next w:val="Normalaftertitle"/>
    <w:rsid w:val="00FD03E1"/>
  </w:style>
  <w:style w:type="character" w:styleId="FootnoteReference">
    <w:name w:val="footnote reference"/>
    <w:basedOn w:val="DefaultParagraphFont"/>
    <w:semiHidden/>
    <w:rsid w:val="00FD03E1"/>
    <w:rPr>
      <w:position w:val="6"/>
      <w:sz w:val="18"/>
    </w:rPr>
  </w:style>
  <w:style w:type="paragraph" w:styleId="FootnoteText">
    <w:name w:val="footnote text"/>
    <w:basedOn w:val="Normal"/>
    <w:semiHidden/>
    <w:rsid w:val="00FD03E1"/>
    <w:pPr>
      <w:keepLines/>
      <w:tabs>
        <w:tab w:val="left" w:pos="255"/>
      </w:tabs>
      <w:ind w:left="255" w:hanging="255"/>
    </w:pPr>
    <w:rPr>
      <w:sz w:val="22"/>
    </w:rPr>
  </w:style>
  <w:style w:type="paragraph" w:styleId="Index1">
    <w:name w:val="index 1"/>
    <w:basedOn w:val="Normal"/>
    <w:next w:val="Normal"/>
    <w:semiHidden/>
    <w:rsid w:val="00FD03E1"/>
  </w:style>
  <w:style w:type="paragraph" w:styleId="Index2">
    <w:name w:val="index 2"/>
    <w:basedOn w:val="Normal"/>
    <w:next w:val="Normal"/>
    <w:semiHidden/>
    <w:rsid w:val="00FD03E1"/>
    <w:pPr>
      <w:ind w:left="283"/>
    </w:pPr>
  </w:style>
  <w:style w:type="paragraph" w:styleId="Index3">
    <w:name w:val="index 3"/>
    <w:basedOn w:val="Normal"/>
    <w:next w:val="Normal"/>
    <w:semiHidden/>
    <w:rsid w:val="00FD03E1"/>
    <w:pPr>
      <w:ind w:left="566"/>
    </w:pPr>
  </w:style>
  <w:style w:type="paragraph" w:styleId="IndexHeading">
    <w:name w:val="index heading"/>
    <w:basedOn w:val="Normal"/>
    <w:next w:val="Index1"/>
    <w:semiHidden/>
    <w:rsid w:val="00FD03E1"/>
  </w:style>
  <w:style w:type="paragraph" w:customStyle="1" w:styleId="Line">
    <w:name w:val="Line"/>
    <w:basedOn w:val="Normal"/>
    <w:next w:val="Normal"/>
    <w:rsid w:val="00FD03E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D03E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D03E1"/>
  </w:style>
  <w:style w:type="paragraph" w:customStyle="1" w:styleId="Partref">
    <w:name w:val="Part_ref"/>
    <w:basedOn w:val="Normal"/>
    <w:next w:val="Normal"/>
    <w:rsid w:val="00FD03E1"/>
    <w:pPr>
      <w:keepNext/>
      <w:keepLines/>
      <w:spacing w:after="280"/>
      <w:jc w:val="center"/>
    </w:pPr>
  </w:style>
  <w:style w:type="paragraph" w:customStyle="1" w:styleId="Parttitle">
    <w:name w:val="Part_title"/>
    <w:basedOn w:val="Normal"/>
    <w:next w:val="Normalaftertitle"/>
    <w:rsid w:val="00FD03E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D03E1"/>
  </w:style>
  <w:style w:type="paragraph" w:customStyle="1" w:styleId="QuestionNo">
    <w:name w:val="Question_No"/>
    <w:basedOn w:val="RecNo"/>
    <w:next w:val="Normal"/>
    <w:rsid w:val="00FD03E1"/>
  </w:style>
  <w:style w:type="paragraph" w:customStyle="1" w:styleId="Questionref">
    <w:name w:val="Question_ref"/>
    <w:basedOn w:val="Recref"/>
    <w:next w:val="Questiondate"/>
    <w:rsid w:val="00FD03E1"/>
  </w:style>
  <w:style w:type="paragraph" w:customStyle="1" w:styleId="Questiontitle">
    <w:name w:val="Question_title"/>
    <w:basedOn w:val="Normal"/>
    <w:next w:val="Questionref"/>
    <w:rsid w:val="00FD03E1"/>
  </w:style>
  <w:style w:type="paragraph" w:customStyle="1" w:styleId="Reftext">
    <w:name w:val="Ref_text"/>
    <w:basedOn w:val="Normal"/>
    <w:rsid w:val="00FD03E1"/>
    <w:pPr>
      <w:ind w:left="794" w:hanging="794"/>
    </w:pPr>
    <w:rPr>
      <w:sz w:val="22"/>
    </w:rPr>
  </w:style>
  <w:style w:type="paragraph" w:customStyle="1" w:styleId="Reftitle">
    <w:name w:val="Ref_title"/>
    <w:basedOn w:val="Normal"/>
    <w:next w:val="Reftext"/>
    <w:rsid w:val="00FD03E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D03E1"/>
  </w:style>
  <w:style w:type="paragraph" w:customStyle="1" w:styleId="RepNo">
    <w:name w:val="Rep_No"/>
    <w:basedOn w:val="RecNo"/>
    <w:next w:val="Reptitle"/>
    <w:rsid w:val="00FD03E1"/>
  </w:style>
  <w:style w:type="paragraph" w:customStyle="1" w:styleId="Reptitle">
    <w:name w:val="Rep_title"/>
    <w:basedOn w:val="Rectitle"/>
    <w:next w:val="Repref"/>
    <w:rsid w:val="00FD03E1"/>
  </w:style>
  <w:style w:type="paragraph" w:customStyle="1" w:styleId="Repref">
    <w:name w:val="Rep_ref"/>
    <w:basedOn w:val="Recref"/>
    <w:next w:val="Repdate"/>
    <w:rsid w:val="00FD03E1"/>
  </w:style>
  <w:style w:type="paragraph" w:customStyle="1" w:styleId="Resdate">
    <w:name w:val="Res_date"/>
    <w:basedOn w:val="Recdate"/>
    <w:next w:val="Normalaftertitle"/>
    <w:rsid w:val="00FD03E1"/>
  </w:style>
  <w:style w:type="paragraph" w:customStyle="1" w:styleId="ResNo">
    <w:name w:val="Res_No"/>
    <w:basedOn w:val="RecNo"/>
    <w:next w:val="Restitle"/>
    <w:rsid w:val="00FD03E1"/>
  </w:style>
  <w:style w:type="paragraph" w:customStyle="1" w:styleId="Restitle">
    <w:name w:val="Res_title"/>
    <w:basedOn w:val="Normal"/>
    <w:next w:val="Resref"/>
    <w:rsid w:val="00FD03E1"/>
    <w:pPr>
      <w:spacing w:before="240"/>
      <w:jc w:val="center"/>
    </w:pPr>
    <w:rPr>
      <w:b/>
      <w:sz w:val="28"/>
    </w:rPr>
  </w:style>
  <w:style w:type="paragraph" w:customStyle="1" w:styleId="Resref">
    <w:name w:val="Res_ref"/>
    <w:basedOn w:val="Recref"/>
    <w:next w:val="Resdate"/>
    <w:rsid w:val="00FD03E1"/>
  </w:style>
  <w:style w:type="paragraph" w:customStyle="1" w:styleId="SectionNo">
    <w:name w:val="Section_No"/>
    <w:basedOn w:val="Normal"/>
    <w:next w:val="Normal"/>
    <w:rsid w:val="00FD03E1"/>
  </w:style>
  <w:style w:type="paragraph" w:customStyle="1" w:styleId="Sectiontitle">
    <w:name w:val="Section_title"/>
    <w:basedOn w:val="Normal"/>
    <w:next w:val="Normalaftertitle"/>
    <w:rsid w:val="00FD03E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D03E1"/>
    <w:pPr>
      <w:tabs>
        <w:tab w:val="clear" w:pos="794"/>
        <w:tab w:val="clear" w:pos="1191"/>
        <w:tab w:val="clear" w:pos="1588"/>
        <w:tab w:val="clear" w:pos="1985"/>
        <w:tab w:val="right" w:pos="9611"/>
      </w:tabs>
    </w:pPr>
    <w:rPr>
      <w:i/>
    </w:rPr>
  </w:style>
  <w:style w:type="paragraph" w:styleId="TOC1">
    <w:name w:val="toc 1"/>
    <w:basedOn w:val="Normal"/>
    <w:semiHidden/>
    <w:rsid w:val="00FD03E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D03E1"/>
    <w:pPr>
      <w:tabs>
        <w:tab w:val="clear" w:pos="567"/>
        <w:tab w:val="left" w:pos="1276"/>
      </w:tabs>
      <w:spacing w:before="160"/>
      <w:ind w:left="1276" w:hanging="709"/>
    </w:pPr>
  </w:style>
  <w:style w:type="paragraph" w:styleId="TOC3">
    <w:name w:val="toc 3"/>
    <w:basedOn w:val="TOC2"/>
    <w:semiHidden/>
    <w:rsid w:val="00FD03E1"/>
    <w:pPr>
      <w:tabs>
        <w:tab w:val="clear" w:pos="1276"/>
        <w:tab w:val="left" w:pos="2155"/>
      </w:tabs>
      <w:ind w:left="2155" w:hanging="879"/>
    </w:pPr>
  </w:style>
  <w:style w:type="paragraph" w:styleId="TOC4">
    <w:name w:val="toc 4"/>
    <w:basedOn w:val="TOC3"/>
    <w:semiHidden/>
    <w:rsid w:val="00FD03E1"/>
    <w:pPr>
      <w:tabs>
        <w:tab w:val="left" w:pos="3261"/>
      </w:tabs>
      <w:spacing w:before="80"/>
      <w:ind w:left="3261" w:hanging="993"/>
    </w:pPr>
  </w:style>
  <w:style w:type="paragraph" w:styleId="TOC5">
    <w:name w:val="toc 5"/>
    <w:basedOn w:val="TOC4"/>
    <w:semiHidden/>
    <w:rsid w:val="00FD03E1"/>
  </w:style>
  <w:style w:type="paragraph" w:styleId="TOC6">
    <w:name w:val="toc 6"/>
    <w:basedOn w:val="TOC4"/>
    <w:semiHidden/>
    <w:rsid w:val="00FD03E1"/>
  </w:style>
  <w:style w:type="paragraph" w:styleId="TOC7">
    <w:name w:val="toc 7"/>
    <w:basedOn w:val="TOC4"/>
    <w:semiHidden/>
    <w:rsid w:val="00FD03E1"/>
  </w:style>
  <w:style w:type="paragraph" w:styleId="TOC8">
    <w:name w:val="toc 8"/>
    <w:basedOn w:val="TOC4"/>
    <w:semiHidden/>
    <w:rsid w:val="00FD03E1"/>
  </w:style>
  <w:style w:type="paragraph" w:customStyle="1" w:styleId="Annexref">
    <w:name w:val="Annex_ref"/>
    <w:basedOn w:val="Normal"/>
    <w:next w:val="Normalaftertitle"/>
    <w:rsid w:val="00FD03E1"/>
    <w:pPr>
      <w:keepNext/>
      <w:keepLines/>
      <w:spacing w:after="280"/>
      <w:jc w:val="center"/>
    </w:pPr>
  </w:style>
  <w:style w:type="paragraph" w:customStyle="1" w:styleId="Appendixref">
    <w:name w:val="Appendix_ref"/>
    <w:basedOn w:val="Annexref"/>
    <w:next w:val="Normalaftertitle"/>
    <w:rsid w:val="00FD03E1"/>
  </w:style>
  <w:style w:type="paragraph" w:customStyle="1" w:styleId="Tabletitle">
    <w:name w:val="Table_title"/>
    <w:basedOn w:val="Normal"/>
    <w:next w:val="Tablehead"/>
    <w:rsid w:val="00FD03E1"/>
    <w:pPr>
      <w:keepNext/>
      <w:spacing w:before="0" w:after="120"/>
      <w:jc w:val="center"/>
    </w:pPr>
    <w:rPr>
      <w:b/>
    </w:rPr>
  </w:style>
  <w:style w:type="paragraph" w:customStyle="1" w:styleId="Summary">
    <w:name w:val="Summary"/>
    <w:basedOn w:val="Normal"/>
    <w:next w:val="Normalaftertitle"/>
    <w:rsid w:val="00FD03E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FD03E1"/>
    <w:pPr>
      <w:ind w:left="-85" w:firstLine="0"/>
    </w:pPr>
    <w:rPr>
      <w:lang w:val="en-US"/>
    </w:rPr>
  </w:style>
  <w:style w:type="character" w:customStyle="1" w:styleId="FooterChar">
    <w:name w:val="Footer Char"/>
    <w:basedOn w:val="DefaultParagraphFont"/>
    <w:link w:val="Footer"/>
    <w:uiPriority w:val="99"/>
    <w:rsid w:val="00FD03E1"/>
    <w:rPr>
      <w:noProof/>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90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149</TotalTime>
  <Pages>10</Pages>
  <Words>2911</Words>
  <Characters>16597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19470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8</cp:revision>
  <cp:lastPrinted>2009-06-26T13:19:00Z</cp:lastPrinted>
  <dcterms:created xsi:type="dcterms:W3CDTF">2010-12-02T10:34:00Z</dcterms:created>
  <dcterms:modified xsi:type="dcterms:W3CDTF">2011-03-15T07:43:00Z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