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031" w:rsidRDefault="009E4031" w:rsidP="00A6617B">
      <w:pPr>
        <w:rPr>
          <w:lang w:val="en-US"/>
        </w:rPr>
      </w:pPr>
      <w:bookmarkStart w:id="0" w:name="_GoBack"/>
      <w:bookmarkEnd w:id="0"/>
    </w:p>
    <w:p w:rsidR="009E4031" w:rsidRDefault="009E4031" w:rsidP="009E4031"/>
    <w:p w:rsidR="009E4031" w:rsidRDefault="009E4031" w:rsidP="009E4031"/>
    <w:p w:rsidR="009E4031" w:rsidRDefault="009E4031" w:rsidP="009E4031"/>
    <w:p w:rsidR="009E4031" w:rsidRDefault="009E4031" w:rsidP="009E4031"/>
    <w:p w:rsidR="009E4031" w:rsidRDefault="009E4031" w:rsidP="009E4031"/>
    <w:p w:rsidR="009E4031" w:rsidRDefault="009E4031" w:rsidP="009E4031"/>
    <w:p w:rsidR="009E4031" w:rsidRDefault="009E4031" w:rsidP="009E4031"/>
    <w:p w:rsidR="009E4031" w:rsidRDefault="009E4031" w:rsidP="009E4031"/>
    <w:p w:rsidR="009E4031" w:rsidRDefault="009E4031" w:rsidP="009E4031"/>
    <w:p w:rsidR="009E4031" w:rsidRDefault="009E4031" w:rsidP="009E4031"/>
    <w:p w:rsidR="009E4031" w:rsidRDefault="009E4031" w:rsidP="009E4031"/>
    <w:p w:rsidR="009E4031" w:rsidRDefault="009E4031" w:rsidP="009E4031"/>
    <w:tbl>
      <w:tblPr>
        <w:tblW w:w="10089" w:type="dxa"/>
        <w:tblLook w:val="01E0" w:firstRow="1" w:lastRow="1" w:firstColumn="1" w:lastColumn="1" w:noHBand="0" w:noVBand="0"/>
      </w:tblPr>
      <w:tblGrid>
        <w:gridCol w:w="10089"/>
      </w:tblGrid>
      <w:tr w:rsidR="009E4031" w:rsidRPr="00A443C2" w:rsidTr="00F55E51">
        <w:tc>
          <w:tcPr>
            <w:tcW w:w="10089" w:type="dxa"/>
          </w:tcPr>
          <w:p w:rsidR="009E4031" w:rsidRPr="00B033C8" w:rsidRDefault="009E4031" w:rsidP="00F55E51">
            <w:pPr>
              <w:spacing w:before="380" w:line="280" w:lineRule="exact"/>
              <w:jc w:val="right"/>
              <w:rPr>
                <w:rFonts w:ascii="Tahoma" w:hAnsi="Tahoma" w:cs="Tahoma"/>
                <w:b/>
                <w:bCs/>
                <w:iCs/>
                <w:color w:val="243285"/>
                <w:sz w:val="32"/>
                <w:szCs w:val="32"/>
                <w:lang w:val="en-US"/>
              </w:rPr>
            </w:pPr>
          </w:p>
          <w:p w:rsidR="009E4031" w:rsidRPr="00A443C2" w:rsidRDefault="009E4031" w:rsidP="002535A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RS</w:t>
            </w:r>
            <w:r w:rsidRPr="00A443C2">
              <w:rPr>
                <w:rFonts w:ascii="Tahoma" w:hAnsi="Tahoma" w:cs="Tahoma"/>
                <w:b/>
                <w:bCs/>
                <w:iCs/>
                <w:color w:val="243285"/>
                <w:sz w:val="36"/>
                <w:szCs w:val="36"/>
              </w:rPr>
              <w:t>.</w:t>
            </w:r>
            <w:r w:rsidR="002535A0">
              <w:rPr>
                <w:rFonts w:ascii="Tahoma" w:hAnsi="Tahoma" w:cs="Tahoma"/>
                <w:b/>
                <w:bCs/>
                <w:iCs/>
                <w:color w:val="243285"/>
                <w:sz w:val="36"/>
                <w:szCs w:val="36"/>
              </w:rPr>
              <w:t>1884</w:t>
            </w:r>
          </w:p>
          <w:p w:rsidR="009E4031" w:rsidRPr="00A443C2" w:rsidRDefault="009E4031" w:rsidP="002535A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535A0">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9E4031" w:rsidRPr="00F54FBD" w:rsidTr="00F55E51">
        <w:tc>
          <w:tcPr>
            <w:tcW w:w="10089" w:type="dxa"/>
          </w:tcPr>
          <w:p w:rsidR="009E4031" w:rsidRPr="002535A0" w:rsidRDefault="009E4031" w:rsidP="00F55E51">
            <w:pPr>
              <w:spacing w:before="80" w:line="500" w:lineRule="exact"/>
              <w:jc w:val="right"/>
              <w:rPr>
                <w:rFonts w:ascii="Tahoma" w:hAnsi="Tahoma" w:cs="Tahoma"/>
                <w:b/>
                <w:bCs/>
                <w:iCs/>
                <w:color w:val="243285"/>
                <w:sz w:val="44"/>
                <w:szCs w:val="44"/>
              </w:rPr>
            </w:pPr>
          </w:p>
          <w:p w:rsidR="009E4031" w:rsidRPr="000B5A17" w:rsidRDefault="002535A0" w:rsidP="002535A0">
            <w:pPr>
              <w:spacing w:before="80" w:line="500" w:lineRule="exact"/>
              <w:jc w:val="right"/>
              <w:rPr>
                <w:rFonts w:ascii="Tahoma" w:hAnsi="Tahoma" w:cs="Tahoma"/>
                <w:b/>
                <w:bCs/>
                <w:iCs/>
                <w:color w:val="243285"/>
                <w:sz w:val="44"/>
                <w:szCs w:val="44"/>
              </w:rPr>
            </w:pPr>
            <w:r w:rsidRPr="000B5A17">
              <w:rPr>
                <w:rFonts w:ascii="Tahoma" w:hAnsi="Tahoma" w:cs="Tahoma"/>
                <w:b/>
                <w:bCs/>
                <w:color w:val="243285"/>
                <w:sz w:val="44"/>
                <w:szCs w:val="44"/>
              </w:rPr>
              <w:t>Méthode permettant de déterminer des critères de partage et de coordination pour des trajets de Terre et des trajets espace vers Terre du service des auxiliaires</w:t>
            </w:r>
            <w:r w:rsidRPr="000B5A17">
              <w:rPr>
                <w:rFonts w:ascii="Tahoma" w:hAnsi="Tahoma" w:cs="Tahoma"/>
                <w:b/>
                <w:bCs/>
                <w:color w:val="243285"/>
                <w:sz w:val="44"/>
                <w:szCs w:val="44"/>
              </w:rPr>
              <w:br/>
              <w:t>de la météorologie dans les</w:t>
            </w:r>
            <w:r w:rsidRPr="000B5A17">
              <w:rPr>
                <w:rFonts w:ascii="Tahoma" w:hAnsi="Tahoma" w:cs="Tahoma"/>
                <w:b/>
                <w:bCs/>
                <w:color w:val="243285"/>
                <w:sz w:val="44"/>
                <w:szCs w:val="44"/>
              </w:rPr>
              <w:br/>
              <w:t>bandes 400,15-406 MHz</w:t>
            </w:r>
            <w:r w:rsidRPr="000B5A17">
              <w:rPr>
                <w:rFonts w:ascii="Tahoma" w:hAnsi="Tahoma" w:cs="Tahoma"/>
                <w:b/>
                <w:bCs/>
                <w:color w:val="243285"/>
                <w:sz w:val="44"/>
                <w:szCs w:val="44"/>
              </w:rPr>
              <w:br/>
              <w:t>et 1 668</w:t>
            </w:r>
            <w:r w:rsidRPr="000B5A17">
              <w:rPr>
                <w:rFonts w:ascii="Tahoma" w:hAnsi="Tahoma" w:cs="Tahoma"/>
                <w:b/>
                <w:bCs/>
                <w:color w:val="243285"/>
                <w:sz w:val="44"/>
                <w:szCs w:val="44"/>
              </w:rPr>
              <w:noBreakHyphen/>
              <w:t>1 700 MHz</w:t>
            </w:r>
          </w:p>
          <w:p w:rsidR="009E4031" w:rsidRPr="002535A0" w:rsidRDefault="009E4031" w:rsidP="00F55E51">
            <w:pPr>
              <w:spacing w:before="80" w:line="500" w:lineRule="exact"/>
              <w:jc w:val="right"/>
              <w:rPr>
                <w:rFonts w:ascii="Tahoma" w:hAnsi="Tahoma" w:cs="Tahoma"/>
                <w:b/>
                <w:bCs/>
                <w:iCs/>
                <w:color w:val="243285"/>
                <w:sz w:val="44"/>
                <w:szCs w:val="44"/>
              </w:rPr>
            </w:pPr>
          </w:p>
        </w:tc>
      </w:tr>
      <w:tr w:rsidR="009E4031" w:rsidRPr="00F54FBD" w:rsidTr="00F55E51">
        <w:tc>
          <w:tcPr>
            <w:tcW w:w="10089" w:type="dxa"/>
          </w:tcPr>
          <w:p w:rsidR="009E4031" w:rsidRPr="00F54FBD" w:rsidRDefault="009E4031" w:rsidP="00F55E51">
            <w:pPr>
              <w:spacing w:before="80" w:line="280" w:lineRule="exact"/>
              <w:ind w:right="640"/>
              <w:rPr>
                <w:rFonts w:ascii="Tahoma" w:hAnsi="Tahoma" w:cs="Tahoma"/>
                <w:b/>
                <w:bCs/>
                <w:iCs/>
                <w:color w:val="243285"/>
                <w:sz w:val="32"/>
                <w:szCs w:val="32"/>
              </w:rPr>
            </w:pPr>
          </w:p>
          <w:p w:rsidR="009E4031" w:rsidRPr="00F54FBD" w:rsidRDefault="009E4031" w:rsidP="00F55E51">
            <w:pPr>
              <w:spacing w:before="80" w:line="280" w:lineRule="exact"/>
              <w:ind w:right="640"/>
              <w:rPr>
                <w:rFonts w:ascii="Tahoma" w:hAnsi="Tahoma" w:cs="Tahoma"/>
                <w:b/>
                <w:bCs/>
                <w:iCs/>
                <w:color w:val="243285"/>
                <w:sz w:val="32"/>
                <w:szCs w:val="32"/>
              </w:rPr>
            </w:pPr>
          </w:p>
          <w:p w:rsidR="009E4031" w:rsidRPr="00F54FBD" w:rsidRDefault="009E4031" w:rsidP="00F55E51">
            <w:pPr>
              <w:spacing w:before="80" w:after="180" w:line="360" w:lineRule="exact"/>
              <w:ind w:right="720"/>
              <w:rPr>
                <w:rFonts w:ascii="Tahoma" w:hAnsi="Tahoma" w:cs="Tahoma"/>
                <w:b/>
                <w:bCs/>
                <w:iCs/>
                <w:color w:val="243285"/>
                <w:sz w:val="36"/>
                <w:szCs w:val="36"/>
              </w:rPr>
            </w:pPr>
          </w:p>
          <w:p w:rsidR="009E4031" w:rsidRPr="00F54FBD" w:rsidRDefault="009E4031" w:rsidP="00F55E5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RS</w:t>
            </w:r>
          </w:p>
          <w:p w:rsidR="009E4031" w:rsidRPr="00F54FBD" w:rsidRDefault="009E4031" w:rsidP="00F55E5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9E4031" w:rsidRPr="00F54FBD" w:rsidRDefault="009E4031" w:rsidP="009E4031">
      <w:pPr>
        <w:spacing w:before="80"/>
        <w:rPr>
          <w:i/>
          <w:sz w:val="22"/>
        </w:rPr>
      </w:pPr>
    </w:p>
    <w:p w:rsidR="009E4031" w:rsidRPr="00F54FBD" w:rsidRDefault="009E4031" w:rsidP="009E4031">
      <w:pPr>
        <w:spacing w:before="80"/>
        <w:rPr>
          <w:i/>
          <w:sz w:val="22"/>
        </w:rPr>
      </w:pPr>
    </w:p>
    <w:p w:rsidR="009E4031" w:rsidRPr="00F54FBD" w:rsidRDefault="009E4031" w:rsidP="009E4031">
      <w:pPr>
        <w:spacing w:before="80"/>
        <w:rPr>
          <w:i/>
          <w:sz w:val="22"/>
        </w:rPr>
      </w:pPr>
    </w:p>
    <w:p w:rsidR="009E4031" w:rsidRPr="00F54FBD" w:rsidRDefault="009E4031" w:rsidP="009E4031">
      <w:pPr>
        <w:spacing w:before="80"/>
        <w:rPr>
          <w:i/>
          <w:sz w:val="22"/>
        </w:rPr>
      </w:pPr>
    </w:p>
    <w:p w:rsidR="009E4031" w:rsidRPr="00F54FBD" w:rsidRDefault="009E4031" w:rsidP="009E4031">
      <w:pPr>
        <w:pStyle w:val="Equation"/>
        <w:tabs>
          <w:tab w:val="clear" w:pos="4820"/>
          <w:tab w:val="clear" w:pos="9639"/>
          <w:tab w:val="left" w:pos="1191"/>
          <w:tab w:val="left" w:pos="1588"/>
          <w:tab w:val="left" w:pos="1985"/>
        </w:tabs>
        <w:rPr>
          <w:rFonts w:ascii="Palatino Linotype" w:hAnsi="Palatino Linotype"/>
        </w:rPr>
        <w:sectPr w:rsidR="009E4031" w:rsidRPr="00F54FBD">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9E4031" w:rsidRPr="00F54FBD" w:rsidRDefault="009E4031" w:rsidP="009E40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E4031" w:rsidRPr="00F54FBD" w:rsidRDefault="009E4031" w:rsidP="009E403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E4031" w:rsidRPr="00F54FBD" w:rsidRDefault="009E4031" w:rsidP="009E403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E4031" w:rsidRPr="00E44CBB" w:rsidRDefault="009E4031" w:rsidP="009E403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E4031" w:rsidRPr="00E44CBB" w:rsidRDefault="009E4031" w:rsidP="009E403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E4031" w:rsidRPr="004D4CF4" w:rsidRDefault="009E4031" w:rsidP="009E403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E4031" w:rsidRPr="009454F8" w:rsidTr="00F55E51">
        <w:tc>
          <w:tcPr>
            <w:tcW w:w="9360" w:type="dxa"/>
            <w:gridSpan w:val="2"/>
          </w:tcPr>
          <w:p w:rsidR="009E4031" w:rsidRPr="009454F8" w:rsidRDefault="009E4031" w:rsidP="00F55E5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E4031" w:rsidRPr="009454F8" w:rsidRDefault="009E4031" w:rsidP="00F55E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Pr>
                  <w:rStyle w:val="Hyperlink"/>
                  <w:b w:val="0"/>
                  <w:bCs/>
                  <w:sz w:val="18"/>
                  <w:szCs w:val="18"/>
                </w:rPr>
                <w:t>http://www.itu.int/publ/R-REC/fr</w:t>
              </w:r>
            </w:hyperlink>
            <w:r w:rsidRPr="00BC0651">
              <w:rPr>
                <w:b w:val="0"/>
                <w:bCs/>
                <w:sz w:val="18"/>
                <w:szCs w:val="18"/>
              </w:rPr>
              <w:t>)</w:t>
            </w:r>
          </w:p>
        </w:tc>
      </w:tr>
      <w:tr w:rsidR="009E4031" w:rsidRPr="00036EE3" w:rsidTr="00F55E51">
        <w:tc>
          <w:tcPr>
            <w:tcW w:w="1140" w:type="dxa"/>
            <w:tcBorders>
              <w:bottom w:val="nil"/>
            </w:tcBorders>
          </w:tcPr>
          <w:p w:rsidR="009E4031" w:rsidRPr="00614CC6" w:rsidRDefault="009E4031" w:rsidP="00F55E51">
            <w:pPr>
              <w:spacing w:before="90" w:after="100"/>
              <w:ind w:left="57"/>
              <w:rPr>
                <w:b/>
                <w:bCs/>
                <w:sz w:val="20"/>
                <w:lang w:val="en-US"/>
              </w:rPr>
            </w:pPr>
            <w:r w:rsidRPr="00614CC6">
              <w:rPr>
                <w:b/>
                <w:bCs/>
                <w:sz w:val="20"/>
                <w:lang w:val="en-US"/>
              </w:rPr>
              <w:t>Séries</w:t>
            </w:r>
          </w:p>
        </w:tc>
        <w:tc>
          <w:tcPr>
            <w:tcW w:w="8220" w:type="dxa"/>
            <w:tcBorders>
              <w:bottom w:val="nil"/>
            </w:tcBorders>
          </w:tcPr>
          <w:p w:rsidR="009E4031" w:rsidRPr="00614CC6" w:rsidRDefault="009E4031" w:rsidP="00F55E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E4031" w:rsidRPr="005E427C" w:rsidTr="00F55E51">
        <w:tc>
          <w:tcPr>
            <w:tcW w:w="1140" w:type="dxa"/>
            <w:tcBorders>
              <w:top w:val="nil"/>
              <w:bottom w:val="nil"/>
            </w:tcBorders>
            <w:shd w:val="clear" w:color="auto" w:fill="auto"/>
          </w:tcPr>
          <w:p w:rsidR="009E4031" w:rsidRPr="005E427C" w:rsidRDefault="009E4031" w:rsidP="00F55E5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9E4031" w:rsidRPr="005E427C" w:rsidRDefault="009E4031" w:rsidP="00F55E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9E4031" w:rsidRPr="009454F8" w:rsidTr="00F55E51">
        <w:tc>
          <w:tcPr>
            <w:tcW w:w="1140" w:type="dxa"/>
            <w:tcBorders>
              <w:top w:val="nil"/>
              <w:bottom w:val="nil"/>
            </w:tcBorders>
          </w:tcPr>
          <w:p w:rsidR="009E4031" w:rsidRPr="00614CC6" w:rsidRDefault="009E4031" w:rsidP="00F55E5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9E4031" w:rsidRPr="00614CC6" w:rsidRDefault="009E4031" w:rsidP="00F55E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E4031" w:rsidRPr="00E80F1D" w:rsidTr="00F55E51">
        <w:tc>
          <w:tcPr>
            <w:tcW w:w="1140" w:type="dxa"/>
            <w:tcBorders>
              <w:top w:val="nil"/>
              <w:bottom w:val="nil"/>
            </w:tcBorders>
            <w:shd w:val="clear" w:color="auto" w:fill="auto"/>
          </w:tcPr>
          <w:p w:rsidR="009E4031" w:rsidRPr="00E80F1D" w:rsidRDefault="009E4031" w:rsidP="00F55E5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9E4031" w:rsidRPr="00E80F1D" w:rsidRDefault="009E4031" w:rsidP="00F55E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9E4031" w:rsidRPr="00ED2695" w:rsidTr="00F55E51">
        <w:tc>
          <w:tcPr>
            <w:tcW w:w="1140" w:type="dxa"/>
            <w:tcBorders>
              <w:top w:val="nil"/>
              <w:bottom w:val="nil"/>
            </w:tcBorders>
            <w:shd w:val="clear" w:color="auto" w:fill="auto"/>
          </w:tcPr>
          <w:p w:rsidR="009E4031" w:rsidRPr="00614CC6" w:rsidRDefault="009E4031" w:rsidP="00F55E5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9E4031" w:rsidRPr="00614CC6" w:rsidRDefault="009E4031" w:rsidP="00F55E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E4031" w:rsidRPr="00DE5EA2" w:rsidTr="00F55E51">
        <w:tc>
          <w:tcPr>
            <w:tcW w:w="1140" w:type="dxa"/>
            <w:tcBorders>
              <w:top w:val="nil"/>
              <w:bottom w:val="nil"/>
            </w:tcBorders>
            <w:shd w:val="clear" w:color="auto" w:fill="auto"/>
          </w:tcPr>
          <w:p w:rsidR="009E4031" w:rsidRPr="00DE5EA2" w:rsidRDefault="009E4031" w:rsidP="00F55E5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9E4031" w:rsidRPr="00DE5EA2" w:rsidRDefault="009E4031" w:rsidP="00F55E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9E4031" w:rsidRPr="00B21066" w:rsidTr="00F55E51">
        <w:tc>
          <w:tcPr>
            <w:tcW w:w="1140" w:type="dxa"/>
            <w:tcBorders>
              <w:top w:val="nil"/>
              <w:bottom w:val="nil"/>
            </w:tcBorders>
            <w:shd w:val="clear" w:color="auto" w:fill="auto"/>
          </w:tcPr>
          <w:p w:rsidR="009E4031" w:rsidRPr="00B21066" w:rsidRDefault="009E4031" w:rsidP="00F55E5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9E4031" w:rsidRPr="00B21066" w:rsidRDefault="009E4031" w:rsidP="00F55E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9E4031" w:rsidRPr="00EC361D" w:rsidTr="00F55E51">
        <w:tc>
          <w:tcPr>
            <w:tcW w:w="1140" w:type="dxa"/>
            <w:tcBorders>
              <w:top w:val="nil"/>
              <w:bottom w:val="nil"/>
            </w:tcBorders>
            <w:shd w:val="clear" w:color="auto" w:fill="auto"/>
          </w:tcPr>
          <w:p w:rsidR="009E4031" w:rsidRPr="00EC361D" w:rsidRDefault="009E4031" w:rsidP="00F55E51">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9E4031" w:rsidRPr="00EC361D" w:rsidRDefault="009E4031" w:rsidP="00F55E51">
            <w:pPr>
              <w:spacing w:before="30" w:after="30"/>
              <w:jc w:val="left"/>
              <w:rPr>
                <w:sz w:val="20"/>
                <w:lang w:val="fr-CH"/>
              </w:rPr>
            </w:pPr>
            <w:r w:rsidRPr="00EC361D">
              <w:rPr>
                <w:sz w:val="20"/>
              </w:rPr>
              <w:t>Propagation des ondes radioélectriques</w:t>
            </w:r>
          </w:p>
        </w:tc>
      </w:tr>
      <w:tr w:rsidR="009E4031" w:rsidRPr="004822EF" w:rsidTr="00F55E51">
        <w:tc>
          <w:tcPr>
            <w:tcW w:w="1140" w:type="dxa"/>
            <w:tcBorders>
              <w:top w:val="nil"/>
              <w:bottom w:val="nil"/>
            </w:tcBorders>
            <w:shd w:val="clear" w:color="auto" w:fill="auto"/>
          </w:tcPr>
          <w:p w:rsidR="009E4031" w:rsidRPr="004822EF" w:rsidRDefault="009E4031" w:rsidP="00F55E51">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9E4031" w:rsidRPr="004822EF" w:rsidRDefault="009E4031" w:rsidP="00F55E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9E4031" w:rsidRPr="004822EF" w:rsidTr="00F55E51">
        <w:tc>
          <w:tcPr>
            <w:tcW w:w="1140" w:type="dxa"/>
            <w:tcBorders>
              <w:top w:val="nil"/>
              <w:bottom w:val="nil"/>
            </w:tcBorders>
            <w:shd w:val="clear" w:color="auto" w:fill="F3F3F3"/>
          </w:tcPr>
          <w:p w:rsidR="009E4031" w:rsidRPr="004822EF" w:rsidRDefault="009E4031" w:rsidP="00F55E51">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9E4031" w:rsidRPr="004822EF" w:rsidRDefault="009E4031" w:rsidP="00F55E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9E4031" w:rsidRPr="00036EE3" w:rsidTr="00F55E51">
        <w:tc>
          <w:tcPr>
            <w:tcW w:w="1140" w:type="dxa"/>
            <w:tcBorders>
              <w:top w:val="nil"/>
            </w:tcBorders>
          </w:tcPr>
          <w:p w:rsidR="009E4031" w:rsidRPr="00614CC6" w:rsidRDefault="009E4031" w:rsidP="00F55E51">
            <w:pPr>
              <w:spacing w:before="30" w:after="30"/>
              <w:ind w:left="57"/>
              <w:jc w:val="left"/>
              <w:rPr>
                <w:b/>
                <w:bCs/>
                <w:sz w:val="20"/>
                <w:lang w:val="en-US"/>
              </w:rPr>
            </w:pPr>
            <w:r w:rsidRPr="00614CC6">
              <w:rPr>
                <w:b/>
                <w:bCs/>
                <w:sz w:val="20"/>
                <w:lang w:val="en-US"/>
              </w:rPr>
              <w:t>S</w:t>
            </w:r>
          </w:p>
        </w:tc>
        <w:tc>
          <w:tcPr>
            <w:tcW w:w="8220" w:type="dxa"/>
            <w:tcBorders>
              <w:top w:val="nil"/>
            </w:tcBorders>
          </w:tcPr>
          <w:p w:rsidR="009E4031" w:rsidRPr="00614CC6" w:rsidRDefault="009E4031" w:rsidP="00F55E51">
            <w:pPr>
              <w:spacing w:before="30" w:after="30"/>
              <w:jc w:val="left"/>
              <w:rPr>
                <w:sz w:val="20"/>
                <w:lang w:val="en-US"/>
              </w:rPr>
            </w:pPr>
            <w:r w:rsidRPr="00614CC6">
              <w:rPr>
                <w:sz w:val="20"/>
              </w:rPr>
              <w:t>Service fixe par satellite</w:t>
            </w:r>
          </w:p>
        </w:tc>
      </w:tr>
      <w:tr w:rsidR="009E4031" w:rsidRPr="00036EE3" w:rsidTr="00F55E51">
        <w:tc>
          <w:tcPr>
            <w:tcW w:w="1140" w:type="dxa"/>
          </w:tcPr>
          <w:p w:rsidR="009E4031" w:rsidRPr="00614CC6" w:rsidRDefault="009E4031" w:rsidP="00F55E51">
            <w:pPr>
              <w:spacing w:before="30" w:after="30"/>
              <w:ind w:left="57"/>
              <w:jc w:val="left"/>
              <w:rPr>
                <w:b/>
                <w:bCs/>
                <w:sz w:val="20"/>
                <w:lang w:val="en-US"/>
              </w:rPr>
            </w:pPr>
            <w:r w:rsidRPr="00614CC6">
              <w:rPr>
                <w:b/>
                <w:bCs/>
                <w:sz w:val="20"/>
                <w:lang w:val="en-US"/>
              </w:rPr>
              <w:t>SA</w:t>
            </w:r>
          </w:p>
        </w:tc>
        <w:tc>
          <w:tcPr>
            <w:tcW w:w="8220" w:type="dxa"/>
          </w:tcPr>
          <w:p w:rsidR="009E4031" w:rsidRPr="00614CC6" w:rsidRDefault="009E4031" w:rsidP="00F55E51">
            <w:pPr>
              <w:spacing w:before="30" w:after="30"/>
              <w:jc w:val="left"/>
              <w:rPr>
                <w:sz w:val="20"/>
                <w:lang w:val="en-US"/>
              </w:rPr>
            </w:pPr>
            <w:r w:rsidRPr="00614CC6">
              <w:rPr>
                <w:sz w:val="20"/>
              </w:rPr>
              <w:t>Applications spatiales et météorologie</w:t>
            </w:r>
          </w:p>
        </w:tc>
      </w:tr>
      <w:tr w:rsidR="009E4031" w:rsidRPr="00614CC6" w:rsidTr="00F55E51">
        <w:tc>
          <w:tcPr>
            <w:tcW w:w="1140" w:type="dxa"/>
          </w:tcPr>
          <w:p w:rsidR="009E4031" w:rsidRPr="00614CC6" w:rsidRDefault="009E4031" w:rsidP="00F55E51">
            <w:pPr>
              <w:spacing w:before="30" w:after="30"/>
              <w:ind w:left="57"/>
              <w:jc w:val="left"/>
              <w:rPr>
                <w:b/>
                <w:bCs/>
                <w:sz w:val="20"/>
                <w:lang w:val="en-US"/>
              </w:rPr>
            </w:pPr>
            <w:r w:rsidRPr="00614CC6">
              <w:rPr>
                <w:b/>
                <w:bCs/>
                <w:sz w:val="20"/>
                <w:lang w:val="en-US"/>
              </w:rPr>
              <w:t>SF</w:t>
            </w:r>
          </w:p>
        </w:tc>
        <w:tc>
          <w:tcPr>
            <w:tcW w:w="8220" w:type="dxa"/>
          </w:tcPr>
          <w:p w:rsidR="009E4031" w:rsidRPr="00614CC6" w:rsidRDefault="009E4031" w:rsidP="00F55E51">
            <w:pPr>
              <w:spacing w:before="30" w:after="30"/>
              <w:jc w:val="left"/>
              <w:rPr>
                <w:sz w:val="20"/>
              </w:rPr>
            </w:pPr>
            <w:r w:rsidRPr="00614CC6">
              <w:rPr>
                <w:sz w:val="20"/>
              </w:rPr>
              <w:t>Partage des fréquences et coordination entre les systèmes du service fixe par satellite et du service fixe</w:t>
            </w:r>
          </w:p>
        </w:tc>
      </w:tr>
      <w:tr w:rsidR="009E4031" w:rsidRPr="00036EE3" w:rsidTr="00F55E51">
        <w:tc>
          <w:tcPr>
            <w:tcW w:w="1140" w:type="dxa"/>
            <w:shd w:val="clear" w:color="auto" w:fill="auto"/>
          </w:tcPr>
          <w:p w:rsidR="009E4031" w:rsidRPr="00592F9F" w:rsidRDefault="009E4031" w:rsidP="00F55E51">
            <w:pPr>
              <w:spacing w:before="30" w:after="30"/>
              <w:ind w:left="57"/>
              <w:jc w:val="left"/>
              <w:rPr>
                <w:b/>
                <w:bCs/>
                <w:sz w:val="20"/>
                <w:lang w:val="en-US"/>
              </w:rPr>
            </w:pPr>
            <w:r w:rsidRPr="00592F9F">
              <w:rPr>
                <w:b/>
                <w:bCs/>
                <w:sz w:val="20"/>
                <w:lang w:val="en-US"/>
              </w:rPr>
              <w:t>SM</w:t>
            </w:r>
          </w:p>
        </w:tc>
        <w:tc>
          <w:tcPr>
            <w:tcW w:w="8220" w:type="dxa"/>
            <w:shd w:val="clear" w:color="auto" w:fill="auto"/>
          </w:tcPr>
          <w:p w:rsidR="009E4031" w:rsidRPr="00592F9F" w:rsidRDefault="009E4031" w:rsidP="00F55E51">
            <w:pPr>
              <w:spacing w:before="30" w:after="30"/>
              <w:jc w:val="left"/>
              <w:rPr>
                <w:sz w:val="20"/>
                <w:lang w:val="en-US"/>
              </w:rPr>
            </w:pPr>
            <w:r w:rsidRPr="00592F9F">
              <w:rPr>
                <w:sz w:val="20"/>
              </w:rPr>
              <w:t>Gestion du spectre</w:t>
            </w:r>
          </w:p>
        </w:tc>
      </w:tr>
      <w:tr w:rsidR="009E4031" w:rsidRPr="00036EE3" w:rsidTr="00F55E51">
        <w:tc>
          <w:tcPr>
            <w:tcW w:w="1140" w:type="dxa"/>
          </w:tcPr>
          <w:p w:rsidR="009E4031" w:rsidRPr="00614CC6" w:rsidRDefault="009E4031" w:rsidP="00F55E51">
            <w:pPr>
              <w:spacing w:before="30" w:after="30"/>
              <w:ind w:left="57"/>
              <w:jc w:val="left"/>
              <w:rPr>
                <w:b/>
                <w:bCs/>
                <w:sz w:val="20"/>
                <w:lang w:val="en-US"/>
              </w:rPr>
            </w:pPr>
            <w:r w:rsidRPr="00614CC6">
              <w:rPr>
                <w:b/>
                <w:bCs/>
                <w:sz w:val="20"/>
                <w:lang w:val="en-US"/>
              </w:rPr>
              <w:t>SNG</w:t>
            </w:r>
          </w:p>
        </w:tc>
        <w:tc>
          <w:tcPr>
            <w:tcW w:w="8220" w:type="dxa"/>
          </w:tcPr>
          <w:p w:rsidR="009E4031" w:rsidRPr="00614CC6" w:rsidRDefault="009E4031" w:rsidP="00F55E51">
            <w:pPr>
              <w:spacing w:before="30" w:after="30"/>
              <w:jc w:val="left"/>
              <w:rPr>
                <w:sz w:val="20"/>
                <w:lang w:val="en-US"/>
              </w:rPr>
            </w:pPr>
            <w:r w:rsidRPr="00614CC6">
              <w:rPr>
                <w:sz w:val="20"/>
              </w:rPr>
              <w:t>Reportage d'actualités par satellite</w:t>
            </w:r>
          </w:p>
        </w:tc>
      </w:tr>
      <w:tr w:rsidR="009E4031" w:rsidRPr="00614CC6" w:rsidTr="00F55E51">
        <w:tc>
          <w:tcPr>
            <w:tcW w:w="1140" w:type="dxa"/>
          </w:tcPr>
          <w:p w:rsidR="009E4031" w:rsidRPr="00614CC6" w:rsidRDefault="009E4031" w:rsidP="00F55E51">
            <w:pPr>
              <w:spacing w:before="30" w:after="30"/>
              <w:ind w:left="57"/>
              <w:jc w:val="left"/>
              <w:rPr>
                <w:b/>
                <w:bCs/>
                <w:sz w:val="20"/>
                <w:lang w:val="en-US"/>
              </w:rPr>
            </w:pPr>
            <w:r w:rsidRPr="00614CC6">
              <w:rPr>
                <w:b/>
                <w:bCs/>
                <w:sz w:val="20"/>
                <w:lang w:val="en-US"/>
              </w:rPr>
              <w:t>TF</w:t>
            </w:r>
          </w:p>
        </w:tc>
        <w:tc>
          <w:tcPr>
            <w:tcW w:w="8220" w:type="dxa"/>
          </w:tcPr>
          <w:p w:rsidR="009E4031" w:rsidRPr="00614CC6" w:rsidRDefault="009E4031" w:rsidP="00F55E51">
            <w:pPr>
              <w:spacing w:before="30" w:after="30"/>
              <w:jc w:val="left"/>
              <w:rPr>
                <w:sz w:val="20"/>
              </w:rPr>
            </w:pPr>
            <w:r w:rsidRPr="00614CC6">
              <w:rPr>
                <w:sz w:val="20"/>
              </w:rPr>
              <w:t>Emissions de fréquences étalon et de signaux horaires</w:t>
            </w:r>
          </w:p>
        </w:tc>
      </w:tr>
      <w:tr w:rsidR="009E4031" w:rsidRPr="00036EE3" w:rsidTr="00F55E51">
        <w:tc>
          <w:tcPr>
            <w:tcW w:w="1140" w:type="dxa"/>
          </w:tcPr>
          <w:p w:rsidR="009E4031" w:rsidRPr="00614CC6" w:rsidRDefault="009E4031" w:rsidP="00F55E51">
            <w:pPr>
              <w:spacing w:before="30" w:after="30"/>
              <w:ind w:left="57"/>
              <w:jc w:val="left"/>
              <w:rPr>
                <w:b/>
                <w:bCs/>
                <w:sz w:val="20"/>
                <w:lang w:val="en-US"/>
              </w:rPr>
            </w:pPr>
            <w:r w:rsidRPr="00614CC6">
              <w:rPr>
                <w:b/>
                <w:bCs/>
                <w:sz w:val="20"/>
                <w:lang w:val="en-US"/>
              </w:rPr>
              <w:t>V</w:t>
            </w:r>
          </w:p>
        </w:tc>
        <w:tc>
          <w:tcPr>
            <w:tcW w:w="8220" w:type="dxa"/>
          </w:tcPr>
          <w:p w:rsidR="009E4031" w:rsidRPr="00614CC6" w:rsidRDefault="009E4031" w:rsidP="00F55E51">
            <w:pPr>
              <w:spacing w:before="30" w:after="140"/>
              <w:jc w:val="left"/>
              <w:rPr>
                <w:sz w:val="20"/>
                <w:lang w:val="en-US"/>
              </w:rPr>
            </w:pPr>
            <w:r w:rsidRPr="00614CC6">
              <w:rPr>
                <w:sz w:val="20"/>
              </w:rPr>
              <w:t>Vocabulaire et sujets associés</w:t>
            </w:r>
          </w:p>
        </w:tc>
      </w:tr>
    </w:tbl>
    <w:p w:rsidR="009E4031" w:rsidRPr="00036EE3" w:rsidRDefault="009E4031" w:rsidP="009E4031">
      <w:pPr>
        <w:spacing w:before="0"/>
        <w:jc w:val="center"/>
        <w:rPr>
          <w:sz w:val="20"/>
          <w:lang w:val="en-US"/>
        </w:rPr>
      </w:pPr>
    </w:p>
    <w:p w:rsidR="009E4031" w:rsidRPr="00036EE3" w:rsidRDefault="009E4031" w:rsidP="009E403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E4031" w:rsidRPr="00756B4D" w:rsidTr="00F55E51">
        <w:tc>
          <w:tcPr>
            <w:tcW w:w="9360" w:type="dxa"/>
          </w:tcPr>
          <w:p w:rsidR="009E4031" w:rsidRPr="00756B4D" w:rsidRDefault="009E4031" w:rsidP="00F55E5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9E4031" w:rsidRPr="00756B4D" w:rsidRDefault="009E4031" w:rsidP="009E4031">
      <w:pPr>
        <w:spacing w:before="0"/>
        <w:jc w:val="center"/>
        <w:rPr>
          <w:sz w:val="22"/>
        </w:rPr>
      </w:pPr>
    </w:p>
    <w:p w:rsidR="009E4031" w:rsidRPr="00614CC6" w:rsidRDefault="009E4031" w:rsidP="009E4031">
      <w:pPr>
        <w:spacing w:before="100"/>
        <w:jc w:val="right"/>
        <w:rPr>
          <w:i/>
          <w:iCs/>
          <w:sz w:val="20"/>
        </w:rPr>
      </w:pPr>
      <w:r w:rsidRPr="00614CC6">
        <w:rPr>
          <w:i/>
          <w:iCs/>
          <w:sz w:val="20"/>
        </w:rPr>
        <w:t>Publication électronique</w:t>
      </w:r>
    </w:p>
    <w:p w:rsidR="009E4031" w:rsidRPr="00614CC6" w:rsidRDefault="009E4031" w:rsidP="009E4031">
      <w:pPr>
        <w:spacing w:before="0"/>
        <w:jc w:val="right"/>
        <w:rPr>
          <w:sz w:val="20"/>
        </w:rPr>
      </w:pPr>
      <w:r w:rsidRPr="00614CC6">
        <w:rPr>
          <w:sz w:val="20"/>
        </w:rPr>
        <w:t>Genève, 20</w:t>
      </w:r>
      <w:r>
        <w:rPr>
          <w:sz w:val="20"/>
        </w:rPr>
        <w:t>11</w:t>
      </w:r>
    </w:p>
    <w:p w:rsidR="009E4031" w:rsidRPr="00614CC6" w:rsidRDefault="009E4031" w:rsidP="009E403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9E4031" w:rsidRPr="00614CC6" w:rsidRDefault="009E4031" w:rsidP="009E403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E4031" w:rsidRPr="00614CC6" w:rsidRDefault="009E4031" w:rsidP="009E4031">
      <w:pPr>
        <w:spacing w:before="160"/>
        <w:rPr>
          <w:i/>
          <w:sz w:val="20"/>
          <w:highlight w:val="yellow"/>
        </w:rPr>
        <w:sectPr w:rsidR="009E4031" w:rsidRPr="00614CC6" w:rsidSect="00F55E51">
          <w:headerReference w:type="even" r:id="rId14"/>
          <w:headerReference w:type="default" r:id="rId15"/>
          <w:pgSz w:w="11907" w:h="16834" w:code="9"/>
          <w:pgMar w:top="1418" w:right="1134" w:bottom="1134" w:left="1134" w:header="720" w:footer="482" w:gutter="0"/>
          <w:pgNumType w:fmt="lowerRoman" w:start="2"/>
          <w:cols w:space="720"/>
        </w:sectPr>
      </w:pPr>
    </w:p>
    <w:p w:rsidR="009E4031" w:rsidRPr="00756B4D" w:rsidRDefault="009E4031" w:rsidP="00220CA5">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RS</w:t>
      </w:r>
      <w:r w:rsidRPr="00756B4D">
        <w:rPr>
          <w:rStyle w:val="href"/>
        </w:rPr>
        <w:t>.</w:t>
      </w:r>
      <w:r w:rsidR="00220CA5">
        <w:rPr>
          <w:rStyle w:val="href"/>
        </w:rPr>
        <w:t>1884</w:t>
      </w:r>
    </w:p>
    <w:p w:rsidR="007C0925" w:rsidRDefault="007C0925" w:rsidP="007C0925">
      <w:pPr>
        <w:pStyle w:val="Rectitle"/>
      </w:pPr>
      <w:r>
        <w:t>Méthode permettant de déterminer des critères de partage et de coordination pour des trajets de Terre et des trajets espace vers Terre du service des auxiliaires de la météorologie dans les bandes 400,15-406 MHz et 1 668</w:t>
      </w:r>
      <w:r>
        <w:noBreakHyphen/>
        <w:t>1 700 MHz</w:t>
      </w:r>
    </w:p>
    <w:p w:rsidR="007C0925" w:rsidRPr="00F623F5" w:rsidRDefault="007C0925" w:rsidP="007C0925">
      <w:pPr>
        <w:pStyle w:val="Recdate"/>
      </w:pPr>
      <w:r w:rsidRPr="00F623F5">
        <w:rPr>
          <w:szCs w:val="24"/>
        </w:rPr>
        <w:t>(</w:t>
      </w:r>
      <w:r>
        <w:rPr>
          <w:szCs w:val="24"/>
        </w:rPr>
        <w:t>2011</w:t>
      </w:r>
      <w:r w:rsidRPr="00F623F5">
        <w:rPr>
          <w:szCs w:val="24"/>
        </w:rPr>
        <w:t>)</w:t>
      </w:r>
    </w:p>
    <w:p w:rsidR="007C0925" w:rsidRPr="000B5A17" w:rsidRDefault="007C0925" w:rsidP="00220CA5">
      <w:pPr>
        <w:pStyle w:val="HeadingSum"/>
        <w:rPr>
          <w:lang w:val="fr-CH"/>
        </w:rPr>
      </w:pPr>
      <w:r w:rsidRPr="000B5A17">
        <w:rPr>
          <w:lang w:val="fr-CH"/>
        </w:rPr>
        <w:t>Domaine d'application</w:t>
      </w:r>
    </w:p>
    <w:p w:rsidR="007C0925" w:rsidRPr="000B5A17" w:rsidRDefault="007C0925" w:rsidP="00220CA5">
      <w:pPr>
        <w:pStyle w:val="Summary"/>
        <w:rPr>
          <w:lang w:val="fr-CH"/>
        </w:rPr>
      </w:pPr>
      <w:r w:rsidRPr="000B5A17">
        <w:rPr>
          <w:lang w:val="fr-CH"/>
        </w:rPr>
        <w:t xml:space="preserve">La présente Recommandation donne des </w:t>
      </w:r>
      <w:r w:rsidRPr="000B5A17">
        <w:rPr>
          <w:szCs w:val="24"/>
          <w:lang w:val="fr-CH"/>
        </w:rPr>
        <w:t>renseignements</w:t>
      </w:r>
      <w:r w:rsidRPr="000B5A17">
        <w:rPr>
          <w:lang w:val="fr-CH"/>
        </w:rPr>
        <w:t xml:space="preserve"> permettant de déterminer les critères de partage et de coordination entre les liaisons de Terre et les liaisons espace vers Terre du service des auxiliaires de la météorologie (radiosondes, catasondes et fusées-sondes) fonctionnant dans les bandes 400,15-406 MHz et 1 668,4-1 700 MHz.</w:t>
      </w:r>
    </w:p>
    <w:p w:rsidR="007C0925" w:rsidRDefault="007C0925" w:rsidP="007C0925">
      <w:pPr>
        <w:pStyle w:val="Normalaftertitle"/>
      </w:pPr>
      <w:r>
        <w:t>L'Assemblée des radiocommunications de l'UIT,</w:t>
      </w:r>
    </w:p>
    <w:p w:rsidR="007C0925" w:rsidRDefault="007C0925" w:rsidP="007C0925">
      <w:pPr>
        <w:pStyle w:val="Call"/>
      </w:pPr>
      <w:r>
        <w:t>considérant</w:t>
      </w:r>
    </w:p>
    <w:p w:rsidR="007C0925" w:rsidRDefault="007C0925" w:rsidP="007C0925">
      <w:r>
        <w:t>a)</w:t>
      </w:r>
      <w:r>
        <w:tab/>
        <w:t>que les bandes de fréquences attribuées au service des auxiliaires de la météorologie peuvent être utilisées en partage avec les systèmes d'autres services, notamment des services d'exploration de la Terre par satellite et de météorologie par satellite;</w:t>
      </w:r>
    </w:p>
    <w:p w:rsidR="007C0925" w:rsidRDefault="007C0925" w:rsidP="007C0925">
      <w:r>
        <w:t>b)</w:t>
      </w:r>
      <w:r>
        <w:tab/>
        <w:t>que les critères de partage et de coordination applicables à ces systèmes devraient dépendre du niveau maximal de brouillage qui peut être accepté en provenance d'une source de brouillage donnée;</w:t>
      </w:r>
    </w:p>
    <w:p w:rsidR="007C0925" w:rsidRDefault="007C0925" w:rsidP="007C0925">
      <w:r>
        <w:t>c)</w:t>
      </w:r>
      <w:r>
        <w:tab/>
        <w:t>que la méthode employée pour établir les critères de partage et de coordination pour les services d'exploration de la Terre par satellite et de météorologie par satellite peut être appliquée aux systèmes du service des auxiliaires de la météorologie pour déterminer des niveaux acceptables de brouillage dus à une source unique qui soient supérieurs ou égaux aux niveaux admissibles,</w:t>
      </w:r>
    </w:p>
    <w:p w:rsidR="007C0925" w:rsidRDefault="007C0925" w:rsidP="007C0925">
      <w:pPr>
        <w:pStyle w:val="Call"/>
      </w:pPr>
      <w:r>
        <w:t>recommande</w:t>
      </w:r>
    </w:p>
    <w:p w:rsidR="007C0925" w:rsidRDefault="007C0925" w:rsidP="007C0925">
      <w:r w:rsidRPr="00831952">
        <w:rPr>
          <w:b/>
          <w:bCs/>
        </w:rPr>
        <w:t>1</w:t>
      </w:r>
      <w:r>
        <w:tab/>
      </w:r>
      <w:r w:rsidRPr="00667487">
        <w:t xml:space="preserve">que la méthode </w:t>
      </w:r>
      <w:r>
        <w:t>décrite dans</w:t>
      </w:r>
      <w:r w:rsidRPr="00667487">
        <w:t xml:space="preserve"> l'Annexe 1 soit utilisée </w:t>
      </w:r>
      <w:r>
        <w:t>pour établir les</w:t>
      </w:r>
      <w:r w:rsidRPr="00667487">
        <w:t xml:space="preserve"> critères de partage</w:t>
      </w:r>
      <w:r>
        <w:t xml:space="preserve"> et de coordination applicables aux services d'exploration de la Terre par satellite et de météorologie par satellite d'une part et le service des auxiliaires de la météorologie d'autre part, ainsi que dans les études de compatibilité entre ces services;</w:t>
      </w:r>
    </w:p>
    <w:p w:rsidR="007C0925" w:rsidRDefault="007C0925" w:rsidP="007C0925">
      <w:r w:rsidRPr="00831952">
        <w:rPr>
          <w:b/>
          <w:bCs/>
        </w:rPr>
        <w:t>2</w:t>
      </w:r>
      <w:r w:rsidRPr="00831952">
        <w:rPr>
          <w:b/>
          <w:bCs/>
        </w:rPr>
        <w:tab/>
      </w:r>
      <w:r>
        <w:t>que l'exemple donné dans l'Annexe 2 soit utilisé à titre indicatif pour l'application de la méthode décrite dans l'Annexe 1;</w:t>
      </w:r>
    </w:p>
    <w:p w:rsidR="007C0925" w:rsidRDefault="007C0925" w:rsidP="007C0925">
      <w:r>
        <w:rPr>
          <w:b/>
          <w:bCs/>
        </w:rPr>
        <w:t>3</w:t>
      </w:r>
      <w:r>
        <w:rPr>
          <w:b/>
          <w:bCs/>
        </w:rPr>
        <w:tab/>
      </w:r>
      <w:r>
        <w:t xml:space="preserve">qu'il soit tenu compte des critères de brouillage figurant dans la Recommandation UIT-R RS.1263 pour les </w:t>
      </w:r>
      <w:r w:rsidRPr="003B1ECF">
        <w:rPr>
          <w:lang w:val="fr-CH"/>
        </w:rPr>
        <w:t>système</w:t>
      </w:r>
      <w:r>
        <w:t>s du service des auxiliaires de la météorologie fonctionnant dans les bandes 400,15-406 MHz et 1 668,4-1 700 MHz, afin de définir des critères de partage applicables aux systèmes particuliers fonctionnant dans les services d'exploration de la Terre par satellite et de météorologie par satellite.</w:t>
      </w:r>
    </w:p>
    <w:p w:rsidR="007C0925" w:rsidRDefault="007C0925" w:rsidP="007C0925"/>
    <w:p w:rsidR="007C0925" w:rsidRDefault="007C0925" w:rsidP="007C0925">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rsidR="007C0925" w:rsidRPr="00F55E51" w:rsidRDefault="007C0925" w:rsidP="00F55E51">
      <w:pPr>
        <w:pStyle w:val="AnnexNoTitle"/>
      </w:pPr>
      <w:r w:rsidRPr="00F55E51">
        <w:lastRenderedPageBreak/>
        <w:t>Annexe 1</w:t>
      </w:r>
      <w:r w:rsidRPr="00F55E51">
        <w:br/>
      </w:r>
      <w:r w:rsidRPr="00F55E51">
        <w:br/>
        <w:t>Méthode permettant de déterminer des critères de partage et de coordination</w:t>
      </w:r>
    </w:p>
    <w:p w:rsidR="007C0925" w:rsidRPr="00B27F5A" w:rsidRDefault="007C0925" w:rsidP="00F55E51">
      <w:pPr>
        <w:pStyle w:val="Heading1"/>
      </w:pPr>
      <w:r w:rsidRPr="00B27F5A">
        <w:t>1</w:t>
      </w:r>
      <w:r>
        <w:tab/>
      </w:r>
      <w:r w:rsidRPr="00B27F5A">
        <w:t>Subdivision initiale des critères de brouillage</w:t>
      </w:r>
    </w:p>
    <w:p w:rsidR="007C0925" w:rsidRDefault="007C0925" w:rsidP="00F55E51">
      <w:r w:rsidRPr="00B27F5A">
        <w:t xml:space="preserve">Dans les cas </w:t>
      </w:r>
      <w:r>
        <w:rPr>
          <w:rFonts w:asciiTheme="majorBidi" w:hAnsiTheme="majorBidi" w:cstheme="majorBidi"/>
          <w:szCs w:val="24"/>
          <w:lang w:val="fr-CH"/>
        </w:rPr>
        <w:t>concernant</w:t>
      </w:r>
      <w:r w:rsidRPr="00B27F5A">
        <w:t xml:space="preserve"> </w:t>
      </w:r>
      <w:r>
        <w:t>des services spatiaux et des services de Terre</w:t>
      </w:r>
      <w:r w:rsidRPr="00B27F5A">
        <w:t xml:space="preserve">, il est utile d'effectuer une subdivision initiale du niveau admissible de puissance totale du signal brouilleur (c'est-à-dire du critère de brouillage) </w:t>
      </w:r>
      <w:r>
        <w:t xml:space="preserve">entre les brouillages émanant des </w:t>
      </w:r>
      <w:r w:rsidRPr="00B27F5A">
        <w:t>trajets de</w:t>
      </w:r>
      <w:r>
        <w:t>s</w:t>
      </w:r>
      <w:r w:rsidRPr="00B27F5A">
        <w:t xml:space="preserve"> signaux de Terre (c'est-à-dire pour des émissions </w:t>
      </w:r>
      <w:r>
        <w:t>des</w:t>
      </w:r>
      <w:r w:rsidRPr="00B27F5A">
        <w:t xml:space="preserve"> stations terriennes et </w:t>
      </w:r>
      <w:r>
        <w:t xml:space="preserve">de stations </w:t>
      </w:r>
      <w:r w:rsidRPr="00B27F5A">
        <w:t xml:space="preserve">de Terre) et </w:t>
      </w:r>
      <w:r>
        <w:t xml:space="preserve">les brouillages émanant des </w:t>
      </w:r>
      <w:r w:rsidRPr="00B27F5A">
        <w:t>trajets de</w:t>
      </w:r>
      <w:r>
        <w:t xml:space="preserve"> </w:t>
      </w:r>
      <w:r w:rsidRPr="00B27F5A">
        <w:t>Terre. La raison de cette di</w:t>
      </w:r>
      <w:r>
        <w:t>stinction est que le nombre présu</w:t>
      </w:r>
      <w:r w:rsidRPr="00B27F5A">
        <w:t>mé de brouill</w:t>
      </w:r>
      <w:r>
        <w:t>eurs</w:t>
      </w:r>
      <w:r w:rsidRPr="00B27F5A">
        <w:t xml:space="preserve"> et les statistiques de brouillage correspondantes </w:t>
      </w:r>
      <w:r>
        <w:t xml:space="preserve">ne </w:t>
      </w:r>
      <w:r w:rsidRPr="00B27F5A">
        <w:t xml:space="preserve">sont </w:t>
      </w:r>
      <w:r>
        <w:t xml:space="preserve">en règle générale pas les mêmes pour </w:t>
      </w:r>
      <w:r w:rsidRPr="00B27F5A">
        <w:t>ces deux catégories de services brouilleurs. Dans d'autres cas, cette subdivision initiale, réalisée au moyen des équations ci-après, n'est pas nécessaire.</w:t>
      </w:r>
    </w:p>
    <w:p w:rsidR="007C0925" w:rsidRPr="000B5A17" w:rsidRDefault="007C0925" w:rsidP="00F55E51">
      <w:pPr>
        <w:pStyle w:val="Equation"/>
        <w:rPr>
          <w:lang w:val="en-US"/>
        </w:rPr>
      </w:pPr>
      <w:r w:rsidRPr="00F55E51">
        <w:tab/>
      </w:r>
      <w:r w:rsidRPr="00F55E51">
        <w:tab/>
      </w:r>
      <w:r w:rsidRPr="000B5A17">
        <w:rPr>
          <w:lang w:val="en-US"/>
        </w:rPr>
        <w:t>is (20)  = i (20)  ×  (As /100)</w:t>
      </w:r>
      <w:r w:rsidRPr="000B5A17">
        <w:rPr>
          <w:lang w:val="en-US"/>
        </w:rPr>
        <w:tab/>
        <w:t>(1a)</w:t>
      </w:r>
    </w:p>
    <w:p w:rsidR="007C0925" w:rsidRPr="000B5A17" w:rsidRDefault="007C0925" w:rsidP="00F55E51">
      <w:pPr>
        <w:pStyle w:val="Equation"/>
        <w:rPr>
          <w:lang w:val="en-US"/>
        </w:rPr>
      </w:pPr>
      <w:r w:rsidRPr="000B5A17">
        <w:rPr>
          <w:lang w:val="en-US"/>
        </w:rPr>
        <w:tab/>
      </w:r>
      <w:r w:rsidRPr="000B5A17">
        <w:rPr>
          <w:lang w:val="en-US"/>
        </w:rPr>
        <w:tab/>
        <w:t>it (20)  =  i (20)  –  is (20)</w:t>
      </w:r>
      <w:r w:rsidRPr="000B5A17">
        <w:rPr>
          <w:lang w:val="en-US"/>
        </w:rPr>
        <w:tab/>
        <w:t>(1b)</w:t>
      </w:r>
    </w:p>
    <w:p w:rsidR="007C0925" w:rsidRPr="000B5A17" w:rsidRDefault="007C0925" w:rsidP="00F55E51">
      <w:pPr>
        <w:pStyle w:val="Equation"/>
        <w:rPr>
          <w:lang w:val="en-US"/>
        </w:rPr>
      </w:pPr>
      <w:bookmarkStart w:id="4" w:name="F002"/>
      <w:r w:rsidRPr="000B5A17">
        <w:rPr>
          <w:lang w:val="en-US"/>
        </w:rPr>
        <w:tab/>
      </w:r>
      <w:r w:rsidRPr="000B5A17">
        <w:rPr>
          <w:lang w:val="en-US"/>
        </w:rPr>
        <w:tab/>
        <w:t>it (pt)  =  i (p)  –  is (ps)</w:t>
      </w:r>
      <w:r w:rsidRPr="000B5A17">
        <w:rPr>
          <w:lang w:val="en-US"/>
        </w:rPr>
        <w:tab/>
        <w:t>(2a)</w:t>
      </w:r>
    </w:p>
    <w:p w:rsidR="007C0925" w:rsidRPr="000B5A17" w:rsidRDefault="007C0925" w:rsidP="00F55E51">
      <w:pPr>
        <w:pStyle w:val="Equation"/>
        <w:rPr>
          <w:lang w:val="en-US"/>
        </w:rPr>
      </w:pPr>
      <w:r w:rsidRPr="000B5A17">
        <w:rPr>
          <w:lang w:val="en-US"/>
        </w:rPr>
        <w:tab/>
      </w:r>
      <w:r w:rsidRPr="000B5A17">
        <w:rPr>
          <w:lang w:val="en-US"/>
        </w:rPr>
        <w:tab/>
        <w:t>ps  =  p  ×  (as /100)</w:t>
      </w:r>
      <w:r w:rsidRPr="000B5A17">
        <w:rPr>
          <w:lang w:val="en-US"/>
        </w:rPr>
        <w:tab/>
        <w:t>(2b)</w:t>
      </w:r>
    </w:p>
    <w:p w:rsidR="007C0925" w:rsidRPr="000B5A17" w:rsidRDefault="007C0925" w:rsidP="00F55E51">
      <w:pPr>
        <w:pStyle w:val="Equation"/>
        <w:rPr>
          <w:lang w:val="en-US"/>
        </w:rPr>
      </w:pPr>
      <w:r w:rsidRPr="000B5A17">
        <w:rPr>
          <w:lang w:val="en-US"/>
        </w:rPr>
        <w:tab/>
      </w:r>
      <w:r w:rsidRPr="000B5A17">
        <w:rPr>
          <w:lang w:val="en-US"/>
        </w:rPr>
        <w:tab/>
        <w:t>pt  =  p  –  ps</w:t>
      </w:r>
      <w:r w:rsidRPr="000B5A17">
        <w:rPr>
          <w:lang w:val="en-US"/>
        </w:rPr>
        <w:tab/>
        <w:t>(2c)</w:t>
      </w:r>
      <w:bookmarkEnd w:id="4"/>
    </w:p>
    <w:p w:rsidR="007C0925" w:rsidRDefault="007C0925" w:rsidP="007C0925">
      <w:r>
        <w:t>où:</w:t>
      </w:r>
    </w:p>
    <w:p w:rsidR="007C0925" w:rsidRPr="007C0925" w:rsidRDefault="007C0925" w:rsidP="007C0925">
      <w:pPr>
        <w:pStyle w:val="Equationlegend"/>
        <w:rPr>
          <w:lang w:val="fr-CH"/>
        </w:rPr>
      </w:pPr>
      <w:r w:rsidRPr="007C0925">
        <w:rPr>
          <w:lang w:val="fr-CH"/>
        </w:rPr>
        <w:tab/>
      </w:r>
      <w:r w:rsidRPr="007C0925">
        <w:rPr>
          <w:i/>
          <w:iCs/>
          <w:lang w:val="fr-CH"/>
        </w:rPr>
        <w:t xml:space="preserve">i </w:t>
      </w:r>
      <w:r w:rsidRPr="007C0925">
        <w:rPr>
          <w:lang w:val="fr-CH"/>
        </w:rPr>
        <w:t>(20):</w:t>
      </w:r>
      <w:r w:rsidRPr="007C0925">
        <w:rPr>
          <w:lang w:val="fr-CH"/>
        </w:rPr>
        <w:tab/>
        <w:t>niveau admissible de puissance totale du signal brouilleur (W) qui ne doit pas être dépassé pendant plus de 20% du temps (c'est-à-dire les critères de brouillage à long terme)</w:t>
      </w:r>
    </w:p>
    <w:p w:rsidR="007C0925" w:rsidRPr="007C0925" w:rsidRDefault="007C0925" w:rsidP="007C0925">
      <w:pPr>
        <w:pStyle w:val="Equationlegend"/>
        <w:rPr>
          <w:lang w:val="fr-CH"/>
        </w:rPr>
      </w:pPr>
      <w:r w:rsidRPr="007C0925">
        <w:rPr>
          <w:lang w:val="fr-CH"/>
        </w:rPr>
        <w:tab/>
      </w:r>
      <w:r w:rsidRPr="007C0925">
        <w:rPr>
          <w:i/>
          <w:iCs/>
          <w:lang w:val="fr-CH"/>
        </w:rPr>
        <w:t>i</w:t>
      </w:r>
      <w:r w:rsidRPr="007C0925">
        <w:rPr>
          <w:i/>
          <w:iCs/>
          <w:vertAlign w:val="subscript"/>
          <w:lang w:val="fr-CH"/>
        </w:rPr>
        <w:t>s</w:t>
      </w:r>
      <w:r w:rsidRPr="007C0925">
        <w:rPr>
          <w:i/>
          <w:iCs/>
          <w:lang w:val="fr-CH"/>
        </w:rPr>
        <w:t> </w:t>
      </w:r>
      <w:r w:rsidRPr="007C0925">
        <w:rPr>
          <w:lang w:val="fr-CH"/>
        </w:rPr>
        <w:t>(20),</w:t>
      </w:r>
      <w:r w:rsidRPr="007C0925">
        <w:rPr>
          <w:i/>
          <w:iCs/>
          <w:lang w:val="fr-CH"/>
        </w:rPr>
        <w:t xml:space="preserve"> i</w:t>
      </w:r>
      <w:r w:rsidRPr="007C0925">
        <w:rPr>
          <w:i/>
          <w:iCs/>
          <w:vertAlign w:val="subscript"/>
          <w:lang w:val="fr-CH"/>
        </w:rPr>
        <w:t>s</w:t>
      </w:r>
      <w:r w:rsidRPr="007C0925">
        <w:rPr>
          <w:i/>
          <w:iCs/>
          <w:lang w:val="fr-CH"/>
        </w:rPr>
        <w:t> ( p</w:t>
      </w:r>
      <w:r w:rsidRPr="007C0925">
        <w:rPr>
          <w:i/>
          <w:iCs/>
          <w:vertAlign w:val="subscript"/>
          <w:lang w:val="fr-CH"/>
        </w:rPr>
        <w:t>s</w:t>
      </w:r>
      <w:r w:rsidRPr="007C0925">
        <w:rPr>
          <w:i/>
          <w:iCs/>
          <w:lang w:val="fr-CH"/>
        </w:rPr>
        <w:t>)</w:t>
      </w:r>
      <w:r w:rsidRPr="007C0925">
        <w:rPr>
          <w:lang w:val="fr-CH"/>
        </w:rPr>
        <w:t>:</w:t>
      </w:r>
      <w:r w:rsidRPr="007C0925">
        <w:rPr>
          <w:lang w:val="fr-CH"/>
        </w:rPr>
        <w:tab/>
        <w:t>niveau de puissance du signal brouilleur (W) attribué aux signaux espace vers Terre, qui ne doit pas être dépassé pendant plus de 20% et ps% du temps, respectivement</w:t>
      </w:r>
    </w:p>
    <w:p w:rsidR="007C0925" w:rsidRPr="007C0925" w:rsidRDefault="007C0925" w:rsidP="007C0925">
      <w:pPr>
        <w:pStyle w:val="Equationlegend"/>
        <w:rPr>
          <w:lang w:val="fr-CH"/>
        </w:rPr>
      </w:pPr>
      <w:r w:rsidRPr="007C0925">
        <w:rPr>
          <w:lang w:val="fr-CH"/>
        </w:rPr>
        <w:tab/>
      </w:r>
      <w:r w:rsidRPr="007C0925">
        <w:rPr>
          <w:i/>
          <w:iCs/>
          <w:lang w:val="fr-CH"/>
        </w:rPr>
        <w:t>i</w:t>
      </w:r>
      <w:r w:rsidRPr="007C0925">
        <w:rPr>
          <w:i/>
          <w:iCs/>
          <w:vertAlign w:val="subscript"/>
          <w:lang w:val="fr-CH"/>
        </w:rPr>
        <w:t>t</w:t>
      </w:r>
      <w:r w:rsidRPr="007C0925">
        <w:rPr>
          <w:i/>
          <w:iCs/>
          <w:lang w:val="fr-CH"/>
        </w:rPr>
        <w:t> </w:t>
      </w:r>
      <w:r w:rsidRPr="007C0925">
        <w:rPr>
          <w:lang w:val="fr-CH"/>
        </w:rPr>
        <w:t>(20),</w:t>
      </w:r>
      <w:r w:rsidRPr="007C0925">
        <w:rPr>
          <w:i/>
          <w:iCs/>
          <w:lang w:val="fr-CH"/>
        </w:rPr>
        <w:t xml:space="preserve"> i</w:t>
      </w:r>
      <w:r w:rsidRPr="007C0925">
        <w:rPr>
          <w:i/>
          <w:iCs/>
          <w:vertAlign w:val="subscript"/>
          <w:lang w:val="fr-CH"/>
        </w:rPr>
        <w:t>t </w:t>
      </w:r>
      <w:r w:rsidRPr="007C0925">
        <w:rPr>
          <w:i/>
          <w:iCs/>
          <w:lang w:val="fr-CH"/>
        </w:rPr>
        <w:t>( p</w:t>
      </w:r>
      <w:r w:rsidRPr="007C0925">
        <w:rPr>
          <w:i/>
          <w:iCs/>
          <w:vertAlign w:val="subscript"/>
          <w:lang w:val="fr-CH"/>
        </w:rPr>
        <w:t>t</w:t>
      </w:r>
      <w:r w:rsidRPr="007C0925">
        <w:rPr>
          <w:i/>
          <w:iCs/>
          <w:lang w:val="fr-CH"/>
        </w:rPr>
        <w:t>)</w:t>
      </w:r>
      <w:r w:rsidRPr="007C0925">
        <w:rPr>
          <w:lang w:val="fr-CH"/>
        </w:rPr>
        <w:t>:</w:t>
      </w:r>
      <w:r w:rsidRPr="007C0925">
        <w:rPr>
          <w:lang w:val="fr-CH"/>
        </w:rPr>
        <w:tab/>
        <w:t>niveau de puissance du signal brouilleur (W) attribué aux trajets des signaux de Terre, qui ne doit pas être dépassé pendant plus de 20% et pt% du temps, respectivement</w:t>
      </w:r>
    </w:p>
    <w:p w:rsidR="007C0925" w:rsidRPr="007C0925" w:rsidRDefault="007C0925" w:rsidP="007C0925">
      <w:pPr>
        <w:pStyle w:val="Equationlegend"/>
        <w:rPr>
          <w:lang w:val="fr-CH"/>
        </w:rPr>
      </w:pPr>
      <w:r w:rsidRPr="007C0925">
        <w:rPr>
          <w:lang w:val="fr-CH"/>
        </w:rPr>
        <w:tab/>
      </w:r>
      <w:r w:rsidRPr="007C0925">
        <w:rPr>
          <w:i/>
          <w:iCs/>
          <w:lang w:val="fr-CH"/>
        </w:rPr>
        <w:t>A</w:t>
      </w:r>
      <w:r w:rsidRPr="007C0925">
        <w:rPr>
          <w:i/>
          <w:iCs/>
          <w:vertAlign w:val="subscript"/>
          <w:lang w:val="fr-CH"/>
        </w:rPr>
        <w:t>s</w:t>
      </w:r>
      <w:r w:rsidRPr="007C0925">
        <w:rPr>
          <w:lang w:val="fr-CH"/>
        </w:rPr>
        <w:t>:</w:t>
      </w:r>
      <w:r w:rsidRPr="007C0925">
        <w:rPr>
          <w:lang w:val="fr-CH"/>
        </w:rPr>
        <w:tab/>
        <w:t>pourcentage du niveau admissible de puissance totale du signal brouilleur (W) réservé pour le brouillage causé par des signaux espace vers Terre</w:t>
      </w:r>
    </w:p>
    <w:p w:rsidR="007C0925" w:rsidRPr="007C0925" w:rsidRDefault="007C0925" w:rsidP="007C0925">
      <w:pPr>
        <w:pStyle w:val="Equationlegend"/>
        <w:rPr>
          <w:lang w:val="fr-CH"/>
        </w:rPr>
      </w:pPr>
      <w:r w:rsidRPr="007C0925">
        <w:rPr>
          <w:lang w:val="fr-CH"/>
        </w:rPr>
        <w:tab/>
      </w:r>
      <w:r w:rsidRPr="007C0925">
        <w:rPr>
          <w:i/>
          <w:iCs/>
          <w:lang w:val="fr-CH"/>
        </w:rPr>
        <w:t>i ( p)</w:t>
      </w:r>
      <w:r w:rsidRPr="007C0925">
        <w:rPr>
          <w:lang w:val="fr-CH"/>
        </w:rPr>
        <w:t>:</w:t>
      </w:r>
      <w:r w:rsidRPr="007C0925">
        <w:rPr>
          <w:lang w:val="fr-CH"/>
        </w:rPr>
        <w:tab/>
        <w:t>niveau admissible de puissance totale des signaux brouilleurs (W) qui ne doit pas être dépassé pendant plus de p% du temps (c'est-à-dire les critères de brouillage à court terme)</w:t>
      </w:r>
    </w:p>
    <w:p w:rsidR="007C0925" w:rsidRPr="007C0925" w:rsidRDefault="007C0925" w:rsidP="007C0925">
      <w:pPr>
        <w:pStyle w:val="Equationlegend"/>
        <w:rPr>
          <w:lang w:val="fr-CH"/>
        </w:rPr>
      </w:pPr>
      <w:r w:rsidRPr="007C0925">
        <w:rPr>
          <w:lang w:val="fr-CH"/>
        </w:rPr>
        <w:tab/>
      </w:r>
      <w:r w:rsidRPr="007C0925">
        <w:rPr>
          <w:i/>
          <w:iCs/>
          <w:lang w:val="fr-CH"/>
        </w:rPr>
        <w:t>p</w:t>
      </w:r>
      <w:r w:rsidRPr="007C0925">
        <w:rPr>
          <w:lang w:val="fr-CH"/>
        </w:rPr>
        <w:t>:</w:t>
      </w:r>
      <w:r w:rsidRPr="007C0925">
        <w:rPr>
          <w:lang w:val="fr-CH"/>
        </w:rPr>
        <w:tab/>
        <w:t>pourcentage de temps associé au critère de brouillage à court terme</w:t>
      </w:r>
    </w:p>
    <w:p w:rsidR="007C0925" w:rsidRPr="007C0925" w:rsidRDefault="007C0925" w:rsidP="007C0925">
      <w:pPr>
        <w:pStyle w:val="Equationlegend"/>
        <w:rPr>
          <w:lang w:val="fr-CH"/>
        </w:rPr>
      </w:pPr>
      <w:r w:rsidRPr="007C0925">
        <w:rPr>
          <w:lang w:val="fr-CH"/>
        </w:rPr>
        <w:tab/>
      </w:r>
      <w:r w:rsidRPr="007C0925">
        <w:rPr>
          <w:i/>
          <w:iCs/>
          <w:lang w:val="fr-CH"/>
        </w:rPr>
        <w:t>p</w:t>
      </w:r>
      <w:r w:rsidRPr="007C0925">
        <w:rPr>
          <w:i/>
          <w:iCs/>
          <w:vertAlign w:val="subscript"/>
          <w:lang w:val="fr-CH"/>
        </w:rPr>
        <w:t>s</w:t>
      </w:r>
      <w:r w:rsidRPr="007C0925">
        <w:rPr>
          <w:lang w:val="fr-CH"/>
        </w:rPr>
        <w:t>:</w:t>
      </w:r>
      <w:r w:rsidRPr="007C0925">
        <w:rPr>
          <w:lang w:val="fr-CH"/>
        </w:rPr>
        <w:tab/>
        <w:t>pourcentage de temps pendant lequel les signaux espace vers Terre peuvent dépasser le seuil de brouillage</w:t>
      </w:r>
    </w:p>
    <w:p w:rsidR="007C0925" w:rsidRPr="007C0925" w:rsidRDefault="007C0925" w:rsidP="007C0925">
      <w:pPr>
        <w:pStyle w:val="Equationlegend"/>
        <w:rPr>
          <w:lang w:val="fr-CH"/>
        </w:rPr>
      </w:pPr>
      <w:r w:rsidRPr="007C0925">
        <w:rPr>
          <w:lang w:val="fr-CH"/>
        </w:rPr>
        <w:tab/>
      </w:r>
      <w:r w:rsidRPr="007C0925">
        <w:rPr>
          <w:i/>
          <w:iCs/>
          <w:lang w:val="fr-CH"/>
        </w:rPr>
        <w:t>p</w:t>
      </w:r>
      <w:r w:rsidRPr="007C0925">
        <w:rPr>
          <w:i/>
          <w:iCs/>
          <w:vertAlign w:val="subscript"/>
          <w:lang w:val="fr-CH"/>
        </w:rPr>
        <w:t>t</w:t>
      </w:r>
      <w:r w:rsidRPr="007C0925">
        <w:rPr>
          <w:lang w:val="fr-CH"/>
        </w:rPr>
        <w:t>:</w:t>
      </w:r>
      <w:r w:rsidRPr="007C0925">
        <w:rPr>
          <w:lang w:val="fr-CH"/>
        </w:rPr>
        <w:tab/>
        <w:t>pourcentage de temps pendant lequel les signaux qui se propagent sur des trajets de Terre peuvent dépasser le seuil de brouillage</w:t>
      </w:r>
    </w:p>
    <w:p w:rsidR="007C0925" w:rsidRPr="007C0925" w:rsidRDefault="007C0925" w:rsidP="007C0925">
      <w:pPr>
        <w:pStyle w:val="Equationlegend"/>
        <w:rPr>
          <w:lang w:val="fr-CH"/>
        </w:rPr>
      </w:pPr>
      <w:r w:rsidRPr="007C0925">
        <w:rPr>
          <w:lang w:val="fr-CH"/>
        </w:rPr>
        <w:tab/>
      </w:r>
      <w:r w:rsidRPr="007C0925">
        <w:rPr>
          <w:i/>
          <w:iCs/>
          <w:lang w:val="fr-CH"/>
        </w:rPr>
        <w:t>a</w:t>
      </w:r>
      <w:r w:rsidRPr="007C0925">
        <w:rPr>
          <w:i/>
          <w:iCs/>
          <w:vertAlign w:val="subscript"/>
          <w:lang w:val="fr-CH"/>
        </w:rPr>
        <w:t>s</w:t>
      </w:r>
      <w:r w:rsidRPr="007C0925">
        <w:rPr>
          <w:lang w:val="fr-CH"/>
        </w:rPr>
        <w:t>:</w:t>
      </w:r>
      <w:r w:rsidRPr="007C0925">
        <w:rPr>
          <w:lang w:val="fr-CH"/>
        </w:rPr>
        <w:tab/>
        <w:t xml:space="preserve">part (relative) du pourcentage de temps </w:t>
      </w:r>
      <w:r w:rsidRPr="007C0925">
        <w:rPr>
          <w:i/>
          <w:iCs/>
          <w:lang w:val="fr-CH"/>
        </w:rPr>
        <w:t>p</w:t>
      </w:r>
      <w:r w:rsidRPr="007C0925">
        <w:rPr>
          <w:lang w:val="fr-CH"/>
        </w:rPr>
        <w:t xml:space="preserve"> qui est réservé au brouillage émanant de signaux espace vers Terre.</w:t>
      </w:r>
    </w:p>
    <w:p w:rsidR="007C0925" w:rsidRDefault="007C0925" w:rsidP="007C0925">
      <w:pPr>
        <w:keepLines/>
      </w:pPr>
      <w:r>
        <w:lastRenderedPageBreak/>
        <w:t>Dans les équations (1a) et (1b), les critères de brouillage à long terme sont subdivisés, en fonction de la puissance, entre les différentes catégories de brouillage. Cette subdivision est justifiée par le fait que l'on peut s'attendre à la présence simultanée de brouillages à long terme sur des trajets espace vers Terre et sur des trajets de Terre.</w:t>
      </w:r>
    </w:p>
    <w:p w:rsidR="007C0925" w:rsidRDefault="007C0925" w:rsidP="007C0925">
      <w:r>
        <w:t xml:space="preserve">Les critères de brouillage à court terme sont subdivisés, dans les équations (2a), (2b) et (2c), 0.en deux catégories: brouillages causé sur des trajets espace vers Terre et brouillages sur des trajets de Terre. Il est peu probable que des niveaux de brouillage élevés à court terme soient atteints simultanément. Toutefois, il est indispensable de tenir compte des niveaux de brouillage à long terme sur les trajets espace vers Terre, lorsqu'on établit le bilan de brouillage à court terme pour les trajets de signaux brouilleurs de Terre, et </w:t>
      </w:r>
      <w:r w:rsidRPr="00A06606">
        <w:t>inversement</w:t>
      </w:r>
      <w:r>
        <w:t>.</w:t>
      </w:r>
    </w:p>
    <w:p w:rsidR="007C0925" w:rsidRDefault="007C0925" w:rsidP="007C0925">
      <w:r>
        <w:t xml:space="preserve">Les valeurs des paramètres </w:t>
      </w:r>
      <w:r>
        <w:rPr>
          <w:i/>
        </w:rPr>
        <w:t>A</w:t>
      </w:r>
      <w:r>
        <w:rPr>
          <w:i/>
          <w:position w:val="-4"/>
          <w:sz w:val="16"/>
        </w:rPr>
        <w:t>s</w:t>
      </w:r>
      <w:r>
        <w:t xml:space="preserve"> et </w:t>
      </w:r>
      <w:r>
        <w:rPr>
          <w:i/>
        </w:rPr>
        <w:t>a</w:t>
      </w:r>
      <w:r>
        <w:rPr>
          <w:i/>
          <w:position w:val="-4"/>
          <w:sz w:val="16"/>
        </w:rPr>
        <w:t>s</w:t>
      </w:r>
      <w:r>
        <w:t xml:space="preserve"> doivent être choisies de manière à correspondre aux niveaux relatifs de brouillage que les services spatiaux et les services de Terre devraient a priori produire. Ces valeurs sont estimées d'après les attributions, les caractéristiques du service brouilleur et l'usage prévu de la bande de fréquences considérée.</w:t>
      </w:r>
    </w:p>
    <w:p w:rsidR="007C0925" w:rsidRDefault="007C0925" w:rsidP="00F55E51">
      <w:pPr>
        <w:pStyle w:val="Heading1"/>
      </w:pPr>
      <w:r>
        <w:t>2</w:t>
      </w:r>
      <w:r>
        <w:tab/>
      </w:r>
      <w:r w:rsidRPr="00CB4A84">
        <w:t>Détermination des nivea</w:t>
      </w:r>
      <w:r>
        <w:t>ux admissibles de brouillage dus à</w:t>
      </w:r>
      <w:r w:rsidRPr="00CB4A84">
        <w:t xml:space="preserve"> une source unique</w:t>
      </w:r>
    </w:p>
    <w:p w:rsidR="007C0925" w:rsidRDefault="007C0925" w:rsidP="007C0925">
      <w:r>
        <w:t>Les équations (3), (4a) et (4b) permettent d'effectuer la subdivision du brouillage attribué dans le bilan aux trajets des signaux espace vers Terre (et, le cas échéant, aux trajets des signaux de Terre) afin de déterminer un niveau admissible approprié de puissance du signal brouilleur provenant de tel ou tel émetteur (c'est-à-dire le brouillage dû à une source unique).</w:t>
      </w:r>
    </w:p>
    <w:p w:rsidR="007C0925" w:rsidRPr="00047754" w:rsidRDefault="007C0925" w:rsidP="007C0925">
      <w:pPr>
        <w:pStyle w:val="Equation"/>
        <w:rPr>
          <w:lang w:val="en-US"/>
        </w:rPr>
      </w:pPr>
      <w:r w:rsidRPr="008D5073">
        <w:rPr>
          <w:lang w:val="fr-CH"/>
        </w:rPr>
        <w:tab/>
      </w:r>
      <w:r w:rsidRPr="008D5073">
        <w:rPr>
          <w:lang w:val="fr-CH"/>
        </w:rPr>
        <w:tab/>
      </w:r>
      <w:r w:rsidRPr="00047754">
        <w:rPr>
          <w:i/>
          <w:iCs/>
          <w:lang w:val="en-US"/>
        </w:rPr>
        <w:t>i′</w:t>
      </w:r>
      <w:r w:rsidRPr="00047754">
        <w:rPr>
          <w:lang w:val="en-US"/>
        </w:rPr>
        <w:t xml:space="preserve">(20)  =  </w:t>
      </w:r>
      <w:r w:rsidRPr="00047754">
        <w:rPr>
          <w:i/>
          <w:iCs/>
          <w:lang w:val="en-US"/>
        </w:rPr>
        <w:t>i</w:t>
      </w:r>
      <w:r w:rsidRPr="00047754">
        <w:rPr>
          <w:lang w:val="en-US"/>
        </w:rPr>
        <w:t xml:space="preserve"> (20) / </w:t>
      </w:r>
      <w:r w:rsidRPr="00047754">
        <w:rPr>
          <w:i/>
          <w:iCs/>
          <w:lang w:val="en-US"/>
        </w:rPr>
        <w:t>n</w:t>
      </w:r>
      <w:r w:rsidRPr="00047754">
        <w:rPr>
          <w:lang w:val="en-US"/>
        </w:rPr>
        <w:tab/>
        <w:t>(3)</w:t>
      </w:r>
    </w:p>
    <w:p w:rsidR="007C0925" w:rsidRPr="00047754" w:rsidRDefault="007C0925" w:rsidP="007C0925">
      <w:pPr>
        <w:pStyle w:val="Equation"/>
        <w:rPr>
          <w:lang w:val="en-US"/>
        </w:rPr>
      </w:pPr>
      <w:bookmarkStart w:id="5" w:name="F004"/>
      <w:r w:rsidRPr="00047754">
        <w:rPr>
          <w:lang w:val="en-US"/>
        </w:rPr>
        <w:tab/>
      </w:r>
      <w:r w:rsidRPr="00047754">
        <w:rPr>
          <w:lang w:val="en-US"/>
        </w:rPr>
        <w:tab/>
      </w:r>
      <w:r w:rsidRPr="00047754">
        <w:rPr>
          <w:i/>
          <w:iCs/>
          <w:lang w:val="en-US"/>
        </w:rPr>
        <w:t>i′</w:t>
      </w:r>
      <w:r w:rsidRPr="00047754">
        <w:rPr>
          <w:lang w:val="en-US"/>
        </w:rPr>
        <w:t>(</w:t>
      </w:r>
      <w:r w:rsidRPr="00047754">
        <w:rPr>
          <w:i/>
          <w:iCs/>
          <w:lang w:val="en-US"/>
        </w:rPr>
        <w:t>p′</w:t>
      </w:r>
      <w:r w:rsidRPr="00047754">
        <w:rPr>
          <w:lang w:val="en-US"/>
        </w:rPr>
        <w:t xml:space="preserve">)  =  </w:t>
      </w:r>
      <w:r w:rsidRPr="00047754">
        <w:rPr>
          <w:i/>
          <w:iCs/>
          <w:lang w:val="en-US"/>
        </w:rPr>
        <w:t>i</w:t>
      </w:r>
      <w:r w:rsidRPr="00047754">
        <w:rPr>
          <w:lang w:val="en-US"/>
        </w:rPr>
        <w:t> (</w:t>
      </w:r>
      <w:r w:rsidRPr="00047754">
        <w:rPr>
          <w:i/>
          <w:iCs/>
          <w:lang w:val="en-US"/>
        </w:rPr>
        <w:t>p</w:t>
      </w:r>
      <w:r w:rsidRPr="00047754">
        <w:rPr>
          <w:lang w:val="en-US"/>
        </w:rPr>
        <w:t xml:space="preserve">) / </w:t>
      </w:r>
      <w:r w:rsidRPr="00047754">
        <w:rPr>
          <w:i/>
          <w:iCs/>
          <w:lang w:val="en-US"/>
        </w:rPr>
        <w:t>yn</w:t>
      </w:r>
      <w:r w:rsidRPr="00047754">
        <w:rPr>
          <w:lang w:val="en-US"/>
        </w:rPr>
        <w:t xml:space="preserve">  –  (</w:t>
      </w:r>
      <w:r w:rsidRPr="00047754">
        <w:rPr>
          <w:i/>
          <w:iCs/>
          <w:lang w:val="en-US"/>
        </w:rPr>
        <w:t>i</w:t>
      </w:r>
      <w:r w:rsidRPr="00047754">
        <w:rPr>
          <w:lang w:val="en-US"/>
        </w:rPr>
        <w:t xml:space="preserve"> (20)  ×  (1  –  </w:t>
      </w:r>
      <w:r w:rsidRPr="00047754">
        <w:rPr>
          <w:i/>
          <w:iCs/>
          <w:lang w:val="en-US"/>
        </w:rPr>
        <w:t>y</w:t>
      </w:r>
      <w:r w:rsidRPr="00047754">
        <w:rPr>
          <w:lang w:val="en-US"/>
        </w:rPr>
        <w:t>))</w:t>
      </w:r>
      <w:r w:rsidRPr="00047754">
        <w:rPr>
          <w:lang w:val="en-US"/>
        </w:rPr>
        <w:tab/>
        <w:t>(4a)</w:t>
      </w:r>
    </w:p>
    <w:p w:rsidR="007C0925" w:rsidRPr="008D5073" w:rsidRDefault="007C0925" w:rsidP="007C0925">
      <w:pPr>
        <w:pStyle w:val="Equation"/>
        <w:rPr>
          <w:lang w:val="fr-CH"/>
        </w:rPr>
      </w:pPr>
      <w:r w:rsidRPr="00047754">
        <w:rPr>
          <w:lang w:val="en-US"/>
        </w:rPr>
        <w:tab/>
      </w:r>
      <w:r w:rsidRPr="00047754">
        <w:rPr>
          <w:lang w:val="en-US"/>
        </w:rPr>
        <w:tab/>
      </w:r>
      <w:r w:rsidRPr="008D5073">
        <w:rPr>
          <w:i/>
          <w:iCs/>
          <w:lang w:val="fr-CH"/>
        </w:rPr>
        <w:t>p′</w:t>
      </w:r>
      <w:r w:rsidRPr="008D5073">
        <w:rPr>
          <w:lang w:val="fr-CH"/>
        </w:rPr>
        <w:t xml:space="preserve">  =  </w:t>
      </w:r>
      <w:r w:rsidRPr="008D5073">
        <w:rPr>
          <w:i/>
          <w:iCs/>
          <w:lang w:val="fr-CH"/>
        </w:rPr>
        <w:t xml:space="preserve">p </w:t>
      </w:r>
      <w:r w:rsidRPr="008D5073">
        <w:rPr>
          <w:lang w:val="fr-CH"/>
        </w:rPr>
        <w:t xml:space="preserve">/ </w:t>
      </w:r>
      <w:r w:rsidRPr="008D5073">
        <w:rPr>
          <w:i/>
          <w:iCs/>
          <w:lang w:val="fr-CH"/>
        </w:rPr>
        <w:t>n</w:t>
      </w:r>
      <w:r w:rsidRPr="008D5073">
        <w:rPr>
          <w:lang w:val="fr-CH"/>
        </w:rPr>
        <w:tab/>
        <w:t>(4b)</w:t>
      </w:r>
      <w:bookmarkEnd w:id="5"/>
    </w:p>
    <w:p w:rsidR="007C0925" w:rsidRDefault="007C0925" w:rsidP="007C0925">
      <w:r>
        <w:t>où les paramètres avec le symbole prime (') indiquent le niveau admissible de puissance du signal brouilleur dû à une source unique (c'est</w:t>
      </w:r>
      <w:r>
        <w:noBreakHyphen/>
        <w:t>à-dire les critères de partage) et où:</w:t>
      </w:r>
    </w:p>
    <w:p w:rsidR="007C0925" w:rsidRPr="007C0925" w:rsidRDefault="007C0925" w:rsidP="007C0925">
      <w:pPr>
        <w:pStyle w:val="Equationlegend"/>
        <w:rPr>
          <w:lang w:val="fr-CH"/>
        </w:rPr>
      </w:pPr>
      <w:r w:rsidRPr="007C0925">
        <w:rPr>
          <w:lang w:val="fr-CH"/>
        </w:rPr>
        <w:tab/>
      </w:r>
      <w:r w:rsidRPr="007C0925">
        <w:rPr>
          <w:i/>
          <w:iCs/>
          <w:lang w:val="fr-CH"/>
        </w:rPr>
        <w:t>i' </w:t>
      </w:r>
      <w:r w:rsidRPr="007C0925">
        <w:rPr>
          <w:lang w:val="fr-CH"/>
        </w:rPr>
        <w:t>(20):</w:t>
      </w:r>
      <w:r w:rsidRPr="007C0925">
        <w:rPr>
          <w:lang w:val="fr-CH"/>
        </w:rPr>
        <w:tab/>
        <w:t>niveau admissible de puissance du signal brouilleur (W)  pour chaque système spatial ou de Terre brouilleur (selon la valeur de i (20) qui est utilisée) qui ne doit pas être dépassé pendant plus de 20% du temps</w:t>
      </w:r>
    </w:p>
    <w:p w:rsidR="007C0925" w:rsidRPr="007C0925" w:rsidRDefault="007C0925" w:rsidP="007C0925">
      <w:pPr>
        <w:pStyle w:val="Equationlegend"/>
        <w:rPr>
          <w:lang w:val="fr-CH"/>
        </w:rPr>
      </w:pPr>
      <w:r w:rsidRPr="007C0925">
        <w:rPr>
          <w:lang w:val="fr-CH"/>
        </w:rPr>
        <w:tab/>
      </w:r>
      <w:r w:rsidRPr="007C0925">
        <w:rPr>
          <w:i/>
          <w:iCs/>
          <w:lang w:val="fr-CH"/>
        </w:rPr>
        <w:t>i</w:t>
      </w:r>
      <w:r w:rsidRPr="007C0925">
        <w:rPr>
          <w:lang w:val="fr-CH"/>
        </w:rPr>
        <w:t> (20):</w:t>
      </w:r>
      <w:r w:rsidRPr="007C0925">
        <w:rPr>
          <w:lang w:val="fr-CH"/>
        </w:rPr>
        <w:tab/>
        <w:t>niveau admissible de puissance totale du signal brouilleur (W) pour des systèmes spatiaux ou de Terre brouilleurs qui ne doit pas être dépassé pendant plus de 20% du temps</w:t>
      </w:r>
    </w:p>
    <w:p w:rsidR="007C0925" w:rsidRPr="007C0925" w:rsidRDefault="007C0925" w:rsidP="007C0925">
      <w:pPr>
        <w:pStyle w:val="Equationlegend"/>
        <w:rPr>
          <w:lang w:val="fr-CH"/>
        </w:rPr>
      </w:pPr>
      <w:r w:rsidRPr="007C0925">
        <w:rPr>
          <w:lang w:val="fr-CH"/>
        </w:rPr>
        <w:tab/>
      </w:r>
      <w:r w:rsidRPr="007C0925">
        <w:rPr>
          <w:i/>
          <w:iCs/>
          <w:lang w:val="fr-CH"/>
        </w:rPr>
        <w:t>p</w:t>
      </w:r>
      <w:r w:rsidRPr="007C0925">
        <w:rPr>
          <w:lang w:val="fr-CH"/>
        </w:rPr>
        <w:t>:</w:t>
      </w:r>
      <w:r w:rsidRPr="007C0925">
        <w:rPr>
          <w:lang w:val="fr-CH"/>
        </w:rPr>
        <w:tab/>
        <w:t>pourcentage de temps associé aux critères de brouillage à court terme (qui est égal à ps ou à pt si l'on effectue la subdivision initiale des brouillages)</w:t>
      </w:r>
    </w:p>
    <w:p w:rsidR="007C0925" w:rsidRPr="007C0925" w:rsidRDefault="007C0925" w:rsidP="007C0925">
      <w:pPr>
        <w:pStyle w:val="Equationlegend"/>
        <w:rPr>
          <w:lang w:val="fr-CH"/>
        </w:rPr>
      </w:pPr>
      <w:r w:rsidRPr="007C0925">
        <w:rPr>
          <w:lang w:val="fr-CH"/>
        </w:rPr>
        <w:tab/>
      </w:r>
      <w:r w:rsidRPr="007C0925">
        <w:rPr>
          <w:i/>
          <w:iCs/>
          <w:lang w:val="fr-CH"/>
        </w:rPr>
        <w:t>p'</w:t>
      </w:r>
      <w:r w:rsidRPr="007C0925">
        <w:rPr>
          <w:lang w:val="fr-CH"/>
        </w:rPr>
        <w:t>:</w:t>
      </w:r>
      <w:r w:rsidRPr="007C0925">
        <w:rPr>
          <w:lang w:val="fr-CH"/>
        </w:rPr>
        <w:tab/>
        <w:t xml:space="preserve">pourcentage de temps calculé à utiliser pour préciser les critères de partage à court terme pour une source de brouillage unique </w:t>
      </w:r>
    </w:p>
    <w:p w:rsidR="007C0925" w:rsidRPr="007C0925" w:rsidRDefault="007C0925" w:rsidP="007C0925">
      <w:pPr>
        <w:pStyle w:val="Equationlegend"/>
        <w:rPr>
          <w:lang w:val="fr-CH"/>
        </w:rPr>
      </w:pPr>
      <w:r w:rsidRPr="007C0925">
        <w:rPr>
          <w:lang w:val="fr-CH"/>
        </w:rPr>
        <w:tab/>
      </w:r>
      <w:r w:rsidRPr="007C0925">
        <w:rPr>
          <w:i/>
          <w:iCs/>
          <w:lang w:val="fr-CH"/>
        </w:rPr>
        <w:t>n</w:t>
      </w:r>
      <w:r w:rsidRPr="007C0925">
        <w:rPr>
          <w:lang w:val="fr-CH"/>
        </w:rPr>
        <w:t>:</w:t>
      </w:r>
      <w:r w:rsidRPr="007C0925">
        <w:rPr>
          <w:lang w:val="fr-CH"/>
        </w:rPr>
        <w:tab/>
        <w:t>nombre équivalent de systèmes spatiaux ou de Terre brouilleurs</w:t>
      </w:r>
    </w:p>
    <w:p w:rsidR="007C0925" w:rsidRPr="007C0925" w:rsidRDefault="007C0925" w:rsidP="007C0925">
      <w:pPr>
        <w:pStyle w:val="Equationlegend"/>
        <w:rPr>
          <w:lang w:val="fr-CH"/>
        </w:rPr>
      </w:pPr>
      <w:r w:rsidRPr="007C0925">
        <w:rPr>
          <w:lang w:val="fr-CH"/>
        </w:rPr>
        <w:tab/>
      </w:r>
      <w:r w:rsidRPr="007C0925">
        <w:rPr>
          <w:i/>
          <w:iCs/>
          <w:lang w:val="fr-CH"/>
        </w:rPr>
        <w:t>i'</w:t>
      </w:r>
      <w:r w:rsidRPr="007C0925">
        <w:rPr>
          <w:lang w:val="fr-CH"/>
        </w:rPr>
        <w:t> ( </w:t>
      </w:r>
      <w:r w:rsidRPr="007C0925">
        <w:rPr>
          <w:i/>
          <w:iCs/>
          <w:lang w:val="fr-CH"/>
        </w:rPr>
        <w:t>p'</w:t>
      </w:r>
      <w:r w:rsidRPr="007C0925">
        <w:rPr>
          <w:lang w:val="fr-CH"/>
        </w:rPr>
        <w:t>):</w:t>
      </w:r>
      <w:r w:rsidRPr="007C0925">
        <w:rPr>
          <w:lang w:val="fr-CH"/>
        </w:rPr>
        <w:tab/>
        <w:t>niveau admissible de puissance du signal brouilleur (W) pour chaque système spatial ou de Terre brouilleur (selon la valeur de i ( p) qui est utilisée) qui ne doit pas être dépassé pendant plus de p' % du temps</w:t>
      </w:r>
    </w:p>
    <w:p w:rsidR="007C0925" w:rsidRPr="007C0925" w:rsidRDefault="007C0925" w:rsidP="007C0925">
      <w:pPr>
        <w:pStyle w:val="Equationlegend"/>
        <w:rPr>
          <w:lang w:val="fr-CH"/>
        </w:rPr>
      </w:pPr>
      <w:r w:rsidRPr="007C0925">
        <w:rPr>
          <w:lang w:val="fr-CH"/>
        </w:rPr>
        <w:tab/>
        <w:t>i ( </w:t>
      </w:r>
      <w:r w:rsidRPr="007C0925">
        <w:rPr>
          <w:i/>
          <w:iCs/>
          <w:lang w:val="fr-CH"/>
        </w:rPr>
        <w:t>p</w:t>
      </w:r>
      <w:r w:rsidRPr="007C0925">
        <w:rPr>
          <w:lang w:val="fr-CH"/>
        </w:rPr>
        <w:t>):</w:t>
      </w:r>
      <w:r w:rsidRPr="007C0925">
        <w:rPr>
          <w:lang w:val="fr-CH"/>
        </w:rPr>
        <w:tab/>
        <w:t>niveau admissible de puissance totale du signal brouilleur (W) pour des systèmes spatiaux ou de Terre brouilleurs qui ne doit pas être dépassé pendant plus de p% du temps</w:t>
      </w:r>
    </w:p>
    <w:p w:rsidR="007C0925" w:rsidRPr="007C0925" w:rsidRDefault="007C0925" w:rsidP="007C0925">
      <w:pPr>
        <w:pStyle w:val="Equationlegend"/>
        <w:keepLines/>
        <w:rPr>
          <w:lang w:val="fr-CH"/>
        </w:rPr>
      </w:pPr>
      <w:r w:rsidRPr="007C0925">
        <w:rPr>
          <w:lang w:val="fr-CH"/>
        </w:rPr>
        <w:lastRenderedPageBreak/>
        <w:tab/>
      </w:r>
      <w:r w:rsidRPr="007C0925">
        <w:rPr>
          <w:i/>
          <w:iCs/>
          <w:lang w:val="fr-CH"/>
        </w:rPr>
        <w:t>y</w:t>
      </w:r>
      <w:r w:rsidRPr="007C0925">
        <w:rPr>
          <w:lang w:val="fr-CH"/>
        </w:rPr>
        <w:t>:</w:t>
      </w:r>
      <w:r w:rsidRPr="007C0925">
        <w:rPr>
          <w:lang w:val="fr-CH"/>
        </w:rPr>
        <w:tab/>
        <w:t xml:space="preserve">fraction des systèmes spatiaux ou de Terre brouilleurs produisant des brouillages à des niveaux accrus </w:t>
      </w:r>
      <w:r>
        <w:fldChar w:fldCharType="begin"/>
      </w:r>
      <w:r w:rsidRPr="007C0925">
        <w:rPr>
          <w:lang w:val="fr-CH"/>
        </w:rPr>
        <w:instrText>eq (0 &lt; y &lt; 1)</w:instrText>
      </w:r>
      <w:r>
        <w:fldChar w:fldCharType="end"/>
      </w:r>
      <w:r w:rsidRPr="007C0925">
        <w:rPr>
          <w:lang w:val="fr-CH"/>
        </w:rPr>
        <w:t xml:space="preserve"> (où y est analogue à un coefficient de corrélation et est habituellement égal à 1/n, c'est-à-dire que les sources de brouillage sont sans corrélation les unes avec les autres).</w:t>
      </w:r>
    </w:p>
    <w:p w:rsidR="007C0925" w:rsidRDefault="007C0925" w:rsidP="007C0925">
      <w:r>
        <w:t>Les équations (3), (4a) et (4b) sont de même nature que les équations (1a), (1b), (2a), (2b) et (2c). Les tolérances de brouillage à long terme sont subdivisées en fonction de la puissance tandis que les tolérances de brouillage à court terme sont subdivisées d'après le pourcentage de temps. Dans l'équation (4), on admet que seules quelques-unes des sources de brouillage atteignent un niveau élevé à court terme, parce que ces sources ne sont pas en corrélation. Même si ces sources de brouillage sont à un niveau élevé, on admet que toutes les autres sources sont à leur niveau à long terme.</w:t>
      </w:r>
    </w:p>
    <w:p w:rsidR="007C0925" w:rsidRDefault="007C0925" w:rsidP="007C0925">
      <w:pPr>
        <w:rPr>
          <w:b/>
          <w:bCs/>
        </w:rPr>
      </w:pPr>
    </w:p>
    <w:p w:rsidR="007C0925" w:rsidRDefault="007C0925" w:rsidP="007C0925">
      <w:pPr>
        <w:pStyle w:val="AnnexNoTitle"/>
      </w:pPr>
      <w:r>
        <w:t>Annexe 2</w:t>
      </w:r>
      <w:r>
        <w:br/>
      </w:r>
      <w:r>
        <w:br/>
        <w:t>Exemple d'application de la méthode</w:t>
      </w:r>
    </w:p>
    <w:p w:rsidR="007C0925" w:rsidRPr="00C307F8" w:rsidRDefault="007C0925" w:rsidP="00F55E51">
      <w:pPr>
        <w:pStyle w:val="Heading1"/>
      </w:pPr>
      <w:r w:rsidRPr="00C307F8">
        <w:t>1</w:t>
      </w:r>
      <w:r>
        <w:tab/>
      </w:r>
      <w:r w:rsidRPr="00C307F8">
        <w:t>Introduction</w:t>
      </w:r>
    </w:p>
    <w:p w:rsidR="007C0925" w:rsidRDefault="007C0925" w:rsidP="007C0925">
      <w:r>
        <w:t>Le présent exemple porte sur le calcul des critères de partage et de coordination applicables aux systèmes du service des auxiliaires de la météorologie fonctionnant dans les bandes 400,15</w:t>
      </w:r>
      <w:r>
        <w:noBreakHyphen/>
        <w:t>406 MHz (appelée ci-après bande des 403 MHz) et 1</w:t>
      </w:r>
      <w:r>
        <w:rPr>
          <w:sz w:val="12"/>
        </w:rPr>
        <w:t> </w:t>
      </w:r>
      <w:r>
        <w:t>668,4-1</w:t>
      </w:r>
      <w:r>
        <w:rPr>
          <w:sz w:val="12"/>
        </w:rPr>
        <w:t> </w:t>
      </w:r>
      <w:r>
        <w:t>700 MHz (appelée ci</w:t>
      </w:r>
      <w:r>
        <w:noBreakHyphen/>
        <w:t>après bande des 1 680 MHz). A toutes fins utiles, ces bandes sont attribuées à titre primaire au service des  auxiliaires de la météorologie.</w:t>
      </w:r>
    </w:p>
    <w:p w:rsidR="007C0925" w:rsidRDefault="007C0925" w:rsidP="007C0925">
      <w:pPr>
        <w:pStyle w:val="Heading1"/>
      </w:pPr>
      <w:r>
        <w:t>2</w:t>
      </w:r>
      <w:r>
        <w:tab/>
      </w:r>
      <w:r w:rsidRPr="006324D6">
        <w:t xml:space="preserve">Méthode de calcul des critères de partage et de coordination </w:t>
      </w:r>
      <w:r>
        <w:t xml:space="preserve">applicables au service </w:t>
      </w:r>
      <w:r w:rsidRPr="006324D6">
        <w:t>des auxiliaires de</w:t>
      </w:r>
      <w:r>
        <w:t xml:space="preserve"> la</w:t>
      </w:r>
      <w:r w:rsidRPr="006324D6">
        <w:t xml:space="preserve"> météorologie</w:t>
      </w:r>
    </w:p>
    <w:p w:rsidR="007C0925" w:rsidRDefault="007C0925" w:rsidP="007C0925">
      <w:r>
        <w:t>Les critères de brouillage applicables au service des auxiliaires de la météorologie sont indiqués dans la Recommandation UIT-R RS.1263-1 et sont présentés dans les Tableaux 1 et 2. Ces valeurs permettent de calculer les critères de partage et de coordination applicables au service des auxiliaires de la météorologie conformément à la méthode décrite dans l'Annexe 1.</w:t>
      </w:r>
    </w:p>
    <w:p w:rsidR="007C0925" w:rsidRDefault="007C0925" w:rsidP="007C0925">
      <w:pPr>
        <w:pStyle w:val="Heading2"/>
      </w:pPr>
      <w:r w:rsidRPr="00D0788C">
        <w:t>2.1</w:t>
      </w:r>
      <w:r w:rsidRPr="00D0788C">
        <w:tab/>
        <w:t>Subdivision initiale des critères de brouillage</w:t>
      </w:r>
    </w:p>
    <w:p w:rsidR="007C0925" w:rsidRDefault="007C0925" w:rsidP="007C0925">
      <w:r>
        <w:t>Aux termes de l'Annexe 1, les niveaux de brouillage admissibles à long terme pour chaque type de système du service des auxiliaires de la météorologie indiqués dans les Tableaux 1 et 2 doivent être répartis entre les trajets de Terre (</w:t>
      </w:r>
      <w:r>
        <w:rPr>
          <w:i/>
        </w:rPr>
        <w:t>I</w:t>
      </w:r>
      <w:r>
        <w:rPr>
          <w:i/>
          <w:position w:val="-4"/>
          <w:sz w:val="16"/>
        </w:rPr>
        <w:t>t</w:t>
      </w:r>
      <w:r>
        <w:rPr>
          <w:position w:val="-4"/>
          <w:sz w:val="16"/>
        </w:rPr>
        <w:t>(20)</w:t>
      </w:r>
      <w:r>
        <w:t>) et les trajets espace vers Terre (</w:t>
      </w:r>
      <w:r>
        <w:rPr>
          <w:i/>
        </w:rPr>
        <w:t>I</w:t>
      </w:r>
      <w:r>
        <w:rPr>
          <w:i/>
          <w:position w:val="-4"/>
          <w:sz w:val="16"/>
        </w:rPr>
        <w:t>s</w:t>
      </w:r>
      <w:r>
        <w:rPr>
          <w:position w:val="-4"/>
          <w:sz w:val="16"/>
        </w:rPr>
        <w:t>(20)</w:t>
      </w:r>
      <w:r>
        <w:t>). Puisque les brouillages à long terme sont présents pendant des périodes constituant un pourcentage important du temps (les niveaux de brouillage dus aux services de Terre et ceux dus aux trajets espace vers Terre seront présents simultanément pendant des pourcentages importants du temps), le brouillage est réparti en fonction de la puissance. La subdivision est réalisée au moyen des relations (1a) et (1b) de l'Annexe 1. A titre d'illustration pour les bandes des 403 MHz et des 1</w:t>
      </w:r>
      <w:r w:rsidRPr="00590E3E">
        <w:rPr>
          <w:szCs w:val="24"/>
        </w:rPr>
        <w:t> </w:t>
      </w:r>
      <w:r>
        <w:t>680 MHz, la puissance sera subdivisée de façon à attribuer 40% aux trajets espace vers Terre, et 60% aux trajets de Terre. Les critères de brouillage à long terme pour les services de Terre et les trajets espace vers Terre sont présentés dans le Tableau 3.</w:t>
      </w:r>
    </w:p>
    <w:p w:rsidR="007C0925" w:rsidRDefault="007C0925" w:rsidP="007C0925"/>
    <w:p w:rsidR="007C0925" w:rsidRDefault="007C0925" w:rsidP="007C0925">
      <w:pPr>
        <w:sectPr w:rsidR="007C0925" w:rsidSect="00F55E51">
          <w:headerReference w:type="even" r:id="rId16"/>
          <w:headerReference w:type="default" r:id="rId17"/>
          <w:footerReference w:type="default" r:id="rId18"/>
          <w:footerReference w:type="first" r:id="rId19"/>
          <w:pgSz w:w="11907" w:h="16840" w:code="9"/>
          <w:pgMar w:top="1418" w:right="1134" w:bottom="1418" w:left="1134" w:header="720" w:footer="720" w:gutter="0"/>
          <w:pgNumType w:start="1"/>
          <w:cols w:space="720"/>
          <w:titlePg/>
          <w:docGrid w:linePitch="326"/>
        </w:sectPr>
      </w:pPr>
    </w:p>
    <w:p w:rsidR="007C0925" w:rsidRDefault="007C0925" w:rsidP="007C0925">
      <w:pPr>
        <w:pStyle w:val="TableNo"/>
      </w:pPr>
      <w:r>
        <w:lastRenderedPageBreak/>
        <w:t>TABLEAU 1</w:t>
      </w:r>
    </w:p>
    <w:p w:rsidR="007C0925" w:rsidRDefault="007C0925" w:rsidP="007C0925">
      <w:pPr>
        <w:pStyle w:val="Tabletitle"/>
      </w:pPr>
      <w:r>
        <w:t xml:space="preserve">Critères de brouillage applicables aux systèmes à radiosondes </w:t>
      </w:r>
      <w:r>
        <w:br/>
        <w:t>du service des auxiliaires de la météorologie</w:t>
      </w:r>
    </w:p>
    <w:tbl>
      <w:tblPr>
        <w:tblW w:w="141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666"/>
        <w:gridCol w:w="2196"/>
        <w:gridCol w:w="1864"/>
        <w:gridCol w:w="2078"/>
        <w:gridCol w:w="29"/>
        <w:gridCol w:w="2342"/>
      </w:tblGrid>
      <w:tr w:rsidR="007C0925" w:rsidRPr="001E0F1C" w:rsidTr="00F55E51">
        <w:trPr>
          <w:jc w:val="center"/>
        </w:trPr>
        <w:tc>
          <w:tcPr>
            <w:tcW w:w="5556" w:type="dxa"/>
            <w:vAlign w:val="center"/>
          </w:tcPr>
          <w:p w:rsidR="007C0925" w:rsidRPr="001C61C5" w:rsidRDefault="007C0925" w:rsidP="00F55E51">
            <w:pPr>
              <w:pStyle w:val="Tablehead"/>
            </w:pPr>
            <w:r w:rsidRPr="001C61C5">
              <w:t>Paramètre</w:t>
            </w:r>
          </w:p>
        </w:tc>
        <w:tc>
          <w:tcPr>
            <w:tcW w:w="2153" w:type="dxa"/>
            <w:vAlign w:val="center"/>
          </w:tcPr>
          <w:p w:rsidR="007C0925" w:rsidRPr="001C61C5" w:rsidRDefault="007C0925" w:rsidP="00F55E51">
            <w:pPr>
              <w:pStyle w:val="Tablehead"/>
            </w:pPr>
            <w:r w:rsidRPr="001C61C5">
              <w:t xml:space="preserve">Système à </w:t>
            </w:r>
            <w:r w:rsidRPr="001C61C5">
              <w:br/>
              <w:t>radiosondes de radiorepérage (RDF)</w:t>
            </w:r>
            <w:r w:rsidRPr="001C61C5">
              <w:br/>
              <w:t>1 668,4</w:t>
            </w:r>
            <w:r w:rsidRPr="001C61C5">
              <w:noBreakHyphen/>
              <w:t>1 700 MHz</w:t>
            </w:r>
          </w:p>
        </w:tc>
        <w:tc>
          <w:tcPr>
            <w:tcW w:w="1828" w:type="dxa"/>
            <w:vAlign w:val="center"/>
          </w:tcPr>
          <w:p w:rsidR="007C0925" w:rsidRPr="001C61C5" w:rsidRDefault="007C0925" w:rsidP="00F55E51">
            <w:pPr>
              <w:pStyle w:val="Tablehead"/>
            </w:pPr>
            <w:r w:rsidRPr="001C61C5">
              <w:t xml:space="preserve">Système à radiosondes GPS </w:t>
            </w:r>
            <w:r w:rsidRPr="001C61C5">
              <w:br/>
              <w:t>1 675-1 683 MHz</w:t>
            </w:r>
          </w:p>
        </w:tc>
        <w:tc>
          <w:tcPr>
            <w:tcW w:w="2066" w:type="dxa"/>
            <w:gridSpan w:val="2"/>
            <w:vAlign w:val="center"/>
          </w:tcPr>
          <w:p w:rsidR="007C0925" w:rsidRPr="001C61C5" w:rsidRDefault="007C0925" w:rsidP="00F55E51">
            <w:pPr>
              <w:pStyle w:val="Tablehead"/>
            </w:pPr>
            <w:r w:rsidRPr="001C61C5">
              <w:t xml:space="preserve">Système à radiosondes d'aide à la navigation aérienne (NAVAID) avec antenne directive </w:t>
            </w:r>
            <w:r w:rsidRPr="001C61C5">
              <w:br/>
              <w:t>400,15-406 MHz</w:t>
            </w:r>
          </w:p>
        </w:tc>
        <w:tc>
          <w:tcPr>
            <w:tcW w:w="2296" w:type="dxa"/>
            <w:vAlign w:val="center"/>
          </w:tcPr>
          <w:p w:rsidR="007C0925" w:rsidRPr="001C61C5" w:rsidRDefault="007C0925" w:rsidP="00F55E51">
            <w:pPr>
              <w:pStyle w:val="Tablehead"/>
            </w:pPr>
            <w:r w:rsidRPr="001C61C5">
              <w:t>Système à radiosondes NAVAID avec antenne équidirective</w:t>
            </w:r>
            <w:r w:rsidRPr="001C61C5">
              <w:br/>
              <w:t>400,15-406 MHz</w:t>
            </w:r>
          </w:p>
        </w:tc>
      </w:tr>
      <w:tr w:rsidR="007C0925" w:rsidRPr="001E0F1C" w:rsidTr="00F55E51">
        <w:trPr>
          <w:jc w:val="center"/>
        </w:trPr>
        <w:tc>
          <w:tcPr>
            <w:tcW w:w="5556" w:type="dxa"/>
          </w:tcPr>
          <w:p w:rsidR="007C0925" w:rsidRPr="008D49C2" w:rsidRDefault="007C0925" w:rsidP="008D49C2">
            <w:pPr>
              <w:pStyle w:val="Tabletext"/>
              <w:jc w:val="left"/>
            </w:pPr>
            <w:r w:rsidRPr="008D49C2">
              <w:t>Largeur de bande de référence du système (kHz)</w:t>
            </w:r>
          </w:p>
        </w:tc>
        <w:tc>
          <w:tcPr>
            <w:tcW w:w="2153" w:type="dxa"/>
            <w:vAlign w:val="center"/>
          </w:tcPr>
          <w:p w:rsidR="007C0925" w:rsidRPr="001C61C5" w:rsidRDefault="007C0925" w:rsidP="00F55E51">
            <w:pPr>
              <w:pStyle w:val="Tabletext"/>
              <w:jc w:val="center"/>
            </w:pPr>
            <w:r w:rsidRPr="001C61C5">
              <w:t xml:space="preserve">1 300 </w:t>
            </w:r>
          </w:p>
        </w:tc>
        <w:tc>
          <w:tcPr>
            <w:tcW w:w="1828" w:type="dxa"/>
            <w:vAlign w:val="center"/>
          </w:tcPr>
          <w:p w:rsidR="007C0925" w:rsidRPr="001C61C5" w:rsidRDefault="007C0925" w:rsidP="00F55E51">
            <w:pPr>
              <w:pStyle w:val="Tabletext"/>
              <w:jc w:val="center"/>
            </w:pPr>
            <w:r w:rsidRPr="001C61C5">
              <w:t xml:space="preserve">150 </w:t>
            </w:r>
          </w:p>
        </w:tc>
        <w:tc>
          <w:tcPr>
            <w:tcW w:w="2038" w:type="dxa"/>
            <w:vAlign w:val="center"/>
          </w:tcPr>
          <w:p w:rsidR="007C0925" w:rsidRPr="001C61C5" w:rsidRDefault="007C0925" w:rsidP="00F55E51">
            <w:pPr>
              <w:pStyle w:val="Tabletext"/>
              <w:jc w:val="center"/>
            </w:pPr>
            <w:r w:rsidRPr="001C61C5">
              <w:t xml:space="preserve">300 </w:t>
            </w:r>
          </w:p>
        </w:tc>
        <w:tc>
          <w:tcPr>
            <w:tcW w:w="2324" w:type="dxa"/>
            <w:gridSpan w:val="2"/>
            <w:vAlign w:val="center"/>
          </w:tcPr>
          <w:p w:rsidR="007C0925" w:rsidRPr="001C61C5" w:rsidRDefault="007C0925" w:rsidP="00F55E51">
            <w:pPr>
              <w:pStyle w:val="Tabletext"/>
              <w:jc w:val="center"/>
            </w:pPr>
            <w:r>
              <w:t>300</w:t>
            </w:r>
          </w:p>
        </w:tc>
      </w:tr>
      <w:tr w:rsidR="007C0925" w:rsidRPr="001E0F1C" w:rsidTr="00F55E51">
        <w:trPr>
          <w:jc w:val="center"/>
        </w:trPr>
        <w:tc>
          <w:tcPr>
            <w:tcW w:w="5556" w:type="dxa"/>
          </w:tcPr>
          <w:p w:rsidR="007C0925" w:rsidRPr="008D49C2" w:rsidRDefault="007C0925" w:rsidP="008D49C2">
            <w:pPr>
              <w:pStyle w:val="Tabletext"/>
              <w:jc w:val="left"/>
            </w:pPr>
            <w:r w:rsidRPr="008D49C2">
              <w:t>Puissance du signal brouilleur (dBW) dans la largeur de bande de référence ne devant pas être dépassée pendant plus de PPERTE-VERROUILLAGE% du temps </w:t>
            </w:r>
          </w:p>
        </w:tc>
        <w:tc>
          <w:tcPr>
            <w:tcW w:w="2153" w:type="dxa"/>
            <w:shd w:val="clear" w:color="auto" w:fill="auto"/>
            <w:vAlign w:val="center"/>
          </w:tcPr>
          <w:p w:rsidR="007C0925" w:rsidRPr="001C61C5" w:rsidRDefault="007C0925" w:rsidP="00F55E51">
            <w:pPr>
              <w:pStyle w:val="Tabletext"/>
              <w:jc w:val="center"/>
            </w:pPr>
            <w:r w:rsidRPr="001C61C5">
              <w:t>–135,3</w:t>
            </w:r>
          </w:p>
        </w:tc>
        <w:tc>
          <w:tcPr>
            <w:tcW w:w="1828" w:type="dxa"/>
            <w:shd w:val="clear" w:color="auto" w:fill="auto"/>
            <w:vAlign w:val="center"/>
          </w:tcPr>
          <w:p w:rsidR="007C0925" w:rsidRPr="001C61C5" w:rsidRDefault="007C0925" w:rsidP="00F55E51">
            <w:pPr>
              <w:pStyle w:val="Tabletext"/>
              <w:jc w:val="center"/>
            </w:pPr>
            <w:r w:rsidRPr="001C61C5">
              <w:t>–137,2</w:t>
            </w:r>
          </w:p>
        </w:tc>
        <w:tc>
          <w:tcPr>
            <w:tcW w:w="2066" w:type="dxa"/>
            <w:gridSpan w:val="2"/>
            <w:shd w:val="clear" w:color="auto" w:fill="auto"/>
            <w:vAlign w:val="center"/>
          </w:tcPr>
          <w:p w:rsidR="007C0925" w:rsidRPr="001C61C5" w:rsidRDefault="007C0925" w:rsidP="00F55E51">
            <w:pPr>
              <w:pStyle w:val="Tabletext"/>
              <w:jc w:val="center"/>
            </w:pPr>
            <w:r w:rsidRPr="001C61C5">
              <w:t>–141,9</w:t>
            </w:r>
          </w:p>
        </w:tc>
        <w:tc>
          <w:tcPr>
            <w:tcW w:w="2296" w:type="dxa"/>
            <w:shd w:val="clear" w:color="auto" w:fill="auto"/>
            <w:vAlign w:val="center"/>
          </w:tcPr>
          <w:p w:rsidR="007C0925" w:rsidRPr="001C61C5" w:rsidRDefault="007C0925" w:rsidP="00F55E51">
            <w:pPr>
              <w:pStyle w:val="Tabletext"/>
              <w:jc w:val="center"/>
            </w:pPr>
            <w:r w:rsidRPr="001C61C5">
              <w:t>Sans objet</w:t>
            </w:r>
            <w:r w:rsidRPr="001C61C5">
              <w:rPr>
                <w:vertAlign w:val="superscript"/>
              </w:rPr>
              <w:t>(1)</w:t>
            </w:r>
          </w:p>
        </w:tc>
      </w:tr>
      <w:tr w:rsidR="007C0925" w:rsidRPr="001E0F1C" w:rsidTr="00F55E51">
        <w:trPr>
          <w:jc w:val="center"/>
        </w:trPr>
        <w:tc>
          <w:tcPr>
            <w:tcW w:w="5556" w:type="dxa"/>
          </w:tcPr>
          <w:p w:rsidR="007C0925" w:rsidRPr="008D49C2" w:rsidRDefault="007C0925" w:rsidP="008D49C2">
            <w:pPr>
              <w:pStyle w:val="Tabletext"/>
              <w:jc w:val="left"/>
            </w:pPr>
            <w:r w:rsidRPr="008D49C2">
              <w:t>Pourcentage de temps, PPERTE-VERROUILLAGE(%)(2)</w:t>
            </w:r>
          </w:p>
        </w:tc>
        <w:tc>
          <w:tcPr>
            <w:tcW w:w="2153" w:type="dxa"/>
            <w:shd w:val="clear" w:color="auto" w:fill="auto"/>
            <w:vAlign w:val="center"/>
          </w:tcPr>
          <w:p w:rsidR="007C0925" w:rsidRPr="001C61C5" w:rsidRDefault="007C0925" w:rsidP="00F55E51">
            <w:pPr>
              <w:pStyle w:val="Tabletext"/>
              <w:jc w:val="center"/>
            </w:pPr>
            <w:r w:rsidRPr="001C61C5">
              <w:t>0,02</w:t>
            </w:r>
          </w:p>
        </w:tc>
        <w:tc>
          <w:tcPr>
            <w:tcW w:w="1828" w:type="dxa"/>
            <w:shd w:val="clear" w:color="auto" w:fill="auto"/>
            <w:vAlign w:val="center"/>
          </w:tcPr>
          <w:p w:rsidR="007C0925" w:rsidRPr="001C61C5" w:rsidRDefault="007C0925" w:rsidP="00F55E51">
            <w:pPr>
              <w:pStyle w:val="Tabletext"/>
              <w:jc w:val="center"/>
            </w:pPr>
            <w:r w:rsidRPr="001C61C5">
              <w:t>0,025</w:t>
            </w:r>
          </w:p>
        </w:tc>
        <w:tc>
          <w:tcPr>
            <w:tcW w:w="2066" w:type="dxa"/>
            <w:gridSpan w:val="2"/>
            <w:shd w:val="clear" w:color="auto" w:fill="auto"/>
            <w:vAlign w:val="center"/>
          </w:tcPr>
          <w:p w:rsidR="007C0925" w:rsidRPr="001C61C5" w:rsidRDefault="007C0925" w:rsidP="00F55E51">
            <w:pPr>
              <w:pStyle w:val="Tabletext"/>
              <w:jc w:val="center"/>
            </w:pPr>
            <w:r w:rsidRPr="001C61C5">
              <w:t>0,02</w:t>
            </w:r>
          </w:p>
        </w:tc>
        <w:tc>
          <w:tcPr>
            <w:tcW w:w="2296" w:type="dxa"/>
            <w:shd w:val="clear" w:color="auto" w:fill="auto"/>
            <w:vAlign w:val="center"/>
          </w:tcPr>
          <w:p w:rsidR="007C0925" w:rsidRPr="001C61C5" w:rsidRDefault="007C0925" w:rsidP="00F55E51">
            <w:pPr>
              <w:pStyle w:val="Tabletext"/>
              <w:jc w:val="center"/>
            </w:pPr>
            <w:r w:rsidRPr="001C61C5">
              <w:t>Sans objet</w:t>
            </w:r>
            <w:r w:rsidRPr="001C61C5">
              <w:rPr>
                <w:vertAlign w:val="superscript"/>
              </w:rPr>
              <w:t>(1)</w:t>
            </w:r>
          </w:p>
        </w:tc>
      </w:tr>
      <w:tr w:rsidR="007C0925" w:rsidRPr="001E0F1C" w:rsidTr="00F55E51">
        <w:trPr>
          <w:jc w:val="center"/>
        </w:trPr>
        <w:tc>
          <w:tcPr>
            <w:tcW w:w="5556" w:type="dxa"/>
          </w:tcPr>
          <w:p w:rsidR="007C0925" w:rsidRPr="008D49C2" w:rsidRDefault="007C0925" w:rsidP="008D49C2">
            <w:pPr>
              <w:pStyle w:val="Tabletext"/>
              <w:jc w:val="left"/>
            </w:pPr>
            <w:r w:rsidRPr="008D49C2">
              <w:t>Puissance du signal brouilleur (dBW) dans la largeur de bande de référence ne devant pas être dépassée pendant plus de PPERTE-DONNÉES% du temps </w:t>
            </w:r>
          </w:p>
        </w:tc>
        <w:tc>
          <w:tcPr>
            <w:tcW w:w="2153" w:type="dxa"/>
            <w:shd w:val="clear" w:color="auto" w:fill="auto"/>
            <w:vAlign w:val="center"/>
          </w:tcPr>
          <w:p w:rsidR="007C0925" w:rsidRPr="001C61C5" w:rsidRDefault="007C0925" w:rsidP="00F55E51">
            <w:pPr>
              <w:pStyle w:val="Tabletext"/>
              <w:jc w:val="center"/>
            </w:pPr>
            <w:r w:rsidRPr="001C61C5">
              <w:t>–139,4</w:t>
            </w:r>
          </w:p>
        </w:tc>
        <w:tc>
          <w:tcPr>
            <w:tcW w:w="1828" w:type="dxa"/>
            <w:shd w:val="clear" w:color="auto" w:fill="auto"/>
            <w:vAlign w:val="center"/>
          </w:tcPr>
          <w:p w:rsidR="007C0925" w:rsidRPr="001C61C5" w:rsidRDefault="007C0925" w:rsidP="00F55E51">
            <w:pPr>
              <w:pStyle w:val="Tabletext"/>
              <w:jc w:val="center"/>
            </w:pPr>
            <w:r w:rsidRPr="001C61C5">
              <w:t>–145,7</w:t>
            </w:r>
          </w:p>
        </w:tc>
        <w:tc>
          <w:tcPr>
            <w:tcW w:w="2066" w:type="dxa"/>
            <w:gridSpan w:val="2"/>
            <w:shd w:val="clear" w:color="auto" w:fill="auto"/>
            <w:vAlign w:val="center"/>
          </w:tcPr>
          <w:p w:rsidR="007C0925" w:rsidRPr="001C61C5" w:rsidRDefault="007C0925" w:rsidP="00F55E51">
            <w:pPr>
              <w:pStyle w:val="Tabletext"/>
              <w:jc w:val="center"/>
            </w:pPr>
            <w:r w:rsidRPr="001C61C5">
              <w:t>–149,6</w:t>
            </w:r>
          </w:p>
        </w:tc>
        <w:tc>
          <w:tcPr>
            <w:tcW w:w="2296" w:type="dxa"/>
            <w:shd w:val="clear" w:color="auto" w:fill="auto"/>
            <w:vAlign w:val="center"/>
          </w:tcPr>
          <w:p w:rsidR="007C0925" w:rsidRPr="001C61C5" w:rsidRDefault="007C0925" w:rsidP="00F55E51">
            <w:pPr>
              <w:pStyle w:val="Tabletext"/>
              <w:jc w:val="center"/>
            </w:pPr>
            <w:r w:rsidRPr="001C61C5">
              <w:t>–154,4</w:t>
            </w:r>
          </w:p>
        </w:tc>
      </w:tr>
      <w:tr w:rsidR="007C0925" w:rsidRPr="001E0F1C" w:rsidTr="00F55E51">
        <w:trPr>
          <w:jc w:val="center"/>
        </w:trPr>
        <w:tc>
          <w:tcPr>
            <w:tcW w:w="5556" w:type="dxa"/>
          </w:tcPr>
          <w:p w:rsidR="007C0925" w:rsidRPr="008D49C2" w:rsidRDefault="007C0925" w:rsidP="008D49C2">
            <w:pPr>
              <w:pStyle w:val="Tabletext"/>
              <w:jc w:val="left"/>
            </w:pPr>
            <w:r w:rsidRPr="008D49C2">
              <w:t>Pourcentage de temps, PPERTE-DONNÉES(%)(2)</w:t>
            </w:r>
          </w:p>
        </w:tc>
        <w:tc>
          <w:tcPr>
            <w:tcW w:w="2153" w:type="dxa"/>
            <w:shd w:val="clear" w:color="auto" w:fill="auto"/>
            <w:vAlign w:val="center"/>
          </w:tcPr>
          <w:p w:rsidR="007C0925" w:rsidRPr="001C61C5" w:rsidRDefault="007C0925" w:rsidP="00F55E51">
            <w:pPr>
              <w:pStyle w:val="Tabletext"/>
              <w:jc w:val="center"/>
            </w:pPr>
            <w:r w:rsidRPr="001C61C5">
              <w:t>0,8</w:t>
            </w:r>
          </w:p>
        </w:tc>
        <w:tc>
          <w:tcPr>
            <w:tcW w:w="1828" w:type="dxa"/>
            <w:shd w:val="clear" w:color="auto" w:fill="auto"/>
            <w:vAlign w:val="center"/>
          </w:tcPr>
          <w:p w:rsidR="007C0925" w:rsidRPr="001C61C5" w:rsidRDefault="007C0925" w:rsidP="00F55E51">
            <w:pPr>
              <w:pStyle w:val="Tabletext"/>
              <w:jc w:val="center"/>
            </w:pPr>
            <w:r w:rsidRPr="001C61C5">
              <w:t>0,125</w:t>
            </w:r>
          </w:p>
        </w:tc>
        <w:tc>
          <w:tcPr>
            <w:tcW w:w="2066" w:type="dxa"/>
            <w:gridSpan w:val="2"/>
            <w:shd w:val="clear" w:color="auto" w:fill="auto"/>
            <w:vAlign w:val="center"/>
          </w:tcPr>
          <w:p w:rsidR="007C0925" w:rsidRPr="001C61C5" w:rsidRDefault="007C0925" w:rsidP="00F55E51">
            <w:pPr>
              <w:pStyle w:val="Tabletext"/>
              <w:jc w:val="center"/>
            </w:pPr>
            <w:r w:rsidRPr="001C61C5">
              <w:t>0,2</w:t>
            </w:r>
          </w:p>
        </w:tc>
        <w:tc>
          <w:tcPr>
            <w:tcW w:w="2296" w:type="dxa"/>
            <w:shd w:val="clear" w:color="auto" w:fill="auto"/>
            <w:vAlign w:val="center"/>
          </w:tcPr>
          <w:p w:rsidR="007C0925" w:rsidRPr="001C61C5" w:rsidRDefault="007C0925" w:rsidP="00F55E51">
            <w:pPr>
              <w:pStyle w:val="Tabletext"/>
              <w:jc w:val="center"/>
            </w:pPr>
            <w:r w:rsidRPr="001C61C5">
              <w:t>0,2</w:t>
            </w:r>
          </w:p>
        </w:tc>
      </w:tr>
      <w:tr w:rsidR="007C0925" w:rsidRPr="001E0F1C" w:rsidTr="00F55E51">
        <w:trPr>
          <w:jc w:val="center"/>
        </w:trPr>
        <w:tc>
          <w:tcPr>
            <w:tcW w:w="5556" w:type="dxa"/>
          </w:tcPr>
          <w:p w:rsidR="007C0925" w:rsidRPr="008D49C2" w:rsidRDefault="007C0925" w:rsidP="008D49C2">
            <w:pPr>
              <w:pStyle w:val="Tabletext"/>
              <w:jc w:val="left"/>
            </w:pPr>
            <w:r w:rsidRPr="008D49C2">
              <w:t>Puissance du signal brouilleur (dBW) dans la largeur de bande de référence ne devant pas être dépassée pendant plus de 20% du temps(2)</w:t>
            </w:r>
          </w:p>
        </w:tc>
        <w:tc>
          <w:tcPr>
            <w:tcW w:w="2153" w:type="dxa"/>
            <w:vAlign w:val="center"/>
          </w:tcPr>
          <w:p w:rsidR="007C0925" w:rsidRPr="001C61C5" w:rsidRDefault="007C0925" w:rsidP="00F55E51">
            <w:pPr>
              <w:pStyle w:val="Tabletext"/>
              <w:jc w:val="center"/>
            </w:pPr>
            <w:r w:rsidRPr="001C61C5">
              <w:t>–15</w:t>
            </w:r>
            <w:r>
              <w:t>5</w:t>
            </w:r>
            <w:r w:rsidRPr="001C61C5">
              <w:t>,2</w:t>
            </w:r>
          </w:p>
        </w:tc>
        <w:tc>
          <w:tcPr>
            <w:tcW w:w="1828" w:type="dxa"/>
            <w:vAlign w:val="center"/>
          </w:tcPr>
          <w:p w:rsidR="007C0925" w:rsidRPr="001C61C5" w:rsidRDefault="007C0925" w:rsidP="00F55E51">
            <w:pPr>
              <w:pStyle w:val="Tabletext"/>
              <w:jc w:val="center"/>
            </w:pPr>
            <w:r w:rsidRPr="001C61C5">
              <w:t>–152,6</w:t>
            </w:r>
          </w:p>
        </w:tc>
        <w:tc>
          <w:tcPr>
            <w:tcW w:w="2038" w:type="dxa"/>
            <w:vAlign w:val="center"/>
          </w:tcPr>
          <w:p w:rsidR="007C0925" w:rsidRPr="001C61C5" w:rsidRDefault="007C0925" w:rsidP="00F55E51">
            <w:pPr>
              <w:pStyle w:val="Tabletext"/>
              <w:jc w:val="center"/>
            </w:pPr>
            <w:r w:rsidRPr="001C61C5">
              <w:t>–156,1</w:t>
            </w:r>
          </w:p>
        </w:tc>
        <w:tc>
          <w:tcPr>
            <w:tcW w:w="2324" w:type="dxa"/>
            <w:gridSpan w:val="2"/>
            <w:vAlign w:val="center"/>
          </w:tcPr>
          <w:p w:rsidR="007C0925" w:rsidRPr="001C61C5" w:rsidRDefault="007C0925" w:rsidP="00F55E51">
            <w:pPr>
              <w:pStyle w:val="Tabletext"/>
              <w:jc w:val="center"/>
            </w:pPr>
            <w:r w:rsidRPr="001C61C5">
              <w:t>–156,1</w:t>
            </w:r>
          </w:p>
        </w:tc>
      </w:tr>
      <w:tr w:rsidR="007C0925" w:rsidRPr="001E0F1C" w:rsidTr="00F55E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899" w:type="dxa"/>
            <w:gridSpan w:val="6"/>
          </w:tcPr>
          <w:p w:rsidR="007C0925" w:rsidRPr="001C61C5" w:rsidRDefault="007C0925" w:rsidP="00977236">
            <w:pPr>
              <w:pStyle w:val="Tablelegend"/>
            </w:pPr>
            <w:r w:rsidRPr="001C61C5">
              <w:rPr>
                <w:vertAlign w:val="superscript"/>
              </w:rPr>
              <w:t>(1)</w:t>
            </w:r>
            <w:r w:rsidRPr="001C61C5">
              <w:tab/>
              <w:t>Les systèmes dotés d'antennes équidirectives ne risquent pas de perdre le verrouillage de l'antenne sur le signal en raison d</w:t>
            </w:r>
            <w:r>
              <w:t>e</w:t>
            </w:r>
            <w:r w:rsidRPr="001C61C5">
              <w:t xml:space="preserve"> brouillage</w:t>
            </w:r>
            <w:r>
              <w:t>s</w:t>
            </w:r>
            <w:r w:rsidRPr="001C61C5">
              <w:t xml:space="preserve"> ou d'un évanouissement du signal.</w:t>
            </w:r>
          </w:p>
          <w:p w:rsidR="007C0925" w:rsidRPr="001C61C5" w:rsidRDefault="007C0925" w:rsidP="00977236">
            <w:pPr>
              <w:pStyle w:val="Tablelegend"/>
            </w:pPr>
            <w:r w:rsidRPr="001C61C5">
              <w:rPr>
                <w:vertAlign w:val="superscript"/>
              </w:rPr>
              <w:t>(2)</w:t>
            </w:r>
            <w:r w:rsidRPr="001C61C5">
              <w:tab/>
              <w:t xml:space="preserve">Ce pourcentage de temps ne doit pas être dépassé pour chaque vol. </w:t>
            </w:r>
          </w:p>
        </w:tc>
      </w:tr>
    </w:tbl>
    <w:p w:rsidR="007C0925" w:rsidRPr="00FF6FA4" w:rsidRDefault="007C0925" w:rsidP="007C0925">
      <w:pPr>
        <w:pStyle w:val="Tablefin"/>
        <w:rPr>
          <w:lang w:val="fr-CH"/>
        </w:rPr>
      </w:pPr>
    </w:p>
    <w:p w:rsidR="007C0925" w:rsidRDefault="007C0925" w:rsidP="007C0925">
      <w:pPr>
        <w:pStyle w:val="TableNo"/>
        <w:sectPr w:rsidR="007C0925" w:rsidSect="00F55E51">
          <w:footerReference w:type="even" r:id="rId20"/>
          <w:footerReference w:type="default" r:id="rId21"/>
          <w:headerReference w:type="first" r:id="rId22"/>
          <w:footerReference w:type="first" r:id="rId23"/>
          <w:pgSz w:w="16834" w:h="11907" w:orient="landscape" w:code="9"/>
          <w:pgMar w:top="1134" w:right="1418" w:bottom="1134" w:left="1418" w:header="720" w:footer="720" w:gutter="0"/>
          <w:paperSrc w:first="15" w:other="15"/>
          <w:cols w:space="720"/>
          <w:docGrid w:linePitch="326"/>
        </w:sectPr>
      </w:pPr>
    </w:p>
    <w:p w:rsidR="007C0925" w:rsidRDefault="007C0925" w:rsidP="007C0925">
      <w:pPr>
        <w:pStyle w:val="TableNo"/>
      </w:pPr>
      <w:r>
        <w:lastRenderedPageBreak/>
        <w:t>TABLEAU 2</w:t>
      </w:r>
    </w:p>
    <w:p w:rsidR="007C0925" w:rsidRDefault="007C0925" w:rsidP="007C0925">
      <w:pPr>
        <w:pStyle w:val="Tabletitle"/>
      </w:pPr>
      <w:r>
        <w:t xml:space="preserve">Critères de brouillage applicables aux systèmes à fusées-sondes et à catasondes </w:t>
      </w:r>
      <w:r>
        <w:br/>
        <w:t>du service des auxiliaires de la météorologie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526"/>
        <w:gridCol w:w="3023"/>
        <w:gridCol w:w="3090"/>
      </w:tblGrid>
      <w:tr w:rsidR="007C0925" w:rsidRPr="00363987" w:rsidTr="00F55E51">
        <w:trPr>
          <w:jc w:val="center"/>
        </w:trPr>
        <w:tc>
          <w:tcPr>
            <w:tcW w:w="3480" w:type="dxa"/>
            <w:vAlign w:val="center"/>
          </w:tcPr>
          <w:p w:rsidR="007C0925" w:rsidRPr="00363987" w:rsidRDefault="007C0925" w:rsidP="00F55E51">
            <w:pPr>
              <w:pStyle w:val="Tablehead"/>
            </w:pPr>
            <w:r w:rsidRPr="00363987">
              <w:t>Paramètre</w:t>
            </w:r>
          </w:p>
        </w:tc>
        <w:tc>
          <w:tcPr>
            <w:tcW w:w="2984" w:type="dxa"/>
            <w:vAlign w:val="center"/>
          </w:tcPr>
          <w:p w:rsidR="007C0925" w:rsidRPr="00363987" w:rsidRDefault="007C0925" w:rsidP="00F55E51">
            <w:pPr>
              <w:pStyle w:val="Tablehead"/>
            </w:pPr>
            <w:r w:rsidRPr="00363987">
              <w:t>Systèmes à catasondes embarquées 400,15-406 MHz</w:t>
            </w:r>
          </w:p>
        </w:tc>
        <w:tc>
          <w:tcPr>
            <w:tcW w:w="3050" w:type="dxa"/>
            <w:vAlign w:val="center"/>
          </w:tcPr>
          <w:p w:rsidR="007C0925" w:rsidRPr="00363987" w:rsidRDefault="007C0925" w:rsidP="00F55E51">
            <w:pPr>
              <w:pStyle w:val="Tablehead"/>
            </w:pPr>
            <w:r w:rsidRPr="00363987">
              <w:t>Système à fusées-sondes</w:t>
            </w:r>
            <w:r w:rsidRPr="00363987">
              <w:br/>
              <w:t>400,15-406 MHz</w:t>
            </w:r>
          </w:p>
        </w:tc>
      </w:tr>
      <w:tr w:rsidR="007C0925" w:rsidTr="00F55E51">
        <w:trPr>
          <w:jc w:val="center"/>
        </w:trPr>
        <w:tc>
          <w:tcPr>
            <w:tcW w:w="3480" w:type="dxa"/>
          </w:tcPr>
          <w:p w:rsidR="007C0925" w:rsidRPr="00363987" w:rsidRDefault="007C0925" w:rsidP="008D49C2">
            <w:pPr>
              <w:pStyle w:val="Tabletext"/>
              <w:jc w:val="left"/>
            </w:pPr>
            <w:r w:rsidRPr="00363987">
              <w:t>Largeur de bande de référence du système</w:t>
            </w:r>
            <w:r>
              <w:t xml:space="preserve"> (kHz)</w:t>
            </w:r>
          </w:p>
        </w:tc>
        <w:tc>
          <w:tcPr>
            <w:tcW w:w="2984" w:type="dxa"/>
            <w:vAlign w:val="center"/>
          </w:tcPr>
          <w:p w:rsidR="007C0925" w:rsidRPr="00363987" w:rsidRDefault="007C0925" w:rsidP="00F55E51">
            <w:pPr>
              <w:pStyle w:val="Tabletext"/>
              <w:jc w:val="center"/>
            </w:pPr>
            <w:r w:rsidRPr="00363987">
              <w:t xml:space="preserve">20 </w:t>
            </w:r>
          </w:p>
        </w:tc>
        <w:tc>
          <w:tcPr>
            <w:tcW w:w="3050" w:type="dxa"/>
            <w:vAlign w:val="center"/>
          </w:tcPr>
          <w:p w:rsidR="007C0925" w:rsidRPr="00363987" w:rsidRDefault="007C0925" w:rsidP="00F55E51">
            <w:pPr>
              <w:pStyle w:val="Tabletext"/>
              <w:jc w:val="center"/>
            </w:pPr>
            <w:r w:rsidRPr="00363987">
              <w:t xml:space="preserve">3 </w:t>
            </w:r>
          </w:p>
        </w:tc>
      </w:tr>
      <w:tr w:rsidR="007C0925" w:rsidTr="00F55E51">
        <w:trPr>
          <w:jc w:val="center"/>
        </w:trPr>
        <w:tc>
          <w:tcPr>
            <w:tcW w:w="3480" w:type="dxa"/>
          </w:tcPr>
          <w:p w:rsidR="007C0925" w:rsidRPr="00363987" w:rsidRDefault="007C0925" w:rsidP="008D49C2">
            <w:pPr>
              <w:pStyle w:val="Tabletext"/>
              <w:jc w:val="left"/>
            </w:pPr>
            <w:r w:rsidRPr="00363987">
              <w:t xml:space="preserve">Puissance </w:t>
            </w:r>
            <w:r>
              <w:t xml:space="preserve">du signal brouilleur </w:t>
            </w:r>
            <w:r w:rsidRPr="00363987">
              <w:t xml:space="preserve">(dBW) dans la largeur de bande de référence ne devant pas être dépassée pendant plus de </w:t>
            </w:r>
            <w:r w:rsidRPr="00363987">
              <w:rPr>
                <w:i/>
                <w:iCs/>
              </w:rPr>
              <w:t>P</w:t>
            </w:r>
            <w:r w:rsidRPr="00363987">
              <w:rPr>
                <w:i/>
                <w:iCs/>
                <w:vertAlign w:val="subscript"/>
              </w:rPr>
              <w:t>PERTE</w:t>
            </w:r>
            <w:r w:rsidRPr="00363987">
              <w:rPr>
                <w:i/>
                <w:iCs/>
                <w:vertAlign w:val="subscript"/>
              </w:rPr>
              <w:noBreakHyphen/>
              <w:t>VERROUILLAGE</w:t>
            </w:r>
            <w:r w:rsidRPr="00363987">
              <w:t xml:space="preserve"> % du temps </w:t>
            </w:r>
          </w:p>
        </w:tc>
        <w:tc>
          <w:tcPr>
            <w:tcW w:w="2984" w:type="dxa"/>
            <w:shd w:val="clear" w:color="auto" w:fill="auto"/>
            <w:vAlign w:val="center"/>
          </w:tcPr>
          <w:p w:rsidR="007C0925" w:rsidRPr="00363987" w:rsidRDefault="007C0925" w:rsidP="00F55E51">
            <w:pPr>
              <w:pStyle w:val="Tabletext"/>
              <w:jc w:val="center"/>
            </w:pPr>
            <w:r w:rsidRPr="00363987">
              <w:t>Sans objet</w:t>
            </w:r>
            <w:r w:rsidRPr="0075289C">
              <w:rPr>
                <w:vertAlign w:val="superscript"/>
              </w:rPr>
              <w:t>(1)</w:t>
            </w:r>
          </w:p>
        </w:tc>
        <w:tc>
          <w:tcPr>
            <w:tcW w:w="3050" w:type="dxa"/>
            <w:shd w:val="clear" w:color="auto" w:fill="auto"/>
            <w:vAlign w:val="center"/>
          </w:tcPr>
          <w:p w:rsidR="007C0925" w:rsidRPr="00363987" w:rsidRDefault="007C0925" w:rsidP="00F55E51">
            <w:pPr>
              <w:pStyle w:val="Tabletext"/>
              <w:jc w:val="center"/>
            </w:pPr>
            <w:r w:rsidRPr="00363987">
              <w:t>–116,9</w:t>
            </w:r>
          </w:p>
        </w:tc>
      </w:tr>
      <w:tr w:rsidR="007C0925" w:rsidTr="00F55E51">
        <w:trPr>
          <w:jc w:val="center"/>
        </w:trPr>
        <w:tc>
          <w:tcPr>
            <w:tcW w:w="3480" w:type="dxa"/>
          </w:tcPr>
          <w:p w:rsidR="007C0925" w:rsidRPr="00363987" w:rsidRDefault="007C0925" w:rsidP="008D49C2">
            <w:pPr>
              <w:pStyle w:val="Tabletext"/>
              <w:jc w:val="left"/>
            </w:pPr>
            <w:r w:rsidRPr="0075289C">
              <w:rPr>
                <w:i/>
                <w:iCs/>
              </w:rPr>
              <w:t>P</w:t>
            </w:r>
            <w:r w:rsidRPr="0075289C">
              <w:rPr>
                <w:i/>
                <w:iCs/>
                <w:vertAlign w:val="subscript"/>
              </w:rPr>
              <w:t>PERTE-VERROUILLAGE</w:t>
            </w:r>
            <w:r w:rsidRPr="00363987">
              <w:t>(%)</w:t>
            </w:r>
            <w:r w:rsidRPr="0075289C">
              <w:rPr>
                <w:vertAlign w:val="superscript"/>
              </w:rPr>
              <w:t>(2)</w:t>
            </w:r>
          </w:p>
        </w:tc>
        <w:tc>
          <w:tcPr>
            <w:tcW w:w="2984" w:type="dxa"/>
            <w:shd w:val="clear" w:color="auto" w:fill="auto"/>
            <w:vAlign w:val="center"/>
          </w:tcPr>
          <w:p w:rsidR="007C0925" w:rsidRPr="00363987" w:rsidRDefault="007C0925" w:rsidP="00F55E51">
            <w:pPr>
              <w:pStyle w:val="Tabletext"/>
              <w:jc w:val="center"/>
            </w:pPr>
            <w:r w:rsidRPr="00363987">
              <w:t>Sans objet</w:t>
            </w:r>
            <w:r w:rsidRPr="0075289C">
              <w:rPr>
                <w:vertAlign w:val="superscript"/>
              </w:rPr>
              <w:t>(1)</w:t>
            </w:r>
          </w:p>
        </w:tc>
        <w:tc>
          <w:tcPr>
            <w:tcW w:w="3050" w:type="dxa"/>
            <w:shd w:val="clear" w:color="auto" w:fill="auto"/>
            <w:vAlign w:val="center"/>
          </w:tcPr>
          <w:p w:rsidR="007C0925" w:rsidRPr="00363987" w:rsidRDefault="007C0925" w:rsidP="00F55E51">
            <w:pPr>
              <w:pStyle w:val="Tabletext"/>
              <w:jc w:val="center"/>
            </w:pPr>
            <w:r w:rsidRPr="00363987">
              <w:t>0,02</w:t>
            </w:r>
          </w:p>
        </w:tc>
      </w:tr>
      <w:tr w:rsidR="007C0925" w:rsidTr="00F55E51">
        <w:trPr>
          <w:jc w:val="center"/>
        </w:trPr>
        <w:tc>
          <w:tcPr>
            <w:tcW w:w="3480" w:type="dxa"/>
          </w:tcPr>
          <w:p w:rsidR="007C0925" w:rsidRPr="00363987" w:rsidRDefault="007C0925" w:rsidP="008D49C2">
            <w:pPr>
              <w:pStyle w:val="Tabletext"/>
              <w:jc w:val="left"/>
            </w:pPr>
            <w:r w:rsidRPr="00363987">
              <w:t xml:space="preserve">Puissance </w:t>
            </w:r>
            <w:r>
              <w:t xml:space="preserve">du signal brouilleur </w:t>
            </w:r>
            <w:r w:rsidRPr="00363987">
              <w:t xml:space="preserve">(dBW) dans la largeur de bande de référence ne devant pas être dépassée pendant plus de </w:t>
            </w:r>
            <w:r w:rsidRPr="0075289C">
              <w:rPr>
                <w:i/>
                <w:iCs/>
              </w:rPr>
              <w:t>P</w:t>
            </w:r>
            <w:r w:rsidRPr="0075289C">
              <w:rPr>
                <w:i/>
                <w:iCs/>
                <w:vertAlign w:val="subscript"/>
              </w:rPr>
              <w:t>PERTE</w:t>
            </w:r>
            <w:r w:rsidRPr="0075289C">
              <w:rPr>
                <w:i/>
                <w:iCs/>
                <w:vertAlign w:val="subscript"/>
              </w:rPr>
              <w:noBreakHyphen/>
              <w:t>DONNÉES</w:t>
            </w:r>
            <w:r w:rsidRPr="0075289C">
              <w:rPr>
                <w:i/>
                <w:iCs/>
              </w:rPr>
              <w:t xml:space="preserve"> </w:t>
            </w:r>
            <w:r w:rsidRPr="00363987">
              <w:t>% du temps</w:t>
            </w:r>
          </w:p>
        </w:tc>
        <w:tc>
          <w:tcPr>
            <w:tcW w:w="2984" w:type="dxa"/>
            <w:shd w:val="clear" w:color="auto" w:fill="auto"/>
            <w:vAlign w:val="center"/>
          </w:tcPr>
          <w:p w:rsidR="007C0925" w:rsidRPr="00363987" w:rsidRDefault="007C0925" w:rsidP="00F55E51">
            <w:pPr>
              <w:pStyle w:val="Tabletext"/>
              <w:jc w:val="center"/>
            </w:pPr>
            <w:r w:rsidRPr="00363987">
              <w:t>–161,</w:t>
            </w:r>
            <w:r>
              <w:t>6</w:t>
            </w:r>
          </w:p>
        </w:tc>
        <w:tc>
          <w:tcPr>
            <w:tcW w:w="3050" w:type="dxa"/>
            <w:shd w:val="clear" w:color="auto" w:fill="auto"/>
            <w:vAlign w:val="center"/>
          </w:tcPr>
          <w:p w:rsidR="007C0925" w:rsidRPr="00363987" w:rsidRDefault="007C0925" w:rsidP="00F55E51">
            <w:pPr>
              <w:pStyle w:val="Tabletext"/>
              <w:jc w:val="center"/>
            </w:pPr>
            <w:r w:rsidRPr="00363987">
              <w:t>–122,1</w:t>
            </w:r>
          </w:p>
        </w:tc>
      </w:tr>
      <w:tr w:rsidR="007C0925" w:rsidTr="00F55E51">
        <w:trPr>
          <w:jc w:val="center"/>
        </w:trPr>
        <w:tc>
          <w:tcPr>
            <w:tcW w:w="3480" w:type="dxa"/>
          </w:tcPr>
          <w:p w:rsidR="007C0925" w:rsidRPr="00363987" w:rsidRDefault="007C0925" w:rsidP="008D49C2">
            <w:pPr>
              <w:pStyle w:val="Tabletext"/>
              <w:jc w:val="left"/>
            </w:pPr>
            <w:r w:rsidRPr="0075289C">
              <w:rPr>
                <w:i/>
                <w:iCs/>
              </w:rPr>
              <w:t>P</w:t>
            </w:r>
            <w:r w:rsidRPr="0075289C">
              <w:rPr>
                <w:i/>
                <w:iCs/>
                <w:vertAlign w:val="subscript"/>
              </w:rPr>
              <w:t>PERTE-DONNÉES</w:t>
            </w:r>
            <w:r w:rsidRPr="00363987">
              <w:t>(%)</w:t>
            </w:r>
            <w:r w:rsidRPr="0075289C">
              <w:rPr>
                <w:vertAlign w:val="superscript"/>
              </w:rPr>
              <w:t>(2)</w:t>
            </w:r>
          </w:p>
        </w:tc>
        <w:tc>
          <w:tcPr>
            <w:tcW w:w="2984" w:type="dxa"/>
            <w:shd w:val="clear" w:color="auto" w:fill="auto"/>
            <w:vAlign w:val="center"/>
          </w:tcPr>
          <w:p w:rsidR="007C0925" w:rsidRPr="00363987" w:rsidRDefault="007C0925" w:rsidP="00F55E51">
            <w:pPr>
              <w:pStyle w:val="Tabletext"/>
              <w:jc w:val="center"/>
            </w:pPr>
            <w:r w:rsidRPr="00363987">
              <w:t>0,060</w:t>
            </w:r>
          </w:p>
        </w:tc>
        <w:tc>
          <w:tcPr>
            <w:tcW w:w="3050" w:type="dxa"/>
            <w:shd w:val="clear" w:color="auto" w:fill="auto"/>
            <w:vAlign w:val="center"/>
          </w:tcPr>
          <w:p w:rsidR="007C0925" w:rsidRPr="00363987" w:rsidRDefault="007C0925" w:rsidP="00F55E51">
            <w:pPr>
              <w:pStyle w:val="Tabletext"/>
              <w:jc w:val="center"/>
            </w:pPr>
            <w:r w:rsidRPr="00363987">
              <w:t>0,060</w:t>
            </w:r>
          </w:p>
        </w:tc>
      </w:tr>
      <w:tr w:rsidR="007C0925" w:rsidTr="00F55E51">
        <w:trPr>
          <w:jc w:val="center"/>
        </w:trPr>
        <w:tc>
          <w:tcPr>
            <w:tcW w:w="3480" w:type="dxa"/>
          </w:tcPr>
          <w:p w:rsidR="007C0925" w:rsidRPr="00363987" w:rsidRDefault="007C0925" w:rsidP="008D49C2">
            <w:pPr>
              <w:pStyle w:val="Tabletext"/>
              <w:jc w:val="left"/>
            </w:pPr>
            <w:r w:rsidRPr="00363987">
              <w:t xml:space="preserve">Puissance </w:t>
            </w:r>
            <w:r>
              <w:t xml:space="preserve">du signal brouilleur </w:t>
            </w:r>
            <w:r w:rsidRPr="00363987">
              <w:t>(dBW) dans la largeur de bande de référence ne devant pas être dépassée pendant plus de 20% du temps </w:t>
            </w:r>
          </w:p>
        </w:tc>
        <w:tc>
          <w:tcPr>
            <w:tcW w:w="2984" w:type="dxa"/>
            <w:vAlign w:val="center"/>
          </w:tcPr>
          <w:p w:rsidR="007C0925" w:rsidRPr="00363987" w:rsidRDefault="007C0925" w:rsidP="00F55E51">
            <w:pPr>
              <w:pStyle w:val="Tabletext"/>
              <w:jc w:val="center"/>
            </w:pPr>
            <w:r w:rsidRPr="00363987">
              <w:t>–168,9</w:t>
            </w:r>
          </w:p>
        </w:tc>
        <w:tc>
          <w:tcPr>
            <w:tcW w:w="3050" w:type="dxa"/>
            <w:vAlign w:val="center"/>
          </w:tcPr>
          <w:p w:rsidR="007C0925" w:rsidRPr="00363987" w:rsidRDefault="007C0925" w:rsidP="00F55E51">
            <w:pPr>
              <w:pStyle w:val="Tabletext"/>
              <w:jc w:val="center"/>
            </w:pPr>
            <w:r w:rsidRPr="00363987">
              <w:t>–135,6</w:t>
            </w:r>
          </w:p>
        </w:tc>
      </w:tr>
      <w:tr w:rsidR="007C0925" w:rsidRPr="00E9431B" w:rsidTr="00F55E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14" w:type="dxa"/>
            <w:gridSpan w:val="3"/>
          </w:tcPr>
          <w:p w:rsidR="007C0925" w:rsidRPr="00363987" w:rsidRDefault="007C0925" w:rsidP="00B52F66">
            <w:pPr>
              <w:pStyle w:val="Tablelegend"/>
            </w:pPr>
            <w:r w:rsidRPr="00363987">
              <w:rPr>
                <w:vertAlign w:val="superscript"/>
              </w:rPr>
              <w:t>(1)</w:t>
            </w:r>
            <w:r w:rsidRPr="00363987">
              <w:tab/>
              <w:t>Les systèmes dotés d'antennes équidirectives ne risquent pas de perdre le verrouillage de l'antenne sur le signal en raison d'un brouillage ou d'un évanouissement du signal.</w:t>
            </w:r>
          </w:p>
          <w:p w:rsidR="007C0925" w:rsidRPr="00363987" w:rsidRDefault="007C0925" w:rsidP="00F55E51">
            <w:pPr>
              <w:pStyle w:val="Tablelegend"/>
            </w:pPr>
            <w:r w:rsidRPr="00363987">
              <w:rPr>
                <w:vertAlign w:val="superscript"/>
              </w:rPr>
              <w:t>(2)</w:t>
            </w:r>
            <w:r w:rsidRPr="00363987">
              <w:tab/>
              <w:t>Ce pourcentage de temps ne doit pas être dépassé pour chaque vol.</w:t>
            </w:r>
          </w:p>
        </w:tc>
      </w:tr>
    </w:tbl>
    <w:p w:rsidR="007C0925" w:rsidRDefault="007C0925" w:rsidP="007C0925">
      <w:pPr>
        <w:pStyle w:val="Tablefin"/>
        <w:rPr>
          <w:lang w:val="fr-CH"/>
        </w:rPr>
      </w:pPr>
    </w:p>
    <w:p w:rsidR="00D33919" w:rsidRPr="00D33919" w:rsidRDefault="00D33919" w:rsidP="00D33919">
      <w:pPr>
        <w:rPr>
          <w:lang w:val="fr-CH"/>
        </w:rPr>
      </w:pPr>
    </w:p>
    <w:p w:rsidR="007C0925" w:rsidRPr="009A41FC" w:rsidRDefault="007C0925" w:rsidP="007C0925">
      <w:pPr>
        <w:pStyle w:val="TableNo"/>
      </w:pPr>
      <w:r w:rsidRPr="009A41FC">
        <w:t>TABLEAU  3</w:t>
      </w:r>
    </w:p>
    <w:p w:rsidR="007C0925" w:rsidRPr="009A41FC" w:rsidRDefault="007C0925" w:rsidP="007C0925">
      <w:pPr>
        <w:pStyle w:val="Tabletitle"/>
      </w:pPr>
      <w:r w:rsidRPr="009A41FC">
        <w:t>Critères de brouillage à long terme pour des trajets de Terre et des trajets espace vers Terre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402"/>
        <w:gridCol w:w="709"/>
        <w:gridCol w:w="2410"/>
        <w:gridCol w:w="709"/>
        <w:gridCol w:w="2409"/>
      </w:tblGrid>
      <w:tr w:rsidR="007C0925" w:rsidRPr="00EA2E63" w:rsidTr="00984487">
        <w:trPr>
          <w:jc w:val="center"/>
        </w:trPr>
        <w:tc>
          <w:tcPr>
            <w:tcW w:w="3402" w:type="dxa"/>
            <w:vAlign w:val="center"/>
          </w:tcPr>
          <w:p w:rsidR="007C0925" w:rsidRPr="00984487" w:rsidRDefault="007C0925" w:rsidP="00F55E51">
            <w:pPr>
              <w:pStyle w:val="Tablehead"/>
              <w:rPr>
                <w:szCs w:val="22"/>
              </w:rPr>
            </w:pPr>
            <w:r w:rsidRPr="00984487">
              <w:rPr>
                <w:szCs w:val="22"/>
              </w:rPr>
              <w:t>Type de système</w:t>
            </w:r>
          </w:p>
        </w:tc>
        <w:tc>
          <w:tcPr>
            <w:tcW w:w="709" w:type="dxa"/>
            <w:vAlign w:val="center"/>
          </w:tcPr>
          <w:p w:rsidR="007C0925" w:rsidRPr="00984487" w:rsidRDefault="007C0925" w:rsidP="00F55E51">
            <w:pPr>
              <w:pStyle w:val="Tablehead"/>
              <w:rPr>
                <w:szCs w:val="22"/>
              </w:rPr>
            </w:pPr>
            <w:r w:rsidRPr="00984487">
              <w:rPr>
                <w:i/>
                <w:szCs w:val="22"/>
              </w:rPr>
              <w:t>a</w:t>
            </w:r>
            <w:r w:rsidRPr="00984487">
              <w:rPr>
                <w:i/>
                <w:position w:val="-4"/>
                <w:szCs w:val="22"/>
              </w:rPr>
              <w:t>s</w:t>
            </w:r>
            <w:r w:rsidRPr="00984487">
              <w:rPr>
                <w:szCs w:val="22"/>
              </w:rPr>
              <w:br/>
              <w:t>(%)</w:t>
            </w:r>
          </w:p>
        </w:tc>
        <w:tc>
          <w:tcPr>
            <w:tcW w:w="2410" w:type="dxa"/>
            <w:vAlign w:val="center"/>
          </w:tcPr>
          <w:p w:rsidR="007C0925" w:rsidRPr="00984487" w:rsidRDefault="007C0925" w:rsidP="00F55E51">
            <w:pPr>
              <w:pStyle w:val="Tablehead"/>
              <w:rPr>
                <w:szCs w:val="22"/>
              </w:rPr>
            </w:pPr>
            <w:r w:rsidRPr="00984487">
              <w:rPr>
                <w:i/>
                <w:szCs w:val="22"/>
              </w:rPr>
              <w:t>i</w:t>
            </w:r>
            <w:r w:rsidRPr="00984487">
              <w:rPr>
                <w:i/>
                <w:position w:val="-4"/>
                <w:szCs w:val="22"/>
              </w:rPr>
              <w:t>s</w:t>
            </w:r>
            <w:r w:rsidRPr="00984487">
              <w:rPr>
                <w:position w:val="-4"/>
                <w:szCs w:val="22"/>
              </w:rPr>
              <w:t>(20)</w:t>
            </w:r>
          </w:p>
        </w:tc>
        <w:tc>
          <w:tcPr>
            <w:tcW w:w="709" w:type="dxa"/>
            <w:vAlign w:val="center"/>
          </w:tcPr>
          <w:p w:rsidR="007C0925" w:rsidRPr="00984487" w:rsidRDefault="007C0925" w:rsidP="00F55E51">
            <w:pPr>
              <w:pStyle w:val="Tablehead"/>
              <w:rPr>
                <w:szCs w:val="22"/>
              </w:rPr>
            </w:pPr>
            <w:r w:rsidRPr="00984487">
              <w:rPr>
                <w:i/>
                <w:szCs w:val="22"/>
              </w:rPr>
              <w:t>a</w:t>
            </w:r>
            <w:r w:rsidRPr="00984487">
              <w:rPr>
                <w:i/>
                <w:position w:val="-4"/>
                <w:szCs w:val="22"/>
              </w:rPr>
              <w:t>t</w:t>
            </w:r>
            <w:r w:rsidRPr="00984487">
              <w:rPr>
                <w:szCs w:val="22"/>
              </w:rPr>
              <w:br/>
              <w:t>(%)</w:t>
            </w:r>
          </w:p>
        </w:tc>
        <w:tc>
          <w:tcPr>
            <w:tcW w:w="2409" w:type="dxa"/>
            <w:vAlign w:val="center"/>
          </w:tcPr>
          <w:p w:rsidR="007C0925" w:rsidRPr="00984487" w:rsidRDefault="007C0925" w:rsidP="00F55E51">
            <w:pPr>
              <w:pStyle w:val="Tablehead"/>
              <w:rPr>
                <w:szCs w:val="22"/>
              </w:rPr>
            </w:pPr>
            <w:r w:rsidRPr="00984487">
              <w:rPr>
                <w:i/>
                <w:szCs w:val="22"/>
              </w:rPr>
              <w:t>i</w:t>
            </w:r>
            <w:r w:rsidRPr="00984487">
              <w:rPr>
                <w:i/>
                <w:position w:val="-4"/>
                <w:szCs w:val="22"/>
              </w:rPr>
              <w:t>t</w:t>
            </w:r>
            <w:r w:rsidRPr="00984487">
              <w:rPr>
                <w:position w:val="-4"/>
                <w:szCs w:val="22"/>
              </w:rPr>
              <w:t>(20)</w:t>
            </w:r>
          </w:p>
        </w:tc>
      </w:tr>
      <w:tr w:rsidR="007C0925" w:rsidRPr="005A6141" w:rsidTr="00984487">
        <w:trPr>
          <w:jc w:val="center"/>
        </w:trPr>
        <w:tc>
          <w:tcPr>
            <w:tcW w:w="3402" w:type="dxa"/>
          </w:tcPr>
          <w:p w:rsidR="007C0925" w:rsidRPr="005A6141" w:rsidRDefault="007C0925" w:rsidP="008D49C2">
            <w:pPr>
              <w:pStyle w:val="Tabletext"/>
              <w:jc w:val="left"/>
            </w:pPr>
            <w:r w:rsidRPr="005A6141">
              <w:t>Sonde RDF</w:t>
            </w:r>
            <w:r w:rsidR="00984487">
              <w:t xml:space="preserve"> </w:t>
            </w:r>
            <w:r w:rsidRPr="005A6141">
              <w:t>1 680 MHz</w:t>
            </w:r>
          </w:p>
        </w:tc>
        <w:tc>
          <w:tcPr>
            <w:tcW w:w="709" w:type="dxa"/>
          </w:tcPr>
          <w:p w:rsidR="007C0925" w:rsidRPr="005A6141" w:rsidRDefault="007C0925" w:rsidP="00984487">
            <w:pPr>
              <w:pStyle w:val="Tabletext"/>
              <w:jc w:val="center"/>
            </w:pPr>
            <w:r w:rsidRPr="005A6141">
              <w:t>40</w:t>
            </w:r>
          </w:p>
        </w:tc>
        <w:tc>
          <w:tcPr>
            <w:tcW w:w="2410" w:type="dxa"/>
          </w:tcPr>
          <w:p w:rsidR="007C0925" w:rsidRPr="005A6141" w:rsidRDefault="007C0925" w:rsidP="00984487">
            <w:pPr>
              <w:pStyle w:val="Tabletext"/>
              <w:jc w:val="center"/>
            </w:pPr>
            <w:r>
              <w:t>–</w:t>
            </w:r>
            <w:r w:rsidRPr="005A6141">
              <w:t>157,4 dB(W/1,3 MHz)</w:t>
            </w:r>
          </w:p>
        </w:tc>
        <w:tc>
          <w:tcPr>
            <w:tcW w:w="709" w:type="dxa"/>
          </w:tcPr>
          <w:p w:rsidR="007C0925" w:rsidRPr="005A6141" w:rsidRDefault="007C0925" w:rsidP="00984487">
            <w:pPr>
              <w:pStyle w:val="Tabletext"/>
              <w:jc w:val="center"/>
            </w:pPr>
            <w:r w:rsidRPr="005A6141">
              <w:t>60</w:t>
            </w:r>
          </w:p>
        </w:tc>
        <w:tc>
          <w:tcPr>
            <w:tcW w:w="2409" w:type="dxa"/>
          </w:tcPr>
          <w:p w:rsidR="007C0925" w:rsidRPr="005A6141" w:rsidRDefault="007C0925" w:rsidP="00984487">
            <w:pPr>
              <w:pStyle w:val="Tabletext"/>
              <w:jc w:val="center"/>
            </w:pPr>
            <w:r>
              <w:t>–</w:t>
            </w:r>
            <w:r w:rsidRPr="005A6141">
              <w:t>159,2 dB(W/1,3 MHz)</w:t>
            </w:r>
          </w:p>
        </w:tc>
      </w:tr>
      <w:tr w:rsidR="007C0925" w:rsidRPr="005A6141" w:rsidTr="00984487">
        <w:trPr>
          <w:jc w:val="center"/>
        </w:trPr>
        <w:tc>
          <w:tcPr>
            <w:tcW w:w="3402" w:type="dxa"/>
          </w:tcPr>
          <w:p w:rsidR="007C0925" w:rsidRPr="005A6141" w:rsidRDefault="007C0925" w:rsidP="008D49C2">
            <w:pPr>
              <w:pStyle w:val="Tabletext"/>
              <w:jc w:val="left"/>
            </w:pPr>
            <w:r w:rsidRPr="005A6141">
              <w:t>Radiosonde GPS</w:t>
            </w:r>
            <w:r w:rsidR="00984487">
              <w:t xml:space="preserve"> </w:t>
            </w:r>
            <w:r w:rsidRPr="005A6141">
              <w:t>(1675-1683 MHz)</w:t>
            </w:r>
          </w:p>
        </w:tc>
        <w:tc>
          <w:tcPr>
            <w:tcW w:w="709" w:type="dxa"/>
          </w:tcPr>
          <w:p w:rsidR="007C0925" w:rsidRPr="005A6141" w:rsidRDefault="007C0925" w:rsidP="00984487">
            <w:pPr>
              <w:pStyle w:val="Tabletext"/>
              <w:jc w:val="center"/>
            </w:pPr>
            <w:r w:rsidRPr="005A6141">
              <w:t>40</w:t>
            </w:r>
          </w:p>
        </w:tc>
        <w:tc>
          <w:tcPr>
            <w:tcW w:w="2410" w:type="dxa"/>
          </w:tcPr>
          <w:p w:rsidR="007C0925" w:rsidRPr="005A6141" w:rsidRDefault="007C0925" w:rsidP="00984487">
            <w:pPr>
              <w:pStyle w:val="Tabletext"/>
              <w:jc w:val="center"/>
            </w:pPr>
            <w:r>
              <w:t>–</w:t>
            </w:r>
            <w:r w:rsidRPr="005A6141">
              <w:t>154,8 dB(W/150 kHz)</w:t>
            </w:r>
          </w:p>
        </w:tc>
        <w:tc>
          <w:tcPr>
            <w:tcW w:w="709" w:type="dxa"/>
          </w:tcPr>
          <w:p w:rsidR="007C0925" w:rsidRPr="005A6141" w:rsidRDefault="007C0925" w:rsidP="00984487">
            <w:pPr>
              <w:pStyle w:val="Tabletext"/>
              <w:jc w:val="center"/>
            </w:pPr>
            <w:r w:rsidRPr="005A6141">
              <w:t>60</w:t>
            </w:r>
          </w:p>
        </w:tc>
        <w:tc>
          <w:tcPr>
            <w:tcW w:w="2409" w:type="dxa"/>
          </w:tcPr>
          <w:p w:rsidR="007C0925" w:rsidRPr="005A6141" w:rsidRDefault="007C0925" w:rsidP="00984487">
            <w:pPr>
              <w:pStyle w:val="Tabletext"/>
              <w:jc w:val="center"/>
            </w:pPr>
            <w:r>
              <w:t>–</w:t>
            </w:r>
            <w:r w:rsidRPr="005A6141">
              <w:t>156,6 dB(W/150 kHz)</w:t>
            </w:r>
          </w:p>
        </w:tc>
      </w:tr>
      <w:tr w:rsidR="007C0925" w:rsidRPr="005A6141" w:rsidTr="00984487">
        <w:trPr>
          <w:jc w:val="center"/>
        </w:trPr>
        <w:tc>
          <w:tcPr>
            <w:tcW w:w="3402" w:type="dxa"/>
          </w:tcPr>
          <w:p w:rsidR="007C0925" w:rsidRPr="005A6141" w:rsidRDefault="007C0925" w:rsidP="008D49C2">
            <w:pPr>
              <w:pStyle w:val="Tabletext"/>
              <w:jc w:val="left"/>
            </w:pPr>
            <w:r w:rsidRPr="005A6141">
              <w:t>NAVAID à antenne directive 403 MHz</w:t>
            </w:r>
          </w:p>
        </w:tc>
        <w:tc>
          <w:tcPr>
            <w:tcW w:w="709" w:type="dxa"/>
          </w:tcPr>
          <w:p w:rsidR="007C0925" w:rsidRPr="005A6141" w:rsidRDefault="007C0925" w:rsidP="00984487">
            <w:pPr>
              <w:pStyle w:val="Tabletext"/>
              <w:jc w:val="center"/>
            </w:pPr>
            <w:r w:rsidRPr="005A6141">
              <w:t>40</w:t>
            </w:r>
          </w:p>
        </w:tc>
        <w:tc>
          <w:tcPr>
            <w:tcW w:w="2410" w:type="dxa"/>
          </w:tcPr>
          <w:p w:rsidR="007C0925" w:rsidRPr="005A6141" w:rsidRDefault="007C0925" w:rsidP="00984487">
            <w:pPr>
              <w:pStyle w:val="Tabletext"/>
              <w:jc w:val="center"/>
            </w:pPr>
            <w:r>
              <w:t>–</w:t>
            </w:r>
            <w:r w:rsidRPr="005A6141">
              <w:t>158,3 dB(W/300 kHz)</w:t>
            </w:r>
          </w:p>
        </w:tc>
        <w:tc>
          <w:tcPr>
            <w:tcW w:w="709" w:type="dxa"/>
          </w:tcPr>
          <w:p w:rsidR="007C0925" w:rsidRPr="005A6141" w:rsidRDefault="007C0925" w:rsidP="00984487">
            <w:pPr>
              <w:pStyle w:val="Tabletext"/>
              <w:jc w:val="center"/>
            </w:pPr>
            <w:r w:rsidRPr="005A6141">
              <w:t>60</w:t>
            </w:r>
          </w:p>
        </w:tc>
        <w:tc>
          <w:tcPr>
            <w:tcW w:w="2409" w:type="dxa"/>
          </w:tcPr>
          <w:p w:rsidR="007C0925" w:rsidRPr="005A6141" w:rsidRDefault="007C0925" w:rsidP="00984487">
            <w:pPr>
              <w:pStyle w:val="Tabletext"/>
              <w:jc w:val="center"/>
            </w:pPr>
            <w:r>
              <w:t>–</w:t>
            </w:r>
            <w:r w:rsidRPr="005A6141">
              <w:t>160,1 dB(W/300 kHz)</w:t>
            </w:r>
          </w:p>
        </w:tc>
      </w:tr>
      <w:tr w:rsidR="007C0925" w:rsidRPr="005A6141" w:rsidTr="00984487">
        <w:trPr>
          <w:jc w:val="center"/>
        </w:trPr>
        <w:tc>
          <w:tcPr>
            <w:tcW w:w="3402" w:type="dxa"/>
          </w:tcPr>
          <w:p w:rsidR="007C0925" w:rsidRPr="005A6141" w:rsidRDefault="007C0925" w:rsidP="008D49C2">
            <w:pPr>
              <w:pStyle w:val="Tabletext"/>
              <w:jc w:val="left"/>
            </w:pPr>
            <w:r w:rsidRPr="005A6141">
              <w:t>NAVAID à antenne équidirective 403 MHz</w:t>
            </w:r>
          </w:p>
        </w:tc>
        <w:tc>
          <w:tcPr>
            <w:tcW w:w="709" w:type="dxa"/>
          </w:tcPr>
          <w:p w:rsidR="007C0925" w:rsidRPr="005A6141" w:rsidRDefault="007C0925" w:rsidP="00984487">
            <w:pPr>
              <w:pStyle w:val="Tabletext"/>
              <w:jc w:val="center"/>
            </w:pPr>
            <w:r w:rsidRPr="005A6141">
              <w:t>40</w:t>
            </w:r>
          </w:p>
        </w:tc>
        <w:tc>
          <w:tcPr>
            <w:tcW w:w="2410" w:type="dxa"/>
          </w:tcPr>
          <w:p w:rsidR="007C0925" w:rsidRPr="005A6141" w:rsidRDefault="007C0925" w:rsidP="00984487">
            <w:pPr>
              <w:pStyle w:val="Tabletext"/>
              <w:jc w:val="center"/>
            </w:pPr>
            <w:r>
              <w:t>–</w:t>
            </w:r>
            <w:r w:rsidRPr="005A6141">
              <w:t>158,3 dB(W/300 kHz)</w:t>
            </w:r>
          </w:p>
        </w:tc>
        <w:tc>
          <w:tcPr>
            <w:tcW w:w="709" w:type="dxa"/>
          </w:tcPr>
          <w:p w:rsidR="007C0925" w:rsidRPr="005A6141" w:rsidRDefault="007C0925" w:rsidP="00984487">
            <w:pPr>
              <w:pStyle w:val="Tabletext"/>
              <w:jc w:val="center"/>
            </w:pPr>
            <w:r w:rsidRPr="005A6141">
              <w:t>60</w:t>
            </w:r>
          </w:p>
        </w:tc>
        <w:tc>
          <w:tcPr>
            <w:tcW w:w="2409" w:type="dxa"/>
          </w:tcPr>
          <w:p w:rsidR="007C0925" w:rsidRPr="005A6141" w:rsidRDefault="007C0925" w:rsidP="00984487">
            <w:pPr>
              <w:pStyle w:val="Tabletext"/>
              <w:jc w:val="center"/>
            </w:pPr>
            <w:r>
              <w:t>–</w:t>
            </w:r>
            <w:r w:rsidRPr="005A6141">
              <w:t>160,1 dB(W/300 kHz)</w:t>
            </w:r>
          </w:p>
        </w:tc>
      </w:tr>
      <w:tr w:rsidR="007C0925" w:rsidRPr="005A6141" w:rsidTr="00984487">
        <w:trPr>
          <w:jc w:val="center"/>
        </w:trPr>
        <w:tc>
          <w:tcPr>
            <w:tcW w:w="3402" w:type="dxa"/>
          </w:tcPr>
          <w:p w:rsidR="007C0925" w:rsidRPr="005A6141" w:rsidRDefault="007C0925" w:rsidP="008D49C2">
            <w:pPr>
              <w:pStyle w:val="Tabletext"/>
              <w:jc w:val="left"/>
            </w:pPr>
            <w:r w:rsidRPr="005A6141">
              <w:t>Catasonde</w:t>
            </w:r>
            <w:r w:rsidR="00984487">
              <w:t xml:space="preserve"> </w:t>
            </w:r>
            <w:r w:rsidRPr="005A6141">
              <w:t>403 MHz</w:t>
            </w:r>
          </w:p>
        </w:tc>
        <w:tc>
          <w:tcPr>
            <w:tcW w:w="709" w:type="dxa"/>
          </w:tcPr>
          <w:p w:rsidR="007C0925" w:rsidRPr="005A6141" w:rsidRDefault="007C0925" w:rsidP="00984487">
            <w:pPr>
              <w:pStyle w:val="Tabletext"/>
              <w:jc w:val="center"/>
            </w:pPr>
            <w:r w:rsidRPr="005A6141">
              <w:t>40</w:t>
            </w:r>
          </w:p>
        </w:tc>
        <w:tc>
          <w:tcPr>
            <w:tcW w:w="2410" w:type="dxa"/>
          </w:tcPr>
          <w:p w:rsidR="007C0925" w:rsidRPr="005A6141" w:rsidRDefault="007C0925" w:rsidP="00984487">
            <w:pPr>
              <w:pStyle w:val="Tabletext"/>
              <w:jc w:val="center"/>
            </w:pPr>
            <w:r>
              <w:t>–</w:t>
            </w:r>
            <w:r w:rsidRPr="005A6141">
              <w:t>171,1 dB(W/20 kHz)</w:t>
            </w:r>
          </w:p>
        </w:tc>
        <w:tc>
          <w:tcPr>
            <w:tcW w:w="709" w:type="dxa"/>
          </w:tcPr>
          <w:p w:rsidR="007C0925" w:rsidRPr="005A6141" w:rsidRDefault="007C0925" w:rsidP="00984487">
            <w:pPr>
              <w:pStyle w:val="Tabletext"/>
              <w:jc w:val="center"/>
            </w:pPr>
            <w:r w:rsidRPr="005A6141">
              <w:t>60</w:t>
            </w:r>
          </w:p>
        </w:tc>
        <w:tc>
          <w:tcPr>
            <w:tcW w:w="2409" w:type="dxa"/>
          </w:tcPr>
          <w:p w:rsidR="007C0925" w:rsidRPr="005A6141" w:rsidRDefault="007C0925" w:rsidP="00984487">
            <w:pPr>
              <w:pStyle w:val="Tabletext"/>
              <w:jc w:val="center"/>
            </w:pPr>
            <w:r>
              <w:t>–</w:t>
            </w:r>
            <w:r w:rsidRPr="005A6141">
              <w:t>172,9 dB(W/20 kHz)</w:t>
            </w:r>
          </w:p>
        </w:tc>
      </w:tr>
      <w:tr w:rsidR="007C0925" w:rsidRPr="005A6141" w:rsidTr="00984487">
        <w:trPr>
          <w:jc w:val="center"/>
        </w:trPr>
        <w:tc>
          <w:tcPr>
            <w:tcW w:w="3402" w:type="dxa"/>
          </w:tcPr>
          <w:p w:rsidR="007C0925" w:rsidRPr="005A6141" w:rsidRDefault="007C0925" w:rsidP="008D49C2">
            <w:pPr>
              <w:pStyle w:val="Tabletext"/>
              <w:jc w:val="left"/>
            </w:pPr>
            <w:r w:rsidRPr="005A6141">
              <w:t>Fusée-sonde 403 MHz</w:t>
            </w:r>
          </w:p>
        </w:tc>
        <w:tc>
          <w:tcPr>
            <w:tcW w:w="709" w:type="dxa"/>
          </w:tcPr>
          <w:p w:rsidR="007C0925" w:rsidRPr="005A6141" w:rsidRDefault="007C0925" w:rsidP="00984487">
            <w:pPr>
              <w:pStyle w:val="Tabletext"/>
              <w:jc w:val="center"/>
            </w:pPr>
            <w:r w:rsidRPr="005A6141">
              <w:t>40</w:t>
            </w:r>
          </w:p>
        </w:tc>
        <w:tc>
          <w:tcPr>
            <w:tcW w:w="2410" w:type="dxa"/>
          </w:tcPr>
          <w:p w:rsidR="007C0925" w:rsidRPr="005A6141" w:rsidRDefault="007C0925" w:rsidP="00984487">
            <w:pPr>
              <w:pStyle w:val="Tabletext"/>
              <w:jc w:val="center"/>
            </w:pPr>
            <w:r>
              <w:t>–</w:t>
            </w:r>
            <w:r w:rsidRPr="005A6141">
              <w:t>137,8 dB(W/3,0 MHz)</w:t>
            </w:r>
          </w:p>
        </w:tc>
        <w:tc>
          <w:tcPr>
            <w:tcW w:w="709" w:type="dxa"/>
          </w:tcPr>
          <w:p w:rsidR="007C0925" w:rsidRPr="005A6141" w:rsidRDefault="007C0925" w:rsidP="00984487">
            <w:pPr>
              <w:pStyle w:val="Tabletext"/>
              <w:jc w:val="center"/>
            </w:pPr>
            <w:r w:rsidRPr="005A6141">
              <w:t>60</w:t>
            </w:r>
          </w:p>
        </w:tc>
        <w:tc>
          <w:tcPr>
            <w:tcW w:w="2409" w:type="dxa"/>
          </w:tcPr>
          <w:p w:rsidR="007C0925" w:rsidRPr="005A6141" w:rsidRDefault="007C0925" w:rsidP="00984487">
            <w:pPr>
              <w:pStyle w:val="Tabletext"/>
              <w:jc w:val="center"/>
            </w:pPr>
            <w:r>
              <w:t>–</w:t>
            </w:r>
            <w:r w:rsidRPr="005A6141">
              <w:t>136,9 dB(W/3,0 MHz)</w:t>
            </w:r>
          </w:p>
        </w:tc>
      </w:tr>
    </w:tbl>
    <w:p w:rsidR="007C0925" w:rsidRDefault="007C0925" w:rsidP="007C0925">
      <w:pPr>
        <w:pStyle w:val="Tablefin"/>
        <w:rPr>
          <w:sz w:val="22"/>
          <w:szCs w:val="22"/>
        </w:rPr>
      </w:pPr>
    </w:p>
    <w:p w:rsidR="00D33919" w:rsidRDefault="00D33919" w:rsidP="00D33919">
      <w:pPr>
        <w:rPr>
          <w:lang w:val="en-GB"/>
        </w:rPr>
      </w:pPr>
    </w:p>
    <w:p w:rsidR="00D33919" w:rsidRDefault="00D33919" w:rsidP="00D33919">
      <w:pPr>
        <w:rPr>
          <w:lang w:val="en-GB"/>
        </w:rPr>
      </w:pPr>
    </w:p>
    <w:p w:rsidR="007C0925" w:rsidRDefault="007C0925" w:rsidP="007C0925">
      <w:pPr>
        <w:rPr>
          <w:lang w:val="fr-CH"/>
        </w:rPr>
      </w:pPr>
      <w:r w:rsidRPr="00EE46C1">
        <w:rPr>
          <w:lang w:val="fr-CH"/>
        </w:rPr>
        <w:lastRenderedPageBreak/>
        <w:t xml:space="preserve">Les critères de brouillage à court terme associés à la perte de </w:t>
      </w:r>
      <w:r>
        <w:rPr>
          <w:lang w:val="fr-CH"/>
        </w:rPr>
        <w:t>verrouillage</w:t>
      </w:r>
      <w:r w:rsidRPr="00EE46C1">
        <w:rPr>
          <w:lang w:val="fr-CH"/>
        </w:rPr>
        <w:t xml:space="preserve"> et à la perte de données doivent être calculés au moyen des relations (2a) et (2b) de </w:t>
      </w:r>
      <w:r>
        <w:rPr>
          <w:lang w:val="fr-CH"/>
        </w:rPr>
        <w:t>l'Annexe 1</w:t>
      </w:r>
      <w:r w:rsidRPr="00EE46C1">
        <w:rPr>
          <w:lang w:val="fr-CH"/>
        </w:rPr>
        <w:t>. Puisque les niveaux de brouillage à court terme dû à chaque service sont indépendants (le brouillage à court terme se produit pendant de très faibles pourcentages du temps, et la probabilité de brouillage à court terme provenant simultanément des deux services est négligeable), les critères à court terme sont subdivisés sur une base temporelle. Compte tenu de</w:t>
      </w:r>
      <w:r>
        <w:rPr>
          <w:lang w:val="fr-CH"/>
        </w:rPr>
        <w:t xml:space="preserve"> la</w:t>
      </w:r>
      <w:r w:rsidRPr="00EE46C1">
        <w:rPr>
          <w:lang w:val="fr-CH"/>
        </w:rPr>
        <w:t xml:space="preserve"> forte probabilité </w:t>
      </w:r>
      <w:r>
        <w:rPr>
          <w:lang w:val="fr-CH"/>
        </w:rPr>
        <w:t xml:space="preserve">que </w:t>
      </w:r>
      <w:r w:rsidRPr="00EE46C1">
        <w:rPr>
          <w:lang w:val="fr-CH"/>
        </w:rPr>
        <w:t>de</w:t>
      </w:r>
      <w:r>
        <w:rPr>
          <w:lang w:val="fr-CH"/>
        </w:rPr>
        <w:t>s</w:t>
      </w:r>
      <w:r w:rsidRPr="00EE46C1">
        <w:rPr>
          <w:lang w:val="fr-CH"/>
        </w:rPr>
        <w:t xml:space="preserve"> niveaux de brouillage à long terme </w:t>
      </w:r>
      <w:r>
        <w:rPr>
          <w:lang w:val="fr-CH"/>
        </w:rPr>
        <w:t xml:space="preserve">soient </w:t>
      </w:r>
      <w:r w:rsidRPr="00EE46C1">
        <w:rPr>
          <w:lang w:val="fr-CH"/>
        </w:rPr>
        <w:t>présents au cours des périodes de brouillage à court terme, il faut dans ce calcul soustraire le niveau à long terme du niveau à court terme. En ce qui concerne les bandes de</w:t>
      </w:r>
      <w:r>
        <w:rPr>
          <w:lang w:val="fr-CH"/>
        </w:rPr>
        <w:t>s</w:t>
      </w:r>
      <w:r w:rsidRPr="00EE46C1">
        <w:rPr>
          <w:lang w:val="fr-CH"/>
        </w:rPr>
        <w:t xml:space="preserve"> 403 MHz et de</w:t>
      </w:r>
      <w:r>
        <w:rPr>
          <w:lang w:val="fr-CH"/>
        </w:rPr>
        <w:t>s</w:t>
      </w:r>
      <w:r w:rsidRPr="00EE46C1">
        <w:rPr>
          <w:lang w:val="fr-CH"/>
        </w:rPr>
        <w:t xml:space="preserve"> 1 680 MHz, </w:t>
      </w:r>
      <w:r>
        <w:rPr>
          <w:lang w:val="fr-CH"/>
        </w:rPr>
        <w:t xml:space="preserve">on attribuera </w:t>
      </w:r>
      <w:r w:rsidRPr="00EE46C1">
        <w:rPr>
          <w:lang w:val="fr-CH"/>
        </w:rPr>
        <w:t>40% du temps aux trajets espace</w:t>
      </w:r>
      <w:r>
        <w:rPr>
          <w:lang w:val="fr-CH"/>
        </w:rPr>
        <w:t xml:space="preserve"> vers Terre et </w:t>
      </w:r>
      <w:r w:rsidRPr="00EE46C1">
        <w:rPr>
          <w:lang w:val="fr-CH"/>
        </w:rPr>
        <w:t xml:space="preserve">60% aux trajets </w:t>
      </w:r>
      <w:r>
        <w:rPr>
          <w:lang w:val="fr-CH"/>
        </w:rPr>
        <w:t>de Terre</w:t>
      </w:r>
      <w:r w:rsidRPr="00EE46C1">
        <w:rPr>
          <w:lang w:val="fr-CH"/>
        </w:rPr>
        <w:t xml:space="preserve">. Le Tableau </w:t>
      </w:r>
      <w:r>
        <w:rPr>
          <w:lang w:val="fr-CH"/>
        </w:rPr>
        <w:t>4</w:t>
      </w:r>
      <w:r w:rsidRPr="00EE46C1">
        <w:rPr>
          <w:lang w:val="fr-CH"/>
        </w:rPr>
        <w:t xml:space="preserve"> présente les résultats de la subdivision des brouillages à court terme.</w:t>
      </w:r>
    </w:p>
    <w:p w:rsidR="007C0925" w:rsidRPr="009A41FC" w:rsidRDefault="007C0925" w:rsidP="007C0925">
      <w:pPr>
        <w:pStyle w:val="TableNo"/>
      </w:pPr>
      <w:r w:rsidRPr="009A41FC">
        <w:t>TABLEAU  4</w:t>
      </w:r>
    </w:p>
    <w:p w:rsidR="007C0925" w:rsidRPr="009A41FC" w:rsidRDefault="007C0925" w:rsidP="007C0925">
      <w:pPr>
        <w:pStyle w:val="Tabletitle"/>
        <w:rPr>
          <w:b w:val="0"/>
        </w:rPr>
      </w:pPr>
      <w:r w:rsidRPr="002F559F">
        <w:t xml:space="preserve">Critères de brouillage à court terme </w:t>
      </w:r>
      <w:r>
        <w:t>pour des trajets de</w:t>
      </w:r>
      <w:r w:rsidRPr="002F559F">
        <w:t xml:space="preserve"> </w:t>
      </w:r>
      <w:r>
        <w:t>T</w:t>
      </w:r>
      <w:r w:rsidRPr="002F559F">
        <w:t xml:space="preserve">erre </w:t>
      </w:r>
      <w:r>
        <w:br/>
      </w:r>
      <w:r w:rsidRPr="002F559F">
        <w:t xml:space="preserve">et </w:t>
      </w:r>
      <w:r>
        <w:t>des trajets</w:t>
      </w:r>
      <w:r w:rsidRPr="002F559F">
        <w:t xml:space="preserve"> espace</w:t>
      </w:r>
      <w:r>
        <w:t xml:space="preserve"> vers </w:t>
      </w:r>
      <w:r w:rsidRPr="002F559F">
        <w:t>Terre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2127"/>
        <w:gridCol w:w="1559"/>
        <w:gridCol w:w="709"/>
        <w:gridCol w:w="2126"/>
        <w:gridCol w:w="850"/>
        <w:gridCol w:w="2268"/>
      </w:tblGrid>
      <w:tr w:rsidR="007C0925" w:rsidRPr="00590E3E" w:rsidTr="00F81BFE">
        <w:trPr>
          <w:cantSplit/>
          <w:tblHeader/>
          <w:jc w:val="center"/>
        </w:trPr>
        <w:tc>
          <w:tcPr>
            <w:tcW w:w="2127" w:type="dxa"/>
            <w:tcBorders>
              <w:bottom w:val="nil"/>
              <w:right w:val="nil"/>
            </w:tcBorders>
            <w:vAlign w:val="center"/>
          </w:tcPr>
          <w:p w:rsidR="007C0925" w:rsidRPr="00590E3E" w:rsidRDefault="007C0925" w:rsidP="00F81BFE">
            <w:pPr>
              <w:pStyle w:val="Tablehead"/>
              <w:rPr>
                <w:sz w:val="20"/>
              </w:rPr>
            </w:pPr>
            <w:r w:rsidRPr="00590E3E">
              <w:rPr>
                <w:sz w:val="20"/>
              </w:rPr>
              <w:t>Type de système</w:t>
            </w:r>
          </w:p>
        </w:tc>
        <w:tc>
          <w:tcPr>
            <w:tcW w:w="1559" w:type="dxa"/>
            <w:tcBorders>
              <w:left w:val="nil"/>
            </w:tcBorders>
            <w:vAlign w:val="center"/>
          </w:tcPr>
          <w:p w:rsidR="007C0925" w:rsidRPr="00590E3E" w:rsidRDefault="007C0925" w:rsidP="00F81BFE">
            <w:pPr>
              <w:pStyle w:val="Tablehead"/>
              <w:rPr>
                <w:sz w:val="20"/>
              </w:rPr>
            </w:pPr>
          </w:p>
        </w:tc>
        <w:tc>
          <w:tcPr>
            <w:tcW w:w="709" w:type="dxa"/>
            <w:vAlign w:val="center"/>
          </w:tcPr>
          <w:p w:rsidR="007C0925" w:rsidRPr="00590E3E" w:rsidRDefault="007C0925" w:rsidP="00F81BFE">
            <w:pPr>
              <w:pStyle w:val="Tablehead"/>
              <w:rPr>
                <w:sz w:val="20"/>
                <w:lang w:val="en-GB"/>
              </w:rPr>
            </w:pPr>
            <w:r w:rsidRPr="00590E3E">
              <w:rPr>
                <w:i/>
                <w:sz w:val="20"/>
                <w:lang w:val="en-GB"/>
              </w:rPr>
              <w:t>ps</w:t>
            </w:r>
            <w:r w:rsidRPr="00590E3E">
              <w:rPr>
                <w:sz w:val="20"/>
                <w:lang w:val="en-GB"/>
              </w:rPr>
              <w:t xml:space="preserve"> </w:t>
            </w:r>
            <w:r w:rsidRPr="00590E3E">
              <w:rPr>
                <w:sz w:val="20"/>
                <w:lang w:val="en-GB"/>
              </w:rPr>
              <w:br/>
              <w:t>(%)</w:t>
            </w:r>
          </w:p>
        </w:tc>
        <w:tc>
          <w:tcPr>
            <w:tcW w:w="2126" w:type="dxa"/>
            <w:vAlign w:val="center"/>
          </w:tcPr>
          <w:p w:rsidR="007C0925" w:rsidRPr="00590E3E" w:rsidRDefault="007C0925" w:rsidP="00F81BFE">
            <w:pPr>
              <w:pStyle w:val="Tablehead"/>
              <w:rPr>
                <w:sz w:val="20"/>
                <w:lang w:val="en-GB"/>
              </w:rPr>
            </w:pPr>
            <w:r w:rsidRPr="00590E3E">
              <w:rPr>
                <w:i/>
                <w:sz w:val="20"/>
                <w:lang w:val="en-GB"/>
              </w:rPr>
              <w:t>is</w:t>
            </w:r>
            <w:r w:rsidRPr="00590E3E">
              <w:rPr>
                <w:sz w:val="20"/>
                <w:lang w:val="en-GB"/>
              </w:rPr>
              <w:t>(</w:t>
            </w:r>
            <w:r w:rsidRPr="00590E3E">
              <w:rPr>
                <w:i/>
                <w:sz w:val="20"/>
                <w:lang w:val="en-GB"/>
              </w:rPr>
              <w:t>ps</w:t>
            </w:r>
            <w:r w:rsidRPr="00590E3E">
              <w:rPr>
                <w:sz w:val="20"/>
                <w:lang w:val="en-GB"/>
              </w:rPr>
              <w:t>)</w:t>
            </w:r>
          </w:p>
        </w:tc>
        <w:tc>
          <w:tcPr>
            <w:tcW w:w="850" w:type="dxa"/>
            <w:vAlign w:val="center"/>
          </w:tcPr>
          <w:p w:rsidR="007C0925" w:rsidRPr="00590E3E" w:rsidRDefault="007C0925" w:rsidP="00F81BFE">
            <w:pPr>
              <w:pStyle w:val="Tablehead"/>
              <w:rPr>
                <w:sz w:val="20"/>
                <w:lang w:val="en-GB"/>
              </w:rPr>
            </w:pPr>
            <w:r w:rsidRPr="00590E3E">
              <w:rPr>
                <w:i/>
                <w:sz w:val="20"/>
                <w:lang w:val="en-GB"/>
              </w:rPr>
              <w:t>pt</w:t>
            </w:r>
            <w:r w:rsidRPr="00590E3E">
              <w:rPr>
                <w:sz w:val="20"/>
                <w:lang w:val="en-GB"/>
              </w:rPr>
              <w:t xml:space="preserve"> </w:t>
            </w:r>
            <w:r w:rsidRPr="00590E3E">
              <w:rPr>
                <w:sz w:val="20"/>
                <w:lang w:val="en-GB"/>
              </w:rPr>
              <w:br/>
              <w:t>(%)</w:t>
            </w:r>
          </w:p>
        </w:tc>
        <w:tc>
          <w:tcPr>
            <w:tcW w:w="2268" w:type="dxa"/>
            <w:vAlign w:val="center"/>
          </w:tcPr>
          <w:p w:rsidR="007C0925" w:rsidRPr="00590E3E" w:rsidRDefault="007C0925" w:rsidP="00F81BFE">
            <w:pPr>
              <w:pStyle w:val="Tablehead"/>
              <w:rPr>
                <w:sz w:val="20"/>
                <w:lang w:val="en-GB"/>
              </w:rPr>
            </w:pPr>
            <w:r w:rsidRPr="00590E3E">
              <w:rPr>
                <w:i/>
                <w:sz w:val="20"/>
                <w:lang w:val="en-GB"/>
              </w:rPr>
              <w:t>it</w:t>
            </w:r>
            <w:r w:rsidRPr="00590E3E">
              <w:rPr>
                <w:sz w:val="20"/>
                <w:lang w:val="en-GB"/>
              </w:rPr>
              <w:t>(</w:t>
            </w:r>
            <w:r w:rsidRPr="00590E3E">
              <w:rPr>
                <w:i/>
                <w:sz w:val="20"/>
                <w:lang w:val="en-GB"/>
              </w:rPr>
              <w:t>pt</w:t>
            </w:r>
            <w:r w:rsidRPr="00590E3E">
              <w:rPr>
                <w:sz w:val="20"/>
                <w:lang w:val="en-GB"/>
              </w:rPr>
              <w:t>)</w:t>
            </w:r>
          </w:p>
        </w:tc>
      </w:tr>
      <w:tr w:rsidR="007C0925" w:rsidRPr="00590E3E" w:rsidTr="00F81BFE">
        <w:trPr>
          <w:cantSplit/>
          <w:tblHeader/>
          <w:jc w:val="center"/>
        </w:trPr>
        <w:tc>
          <w:tcPr>
            <w:tcW w:w="2127" w:type="dxa"/>
            <w:vMerge w:val="restart"/>
          </w:tcPr>
          <w:p w:rsidR="007C0925" w:rsidRPr="00984487" w:rsidRDefault="007C0925" w:rsidP="008D49C2">
            <w:pPr>
              <w:pStyle w:val="Tabletext"/>
              <w:jc w:val="left"/>
              <w:rPr>
                <w:sz w:val="20"/>
              </w:rPr>
            </w:pPr>
            <w:r w:rsidRPr="00984487">
              <w:rPr>
                <w:sz w:val="20"/>
              </w:rPr>
              <w:t>Sonde RDF</w:t>
            </w:r>
            <w:r w:rsidR="00984487">
              <w:rPr>
                <w:sz w:val="20"/>
              </w:rPr>
              <w:t xml:space="preserve"> </w:t>
            </w:r>
            <w:r w:rsidRPr="00984487">
              <w:rPr>
                <w:sz w:val="20"/>
              </w:rPr>
              <w:t>1 680 MHz</w:t>
            </w:r>
          </w:p>
        </w:tc>
        <w:tc>
          <w:tcPr>
            <w:tcW w:w="1559" w:type="dxa"/>
          </w:tcPr>
          <w:p w:rsidR="007C0925" w:rsidRPr="00984487" w:rsidRDefault="007C0925" w:rsidP="00984487">
            <w:pPr>
              <w:pStyle w:val="Tabletext"/>
              <w:jc w:val="center"/>
              <w:rPr>
                <w:sz w:val="20"/>
              </w:rPr>
            </w:pPr>
            <w:r w:rsidRPr="00984487">
              <w:rPr>
                <w:sz w:val="20"/>
              </w:rPr>
              <w:t>Perte de verrouillage</w:t>
            </w:r>
          </w:p>
        </w:tc>
        <w:tc>
          <w:tcPr>
            <w:tcW w:w="709" w:type="dxa"/>
          </w:tcPr>
          <w:p w:rsidR="007C0925" w:rsidRPr="00984487" w:rsidRDefault="007C0925" w:rsidP="00984487">
            <w:pPr>
              <w:pStyle w:val="Tabletext"/>
              <w:jc w:val="center"/>
              <w:rPr>
                <w:sz w:val="20"/>
              </w:rPr>
            </w:pPr>
            <w:r w:rsidRPr="00984487">
              <w:rPr>
                <w:sz w:val="20"/>
              </w:rPr>
              <w:t>0,008</w:t>
            </w:r>
          </w:p>
        </w:tc>
        <w:tc>
          <w:tcPr>
            <w:tcW w:w="2126" w:type="dxa"/>
          </w:tcPr>
          <w:p w:rsidR="007C0925" w:rsidRPr="00984487" w:rsidRDefault="007C0925" w:rsidP="00984487">
            <w:pPr>
              <w:pStyle w:val="Tabletext"/>
              <w:jc w:val="center"/>
              <w:rPr>
                <w:sz w:val="20"/>
              </w:rPr>
            </w:pPr>
            <w:r w:rsidRPr="00984487">
              <w:rPr>
                <w:sz w:val="20"/>
              </w:rPr>
              <w:t>–135,3 dB(W/1,3 MHz)</w:t>
            </w:r>
          </w:p>
        </w:tc>
        <w:tc>
          <w:tcPr>
            <w:tcW w:w="850" w:type="dxa"/>
          </w:tcPr>
          <w:p w:rsidR="007C0925" w:rsidRPr="00984487" w:rsidRDefault="007C0925" w:rsidP="00984487">
            <w:pPr>
              <w:pStyle w:val="Tabletext"/>
              <w:jc w:val="center"/>
              <w:rPr>
                <w:sz w:val="20"/>
              </w:rPr>
            </w:pPr>
            <w:r w:rsidRPr="00984487">
              <w:rPr>
                <w:sz w:val="20"/>
              </w:rPr>
              <w:t>0,012</w:t>
            </w:r>
          </w:p>
        </w:tc>
        <w:tc>
          <w:tcPr>
            <w:tcW w:w="2268" w:type="dxa"/>
          </w:tcPr>
          <w:p w:rsidR="007C0925" w:rsidRPr="00984487" w:rsidRDefault="007C0925" w:rsidP="00984487">
            <w:pPr>
              <w:pStyle w:val="Tabletext"/>
              <w:jc w:val="center"/>
              <w:rPr>
                <w:sz w:val="20"/>
              </w:rPr>
            </w:pPr>
            <w:r w:rsidRPr="00984487">
              <w:rPr>
                <w:sz w:val="20"/>
              </w:rPr>
              <w:t>–135,3 dB(W/1,3 MHz)</w:t>
            </w:r>
          </w:p>
        </w:tc>
      </w:tr>
      <w:tr w:rsidR="007C0925" w:rsidRPr="00590E3E" w:rsidTr="00F81BFE">
        <w:trPr>
          <w:cantSplit/>
          <w:tblHeader/>
          <w:jc w:val="center"/>
        </w:trPr>
        <w:tc>
          <w:tcPr>
            <w:tcW w:w="2127" w:type="dxa"/>
            <w:vMerge/>
            <w:tcBorders>
              <w:bottom w:val="single" w:sz="4" w:space="0" w:color="auto"/>
            </w:tcBorders>
          </w:tcPr>
          <w:p w:rsidR="007C0925" w:rsidRPr="00984487" w:rsidRDefault="007C0925" w:rsidP="008D49C2">
            <w:pPr>
              <w:pStyle w:val="Tabletext"/>
              <w:jc w:val="left"/>
              <w:rPr>
                <w:sz w:val="20"/>
              </w:rPr>
            </w:pPr>
          </w:p>
        </w:tc>
        <w:tc>
          <w:tcPr>
            <w:tcW w:w="1559" w:type="dxa"/>
          </w:tcPr>
          <w:p w:rsidR="007C0925" w:rsidRPr="00984487" w:rsidRDefault="007C0925" w:rsidP="00984487">
            <w:pPr>
              <w:pStyle w:val="Tabletext"/>
              <w:jc w:val="center"/>
              <w:rPr>
                <w:sz w:val="20"/>
              </w:rPr>
            </w:pPr>
            <w:r w:rsidRPr="00984487">
              <w:rPr>
                <w:sz w:val="20"/>
              </w:rPr>
              <w:t>Perte de données</w:t>
            </w:r>
          </w:p>
        </w:tc>
        <w:tc>
          <w:tcPr>
            <w:tcW w:w="709" w:type="dxa"/>
          </w:tcPr>
          <w:p w:rsidR="007C0925" w:rsidRPr="00984487" w:rsidRDefault="007C0925" w:rsidP="00984487">
            <w:pPr>
              <w:pStyle w:val="Tabletext"/>
              <w:jc w:val="center"/>
              <w:rPr>
                <w:sz w:val="20"/>
              </w:rPr>
            </w:pPr>
            <w:r w:rsidRPr="00984487">
              <w:rPr>
                <w:sz w:val="20"/>
              </w:rPr>
              <w:t>0,5</w:t>
            </w:r>
          </w:p>
        </w:tc>
        <w:tc>
          <w:tcPr>
            <w:tcW w:w="2126" w:type="dxa"/>
          </w:tcPr>
          <w:p w:rsidR="007C0925" w:rsidRPr="00984487" w:rsidRDefault="007C0925" w:rsidP="00984487">
            <w:pPr>
              <w:pStyle w:val="Tabletext"/>
              <w:jc w:val="center"/>
              <w:rPr>
                <w:sz w:val="20"/>
              </w:rPr>
            </w:pPr>
            <w:r w:rsidRPr="00984487">
              <w:rPr>
                <w:sz w:val="20"/>
              </w:rPr>
              <w:t>–139,5 dB(W/1,3 MHz)</w:t>
            </w:r>
          </w:p>
        </w:tc>
        <w:tc>
          <w:tcPr>
            <w:tcW w:w="850" w:type="dxa"/>
          </w:tcPr>
          <w:p w:rsidR="007C0925" w:rsidRPr="00984487" w:rsidRDefault="007C0925" w:rsidP="00984487">
            <w:pPr>
              <w:pStyle w:val="Tabletext"/>
              <w:jc w:val="center"/>
              <w:rPr>
                <w:sz w:val="20"/>
              </w:rPr>
            </w:pPr>
            <w:r w:rsidRPr="00984487">
              <w:rPr>
                <w:sz w:val="20"/>
              </w:rPr>
              <w:t>0,75</w:t>
            </w:r>
          </w:p>
        </w:tc>
        <w:tc>
          <w:tcPr>
            <w:tcW w:w="2268" w:type="dxa"/>
          </w:tcPr>
          <w:p w:rsidR="007C0925" w:rsidRPr="00984487" w:rsidRDefault="007C0925" w:rsidP="00984487">
            <w:pPr>
              <w:pStyle w:val="Tabletext"/>
              <w:jc w:val="center"/>
              <w:rPr>
                <w:sz w:val="20"/>
              </w:rPr>
            </w:pPr>
            <w:r w:rsidRPr="00984487">
              <w:rPr>
                <w:sz w:val="20"/>
              </w:rPr>
              <w:t>–139,4 dB(W/1,3 MHz)</w:t>
            </w:r>
          </w:p>
        </w:tc>
      </w:tr>
      <w:tr w:rsidR="007C0925" w:rsidRPr="00590E3E" w:rsidTr="00F81BFE">
        <w:trPr>
          <w:cantSplit/>
          <w:trHeight w:val="395"/>
          <w:tblHeader/>
          <w:jc w:val="center"/>
        </w:trPr>
        <w:tc>
          <w:tcPr>
            <w:tcW w:w="2127" w:type="dxa"/>
            <w:vMerge w:val="restart"/>
            <w:tcBorders>
              <w:top w:val="single" w:sz="4" w:space="0" w:color="auto"/>
              <w:left w:val="single" w:sz="4" w:space="0" w:color="auto"/>
              <w:right w:val="single" w:sz="4" w:space="0" w:color="auto"/>
            </w:tcBorders>
          </w:tcPr>
          <w:p w:rsidR="007C0925" w:rsidRPr="00984487" w:rsidRDefault="007C0925" w:rsidP="008D49C2">
            <w:pPr>
              <w:pStyle w:val="Tabletext"/>
              <w:jc w:val="left"/>
              <w:rPr>
                <w:sz w:val="20"/>
              </w:rPr>
            </w:pPr>
            <w:r w:rsidRPr="00984487">
              <w:rPr>
                <w:sz w:val="20"/>
              </w:rPr>
              <w:t xml:space="preserve">Radiosonde GPS </w:t>
            </w:r>
            <w:r w:rsidRPr="00984487">
              <w:rPr>
                <w:sz w:val="20"/>
              </w:rPr>
              <w:br/>
              <w:t>(1675-1683 MHz)</w:t>
            </w:r>
          </w:p>
        </w:tc>
        <w:tc>
          <w:tcPr>
            <w:tcW w:w="1559" w:type="dxa"/>
            <w:tcBorders>
              <w:left w:val="single" w:sz="4" w:space="0" w:color="auto"/>
            </w:tcBorders>
          </w:tcPr>
          <w:p w:rsidR="007C0925" w:rsidRPr="00984487" w:rsidRDefault="007C0925" w:rsidP="00984487">
            <w:pPr>
              <w:pStyle w:val="Tabletext"/>
              <w:jc w:val="center"/>
              <w:rPr>
                <w:sz w:val="20"/>
              </w:rPr>
            </w:pPr>
            <w:r w:rsidRPr="00984487">
              <w:rPr>
                <w:sz w:val="20"/>
              </w:rPr>
              <w:t>Perte de verrouillage</w:t>
            </w:r>
          </w:p>
        </w:tc>
        <w:tc>
          <w:tcPr>
            <w:tcW w:w="709" w:type="dxa"/>
          </w:tcPr>
          <w:p w:rsidR="007C0925" w:rsidRPr="00984487" w:rsidRDefault="007C0925" w:rsidP="00984487">
            <w:pPr>
              <w:pStyle w:val="Tabletext"/>
              <w:jc w:val="center"/>
              <w:rPr>
                <w:sz w:val="20"/>
              </w:rPr>
            </w:pPr>
            <w:r w:rsidRPr="00984487">
              <w:rPr>
                <w:sz w:val="20"/>
              </w:rPr>
              <w:t>0,01</w:t>
            </w:r>
          </w:p>
        </w:tc>
        <w:tc>
          <w:tcPr>
            <w:tcW w:w="2126" w:type="dxa"/>
          </w:tcPr>
          <w:p w:rsidR="007C0925" w:rsidRPr="00984487" w:rsidRDefault="007C0925" w:rsidP="00984487">
            <w:pPr>
              <w:pStyle w:val="Tabletext"/>
              <w:jc w:val="center"/>
              <w:rPr>
                <w:sz w:val="20"/>
              </w:rPr>
            </w:pPr>
            <w:r w:rsidRPr="00984487">
              <w:rPr>
                <w:sz w:val="20"/>
              </w:rPr>
              <w:t>–137,28 dB(W/150 kHz)</w:t>
            </w:r>
          </w:p>
        </w:tc>
        <w:tc>
          <w:tcPr>
            <w:tcW w:w="850" w:type="dxa"/>
          </w:tcPr>
          <w:p w:rsidR="007C0925" w:rsidRPr="00984487" w:rsidRDefault="007C0925" w:rsidP="00984487">
            <w:pPr>
              <w:pStyle w:val="Tabletext"/>
              <w:jc w:val="center"/>
              <w:rPr>
                <w:sz w:val="20"/>
              </w:rPr>
            </w:pPr>
            <w:r w:rsidRPr="00984487">
              <w:rPr>
                <w:sz w:val="20"/>
              </w:rPr>
              <w:t>0,015</w:t>
            </w:r>
          </w:p>
        </w:tc>
        <w:tc>
          <w:tcPr>
            <w:tcW w:w="2268" w:type="dxa"/>
          </w:tcPr>
          <w:p w:rsidR="007C0925" w:rsidRPr="00984487" w:rsidRDefault="007C0925" w:rsidP="00984487">
            <w:pPr>
              <w:pStyle w:val="Tabletext"/>
              <w:jc w:val="center"/>
              <w:rPr>
                <w:sz w:val="20"/>
              </w:rPr>
            </w:pPr>
            <w:r w:rsidRPr="00984487">
              <w:rPr>
                <w:sz w:val="20"/>
              </w:rPr>
              <w:t>–137,25 dB(W/150 kHz)</w:t>
            </w:r>
          </w:p>
        </w:tc>
      </w:tr>
      <w:tr w:rsidR="007C0925" w:rsidRPr="00590E3E" w:rsidTr="00F81BFE">
        <w:trPr>
          <w:cantSplit/>
          <w:trHeight w:val="394"/>
          <w:tblHeader/>
          <w:jc w:val="center"/>
        </w:trPr>
        <w:tc>
          <w:tcPr>
            <w:tcW w:w="2127" w:type="dxa"/>
            <w:vMerge/>
            <w:tcBorders>
              <w:left w:val="single" w:sz="4" w:space="0" w:color="auto"/>
              <w:bottom w:val="single" w:sz="4" w:space="0" w:color="auto"/>
              <w:right w:val="single" w:sz="4" w:space="0" w:color="auto"/>
            </w:tcBorders>
          </w:tcPr>
          <w:p w:rsidR="007C0925" w:rsidRPr="00984487" w:rsidRDefault="007C0925" w:rsidP="008D49C2">
            <w:pPr>
              <w:pStyle w:val="Tabletext"/>
              <w:jc w:val="left"/>
              <w:rPr>
                <w:sz w:val="20"/>
              </w:rPr>
            </w:pPr>
          </w:p>
        </w:tc>
        <w:tc>
          <w:tcPr>
            <w:tcW w:w="1559" w:type="dxa"/>
            <w:tcBorders>
              <w:left w:val="single" w:sz="4" w:space="0" w:color="auto"/>
            </w:tcBorders>
          </w:tcPr>
          <w:p w:rsidR="007C0925" w:rsidRPr="00984487" w:rsidRDefault="007C0925" w:rsidP="00984487">
            <w:pPr>
              <w:pStyle w:val="Tabletext"/>
              <w:jc w:val="center"/>
              <w:rPr>
                <w:sz w:val="20"/>
              </w:rPr>
            </w:pPr>
            <w:r w:rsidRPr="00984487">
              <w:rPr>
                <w:sz w:val="20"/>
              </w:rPr>
              <w:t>Perte de données</w:t>
            </w:r>
          </w:p>
        </w:tc>
        <w:tc>
          <w:tcPr>
            <w:tcW w:w="709" w:type="dxa"/>
          </w:tcPr>
          <w:p w:rsidR="007C0925" w:rsidRPr="00984487" w:rsidRDefault="007C0925" w:rsidP="00984487">
            <w:pPr>
              <w:pStyle w:val="Tabletext"/>
              <w:jc w:val="center"/>
              <w:rPr>
                <w:sz w:val="20"/>
              </w:rPr>
            </w:pPr>
            <w:r w:rsidRPr="00984487">
              <w:rPr>
                <w:sz w:val="20"/>
              </w:rPr>
              <w:t>0,05</w:t>
            </w:r>
          </w:p>
        </w:tc>
        <w:tc>
          <w:tcPr>
            <w:tcW w:w="2126" w:type="dxa"/>
          </w:tcPr>
          <w:p w:rsidR="007C0925" w:rsidRPr="00984487" w:rsidRDefault="007C0925" w:rsidP="00984487">
            <w:pPr>
              <w:pStyle w:val="Tabletext"/>
              <w:jc w:val="center"/>
              <w:rPr>
                <w:sz w:val="20"/>
              </w:rPr>
            </w:pPr>
            <w:r w:rsidRPr="00984487">
              <w:rPr>
                <w:sz w:val="20"/>
              </w:rPr>
              <w:t>–146,27 dB(W/150 kHz)</w:t>
            </w:r>
          </w:p>
        </w:tc>
        <w:tc>
          <w:tcPr>
            <w:tcW w:w="850" w:type="dxa"/>
          </w:tcPr>
          <w:p w:rsidR="007C0925" w:rsidRPr="00984487" w:rsidRDefault="007C0925" w:rsidP="00984487">
            <w:pPr>
              <w:pStyle w:val="Tabletext"/>
              <w:jc w:val="center"/>
              <w:rPr>
                <w:sz w:val="20"/>
              </w:rPr>
            </w:pPr>
            <w:r w:rsidRPr="00984487">
              <w:rPr>
                <w:sz w:val="20"/>
              </w:rPr>
              <w:t>0,075</w:t>
            </w:r>
          </w:p>
        </w:tc>
        <w:tc>
          <w:tcPr>
            <w:tcW w:w="2268" w:type="dxa"/>
          </w:tcPr>
          <w:p w:rsidR="007C0925" w:rsidRPr="00984487" w:rsidRDefault="007C0925" w:rsidP="00984487">
            <w:pPr>
              <w:pStyle w:val="Tabletext"/>
              <w:jc w:val="center"/>
              <w:rPr>
                <w:sz w:val="20"/>
              </w:rPr>
            </w:pPr>
            <w:r w:rsidRPr="00984487">
              <w:rPr>
                <w:sz w:val="20"/>
              </w:rPr>
              <w:t>–146,1 dB(W/150 kHz)</w:t>
            </w:r>
          </w:p>
        </w:tc>
      </w:tr>
      <w:tr w:rsidR="007C0925" w:rsidRPr="00590E3E" w:rsidTr="00F81BFE">
        <w:trPr>
          <w:cantSplit/>
          <w:tblHeader/>
          <w:jc w:val="center"/>
        </w:trPr>
        <w:tc>
          <w:tcPr>
            <w:tcW w:w="2127" w:type="dxa"/>
            <w:vMerge w:val="restart"/>
            <w:tcBorders>
              <w:top w:val="single" w:sz="4" w:space="0" w:color="auto"/>
            </w:tcBorders>
          </w:tcPr>
          <w:p w:rsidR="007C0925" w:rsidRPr="00984487" w:rsidRDefault="007C0925" w:rsidP="008D49C2">
            <w:pPr>
              <w:pStyle w:val="Tabletext"/>
              <w:jc w:val="left"/>
              <w:rPr>
                <w:sz w:val="20"/>
              </w:rPr>
            </w:pPr>
            <w:r w:rsidRPr="00984487">
              <w:rPr>
                <w:sz w:val="20"/>
              </w:rPr>
              <w:t>NAVAID à antenne directive</w:t>
            </w:r>
            <w:r w:rsidR="00984487">
              <w:rPr>
                <w:sz w:val="20"/>
              </w:rPr>
              <w:t xml:space="preserve"> </w:t>
            </w:r>
            <w:r w:rsidRPr="00984487">
              <w:rPr>
                <w:sz w:val="20"/>
              </w:rPr>
              <w:t>403 MHz</w:t>
            </w:r>
          </w:p>
        </w:tc>
        <w:tc>
          <w:tcPr>
            <w:tcW w:w="1559" w:type="dxa"/>
          </w:tcPr>
          <w:p w:rsidR="007C0925" w:rsidRPr="00984487" w:rsidRDefault="007C0925" w:rsidP="00984487">
            <w:pPr>
              <w:pStyle w:val="Tabletext"/>
              <w:jc w:val="center"/>
              <w:rPr>
                <w:sz w:val="20"/>
              </w:rPr>
            </w:pPr>
            <w:r w:rsidRPr="00984487">
              <w:rPr>
                <w:sz w:val="20"/>
              </w:rPr>
              <w:t>Perte de verrouillage</w:t>
            </w:r>
          </w:p>
        </w:tc>
        <w:tc>
          <w:tcPr>
            <w:tcW w:w="709" w:type="dxa"/>
          </w:tcPr>
          <w:p w:rsidR="007C0925" w:rsidRPr="00984487" w:rsidRDefault="007C0925" w:rsidP="00984487">
            <w:pPr>
              <w:pStyle w:val="Tabletext"/>
              <w:jc w:val="center"/>
              <w:rPr>
                <w:sz w:val="20"/>
              </w:rPr>
            </w:pPr>
            <w:r w:rsidRPr="00984487">
              <w:rPr>
                <w:sz w:val="20"/>
              </w:rPr>
              <w:t>0,008</w:t>
            </w:r>
          </w:p>
        </w:tc>
        <w:tc>
          <w:tcPr>
            <w:tcW w:w="2126" w:type="dxa"/>
          </w:tcPr>
          <w:p w:rsidR="007C0925" w:rsidRPr="00984487" w:rsidRDefault="007C0925" w:rsidP="00984487">
            <w:pPr>
              <w:pStyle w:val="Tabletext"/>
              <w:jc w:val="center"/>
              <w:rPr>
                <w:sz w:val="20"/>
              </w:rPr>
            </w:pPr>
            <w:r w:rsidRPr="00984487">
              <w:rPr>
                <w:sz w:val="20"/>
              </w:rPr>
              <w:t>–142,0 dB(W/300 kHz)</w:t>
            </w:r>
          </w:p>
        </w:tc>
        <w:tc>
          <w:tcPr>
            <w:tcW w:w="850" w:type="dxa"/>
          </w:tcPr>
          <w:p w:rsidR="007C0925" w:rsidRPr="00984487" w:rsidRDefault="007C0925" w:rsidP="00984487">
            <w:pPr>
              <w:pStyle w:val="Tabletext"/>
              <w:jc w:val="center"/>
              <w:rPr>
                <w:sz w:val="20"/>
              </w:rPr>
            </w:pPr>
            <w:r w:rsidRPr="00984487">
              <w:rPr>
                <w:sz w:val="20"/>
              </w:rPr>
              <w:t>0,012</w:t>
            </w:r>
          </w:p>
        </w:tc>
        <w:tc>
          <w:tcPr>
            <w:tcW w:w="2268" w:type="dxa"/>
          </w:tcPr>
          <w:p w:rsidR="007C0925" w:rsidRPr="00984487" w:rsidRDefault="007C0925" w:rsidP="00984487">
            <w:pPr>
              <w:pStyle w:val="Tabletext"/>
              <w:jc w:val="center"/>
              <w:rPr>
                <w:sz w:val="20"/>
              </w:rPr>
            </w:pPr>
            <w:r w:rsidRPr="00984487">
              <w:rPr>
                <w:sz w:val="20"/>
              </w:rPr>
              <w:t>–141,9 dB(W/300 kHz)</w:t>
            </w:r>
          </w:p>
        </w:tc>
      </w:tr>
      <w:tr w:rsidR="007C0925" w:rsidRPr="00590E3E" w:rsidTr="00F81BFE">
        <w:trPr>
          <w:cantSplit/>
          <w:tblHeader/>
          <w:jc w:val="center"/>
        </w:trPr>
        <w:tc>
          <w:tcPr>
            <w:tcW w:w="2127" w:type="dxa"/>
            <w:vMerge/>
            <w:tcBorders>
              <w:bottom w:val="nil"/>
            </w:tcBorders>
          </w:tcPr>
          <w:p w:rsidR="007C0925" w:rsidRPr="00984487" w:rsidRDefault="007C0925" w:rsidP="008D49C2">
            <w:pPr>
              <w:pStyle w:val="Tabletext"/>
              <w:jc w:val="left"/>
              <w:rPr>
                <w:sz w:val="20"/>
              </w:rPr>
            </w:pPr>
          </w:p>
        </w:tc>
        <w:tc>
          <w:tcPr>
            <w:tcW w:w="1559" w:type="dxa"/>
          </w:tcPr>
          <w:p w:rsidR="007C0925" w:rsidRPr="00984487" w:rsidRDefault="007C0925" w:rsidP="00984487">
            <w:pPr>
              <w:pStyle w:val="Tabletext"/>
              <w:jc w:val="center"/>
              <w:rPr>
                <w:sz w:val="20"/>
              </w:rPr>
            </w:pPr>
            <w:r w:rsidRPr="00984487">
              <w:rPr>
                <w:sz w:val="20"/>
              </w:rPr>
              <w:t>Perte de données</w:t>
            </w:r>
          </w:p>
        </w:tc>
        <w:tc>
          <w:tcPr>
            <w:tcW w:w="709" w:type="dxa"/>
          </w:tcPr>
          <w:p w:rsidR="007C0925" w:rsidRPr="00984487" w:rsidRDefault="007C0925" w:rsidP="00984487">
            <w:pPr>
              <w:pStyle w:val="Tabletext"/>
              <w:jc w:val="center"/>
              <w:rPr>
                <w:sz w:val="20"/>
              </w:rPr>
            </w:pPr>
            <w:r w:rsidRPr="00984487">
              <w:rPr>
                <w:sz w:val="20"/>
              </w:rPr>
              <w:t>0,5</w:t>
            </w:r>
          </w:p>
        </w:tc>
        <w:tc>
          <w:tcPr>
            <w:tcW w:w="2126" w:type="dxa"/>
          </w:tcPr>
          <w:p w:rsidR="007C0925" w:rsidRPr="00984487" w:rsidRDefault="007C0925" w:rsidP="00984487">
            <w:pPr>
              <w:pStyle w:val="Tabletext"/>
              <w:jc w:val="center"/>
              <w:rPr>
                <w:sz w:val="20"/>
              </w:rPr>
            </w:pPr>
            <w:r w:rsidRPr="00984487">
              <w:rPr>
                <w:sz w:val="20"/>
              </w:rPr>
              <w:t>–150,2 dB(W/300 kHz)</w:t>
            </w:r>
          </w:p>
        </w:tc>
        <w:tc>
          <w:tcPr>
            <w:tcW w:w="850" w:type="dxa"/>
          </w:tcPr>
          <w:p w:rsidR="007C0925" w:rsidRPr="00984487" w:rsidRDefault="007C0925" w:rsidP="00984487">
            <w:pPr>
              <w:pStyle w:val="Tabletext"/>
              <w:jc w:val="center"/>
              <w:rPr>
                <w:sz w:val="20"/>
              </w:rPr>
            </w:pPr>
            <w:r w:rsidRPr="00984487">
              <w:rPr>
                <w:sz w:val="20"/>
              </w:rPr>
              <w:t>0,75</w:t>
            </w:r>
          </w:p>
        </w:tc>
        <w:tc>
          <w:tcPr>
            <w:tcW w:w="2268" w:type="dxa"/>
          </w:tcPr>
          <w:p w:rsidR="007C0925" w:rsidRPr="00984487" w:rsidRDefault="007C0925" w:rsidP="00984487">
            <w:pPr>
              <w:pStyle w:val="Tabletext"/>
              <w:jc w:val="center"/>
              <w:rPr>
                <w:sz w:val="20"/>
              </w:rPr>
            </w:pPr>
            <w:r w:rsidRPr="00984487">
              <w:rPr>
                <w:sz w:val="20"/>
              </w:rPr>
              <w:t>–150,0 dB(W/300 kHz)</w:t>
            </w:r>
          </w:p>
        </w:tc>
      </w:tr>
      <w:tr w:rsidR="007C0925" w:rsidRPr="00590E3E" w:rsidTr="00F81BFE">
        <w:trPr>
          <w:cantSplit/>
          <w:tblHeader/>
          <w:jc w:val="center"/>
        </w:trPr>
        <w:tc>
          <w:tcPr>
            <w:tcW w:w="2127" w:type="dxa"/>
            <w:vMerge w:val="restart"/>
          </w:tcPr>
          <w:p w:rsidR="007C0925" w:rsidRPr="00984487" w:rsidRDefault="007C0925" w:rsidP="008D49C2">
            <w:pPr>
              <w:pStyle w:val="Tabletext"/>
              <w:jc w:val="left"/>
              <w:rPr>
                <w:sz w:val="20"/>
              </w:rPr>
            </w:pPr>
            <w:r w:rsidRPr="00984487">
              <w:rPr>
                <w:sz w:val="20"/>
              </w:rPr>
              <w:t>NAVAID à antenne équidirective</w:t>
            </w:r>
            <w:r w:rsidR="00984487">
              <w:rPr>
                <w:sz w:val="20"/>
              </w:rPr>
              <w:t xml:space="preserve"> </w:t>
            </w:r>
            <w:r w:rsidRPr="00984487">
              <w:rPr>
                <w:sz w:val="20"/>
              </w:rPr>
              <w:t>403 MHz</w:t>
            </w:r>
          </w:p>
        </w:tc>
        <w:tc>
          <w:tcPr>
            <w:tcW w:w="1559" w:type="dxa"/>
          </w:tcPr>
          <w:p w:rsidR="007C0925" w:rsidRPr="00984487" w:rsidRDefault="007C0925" w:rsidP="00984487">
            <w:pPr>
              <w:pStyle w:val="Tabletext"/>
              <w:jc w:val="center"/>
              <w:rPr>
                <w:sz w:val="20"/>
              </w:rPr>
            </w:pPr>
            <w:r w:rsidRPr="00984487">
              <w:rPr>
                <w:sz w:val="20"/>
              </w:rPr>
              <w:t>Perte de verrouillage</w:t>
            </w:r>
          </w:p>
        </w:tc>
        <w:tc>
          <w:tcPr>
            <w:tcW w:w="709" w:type="dxa"/>
          </w:tcPr>
          <w:p w:rsidR="007C0925" w:rsidRPr="00984487" w:rsidRDefault="007C0925" w:rsidP="00984487">
            <w:pPr>
              <w:pStyle w:val="Tabletext"/>
              <w:jc w:val="center"/>
              <w:rPr>
                <w:sz w:val="20"/>
              </w:rPr>
            </w:pPr>
            <w:r w:rsidRPr="00984487">
              <w:rPr>
                <w:sz w:val="20"/>
              </w:rPr>
              <w:t>0,008</w:t>
            </w:r>
          </w:p>
        </w:tc>
        <w:tc>
          <w:tcPr>
            <w:tcW w:w="2126" w:type="dxa"/>
          </w:tcPr>
          <w:p w:rsidR="007C0925" w:rsidRPr="00984487" w:rsidRDefault="007C0925" w:rsidP="00984487">
            <w:pPr>
              <w:pStyle w:val="Tabletext"/>
              <w:jc w:val="center"/>
              <w:rPr>
                <w:b/>
                <w:bCs/>
                <w:sz w:val="20"/>
              </w:rPr>
            </w:pPr>
            <w:r w:rsidRPr="00984487">
              <w:rPr>
                <w:sz w:val="20"/>
              </w:rPr>
              <w:t>Sans objet</w:t>
            </w:r>
            <w:r w:rsidRPr="00984487">
              <w:rPr>
                <w:sz w:val="20"/>
                <w:vertAlign w:val="superscript"/>
              </w:rPr>
              <w:t xml:space="preserve"> (1)</w:t>
            </w:r>
          </w:p>
        </w:tc>
        <w:tc>
          <w:tcPr>
            <w:tcW w:w="850" w:type="dxa"/>
          </w:tcPr>
          <w:p w:rsidR="007C0925" w:rsidRPr="00984487" w:rsidRDefault="007C0925" w:rsidP="00984487">
            <w:pPr>
              <w:pStyle w:val="Tabletext"/>
              <w:jc w:val="center"/>
              <w:rPr>
                <w:sz w:val="20"/>
              </w:rPr>
            </w:pPr>
            <w:r w:rsidRPr="00984487">
              <w:rPr>
                <w:sz w:val="20"/>
              </w:rPr>
              <w:t>0,012</w:t>
            </w:r>
          </w:p>
        </w:tc>
        <w:tc>
          <w:tcPr>
            <w:tcW w:w="2268" w:type="dxa"/>
          </w:tcPr>
          <w:p w:rsidR="007C0925" w:rsidRPr="00984487" w:rsidRDefault="007C0925" w:rsidP="00984487">
            <w:pPr>
              <w:pStyle w:val="Tabletext"/>
              <w:jc w:val="center"/>
              <w:rPr>
                <w:b/>
                <w:bCs/>
                <w:sz w:val="20"/>
              </w:rPr>
            </w:pPr>
            <w:r w:rsidRPr="00984487">
              <w:rPr>
                <w:sz w:val="20"/>
              </w:rPr>
              <w:t>Sans objet</w:t>
            </w:r>
            <w:r w:rsidRPr="00984487">
              <w:rPr>
                <w:sz w:val="20"/>
                <w:vertAlign w:val="superscript"/>
              </w:rPr>
              <w:t xml:space="preserve"> (1)</w:t>
            </w:r>
          </w:p>
        </w:tc>
      </w:tr>
      <w:tr w:rsidR="007C0925" w:rsidRPr="00590E3E" w:rsidTr="00F81BFE">
        <w:trPr>
          <w:cantSplit/>
          <w:tblHeader/>
          <w:jc w:val="center"/>
        </w:trPr>
        <w:tc>
          <w:tcPr>
            <w:tcW w:w="2127" w:type="dxa"/>
            <w:vMerge/>
            <w:tcBorders>
              <w:bottom w:val="nil"/>
            </w:tcBorders>
          </w:tcPr>
          <w:p w:rsidR="007C0925" w:rsidRPr="00984487" w:rsidRDefault="007C0925" w:rsidP="008D49C2">
            <w:pPr>
              <w:pStyle w:val="Tabletext"/>
              <w:jc w:val="left"/>
              <w:rPr>
                <w:sz w:val="20"/>
              </w:rPr>
            </w:pPr>
          </w:p>
        </w:tc>
        <w:tc>
          <w:tcPr>
            <w:tcW w:w="1559" w:type="dxa"/>
          </w:tcPr>
          <w:p w:rsidR="007C0925" w:rsidRPr="00984487" w:rsidRDefault="007C0925" w:rsidP="00984487">
            <w:pPr>
              <w:pStyle w:val="Tabletext"/>
              <w:jc w:val="center"/>
              <w:rPr>
                <w:sz w:val="20"/>
              </w:rPr>
            </w:pPr>
            <w:r w:rsidRPr="00984487">
              <w:rPr>
                <w:sz w:val="20"/>
              </w:rPr>
              <w:t>Perte de données</w:t>
            </w:r>
          </w:p>
        </w:tc>
        <w:tc>
          <w:tcPr>
            <w:tcW w:w="709" w:type="dxa"/>
          </w:tcPr>
          <w:p w:rsidR="007C0925" w:rsidRPr="00984487" w:rsidRDefault="007C0925" w:rsidP="00984487">
            <w:pPr>
              <w:pStyle w:val="Tabletext"/>
              <w:jc w:val="center"/>
              <w:rPr>
                <w:sz w:val="20"/>
              </w:rPr>
            </w:pPr>
            <w:r w:rsidRPr="00984487">
              <w:rPr>
                <w:sz w:val="20"/>
              </w:rPr>
              <w:t>0,5</w:t>
            </w:r>
          </w:p>
        </w:tc>
        <w:tc>
          <w:tcPr>
            <w:tcW w:w="2126" w:type="dxa"/>
          </w:tcPr>
          <w:p w:rsidR="007C0925" w:rsidRPr="00984487" w:rsidRDefault="007C0925" w:rsidP="00984487">
            <w:pPr>
              <w:pStyle w:val="Tabletext"/>
              <w:jc w:val="center"/>
              <w:rPr>
                <w:sz w:val="20"/>
              </w:rPr>
            </w:pPr>
            <w:r w:rsidRPr="00984487">
              <w:rPr>
                <w:sz w:val="20"/>
              </w:rPr>
              <w:t>–156,7 dB(W/300 kHz)</w:t>
            </w:r>
          </w:p>
        </w:tc>
        <w:tc>
          <w:tcPr>
            <w:tcW w:w="850" w:type="dxa"/>
          </w:tcPr>
          <w:p w:rsidR="007C0925" w:rsidRPr="00984487" w:rsidRDefault="007C0925" w:rsidP="00984487">
            <w:pPr>
              <w:pStyle w:val="Tabletext"/>
              <w:jc w:val="center"/>
              <w:rPr>
                <w:sz w:val="20"/>
              </w:rPr>
            </w:pPr>
            <w:r w:rsidRPr="00984487">
              <w:rPr>
                <w:sz w:val="20"/>
              </w:rPr>
              <w:t>0,75</w:t>
            </w:r>
          </w:p>
        </w:tc>
        <w:tc>
          <w:tcPr>
            <w:tcW w:w="2268" w:type="dxa"/>
          </w:tcPr>
          <w:p w:rsidR="007C0925" w:rsidRPr="00984487" w:rsidRDefault="007C0925" w:rsidP="00984487">
            <w:pPr>
              <w:pStyle w:val="Tabletext"/>
              <w:jc w:val="center"/>
              <w:rPr>
                <w:sz w:val="20"/>
              </w:rPr>
            </w:pPr>
            <w:r w:rsidRPr="00984487">
              <w:rPr>
                <w:sz w:val="20"/>
              </w:rPr>
              <w:t>–155,8 dB(W/300 kHz)</w:t>
            </w:r>
          </w:p>
        </w:tc>
      </w:tr>
      <w:tr w:rsidR="007C0925" w:rsidRPr="00590E3E" w:rsidTr="00F81BFE">
        <w:trPr>
          <w:cantSplit/>
          <w:tblHeader/>
          <w:jc w:val="center"/>
        </w:trPr>
        <w:tc>
          <w:tcPr>
            <w:tcW w:w="2127" w:type="dxa"/>
            <w:vMerge w:val="restart"/>
          </w:tcPr>
          <w:p w:rsidR="007C0925" w:rsidRPr="00984487" w:rsidRDefault="007C0925" w:rsidP="008D49C2">
            <w:pPr>
              <w:pStyle w:val="Tabletext"/>
              <w:jc w:val="left"/>
              <w:rPr>
                <w:sz w:val="20"/>
              </w:rPr>
            </w:pPr>
            <w:r w:rsidRPr="00984487">
              <w:rPr>
                <w:sz w:val="20"/>
              </w:rPr>
              <w:t>Catasonde 403 MHz</w:t>
            </w:r>
            <w:r w:rsidRPr="00984487">
              <w:rPr>
                <w:sz w:val="20"/>
                <w:vertAlign w:val="superscript"/>
              </w:rPr>
              <w:t>(1)</w:t>
            </w:r>
          </w:p>
        </w:tc>
        <w:tc>
          <w:tcPr>
            <w:tcW w:w="1559" w:type="dxa"/>
          </w:tcPr>
          <w:p w:rsidR="007C0925" w:rsidRPr="00984487" w:rsidRDefault="007C0925" w:rsidP="00984487">
            <w:pPr>
              <w:pStyle w:val="Tabletext"/>
              <w:jc w:val="center"/>
              <w:rPr>
                <w:sz w:val="20"/>
              </w:rPr>
            </w:pPr>
            <w:r w:rsidRPr="00984487">
              <w:rPr>
                <w:sz w:val="20"/>
              </w:rPr>
              <w:t>Perte de verrouillage</w:t>
            </w:r>
          </w:p>
        </w:tc>
        <w:tc>
          <w:tcPr>
            <w:tcW w:w="709" w:type="dxa"/>
          </w:tcPr>
          <w:p w:rsidR="007C0925" w:rsidRPr="00984487" w:rsidRDefault="007C0925" w:rsidP="00984487">
            <w:pPr>
              <w:pStyle w:val="Tabletext"/>
              <w:jc w:val="center"/>
              <w:rPr>
                <w:sz w:val="20"/>
              </w:rPr>
            </w:pPr>
            <w:r w:rsidRPr="00984487">
              <w:rPr>
                <w:sz w:val="20"/>
              </w:rPr>
              <w:t>0,008</w:t>
            </w:r>
          </w:p>
        </w:tc>
        <w:tc>
          <w:tcPr>
            <w:tcW w:w="2126" w:type="dxa"/>
          </w:tcPr>
          <w:p w:rsidR="007C0925" w:rsidRPr="00984487" w:rsidRDefault="007C0925" w:rsidP="00984487">
            <w:pPr>
              <w:pStyle w:val="Tabletext"/>
              <w:jc w:val="center"/>
              <w:rPr>
                <w:b/>
                <w:bCs/>
                <w:sz w:val="20"/>
              </w:rPr>
            </w:pPr>
            <w:r w:rsidRPr="00984487">
              <w:rPr>
                <w:sz w:val="20"/>
              </w:rPr>
              <w:t>Sans objet</w:t>
            </w:r>
            <w:r w:rsidRPr="00984487">
              <w:rPr>
                <w:sz w:val="20"/>
                <w:vertAlign w:val="superscript"/>
              </w:rPr>
              <w:t>(1)</w:t>
            </w:r>
          </w:p>
        </w:tc>
        <w:tc>
          <w:tcPr>
            <w:tcW w:w="850" w:type="dxa"/>
          </w:tcPr>
          <w:p w:rsidR="007C0925" w:rsidRPr="00984487" w:rsidRDefault="007C0925" w:rsidP="00984487">
            <w:pPr>
              <w:pStyle w:val="Tabletext"/>
              <w:jc w:val="center"/>
              <w:rPr>
                <w:sz w:val="20"/>
              </w:rPr>
            </w:pPr>
            <w:r w:rsidRPr="00984487">
              <w:rPr>
                <w:sz w:val="20"/>
              </w:rPr>
              <w:t>0,012</w:t>
            </w:r>
          </w:p>
        </w:tc>
        <w:tc>
          <w:tcPr>
            <w:tcW w:w="2268" w:type="dxa"/>
          </w:tcPr>
          <w:p w:rsidR="007C0925" w:rsidRPr="00984487" w:rsidRDefault="007C0925" w:rsidP="00984487">
            <w:pPr>
              <w:pStyle w:val="Tabletext"/>
              <w:jc w:val="center"/>
              <w:rPr>
                <w:b/>
                <w:bCs/>
                <w:sz w:val="20"/>
              </w:rPr>
            </w:pPr>
            <w:r w:rsidRPr="00984487">
              <w:rPr>
                <w:sz w:val="20"/>
              </w:rPr>
              <w:t>Sans objet</w:t>
            </w:r>
            <w:r w:rsidRPr="00984487">
              <w:rPr>
                <w:sz w:val="20"/>
                <w:vertAlign w:val="superscript"/>
              </w:rPr>
              <w:t xml:space="preserve"> (1)</w:t>
            </w:r>
          </w:p>
        </w:tc>
      </w:tr>
      <w:tr w:rsidR="007C0925" w:rsidRPr="00590E3E" w:rsidTr="00F81BFE">
        <w:trPr>
          <w:cantSplit/>
          <w:tblHeader/>
          <w:jc w:val="center"/>
        </w:trPr>
        <w:tc>
          <w:tcPr>
            <w:tcW w:w="2127" w:type="dxa"/>
            <w:vMerge/>
            <w:tcBorders>
              <w:bottom w:val="nil"/>
            </w:tcBorders>
          </w:tcPr>
          <w:p w:rsidR="007C0925" w:rsidRPr="00984487" w:rsidRDefault="007C0925" w:rsidP="008D49C2">
            <w:pPr>
              <w:pStyle w:val="Tabletext"/>
              <w:jc w:val="left"/>
              <w:rPr>
                <w:sz w:val="20"/>
              </w:rPr>
            </w:pPr>
          </w:p>
        </w:tc>
        <w:tc>
          <w:tcPr>
            <w:tcW w:w="1559" w:type="dxa"/>
          </w:tcPr>
          <w:p w:rsidR="007C0925" w:rsidRPr="00984487" w:rsidRDefault="007C0925" w:rsidP="00984487">
            <w:pPr>
              <w:pStyle w:val="Tabletext"/>
              <w:jc w:val="center"/>
              <w:rPr>
                <w:sz w:val="20"/>
              </w:rPr>
            </w:pPr>
            <w:r w:rsidRPr="00984487">
              <w:rPr>
                <w:sz w:val="20"/>
              </w:rPr>
              <w:t>Perte de données</w:t>
            </w:r>
          </w:p>
        </w:tc>
        <w:tc>
          <w:tcPr>
            <w:tcW w:w="709" w:type="dxa"/>
          </w:tcPr>
          <w:p w:rsidR="007C0925" w:rsidRPr="00984487" w:rsidRDefault="007C0925" w:rsidP="00984487">
            <w:pPr>
              <w:pStyle w:val="Tabletext"/>
              <w:jc w:val="center"/>
              <w:rPr>
                <w:sz w:val="20"/>
              </w:rPr>
            </w:pPr>
            <w:r w:rsidRPr="00984487">
              <w:rPr>
                <w:sz w:val="20"/>
              </w:rPr>
              <w:t>0,012</w:t>
            </w:r>
          </w:p>
        </w:tc>
        <w:tc>
          <w:tcPr>
            <w:tcW w:w="2126" w:type="dxa"/>
          </w:tcPr>
          <w:p w:rsidR="007C0925" w:rsidRPr="00984487" w:rsidRDefault="007C0925" w:rsidP="00984487">
            <w:pPr>
              <w:pStyle w:val="Tabletext"/>
              <w:jc w:val="center"/>
              <w:rPr>
                <w:sz w:val="20"/>
              </w:rPr>
            </w:pPr>
            <w:r w:rsidRPr="00984487">
              <w:rPr>
                <w:sz w:val="20"/>
              </w:rPr>
              <w:t>–162,1 dB(W/20 kHz)</w:t>
            </w:r>
          </w:p>
        </w:tc>
        <w:tc>
          <w:tcPr>
            <w:tcW w:w="850" w:type="dxa"/>
          </w:tcPr>
          <w:p w:rsidR="007C0925" w:rsidRPr="00984487" w:rsidRDefault="007C0925" w:rsidP="00984487">
            <w:pPr>
              <w:pStyle w:val="Tabletext"/>
              <w:jc w:val="center"/>
              <w:rPr>
                <w:sz w:val="20"/>
              </w:rPr>
            </w:pPr>
            <w:r w:rsidRPr="00984487">
              <w:rPr>
                <w:sz w:val="20"/>
              </w:rPr>
              <w:t>0,018</w:t>
            </w:r>
          </w:p>
        </w:tc>
        <w:tc>
          <w:tcPr>
            <w:tcW w:w="2268" w:type="dxa"/>
          </w:tcPr>
          <w:p w:rsidR="007C0925" w:rsidRPr="00984487" w:rsidRDefault="007C0925" w:rsidP="00984487">
            <w:pPr>
              <w:pStyle w:val="Tabletext"/>
              <w:jc w:val="center"/>
              <w:rPr>
                <w:sz w:val="20"/>
              </w:rPr>
            </w:pPr>
            <w:r w:rsidRPr="00984487">
              <w:rPr>
                <w:sz w:val="20"/>
              </w:rPr>
              <w:t>–161,9 dB(W/20 kHz)</w:t>
            </w:r>
          </w:p>
        </w:tc>
      </w:tr>
      <w:tr w:rsidR="007C0925" w:rsidRPr="00590E3E" w:rsidTr="00F81BFE">
        <w:trPr>
          <w:cantSplit/>
          <w:tblHeader/>
          <w:jc w:val="center"/>
        </w:trPr>
        <w:tc>
          <w:tcPr>
            <w:tcW w:w="2127" w:type="dxa"/>
            <w:vMerge w:val="restart"/>
          </w:tcPr>
          <w:p w:rsidR="007C0925" w:rsidRPr="00984487" w:rsidRDefault="007C0925" w:rsidP="008D49C2">
            <w:pPr>
              <w:pStyle w:val="Tabletext"/>
              <w:jc w:val="left"/>
              <w:rPr>
                <w:sz w:val="20"/>
              </w:rPr>
            </w:pPr>
            <w:r w:rsidRPr="00984487">
              <w:rPr>
                <w:sz w:val="20"/>
              </w:rPr>
              <w:t>Fusée-sonde 403 MHz</w:t>
            </w:r>
          </w:p>
        </w:tc>
        <w:tc>
          <w:tcPr>
            <w:tcW w:w="1559" w:type="dxa"/>
            <w:tcBorders>
              <w:bottom w:val="nil"/>
            </w:tcBorders>
          </w:tcPr>
          <w:p w:rsidR="007C0925" w:rsidRPr="00984487" w:rsidRDefault="007C0925" w:rsidP="00984487">
            <w:pPr>
              <w:pStyle w:val="Tabletext"/>
              <w:jc w:val="center"/>
              <w:rPr>
                <w:sz w:val="20"/>
              </w:rPr>
            </w:pPr>
            <w:r w:rsidRPr="00984487">
              <w:rPr>
                <w:sz w:val="20"/>
              </w:rPr>
              <w:t>Perte de verrouillage</w:t>
            </w:r>
          </w:p>
        </w:tc>
        <w:tc>
          <w:tcPr>
            <w:tcW w:w="709" w:type="dxa"/>
            <w:tcBorders>
              <w:bottom w:val="nil"/>
            </w:tcBorders>
          </w:tcPr>
          <w:p w:rsidR="007C0925" w:rsidRPr="00984487" w:rsidRDefault="007C0925" w:rsidP="00984487">
            <w:pPr>
              <w:pStyle w:val="Tabletext"/>
              <w:jc w:val="center"/>
              <w:rPr>
                <w:sz w:val="20"/>
              </w:rPr>
            </w:pPr>
            <w:r w:rsidRPr="00984487">
              <w:rPr>
                <w:sz w:val="20"/>
              </w:rPr>
              <w:t>0,008</w:t>
            </w:r>
          </w:p>
        </w:tc>
        <w:tc>
          <w:tcPr>
            <w:tcW w:w="2126" w:type="dxa"/>
            <w:tcBorders>
              <w:bottom w:val="nil"/>
            </w:tcBorders>
          </w:tcPr>
          <w:p w:rsidR="007C0925" w:rsidRPr="00984487" w:rsidRDefault="007C0925" w:rsidP="00984487">
            <w:pPr>
              <w:pStyle w:val="Tabletext"/>
              <w:jc w:val="center"/>
              <w:rPr>
                <w:sz w:val="20"/>
              </w:rPr>
            </w:pPr>
            <w:r w:rsidRPr="00984487">
              <w:rPr>
                <w:sz w:val="20"/>
              </w:rPr>
              <w:t>–116,9 dB(W/3,0 MHz)</w:t>
            </w:r>
          </w:p>
        </w:tc>
        <w:tc>
          <w:tcPr>
            <w:tcW w:w="850" w:type="dxa"/>
            <w:tcBorders>
              <w:bottom w:val="nil"/>
            </w:tcBorders>
          </w:tcPr>
          <w:p w:rsidR="007C0925" w:rsidRPr="00984487" w:rsidRDefault="007C0925" w:rsidP="00984487">
            <w:pPr>
              <w:pStyle w:val="Tabletext"/>
              <w:jc w:val="center"/>
              <w:rPr>
                <w:sz w:val="20"/>
              </w:rPr>
            </w:pPr>
            <w:r w:rsidRPr="00984487">
              <w:rPr>
                <w:sz w:val="20"/>
              </w:rPr>
              <w:t>0,012</w:t>
            </w:r>
          </w:p>
        </w:tc>
        <w:tc>
          <w:tcPr>
            <w:tcW w:w="2268" w:type="dxa"/>
            <w:tcBorders>
              <w:bottom w:val="nil"/>
            </w:tcBorders>
          </w:tcPr>
          <w:p w:rsidR="007C0925" w:rsidRPr="00984487" w:rsidRDefault="007C0925" w:rsidP="00984487">
            <w:pPr>
              <w:pStyle w:val="Tabletext"/>
              <w:jc w:val="center"/>
              <w:rPr>
                <w:sz w:val="20"/>
              </w:rPr>
            </w:pPr>
            <w:r w:rsidRPr="00984487">
              <w:rPr>
                <w:sz w:val="20"/>
              </w:rPr>
              <w:t>–116,9 dB(W/3,0 MHz)</w:t>
            </w:r>
          </w:p>
        </w:tc>
      </w:tr>
      <w:tr w:rsidR="007C0925" w:rsidRPr="00590E3E" w:rsidTr="00F81BFE">
        <w:trPr>
          <w:cantSplit/>
          <w:tblHeader/>
          <w:jc w:val="center"/>
        </w:trPr>
        <w:tc>
          <w:tcPr>
            <w:tcW w:w="2127" w:type="dxa"/>
            <w:vMerge/>
            <w:tcBorders>
              <w:bottom w:val="single" w:sz="4" w:space="0" w:color="auto"/>
            </w:tcBorders>
          </w:tcPr>
          <w:p w:rsidR="007C0925" w:rsidRPr="00984487" w:rsidRDefault="007C0925" w:rsidP="00984487">
            <w:pPr>
              <w:pStyle w:val="Tabletext"/>
              <w:jc w:val="left"/>
              <w:rPr>
                <w:sz w:val="20"/>
              </w:rPr>
            </w:pPr>
          </w:p>
        </w:tc>
        <w:tc>
          <w:tcPr>
            <w:tcW w:w="1559" w:type="dxa"/>
            <w:tcBorders>
              <w:bottom w:val="single" w:sz="4" w:space="0" w:color="auto"/>
            </w:tcBorders>
          </w:tcPr>
          <w:p w:rsidR="007C0925" w:rsidRPr="00984487" w:rsidRDefault="007C0925" w:rsidP="00984487">
            <w:pPr>
              <w:pStyle w:val="Tabletext"/>
              <w:jc w:val="center"/>
              <w:rPr>
                <w:sz w:val="20"/>
              </w:rPr>
            </w:pPr>
            <w:r w:rsidRPr="00984487">
              <w:rPr>
                <w:sz w:val="20"/>
              </w:rPr>
              <w:t>Perte de données</w:t>
            </w:r>
          </w:p>
        </w:tc>
        <w:tc>
          <w:tcPr>
            <w:tcW w:w="709" w:type="dxa"/>
            <w:tcBorders>
              <w:bottom w:val="single" w:sz="4" w:space="0" w:color="auto"/>
            </w:tcBorders>
          </w:tcPr>
          <w:p w:rsidR="007C0925" w:rsidRPr="00984487" w:rsidRDefault="007C0925" w:rsidP="00984487">
            <w:pPr>
              <w:pStyle w:val="Tabletext"/>
              <w:jc w:val="center"/>
              <w:rPr>
                <w:sz w:val="20"/>
              </w:rPr>
            </w:pPr>
            <w:r w:rsidRPr="00984487">
              <w:rPr>
                <w:sz w:val="20"/>
              </w:rPr>
              <w:t>0,012</w:t>
            </w:r>
          </w:p>
        </w:tc>
        <w:tc>
          <w:tcPr>
            <w:tcW w:w="2126" w:type="dxa"/>
            <w:tcBorders>
              <w:bottom w:val="single" w:sz="4" w:space="0" w:color="auto"/>
            </w:tcBorders>
          </w:tcPr>
          <w:p w:rsidR="007C0925" w:rsidRPr="00984487" w:rsidRDefault="007C0925" w:rsidP="00984487">
            <w:pPr>
              <w:pStyle w:val="Tabletext"/>
              <w:jc w:val="center"/>
              <w:rPr>
                <w:sz w:val="20"/>
              </w:rPr>
            </w:pPr>
            <w:r w:rsidRPr="00984487">
              <w:rPr>
                <w:sz w:val="20"/>
              </w:rPr>
              <w:t>–122,2 dB(W/3,0 MHz)</w:t>
            </w:r>
          </w:p>
        </w:tc>
        <w:tc>
          <w:tcPr>
            <w:tcW w:w="850" w:type="dxa"/>
            <w:tcBorders>
              <w:bottom w:val="single" w:sz="4" w:space="0" w:color="auto"/>
            </w:tcBorders>
          </w:tcPr>
          <w:p w:rsidR="007C0925" w:rsidRPr="00984487" w:rsidRDefault="007C0925" w:rsidP="00984487">
            <w:pPr>
              <w:pStyle w:val="Tabletext"/>
              <w:jc w:val="center"/>
              <w:rPr>
                <w:sz w:val="20"/>
              </w:rPr>
            </w:pPr>
            <w:r w:rsidRPr="00984487">
              <w:rPr>
                <w:sz w:val="20"/>
              </w:rPr>
              <w:t>0,018</w:t>
            </w:r>
          </w:p>
        </w:tc>
        <w:tc>
          <w:tcPr>
            <w:tcW w:w="2268" w:type="dxa"/>
            <w:tcBorders>
              <w:bottom w:val="single" w:sz="4" w:space="0" w:color="auto"/>
            </w:tcBorders>
          </w:tcPr>
          <w:p w:rsidR="007C0925" w:rsidRPr="00984487" w:rsidRDefault="007C0925" w:rsidP="00984487">
            <w:pPr>
              <w:pStyle w:val="Tabletext"/>
              <w:jc w:val="center"/>
              <w:rPr>
                <w:sz w:val="20"/>
              </w:rPr>
            </w:pPr>
            <w:r w:rsidRPr="00984487">
              <w:rPr>
                <w:sz w:val="20"/>
              </w:rPr>
              <w:t>–122,2 dB(W/3,0 MHz)</w:t>
            </w:r>
          </w:p>
        </w:tc>
      </w:tr>
      <w:tr w:rsidR="007C0925" w:rsidRPr="002F559F" w:rsidTr="00984487">
        <w:trPr>
          <w:cantSplit/>
          <w:tblHeader/>
          <w:jc w:val="center"/>
        </w:trPr>
        <w:tc>
          <w:tcPr>
            <w:tcW w:w="9639" w:type="dxa"/>
            <w:gridSpan w:val="6"/>
            <w:tcBorders>
              <w:top w:val="single" w:sz="4" w:space="0" w:color="auto"/>
              <w:left w:val="nil"/>
              <w:bottom w:val="nil"/>
              <w:right w:val="nil"/>
            </w:tcBorders>
          </w:tcPr>
          <w:p w:rsidR="007C0925" w:rsidRPr="00590E3E" w:rsidRDefault="007C0925" w:rsidP="00D97426">
            <w:pPr>
              <w:pStyle w:val="Tabletext"/>
              <w:ind w:left="284" w:hanging="284"/>
              <w:rPr>
                <w:sz w:val="20"/>
              </w:rPr>
            </w:pPr>
            <w:r w:rsidRPr="00590E3E">
              <w:rPr>
                <w:sz w:val="20"/>
                <w:vertAlign w:val="superscript"/>
                <w:lang w:val="fr-CH"/>
              </w:rPr>
              <w:t>(1)</w:t>
            </w:r>
            <w:r w:rsidRPr="00590E3E">
              <w:rPr>
                <w:sz w:val="20"/>
                <w:lang w:val="fr-CH"/>
              </w:rPr>
              <w:tab/>
              <w:t>Les systèmes dotés d'antennes équidirectives ne risquent pas de perdre le verrouillage de l'antenne sur le signal en raison de brouillages ou d'un évanouissement du signal.</w:t>
            </w:r>
          </w:p>
        </w:tc>
      </w:tr>
    </w:tbl>
    <w:p w:rsidR="00F81BFE" w:rsidRDefault="00F81BFE" w:rsidP="00F81BFE">
      <w:pPr>
        <w:rPr>
          <w:lang w:val="fr-CH"/>
        </w:rPr>
      </w:pPr>
    </w:p>
    <w:p w:rsidR="00F81BFE" w:rsidRDefault="00F81BFE" w:rsidP="00F81BFE">
      <w:pPr>
        <w:rPr>
          <w:lang w:val="fr-CH"/>
        </w:rPr>
      </w:pPr>
    </w:p>
    <w:p w:rsidR="00F81BFE" w:rsidRDefault="00F81BFE" w:rsidP="00F81BFE">
      <w:pPr>
        <w:rPr>
          <w:lang w:val="fr-CH"/>
        </w:rPr>
      </w:pPr>
    </w:p>
    <w:p w:rsidR="00F81BFE" w:rsidRDefault="00F81BFE" w:rsidP="00F81BFE">
      <w:pPr>
        <w:rPr>
          <w:lang w:val="fr-CH"/>
        </w:rPr>
      </w:pPr>
    </w:p>
    <w:p w:rsidR="007C0925" w:rsidRDefault="007C0925" w:rsidP="00F81BFE">
      <w:pPr>
        <w:pStyle w:val="Heading2"/>
      </w:pPr>
      <w:r w:rsidRPr="00B848D0">
        <w:rPr>
          <w:lang w:val="fr-CH"/>
        </w:rPr>
        <w:lastRenderedPageBreak/>
        <w:t>2.2</w:t>
      </w:r>
      <w:r w:rsidRPr="00B848D0">
        <w:rPr>
          <w:lang w:val="fr-CH"/>
        </w:rPr>
        <w:tab/>
      </w:r>
      <w:r w:rsidRPr="00B848D0">
        <w:t xml:space="preserve">Calcul des critères de brouillage </w:t>
      </w:r>
      <w:r>
        <w:t>par</w:t>
      </w:r>
      <w:r w:rsidRPr="00B848D0">
        <w:t xml:space="preserve"> source unique</w:t>
      </w:r>
    </w:p>
    <w:p w:rsidR="007C0925" w:rsidRPr="00C57B0A" w:rsidRDefault="007C0925" w:rsidP="007C0925">
      <w:r w:rsidRPr="00C57B0A">
        <w:t xml:space="preserve">Selon </w:t>
      </w:r>
      <w:r>
        <w:t>l'Annexe 1</w:t>
      </w:r>
      <w:r w:rsidRPr="00C57B0A">
        <w:t xml:space="preserve">, les critères de brouillage </w:t>
      </w:r>
      <w:r>
        <w:t xml:space="preserve">dû à une </w:t>
      </w:r>
      <w:r w:rsidRPr="00C57B0A">
        <w:t xml:space="preserve">source unique sont normalement calculés pour </w:t>
      </w:r>
      <w:r>
        <w:t>chaque</w:t>
      </w:r>
      <w:r w:rsidRPr="00C57B0A">
        <w:t xml:space="preserve"> émetteur. Puisque les caractéristiques détaillées des systèmes susceptibles </w:t>
      </w:r>
      <w:r>
        <w:t>d'utiliser</w:t>
      </w:r>
      <w:r w:rsidRPr="00C57B0A">
        <w:t xml:space="preserve"> ces bandes </w:t>
      </w:r>
      <w:r>
        <w:t xml:space="preserve">en partage </w:t>
      </w:r>
      <w:r w:rsidRPr="00C57B0A">
        <w:t xml:space="preserve">ne sont pas connues, le niveau de brouillage </w:t>
      </w:r>
      <w:r>
        <w:t xml:space="preserve">dû à une </w:t>
      </w:r>
      <w:r w:rsidRPr="00C57B0A">
        <w:t xml:space="preserve">source unique sera calculé pour un système unique plutôt que pour un émetteur. Le </w:t>
      </w:r>
      <w:r>
        <w:t>processus</w:t>
      </w:r>
      <w:r w:rsidRPr="00C57B0A">
        <w:t xml:space="preserve"> formel de coordination permet de subdiviser les niveaux de brouillage relatifs à </w:t>
      </w:r>
      <w:r>
        <w:t>chaque</w:t>
      </w:r>
      <w:r w:rsidRPr="00C57B0A">
        <w:t xml:space="preserve"> émetteur. Afin de répartir le</w:t>
      </w:r>
      <w:r>
        <w:t>s</w:t>
      </w:r>
      <w:r w:rsidRPr="00C57B0A">
        <w:t xml:space="preserve"> brouillage</w:t>
      </w:r>
      <w:r>
        <w:t>s</w:t>
      </w:r>
      <w:r w:rsidRPr="00C57B0A">
        <w:t xml:space="preserve"> entre </w:t>
      </w:r>
      <w:r>
        <w:t xml:space="preserve">les </w:t>
      </w:r>
      <w:r w:rsidRPr="00C57B0A">
        <w:t xml:space="preserve">différents systèmes, il faut estimer le nombre de systèmes </w:t>
      </w:r>
      <w:r>
        <w:t>de T</w:t>
      </w:r>
      <w:r w:rsidRPr="00C57B0A">
        <w:t xml:space="preserve">erre, </w:t>
      </w:r>
      <w:r w:rsidRPr="00C57B0A">
        <w:rPr>
          <w:i/>
        </w:rPr>
        <w:t>nt</w:t>
      </w:r>
      <w:r>
        <w:rPr>
          <w:i/>
        </w:rPr>
        <w:t>,</w:t>
      </w:r>
      <w:r w:rsidRPr="00C57B0A">
        <w:t xml:space="preserve"> et le nombre de systèmes espace</w:t>
      </w:r>
      <w:r>
        <w:t xml:space="preserve"> vers </w:t>
      </w:r>
      <w:r w:rsidRPr="00C57B0A">
        <w:t xml:space="preserve">Terre, </w:t>
      </w:r>
      <w:r w:rsidRPr="00C57B0A">
        <w:rPr>
          <w:i/>
        </w:rPr>
        <w:t>ns</w:t>
      </w:r>
      <w:r w:rsidRPr="00C57B0A">
        <w:t> – </w:t>
      </w:r>
      <w:r w:rsidRPr="00C57B0A">
        <w:rPr>
          <w:i/>
        </w:rPr>
        <w:t>E</w:t>
      </w:r>
      <w:r w:rsidRPr="00C57B0A">
        <w:t>. Pour les deux bandes, on supposera la présence éventuelle de trois systèmes</w:t>
      </w:r>
      <w:r>
        <w:t xml:space="preserve"> de</w:t>
      </w:r>
      <w:r w:rsidRPr="00C57B0A">
        <w:t xml:space="preserve"> </w:t>
      </w:r>
      <w:r>
        <w:t>T</w:t>
      </w:r>
      <w:r w:rsidRPr="00C57B0A">
        <w:t>erre (</w:t>
      </w:r>
      <w:r w:rsidRPr="00C57B0A">
        <w:rPr>
          <w:i/>
        </w:rPr>
        <w:t>nt</w:t>
      </w:r>
      <w:r w:rsidRPr="00C57B0A">
        <w:t> </w:t>
      </w:r>
      <w:r>
        <w:t>=</w:t>
      </w:r>
      <w:r w:rsidRPr="00C57B0A">
        <w:t> 3), et par ai</w:t>
      </w:r>
      <w:r>
        <w:t xml:space="preserve">lleurs de trois systèmes espace vers </w:t>
      </w:r>
      <w:r w:rsidRPr="00C57B0A">
        <w:t>Terre (</w:t>
      </w:r>
      <w:r w:rsidRPr="00C57B0A">
        <w:rPr>
          <w:i/>
        </w:rPr>
        <w:t>ns</w:t>
      </w:r>
      <w:r w:rsidRPr="00C57B0A">
        <w:t> – </w:t>
      </w:r>
      <w:r w:rsidRPr="00C57B0A">
        <w:rPr>
          <w:i/>
        </w:rPr>
        <w:t>E</w:t>
      </w:r>
      <w:r w:rsidRPr="00C57B0A">
        <w:t> </w:t>
      </w:r>
      <w:r w:rsidRPr="008D5073">
        <w:rPr>
          <w:lang w:val="fr-CH"/>
        </w:rPr>
        <w:t>=</w:t>
      </w:r>
      <w:r w:rsidRPr="00C57B0A">
        <w:t xml:space="preserve"> 3). Le brouillage à long terme est subdivisé en fonction de la puissance, puisque les niveaux à long terme sont corrélés; </w:t>
      </w:r>
      <w:r>
        <w:t>le brouillage est calculé à l'aide de</w:t>
      </w:r>
      <w:r w:rsidRPr="00C57B0A">
        <w:t xml:space="preserve"> la relation (3) de </w:t>
      </w:r>
      <w:r>
        <w:t>l'Annexe 1</w:t>
      </w:r>
      <w:r w:rsidRPr="00C57B0A">
        <w:t>.</w:t>
      </w:r>
      <w:r>
        <w:t xml:space="preserve"> Etant donné qu'on peut admettre que les </w:t>
      </w:r>
      <w:r w:rsidRPr="00C57B0A">
        <w:t>niveaux de brouillage à court terme</w:t>
      </w:r>
      <w:r>
        <w:t xml:space="preserve"> sont sans corrélation</w:t>
      </w:r>
      <w:r w:rsidRPr="00C57B0A">
        <w:t>, l</w:t>
      </w:r>
      <w:r>
        <w:t>e</w:t>
      </w:r>
      <w:r w:rsidRPr="00C57B0A">
        <w:t xml:space="preserve">s niveaux de brouillage à court terme </w:t>
      </w:r>
      <w:r>
        <w:t xml:space="preserve">sont subdivisés </w:t>
      </w:r>
      <w:r>
        <w:rPr>
          <w:rFonts w:asciiTheme="majorBidi" w:hAnsiTheme="majorBidi" w:cstheme="majorBidi"/>
          <w:szCs w:val="24"/>
          <w:lang w:val="fr-CH"/>
        </w:rPr>
        <w:t>en fonction</w:t>
      </w:r>
      <w:r>
        <w:t xml:space="preserve"> du temps</w:t>
      </w:r>
      <w:r w:rsidRPr="00C57B0A">
        <w:t xml:space="preserve">. Le niveau de brouillage à long terme sera également présent pendant des pourcentages de temps importants et doit donc être déduit du niveau de brouillage à court terme. Cette répartition </w:t>
      </w:r>
      <w:r>
        <w:t xml:space="preserve">s'effectue au moyen des </w:t>
      </w:r>
      <w:r w:rsidRPr="00C57B0A">
        <w:t xml:space="preserve">relations (4a) et (4b) de </w:t>
      </w:r>
      <w:r>
        <w:t>l'Annexe 1</w:t>
      </w:r>
      <w:r w:rsidRPr="00C57B0A">
        <w:t xml:space="preserve">. Les critères de brouillage à court </w:t>
      </w:r>
      <w:r>
        <w:t xml:space="preserve">terme </w:t>
      </w:r>
      <w:r w:rsidRPr="00C57B0A">
        <w:t xml:space="preserve">et </w:t>
      </w:r>
      <w:r>
        <w:t xml:space="preserve">à </w:t>
      </w:r>
      <w:r w:rsidRPr="00C57B0A">
        <w:t xml:space="preserve">long terme </w:t>
      </w:r>
      <w:r>
        <w:t>pour une</w:t>
      </w:r>
      <w:r w:rsidRPr="00C57B0A">
        <w:t xml:space="preserve"> source unique (</w:t>
      </w:r>
      <w:r>
        <w:t xml:space="preserve">un seul </w:t>
      </w:r>
      <w:r w:rsidRPr="00C57B0A">
        <w:t xml:space="preserve">service) sont calculés conformément </w:t>
      </w:r>
      <w:r>
        <w:t>à l'Annexe 1</w:t>
      </w:r>
      <w:r w:rsidRPr="00C57B0A">
        <w:t xml:space="preserve"> et sont présentés </w:t>
      </w:r>
      <w:r>
        <w:t>dans les</w:t>
      </w:r>
      <w:r w:rsidRPr="00C57B0A">
        <w:t xml:space="preserve"> Tableaux </w:t>
      </w:r>
      <w:r>
        <w:t>5</w:t>
      </w:r>
      <w:r w:rsidRPr="00C57B0A">
        <w:t xml:space="preserve"> et </w:t>
      </w:r>
      <w:r>
        <w:t>6</w:t>
      </w:r>
      <w:r w:rsidRPr="00C57B0A">
        <w:t>.</w:t>
      </w:r>
    </w:p>
    <w:p w:rsidR="007C0925" w:rsidRPr="00C57B0A" w:rsidRDefault="007C0925" w:rsidP="007C0925">
      <w:pPr>
        <w:pStyle w:val="TableNo"/>
      </w:pPr>
      <w:r w:rsidRPr="00C57B0A">
        <w:t xml:space="preserve">TABLEAU  </w:t>
      </w:r>
      <w:r>
        <w:t>5</w:t>
      </w:r>
    </w:p>
    <w:p w:rsidR="007C0925" w:rsidRPr="005A2742" w:rsidRDefault="007C0925" w:rsidP="007C0925">
      <w:pPr>
        <w:pStyle w:val="Tabletitle"/>
        <w:rPr>
          <w:b w:val="0"/>
        </w:rPr>
      </w:pPr>
      <w:r w:rsidRPr="00701027">
        <w:t>Critères de brouillage à long terme dû à un</w:t>
      </w:r>
      <w:r>
        <w:t xml:space="preserve"> seul système</w:t>
      </w:r>
      <w:r w:rsidRPr="00701027">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4111"/>
        <w:gridCol w:w="2835"/>
        <w:gridCol w:w="2693"/>
      </w:tblGrid>
      <w:tr w:rsidR="007C0925" w:rsidRPr="00C57B0A" w:rsidTr="00F81BFE">
        <w:trPr>
          <w:jc w:val="center"/>
        </w:trPr>
        <w:tc>
          <w:tcPr>
            <w:tcW w:w="4111" w:type="dxa"/>
          </w:tcPr>
          <w:p w:rsidR="007C0925" w:rsidRPr="00C57B0A" w:rsidRDefault="007C0925" w:rsidP="00F55E51">
            <w:pPr>
              <w:pStyle w:val="Tablehead"/>
            </w:pPr>
            <w:r w:rsidRPr="00C57B0A">
              <w:t>Type de système</w:t>
            </w:r>
          </w:p>
        </w:tc>
        <w:tc>
          <w:tcPr>
            <w:tcW w:w="2835" w:type="dxa"/>
          </w:tcPr>
          <w:p w:rsidR="007C0925" w:rsidRPr="00C57B0A" w:rsidRDefault="007C0925" w:rsidP="00F81BFE">
            <w:pPr>
              <w:pStyle w:val="Tablehead"/>
              <w:rPr>
                <w:lang w:val="en-GB"/>
              </w:rPr>
            </w:pPr>
            <w:r>
              <w:rPr>
                <w:i/>
                <w:lang w:val="en-GB"/>
              </w:rPr>
              <w:t>i'</w:t>
            </w:r>
            <w:r w:rsidRPr="00C57B0A">
              <w:rPr>
                <w:i/>
                <w:lang w:val="en-GB"/>
              </w:rPr>
              <w:t>s</w:t>
            </w:r>
            <w:r w:rsidRPr="00C57B0A">
              <w:rPr>
                <w:lang w:val="en-GB"/>
              </w:rPr>
              <w:t>(20)</w:t>
            </w:r>
          </w:p>
        </w:tc>
        <w:tc>
          <w:tcPr>
            <w:tcW w:w="2693" w:type="dxa"/>
          </w:tcPr>
          <w:p w:rsidR="007C0925" w:rsidRPr="00C57B0A" w:rsidRDefault="007C0925" w:rsidP="00F81BFE">
            <w:pPr>
              <w:pStyle w:val="Tablehead"/>
              <w:rPr>
                <w:lang w:val="en-GB"/>
              </w:rPr>
            </w:pPr>
            <w:r>
              <w:rPr>
                <w:lang w:val="en-GB"/>
              </w:rPr>
              <w:t>i'</w:t>
            </w:r>
            <w:r w:rsidRPr="00C57B0A">
              <w:rPr>
                <w:i/>
                <w:lang w:val="en-GB"/>
              </w:rPr>
              <w:t>t</w:t>
            </w:r>
            <w:r w:rsidRPr="00C57B0A">
              <w:rPr>
                <w:lang w:val="en-GB"/>
              </w:rPr>
              <w:t>(20)</w:t>
            </w:r>
          </w:p>
        </w:tc>
      </w:tr>
      <w:tr w:rsidR="007C0925" w:rsidRPr="00C57B0A" w:rsidTr="00F81BFE">
        <w:trPr>
          <w:jc w:val="center"/>
        </w:trPr>
        <w:tc>
          <w:tcPr>
            <w:tcW w:w="4111" w:type="dxa"/>
          </w:tcPr>
          <w:p w:rsidR="007C0925" w:rsidRPr="00F81BFE" w:rsidRDefault="007C0925" w:rsidP="00F81BFE">
            <w:pPr>
              <w:pStyle w:val="Tabletext"/>
              <w:jc w:val="left"/>
            </w:pPr>
            <w:r w:rsidRPr="00F81BFE">
              <w:t>Sonde RDF</w:t>
            </w:r>
            <w:r w:rsidRPr="00F81BFE">
              <w:br/>
              <w:t>1 680 MHz</w:t>
            </w:r>
          </w:p>
        </w:tc>
        <w:tc>
          <w:tcPr>
            <w:tcW w:w="2835" w:type="dxa"/>
          </w:tcPr>
          <w:p w:rsidR="007C0925" w:rsidRPr="00F81BFE" w:rsidRDefault="007C0925" w:rsidP="00F81BFE">
            <w:pPr>
              <w:pStyle w:val="Tabletext"/>
              <w:jc w:val="center"/>
            </w:pPr>
            <w:r w:rsidRPr="00F81BFE">
              <w:t>–164,0 dB(W/1,3 MHz)</w:t>
            </w:r>
          </w:p>
        </w:tc>
        <w:tc>
          <w:tcPr>
            <w:tcW w:w="2693" w:type="dxa"/>
          </w:tcPr>
          <w:p w:rsidR="007C0925" w:rsidRPr="00F81BFE" w:rsidRDefault="007C0925" w:rsidP="00F81BFE">
            <w:pPr>
              <w:pStyle w:val="Tabletext"/>
              <w:jc w:val="center"/>
            </w:pPr>
            <w:r w:rsidRPr="00F81BFE">
              <w:t>–162,2 dB(W/1,3 MHz)</w:t>
            </w:r>
          </w:p>
        </w:tc>
      </w:tr>
      <w:tr w:rsidR="007C0925" w:rsidRPr="00C57B0A" w:rsidTr="00F81BFE">
        <w:trPr>
          <w:jc w:val="center"/>
        </w:trPr>
        <w:tc>
          <w:tcPr>
            <w:tcW w:w="4111" w:type="dxa"/>
          </w:tcPr>
          <w:p w:rsidR="007C0925" w:rsidRPr="00F81BFE" w:rsidRDefault="007C0925" w:rsidP="00F81BFE">
            <w:pPr>
              <w:pStyle w:val="Tabletext"/>
              <w:jc w:val="left"/>
            </w:pPr>
            <w:r w:rsidRPr="00F81BFE">
              <w:t>Radiosonde GPS (1687-1683 MHz)</w:t>
            </w:r>
          </w:p>
        </w:tc>
        <w:tc>
          <w:tcPr>
            <w:tcW w:w="2835" w:type="dxa"/>
          </w:tcPr>
          <w:p w:rsidR="007C0925" w:rsidRPr="00F81BFE" w:rsidRDefault="007C0925" w:rsidP="00F81BFE">
            <w:pPr>
              <w:pStyle w:val="Tabletext"/>
              <w:jc w:val="center"/>
            </w:pPr>
            <w:r w:rsidRPr="00F81BFE">
              <w:t>–161,4 dB(W/150 kHz)</w:t>
            </w:r>
          </w:p>
        </w:tc>
        <w:tc>
          <w:tcPr>
            <w:tcW w:w="2693" w:type="dxa"/>
          </w:tcPr>
          <w:p w:rsidR="007C0925" w:rsidRPr="00F81BFE" w:rsidRDefault="007C0925" w:rsidP="00F81BFE">
            <w:pPr>
              <w:pStyle w:val="Tabletext"/>
              <w:jc w:val="center"/>
            </w:pPr>
            <w:r w:rsidRPr="00F81BFE">
              <w:t>–159,6 dB (W/150 kHz)</w:t>
            </w:r>
          </w:p>
        </w:tc>
      </w:tr>
      <w:tr w:rsidR="007C0925" w:rsidRPr="00C57B0A" w:rsidTr="00F81BFE">
        <w:trPr>
          <w:jc w:val="center"/>
        </w:trPr>
        <w:tc>
          <w:tcPr>
            <w:tcW w:w="4111" w:type="dxa"/>
          </w:tcPr>
          <w:p w:rsidR="007C0925" w:rsidRPr="00F81BFE" w:rsidRDefault="007C0925" w:rsidP="00F81BFE">
            <w:pPr>
              <w:pStyle w:val="Tabletext"/>
              <w:jc w:val="left"/>
            </w:pPr>
            <w:r w:rsidRPr="00F81BFE">
              <w:t>NAVAID à antenne directive 403 MHz</w:t>
            </w:r>
          </w:p>
        </w:tc>
        <w:tc>
          <w:tcPr>
            <w:tcW w:w="2835" w:type="dxa"/>
          </w:tcPr>
          <w:p w:rsidR="007C0925" w:rsidRPr="00F81BFE" w:rsidRDefault="007C0925" w:rsidP="00F81BFE">
            <w:pPr>
              <w:pStyle w:val="Tabletext"/>
              <w:jc w:val="center"/>
            </w:pPr>
            <w:r w:rsidRPr="00F81BFE">
              <w:t>–164,9 dB(W/300 kHz)</w:t>
            </w:r>
          </w:p>
        </w:tc>
        <w:tc>
          <w:tcPr>
            <w:tcW w:w="2693" w:type="dxa"/>
          </w:tcPr>
          <w:p w:rsidR="007C0925" w:rsidRPr="00F81BFE" w:rsidRDefault="007C0925" w:rsidP="00F81BFE">
            <w:pPr>
              <w:pStyle w:val="Tabletext"/>
              <w:jc w:val="center"/>
            </w:pPr>
            <w:r w:rsidRPr="00F81BFE">
              <w:t>–163,1 dB(W/300 kHz)</w:t>
            </w:r>
          </w:p>
        </w:tc>
      </w:tr>
      <w:tr w:rsidR="007C0925" w:rsidRPr="00C57B0A" w:rsidTr="00F81BFE">
        <w:trPr>
          <w:jc w:val="center"/>
        </w:trPr>
        <w:tc>
          <w:tcPr>
            <w:tcW w:w="4111" w:type="dxa"/>
          </w:tcPr>
          <w:p w:rsidR="007C0925" w:rsidRPr="00F81BFE" w:rsidRDefault="007C0925" w:rsidP="00F81BFE">
            <w:pPr>
              <w:pStyle w:val="Tabletext"/>
              <w:jc w:val="left"/>
            </w:pPr>
            <w:r w:rsidRPr="00F81BFE">
              <w:t>NAVAID à antenne équidirective 403 MHz</w:t>
            </w:r>
          </w:p>
        </w:tc>
        <w:tc>
          <w:tcPr>
            <w:tcW w:w="2835" w:type="dxa"/>
          </w:tcPr>
          <w:p w:rsidR="007C0925" w:rsidRPr="00F81BFE" w:rsidRDefault="007C0925" w:rsidP="00F81BFE">
            <w:pPr>
              <w:pStyle w:val="Tabletext"/>
              <w:jc w:val="center"/>
            </w:pPr>
            <w:r w:rsidRPr="00F81BFE">
              <w:t>–164,9 dB(W/300 kHz)</w:t>
            </w:r>
          </w:p>
        </w:tc>
        <w:tc>
          <w:tcPr>
            <w:tcW w:w="2693" w:type="dxa"/>
          </w:tcPr>
          <w:p w:rsidR="007C0925" w:rsidRPr="00F81BFE" w:rsidRDefault="007C0925" w:rsidP="00F81BFE">
            <w:pPr>
              <w:pStyle w:val="Tabletext"/>
              <w:jc w:val="center"/>
            </w:pPr>
            <w:r w:rsidRPr="00F81BFE">
              <w:t>–163,1 dB(W/300 kHz)</w:t>
            </w:r>
          </w:p>
        </w:tc>
      </w:tr>
      <w:tr w:rsidR="007C0925" w:rsidRPr="00C57B0A" w:rsidTr="00F81BFE">
        <w:trPr>
          <w:jc w:val="center"/>
        </w:trPr>
        <w:tc>
          <w:tcPr>
            <w:tcW w:w="4111" w:type="dxa"/>
          </w:tcPr>
          <w:p w:rsidR="007C0925" w:rsidRPr="00F81BFE" w:rsidRDefault="007C0925" w:rsidP="00F81BFE">
            <w:pPr>
              <w:pStyle w:val="Tabletext"/>
              <w:jc w:val="left"/>
            </w:pPr>
            <w:r w:rsidRPr="00F81BFE">
              <w:t>Catasonde 403 MHz</w:t>
            </w:r>
          </w:p>
        </w:tc>
        <w:tc>
          <w:tcPr>
            <w:tcW w:w="2835" w:type="dxa"/>
          </w:tcPr>
          <w:p w:rsidR="007C0925" w:rsidRPr="00F81BFE" w:rsidRDefault="007C0925" w:rsidP="00F81BFE">
            <w:pPr>
              <w:pStyle w:val="Tabletext"/>
              <w:jc w:val="center"/>
            </w:pPr>
            <w:r w:rsidRPr="00F81BFE">
              <w:t>–177,7 dB(W/20 kHz)</w:t>
            </w:r>
          </w:p>
        </w:tc>
        <w:tc>
          <w:tcPr>
            <w:tcW w:w="2693" w:type="dxa"/>
          </w:tcPr>
          <w:p w:rsidR="007C0925" w:rsidRPr="00F81BFE" w:rsidRDefault="007C0925" w:rsidP="00F81BFE">
            <w:pPr>
              <w:pStyle w:val="Tabletext"/>
              <w:jc w:val="center"/>
            </w:pPr>
            <w:r w:rsidRPr="00F81BFE">
              <w:t>–175,9 dB(W/20 kHz)</w:t>
            </w:r>
          </w:p>
        </w:tc>
      </w:tr>
      <w:tr w:rsidR="007C0925" w:rsidRPr="00C57B0A" w:rsidTr="00F81BFE">
        <w:trPr>
          <w:jc w:val="center"/>
        </w:trPr>
        <w:tc>
          <w:tcPr>
            <w:tcW w:w="4111" w:type="dxa"/>
          </w:tcPr>
          <w:p w:rsidR="007C0925" w:rsidRPr="00F81BFE" w:rsidRDefault="007C0925" w:rsidP="00F81BFE">
            <w:pPr>
              <w:pStyle w:val="Tabletext"/>
              <w:jc w:val="left"/>
            </w:pPr>
            <w:r w:rsidRPr="00F81BFE">
              <w:t>Fusée-sonde 403 MHz</w:t>
            </w:r>
          </w:p>
        </w:tc>
        <w:tc>
          <w:tcPr>
            <w:tcW w:w="2835" w:type="dxa"/>
          </w:tcPr>
          <w:p w:rsidR="007C0925" w:rsidRPr="00F81BFE" w:rsidRDefault="007C0925" w:rsidP="00F81BFE">
            <w:pPr>
              <w:pStyle w:val="Tabletext"/>
              <w:jc w:val="center"/>
            </w:pPr>
            <w:r w:rsidRPr="00F81BFE">
              <w:t>–144,4 dB(W/3,0 MHz)</w:t>
            </w:r>
          </w:p>
        </w:tc>
        <w:tc>
          <w:tcPr>
            <w:tcW w:w="2693" w:type="dxa"/>
          </w:tcPr>
          <w:p w:rsidR="007C0925" w:rsidRPr="00F81BFE" w:rsidRDefault="007C0925" w:rsidP="00F81BFE">
            <w:pPr>
              <w:pStyle w:val="Tabletext"/>
              <w:jc w:val="center"/>
            </w:pPr>
            <w:r w:rsidRPr="00F81BFE">
              <w:t>–142,6 dB(W/3,0 MHz)</w:t>
            </w:r>
          </w:p>
        </w:tc>
      </w:tr>
      <w:tr w:rsidR="007C0925" w:rsidRPr="00C57B0A" w:rsidTr="00F81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rsidR="007C0925" w:rsidRPr="00C57B0A" w:rsidRDefault="007C0925" w:rsidP="00BA064F">
            <w:pPr>
              <w:pStyle w:val="Tablelegend"/>
            </w:pPr>
            <w:r w:rsidRPr="00C57B0A">
              <w:t>*</w:t>
            </w:r>
            <w:r w:rsidRPr="00C57B0A">
              <w:tab/>
            </w:r>
            <w:r>
              <w:t>Etant donné que</w:t>
            </w:r>
            <w:r w:rsidRPr="00C57B0A">
              <w:t xml:space="preserve"> les caractéristiques détaillées des systèmes susceptibles </w:t>
            </w:r>
            <w:r>
              <w:t>d'utiliser</w:t>
            </w:r>
            <w:r w:rsidRPr="00C57B0A">
              <w:t xml:space="preserve"> ces bandes</w:t>
            </w:r>
            <w:r>
              <w:t xml:space="preserve"> en partage ne sont pas connues, ces</w:t>
            </w:r>
            <w:r w:rsidRPr="00C57B0A">
              <w:t xml:space="preserve"> niveau</w:t>
            </w:r>
            <w:r>
              <w:t>x sont</w:t>
            </w:r>
            <w:r w:rsidRPr="00C57B0A">
              <w:t xml:space="preserve"> calculé</w:t>
            </w:r>
            <w:r>
              <w:t>s</w:t>
            </w:r>
            <w:r w:rsidRPr="00C57B0A">
              <w:t xml:space="preserve"> pour un </w:t>
            </w:r>
            <w:r>
              <w:t xml:space="preserve">seul </w:t>
            </w:r>
            <w:r w:rsidRPr="00C57B0A">
              <w:t xml:space="preserve">système. </w:t>
            </w:r>
            <w:r>
              <w:t xml:space="preserve">Une nouvelle subdivision du </w:t>
            </w:r>
            <w:r w:rsidRPr="00C57B0A">
              <w:t>niveau de brouillage relatif à chaque émetteur</w:t>
            </w:r>
            <w:r>
              <w:t xml:space="preserve"> pourra être effectuée lors de la procédure de </w:t>
            </w:r>
            <w:r>
              <w:rPr>
                <w:lang w:val="fr-CH"/>
              </w:rPr>
              <w:t>coordination</w:t>
            </w:r>
            <w:r>
              <w:t xml:space="preserve"> formelle</w:t>
            </w:r>
            <w:r w:rsidRPr="00C57B0A">
              <w:t>.</w:t>
            </w:r>
          </w:p>
        </w:tc>
      </w:tr>
    </w:tbl>
    <w:p w:rsidR="00F81BFE" w:rsidRDefault="00F81BFE" w:rsidP="007C0925">
      <w:pPr>
        <w:pStyle w:val="TableNo"/>
      </w:pPr>
      <w:r>
        <w:br w:type="page"/>
      </w:r>
    </w:p>
    <w:p w:rsidR="007C0925" w:rsidRDefault="007C0925" w:rsidP="007C0925">
      <w:pPr>
        <w:pStyle w:val="TableNo"/>
      </w:pPr>
      <w:r>
        <w:lastRenderedPageBreak/>
        <w:t>TABLEAU  6</w:t>
      </w:r>
    </w:p>
    <w:p w:rsidR="007C0925" w:rsidRDefault="007C0925" w:rsidP="007C0925">
      <w:pPr>
        <w:pStyle w:val="Tabletitle"/>
        <w:rPr>
          <w:bCs/>
        </w:rPr>
      </w:pPr>
      <w:r w:rsidRPr="00A20440">
        <w:rPr>
          <w:bCs/>
        </w:rPr>
        <w:t xml:space="preserve">Critères de brouillage à court terme dû à un </w:t>
      </w:r>
      <w:r>
        <w:rPr>
          <w:bCs/>
        </w:rPr>
        <w:t>seul système</w:t>
      </w:r>
      <w:r w:rsidRPr="00A20440">
        <w:rPr>
          <w:bC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2171"/>
        <w:gridCol w:w="1412"/>
        <w:gridCol w:w="759"/>
        <w:gridCol w:w="2316"/>
        <w:gridCol w:w="724"/>
        <w:gridCol w:w="2257"/>
      </w:tblGrid>
      <w:tr w:rsidR="007C0925" w:rsidRPr="00590E3E" w:rsidTr="00866BC0">
        <w:trPr>
          <w:jc w:val="center"/>
        </w:trPr>
        <w:tc>
          <w:tcPr>
            <w:tcW w:w="2127" w:type="dxa"/>
            <w:tcBorders>
              <w:bottom w:val="nil"/>
              <w:right w:val="nil"/>
            </w:tcBorders>
          </w:tcPr>
          <w:p w:rsidR="007C0925" w:rsidRPr="00590E3E" w:rsidRDefault="007C0925" w:rsidP="00F55E51">
            <w:pPr>
              <w:pStyle w:val="Tablehead"/>
              <w:rPr>
                <w:sz w:val="20"/>
              </w:rPr>
            </w:pPr>
            <w:r w:rsidRPr="00590E3E">
              <w:rPr>
                <w:sz w:val="20"/>
              </w:rPr>
              <w:t>Type de système</w:t>
            </w:r>
          </w:p>
        </w:tc>
        <w:tc>
          <w:tcPr>
            <w:tcW w:w="1383" w:type="dxa"/>
            <w:tcBorders>
              <w:left w:val="nil"/>
            </w:tcBorders>
          </w:tcPr>
          <w:p w:rsidR="007C0925" w:rsidRPr="00590E3E" w:rsidRDefault="007C0925" w:rsidP="00F55E51">
            <w:pPr>
              <w:pStyle w:val="Tablehead"/>
              <w:rPr>
                <w:sz w:val="20"/>
              </w:rPr>
            </w:pPr>
          </w:p>
        </w:tc>
        <w:tc>
          <w:tcPr>
            <w:tcW w:w="743" w:type="dxa"/>
          </w:tcPr>
          <w:p w:rsidR="007C0925" w:rsidRPr="00590E3E" w:rsidRDefault="007C0925" w:rsidP="00F55E51">
            <w:pPr>
              <w:pStyle w:val="Tablehead"/>
              <w:rPr>
                <w:sz w:val="20"/>
                <w:lang w:val="en-GB"/>
              </w:rPr>
            </w:pPr>
            <w:r w:rsidRPr="00590E3E">
              <w:rPr>
                <w:i/>
                <w:sz w:val="20"/>
                <w:lang w:val="en-GB"/>
              </w:rPr>
              <w:t>p's</w:t>
            </w:r>
            <w:r w:rsidRPr="00590E3E">
              <w:rPr>
                <w:sz w:val="20"/>
                <w:lang w:val="en-GB"/>
              </w:rPr>
              <w:t xml:space="preserve"> </w:t>
            </w:r>
            <w:r w:rsidRPr="00590E3E">
              <w:rPr>
                <w:sz w:val="20"/>
                <w:lang w:val="en-GB"/>
              </w:rPr>
              <w:br/>
              <w:t>(%)</w:t>
            </w:r>
          </w:p>
        </w:tc>
        <w:tc>
          <w:tcPr>
            <w:tcW w:w="2268" w:type="dxa"/>
          </w:tcPr>
          <w:p w:rsidR="007C0925" w:rsidRPr="00590E3E" w:rsidRDefault="007C0925" w:rsidP="00F55E51">
            <w:pPr>
              <w:pStyle w:val="Tablehead"/>
              <w:rPr>
                <w:sz w:val="20"/>
                <w:lang w:val="en-GB"/>
              </w:rPr>
            </w:pPr>
            <w:r w:rsidRPr="00590E3E">
              <w:rPr>
                <w:i/>
                <w:sz w:val="20"/>
                <w:lang w:val="en-GB"/>
              </w:rPr>
              <w:t>i's</w:t>
            </w:r>
            <w:r w:rsidRPr="00590E3E">
              <w:rPr>
                <w:sz w:val="20"/>
                <w:lang w:val="en-GB"/>
              </w:rPr>
              <w:t>(</w:t>
            </w:r>
            <w:r w:rsidRPr="00590E3E">
              <w:rPr>
                <w:i/>
                <w:sz w:val="20"/>
                <w:lang w:val="en-GB"/>
              </w:rPr>
              <w:t>p's</w:t>
            </w:r>
            <w:r w:rsidRPr="00590E3E">
              <w:rPr>
                <w:sz w:val="20"/>
                <w:lang w:val="en-GB"/>
              </w:rPr>
              <w:t>)</w:t>
            </w:r>
          </w:p>
        </w:tc>
        <w:tc>
          <w:tcPr>
            <w:tcW w:w="709" w:type="dxa"/>
          </w:tcPr>
          <w:p w:rsidR="007C0925" w:rsidRPr="00590E3E" w:rsidRDefault="007C0925" w:rsidP="00F55E51">
            <w:pPr>
              <w:pStyle w:val="Tablehead"/>
              <w:rPr>
                <w:sz w:val="20"/>
                <w:lang w:val="en-GB"/>
              </w:rPr>
            </w:pPr>
            <w:r w:rsidRPr="00590E3E">
              <w:rPr>
                <w:i/>
                <w:sz w:val="20"/>
                <w:lang w:val="en-GB"/>
              </w:rPr>
              <w:t>p't</w:t>
            </w:r>
            <w:r w:rsidRPr="00590E3E">
              <w:rPr>
                <w:sz w:val="20"/>
                <w:lang w:val="en-GB"/>
              </w:rPr>
              <w:t xml:space="preserve"> </w:t>
            </w:r>
            <w:r w:rsidRPr="00590E3E">
              <w:rPr>
                <w:sz w:val="20"/>
                <w:lang w:val="en-GB"/>
              </w:rPr>
              <w:br/>
              <w:t>(%)</w:t>
            </w:r>
          </w:p>
        </w:tc>
        <w:tc>
          <w:tcPr>
            <w:tcW w:w="2211" w:type="dxa"/>
          </w:tcPr>
          <w:p w:rsidR="007C0925" w:rsidRPr="00590E3E" w:rsidRDefault="007C0925" w:rsidP="00F55E51">
            <w:pPr>
              <w:pStyle w:val="Tablehead"/>
              <w:rPr>
                <w:sz w:val="20"/>
                <w:lang w:val="en-GB"/>
              </w:rPr>
            </w:pPr>
            <w:r w:rsidRPr="00590E3E">
              <w:rPr>
                <w:i/>
                <w:sz w:val="20"/>
                <w:lang w:val="en-GB"/>
              </w:rPr>
              <w:t>i't</w:t>
            </w:r>
            <w:r w:rsidRPr="00590E3E">
              <w:rPr>
                <w:sz w:val="20"/>
                <w:lang w:val="en-GB"/>
              </w:rPr>
              <w:t>(</w:t>
            </w:r>
            <w:r w:rsidRPr="00590E3E">
              <w:rPr>
                <w:i/>
                <w:sz w:val="20"/>
                <w:lang w:val="en-GB"/>
              </w:rPr>
              <w:t>p't</w:t>
            </w:r>
            <w:r w:rsidRPr="00590E3E">
              <w:rPr>
                <w:sz w:val="20"/>
                <w:lang w:val="en-GB"/>
              </w:rPr>
              <w:t>)</w:t>
            </w:r>
          </w:p>
        </w:tc>
      </w:tr>
      <w:tr w:rsidR="007C0925" w:rsidRPr="00590E3E" w:rsidTr="00866BC0">
        <w:trPr>
          <w:jc w:val="center"/>
        </w:trPr>
        <w:tc>
          <w:tcPr>
            <w:tcW w:w="2127" w:type="dxa"/>
            <w:vMerge w:val="restart"/>
          </w:tcPr>
          <w:p w:rsidR="007C0925" w:rsidRPr="00866BC0" w:rsidRDefault="007C0925" w:rsidP="00866BC0">
            <w:pPr>
              <w:pStyle w:val="Tabletext"/>
              <w:jc w:val="left"/>
              <w:rPr>
                <w:sz w:val="20"/>
              </w:rPr>
            </w:pPr>
            <w:r w:rsidRPr="00866BC0">
              <w:rPr>
                <w:sz w:val="20"/>
              </w:rPr>
              <w:t>Sonde RDF</w:t>
            </w:r>
            <w:r w:rsidR="00866BC0" w:rsidRPr="00866BC0">
              <w:rPr>
                <w:sz w:val="20"/>
              </w:rPr>
              <w:t xml:space="preserve"> </w:t>
            </w:r>
            <w:r w:rsidRPr="00866BC0">
              <w:rPr>
                <w:sz w:val="20"/>
              </w:rPr>
              <w:t>1 680 MHz</w:t>
            </w:r>
          </w:p>
        </w:tc>
        <w:tc>
          <w:tcPr>
            <w:tcW w:w="1383" w:type="dxa"/>
          </w:tcPr>
          <w:p w:rsidR="007C0925" w:rsidRPr="00866BC0" w:rsidRDefault="007C0925" w:rsidP="00866BC0">
            <w:pPr>
              <w:pStyle w:val="Tabletext"/>
              <w:jc w:val="center"/>
              <w:rPr>
                <w:sz w:val="20"/>
              </w:rPr>
            </w:pPr>
            <w:r w:rsidRPr="00866BC0">
              <w:rPr>
                <w:sz w:val="20"/>
              </w:rPr>
              <w:t>Perte de verrouillage</w:t>
            </w:r>
          </w:p>
        </w:tc>
        <w:tc>
          <w:tcPr>
            <w:tcW w:w="743" w:type="dxa"/>
          </w:tcPr>
          <w:p w:rsidR="007C0925" w:rsidRPr="00866BC0" w:rsidRDefault="007C0925" w:rsidP="00866BC0">
            <w:pPr>
              <w:pStyle w:val="Tabletext"/>
              <w:jc w:val="center"/>
              <w:rPr>
                <w:sz w:val="20"/>
              </w:rPr>
            </w:pPr>
            <w:r w:rsidRPr="00866BC0">
              <w:rPr>
                <w:sz w:val="20"/>
              </w:rPr>
              <w:t>0,003</w:t>
            </w:r>
          </w:p>
        </w:tc>
        <w:tc>
          <w:tcPr>
            <w:tcW w:w="2268" w:type="dxa"/>
          </w:tcPr>
          <w:p w:rsidR="007C0925" w:rsidRPr="00866BC0" w:rsidRDefault="007C0925" w:rsidP="00866BC0">
            <w:pPr>
              <w:pStyle w:val="Tabletext"/>
              <w:jc w:val="center"/>
              <w:rPr>
                <w:sz w:val="20"/>
              </w:rPr>
            </w:pPr>
            <w:r w:rsidRPr="00866BC0">
              <w:rPr>
                <w:sz w:val="20"/>
              </w:rPr>
              <w:t>–135,3 dB(W/1,3 MHz)</w:t>
            </w:r>
          </w:p>
        </w:tc>
        <w:tc>
          <w:tcPr>
            <w:tcW w:w="709" w:type="dxa"/>
          </w:tcPr>
          <w:p w:rsidR="007C0925" w:rsidRPr="00866BC0" w:rsidRDefault="007C0925" w:rsidP="00866BC0">
            <w:pPr>
              <w:pStyle w:val="Tabletext"/>
              <w:jc w:val="center"/>
              <w:rPr>
                <w:sz w:val="20"/>
              </w:rPr>
            </w:pPr>
            <w:r w:rsidRPr="00866BC0">
              <w:rPr>
                <w:sz w:val="20"/>
              </w:rPr>
              <w:t>0,004</w:t>
            </w:r>
          </w:p>
        </w:tc>
        <w:tc>
          <w:tcPr>
            <w:tcW w:w="2211" w:type="dxa"/>
          </w:tcPr>
          <w:p w:rsidR="007C0925" w:rsidRPr="00866BC0" w:rsidRDefault="007C0925" w:rsidP="00866BC0">
            <w:pPr>
              <w:pStyle w:val="Tabletext"/>
              <w:jc w:val="center"/>
              <w:rPr>
                <w:sz w:val="20"/>
              </w:rPr>
            </w:pPr>
            <w:r w:rsidRPr="00866BC0">
              <w:rPr>
                <w:sz w:val="20"/>
              </w:rPr>
              <w:t>–135,3 dB(W/1,3 MHz)</w:t>
            </w:r>
          </w:p>
        </w:tc>
      </w:tr>
      <w:tr w:rsidR="007C0925" w:rsidRPr="00590E3E" w:rsidTr="00866BC0">
        <w:trPr>
          <w:jc w:val="center"/>
        </w:trPr>
        <w:tc>
          <w:tcPr>
            <w:tcW w:w="2127" w:type="dxa"/>
            <w:vMerge/>
            <w:tcBorders>
              <w:bottom w:val="single" w:sz="4" w:space="0" w:color="auto"/>
            </w:tcBorders>
          </w:tcPr>
          <w:p w:rsidR="007C0925" w:rsidRPr="00866BC0" w:rsidRDefault="007C0925" w:rsidP="00866BC0">
            <w:pPr>
              <w:pStyle w:val="Tabletext"/>
              <w:jc w:val="left"/>
              <w:rPr>
                <w:sz w:val="20"/>
              </w:rPr>
            </w:pPr>
          </w:p>
        </w:tc>
        <w:tc>
          <w:tcPr>
            <w:tcW w:w="1383" w:type="dxa"/>
          </w:tcPr>
          <w:p w:rsidR="007C0925" w:rsidRPr="00866BC0" w:rsidRDefault="007C0925" w:rsidP="00866BC0">
            <w:pPr>
              <w:pStyle w:val="Tabletext"/>
              <w:jc w:val="center"/>
              <w:rPr>
                <w:sz w:val="20"/>
              </w:rPr>
            </w:pPr>
            <w:r w:rsidRPr="00866BC0">
              <w:rPr>
                <w:sz w:val="20"/>
              </w:rPr>
              <w:t>Perte de données</w:t>
            </w:r>
          </w:p>
        </w:tc>
        <w:tc>
          <w:tcPr>
            <w:tcW w:w="743" w:type="dxa"/>
          </w:tcPr>
          <w:p w:rsidR="007C0925" w:rsidRPr="00866BC0" w:rsidRDefault="007C0925" w:rsidP="00866BC0">
            <w:pPr>
              <w:pStyle w:val="Tabletext"/>
              <w:jc w:val="center"/>
              <w:rPr>
                <w:sz w:val="20"/>
              </w:rPr>
            </w:pPr>
            <w:r w:rsidRPr="00866BC0">
              <w:rPr>
                <w:sz w:val="20"/>
              </w:rPr>
              <w:t>0,167</w:t>
            </w:r>
          </w:p>
        </w:tc>
        <w:tc>
          <w:tcPr>
            <w:tcW w:w="2268" w:type="dxa"/>
          </w:tcPr>
          <w:p w:rsidR="007C0925" w:rsidRPr="00866BC0" w:rsidRDefault="007C0925" w:rsidP="00866BC0">
            <w:pPr>
              <w:pStyle w:val="Tabletext"/>
              <w:jc w:val="center"/>
              <w:rPr>
                <w:sz w:val="20"/>
              </w:rPr>
            </w:pPr>
            <w:r w:rsidRPr="00866BC0">
              <w:rPr>
                <w:sz w:val="20"/>
              </w:rPr>
              <w:t>–139,4 dB(W/1,3 MHz)</w:t>
            </w:r>
          </w:p>
        </w:tc>
        <w:tc>
          <w:tcPr>
            <w:tcW w:w="709" w:type="dxa"/>
          </w:tcPr>
          <w:p w:rsidR="007C0925" w:rsidRPr="00866BC0" w:rsidRDefault="007C0925" w:rsidP="00866BC0">
            <w:pPr>
              <w:pStyle w:val="Tabletext"/>
              <w:jc w:val="center"/>
              <w:rPr>
                <w:sz w:val="20"/>
              </w:rPr>
            </w:pPr>
            <w:r w:rsidRPr="00866BC0">
              <w:rPr>
                <w:sz w:val="20"/>
              </w:rPr>
              <w:t>0,25</w:t>
            </w:r>
          </w:p>
        </w:tc>
        <w:tc>
          <w:tcPr>
            <w:tcW w:w="2211" w:type="dxa"/>
          </w:tcPr>
          <w:p w:rsidR="007C0925" w:rsidRPr="00866BC0" w:rsidRDefault="007C0925" w:rsidP="00866BC0">
            <w:pPr>
              <w:pStyle w:val="Tabletext"/>
              <w:jc w:val="center"/>
              <w:rPr>
                <w:sz w:val="20"/>
              </w:rPr>
            </w:pPr>
            <w:r w:rsidRPr="00866BC0">
              <w:rPr>
                <w:sz w:val="20"/>
              </w:rPr>
              <w:t>–139,4 dB(W/1,3 MHz)</w:t>
            </w:r>
          </w:p>
        </w:tc>
      </w:tr>
      <w:tr w:rsidR="007C0925" w:rsidRPr="00590E3E" w:rsidTr="00866BC0">
        <w:trPr>
          <w:trHeight w:val="395"/>
          <w:jc w:val="center"/>
        </w:trPr>
        <w:tc>
          <w:tcPr>
            <w:tcW w:w="2127" w:type="dxa"/>
            <w:vMerge w:val="restart"/>
            <w:tcBorders>
              <w:top w:val="single" w:sz="4" w:space="0" w:color="auto"/>
            </w:tcBorders>
          </w:tcPr>
          <w:p w:rsidR="007C0925" w:rsidRPr="00866BC0" w:rsidRDefault="007C0925" w:rsidP="00866BC0">
            <w:pPr>
              <w:pStyle w:val="Tabletext"/>
              <w:jc w:val="left"/>
              <w:rPr>
                <w:sz w:val="20"/>
              </w:rPr>
            </w:pPr>
            <w:r w:rsidRPr="00866BC0">
              <w:rPr>
                <w:sz w:val="20"/>
              </w:rPr>
              <w:t>Radiosonde GPS</w:t>
            </w:r>
            <w:r w:rsidR="00866BC0">
              <w:rPr>
                <w:sz w:val="20"/>
              </w:rPr>
              <w:br/>
            </w:r>
            <w:r w:rsidRPr="00866BC0">
              <w:rPr>
                <w:sz w:val="20"/>
              </w:rPr>
              <w:t>(1687-1683 MHz)</w:t>
            </w:r>
          </w:p>
        </w:tc>
        <w:tc>
          <w:tcPr>
            <w:tcW w:w="1383" w:type="dxa"/>
          </w:tcPr>
          <w:p w:rsidR="007C0925" w:rsidRPr="00866BC0" w:rsidRDefault="007C0925" w:rsidP="00866BC0">
            <w:pPr>
              <w:pStyle w:val="Tabletext"/>
              <w:jc w:val="center"/>
              <w:rPr>
                <w:sz w:val="20"/>
              </w:rPr>
            </w:pPr>
            <w:r w:rsidRPr="00866BC0">
              <w:rPr>
                <w:sz w:val="20"/>
              </w:rPr>
              <w:t>Perte de verrouillage</w:t>
            </w:r>
          </w:p>
        </w:tc>
        <w:tc>
          <w:tcPr>
            <w:tcW w:w="743" w:type="dxa"/>
          </w:tcPr>
          <w:p w:rsidR="007C0925" w:rsidRPr="00866BC0" w:rsidRDefault="007C0925" w:rsidP="00866BC0">
            <w:pPr>
              <w:pStyle w:val="Tabletext"/>
              <w:jc w:val="center"/>
              <w:rPr>
                <w:sz w:val="20"/>
              </w:rPr>
            </w:pPr>
            <w:r w:rsidRPr="00866BC0">
              <w:rPr>
                <w:sz w:val="20"/>
              </w:rPr>
              <w:t>0,003</w:t>
            </w:r>
          </w:p>
        </w:tc>
        <w:tc>
          <w:tcPr>
            <w:tcW w:w="2268" w:type="dxa"/>
          </w:tcPr>
          <w:p w:rsidR="007C0925" w:rsidRPr="00866BC0" w:rsidRDefault="007C0925" w:rsidP="00866BC0">
            <w:pPr>
              <w:pStyle w:val="Tabletext"/>
              <w:jc w:val="center"/>
              <w:rPr>
                <w:sz w:val="20"/>
              </w:rPr>
            </w:pPr>
            <w:r w:rsidRPr="00866BC0">
              <w:rPr>
                <w:sz w:val="20"/>
              </w:rPr>
              <w:t>–137,2 dB(W/150 kHz)</w:t>
            </w:r>
          </w:p>
        </w:tc>
        <w:tc>
          <w:tcPr>
            <w:tcW w:w="709" w:type="dxa"/>
          </w:tcPr>
          <w:p w:rsidR="007C0925" w:rsidRPr="00866BC0" w:rsidRDefault="007C0925" w:rsidP="00866BC0">
            <w:pPr>
              <w:pStyle w:val="Tabletext"/>
              <w:jc w:val="center"/>
              <w:rPr>
                <w:sz w:val="20"/>
              </w:rPr>
            </w:pPr>
            <w:r w:rsidRPr="00866BC0">
              <w:rPr>
                <w:sz w:val="20"/>
              </w:rPr>
              <w:t>0,005</w:t>
            </w:r>
          </w:p>
        </w:tc>
        <w:tc>
          <w:tcPr>
            <w:tcW w:w="2211" w:type="dxa"/>
          </w:tcPr>
          <w:p w:rsidR="007C0925" w:rsidRPr="00866BC0" w:rsidRDefault="007C0925" w:rsidP="00866BC0">
            <w:pPr>
              <w:pStyle w:val="Tabletext"/>
              <w:jc w:val="center"/>
              <w:rPr>
                <w:sz w:val="20"/>
              </w:rPr>
            </w:pPr>
            <w:r w:rsidRPr="00866BC0">
              <w:rPr>
                <w:sz w:val="20"/>
              </w:rPr>
              <w:t>–137,2 dB(W/150 kHz)</w:t>
            </w:r>
          </w:p>
        </w:tc>
      </w:tr>
      <w:tr w:rsidR="007C0925" w:rsidRPr="00590E3E" w:rsidTr="00866BC0">
        <w:trPr>
          <w:trHeight w:val="394"/>
          <w:jc w:val="center"/>
        </w:trPr>
        <w:tc>
          <w:tcPr>
            <w:tcW w:w="2127" w:type="dxa"/>
            <w:vMerge/>
            <w:tcBorders>
              <w:bottom w:val="nil"/>
            </w:tcBorders>
          </w:tcPr>
          <w:p w:rsidR="007C0925" w:rsidRPr="00866BC0" w:rsidRDefault="007C0925" w:rsidP="00866BC0">
            <w:pPr>
              <w:pStyle w:val="Tabletext"/>
              <w:jc w:val="left"/>
              <w:rPr>
                <w:sz w:val="20"/>
              </w:rPr>
            </w:pPr>
          </w:p>
        </w:tc>
        <w:tc>
          <w:tcPr>
            <w:tcW w:w="1383" w:type="dxa"/>
          </w:tcPr>
          <w:p w:rsidR="007C0925" w:rsidRPr="00866BC0" w:rsidRDefault="007C0925" w:rsidP="00866BC0">
            <w:pPr>
              <w:pStyle w:val="Tabletext"/>
              <w:jc w:val="center"/>
              <w:rPr>
                <w:sz w:val="20"/>
              </w:rPr>
            </w:pPr>
            <w:r w:rsidRPr="00866BC0">
              <w:rPr>
                <w:sz w:val="20"/>
              </w:rPr>
              <w:t>Perte de données</w:t>
            </w:r>
          </w:p>
        </w:tc>
        <w:tc>
          <w:tcPr>
            <w:tcW w:w="743" w:type="dxa"/>
          </w:tcPr>
          <w:p w:rsidR="007C0925" w:rsidRPr="00866BC0" w:rsidRDefault="007C0925" w:rsidP="00866BC0">
            <w:pPr>
              <w:pStyle w:val="Tabletext"/>
              <w:jc w:val="center"/>
              <w:rPr>
                <w:sz w:val="20"/>
              </w:rPr>
            </w:pPr>
            <w:r w:rsidRPr="00866BC0">
              <w:rPr>
                <w:sz w:val="20"/>
              </w:rPr>
              <w:t>0,017</w:t>
            </w:r>
          </w:p>
        </w:tc>
        <w:tc>
          <w:tcPr>
            <w:tcW w:w="2268" w:type="dxa"/>
          </w:tcPr>
          <w:p w:rsidR="007C0925" w:rsidRPr="00866BC0" w:rsidRDefault="007C0925" w:rsidP="00866BC0">
            <w:pPr>
              <w:pStyle w:val="Tabletext"/>
              <w:jc w:val="center"/>
              <w:rPr>
                <w:sz w:val="20"/>
              </w:rPr>
            </w:pPr>
            <w:r w:rsidRPr="00866BC0">
              <w:rPr>
                <w:sz w:val="20"/>
              </w:rPr>
              <w:t>–145,9 dB(W/150 kHz)</w:t>
            </w:r>
          </w:p>
        </w:tc>
        <w:tc>
          <w:tcPr>
            <w:tcW w:w="709" w:type="dxa"/>
          </w:tcPr>
          <w:p w:rsidR="007C0925" w:rsidRPr="00866BC0" w:rsidRDefault="007C0925" w:rsidP="00866BC0">
            <w:pPr>
              <w:pStyle w:val="Tabletext"/>
              <w:jc w:val="center"/>
              <w:rPr>
                <w:sz w:val="20"/>
              </w:rPr>
            </w:pPr>
            <w:r w:rsidRPr="00866BC0">
              <w:rPr>
                <w:sz w:val="20"/>
              </w:rPr>
              <w:t>0,025</w:t>
            </w:r>
          </w:p>
        </w:tc>
        <w:tc>
          <w:tcPr>
            <w:tcW w:w="2211" w:type="dxa"/>
          </w:tcPr>
          <w:p w:rsidR="007C0925" w:rsidRPr="00866BC0" w:rsidRDefault="007C0925" w:rsidP="00866BC0">
            <w:pPr>
              <w:pStyle w:val="Tabletext"/>
              <w:jc w:val="center"/>
              <w:rPr>
                <w:sz w:val="20"/>
              </w:rPr>
            </w:pPr>
            <w:r w:rsidRPr="00866BC0">
              <w:rPr>
                <w:sz w:val="20"/>
              </w:rPr>
              <w:t>–145,7 dB(W/150 kHz)</w:t>
            </w:r>
          </w:p>
        </w:tc>
      </w:tr>
      <w:tr w:rsidR="007C0925" w:rsidRPr="00590E3E" w:rsidTr="00866BC0">
        <w:trPr>
          <w:jc w:val="center"/>
        </w:trPr>
        <w:tc>
          <w:tcPr>
            <w:tcW w:w="2127" w:type="dxa"/>
            <w:vMerge w:val="restart"/>
          </w:tcPr>
          <w:p w:rsidR="007C0925" w:rsidRPr="00866BC0" w:rsidRDefault="007C0925" w:rsidP="00866BC0">
            <w:pPr>
              <w:pStyle w:val="Tabletext"/>
              <w:jc w:val="left"/>
              <w:rPr>
                <w:sz w:val="20"/>
              </w:rPr>
            </w:pPr>
            <w:r w:rsidRPr="00866BC0">
              <w:rPr>
                <w:sz w:val="20"/>
              </w:rPr>
              <w:t xml:space="preserve">NAVAID </w:t>
            </w:r>
            <w:r w:rsidRPr="00866BC0">
              <w:rPr>
                <w:sz w:val="20"/>
              </w:rPr>
              <w:br/>
              <w:t>à antenne directive</w:t>
            </w:r>
            <w:r w:rsidR="00866BC0">
              <w:rPr>
                <w:sz w:val="20"/>
              </w:rPr>
              <w:br/>
            </w:r>
            <w:r w:rsidRPr="00866BC0">
              <w:rPr>
                <w:sz w:val="20"/>
              </w:rPr>
              <w:t>403 MHz</w:t>
            </w:r>
          </w:p>
        </w:tc>
        <w:tc>
          <w:tcPr>
            <w:tcW w:w="1383" w:type="dxa"/>
          </w:tcPr>
          <w:p w:rsidR="007C0925" w:rsidRPr="00866BC0" w:rsidRDefault="007C0925" w:rsidP="00866BC0">
            <w:pPr>
              <w:pStyle w:val="Tabletext"/>
              <w:jc w:val="center"/>
              <w:rPr>
                <w:sz w:val="20"/>
              </w:rPr>
            </w:pPr>
            <w:r w:rsidRPr="00866BC0">
              <w:rPr>
                <w:sz w:val="20"/>
              </w:rPr>
              <w:t>Perte de verrouillage</w:t>
            </w:r>
          </w:p>
        </w:tc>
        <w:tc>
          <w:tcPr>
            <w:tcW w:w="743" w:type="dxa"/>
          </w:tcPr>
          <w:p w:rsidR="007C0925" w:rsidRPr="00866BC0" w:rsidRDefault="007C0925" w:rsidP="00866BC0">
            <w:pPr>
              <w:pStyle w:val="Tabletext"/>
              <w:jc w:val="center"/>
              <w:rPr>
                <w:sz w:val="20"/>
              </w:rPr>
            </w:pPr>
            <w:r w:rsidRPr="00866BC0">
              <w:rPr>
                <w:sz w:val="20"/>
              </w:rPr>
              <w:t>0,003</w:t>
            </w:r>
          </w:p>
        </w:tc>
        <w:tc>
          <w:tcPr>
            <w:tcW w:w="2268" w:type="dxa"/>
          </w:tcPr>
          <w:p w:rsidR="007C0925" w:rsidRPr="00866BC0" w:rsidRDefault="007C0925" w:rsidP="00866BC0">
            <w:pPr>
              <w:pStyle w:val="Tabletext"/>
              <w:jc w:val="center"/>
              <w:rPr>
                <w:sz w:val="20"/>
              </w:rPr>
            </w:pPr>
            <w:r w:rsidRPr="00866BC0">
              <w:rPr>
                <w:sz w:val="20"/>
              </w:rPr>
              <w:t>–141,9 dB(W/300 kHz)</w:t>
            </w:r>
          </w:p>
        </w:tc>
        <w:tc>
          <w:tcPr>
            <w:tcW w:w="709" w:type="dxa"/>
          </w:tcPr>
          <w:p w:rsidR="007C0925" w:rsidRPr="00866BC0" w:rsidRDefault="007C0925" w:rsidP="00866BC0">
            <w:pPr>
              <w:pStyle w:val="Tabletext"/>
              <w:jc w:val="center"/>
              <w:rPr>
                <w:sz w:val="20"/>
              </w:rPr>
            </w:pPr>
            <w:r w:rsidRPr="00866BC0">
              <w:rPr>
                <w:sz w:val="20"/>
              </w:rPr>
              <w:t>0,004</w:t>
            </w:r>
          </w:p>
        </w:tc>
        <w:tc>
          <w:tcPr>
            <w:tcW w:w="2211" w:type="dxa"/>
          </w:tcPr>
          <w:p w:rsidR="007C0925" w:rsidRPr="00866BC0" w:rsidRDefault="007C0925" w:rsidP="00866BC0">
            <w:pPr>
              <w:pStyle w:val="Tabletext"/>
              <w:jc w:val="center"/>
              <w:rPr>
                <w:sz w:val="20"/>
              </w:rPr>
            </w:pPr>
            <w:r w:rsidRPr="00866BC0">
              <w:rPr>
                <w:sz w:val="20"/>
              </w:rPr>
              <w:t>–141,9 dB(W/300 kHz)</w:t>
            </w:r>
          </w:p>
        </w:tc>
      </w:tr>
      <w:tr w:rsidR="007C0925" w:rsidRPr="00590E3E" w:rsidTr="00866BC0">
        <w:trPr>
          <w:jc w:val="center"/>
        </w:trPr>
        <w:tc>
          <w:tcPr>
            <w:tcW w:w="2127" w:type="dxa"/>
            <w:vMerge/>
            <w:tcBorders>
              <w:bottom w:val="single" w:sz="4" w:space="0" w:color="auto"/>
            </w:tcBorders>
          </w:tcPr>
          <w:p w:rsidR="007C0925" w:rsidRPr="00866BC0" w:rsidRDefault="007C0925" w:rsidP="00866BC0">
            <w:pPr>
              <w:pStyle w:val="Tabletext"/>
              <w:jc w:val="left"/>
              <w:rPr>
                <w:sz w:val="20"/>
              </w:rPr>
            </w:pPr>
          </w:p>
        </w:tc>
        <w:tc>
          <w:tcPr>
            <w:tcW w:w="1383" w:type="dxa"/>
          </w:tcPr>
          <w:p w:rsidR="007C0925" w:rsidRPr="00866BC0" w:rsidRDefault="007C0925" w:rsidP="00866BC0">
            <w:pPr>
              <w:pStyle w:val="Tabletext"/>
              <w:jc w:val="center"/>
              <w:rPr>
                <w:sz w:val="20"/>
              </w:rPr>
            </w:pPr>
            <w:r w:rsidRPr="00866BC0">
              <w:rPr>
                <w:sz w:val="20"/>
              </w:rPr>
              <w:t>Perte de données</w:t>
            </w:r>
          </w:p>
        </w:tc>
        <w:tc>
          <w:tcPr>
            <w:tcW w:w="743" w:type="dxa"/>
          </w:tcPr>
          <w:p w:rsidR="007C0925" w:rsidRPr="00866BC0" w:rsidRDefault="007C0925" w:rsidP="00866BC0">
            <w:pPr>
              <w:pStyle w:val="Tabletext"/>
              <w:jc w:val="center"/>
              <w:rPr>
                <w:sz w:val="20"/>
              </w:rPr>
            </w:pPr>
            <w:r w:rsidRPr="00866BC0">
              <w:rPr>
                <w:sz w:val="20"/>
              </w:rPr>
              <w:t>0,167</w:t>
            </w:r>
          </w:p>
        </w:tc>
        <w:tc>
          <w:tcPr>
            <w:tcW w:w="2268" w:type="dxa"/>
          </w:tcPr>
          <w:p w:rsidR="007C0925" w:rsidRPr="00866BC0" w:rsidRDefault="007C0925" w:rsidP="00866BC0">
            <w:pPr>
              <w:pStyle w:val="Tabletext"/>
              <w:jc w:val="center"/>
              <w:rPr>
                <w:sz w:val="20"/>
              </w:rPr>
            </w:pPr>
            <w:r w:rsidRPr="00866BC0">
              <w:rPr>
                <w:sz w:val="20"/>
              </w:rPr>
              <w:t>–149,8 dB(W/300 kHz)</w:t>
            </w:r>
          </w:p>
        </w:tc>
        <w:tc>
          <w:tcPr>
            <w:tcW w:w="709" w:type="dxa"/>
          </w:tcPr>
          <w:p w:rsidR="007C0925" w:rsidRPr="00866BC0" w:rsidRDefault="007C0925" w:rsidP="00866BC0">
            <w:pPr>
              <w:pStyle w:val="Tabletext"/>
              <w:jc w:val="center"/>
              <w:rPr>
                <w:sz w:val="20"/>
              </w:rPr>
            </w:pPr>
            <w:r w:rsidRPr="00866BC0">
              <w:rPr>
                <w:sz w:val="20"/>
              </w:rPr>
              <w:t>0,25</w:t>
            </w:r>
          </w:p>
        </w:tc>
        <w:tc>
          <w:tcPr>
            <w:tcW w:w="2211" w:type="dxa"/>
          </w:tcPr>
          <w:p w:rsidR="007C0925" w:rsidRPr="00866BC0" w:rsidRDefault="007C0925" w:rsidP="00866BC0">
            <w:pPr>
              <w:pStyle w:val="Tabletext"/>
              <w:jc w:val="center"/>
              <w:rPr>
                <w:sz w:val="20"/>
              </w:rPr>
            </w:pPr>
            <w:r w:rsidRPr="00866BC0">
              <w:rPr>
                <w:sz w:val="20"/>
              </w:rPr>
              <w:t>–149,6 dB(W/300 kHz)</w:t>
            </w:r>
          </w:p>
        </w:tc>
      </w:tr>
      <w:tr w:rsidR="007C0925" w:rsidRPr="00590E3E" w:rsidTr="00866BC0">
        <w:trPr>
          <w:jc w:val="center"/>
        </w:trPr>
        <w:tc>
          <w:tcPr>
            <w:tcW w:w="2127" w:type="dxa"/>
            <w:vMerge w:val="restart"/>
            <w:tcBorders>
              <w:top w:val="single" w:sz="4" w:space="0" w:color="auto"/>
            </w:tcBorders>
          </w:tcPr>
          <w:p w:rsidR="007C0925" w:rsidRPr="00866BC0" w:rsidRDefault="007C0925" w:rsidP="00866BC0">
            <w:pPr>
              <w:pStyle w:val="Tabletext"/>
              <w:keepNext/>
              <w:keepLines/>
              <w:jc w:val="left"/>
              <w:rPr>
                <w:sz w:val="20"/>
              </w:rPr>
            </w:pPr>
            <w:r w:rsidRPr="00866BC0">
              <w:rPr>
                <w:sz w:val="20"/>
              </w:rPr>
              <w:t>NAVAID à antenne équidirective</w:t>
            </w:r>
            <w:r w:rsidR="00866BC0" w:rsidRPr="00866BC0">
              <w:rPr>
                <w:sz w:val="20"/>
              </w:rPr>
              <w:t xml:space="preserve"> </w:t>
            </w:r>
            <w:r w:rsidRPr="00866BC0">
              <w:rPr>
                <w:sz w:val="20"/>
              </w:rPr>
              <w:t>403 MHz</w:t>
            </w:r>
          </w:p>
        </w:tc>
        <w:tc>
          <w:tcPr>
            <w:tcW w:w="1383" w:type="dxa"/>
          </w:tcPr>
          <w:p w:rsidR="007C0925" w:rsidRPr="00866BC0" w:rsidRDefault="007C0925" w:rsidP="00866BC0">
            <w:pPr>
              <w:pStyle w:val="Tabletext"/>
              <w:keepNext/>
              <w:keepLines/>
              <w:jc w:val="center"/>
              <w:rPr>
                <w:sz w:val="20"/>
              </w:rPr>
            </w:pPr>
            <w:r w:rsidRPr="00866BC0">
              <w:rPr>
                <w:sz w:val="20"/>
              </w:rPr>
              <w:t>Perte de verrouillage</w:t>
            </w:r>
          </w:p>
        </w:tc>
        <w:tc>
          <w:tcPr>
            <w:tcW w:w="743" w:type="dxa"/>
          </w:tcPr>
          <w:p w:rsidR="007C0925" w:rsidRPr="00866BC0" w:rsidRDefault="007C0925" w:rsidP="00866BC0">
            <w:pPr>
              <w:pStyle w:val="Tabletext"/>
              <w:keepNext/>
              <w:keepLines/>
              <w:jc w:val="center"/>
              <w:rPr>
                <w:sz w:val="20"/>
              </w:rPr>
            </w:pPr>
            <w:r w:rsidRPr="00866BC0">
              <w:rPr>
                <w:sz w:val="20"/>
              </w:rPr>
              <w:t>0,003</w:t>
            </w:r>
          </w:p>
        </w:tc>
        <w:tc>
          <w:tcPr>
            <w:tcW w:w="2268" w:type="dxa"/>
          </w:tcPr>
          <w:p w:rsidR="007C0925" w:rsidRPr="00866BC0" w:rsidRDefault="007C0925" w:rsidP="00866BC0">
            <w:pPr>
              <w:pStyle w:val="Tabletext"/>
              <w:keepNext/>
              <w:keepLines/>
              <w:jc w:val="center"/>
              <w:rPr>
                <w:sz w:val="20"/>
              </w:rPr>
            </w:pPr>
            <w:r w:rsidRPr="00866BC0">
              <w:rPr>
                <w:sz w:val="20"/>
              </w:rPr>
              <w:t>Sans objet</w:t>
            </w:r>
            <w:r w:rsidRPr="00866BC0">
              <w:rPr>
                <w:sz w:val="20"/>
                <w:vertAlign w:val="superscript"/>
              </w:rPr>
              <w:t>(1)</w:t>
            </w:r>
          </w:p>
        </w:tc>
        <w:tc>
          <w:tcPr>
            <w:tcW w:w="709" w:type="dxa"/>
          </w:tcPr>
          <w:p w:rsidR="007C0925" w:rsidRPr="00866BC0" w:rsidRDefault="007C0925" w:rsidP="00866BC0">
            <w:pPr>
              <w:pStyle w:val="Tabletext"/>
              <w:keepNext/>
              <w:keepLines/>
              <w:jc w:val="center"/>
              <w:rPr>
                <w:sz w:val="20"/>
              </w:rPr>
            </w:pPr>
            <w:r w:rsidRPr="00866BC0">
              <w:rPr>
                <w:sz w:val="20"/>
              </w:rPr>
              <w:t>0,004</w:t>
            </w:r>
          </w:p>
        </w:tc>
        <w:tc>
          <w:tcPr>
            <w:tcW w:w="2211" w:type="dxa"/>
          </w:tcPr>
          <w:p w:rsidR="007C0925" w:rsidRPr="00866BC0" w:rsidRDefault="007C0925" w:rsidP="00866BC0">
            <w:pPr>
              <w:pStyle w:val="Tabletext"/>
              <w:keepNext/>
              <w:keepLines/>
              <w:jc w:val="center"/>
              <w:rPr>
                <w:sz w:val="20"/>
              </w:rPr>
            </w:pPr>
            <w:r w:rsidRPr="00866BC0">
              <w:rPr>
                <w:sz w:val="20"/>
              </w:rPr>
              <w:t>Sans objet</w:t>
            </w:r>
            <w:r w:rsidRPr="00866BC0">
              <w:rPr>
                <w:sz w:val="20"/>
                <w:vertAlign w:val="superscript"/>
              </w:rPr>
              <w:t>(1)</w:t>
            </w:r>
          </w:p>
        </w:tc>
      </w:tr>
      <w:tr w:rsidR="007C0925" w:rsidRPr="00590E3E" w:rsidTr="00866BC0">
        <w:trPr>
          <w:jc w:val="center"/>
        </w:trPr>
        <w:tc>
          <w:tcPr>
            <w:tcW w:w="2127" w:type="dxa"/>
            <w:vMerge/>
            <w:tcBorders>
              <w:bottom w:val="nil"/>
            </w:tcBorders>
          </w:tcPr>
          <w:p w:rsidR="007C0925" w:rsidRPr="00866BC0" w:rsidRDefault="007C0925" w:rsidP="00866BC0">
            <w:pPr>
              <w:pStyle w:val="Tabletext"/>
              <w:keepNext/>
              <w:keepLines/>
              <w:jc w:val="left"/>
              <w:rPr>
                <w:sz w:val="20"/>
              </w:rPr>
            </w:pPr>
          </w:p>
        </w:tc>
        <w:tc>
          <w:tcPr>
            <w:tcW w:w="1383" w:type="dxa"/>
          </w:tcPr>
          <w:p w:rsidR="007C0925" w:rsidRPr="00866BC0" w:rsidRDefault="007C0925" w:rsidP="00866BC0">
            <w:pPr>
              <w:pStyle w:val="Tabletext"/>
              <w:keepNext/>
              <w:keepLines/>
              <w:jc w:val="center"/>
              <w:rPr>
                <w:sz w:val="20"/>
              </w:rPr>
            </w:pPr>
            <w:r w:rsidRPr="00866BC0">
              <w:rPr>
                <w:sz w:val="20"/>
              </w:rPr>
              <w:t>Perte de données</w:t>
            </w:r>
          </w:p>
        </w:tc>
        <w:tc>
          <w:tcPr>
            <w:tcW w:w="743" w:type="dxa"/>
          </w:tcPr>
          <w:p w:rsidR="007C0925" w:rsidRPr="00866BC0" w:rsidRDefault="007C0925" w:rsidP="00866BC0">
            <w:pPr>
              <w:pStyle w:val="Tabletext"/>
              <w:keepNext/>
              <w:keepLines/>
              <w:jc w:val="center"/>
              <w:rPr>
                <w:sz w:val="20"/>
              </w:rPr>
            </w:pPr>
            <w:r w:rsidRPr="00866BC0">
              <w:rPr>
                <w:sz w:val="20"/>
              </w:rPr>
              <w:t>0,167</w:t>
            </w:r>
          </w:p>
        </w:tc>
        <w:tc>
          <w:tcPr>
            <w:tcW w:w="2268" w:type="dxa"/>
          </w:tcPr>
          <w:p w:rsidR="007C0925" w:rsidRPr="00866BC0" w:rsidRDefault="007C0925" w:rsidP="00866BC0">
            <w:pPr>
              <w:pStyle w:val="Tabletext"/>
              <w:keepNext/>
              <w:keepLines/>
              <w:jc w:val="center"/>
              <w:rPr>
                <w:sz w:val="20"/>
              </w:rPr>
            </w:pPr>
            <w:r w:rsidRPr="00866BC0">
              <w:rPr>
                <w:sz w:val="20"/>
              </w:rPr>
              <w:t>–155,03 dB(W/300 kHz)</w:t>
            </w:r>
          </w:p>
        </w:tc>
        <w:tc>
          <w:tcPr>
            <w:tcW w:w="709" w:type="dxa"/>
          </w:tcPr>
          <w:p w:rsidR="007C0925" w:rsidRPr="00866BC0" w:rsidRDefault="007C0925" w:rsidP="00866BC0">
            <w:pPr>
              <w:pStyle w:val="Tabletext"/>
              <w:keepNext/>
              <w:keepLines/>
              <w:jc w:val="center"/>
              <w:rPr>
                <w:sz w:val="20"/>
              </w:rPr>
            </w:pPr>
            <w:r w:rsidRPr="00866BC0">
              <w:rPr>
                <w:sz w:val="20"/>
              </w:rPr>
              <w:t>0,25</w:t>
            </w:r>
          </w:p>
        </w:tc>
        <w:tc>
          <w:tcPr>
            <w:tcW w:w="2211" w:type="dxa"/>
          </w:tcPr>
          <w:p w:rsidR="007C0925" w:rsidRPr="00866BC0" w:rsidRDefault="007C0925" w:rsidP="00866BC0">
            <w:pPr>
              <w:pStyle w:val="Tabletext"/>
              <w:keepNext/>
              <w:keepLines/>
              <w:jc w:val="center"/>
              <w:rPr>
                <w:sz w:val="20"/>
              </w:rPr>
            </w:pPr>
            <w:r w:rsidRPr="00866BC0">
              <w:rPr>
                <w:sz w:val="20"/>
              </w:rPr>
              <w:t>–154,4 dB(W/300 kHz)</w:t>
            </w:r>
          </w:p>
        </w:tc>
      </w:tr>
      <w:tr w:rsidR="007C0925" w:rsidRPr="00590E3E" w:rsidTr="00866BC0">
        <w:trPr>
          <w:jc w:val="center"/>
        </w:trPr>
        <w:tc>
          <w:tcPr>
            <w:tcW w:w="2127" w:type="dxa"/>
            <w:vMerge w:val="restart"/>
          </w:tcPr>
          <w:p w:rsidR="007C0925" w:rsidRPr="00866BC0" w:rsidRDefault="007C0925" w:rsidP="00866BC0">
            <w:pPr>
              <w:pStyle w:val="Tabletext"/>
              <w:keepNext/>
              <w:keepLines/>
              <w:jc w:val="left"/>
              <w:rPr>
                <w:sz w:val="20"/>
              </w:rPr>
            </w:pPr>
            <w:r w:rsidRPr="00866BC0">
              <w:rPr>
                <w:sz w:val="20"/>
              </w:rPr>
              <w:t>Catasonde 403 MHz</w:t>
            </w:r>
          </w:p>
        </w:tc>
        <w:tc>
          <w:tcPr>
            <w:tcW w:w="1383" w:type="dxa"/>
          </w:tcPr>
          <w:p w:rsidR="007C0925" w:rsidRPr="00866BC0" w:rsidRDefault="007C0925" w:rsidP="00866BC0">
            <w:pPr>
              <w:pStyle w:val="Tabletext"/>
              <w:keepNext/>
              <w:keepLines/>
              <w:jc w:val="center"/>
              <w:rPr>
                <w:sz w:val="20"/>
              </w:rPr>
            </w:pPr>
            <w:r w:rsidRPr="00866BC0">
              <w:rPr>
                <w:sz w:val="20"/>
              </w:rPr>
              <w:t>Perte de verrouillage</w:t>
            </w:r>
          </w:p>
        </w:tc>
        <w:tc>
          <w:tcPr>
            <w:tcW w:w="743" w:type="dxa"/>
          </w:tcPr>
          <w:p w:rsidR="007C0925" w:rsidRPr="00866BC0" w:rsidRDefault="007C0925" w:rsidP="00866BC0">
            <w:pPr>
              <w:pStyle w:val="Tabletext"/>
              <w:keepNext/>
              <w:keepLines/>
              <w:jc w:val="center"/>
              <w:rPr>
                <w:sz w:val="20"/>
              </w:rPr>
            </w:pPr>
            <w:r w:rsidRPr="00866BC0">
              <w:rPr>
                <w:sz w:val="20"/>
              </w:rPr>
              <w:t>0,003</w:t>
            </w:r>
          </w:p>
        </w:tc>
        <w:tc>
          <w:tcPr>
            <w:tcW w:w="2268" w:type="dxa"/>
          </w:tcPr>
          <w:p w:rsidR="007C0925" w:rsidRPr="00866BC0" w:rsidRDefault="007C0925" w:rsidP="00866BC0">
            <w:pPr>
              <w:pStyle w:val="Tabletext"/>
              <w:keepNext/>
              <w:keepLines/>
              <w:jc w:val="center"/>
              <w:rPr>
                <w:sz w:val="20"/>
              </w:rPr>
            </w:pPr>
            <w:r w:rsidRPr="00866BC0">
              <w:rPr>
                <w:sz w:val="20"/>
              </w:rPr>
              <w:t>–153,4 dB(W/20 kHz)</w:t>
            </w:r>
          </w:p>
        </w:tc>
        <w:tc>
          <w:tcPr>
            <w:tcW w:w="709" w:type="dxa"/>
          </w:tcPr>
          <w:p w:rsidR="007C0925" w:rsidRPr="00866BC0" w:rsidRDefault="007C0925" w:rsidP="00866BC0">
            <w:pPr>
              <w:pStyle w:val="Tabletext"/>
              <w:keepNext/>
              <w:keepLines/>
              <w:jc w:val="center"/>
              <w:rPr>
                <w:sz w:val="20"/>
              </w:rPr>
            </w:pPr>
            <w:r w:rsidRPr="00866BC0">
              <w:rPr>
                <w:sz w:val="20"/>
              </w:rPr>
              <w:t>0,004</w:t>
            </w:r>
          </w:p>
        </w:tc>
        <w:tc>
          <w:tcPr>
            <w:tcW w:w="2211" w:type="dxa"/>
          </w:tcPr>
          <w:p w:rsidR="007C0925" w:rsidRPr="00866BC0" w:rsidRDefault="007C0925" w:rsidP="00866BC0">
            <w:pPr>
              <w:pStyle w:val="Tabletext"/>
              <w:keepNext/>
              <w:keepLines/>
              <w:jc w:val="center"/>
              <w:rPr>
                <w:sz w:val="20"/>
              </w:rPr>
            </w:pPr>
            <w:r w:rsidRPr="00866BC0">
              <w:rPr>
                <w:sz w:val="20"/>
              </w:rPr>
              <w:t>–153,5 dB(W/20 kHz)</w:t>
            </w:r>
          </w:p>
        </w:tc>
      </w:tr>
      <w:tr w:rsidR="007C0925" w:rsidRPr="00590E3E" w:rsidTr="00866BC0">
        <w:trPr>
          <w:jc w:val="center"/>
        </w:trPr>
        <w:tc>
          <w:tcPr>
            <w:tcW w:w="2127" w:type="dxa"/>
            <w:vMerge/>
            <w:tcBorders>
              <w:bottom w:val="nil"/>
            </w:tcBorders>
          </w:tcPr>
          <w:p w:rsidR="007C0925" w:rsidRPr="00866BC0" w:rsidRDefault="007C0925" w:rsidP="00866BC0">
            <w:pPr>
              <w:pStyle w:val="Tabletext"/>
              <w:jc w:val="left"/>
              <w:rPr>
                <w:sz w:val="20"/>
              </w:rPr>
            </w:pPr>
          </w:p>
        </w:tc>
        <w:tc>
          <w:tcPr>
            <w:tcW w:w="1383" w:type="dxa"/>
          </w:tcPr>
          <w:p w:rsidR="007C0925" w:rsidRPr="00866BC0" w:rsidRDefault="007C0925" w:rsidP="00866BC0">
            <w:pPr>
              <w:pStyle w:val="Tabletext"/>
              <w:jc w:val="center"/>
              <w:rPr>
                <w:sz w:val="20"/>
              </w:rPr>
            </w:pPr>
            <w:r w:rsidRPr="00866BC0">
              <w:rPr>
                <w:sz w:val="20"/>
              </w:rPr>
              <w:t>Perte de données</w:t>
            </w:r>
          </w:p>
        </w:tc>
        <w:tc>
          <w:tcPr>
            <w:tcW w:w="743" w:type="dxa"/>
          </w:tcPr>
          <w:p w:rsidR="007C0925" w:rsidRPr="00866BC0" w:rsidRDefault="007C0925" w:rsidP="00866BC0">
            <w:pPr>
              <w:pStyle w:val="Tabletext"/>
              <w:jc w:val="center"/>
              <w:rPr>
                <w:sz w:val="20"/>
              </w:rPr>
            </w:pPr>
            <w:r w:rsidRPr="00866BC0">
              <w:rPr>
                <w:sz w:val="20"/>
              </w:rPr>
              <w:t>0,004</w:t>
            </w:r>
          </w:p>
        </w:tc>
        <w:tc>
          <w:tcPr>
            <w:tcW w:w="2268" w:type="dxa"/>
          </w:tcPr>
          <w:p w:rsidR="007C0925" w:rsidRPr="00866BC0" w:rsidRDefault="007C0925" w:rsidP="00866BC0">
            <w:pPr>
              <w:pStyle w:val="Tabletext"/>
              <w:jc w:val="center"/>
              <w:rPr>
                <w:sz w:val="20"/>
              </w:rPr>
            </w:pPr>
            <w:r w:rsidRPr="00866BC0">
              <w:rPr>
                <w:sz w:val="20"/>
              </w:rPr>
              <w:t>–161,8 dB(W/20 kHz)</w:t>
            </w:r>
          </w:p>
        </w:tc>
        <w:tc>
          <w:tcPr>
            <w:tcW w:w="709" w:type="dxa"/>
          </w:tcPr>
          <w:p w:rsidR="007C0925" w:rsidRPr="00866BC0" w:rsidRDefault="007C0925" w:rsidP="00866BC0">
            <w:pPr>
              <w:pStyle w:val="Tabletext"/>
              <w:jc w:val="center"/>
              <w:rPr>
                <w:sz w:val="20"/>
              </w:rPr>
            </w:pPr>
            <w:r w:rsidRPr="00866BC0">
              <w:rPr>
                <w:sz w:val="20"/>
              </w:rPr>
              <w:t>0,006</w:t>
            </w:r>
          </w:p>
        </w:tc>
        <w:tc>
          <w:tcPr>
            <w:tcW w:w="2211" w:type="dxa"/>
          </w:tcPr>
          <w:p w:rsidR="007C0925" w:rsidRPr="00866BC0" w:rsidRDefault="007C0925" w:rsidP="00866BC0">
            <w:pPr>
              <w:pStyle w:val="Tabletext"/>
              <w:jc w:val="center"/>
              <w:rPr>
                <w:sz w:val="20"/>
              </w:rPr>
            </w:pPr>
            <w:r w:rsidRPr="00866BC0">
              <w:rPr>
                <w:sz w:val="20"/>
              </w:rPr>
              <w:t>–161,6 dB(W/20 kHz)</w:t>
            </w:r>
          </w:p>
        </w:tc>
      </w:tr>
      <w:tr w:rsidR="007C0925" w:rsidRPr="00590E3E" w:rsidTr="00866BC0">
        <w:trPr>
          <w:jc w:val="center"/>
        </w:trPr>
        <w:tc>
          <w:tcPr>
            <w:tcW w:w="2127" w:type="dxa"/>
            <w:vMerge w:val="restart"/>
          </w:tcPr>
          <w:p w:rsidR="007C0925" w:rsidRPr="00866BC0" w:rsidRDefault="007C0925" w:rsidP="00866BC0">
            <w:pPr>
              <w:pStyle w:val="Tabletext"/>
              <w:jc w:val="left"/>
              <w:rPr>
                <w:sz w:val="20"/>
              </w:rPr>
            </w:pPr>
            <w:r w:rsidRPr="00866BC0">
              <w:rPr>
                <w:sz w:val="20"/>
              </w:rPr>
              <w:t>Fusée-sonde 403 MHz</w:t>
            </w:r>
          </w:p>
        </w:tc>
        <w:tc>
          <w:tcPr>
            <w:tcW w:w="1383" w:type="dxa"/>
            <w:tcBorders>
              <w:bottom w:val="nil"/>
            </w:tcBorders>
          </w:tcPr>
          <w:p w:rsidR="007C0925" w:rsidRPr="00866BC0" w:rsidRDefault="007C0925" w:rsidP="00866BC0">
            <w:pPr>
              <w:pStyle w:val="Tabletext"/>
              <w:jc w:val="center"/>
              <w:rPr>
                <w:sz w:val="20"/>
              </w:rPr>
            </w:pPr>
            <w:r w:rsidRPr="00866BC0">
              <w:rPr>
                <w:sz w:val="20"/>
              </w:rPr>
              <w:t>Perte de verrouillage</w:t>
            </w:r>
          </w:p>
        </w:tc>
        <w:tc>
          <w:tcPr>
            <w:tcW w:w="743" w:type="dxa"/>
            <w:tcBorders>
              <w:bottom w:val="nil"/>
            </w:tcBorders>
          </w:tcPr>
          <w:p w:rsidR="007C0925" w:rsidRPr="00866BC0" w:rsidRDefault="007C0925" w:rsidP="00866BC0">
            <w:pPr>
              <w:pStyle w:val="Tabletext"/>
              <w:jc w:val="center"/>
              <w:rPr>
                <w:sz w:val="20"/>
              </w:rPr>
            </w:pPr>
            <w:r w:rsidRPr="00866BC0">
              <w:rPr>
                <w:sz w:val="20"/>
              </w:rPr>
              <w:t>0,003</w:t>
            </w:r>
          </w:p>
        </w:tc>
        <w:tc>
          <w:tcPr>
            <w:tcW w:w="2268" w:type="dxa"/>
            <w:tcBorders>
              <w:bottom w:val="nil"/>
            </w:tcBorders>
          </w:tcPr>
          <w:p w:rsidR="007C0925" w:rsidRPr="00866BC0" w:rsidRDefault="007C0925" w:rsidP="00866BC0">
            <w:pPr>
              <w:pStyle w:val="Tabletext"/>
              <w:jc w:val="center"/>
              <w:rPr>
                <w:sz w:val="20"/>
              </w:rPr>
            </w:pPr>
            <w:r w:rsidRPr="00866BC0">
              <w:rPr>
                <w:sz w:val="20"/>
              </w:rPr>
              <w:t>Sans objet</w:t>
            </w:r>
            <w:r w:rsidRPr="00866BC0">
              <w:rPr>
                <w:sz w:val="20"/>
                <w:vertAlign w:val="superscript"/>
              </w:rPr>
              <w:t xml:space="preserve"> (1)</w:t>
            </w:r>
          </w:p>
        </w:tc>
        <w:tc>
          <w:tcPr>
            <w:tcW w:w="709" w:type="dxa"/>
            <w:tcBorders>
              <w:bottom w:val="nil"/>
            </w:tcBorders>
          </w:tcPr>
          <w:p w:rsidR="007C0925" w:rsidRPr="00866BC0" w:rsidRDefault="007C0925" w:rsidP="00866BC0">
            <w:pPr>
              <w:pStyle w:val="Tabletext"/>
              <w:jc w:val="center"/>
              <w:rPr>
                <w:sz w:val="20"/>
              </w:rPr>
            </w:pPr>
            <w:r w:rsidRPr="00866BC0">
              <w:rPr>
                <w:sz w:val="20"/>
              </w:rPr>
              <w:t>0,004</w:t>
            </w:r>
          </w:p>
        </w:tc>
        <w:tc>
          <w:tcPr>
            <w:tcW w:w="2211" w:type="dxa"/>
            <w:tcBorders>
              <w:bottom w:val="nil"/>
            </w:tcBorders>
          </w:tcPr>
          <w:p w:rsidR="007C0925" w:rsidRPr="00866BC0" w:rsidRDefault="007C0925" w:rsidP="00866BC0">
            <w:pPr>
              <w:pStyle w:val="Tabletext"/>
              <w:jc w:val="center"/>
              <w:rPr>
                <w:sz w:val="20"/>
              </w:rPr>
            </w:pPr>
            <w:r w:rsidRPr="00866BC0">
              <w:rPr>
                <w:sz w:val="20"/>
              </w:rPr>
              <w:t>Sans objet</w:t>
            </w:r>
            <w:r w:rsidR="00866BC0" w:rsidRPr="00866BC0">
              <w:rPr>
                <w:sz w:val="20"/>
                <w:vertAlign w:val="superscript"/>
              </w:rPr>
              <w:t>(1)</w:t>
            </w:r>
          </w:p>
        </w:tc>
      </w:tr>
      <w:tr w:rsidR="007C0925" w:rsidRPr="00590E3E" w:rsidTr="00866BC0">
        <w:trPr>
          <w:jc w:val="center"/>
        </w:trPr>
        <w:tc>
          <w:tcPr>
            <w:tcW w:w="2127" w:type="dxa"/>
            <w:vMerge/>
            <w:tcBorders>
              <w:bottom w:val="single" w:sz="6" w:space="0" w:color="auto"/>
            </w:tcBorders>
          </w:tcPr>
          <w:p w:rsidR="007C0925" w:rsidRPr="00866BC0" w:rsidRDefault="007C0925" w:rsidP="00F55E51">
            <w:pPr>
              <w:pStyle w:val="Tabletext"/>
              <w:rPr>
                <w:sz w:val="20"/>
              </w:rPr>
            </w:pPr>
          </w:p>
        </w:tc>
        <w:tc>
          <w:tcPr>
            <w:tcW w:w="1383" w:type="dxa"/>
            <w:tcBorders>
              <w:bottom w:val="single" w:sz="6" w:space="0" w:color="auto"/>
            </w:tcBorders>
          </w:tcPr>
          <w:p w:rsidR="007C0925" w:rsidRPr="00866BC0" w:rsidRDefault="007C0925" w:rsidP="00866BC0">
            <w:pPr>
              <w:pStyle w:val="Tabletext"/>
              <w:jc w:val="center"/>
              <w:rPr>
                <w:sz w:val="20"/>
              </w:rPr>
            </w:pPr>
            <w:r w:rsidRPr="00866BC0">
              <w:rPr>
                <w:sz w:val="20"/>
              </w:rPr>
              <w:t>Perte de données</w:t>
            </w:r>
          </w:p>
        </w:tc>
        <w:tc>
          <w:tcPr>
            <w:tcW w:w="743" w:type="dxa"/>
            <w:tcBorders>
              <w:bottom w:val="single" w:sz="6" w:space="0" w:color="auto"/>
            </w:tcBorders>
          </w:tcPr>
          <w:p w:rsidR="007C0925" w:rsidRPr="00866BC0" w:rsidRDefault="007C0925" w:rsidP="00866BC0">
            <w:pPr>
              <w:pStyle w:val="Tabletext"/>
              <w:jc w:val="center"/>
              <w:rPr>
                <w:sz w:val="20"/>
              </w:rPr>
            </w:pPr>
            <w:r w:rsidRPr="00866BC0">
              <w:rPr>
                <w:sz w:val="20"/>
              </w:rPr>
              <w:t>0,004</w:t>
            </w:r>
          </w:p>
        </w:tc>
        <w:tc>
          <w:tcPr>
            <w:tcW w:w="2268" w:type="dxa"/>
            <w:tcBorders>
              <w:bottom w:val="single" w:sz="6" w:space="0" w:color="auto"/>
            </w:tcBorders>
          </w:tcPr>
          <w:p w:rsidR="007C0925" w:rsidRPr="00866BC0" w:rsidRDefault="007C0925" w:rsidP="00866BC0">
            <w:pPr>
              <w:pStyle w:val="Tabletext"/>
              <w:jc w:val="center"/>
              <w:rPr>
                <w:sz w:val="20"/>
              </w:rPr>
            </w:pPr>
            <w:r w:rsidRPr="00866BC0">
              <w:rPr>
                <w:sz w:val="20"/>
              </w:rPr>
              <w:t>–122,1 dB(W/3,0 MHz)</w:t>
            </w:r>
          </w:p>
        </w:tc>
        <w:tc>
          <w:tcPr>
            <w:tcW w:w="709" w:type="dxa"/>
            <w:tcBorders>
              <w:bottom w:val="single" w:sz="6" w:space="0" w:color="auto"/>
            </w:tcBorders>
          </w:tcPr>
          <w:p w:rsidR="007C0925" w:rsidRPr="00866BC0" w:rsidRDefault="007C0925" w:rsidP="00866BC0">
            <w:pPr>
              <w:pStyle w:val="Tabletext"/>
              <w:jc w:val="center"/>
              <w:rPr>
                <w:sz w:val="20"/>
              </w:rPr>
            </w:pPr>
            <w:r w:rsidRPr="00866BC0">
              <w:rPr>
                <w:sz w:val="20"/>
              </w:rPr>
              <w:t>0,006</w:t>
            </w:r>
          </w:p>
        </w:tc>
        <w:tc>
          <w:tcPr>
            <w:tcW w:w="2211" w:type="dxa"/>
            <w:tcBorders>
              <w:bottom w:val="single" w:sz="6" w:space="0" w:color="auto"/>
            </w:tcBorders>
          </w:tcPr>
          <w:p w:rsidR="007C0925" w:rsidRPr="00866BC0" w:rsidRDefault="007C0925" w:rsidP="00866BC0">
            <w:pPr>
              <w:pStyle w:val="Tabletext"/>
              <w:jc w:val="center"/>
              <w:rPr>
                <w:sz w:val="20"/>
              </w:rPr>
            </w:pPr>
            <w:r w:rsidRPr="00866BC0">
              <w:rPr>
                <w:sz w:val="20"/>
              </w:rPr>
              <w:t>–122,1 dB(W/3,0 MHz)</w:t>
            </w:r>
          </w:p>
        </w:tc>
      </w:tr>
      <w:tr w:rsidR="007C0925" w:rsidRPr="00590E3E" w:rsidTr="0086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441" w:type="dxa"/>
            <w:gridSpan w:val="6"/>
          </w:tcPr>
          <w:p w:rsidR="007C0925" w:rsidRPr="00866BC0" w:rsidRDefault="007C0925" w:rsidP="003B23A1">
            <w:pPr>
              <w:pStyle w:val="Tablelegend"/>
              <w:rPr>
                <w:sz w:val="20"/>
              </w:rPr>
            </w:pPr>
            <w:r w:rsidRPr="00866BC0">
              <w:rPr>
                <w:sz w:val="20"/>
              </w:rPr>
              <w:t>*</w:t>
            </w:r>
            <w:r w:rsidRPr="00866BC0">
              <w:rPr>
                <w:sz w:val="20"/>
              </w:rPr>
              <w:tab/>
              <w:t xml:space="preserve">Etant donné que les caractéristiques détaillées des systèmes susceptibles d'utiliser ces bandes en partage ne sont pas connues, ces niveaux sont calculés pour un seul système. Une nouvelle subdivision du niveau de brouillage relatif à chaque émetteur pourra être effectuée lors de la procédure de </w:t>
            </w:r>
            <w:r w:rsidRPr="00866BC0">
              <w:rPr>
                <w:sz w:val="20"/>
                <w:lang w:val="fr-CH"/>
              </w:rPr>
              <w:t>coordination</w:t>
            </w:r>
            <w:r w:rsidRPr="00866BC0">
              <w:rPr>
                <w:sz w:val="20"/>
              </w:rPr>
              <w:t xml:space="preserve"> formelle.</w:t>
            </w:r>
          </w:p>
        </w:tc>
      </w:tr>
      <w:tr w:rsidR="007C0925" w:rsidRPr="00590E3E" w:rsidTr="0086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441" w:type="dxa"/>
            <w:gridSpan w:val="6"/>
          </w:tcPr>
          <w:p w:rsidR="007C0925" w:rsidRPr="00866BC0" w:rsidRDefault="007C0925" w:rsidP="003B23A1">
            <w:pPr>
              <w:pStyle w:val="Tablelegend"/>
              <w:rPr>
                <w:sz w:val="20"/>
                <w:lang w:val="fr-CH"/>
              </w:rPr>
            </w:pPr>
            <w:r w:rsidRPr="00866BC0">
              <w:rPr>
                <w:sz w:val="20"/>
                <w:vertAlign w:val="superscript"/>
                <w:lang w:val="fr-CH"/>
              </w:rPr>
              <w:t>(1)</w:t>
            </w:r>
            <w:r w:rsidRPr="00866BC0">
              <w:rPr>
                <w:sz w:val="20"/>
                <w:lang w:val="fr-CH"/>
              </w:rPr>
              <w:tab/>
              <w:t xml:space="preserve">Les systèmes dotés d'antennes équidirectives ne risquent pas de perdre le verrouillage de l'antenne sur le signal en raison de brouillages ou d'un évanouissement du signal. </w:t>
            </w:r>
          </w:p>
        </w:tc>
      </w:tr>
    </w:tbl>
    <w:p w:rsidR="007C0925" w:rsidRDefault="007C0925" w:rsidP="007C0925">
      <w:pPr>
        <w:rPr>
          <w:sz w:val="20"/>
          <w:lang w:val="fr-CH"/>
        </w:rPr>
      </w:pPr>
    </w:p>
    <w:p w:rsidR="007C0925" w:rsidRDefault="007C0925" w:rsidP="007C0925">
      <w:pPr>
        <w:rPr>
          <w:sz w:val="20"/>
          <w:lang w:val="fr-CH"/>
        </w:rPr>
      </w:pPr>
    </w:p>
    <w:p w:rsidR="007C0925" w:rsidRDefault="007C0925" w:rsidP="007C0925">
      <w:pPr>
        <w:jc w:val="center"/>
      </w:pPr>
      <w:r>
        <w:t>______________</w:t>
      </w:r>
    </w:p>
    <w:p w:rsidR="007C0925" w:rsidRPr="008D5073" w:rsidRDefault="007C0925" w:rsidP="007C0925">
      <w:pPr>
        <w:rPr>
          <w:lang w:val="fr-CH"/>
        </w:rPr>
      </w:pPr>
    </w:p>
    <w:p w:rsidR="007C0925" w:rsidRPr="00A6617B" w:rsidRDefault="007C0925" w:rsidP="00A6617B">
      <w:pPr>
        <w:rPr>
          <w:lang w:val="en-US"/>
        </w:rPr>
      </w:pPr>
    </w:p>
    <w:sectPr w:rsidR="007C0925" w:rsidRPr="00A6617B">
      <w:headerReference w:type="even" r:id="rId24"/>
      <w:headerReference w:type="default" r:id="rId2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9C2" w:rsidRDefault="008D49C2">
      <w:r>
        <w:separator/>
      </w:r>
    </w:p>
  </w:endnote>
  <w:endnote w:type="continuationSeparator" w:id="0">
    <w:p w:rsidR="008D49C2" w:rsidRDefault="008D4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Pr="00F55E51" w:rsidRDefault="008D49C2" w:rsidP="00F55E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Pr="00220CA5" w:rsidRDefault="008D49C2" w:rsidP="00220CA5">
    <w:pPr>
      <w:pStyle w:val="Footer"/>
      <w:rPr>
        <w:lang w:val="fr-CH"/>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Pr="00DB4B02" w:rsidRDefault="008D49C2" w:rsidP="00F55E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Pr="00F55E51" w:rsidRDefault="008D49C2" w:rsidP="00F55E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Pr="00DB4B02" w:rsidRDefault="008D49C2" w:rsidP="00F55E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9C2" w:rsidRDefault="008D49C2">
      <w:r>
        <w:separator/>
      </w:r>
    </w:p>
  </w:footnote>
  <w:footnote w:type="continuationSeparator" w:id="0">
    <w:p w:rsidR="008D49C2" w:rsidRDefault="008D49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Default="008D49C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Default="008D49C2">
    <w:pPr>
      <w:pStyle w:val="Header"/>
    </w:pPr>
    <w:r>
      <w:tab/>
    </w:r>
    <w:fldSimple w:instr=" DOCPROPERTY &quot;Header&quot; \* MERGEFORMAT ">
      <w:r w:rsidRPr="00D9742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F7789">
      <w:rPr>
        <w:b/>
        <w:bCs/>
        <w:noProof/>
      </w:rPr>
      <w:t>UIT-R  RS.1884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F7789">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Default="008D49C2" w:rsidP="00F55E51">
    <w:pPr>
      <w:pStyle w:val="Header"/>
      <w:ind w:right="360" w:firstLine="360"/>
    </w:pPr>
    <w:r>
      <w:rPr>
        <w:noProof/>
        <w:lang w:val="en-US" w:eastAsia="zh-CN"/>
      </w:rPr>
      <w:drawing>
        <wp:anchor distT="0" distB="0" distL="114300" distR="114300" simplePos="0" relativeHeight="251659264" behindDoc="1" locked="0" layoutInCell="1" allowOverlap="1" wp14:anchorId="3288FBE2" wp14:editId="4C33E57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Pr="00220CA5" w:rsidRDefault="008D49C2" w:rsidP="00220CA5">
    <w:pPr>
      <w:pStyle w:val="Header"/>
      <w:tabs>
        <w:tab w:val="center" w:pos="7258"/>
        <w:tab w:val="left" w:pos="14515"/>
      </w:tabs>
      <w:jc w:val="left"/>
      <w:rPr>
        <w:b/>
        <w:bCs/>
      </w:rPr>
    </w:pPr>
    <w:r>
      <w:rPr>
        <w:b/>
        <w:bCs/>
        <w:noProof/>
      </w:rPr>
      <w:ptab w:relativeTo="margin" w:alignment="center" w:leader="none"/>
    </w:r>
    <w:r w:rsidRPr="001C61C5">
      <w:rPr>
        <w:b/>
        <w:bCs/>
        <w:noProof/>
      </w:rPr>
      <w:t xml:space="preserve">Rec.  </w:t>
    </w:r>
    <w:r>
      <w:rPr>
        <w:b/>
        <w:bCs/>
        <w:noProof/>
      </w:rPr>
      <w:t>UIT-R  RS.1884</w:t>
    </w:r>
    <w:r>
      <w:rPr>
        <w:b/>
        <w:bCs/>
      </w:rPr>
      <w:tab/>
    </w:r>
    <w:r>
      <w:rPr>
        <w:b/>
        <w:bCs/>
      </w:rPr>
      <w:tab/>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Pr="00837CB5" w:rsidRDefault="008D49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D9742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RS.1884</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Default="008D49C2" w:rsidP="00F55E51">
    <w:pPr>
      <w:pStyle w:val="Header"/>
    </w:pPr>
    <w:r>
      <w:tab/>
    </w:r>
    <w:fldSimple w:instr=" DOCPROPERTY &quot;Header&quot; \* MERGEFORMAT ">
      <w:r w:rsidRPr="00D97426">
        <w:rPr>
          <w:b/>
          <w:bCs/>
        </w:rPr>
        <w:t xml:space="preserve">Rec. </w:t>
      </w:r>
    </w:fldSimple>
    <w:r>
      <w:rPr>
        <w:b/>
        <w:bCs/>
      </w:rPr>
      <w:t xml:space="preserve"> UIT-R  RS.1813-1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Pr="001C61C5" w:rsidRDefault="008D49C2" w:rsidP="00F55E51">
    <w:pPr>
      <w:pStyle w:val="Header"/>
      <w:tabs>
        <w:tab w:val="center" w:pos="7258"/>
        <w:tab w:val="left" w:pos="14515"/>
      </w:tabs>
      <w:jc w:val="left"/>
      <w:rPr>
        <w:b/>
        <w:bCs/>
      </w:rPr>
    </w:pPr>
    <w:r w:rsidRPr="00363987">
      <w:rPr>
        <w:b/>
        <w:bCs/>
        <w:noProof/>
      </w:rPr>
      <w:fldChar w:fldCharType="begin"/>
    </w:r>
    <w:r w:rsidRPr="00363987">
      <w:rPr>
        <w:b/>
        <w:bCs/>
        <w:noProof/>
      </w:rPr>
      <w:instrText xml:space="preserve"> PAGE   \* MERGEFORMAT </w:instrText>
    </w:r>
    <w:r w:rsidRPr="00363987">
      <w:rPr>
        <w:b/>
        <w:bCs/>
        <w:noProof/>
      </w:rPr>
      <w:fldChar w:fldCharType="separate"/>
    </w:r>
    <w:r>
      <w:rPr>
        <w:b/>
        <w:bCs/>
        <w:noProof/>
      </w:rPr>
      <w:t>4</w:t>
    </w:r>
    <w:r w:rsidRPr="00363987">
      <w:rPr>
        <w:b/>
        <w:bCs/>
        <w:noProof/>
      </w:rPr>
      <w:fldChar w:fldCharType="end"/>
    </w:r>
    <w:r>
      <w:rPr>
        <w:b/>
        <w:bCs/>
        <w:noProof/>
      </w:rPr>
      <w:ptab w:relativeTo="margin" w:alignment="center" w:leader="none"/>
    </w:r>
    <w:r w:rsidRPr="001C61C5">
      <w:rPr>
        <w:b/>
        <w:bCs/>
        <w:noProof/>
      </w:rPr>
      <w:t xml:space="preserve">Rec.  </w:t>
    </w:r>
    <w:r>
      <w:rPr>
        <w:b/>
        <w:bCs/>
        <w:noProof/>
      </w:rPr>
      <w:t>UIT-R  RS.1884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570570"/>
      <w:docPartObj>
        <w:docPartGallery w:val="Page Numbers (Top of Page)"/>
        <w:docPartUnique/>
      </w:docPartObj>
    </w:sdtPr>
    <w:sdtEndPr>
      <w:rPr>
        <w:noProof/>
      </w:rPr>
    </w:sdtEndPr>
    <w:sdtContent>
      <w:p w:rsidR="008D49C2" w:rsidRPr="00220CA5" w:rsidRDefault="008D49C2" w:rsidP="00220CA5">
        <w:pPr>
          <w:pStyle w:val="Header"/>
          <w:tabs>
            <w:tab w:val="center" w:pos="7258"/>
            <w:tab w:val="left" w:pos="14515"/>
          </w:tabs>
          <w:jc w:val="left"/>
          <w:rPr>
            <w:b/>
            <w:bCs/>
          </w:rPr>
        </w:pPr>
        <w:r>
          <w:rPr>
            <w:b/>
            <w:bCs/>
            <w:noProof/>
          </w:rPr>
          <w:ptab w:relativeTo="margin" w:alignment="center" w:leader="none"/>
        </w:r>
        <w:r w:rsidRPr="001C61C5">
          <w:rPr>
            <w:b/>
            <w:bCs/>
            <w:noProof/>
          </w:rPr>
          <w:t xml:space="preserve">Rec.  </w:t>
        </w:r>
        <w:r>
          <w:rPr>
            <w:b/>
            <w:bCs/>
            <w:noProof/>
          </w:rPr>
          <w:t>UIT-R  RS.1884</w:t>
        </w:r>
        <w:r>
          <w:rPr>
            <w:b/>
            <w:bCs/>
            <w:noProof/>
          </w:rPr>
          <w:tab/>
        </w:r>
        <w:r>
          <w:rPr>
            <w:b/>
            <w:bCs/>
            <w:noProof/>
          </w:rPr>
          <w:tab/>
        </w:r>
        <w:r w:rsidRPr="00363987">
          <w:rPr>
            <w:b/>
            <w:bCs/>
            <w:noProof/>
          </w:rPr>
          <w:fldChar w:fldCharType="begin"/>
        </w:r>
        <w:r w:rsidRPr="00363987">
          <w:rPr>
            <w:b/>
            <w:bCs/>
            <w:noProof/>
          </w:rPr>
          <w:instrText xml:space="preserve"> PAGE   \* MERGEFORMAT </w:instrText>
        </w:r>
        <w:r w:rsidRPr="00363987">
          <w:rPr>
            <w:b/>
            <w:bCs/>
            <w:noProof/>
          </w:rPr>
          <w:fldChar w:fldCharType="separate"/>
        </w:r>
        <w:r>
          <w:rPr>
            <w:b/>
            <w:bCs/>
            <w:noProof/>
          </w:rPr>
          <w:t>5</w:t>
        </w:r>
        <w:r w:rsidRPr="00363987">
          <w:rPr>
            <w:b/>
            <w:bCs/>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Pr="00837CB5" w:rsidRDefault="008D49C2" w:rsidP="00F55E51">
    <w:fldSimple w:instr=" DOCPROPERTY &quot;Header&quot; \* MERGEFORMAT ">
      <w:r w:rsidRPr="00D9742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RS.1884</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2" w:rsidRDefault="008D49C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fldSimple w:instr=" DOCPROPERTY &quot;Header&quot; \* MERGEFORMAT ">
      <w:r w:rsidRPr="00D9742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RS.1884</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510"/>
    <w:multiLevelType w:val="hybridMultilevel"/>
    <w:tmpl w:val="3B9A080C"/>
    <w:lvl w:ilvl="0" w:tplc="46382A1E">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0AC18D7"/>
    <w:multiLevelType w:val="multilevel"/>
    <w:tmpl w:val="B304125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33383B8B"/>
    <w:multiLevelType w:val="hybridMultilevel"/>
    <w:tmpl w:val="2490113E"/>
    <w:lvl w:ilvl="0" w:tplc="5EC8B7A0">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832D5B"/>
    <w:multiLevelType w:val="hybridMultilevel"/>
    <w:tmpl w:val="7C1A6470"/>
    <w:lvl w:ilvl="0" w:tplc="6FD01D7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13036C"/>
    <w:multiLevelType w:val="hybridMultilevel"/>
    <w:tmpl w:val="37680084"/>
    <w:lvl w:ilvl="0" w:tplc="A26C7C5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94288C"/>
    <w:multiLevelType w:val="hybridMultilevel"/>
    <w:tmpl w:val="06B6D456"/>
    <w:lvl w:ilvl="0" w:tplc="60506C2A">
      <w:start w:val="1"/>
      <w:numFmt w:val="lowerLetter"/>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B05025"/>
    <w:multiLevelType w:val="hybridMultilevel"/>
    <w:tmpl w:val="3D6E0292"/>
    <w:lvl w:ilvl="0" w:tplc="964C701C">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0"/>
  </w:num>
  <w:num w:numId="4">
    <w:abstractNumId w:val="2"/>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C9"/>
    <w:rsid w:val="000B5A17"/>
    <w:rsid w:val="00217EBF"/>
    <w:rsid w:val="00220CA5"/>
    <w:rsid w:val="002535A0"/>
    <w:rsid w:val="002D76C4"/>
    <w:rsid w:val="003174BC"/>
    <w:rsid w:val="003B23A1"/>
    <w:rsid w:val="003E077D"/>
    <w:rsid w:val="00607D68"/>
    <w:rsid w:val="00721CC9"/>
    <w:rsid w:val="007468DA"/>
    <w:rsid w:val="007C0925"/>
    <w:rsid w:val="00866BC0"/>
    <w:rsid w:val="008D49C2"/>
    <w:rsid w:val="008F7789"/>
    <w:rsid w:val="00977236"/>
    <w:rsid w:val="00984487"/>
    <w:rsid w:val="009E4031"/>
    <w:rsid w:val="00A6617B"/>
    <w:rsid w:val="00AB0DC8"/>
    <w:rsid w:val="00B44E24"/>
    <w:rsid w:val="00B52F66"/>
    <w:rsid w:val="00BA064F"/>
    <w:rsid w:val="00D33919"/>
    <w:rsid w:val="00D97426"/>
    <w:rsid w:val="00DF4176"/>
    <w:rsid w:val="00F55E51"/>
    <w:rsid w:val="00F81B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E4031"/>
    <w:rPr>
      <w:color w:val="0000FF"/>
      <w:u w:val="single"/>
    </w:rPr>
  </w:style>
  <w:style w:type="character" w:customStyle="1" w:styleId="Heading1Char">
    <w:name w:val="Heading 1 Char"/>
    <w:basedOn w:val="DefaultParagraphFont"/>
    <w:link w:val="Heading1"/>
    <w:rsid w:val="007C0925"/>
    <w:rPr>
      <w:b/>
      <w:sz w:val="24"/>
      <w:lang w:val="fr-FR" w:eastAsia="en-US"/>
    </w:rPr>
  </w:style>
  <w:style w:type="character" w:customStyle="1" w:styleId="Heading2Char">
    <w:name w:val="Heading 2 Char"/>
    <w:basedOn w:val="DefaultParagraphFont"/>
    <w:link w:val="Heading2"/>
    <w:rsid w:val="007C0925"/>
    <w:rPr>
      <w:b/>
      <w:sz w:val="24"/>
      <w:lang w:val="fr-FR" w:eastAsia="en-US"/>
    </w:rPr>
  </w:style>
  <w:style w:type="character" w:customStyle="1" w:styleId="Heading3Char">
    <w:name w:val="Heading 3 Char"/>
    <w:basedOn w:val="DefaultParagraphFont"/>
    <w:link w:val="Heading3"/>
    <w:rsid w:val="007C0925"/>
    <w:rPr>
      <w:b/>
      <w:sz w:val="24"/>
      <w:lang w:val="fr-FR" w:eastAsia="en-US"/>
    </w:rPr>
  </w:style>
  <w:style w:type="character" w:customStyle="1" w:styleId="Heading4Char">
    <w:name w:val="Heading 4 Char"/>
    <w:basedOn w:val="DefaultParagraphFont"/>
    <w:link w:val="Heading4"/>
    <w:rsid w:val="007C0925"/>
    <w:rPr>
      <w:b/>
      <w:sz w:val="24"/>
      <w:lang w:val="fr-FR" w:eastAsia="en-US"/>
    </w:rPr>
  </w:style>
  <w:style w:type="character" w:customStyle="1" w:styleId="Heading5Char">
    <w:name w:val="Heading 5 Char"/>
    <w:basedOn w:val="DefaultParagraphFont"/>
    <w:link w:val="Heading5"/>
    <w:rsid w:val="007C0925"/>
    <w:rPr>
      <w:b/>
      <w:sz w:val="24"/>
      <w:lang w:val="fr-FR" w:eastAsia="en-US"/>
    </w:rPr>
  </w:style>
  <w:style w:type="character" w:customStyle="1" w:styleId="Heading6Char">
    <w:name w:val="Heading 6 Char"/>
    <w:basedOn w:val="DefaultParagraphFont"/>
    <w:link w:val="Heading6"/>
    <w:rsid w:val="007C0925"/>
    <w:rPr>
      <w:b/>
      <w:sz w:val="24"/>
      <w:lang w:val="fr-FR" w:eastAsia="en-US"/>
    </w:rPr>
  </w:style>
  <w:style w:type="character" w:customStyle="1" w:styleId="Heading7Char">
    <w:name w:val="Heading 7 Char"/>
    <w:basedOn w:val="DefaultParagraphFont"/>
    <w:link w:val="Heading7"/>
    <w:rsid w:val="007C0925"/>
    <w:rPr>
      <w:b/>
      <w:sz w:val="24"/>
      <w:lang w:val="fr-FR" w:eastAsia="en-US"/>
    </w:rPr>
  </w:style>
  <w:style w:type="character" w:customStyle="1" w:styleId="Heading8Char">
    <w:name w:val="Heading 8 Char"/>
    <w:basedOn w:val="DefaultParagraphFont"/>
    <w:link w:val="Heading8"/>
    <w:rsid w:val="007C0925"/>
    <w:rPr>
      <w:b/>
      <w:sz w:val="24"/>
      <w:lang w:val="fr-FR" w:eastAsia="en-US"/>
    </w:rPr>
  </w:style>
  <w:style w:type="character" w:customStyle="1" w:styleId="Heading9Char">
    <w:name w:val="Heading 9 Char"/>
    <w:basedOn w:val="DefaultParagraphFont"/>
    <w:link w:val="Heading9"/>
    <w:rsid w:val="007C0925"/>
    <w:rPr>
      <w:b/>
      <w:sz w:val="24"/>
      <w:lang w:val="fr-FR" w:eastAsia="en-US"/>
    </w:rPr>
  </w:style>
  <w:style w:type="character" w:customStyle="1" w:styleId="FooterChar">
    <w:name w:val="Footer Char"/>
    <w:basedOn w:val="DefaultParagraphFont"/>
    <w:link w:val="Footer"/>
    <w:rsid w:val="007C0925"/>
    <w:rPr>
      <w:noProof/>
      <w:sz w:val="18"/>
      <w:lang w:val="fr-FR" w:eastAsia="en-US"/>
    </w:rPr>
  </w:style>
  <w:style w:type="character" w:customStyle="1" w:styleId="FootnoteTextChar">
    <w:name w:val="Footnote Text Char"/>
    <w:basedOn w:val="DefaultParagraphFont"/>
    <w:link w:val="FootnoteText"/>
    <w:rsid w:val="007C0925"/>
    <w:rPr>
      <w:sz w:val="22"/>
      <w:lang w:val="fr-FR" w:eastAsia="en-US"/>
    </w:rPr>
  </w:style>
  <w:style w:type="paragraph" w:customStyle="1" w:styleId="TableNotitle">
    <w:name w:val="Table_No &amp; title"/>
    <w:basedOn w:val="Normal"/>
    <w:next w:val="Tablehead"/>
    <w:rsid w:val="007C0925"/>
    <w:pPr>
      <w:keepNext/>
      <w:keepLines/>
      <w:spacing w:before="360" w:after="120"/>
      <w:jc w:val="center"/>
    </w:pPr>
    <w:rPr>
      <w:b/>
    </w:rPr>
  </w:style>
  <w:style w:type="paragraph" w:customStyle="1" w:styleId="headfoot">
    <w:name w:val="head_foot"/>
    <w:basedOn w:val="Normal"/>
    <w:next w:val="Normal"/>
    <w:rsid w:val="007C0925"/>
    <w:pPr>
      <w:tabs>
        <w:tab w:val="clear" w:pos="794"/>
        <w:tab w:val="clear" w:pos="1191"/>
        <w:tab w:val="clear" w:pos="1588"/>
        <w:tab w:val="clear" w:pos="1985"/>
      </w:tabs>
      <w:spacing w:before="0"/>
      <w:jc w:val="left"/>
    </w:pPr>
    <w:rPr>
      <w:b/>
      <w:color w:val="FFFFFF"/>
      <w:sz w:val="8"/>
    </w:rPr>
  </w:style>
  <w:style w:type="character" w:customStyle="1" w:styleId="HeaderChar">
    <w:name w:val="Header Char"/>
    <w:basedOn w:val="DefaultParagraphFont"/>
    <w:link w:val="Header"/>
    <w:uiPriority w:val="99"/>
    <w:rsid w:val="007C0925"/>
    <w:rPr>
      <w:sz w:val="24"/>
      <w:lang w:val="fr-FR" w:eastAsia="en-US"/>
    </w:rPr>
  </w:style>
  <w:style w:type="paragraph" w:styleId="ListParagraph">
    <w:name w:val="List Paragraph"/>
    <w:basedOn w:val="Normal"/>
    <w:uiPriority w:val="34"/>
    <w:qFormat/>
    <w:rsid w:val="007C0925"/>
    <w:pPr>
      <w:ind w:left="720"/>
      <w:contextualSpacing/>
      <w:jc w:val="left"/>
    </w:pPr>
  </w:style>
  <w:style w:type="paragraph" w:customStyle="1" w:styleId="TableTitle0">
    <w:name w:val="Table_Title"/>
    <w:basedOn w:val="Table"/>
    <w:next w:val="Blanc"/>
    <w:rsid w:val="007C0925"/>
    <w:pPr>
      <w:spacing w:before="0"/>
    </w:pPr>
    <w:rPr>
      <w:b/>
    </w:rPr>
  </w:style>
  <w:style w:type="paragraph" w:customStyle="1" w:styleId="Table">
    <w:name w:val="Table_#"/>
    <w:basedOn w:val="Normal"/>
    <w:next w:val="TableTitle0"/>
    <w:rsid w:val="007C0925"/>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rsid w:val="007C0925"/>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jc w:val="left"/>
    </w:pPr>
    <w:rPr>
      <w:sz w:val="18"/>
      <w:lang w:val="en-GB"/>
    </w:rPr>
  </w:style>
  <w:style w:type="paragraph" w:customStyle="1" w:styleId="Artheading">
    <w:name w:val="Art_heading"/>
    <w:basedOn w:val="Normal"/>
    <w:next w:val="Normalaftertitle"/>
    <w:rsid w:val="007C0925"/>
    <w:pPr>
      <w:spacing w:before="480"/>
      <w:jc w:val="center"/>
    </w:pPr>
    <w:rPr>
      <w:b/>
      <w:sz w:val="28"/>
    </w:rPr>
  </w:style>
  <w:style w:type="character" w:styleId="EndnoteReference">
    <w:name w:val="endnote reference"/>
    <w:basedOn w:val="DefaultParagraphFont"/>
    <w:rsid w:val="007C0925"/>
    <w:rPr>
      <w:vertAlign w:val="superscript"/>
    </w:rPr>
  </w:style>
  <w:style w:type="paragraph" w:customStyle="1" w:styleId="Figurewithouttitle">
    <w:name w:val="Figure_without_title"/>
    <w:basedOn w:val="Normal"/>
    <w:next w:val="Normalaftertitle"/>
    <w:rsid w:val="007C0925"/>
    <w:pPr>
      <w:keepLines/>
      <w:spacing w:before="240" w:after="120"/>
      <w:jc w:val="center"/>
    </w:pPr>
  </w:style>
  <w:style w:type="paragraph" w:customStyle="1" w:styleId="FirstFooter">
    <w:name w:val="FirstFooter"/>
    <w:basedOn w:val="Footer"/>
    <w:rsid w:val="007C0925"/>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7C0925"/>
    <w:pPr>
      <w:spacing w:before="840" w:after="200"/>
      <w:jc w:val="center"/>
    </w:pPr>
    <w:rPr>
      <w:b/>
      <w:sz w:val="28"/>
    </w:rPr>
  </w:style>
  <w:style w:type="paragraph" w:customStyle="1" w:styleId="SpecialFooter">
    <w:name w:val="Special Footer"/>
    <w:basedOn w:val="Footer"/>
    <w:rsid w:val="007C0925"/>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7C0925"/>
    <w:pPr>
      <w:keepNext/>
      <w:spacing w:before="0" w:after="120"/>
      <w:jc w:val="center"/>
    </w:pPr>
  </w:style>
  <w:style w:type="paragraph" w:customStyle="1" w:styleId="Title1">
    <w:name w:val="Title 1"/>
    <w:basedOn w:val="Source"/>
    <w:next w:val="Title2"/>
    <w:rsid w:val="007C092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C0925"/>
  </w:style>
  <w:style w:type="paragraph" w:customStyle="1" w:styleId="Title3">
    <w:name w:val="Title 3"/>
    <w:basedOn w:val="Title2"/>
    <w:next w:val="Title4"/>
    <w:rsid w:val="007C0925"/>
    <w:rPr>
      <w:caps w:val="0"/>
    </w:rPr>
  </w:style>
  <w:style w:type="paragraph" w:customStyle="1" w:styleId="Title4">
    <w:name w:val="Title 4"/>
    <w:basedOn w:val="Title3"/>
    <w:next w:val="Heading1"/>
    <w:rsid w:val="007C0925"/>
    <w:rPr>
      <w:b/>
    </w:rPr>
  </w:style>
  <w:style w:type="character" w:customStyle="1" w:styleId="Appdef">
    <w:name w:val="App_def"/>
    <w:basedOn w:val="DefaultParagraphFont"/>
    <w:rsid w:val="007C0925"/>
    <w:rPr>
      <w:rFonts w:ascii="Times New Roman" w:hAnsi="Times New Roman"/>
      <w:b/>
    </w:rPr>
  </w:style>
  <w:style w:type="character" w:customStyle="1" w:styleId="Appref">
    <w:name w:val="App_ref"/>
    <w:basedOn w:val="DefaultParagraphFont"/>
    <w:rsid w:val="007C0925"/>
  </w:style>
  <w:style w:type="character" w:customStyle="1" w:styleId="Artdef">
    <w:name w:val="Art_def"/>
    <w:basedOn w:val="DefaultParagraphFont"/>
    <w:rsid w:val="007C0925"/>
    <w:rPr>
      <w:rFonts w:ascii="Times New Roman" w:hAnsi="Times New Roman"/>
      <w:b/>
    </w:rPr>
  </w:style>
  <w:style w:type="character" w:customStyle="1" w:styleId="Artref">
    <w:name w:val="Art_ref"/>
    <w:basedOn w:val="DefaultParagraphFont"/>
    <w:rsid w:val="007C0925"/>
  </w:style>
  <w:style w:type="character" w:customStyle="1" w:styleId="Recdef">
    <w:name w:val="Rec_def"/>
    <w:basedOn w:val="DefaultParagraphFont"/>
    <w:rsid w:val="007C0925"/>
    <w:rPr>
      <w:b/>
    </w:rPr>
  </w:style>
  <w:style w:type="character" w:customStyle="1" w:styleId="Resdef">
    <w:name w:val="Res_def"/>
    <w:basedOn w:val="DefaultParagraphFont"/>
    <w:rsid w:val="007C0925"/>
    <w:rPr>
      <w:rFonts w:ascii="Times New Roman" w:hAnsi="Times New Roman"/>
      <w:b/>
    </w:rPr>
  </w:style>
  <w:style w:type="character" w:customStyle="1" w:styleId="Tablefreq">
    <w:name w:val="Table_freq"/>
    <w:basedOn w:val="DefaultParagraphFont"/>
    <w:rsid w:val="007C0925"/>
    <w:rPr>
      <w:b/>
      <w:color w:val="auto"/>
    </w:rPr>
  </w:style>
  <w:style w:type="paragraph" w:customStyle="1" w:styleId="Formal">
    <w:name w:val="Formal"/>
    <w:basedOn w:val="ASN1"/>
    <w:rsid w:val="007C0925"/>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7C0925"/>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C0925"/>
    <w:pPr>
      <w:tabs>
        <w:tab w:val="clear" w:pos="794"/>
        <w:tab w:val="clear" w:pos="1191"/>
        <w:tab w:val="clear" w:pos="1588"/>
        <w:tab w:val="clear" w:pos="1985"/>
      </w:tabs>
      <w:spacing w:before="240"/>
      <w:jc w:val="center"/>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E4031"/>
    <w:rPr>
      <w:color w:val="0000FF"/>
      <w:u w:val="single"/>
    </w:rPr>
  </w:style>
  <w:style w:type="character" w:customStyle="1" w:styleId="Heading1Char">
    <w:name w:val="Heading 1 Char"/>
    <w:basedOn w:val="DefaultParagraphFont"/>
    <w:link w:val="Heading1"/>
    <w:rsid w:val="007C0925"/>
    <w:rPr>
      <w:b/>
      <w:sz w:val="24"/>
      <w:lang w:val="fr-FR" w:eastAsia="en-US"/>
    </w:rPr>
  </w:style>
  <w:style w:type="character" w:customStyle="1" w:styleId="Heading2Char">
    <w:name w:val="Heading 2 Char"/>
    <w:basedOn w:val="DefaultParagraphFont"/>
    <w:link w:val="Heading2"/>
    <w:rsid w:val="007C0925"/>
    <w:rPr>
      <w:b/>
      <w:sz w:val="24"/>
      <w:lang w:val="fr-FR" w:eastAsia="en-US"/>
    </w:rPr>
  </w:style>
  <w:style w:type="character" w:customStyle="1" w:styleId="Heading3Char">
    <w:name w:val="Heading 3 Char"/>
    <w:basedOn w:val="DefaultParagraphFont"/>
    <w:link w:val="Heading3"/>
    <w:rsid w:val="007C0925"/>
    <w:rPr>
      <w:b/>
      <w:sz w:val="24"/>
      <w:lang w:val="fr-FR" w:eastAsia="en-US"/>
    </w:rPr>
  </w:style>
  <w:style w:type="character" w:customStyle="1" w:styleId="Heading4Char">
    <w:name w:val="Heading 4 Char"/>
    <w:basedOn w:val="DefaultParagraphFont"/>
    <w:link w:val="Heading4"/>
    <w:rsid w:val="007C0925"/>
    <w:rPr>
      <w:b/>
      <w:sz w:val="24"/>
      <w:lang w:val="fr-FR" w:eastAsia="en-US"/>
    </w:rPr>
  </w:style>
  <w:style w:type="character" w:customStyle="1" w:styleId="Heading5Char">
    <w:name w:val="Heading 5 Char"/>
    <w:basedOn w:val="DefaultParagraphFont"/>
    <w:link w:val="Heading5"/>
    <w:rsid w:val="007C0925"/>
    <w:rPr>
      <w:b/>
      <w:sz w:val="24"/>
      <w:lang w:val="fr-FR" w:eastAsia="en-US"/>
    </w:rPr>
  </w:style>
  <w:style w:type="character" w:customStyle="1" w:styleId="Heading6Char">
    <w:name w:val="Heading 6 Char"/>
    <w:basedOn w:val="DefaultParagraphFont"/>
    <w:link w:val="Heading6"/>
    <w:rsid w:val="007C0925"/>
    <w:rPr>
      <w:b/>
      <w:sz w:val="24"/>
      <w:lang w:val="fr-FR" w:eastAsia="en-US"/>
    </w:rPr>
  </w:style>
  <w:style w:type="character" w:customStyle="1" w:styleId="Heading7Char">
    <w:name w:val="Heading 7 Char"/>
    <w:basedOn w:val="DefaultParagraphFont"/>
    <w:link w:val="Heading7"/>
    <w:rsid w:val="007C0925"/>
    <w:rPr>
      <w:b/>
      <w:sz w:val="24"/>
      <w:lang w:val="fr-FR" w:eastAsia="en-US"/>
    </w:rPr>
  </w:style>
  <w:style w:type="character" w:customStyle="1" w:styleId="Heading8Char">
    <w:name w:val="Heading 8 Char"/>
    <w:basedOn w:val="DefaultParagraphFont"/>
    <w:link w:val="Heading8"/>
    <w:rsid w:val="007C0925"/>
    <w:rPr>
      <w:b/>
      <w:sz w:val="24"/>
      <w:lang w:val="fr-FR" w:eastAsia="en-US"/>
    </w:rPr>
  </w:style>
  <w:style w:type="character" w:customStyle="1" w:styleId="Heading9Char">
    <w:name w:val="Heading 9 Char"/>
    <w:basedOn w:val="DefaultParagraphFont"/>
    <w:link w:val="Heading9"/>
    <w:rsid w:val="007C0925"/>
    <w:rPr>
      <w:b/>
      <w:sz w:val="24"/>
      <w:lang w:val="fr-FR" w:eastAsia="en-US"/>
    </w:rPr>
  </w:style>
  <w:style w:type="character" w:customStyle="1" w:styleId="FooterChar">
    <w:name w:val="Footer Char"/>
    <w:basedOn w:val="DefaultParagraphFont"/>
    <w:link w:val="Footer"/>
    <w:rsid w:val="007C0925"/>
    <w:rPr>
      <w:noProof/>
      <w:sz w:val="18"/>
      <w:lang w:val="fr-FR" w:eastAsia="en-US"/>
    </w:rPr>
  </w:style>
  <w:style w:type="character" w:customStyle="1" w:styleId="FootnoteTextChar">
    <w:name w:val="Footnote Text Char"/>
    <w:basedOn w:val="DefaultParagraphFont"/>
    <w:link w:val="FootnoteText"/>
    <w:rsid w:val="007C0925"/>
    <w:rPr>
      <w:sz w:val="22"/>
      <w:lang w:val="fr-FR" w:eastAsia="en-US"/>
    </w:rPr>
  </w:style>
  <w:style w:type="paragraph" w:customStyle="1" w:styleId="TableNotitle">
    <w:name w:val="Table_No &amp; title"/>
    <w:basedOn w:val="Normal"/>
    <w:next w:val="Tablehead"/>
    <w:rsid w:val="007C0925"/>
    <w:pPr>
      <w:keepNext/>
      <w:keepLines/>
      <w:spacing w:before="360" w:after="120"/>
      <w:jc w:val="center"/>
    </w:pPr>
    <w:rPr>
      <w:b/>
    </w:rPr>
  </w:style>
  <w:style w:type="paragraph" w:customStyle="1" w:styleId="headfoot">
    <w:name w:val="head_foot"/>
    <w:basedOn w:val="Normal"/>
    <w:next w:val="Normal"/>
    <w:rsid w:val="007C0925"/>
    <w:pPr>
      <w:tabs>
        <w:tab w:val="clear" w:pos="794"/>
        <w:tab w:val="clear" w:pos="1191"/>
        <w:tab w:val="clear" w:pos="1588"/>
        <w:tab w:val="clear" w:pos="1985"/>
      </w:tabs>
      <w:spacing w:before="0"/>
      <w:jc w:val="left"/>
    </w:pPr>
    <w:rPr>
      <w:b/>
      <w:color w:val="FFFFFF"/>
      <w:sz w:val="8"/>
    </w:rPr>
  </w:style>
  <w:style w:type="character" w:customStyle="1" w:styleId="HeaderChar">
    <w:name w:val="Header Char"/>
    <w:basedOn w:val="DefaultParagraphFont"/>
    <w:link w:val="Header"/>
    <w:uiPriority w:val="99"/>
    <w:rsid w:val="007C0925"/>
    <w:rPr>
      <w:sz w:val="24"/>
      <w:lang w:val="fr-FR" w:eastAsia="en-US"/>
    </w:rPr>
  </w:style>
  <w:style w:type="paragraph" w:styleId="ListParagraph">
    <w:name w:val="List Paragraph"/>
    <w:basedOn w:val="Normal"/>
    <w:uiPriority w:val="34"/>
    <w:qFormat/>
    <w:rsid w:val="007C0925"/>
    <w:pPr>
      <w:ind w:left="720"/>
      <w:contextualSpacing/>
      <w:jc w:val="left"/>
    </w:pPr>
  </w:style>
  <w:style w:type="paragraph" w:customStyle="1" w:styleId="TableTitle0">
    <w:name w:val="Table_Title"/>
    <w:basedOn w:val="Table"/>
    <w:next w:val="Blanc"/>
    <w:rsid w:val="007C0925"/>
    <w:pPr>
      <w:spacing w:before="0"/>
    </w:pPr>
    <w:rPr>
      <w:b/>
    </w:rPr>
  </w:style>
  <w:style w:type="paragraph" w:customStyle="1" w:styleId="Table">
    <w:name w:val="Table_#"/>
    <w:basedOn w:val="Normal"/>
    <w:next w:val="TableTitle0"/>
    <w:rsid w:val="007C0925"/>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rsid w:val="007C0925"/>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jc w:val="left"/>
    </w:pPr>
    <w:rPr>
      <w:sz w:val="18"/>
      <w:lang w:val="en-GB"/>
    </w:rPr>
  </w:style>
  <w:style w:type="paragraph" w:customStyle="1" w:styleId="Artheading">
    <w:name w:val="Art_heading"/>
    <w:basedOn w:val="Normal"/>
    <w:next w:val="Normalaftertitle"/>
    <w:rsid w:val="007C0925"/>
    <w:pPr>
      <w:spacing w:before="480"/>
      <w:jc w:val="center"/>
    </w:pPr>
    <w:rPr>
      <w:b/>
      <w:sz w:val="28"/>
    </w:rPr>
  </w:style>
  <w:style w:type="character" w:styleId="EndnoteReference">
    <w:name w:val="endnote reference"/>
    <w:basedOn w:val="DefaultParagraphFont"/>
    <w:rsid w:val="007C0925"/>
    <w:rPr>
      <w:vertAlign w:val="superscript"/>
    </w:rPr>
  </w:style>
  <w:style w:type="paragraph" w:customStyle="1" w:styleId="Figurewithouttitle">
    <w:name w:val="Figure_without_title"/>
    <w:basedOn w:val="Normal"/>
    <w:next w:val="Normalaftertitle"/>
    <w:rsid w:val="007C0925"/>
    <w:pPr>
      <w:keepLines/>
      <w:spacing w:before="240" w:after="120"/>
      <w:jc w:val="center"/>
    </w:pPr>
  </w:style>
  <w:style w:type="paragraph" w:customStyle="1" w:styleId="FirstFooter">
    <w:name w:val="FirstFooter"/>
    <w:basedOn w:val="Footer"/>
    <w:rsid w:val="007C0925"/>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7C0925"/>
    <w:pPr>
      <w:spacing w:before="840" w:after="200"/>
      <w:jc w:val="center"/>
    </w:pPr>
    <w:rPr>
      <w:b/>
      <w:sz w:val="28"/>
    </w:rPr>
  </w:style>
  <w:style w:type="paragraph" w:customStyle="1" w:styleId="SpecialFooter">
    <w:name w:val="Special Footer"/>
    <w:basedOn w:val="Footer"/>
    <w:rsid w:val="007C0925"/>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7C0925"/>
    <w:pPr>
      <w:keepNext/>
      <w:spacing w:before="0" w:after="120"/>
      <w:jc w:val="center"/>
    </w:pPr>
  </w:style>
  <w:style w:type="paragraph" w:customStyle="1" w:styleId="Title1">
    <w:name w:val="Title 1"/>
    <w:basedOn w:val="Source"/>
    <w:next w:val="Title2"/>
    <w:rsid w:val="007C092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C0925"/>
  </w:style>
  <w:style w:type="paragraph" w:customStyle="1" w:styleId="Title3">
    <w:name w:val="Title 3"/>
    <w:basedOn w:val="Title2"/>
    <w:next w:val="Title4"/>
    <w:rsid w:val="007C0925"/>
    <w:rPr>
      <w:caps w:val="0"/>
    </w:rPr>
  </w:style>
  <w:style w:type="paragraph" w:customStyle="1" w:styleId="Title4">
    <w:name w:val="Title 4"/>
    <w:basedOn w:val="Title3"/>
    <w:next w:val="Heading1"/>
    <w:rsid w:val="007C0925"/>
    <w:rPr>
      <w:b/>
    </w:rPr>
  </w:style>
  <w:style w:type="character" w:customStyle="1" w:styleId="Appdef">
    <w:name w:val="App_def"/>
    <w:basedOn w:val="DefaultParagraphFont"/>
    <w:rsid w:val="007C0925"/>
    <w:rPr>
      <w:rFonts w:ascii="Times New Roman" w:hAnsi="Times New Roman"/>
      <w:b/>
    </w:rPr>
  </w:style>
  <w:style w:type="character" w:customStyle="1" w:styleId="Appref">
    <w:name w:val="App_ref"/>
    <w:basedOn w:val="DefaultParagraphFont"/>
    <w:rsid w:val="007C0925"/>
  </w:style>
  <w:style w:type="character" w:customStyle="1" w:styleId="Artdef">
    <w:name w:val="Art_def"/>
    <w:basedOn w:val="DefaultParagraphFont"/>
    <w:rsid w:val="007C0925"/>
    <w:rPr>
      <w:rFonts w:ascii="Times New Roman" w:hAnsi="Times New Roman"/>
      <w:b/>
    </w:rPr>
  </w:style>
  <w:style w:type="character" w:customStyle="1" w:styleId="Artref">
    <w:name w:val="Art_ref"/>
    <w:basedOn w:val="DefaultParagraphFont"/>
    <w:rsid w:val="007C0925"/>
  </w:style>
  <w:style w:type="character" w:customStyle="1" w:styleId="Recdef">
    <w:name w:val="Rec_def"/>
    <w:basedOn w:val="DefaultParagraphFont"/>
    <w:rsid w:val="007C0925"/>
    <w:rPr>
      <w:b/>
    </w:rPr>
  </w:style>
  <w:style w:type="character" w:customStyle="1" w:styleId="Resdef">
    <w:name w:val="Res_def"/>
    <w:basedOn w:val="DefaultParagraphFont"/>
    <w:rsid w:val="007C0925"/>
    <w:rPr>
      <w:rFonts w:ascii="Times New Roman" w:hAnsi="Times New Roman"/>
      <w:b/>
    </w:rPr>
  </w:style>
  <w:style w:type="character" w:customStyle="1" w:styleId="Tablefreq">
    <w:name w:val="Table_freq"/>
    <w:basedOn w:val="DefaultParagraphFont"/>
    <w:rsid w:val="007C0925"/>
    <w:rPr>
      <w:b/>
      <w:color w:val="auto"/>
    </w:rPr>
  </w:style>
  <w:style w:type="paragraph" w:customStyle="1" w:styleId="Formal">
    <w:name w:val="Formal"/>
    <w:basedOn w:val="ASN1"/>
    <w:rsid w:val="007C0925"/>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7C0925"/>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C0925"/>
    <w:pPr>
      <w:tabs>
        <w:tab w:val="clear" w:pos="794"/>
        <w:tab w:val="clear" w:pos="1191"/>
        <w:tab w:val="clear" w:pos="1588"/>
        <w:tab w:val="clear" w:pos="1985"/>
      </w:tabs>
      <w:spacing w:before="240"/>
      <w:jc w:val="cente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fr"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itu.int/ITU-R/go/patents/fr" TargetMode="External"/><Relationship Id="rId17" Type="http://schemas.openxmlformats.org/officeDocument/2006/relationships/header" Target="header7.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ECF93-9C0A-433F-AF9B-A4FB1DE42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73</TotalTime>
  <Pages>11</Pages>
  <Words>3702</Words>
  <Characters>19795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16</cp:revision>
  <cp:lastPrinted>2005-02-10T15:54:00Z</cp:lastPrinted>
  <dcterms:created xsi:type="dcterms:W3CDTF">2011-05-23T14:10:00Z</dcterms:created>
  <dcterms:modified xsi:type="dcterms:W3CDTF">2011-06-20T08:45:00Z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