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FAE" w:rsidRPr="00575CB8" w:rsidRDefault="009E6FAE" w:rsidP="009E6FAE">
      <w:pPr>
        <w:rPr>
          <w:lang w:val="en-US"/>
        </w:rPr>
      </w:pPr>
      <w:bookmarkStart w:id="0" w:name="dbreak"/>
      <w:bookmarkEnd w:id="0"/>
    </w:p>
    <w:p w:rsidR="009E6FAE" w:rsidRDefault="009E6FAE" w:rsidP="009E6FAE"/>
    <w:p w:rsidR="009E6FAE" w:rsidRDefault="009E6FAE" w:rsidP="009E6FAE"/>
    <w:p w:rsidR="009E6FAE" w:rsidRDefault="009E6FAE" w:rsidP="009E6FAE"/>
    <w:p w:rsidR="009E6FAE" w:rsidRDefault="009E6FAE" w:rsidP="009E6FAE"/>
    <w:p w:rsidR="009E6FAE" w:rsidRDefault="009E6FAE" w:rsidP="009E6FAE"/>
    <w:p w:rsidR="009E6FAE" w:rsidRDefault="009E6FAE" w:rsidP="009E6FAE"/>
    <w:p w:rsidR="009E6FAE" w:rsidRDefault="009E6FAE" w:rsidP="009E6FAE"/>
    <w:p w:rsidR="009E6FAE" w:rsidRDefault="009E6FAE" w:rsidP="009E6FAE"/>
    <w:p w:rsidR="009E6FAE" w:rsidRDefault="009E6FAE" w:rsidP="009E6FAE"/>
    <w:p w:rsidR="009E6FAE" w:rsidRDefault="009E6FAE" w:rsidP="009E6FAE"/>
    <w:p w:rsidR="009E6FAE" w:rsidRDefault="009E6FAE" w:rsidP="009E6FAE"/>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E6FAE" w:rsidRPr="009E6FAE" w:rsidTr="00A36412">
        <w:tc>
          <w:tcPr>
            <w:tcW w:w="10089" w:type="dxa"/>
          </w:tcPr>
          <w:p w:rsidR="009E6FAE" w:rsidRPr="0010336F" w:rsidRDefault="009E6FAE" w:rsidP="00A36412">
            <w:pPr>
              <w:spacing w:before="380" w:line="280" w:lineRule="exact"/>
              <w:jc w:val="right"/>
              <w:rPr>
                <w:rFonts w:ascii="Tahoma" w:hAnsi="Tahoma" w:cs="Tahoma"/>
                <w:b/>
                <w:bCs/>
                <w:iCs/>
                <w:color w:val="243285"/>
                <w:sz w:val="32"/>
                <w:szCs w:val="32"/>
                <w:lang w:val="en-US"/>
              </w:rPr>
            </w:pPr>
          </w:p>
          <w:p w:rsidR="009E6FAE" w:rsidRPr="0010336F" w:rsidRDefault="009E6FAE" w:rsidP="0059484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RS</w:t>
            </w:r>
            <w:r w:rsidRPr="0010336F">
              <w:rPr>
                <w:rFonts w:ascii="Tahoma" w:hAnsi="Tahoma" w:cs="Tahoma"/>
                <w:b/>
                <w:bCs/>
                <w:iCs/>
                <w:color w:val="243285"/>
                <w:sz w:val="36"/>
                <w:szCs w:val="36"/>
                <w:lang w:val="es-ES_tradnl"/>
              </w:rPr>
              <w:t>.</w:t>
            </w:r>
            <w:r w:rsidR="0059484B">
              <w:rPr>
                <w:rFonts w:ascii="Tahoma" w:hAnsi="Tahoma" w:cs="Tahoma"/>
                <w:b/>
                <w:bCs/>
                <w:iCs/>
                <w:color w:val="243285"/>
                <w:sz w:val="36"/>
                <w:szCs w:val="36"/>
                <w:lang w:val="es-ES_tradnl"/>
              </w:rPr>
              <w:t>2065-0</w:t>
            </w:r>
          </w:p>
          <w:p w:rsidR="009E6FAE" w:rsidRPr="0010336F" w:rsidRDefault="0059484B" w:rsidP="0059484B">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9E6FAE" w:rsidRPr="0010336F">
              <w:rPr>
                <w:rFonts w:ascii="Tahoma" w:hAnsi="Tahoma" w:cs="Tahoma"/>
                <w:b/>
                <w:bCs/>
                <w:iCs/>
                <w:color w:val="243285"/>
                <w:szCs w:val="24"/>
                <w:lang w:val="es-ES_tradnl"/>
              </w:rPr>
              <w:t>/</w:t>
            </w:r>
            <w:r>
              <w:rPr>
                <w:rFonts w:ascii="Tahoma" w:hAnsi="Tahoma" w:cs="Tahoma"/>
                <w:b/>
                <w:bCs/>
                <w:iCs/>
                <w:color w:val="243285"/>
                <w:szCs w:val="24"/>
                <w:lang w:val="es-ES_tradnl"/>
              </w:rPr>
              <w:t>2014</w:t>
            </w:r>
            <w:r w:rsidR="009E6FAE" w:rsidRPr="0010336F">
              <w:rPr>
                <w:rFonts w:ascii="Tahoma" w:hAnsi="Tahoma" w:cs="Tahoma"/>
                <w:b/>
                <w:bCs/>
                <w:iCs/>
                <w:color w:val="243285"/>
                <w:szCs w:val="24"/>
                <w:lang w:val="es-ES_tradnl"/>
              </w:rPr>
              <w:t>)</w:t>
            </w:r>
          </w:p>
        </w:tc>
      </w:tr>
      <w:tr w:rsidR="009E6FAE" w:rsidRPr="0059484B" w:rsidTr="00A36412">
        <w:tc>
          <w:tcPr>
            <w:tcW w:w="10089" w:type="dxa"/>
          </w:tcPr>
          <w:p w:rsidR="009E6FAE" w:rsidRPr="0010336F" w:rsidRDefault="009E6FAE" w:rsidP="00A36412">
            <w:pPr>
              <w:spacing w:before="80" w:line="500" w:lineRule="exact"/>
              <w:jc w:val="right"/>
              <w:rPr>
                <w:rFonts w:ascii="Tahoma" w:hAnsi="Tahoma" w:cs="Tahoma"/>
                <w:b/>
                <w:bCs/>
                <w:iCs/>
                <w:color w:val="243285"/>
                <w:sz w:val="44"/>
                <w:szCs w:val="44"/>
                <w:lang w:val="es-ES_tradnl"/>
              </w:rPr>
            </w:pPr>
          </w:p>
          <w:p w:rsidR="009E6FAE" w:rsidRDefault="0059484B" w:rsidP="00A36412">
            <w:pPr>
              <w:spacing w:before="80" w:line="500" w:lineRule="exact"/>
              <w:jc w:val="right"/>
              <w:rPr>
                <w:rFonts w:ascii="Tahoma" w:hAnsi="Tahoma" w:cs="Tahoma"/>
                <w:b/>
                <w:bCs/>
                <w:color w:val="243285"/>
                <w:sz w:val="44"/>
                <w:szCs w:val="44"/>
                <w:lang w:val="es-ES_tradnl"/>
              </w:rPr>
            </w:pPr>
            <w:r w:rsidRPr="00B53FE2">
              <w:rPr>
                <w:rFonts w:ascii="Tahoma" w:hAnsi="Tahoma" w:cs="Tahoma"/>
                <w:b/>
                <w:bCs/>
                <w:color w:val="243285"/>
                <w:sz w:val="44"/>
                <w:szCs w:val="44"/>
                <w:lang w:val="es-ES_tradnl"/>
              </w:rPr>
              <w:t xml:space="preserve">Protección de enlaces espacio-Tierra del servicio de investigación espacial (SIE) </w:t>
            </w:r>
            <w:r w:rsidRPr="00B53FE2">
              <w:rPr>
                <w:rFonts w:ascii="Tahoma" w:hAnsi="Tahoma" w:cs="Tahoma"/>
                <w:b/>
                <w:bCs/>
                <w:color w:val="243285"/>
                <w:sz w:val="44"/>
                <w:szCs w:val="44"/>
                <w:cs/>
                <w:lang w:val="es-ES_tradnl"/>
              </w:rPr>
              <w:t>‎</w:t>
            </w:r>
            <w:r w:rsidRPr="00B53FE2">
              <w:rPr>
                <w:rFonts w:ascii="Tahoma" w:hAnsi="Tahoma" w:cs="Tahoma"/>
                <w:b/>
                <w:bCs/>
                <w:color w:val="243285"/>
                <w:sz w:val="44"/>
                <w:szCs w:val="44"/>
                <w:rtl/>
                <w:cs/>
                <w:lang w:val="es-ES_tradnl"/>
              </w:rPr>
              <w:br/>
            </w:r>
            <w:r w:rsidRPr="00B53FE2">
              <w:rPr>
                <w:rFonts w:ascii="Tahoma" w:hAnsi="Tahoma" w:cs="Tahoma"/>
                <w:b/>
                <w:bCs/>
                <w:color w:val="243285"/>
                <w:sz w:val="44"/>
                <w:szCs w:val="44"/>
                <w:lang w:val="es-ES_tradnl"/>
              </w:rPr>
              <w:t>en las bandas 8 400-8 450 MHz y 8 450</w:t>
            </w:r>
            <w:r w:rsidRPr="00B53FE2">
              <w:rPr>
                <w:rFonts w:ascii="Tahoma" w:hAnsi="Tahoma" w:cs="Tahoma"/>
                <w:b/>
                <w:bCs/>
                <w:color w:val="243285"/>
                <w:sz w:val="44"/>
                <w:szCs w:val="44"/>
                <w:lang w:val="es-ES_tradnl"/>
              </w:rPr>
              <w:noBreakHyphen/>
              <w:t xml:space="preserve">8 500 MHz contra emisiones no deseadas </w:t>
            </w:r>
            <w:r w:rsidRPr="00B53FE2">
              <w:rPr>
                <w:rFonts w:ascii="Tahoma" w:hAnsi="Tahoma" w:cs="Tahoma"/>
                <w:b/>
                <w:bCs/>
                <w:color w:val="243285"/>
                <w:sz w:val="44"/>
                <w:szCs w:val="44"/>
                <w:cs/>
                <w:lang w:val="es-ES_tradnl"/>
              </w:rPr>
              <w:t>‎</w:t>
            </w:r>
            <w:r w:rsidRPr="00B53FE2">
              <w:rPr>
                <w:rFonts w:ascii="Tahoma" w:hAnsi="Tahoma" w:cs="Tahoma"/>
                <w:b/>
                <w:bCs/>
                <w:color w:val="243285"/>
                <w:sz w:val="44"/>
                <w:szCs w:val="44"/>
                <w:lang w:val="es-ES_tradnl"/>
              </w:rPr>
              <w:t xml:space="preserve">de radares de apertura sintética que funcionan en el servicio de exploración de la </w:t>
            </w:r>
            <w:r w:rsidRPr="00B53FE2">
              <w:rPr>
                <w:rFonts w:ascii="Tahoma" w:hAnsi="Tahoma" w:cs="Tahoma"/>
                <w:b/>
                <w:bCs/>
                <w:color w:val="243285"/>
                <w:sz w:val="44"/>
                <w:szCs w:val="44"/>
                <w:cs/>
                <w:lang w:val="es-ES_tradnl"/>
              </w:rPr>
              <w:t>‎</w:t>
            </w:r>
            <w:r w:rsidRPr="00B53FE2">
              <w:rPr>
                <w:rFonts w:ascii="Tahoma" w:hAnsi="Tahoma" w:cs="Tahoma"/>
                <w:b/>
                <w:bCs/>
                <w:color w:val="243285"/>
                <w:sz w:val="44"/>
                <w:szCs w:val="44"/>
                <w:lang w:val="es-ES_tradnl"/>
              </w:rPr>
              <w:t xml:space="preserve">Tierra por satélite (activo) </w:t>
            </w:r>
            <w:r w:rsidRPr="00B53FE2">
              <w:rPr>
                <w:rFonts w:ascii="Tahoma" w:hAnsi="Tahoma" w:cs="Tahoma"/>
                <w:b/>
                <w:bCs/>
                <w:color w:val="243285"/>
                <w:sz w:val="44"/>
                <w:szCs w:val="44"/>
                <w:lang w:val="es-ES_tradnl"/>
              </w:rPr>
              <w:br/>
              <w:t>alrededor de 9 600 MHz</w:t>
            </w:r>
          </w:p>
          <w:p w:rsidR="009E6FAE" w:rsidRPr="0010336F" w:rsidRDefault="009E6FAE" w:rsidP="00A36412">
            <w:pPr>
              <w:spacing w:before="80" w:line="500" w:lineRule="exact"/>
              <w:jc w:val="right"/>
              <w:rPr>
                <w:rFonts w:ascii="Tahoma" w:hAnsi="Tahoma" w:cs="Tahoma"/>
                <w:b/>
                <w:bCs/>
                <w:iCs/>
                <w:color w:val="243285"/>
                <w:sz w:val="44"/>
                <w:szCs w:val="44"/>
                <w:lang w:val="es-ES_tradnl"/>
              </w:rPr>
            </w:pPr>
          </w:p>
        </w:tc>
      </w:tr>
      <w:tr w:rsidR="009E6FAE" w:rsidRPr="009E6FAE" w:rsidTr="00A36412">
        <w:tc>
          <w:tcPr>
            <w:tcW w:w="10089" w:type="dxa"/>
          </w:tcPr>
          <w:p w:rsidR="009E6FAE" w:rsidRPr="0010336F" w:rsidRDefault="009E6FAE" w:rsidP="00A36412">
            <w:pPr>
              <w:spacing w:before="80" w:line="280" w:lineRule="exact"/>
              <w:ind w:right="640"/>
              <w:rPr>
                <w:rFonts w:ascii="Tahoma" w:hAnsi="Tahoma" w:cs="Tahoma"/>
                <w:b/>
                <w:bCs/>
                <w:iCs/>
                <w:color w:val="243285"/>
                <w:sz w:val="32"/>
                <w:szCs w:val="32"/>
                <w:lang w:val="es-ES_tradnl"/>
              </w:rPr>
            </w:pPr>
          </w:p>
          <w:p w:rsidR="009E6FAE" w:rsidRPr="0010336F" w:rsidRDefault="009E6FAE" w:rsidP="00A36412">
            <w:pPr>
              <w:spacing w:before="80" w:after="180" w:line="360" w:lineRule="exact"/>
              <w:ind w:right="720"/>
              <w:rPr>
                <w:rFonts w:ascii="Tahoma" w:hAnsi="Tahoma" w:cs="Tahoma"/>
                <w:b/>
                <w:bCs/>
                <w:iCs/>
                <w:color w:val="243285"/>
                <w:sz w:val="36"/>
                <w:szCs w:val="36"/>
                <w:lang w:val="es-ES_tradnl"/>
              </w:rPr>
            </w:pPr>
          </w:p>
          <w:p w:rsidR="009E6FAE" w:rsidRPr="0010336F" w:rsidRDefault="009E6FAE" w:rsidP="00A36412">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RS</w:t>
            </w:r>
          </w:p>
          <w:p w:rsidR="009E6FAE" w:rsidRPr="0010336F" w:rsidRDefault="009E6FAE" w:rsidP="00A36412">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9E6FAE" w:rsidRPr="0026666F" w:rsidRDefault="009E6FAE" w:rsidP="009E6FAE">
      <w:pPr>
        <w:spacing w:before="80"/>
        <w:rPr>
          <w:i/>
          <w:sz w:val="22"/>
          <w:lang w:val="es-ES_tradnl"/>
        </w:rPr>
      </w:pPr>
    </w:p>
    <w:p w:rsidR="009E6FAE" w:rsidRPr="0026666F" w:rsidRDefault="009E6FAE" w:rsidP="009E6FAE">
      <w:pPr>
        <w:spacing w:before="80"/>
        <w:rPr>
          <w:i/>
          <w:sz w:val="22"/>
          <w:lang w:val="es-ES_tradnl"/>
        </w:rPr>
      </w:pPr>
    </w:p>
    <w:p w:rsidR="009E6FAE" w:rsidRPr="0026666F" w:rsidRDefault="009E6FAE" w:rsidP="009E6FAE">
      <w:pPr>
        <w:spacing w:before="80"/>
        <w:rPr>
          <w:i/>
          <w:sz w:val="22"/>
          <w:lang w:val="es-ES_tradnl"/>
        </w:rPr>
      </w:pPr>
    </w:p>
    <w:p w:rsidR="009E6FAE" w:rsidRPr="0026666F" w:rsidRDefault="009E6FAE" w:rsidP="009E6FAE">
      <w:pPr>
        <w:spacing w:before="80"/>
        <w:rPr>
          <w:i/>
          <w:sz w:val="22"/>
          <w:lang w:val="es-ES_tradnl"/>
        </w:rPr>
      </w:pPr>
    </w:p>
    <w:p w:rsidR="009E6FAE" w:rsidRPr="0026666F" w:rsidRDefault="009E6FAE" w:rsidP="009E6FAE">
      <w:pPr>
        <w:spacing w:before="80"/>
        <w:rPr>
          <w:i/>
          <w:sz w:val="22"/>
          <w:lang w:val="es-ES_tradnl"/>
        </w:rPr>
      </w:pPr>
    </w:p>
    <w:p w:rsidR="009E6FAE" w:rsidRPr="0026666F" w:rsidRDefault="009E6FAE" w:rsidP="009E6FAE">
      <w:pPr>
        <w:pStyle w:val="Equation"/>
        <w:tabs>
          <w:tab w:val="clear" w:pos="4820"/>
          <w:tab w:val="clear" w:pos="9639"/>
          <w:tab w:val="left" w:pos="1191"/>
          <w:tab w:val="left" w:pos="1588"/>
          <w:tab w:val="left" w:pos="1985"/>
        </w:tabs>
        <w:rPr>
          <w:rFonts w:ascii="Palatino Linotype" w:hAnsi="Palatino Linotype"/>
          <w:lang w:val="es-ES_tradnl"/>
        </w:rPr>
        <w:sectPr w:rsidR="009E6FAE" w:rsidRPr="0026666F">
          <w:headerReference w:type="even" r:id="rId6"/>
          <w:headerReference w:type="default" r:id="rId7"/>
          <w:pgSz w:w="11907" w:h="16840" w:code="9"/>
          <w:pgMar w:top="1089" w:right="1089" w:bottom="284" w:left="1089" w:header="567" w:footer="284" w:gutter="0"/>
          <w:pgNumType w:start="1"/>
          <w:cols w:space="720"/>
        </w:sectPr>
      </w:pPr>
    </w:p>
    <w:p w:rsidR="009E6FAE" w:rsidRPr="006C718C" w:rsidRDefault="009E6FAE" w:rsidP="009E6F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E6FAE" w:rsidRPr="006C718C" w:rsidRDefault="009E6FAE" w:rsidP="009E6FA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E6FAE" w:rsidRPr="006C718C" w:rsidRDefault="009E6FAE" w:rsidP="009E6FA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E6FAE" w:rsidRPr="00021E8A" w:rsidRDefault="009E6FAE" w:rsidP="009E6FA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E6FAE" w:rsidRPr="00021E8A" w:rsidRDefault="009E6FAE" w:rsidP="009E6FA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E6FAE" w:rsidRPr="007C36CA" w:rsidRDefault="009E6FAE" w:rsidP="009E6FAE">
      <w:pPr>
        <w:spacing w:before="0"/>
        <w:jc w:val="center"/>
        <w:rPr>
          <w:sz w:val="22"/>
          <w:lang w:val="es-ES_tradnl"/>
        </w:rPr>
      </w:pPr>
    </w:p>
    <w:p w:rsidR="009E6FAE" w:rsidRPr="007C36CA" w:rsidRDefault="009E6FAE" w:rsidP="009E6FA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6FAE" w:rsidRPr="009E6FAE" w:rsidTr="00A36412">
        <w:tc>
          <w:tcPr>
            <w:tcW w:w="9360" w:type="dxa"/>
            <w:gridSpan w:val="2"/>
          </w:tcPr>
          <w:p w:rsidR="009E6FAE" w:rsidRPr="00021E8A" w:rsidRDefault="009E6FAE" w:rsidP="00A3641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E6FAE" w:rsidRPr="00763D08"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E6FAE" w:rsidRPr="00036EE3" w:rsidTr="00A36412">
        <w:tc>
          <w:tcPr>
            <w:tcW w:w="1140" w:type="dxa"/>
            <w:tcBorders>
              <w:bottom w:val="nil"/>
            </w:tcBorders>
          </w:tcPr>
          <w:p w:rsidR="009E6FAE" w:rsidRPr="00036EE3" w:rsidRDefault="009E6FAE" w:rsidP="00A36412">
            <w:pPr>
              <w:spacing w:before="180" w:after="100"/>
              <w:ind w:left="57"/>
              <w:rPr>
                <w:b/>
                <w:bCs/>
                <w:sz w:val="20"/>
                <w:lang w:val="en-US"/>
              </w:rPr>
            </w:pPr>
            <w:r w:rsidRPr="00036EE3">
              <w:rPr>
                <w:b/>
                <w:bCs/>
                <w:sz w:val="20"/>
                <w:lang w:val="en-US"/>
              </w:rPr>
              <w:t>Series</w:t>
            </w:r>
          </w:p>
        </w:tc>
        <w:tc>
          <w:tcPr>
            <w:tcW w:w="8220" w:type="dxa"/>
            <w:tcBorders>
              <w:bottom w:val="nil"/>
            </w:tcBorders>
          </w:tcPr>
          <w:p w:rsidR="009E6FAE" w:rsidRPr="00036EE3"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E6FAE" w:rsidRPr="004532F7" w:rsidTr="00A36412">
        <w:tc>
          <w:tcPr>
            <w:tcW w:w="1140" w:type="dxa"/>
            <w:tcBorders>
              <w:top w:val="nil"/>
              <w:bottom w:val="nil"/>
            </w:tcBorders>
            <w:shd w:val="clear" w:color="auto" w:fill="auto"/>
          </w:tcPr>
          <w:p w:rsidR="009E6FAE" w:rsidRPr="004532F7" w:rsidRDefault="009E6FAE" w:rsidP="00A3641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E6FAE" w:rsidRPr="004532F7"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E6FAE" w:rsidRPr="009E6FAE" w:rsidTr="00A36412">
        <w:tc>
          <w:tcPr>
            <w:tcW w:w="1140" w:type="dxa"/>
            <w:tcBorders>
              <w:top w:val="nil"/>
              <w:bottom w:val="nil"/>
            </w:tcBorders>
            <w:shd w:val="clear" w:color="auto" w:fill="auto"/>
          </w:tcPr>
          <w:p w:rsidR="009E6FAE" w:rsidRPr="006B22C3" w:rsidRDefault="009E6FAE" w:rsidP="00A3641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E6FAE" w:rsidRPr="006B22C3"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E6FAE" w:rsidRPr="00847DD5" w:rsidTr="00A36412">
        <w:tc>
          <w:tcPr>
            <w:tcW w:w="1140" w:type="dxa"/>
            <w:tcBorders>
              <w:top w:val="nil"/>
              <w:bottom w:val="nil"/>
            </w:tcBorders>
            <w:shd w:val="clear" w:color="auto" w:fill="auto"/>
          </w:tcPr>
          <w:p w:rsidR="009E6FAE" w:rsidRPr="00847DD5" w:rsidRDefault="009E6FAE" w:rsidP="00A36412">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E6FAE" w:rsidRPr="00847DD5"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E6FAE" w:rsidRPr="00ED2695" w:rsidTr="00A36412">
        <w:tc>
          <w:tcPr>
            <w:tcW w:w="1140" w:type="dxa"/>
            <w:tcBorders>
              <w:top w:val="nil"/>
              <w:bottom w:val="nil"/>
            </w:tcBorders>
            <w:shd w:val="clear" w:color="auto" w:fill="auto"/>
          </w:tcPr>
          <w:p w:rsidR="009E6FAE" w:rsidRPr="00ED2695" w:rsidRDefault="009E6FAE" w:rsidP="00A3641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E6FAE" w:rsidRPr="00021E8A"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E6FAE" w:rsidRPr="00366CEE" w:rsidTr="00A36412">
        <w:tc>
          <w:tcPr>
            <w:tcW w:w="1140" w:type="dxa"/>
            <w:tcBorders>
              <w:top w:val="nil"/>
              <w:bottom w:val="nil"/>
            </w:tcBorders>
            <w:shd w:val="clear" w:color="auto" w:fill="auto"/>
          </w:tcPr>
          <w:p w:rsidR="009E6FAE" w:rsidRPr="00366CEE" w:rsidRDefault="009E6FAE" w:rsidP="00A3641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E6FAE" w:rsidRPr="00366CEE" w:rsidRDefault="009E6FAE" w:rsidP="00A364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E6FAE" w:rsidRPr="009E6FAE" w:rsidTr="00A36412">
        <w:tc>
          <w:tcPr>
            <w:tcW w:w="1140" w:type="dxa"/>
            <w:tcBorders>
              <w:top w:val="nil"/>
              <w:bottom w:val="nil"/>
            </w:tcBorders>
            <w:shd w:val="clear" w:color="auto" w:fill="auto"/>
          </w:tcPr>
          <w:p w:rsidR="009E6FAE" w:rsidRPr="0010336F" w:rsidRDefault="009E6FAE" w:rsidP="00A3641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E6FAE" w:rsidRPr="0010336F" w:rsidRDefault="009E6FAE" w:rsidP="00A364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E6FAE" w:rsidRPr="009E6FAE" w:rsidTr="00A36412">
        <w:tc>
          <w:tcPr>
            <w:tcW w:w="1140" w:type="dxa"/>
            <w:tcBorders>
              <w:top w:val="nil"/>
              <w:bottom w:val="nil"/>
            </w:tcBorders>
            <w:shd w:val="clear" w:color="auto" w:fill="auto"/>
          </w:tcPr>
          <w:p w:rsidR="009E6FAE" w:rsidRPr="00F95576" w:rsidRDefault="009E6FAE" w:rsidP="00A36412">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9E6FAE" w:rsidRPr="00F95576" w:rsidRDefault="009E6FAE" w:rsidP="00A36412">
            <w:pPr>
              <w:spacing w:before="30" w:after="30"/>
              <w:jc w:val="left"/>
              <w:rPr>
                <w:sz w:val="20"/>
                <w:lang w:val="es-ES_tradnl"/>
              </w:rPr>
            </w:pPr>
            <w:r w:rsidRPr="00F95576">
              <w:rPr>
                <w:sz w:val="20"/>
                <w:lang w:val="es-ES_tradnl"/>
              </w:rPr>
              <w:t>Propagación de las ondas radioeléctricas</w:t>
            </w:r>
          </w:p>
        </w:tc>
      </w:tr>
      <w:tr w:rsidR="009E6FAE" w:rsidRPr="00DE71F7" w:rsidTr="00A36412">
        <w:tc>
          <w:tcPr>
            <w:tcW w:w="1140" w:type="dxa"/>
            <w:tcBorders>
              <w:top w:val="nil"/>
              <w:bottom w:val="nil"/>
            </w:tcBorders>
            <w:shd w:val="clear" w:color="auto" w:fill="auto"/>
          </w:tcPr>
          <w:p w:rsidR="009E6FAE" w:rsidRPr="00DE71F7" w:rsidRDefault="009E6FAE" w:rsidP="00A36412">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9E6FAE" w:rsidRPr="00DE71F7" w:rsidRDefault="009E6FAE" w:rsidP="00A364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9E6FAE" w:rsidRPr="009E6FAE" w:rsidTr="00A36412">
        <w:tc>
          <w:tcPr>
            <w:tcW w:w="1140" w:type="dxa"/>
            <w:tcBorders>
              <w:top w:val="nil"/>
              <w:bottom w:val="nil"/>
            </w:tcBorders>
            <w:shd w:val="clear" w:color="auto" w:fill="F3F3F3"/>
          </w:tcPr>
          <w:p w:rsidR="009E6FAE" w:rsidRPr="00DE71F7" w:rsidRDefault="009E6FAE" w:rsidP="00A36412">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9E6FAE" w:rsidRPr="00DE71F7" w:rsidRDefault="009E6FAE" w:rsidP="00A364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9E6FAE" w:rsidRPr="00036EE3" w:rsidTr="00A36412">
        <w:tc>
          <w:tcPr>
            <w:tcW w:w="1140" w:type="dxa"/>
            <w:tcBorders>
              <w:top w:val="nil"/>
            </w:tcBorders>
          </w:tcPr>
          <w:p w:rsidR="009E6FAE" w:rsidRPr="00036EE3" w:rsidRDefault="009E6FAE" w:rsidP="00A36412">
            <w:pPr>
              <w:spacing w:before="30" w:after="30"/>
              <w:ind w:left="57"/>
              <w:jc w:val="left"/>
              <w:rPr>
                <w:b/>
                <w:bCs/>
                <w:sz w:val="20"/>
                <w:lang w:val="en-US"/>
              </w:rPr>
            </w:pPr>
            <w:r w:rsidRPr="00036EE3">
              <w:rPr>
                <w:b/>
                <w:bCs/>
                <w:sz w:val="20"/>
                <w:lang w:val="en-US"/>
              </w:rPr>
              <w:t>S</w:t>
            </w:r>
          </w:p>
        </w:tc>
        <w:tc>
          <w:tcPr>
            <w:tcW w:w="8220" w:type="dxa"/>
            <w:tcBorders>
              <w:top w:val="nil"/>
            </w:tcBorders>
          </w:tcPr>
          <w:p w:rsidR="009E6FAE" w:rsidRPr="00021E8A" w:rsidRDefault="009E6FAE" w:rsidP="00A36412">
            <w:pPr>
              <w:spacing w:before="30" w:after="30"/>
              <w:jc w:val="left"/>
              <w:rPr>
                <w:bCs/>
                <w:sz w:val="20"/>
                <w:lang w:val="en-US"/>
              </w:rPr>
            </w:pPr>
            <w:r w:rsidRPr="00021E8A">
              <w:rPr>
                <w:bCs/>
                <w:sz w:val="20"/>
              </w:rPr>
              <w:t>Servicio fijo por satélite</w:t>
            </w:r>
          </w:p>
        </w:tc>
      </w:tr>
      <w:tr w:rsidR="009E6FAE" w:rsidRPr="00036EE3" w:rsidTr="00A36412">
        <w:tc>
          <w:tcPr>
            <w:tcW w:w="1140" w:type="dxa"/>
          </w:tcPr>
          <w:p w:rsidR="009E6FAE" w:rsidRPr="00036EE3" w:rsidRDefault="009E6FAE" w:rsidP="00A36412">
            <w:pPr>
              <w:spacing w:before="30" w:after="30"/>
              <w:ind w:left="57"/>
              <w:jc w:val="left"/>
              <w:rPr>
                <w:b/>
                <w:bCs/>
                <w:sz w:val="20"/>
                <w:lang w:val="en-US"/>
              </w:rPr>
            </w:pPr>
            <w:r w:rsidRPr="00036EE3">
              <w:rPr>
                <w:b/>
                <w:bCs/>
                <w:sz w:val="20"/>
                <w:lang w:val="en-US"/>
              </w:rPr>
              <w:t>SA</w:t>
            </w:r>
          </w:p>
        </w:tc>
        <w:tc>
          <w:tcPr>
            <w:tcW w:w="8220" w:type="dxa"/>
          </w:tcPr>
          <w:p w:rsidR="009E6FAE" w:rsidRPr="00021E8A" w:rsidRDefault="009E6FAE" w:rsidP="00A36412">
            <w:pPr>
              <w:spacing w:before="30" w:after="30"/>
              <w:jc w:val="left"/>
              <w:rPr>
                <w:bCs/>
                <w:sz w:val="20"/>
                <w:lang w:val="en-US"/>
              </w:rPr>
            </w:pPr>
            <w:r w:rsidRPr="00021E8A">
              <w:rPr>
                <w:bCs/>
                <w:sz w:val="20"/>
              </w:rPr>
              <w:t>Aplicaciones espaciales y meteorología</w:t>
            </w:r>
          </w:p>
        </w:tc>
      </w:tr>
      <w:tr w:rsidR="009E6FAE" w:rsidRPr="009E6FAE" w:rsidTr="00A36412">
        <w:tc>
          <w:tcPr>
            <w:tcW w:w="1140" w:type="dxa"/>
          </w:tcPr>
          <w:p w:rsidR="009E6FAE" w:rsidRPr="00036EE3" w:rsidRDefault="009E6FAE" w:rsidP="00A36412">
            <w:pPr>
              <w:spacing w:before="30" w:after="30"/>
              <w:ind w:left="57"/>
              <w:jc w:val="left"/>
              <w:rPr>
                <w:b/>
                <w:bCs/>
                <w:sz w:val="20"/>
                <w:lang w:val="en-US"/>
              </w:rPr>
            </w:pPr>
            <w:r w:rsidRPr="00036EE3">
              <w:rPr>
                <w:b/>
                <w:bCs/>
                <w:sz w:val="20"/>
                <w:lang w:val="en-US"/>
              </w:rPr>
              <w:t>SF</w:t>
            </w:r>
          </w:p>
        </w:tc>
        <w:tc>
          <w:tcPr>
            <w:tcW w:w="8220" w:type="dxa"/>
          </w:tcPr>
          <w:p w:rsidR="009E6FAE" w:rsidRPr="00021E8A" w:rsidRDefault="009E6FAE" w:rsidP="00A3641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E6FAE" w:rsidRPr="00036EE3" w:rsidTr="00A36412">
        <w:tc>
          <w:tcPr>
            <w:tcW w:w="1140" w:type="dxa"/>
            <w:shd w:val="clear" w:color="auto" w:fill="auto"/>
          </w:tcPr>
          <w:p w:rsidR="009E6FAE" w:rsidRPr="001240BC" w:rsidRDefault="009E6FAE" w:rsidP="00A36412">
            <w:pPr>
              <w:spacing w:before="30" w:after="30"/>
              <w:ind w:left="57"/>
              <w:jc w:val="left"/>
              <w:rPr>
                <w:b/>
                <w:bCs/>
                <w:sz w:val="20"/>
                <w:lang w:val="en-US"/>
              </w:rPr>
            </w:pPr>
            <w:r w:rsidRPr="001240BC">
              <w:rPr>
                <w:b/>
                <w:bCs/>
                <w:sz w:val="20"/>
                <w:lang w:val="en-US"/>
              </w:rPr>
              <w:t>SM</w:t>
            </w:r>
          </w:p>
        </w:tc>
        <w:tc>
          <w:tcPr>
            <w:tcW w:w="8220" w:type="dxa"/>
            <w:shd w:val="clear" w:color="auto" w:fill="auto"/>
          </w:tcPr>
          <w:p w:rsidR="009E6FAE" w:rsidRPr="001240BC" w:rsidRDefault="009E6FAE" w:rsidP="00A36412">
            <w:pPr>
              <w:spacing w:before="30" w:after="30"/>
              <w:jc w:val="left"/>
              <w:rPr>
                <w:sz w:val="20"/>
                <w:lang w:val="en-US"/>
              </w:rPr>
            </w:pPr>
            <w:r w:rsidRPr="001240BC">
              <w:rPr>
                <w:sz w:val="20"/>
              </w:rPr>
              <w:t>Gestión del espectro</w:t>
            </w:r>
          </w:p>
        </w:tc>
      </w:tr>
      <w:tr w:rsidR="009E6FAE" w:rsidRPr="00036EE3" w:rsidTr="00A36412">
        <w:tc>
          <w:tcPr>
            <w:tcW w:w="1140" w:type="dxa"/>
          </w:tcPr>
          <w:p w:rsidR="009E6FAE" w:rsidRPr="00036EE3" w:rsidRDefault="009E6FAE" w:rsidP="00A36412">
            <w:pPr>
              <w:spacing w:before="30" w:after="30"/>
              <w:ind w:left="57"/>
              <w:jc w:val="left"/>
              <w:rPr>
                <w:b/>
                <w:bCs/>
                <w:sz w:val="20"/>
                <w:lang w:val="en-US"/>
              </w:rPr>
            </w:pPr>
            <w:r w:rsidRPr="00036EE3">
              <w:rPr>
                <w:b/>
                <w:bCs/>
                <w:sz w:val="20"/>
                <w:lang w:val="en-US"/>
              </w:rPr>
              <w:t>SNG</w:t>
            </w:r>
          </w:p>
        </w:tc>
        <w:tc>
          <w:tcPr>
            <w:tcW w:w="8220" w:type="dxa"/>
          </w:tcPr>
          <w:p w:rsidR="009E6FAE" w:rsidRPr="00021E8A" w:rsidRDefault="009E6FAE" w:rsidP="00A36412">
            <w:pPr>
              <w:spacing w:before="30" w:after="30"/>
              <w:jc w:val="left"/>
              <w:rPr>
                <w:bCs/>
                <w:sz w:val="20"/>
                <w:lang w:val="en-US"/>
              </w:rPr>
            </w:pPr>
            <w:r w:rsidRPr="00021E8A">
              <w:rPr>
                <w:bCs/>
                <w:sz w:val="20"/>
              </w:rPr>
              <w:t>Periodismo electrónico por satélite</w:t>
            </w:r>
          </w:p>
        </w:tc>
      </w:tr>
      <w:tr w:rsidR="009E6FAE" w:rsidRPr="009E6FAE" w:rsidTr="00A36412">
        <w:tc>
          <w:tcPr>
            <w:tcW w:w="1140" w:type="dxa"/>
          </w:tcPr>
          <w:p w:rsidR="009E6FAE" w:rsidRPr="00036EE3" w:rsidRDefault="009E6FAE" w:rsidP="00A36412">
            <w:pPr>
              <w:spacing w:before="30" w:after="30"/>
              <w:ind w:left="57"/>
              <w:jc w:val="left"/>
              <w:rPr>
                <w:b/>
                <w:bCs/>
                <w:sz w:val="20"/>
                <w:lang w:val="en-US"/>
              </w:rPr>
            </w:pPr>
            <w:r w:rsidRPr="00036EE3">
              <w:rPr>
                <w:b/>
                <w:bCs/>
                <w:sz w:val="20"/>
                <w:lang w:val="en-US"/>
              </w:rPr>
              <w:t>TF</w:t>
            </w:r>
          </w:p>
        </w:tc>
        <w:tc>
          <w:tcPr>
            <w:tcW w:w="8220" w:type="dxa"/>
          </w:tcPr>
          <w:p w:rsidR="009E6FAE" w:rsidRPr="00021E8A" w:rsidRDefault="009E6FAE" w:rsidP="00A36412">
            <w:pPr>
              <w:spacing w:before="30" w:after="30"/>
              <w:jc w:val="left"/>
              <w:rPr>
                <w:bCs/>
                <w:sz w:val="20"/>
                <w:lang w:val="es-ES_tradnl"/>
              </w:rPr>
            </w:pPr>
            <w:r w:rsidRPr="00021E8A">
              <w:rPr>
                <w:bCs/>
                <w:sz w:val="20"/>
                <w:lang w:val="es-ES_tradnl"/>
              </w:rPr>
              <w:t>Emisiones de frecuencias patrón y señales horarias</w:t>
            </w:r>
          </w:p>
        </w:tc>
      </w:tr>
      <w:tr w:rsidR="009E6FAE" w:rsidRPr="00036EE3" w:rsidTr="00A36412">
        <w:tc>
          <w:tcPr>
            <w:tcW w:w="1140" w:type="dxa"/>
          </w:tcPr>
          <w:p w:rsidR="009E6FAE" w:rsidRPr="00036EE3" w:rsidRDefault="009E6FAE" w:rsidP="00A36412">
            <w:pPr>
              <w:spacing w:before="30" w:after="30"/>
              <w:ind w:left="57"/>
              <w:jc w:val="left"/>
              <w:rPr>
                <w:b/>
                <w:bCs/>
                <w:sz w:val="20"/>
                <w:lang w:val="en-US"/>
              </w:rPr>
            </w:pPr>
            <w:r w:rsidRPr="00036EE3">
              <w:rPr>
                <w:b/>
                <w:bCs/>
                <w:sz w:val="20"/>
                <w:lang w:val="en-US"/>
              </w:rPr>
              <w:t>V</w:t>
            </w:r>
          </w:p>
        </w:tc>
        <w:tc>
          <w:tcPr>
            <w:tcW w:w="8220" w:type="dxa"/>
          </w:tcPr>
          <w:p w:rsidR="009E6FAE" w:rsidRPr="00021E8A" w:rsidRDefault="009E6FAE" w:rsidP="00A36412">
            <w:pPr>
              <w:spacing w:before="30" w:after="140"/>
              <w:jc w:val="left"/>
              <w:rPr>
                <w:bCs/>
                <w:sz w:val="20"/>
                <w:lang w:val="en-US"/>
              </w:rPr>
            </w:pPr>
            <w:r w:rsidRPr="00021E8A">
              <w:rPr>
                <w:bCs/>
                <w:sz w:val="20"/>
              </w:rPr>
              <w:t>Vocabulario y cuestiones afines</w:t>
            </w:r>
          </w:p>
        </w:tc>
      </w:tr>
    </w:tbl>
    <w:p w:rsidR="009E6FAE" w:rsidRPr="00036EE3" w:rsidRDefault="009E6FAE" w:rsidP="009E6FA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E6FAE" w:rsidTr="00A36412">
        <w:tc>
          <w:tcPr>
            <w:tcW w:w="720" w:type="dxa"/>
          </w:tcPr>
          <w:p w:rsidR="009E6FAE" w:rsidRDefault="009E6FAE" w:rsidP="00A36412">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9E6FAE" w:rsidRPr="009E6FAE" w:rsidTr="00A36412">
        <w:tc>
          <w:tcPr>
            <w:tcW w:w="9360" w:type="dxa"/>
          </w:tcPr>
          <w:p w:rsidR="009E6FAE" w:rsidRPr="00763D08" w:rsidRDefault="009E6FAE" w:rsidP="00A3641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E6FAE" w:rsidRPr="00763D08" w:rsidRDefault="009E6FAE" w:rsidP="009E6FAE">
      <w:pPr>
        <w:spacing w:before="0"/>
        <w:jc w:val="center"/>
        <w:rPr>
          <w:sz w:val="22"/>
          <w:lang w:val="es-ES_tradnl"/>
        </w:rPr>
      </w:pPr>
    </w:p>
    <w:p w:rsidR="009E6FAE" w:rsidRPr="00763D08" w:rsidRDefault="009E6FAE" w:rsidP="009E6FAE">
      <w:pPr>
        <w:spacing w:before="60"/>
        <w:jc w:val="right"/>
        <w:rPr>
          <w:i/>
          <w:iCs/>
          <w:sz w:val="20"/>
          <w:lang w:val="es-ES_tradnl"/>
        </w:rPr>
      </w:pPr>
      <w:r w:rsidRPr="00763D08">
        <w:rPr>
          <w:i/>
          <w:iCs/>
          <w:sz w:val="20"/>
          <w:lang w:val="es-ES_tradnl"/>
        </w:rPr>
        <w:t>Publicación electrónica</w:t>
      </w:r>
    </w:p>
    <w:p w:rsidR="009E6FAE" w:rsidRPr="00763D08" w:rsidRDefault="009E6FAE" w:rsidP="009E6FAE">
      <w:pPr>
        <w:spacing w:before="0" w:after="40"/>
        <w:jc w:val="right"/>
        <w:rPr>
          <w:sz w:val="20"/>
          <w:lang w:val="es-ES_tradnl"/>
        </w:rPr>
      </w:pPr>
      <w:r w:rsidRPr="00763D08">
        <w:rPr>
          <w:sz w:val="20"/>
          <w:lang w:val="es-ES_tradnl"/>
        </w:rPr>
        <w:t>Ginebra, 20</w:t>
      </w:r>
      <w:r>
        <w:rPr>
          <w:sz w:val="20"/>
          <w:lang w:val="es-ES_tradnl"/>
        </w:rPr>
        <w:t>16</w:t>
      </w:r>
    </w:p>
    <w:p w:rsidR="009E6FAE" w:rsidRPr="00763D08" w:rsidRDefault="009E6FAE" w:rsidP="009E6FAE">
      <w:pPr>
        <w:spacing w:before="0"/>
        <w:jc w:val="center"/>
        <w:rPr>
          <w:sz w:val="22"/>
          <w:lang w:val="es-ES_tradnl"/>
        </w:rPr>
      </w:pPr>
    </w:p>
    <w:p w:rsidR="009E6FAE" w:rsidRPr="00763D08" w:rsidRDefault="009E6FAE" w:rsidP="009E6FA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9E6FAE" w:rsidRPr="006C718C" w:rsidRDefault="009E6FAE" w:rsidP="009E6FA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E6FAE" w:rsidRPr="006C718C" w:rsidRDefault="009E6FAE" w:rsidP="009E6FAE">
      <w:pPr>
        <w:spacing w:before="160"/>
        <w:rPr>
          <w:i/>
          <w:sz w:val="20"/>
          <w:highlight w:val="yellow"/>
          <w:lang w:val="es-ES_tradnl"/>
        </w:rPr>
        <w:sectPr w:rsidR="009E6FAE"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9E6FAE" w:rsidRPr="0010336F" w:rsidRDefault="009E6FAE" w:rsidP="0059484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RS</w:t>
      </w:r>
      <w:r w:rsidRPr="0010336F">
        <w:rPr>
          <w:rStyle w:val="href"/>
          <w:lang w:val="es-ES_tradnl"/>
        </w:rPr>
        <w:t>.</w:t>
      </w:r>
      <w:r w:rsidR="0059484B">
        <w:rPr>
          <w:rStyle w:val="href"/>
          <w:lang w:val="es-ES_tradnl"/>
        </w:rPr>
        <w:t>2065-0</w:t>
      </w:r>
    </w:p>
    <w:p w:rsidR="00504CB5" w:rsidRPr="00B53FE2" w:rsidRDefault="00504CB5" w:rsidP="00504CB5">
      <w:pPr>
        <w:pStyle w:val="Rectitle"/>
        <w:rPr>
          <w:lang w:val="es-ES_tradnl"/>
        </w:rPr>
      </w:pPr>
      <w:r w:rsidRPr="00B53FE2">
        <w:rPr>
          <w:lang w:val="es-ES_tradnl"/>
        </w:rPr>
        <w:t xml:space="preserve">Protección de enlaces espacio-Tierra del servicio de investigación espacial (SIE) </w:t>
      </w:r>
      <w:r w:rsidRPr="00B53FE2">
        <w:rPr>
          <w:cs/>
          <w:lang w:val="es-ES_tradnl"/>
        </w:rPr>
        <w:t>‎</w:t>
      </w:r>
      <w:r w:rsidRPr="00B53FE2">
        <w:rPr>
          <w:lang w:val="es-ES_tradnl"/>
        </w:rPr>
        <w:t xml:space="preserve">en las bandas 8 400-8 450 MHz y 8 450-8 500 MHz contra emisiones </w:t>
      </w:r>
      <w:r w:rsidRPr="00B53FE2">
        <w:rPr>
          <w:lang w:val="es-ES_tradnl"/>
        </w:rPr>
        <w:br/>
        <w:t xml:space="preserve">no deseadas </w:t>
      </w:r>
      <w:r w:rsidRPr="00B53FE2">
        <w:rPr>
          <w:cs/>
          <w:lang w:val="es-ES_tradnl"/>
        </w:rPr>
        <w:t>‎</w:t>
      </w:r>
      <w:r w:rsidRPr="00B53FE2">
        <w:rPr>
          <w:lang w:val="es-ES_tradnl"/>
        </w:rPr>
        <w:t xml:space="preserve">de radares de apertura sintética que funcionan en el servicio </w:t>
      </w:r>
      <w:r w:rsidRPr="00B53FE2">
        <w:rPr>
          <w:lang w:val="es-ES_tradnl"/>
        </w:rPr>
        <w:br/>
        <w:t xml:space="preserve">de exploración de la </w:t>
      </w:r>
      <w:r w:rsidRPr="00B53FE2">
        <w:rPr>
          <w:cs/>
          <w:lang w:val="es-ES_tradnl"/>
        </w:rPr>
        <w:t>‎</w:t>
      </w:r>
      <w:r w:rsidRPr="00B53FE2">
        <w:rPr>
          <w:lang w:val="es-ES_tradnl"/>
        </w:rPr>
        <w:t>Tierra por satélite (activo) alrededor de 9 600 MHz</w:t>
      </w:r>
    </w:p>
    <w:p w:rsidR="00504CB5" w:rsidRPr="00B53FE2" w:rsidRDefault="00504CB5" w:rsidP="00504CB5">
      <w:pPr>
        <w:pStyle w:val="Recdate"/>
        <w:rPr>
          <w:lang w:val="es-ES_tradnl"/>
        </w:rPr>
      </w:pPr>
      <w:r w:rsidRPr="00B53FE2">
        <w:rPr>
          <w:lang w:val="es-ES_tradnl"/>
        </w:rPr>
        <w:t>(2014)</w:t>
      </w:r>
    </w:p>
    <w:p w:rsidR="00504CB5" w:rsidRPr="00B53FE2" w:rsidRDefault="00504CB5" w:rsidP="00504CB5">
      <w:pPr>
        <w:pStyle w:val="HeadingSum"/>
      </w:pPr>
      <w:r w:rsidRPr="00B53FE2">
        <w:t>Cometido</w:t>
      </w:r>
    </w:p>
    <w:p w:rsidR="00504CB5" w:rsidRPr="00B53FE2" w:rsidRDefault="00504CB5" w:rsidP="00504CB5">
      <w:pPr>
        <w:pStyle w:val="Summary"/>
        <w:rPr>
          <w:rtl/>
          <w:cs/>
        </w:rPr>
      </w:pPr>
      <w:r w:rsidRPr="00B53FE2">
        <w:t xml:space="preserve">La presente Recomendación proporciona técnicas de reducción de la interferencia para disminuir </w:t>
      </w:r>
      <w:r w:rsidRPr="00B53FE2">
        <w:rPr>
          <w:cs/>
        </w:rPr>
        <w:t>‎</w:t>
      </w:r>
      <w:r w:rsidRPr="00B53FE2">
        <w:t xml:space="preserve">las emisiones no deseadas de los sistemas del servicio de exploración de la Tierra por satélite </w:t>
      </w:r>
      <w:r w:rsidRPr="00B53FE2">
        <w:rPr>
          <w:cs/>
        </w:rPr>
        <w:t>‎‎</w:t>
      </w:r>
      <w:r w:rsidRPr="00B53FE2">
        <w:t xml:space="preserve">(SETS) (activo), en la banda del servicio de investigación espacial (SIE) y recomienda que los </w:t>
      </w:r>
      <w:r w:rsidRPr="00B53FE2">
        <w:rPr>
          <w:cs/>
        </w:rPr>
        <w:t>‎</w:t>
      </w:r>
      <w:r w:rsidRPr="00B53FE2">
        <w:t xml:space="preserve">sistemas del SETS (activo) protejan por completo las operaciones de misiones del SIE (en espacio </w:t>
      </w:r>
      <w:r w:rsidRPr="00B53FE2">
        <w:rPr>
          <w:cs/>
        </w:rPr>
        <w:t>‎</w:t>
      </w:r>
      <w:r w:rsidRPr="00B53FE2">
        <w:t xml:space="preserve">lejano) durante los eventos críticos y eviten, en todo momento, causar daños a los receptores de la </w:t>
      </w:r>
      <w:r w:rsidRPr="00B53FE2">
        <w:rPr>
          <w:cs/>
        </w:rPr>
        <w:t>‎</w:t>
      </w:r>
      <w:r w:rsidRPr="00B53FE2">
        <w:t>estación terrena del SIE.</w:t>
      </w:r>
      <w:r w:rsidRPr="00B53FE2">
        <w:rPr>
          <w:cs/>
        </w:rPr>
        <w:t>‎</w:t>
      </w:r>
    </w:p>
    <w:p w:rsidR="00504CB5" w:rsidRPr="00B53FE2" w:rsidRDefault="00504CB5" w:rsidP="00504CB5">
      <w:pPr>
        <w:pStyle w:val="Headingb"/>
        <w:rPr>
          <w:lang w:val="es-ES_tradnl"/>
        </w:rPr>
      </w:pPr>
      <w:r w:rsidRPr="00B53FE2">
        <w:rPr>
          <w:lang w:val="es-ES_tradnl"/>
        </w:rPr>
        <w:t>Palabras clave</w:t>
      </w:r>
    </w:p>
    <w:p w:rsidR="00504CB5" w:rsidRPr="00B53FE2" w:rsidRDefault="00504CB5" w:rsidP="00504CB5">
      <w:pPr>
        <w:rPr>
          <w:rFonts w:asciiTheme="majorBidi" w:hAnsiTheme="majorBidi" w:cstheme="majorBidi"/>
          <w:szCs w:val="24"/>
          <w:lang w:val="es-ES_tradnl"/>
        </w:rPr>
      </w:pPr>
      <w:r w:rsidRPr="00B53FE2">
        <w:rPr>
          <w:rFonts w:asciiTheme="majorBidi" w:hAnsiTheme="majorBidi" w:cstheme="majorBidi"/>
          <w:szCs w:val="24"/>
          <w:lang w:val="es-ES_tradnl"/>
        </w:rPr>
        <w:t xml:space="preserve">Eventos críticos, deterioro, espacio profundo, estaciones terrenas, SETS (activo), interferencia, reducción, protección, criterio, receptor, </w:t>
      </w:r>
      <w:r w:rsidRPr="00B53FE2">
        <w:rPr>
          <w:lang w:val="es-ES_tradnl"/>
        </w:rPr>
        <w:t>SAR</w:t>
      </w:r>
      <w:r w:rsidRPr="00B53FE2">
        <w:rPr>
          <w:rFonts w:asciiTheme="majorBidi" w:hAnsiTheme="majorBidi" w:cstheme="majorBidi"/>
          <w:szCs w:val="24"/>
          <w:lang w:val="es-ES_tradnl"/>
        </w:rPr>
        <w:t xml:space="preserve">, saturación, espacio-Tierra, servicio de investigación espacial, SIE, </w:t>
      </w:r>
      <w:r w:rsidRPr="00B53FE2">
        <w:rPr>
          <w:color w:val="000000"/>
          <w:szCs w:val="24"/>
          <w:lang w:val="es-ES_tradnl"/>
        </w:rPr>
        <w:t>radar de apertura sintética, emisiones no deseadas</w:t>
      </w:r>
    </w:p>
    <w:p w:rsidR="00504CB5" w:rsidRPr="00B53FE2" w:rsidRDefault="00504CB5" w:rsidP="00504CB5">
      <w:pPr>
        <w:pStyle w:val="Headingb"/>
        <w:rPr>
          <w:lang w:val="es-ES_tradnl"/>
        </w:rPr>
      </w:pPr>
      <w:r w:rsidRPr="00B53FE2">
        <w:rPr>
          <w:lang w:val="es-ES_tradnl"/>
        </w:rPr>
        <w:t>Abreviaturas/glosario</w:t>
      </w:r>
    </w:p>
    <w:p w:rsidR="00504CB5" w:rsidRPr="00B53FE2" w:rsidRDefault="00504CB5" w:rsidP="00504CB5">
      <w:pPr>
        <w:rPr>
          <w:rFonts w:asciiTheme="majorBidi" w:hAnsiTheme="majorBidi" w:cstheme="majorBidi"/>
          <w:szCs w:val="24"/>
          <w:rtl/>
          <w:cs/>
          <w:lang w:val="es-ES_tradnl"/>
        </w:rPr>
      </w:pPr>
      <w:r w:rsidRPr="00B53FE2">
        <w:rPr>
          <w:rFonts w:asciiTheme="majorBidi" w:hAnsiTheme="majorBidi" w:cstheme="majorBidi"/>
          <w:szCs w:val="24"/>
          <w:lang w:val="es-ES_tradnl"/>
        </w:rPr>
        <w:t>SETS</w:t>
      </w:r>
      <w:r w:rsidRPr="00B53FE2">
        <w:rPr>
          <w:rFonts w:asciiTheme="majorBidi" w:hAnsiTheme="majorBidi" w:cstheme="majorBidi"/>
          <w:szCs w:val="24"/>
          <w:lang w:val="es-ES_tradnl"/>
        </w:rPr>
        <w:tab/>
        <w:t>Exploración de la Tierra por satélite</w:t>
      </w:r>
    </w:p>
    <w:p w:rsidR="00504CB5" w:rsidRPr="00B53FE2" w:rsidRDefault="00504CB5" w:rsidP="00504CB5">
      <w:pPr>
        <w:rPr>
          <w:lang w:val="es-ES_tradnl"/>
        </w:rPr>
      </w:pPr>
      <w:r w:rsidRPr="00B53FE2">
        <w:rPr>
          <w:lang w:val="es-ES_tradnl"/>
        </w:rPr>
        <w:t>LFM</w:t>
      </w:r>
      <w:r w:rsidRPr="00B53FE2">
        <w:rPr>
          <w:lang w:val="es-ES_tradnl"/>
        </w:rPr>
        <w:tab/>
        <w:t>Modulación en frecuencia lineal</w:t>
      </w:r>
    </w:p>
    <w:p w:rsidR="00504CB5" w:rsidRPr="00B53FE2" w:rsidRDefault="00504CB5" w:rsidP="00504CB5">
      <w:pPr>
        <w:rPr>
          <w:lang w:val="es-ES_tradnl"/>
        </w:rPr>
      </w:pPr>
      <w:r w:rsidRPr="00B53FE2">
        <w:rPr>
          <w:lang w:val="es-ES_tradnl"/>
        </w:rPr>
        <w:t>SAR</w:t>
      </w:r>
      <w:r w:rsidRPr="00B53FE2">
        <w:rPr>
          <w:lang w:val="es-ES_tradnl"/>
        </w:rPr>
        <w:tab/>
        <w:t>Radar de apertura sintética</w:t>
      </w:r>
    </w:p>
    <w:p w:rsidR="00504CB5" w:rsidRPr="00B53FE2" w:rsidRDefault="00504CB5" w:rsidP="00504CB5">
      <w:pPr>
        <w:rPr>
          <w:lang w:val="es-ES_tradnl"/>
        </w:rPr>
      </w:pPr>
      <w:r w:rsidRPr="00B53FE2">
        <w:rPr>
          <w:lang w:val="es-ES_tradnl"/>
        </w:rPr>
        <w:t>SIE</w:t>
      </w:r>
      <w:r w:rsidRPr="00B53FE2">
        <w:rPr>
          <w:lang w:val="es-ES_tradnl"/>
        </w:rPr>
        <w:tab/>
        <w:t>Servicio de investigación espacial</w:t>
      </w:r>
    </w:p>
    <w:p w:rsidR="00504CB5" w:rsidRPr="00B53FE2" w:rsidRDefault="00504CB5" w:rsidP="00504CB5">
      <w:pPr>
        <w:rPr>
          <w:color w:val="000000"/>
          <w:lang w:val="es-ES_tradnl"/>
        </w:rPr>
      </w:pPr>
      <w:r w:rsidRPr="00B53FE2">
        <w:rPr>
          <w:color w:val="000000"/>
          <w:lang w:val="es-ES_tradnl"/>
        </w:rPr>
        <w:t xml:space="preserve">TR </w:t>
      </w:r>
      <w:r w:rsidRPr="00B53FE2">
        <w:rPr>
          <w:color w:val="000000"/>
          <w:lang w:val="es-ES_tradnl"/>
        </w:rPr>
        <w:tab/>
        <w:t>Transmisión-recepción</w:t>
      </w:r>
    </w:p>
    <w:p w:rsidR="00504CB5" w:rsidRPr="00B53FE2" w:rsidRDefault="00504CB5" w:rsidP="00504CB5">
      <w:pPr>
        <w:pStyle w:val="Headingb"/>
        <w:rPr>
          <w:lang w:val="es-ES_tradnl"/>
        </w:rPr>
      </w:pPr>
      <w:bookmarkStart w:id="4" w:name="lt_pId082"/>
      <w:r w:rsidRPr="00B53FE2">
        <w:rPr>
          <w:lang w:val="es-ES_tradnl"/>
        </w:rPr>
        <w:t>Recomendaciones e Informes de la UIT relacionados</w:t>
      </w:r>
      <w:bookmarkEnd w:id="4"/>
    </w:p>
    <w:p w:rsidR="00504CB5" w:rsidRPr="00B53FE2" w:rsidRDefault="00504CB5" w:rsidP="00504CB5">
      <w:pPr>
        <w:ind w:left="3600" w:hanging="3600"/>
        <w:rPr>
          <w:color w:val="000000" w:themeColor="text1"/>
          <w:lang w:val="es-ES_tradnl"/>
        </w:rPr>
      </w:pPr>
      <w:bookmarkStart w:id="5" w:name="lt_pId083"/>
      <w:r w:rsidRPr="00B53FE2">
        <w:rPr>
          <w:lang w:val="es-ES_tradnl"/>
        </w:rPr>
        <w:t>Recomendación UIT-R RS.2043</w:t>
      </w:r>
      <w:bookmarkEnd w:id="5"/>
      <w:r w:rsidRPr="00B53FE2">
        <w:rPr>
          <w:lang w:val="es-ES_tradnl"/>
        </w:rPr>
        <w:tab/>
        <w:t xml:space="preserve">Características de los radares de apertura </w:t>
      </w:r>
      <w:r w:rsidRPr="00B53FE2">
        <w:rPr>
          <w:cs/>
          <w:lang w:val="es-ES_tradnl"/>
        </w:rPr>
        <w:t>‎</w:t>
      </w:r>
      <w:r w:rsidRPr="00B53FE2">
        <w:rPr>
          <w:lang w:val="es-ES_tradnl"/>
        </w:rPr>
        <w:t>sintética del servicio de exploración de la Tierra por satélite (activo) que funcionan en torno a 9 600 MHz</w:t>
      </w:r>
    </w:p>
    <w:p w:rsidR="00504CB5" w:rsidRPr="00B53FE2" w:rsidRDefault="00504CB5" w:rsidP="00504CB5">
      <w:pPr>
        <w:ind w:left="3600" w:hanging="3600"/>
        <w:rPr>
          <w:color w:val="000000" w:themeColor="text1"/>
          <w:lang w:val="es-ES_tradnl"/>
        </w:rPr>
      </w:pPr>
      <w:bookmarkStart w:id="6" w:name="lt_pId085"/>
      <w:r w:rsidRPr="00B53FE2">
        <w:rPr>
          <w:lang w:val="es-ES_tradnl"/>
        </w:rPr>
        <w:t xml:space="preserve">Recomendación </w:t>
      </w:r>
      <w:r w:rsidRPr="00B53FE2">
        <w:rPr>
          <w:cs/>
          <w:lang w:val="es-ES_tradnl"/>
        </w:rPr>
        <w:t>‎</w:t>
      </w:r>
      <w:r w:rsidRPr="00B53FE2">
        <w:rPr>
          <w:lang w:val="es-ES_tradnl"/>
        </w:rPr>
        <w:t>UIT-R SA.609</w:t>
      </w:r>
      <w:bookmarkEnd w:id="6"/>
      <w:r w:rsidRPr="00B53FE2">
        <w:rPr>
          <w:lang w:val="es-ES_tradnl"/>
        </w:rPr>
        <w:tab/>
        <w:t>Criterios de protección para los enlaces de radiocomunicación con satélites de investigación espacial, tripulados o no tripulados, próximos a la Tierra</w:t>
      </w:r>
    </w:p>
    <w:p w:rsidR="00504CB5" w:rsidRPr="00B53FE2" w:rsidRDefault="00504CB5" w:rsidP="00504CB5">
      <w:pPr>
        <w:ind w:left="3600" w:hanging="3600"/>
        <w:rPr>
          <w:lang w:val="es-ES_tradnl"/>
        </w:rPr>
      </w:pPr>
      <w:bookmarkStart w:id="7" w:name="lt_pId087"/>
      <w:r w:rsidRPr="00B53FE2">
        <w:rPr>
          <w:lang w:val="es-ES_tradnl"/>
        </w:rPr>
        <w:t xml:space="preserve">Recomendación </w:t>
      </w:r>
      <w:r w:rsidRPr="00B53FE2">
        <w:rPr>
          <w:cs/>
          <w:lang w:val="es-ES_tradnl"/>
        </w:rPr>
        <w:t>‎</w:t>
      </w:r>
      <w:r w:rsidRPr="00B53FE2">
        <w:rPr>
          <w:lang w:val="es-ES_tradnl"/>
        </w:rPr>
        <w:t>UIT-R SA.1014</w:t>
      </w:r>
      <w:bookmarkEnd w:id="7"/>
      <w:r w:rsidRPr="00B53FE2">
        <w:rPr>
          <w:lang w:val="es-ES_tradnl"/>
        </w:rPr>
        <w:tab/>
        <w:t>Requisitos de telecomunicaciones para la investigación del espacio lejano con vuelos tripulados y no tripulados</w:t>
      </w:r>
    </w:p>
    <w:p w:rsidR="00504CB5" w:rsidRPr="00B53FE2" w:rsidRDefault="00504CB5" w:rsidP="00504CB5">
      <w:pPr>
        <w:ind w:left="3600" w:hanging="3600"/>
        <w:rPr>
          <w:lang w:val="es-ES_tradnl"/>
        </w:rPr>
      </w:pPr>
      <w:bookmarkStart w:id="8" w:name="lt_pId089"/>
      <w:r w:rsidRPr="00B53FE2">
        <w:rPr>
          <w:lang w:val="es-ES_tradnl"/>
        </w:rPr>
        <w:t xml:space="preserve">Recomendación </w:t>
      </w:r>
      <w:r w:rsidRPr="00B53FE2">
        <w:rPr>
          <w:cs/>
          <w:lang w:val="es-ES_tradnl"/>
        </w:rPr>
        <w:t>‎</w:t>
      </w:r>
      <w:r w:rsidRPr="00B53FE2">
        <w:rPr>
          <w:lang w:val="es-ES_tradnl"/>
        </w:rPr>
        <w:t>UIT-R SA.1157</w:t>
      </w:r>
      <w:bookmarkEnd w:id="8"/>
      <w:r w:rsidRPr="00B53FE2">
        <w:rPr>
          <w:lang w:val="es-ES_tradnl"/>
        </w:rPr>
        <w:tab/>
        <w:t>Criterios de protección para la investigación del espacio lejano</w:t>
      </w:r>
    </w:p>
    <w:p w:rsidR="00504CB5" w:rsidRPr="00B53FE2" w:rsidRDefault="00504CB5" w:rsidP="00504CB5">
      <w:pPr>
        <w:ind w:left="3600" w:hanging="3600"/>
        <w:rPr>
          <w:lang w:val="es-ES_tradnl"/>
        </w:rPr>
      </w:pPr>
      <w:bookmarkStart w:id="9" w:name="lt_pId091"/>
      <w:r w:rsidRPr="00B53FE2">
        <w:rPr>
          <w:lang w:val="es-ES_tradnl"/>
        </w:rPr>
        <w:t xml:space="preserve">Recomendación </w:t>
      </w:r>
      <w:r w:rsidRPr="00B53FE2">
        <w:rPr>
          <w:cs/>
          <w:lang w:val="es-ES_tradnl"/>
        </w:rPr>
        <w:t>‎</w:t>
      </w:r>
      <w:r w:rsidRPr="00B53FE2">
        <w:rPr>
          <w:lang w:val="es-ES_tradnl"/>
        </w:rPr>
        <w:t>UIT-R SM.1541</w:t>
      </w:r>
      <w:bookmarkEnd w:id="9"/>
      <w:r w:rsidRPr="00B53FE2">
        <w:rPr>
          <w:lang w:val="es-ES_tradnl"/>
        </w:rPr>
        <w:tab/>
        <w:t>Emisiones no deseadas en el dominio fuera de banda</w:t>
      </w:r>
    </w:p>
    <w:p w:rsidR="00504CB5" w:rsidRPr="00B53FE2" w:rsidRDefault="00504CB5" w:rsidP="00504CB5">
      <w:pPr>
        <w:ind w:left="3600" w:hanging="3600"/>
        <w:rPr>
          <w:spacing w:val="-4"/>
          <w:lang w:val="es-ES_tradnl"/>
        </w:rPr>
      </w:pPr>
      <w:bookmarkStart w:id="10" w:name="lt_pId093"/>
      <w:r w:rsidRPr="00B53FE2">
        <w:rPr>
          <w:spacing w:val="-4"/>
          <w:lang w:val="es-ES_tradnl"/>
        </w:rPr>
        <w:t>Informe UIT-R RS.2308</w:t>
      </w:r>
      <w:bookmarkEnd w:id="10"/>
      <w:r w:rsidRPr="00B53FE2">
        <w:rPr>
          <w:spacing w:val="-4"/>
          <w:lang w:val="es-ES_tradnl"/>
        </w:rPr>
        <w:tab/>
      </w:r>
      <w:bookmarkStart w:id="11" w:name="lt_pId094"/>
      <w:r w:rsidRPr="00B53FE2">
        <w:rPr>
          <w:spacing w:val="-4"/>
          <w:lang w:val="es-ES_tradnl"/>
        </w:rPr>
        <w:t>Compatibilidad en radiofrecuencia de las emisiones no deseadas procedentes de los radares de apertura sintética del SETS en 9 GHz con el servicio de exploración de la Tierra por satélite (pasivo), el servicio de investigación espacial (pasivo), el servicio de investigación espacial y el servicio de radioastronomía que utilizan, respectivamente, las bandas de frecuencias 8 400</w:t>
      </w:r>
      <w:r w:rsidRPr="00B53FE2">
        <w:rPr>
          <w:spacing w:val="-4"/>
          <w:lang w:val="es-ES_tradnl"/>
        </w:rPr>
        <w:noBreakHyphen/>
        <w:t>8 500 MHz y 10,6-10,7 GHz</w:t>
      </w:r>
      <w:bookmarkEnd w:id="11"/>
      <w:r w:rsidRPr="00B53FE2">
        <w:rPr>
          <w:rFonts w:asciiTheme="majorBidi" w:hAnsiTheme="majorBidi" w:cstheme="majorBidi"/>
          <w:szCs w:val="24"/>
          <w:lang w:val="es-ES_tradnl"/>
        </w:rPr>
        <w:br w:type="page"/>
      </w:r>
    </w:p>
    <w:p w:rsidR="00504CB5" w:rsidRPr="00B53FE2" w:rsidRDefault="00504CB5" w:rsidP="00504CB5">
      <w:pPr>
        <w:pStyle w:val="Normalaftertitle"/>
        <w:rPr>
          <w:lang w:val="es-ES_tradnl"/>
        </w:rPr>
      </w:pPr>
      <w:r w:rsidRPr="00B53FE2">
        <w:rPr>
          <w:lang w:val="es-ES_tradnl"/>
        </w:rPr>
        <w:lastRenderedPageBreak/>
        <w:t>La Asamblea de Radiocomunicaciones de la UIT,</w:t>
      </w:r>
    </w:p>
    <w:p w:rsidR="00504CB5" w:rsidRPr="00B53FE2" w:rsidRDefault="00504CB5" w:rsidP="00504CB5">
      <w:pPr>
        <w:pStyle w:val="Call"/>
        <w:rPr>
          <w:lang w:val="es-ES_tradnl"/>
        </w:rPr>
      </w:pPr>
      <w:r w:rsidRPr="00B53FE2">
        <w:rPr>
          <w:lang w:val="es-ES_tradnl"/>
        </w:rPr>
        <w:t>considerando</w:t>
      </w:r>
    </w:p>
    <w:p w:rsidR="00504CB5" w:rsidRPr="00B53FE2" w:rsidRDefault="00504CB5" w:rsidP="00504CB5">
      <w:pPr>
        <w:tabs>
          <w:tab w:val="clear" w:pos="1191"/>
          <w:tab w:val="left" w:pos="-1890"/>
          <w:tab w:val="left" w:pos="1170"/>
        </w:tabs>
        <w:rPr>
          <w:szCs w:val="24"/>
          <w:lang w:val="es-ES_tradnl"/>
        </w:rPr>
      </w:pPr>
      <w:r w:rsidRPr="00B53FE2">
        <w:rPr>
          <w:i/>
          <w:iCs/>
          <w:lang w:val="es-ES_tradnl"/>
        </w:rPr>
        <w:t>a)</w:t>
      </w:r>
      <w:r w:rsidRPr="00B53FE2">
        <w:rPr>
          <w:i/>
          <w:lang w:val="es-ES_tradnl"/>
        </w:rPr>
        <w:tab/>
      </w:r>
      <w:bookmarkStart w:id="12" w:name="lt_pId098"/>
      <w:r w:rsidRPr="00B53FE2">
        <w:rPr>
          <w:szCs w:val="24"/>
          <w:lang w:val="es-ES_tradnl"/>
        </w:rPr>
        <w:t>que la banda de frecuencias 9</w:t>
      </w:r>
      <w:r w:rsidRPr="00B53FE2">
        <w:rPr>
          <w:sz w:val="16"/>
          <w:szCs w:val="16"/>
          <w:lang w:val="es-ES_tradnl"/>
        </w:rPr>
        <w:t> </w:t>
      </w:r>
      <w:r w:rsidRPr="00B53FE2">
        <w:rPr>
          <w:szCs w:val="24"/>
          <w:lang w:val="es-ES_tradnl"/>
        </w:rPr>
        <w:t>300-9</w:t>
      </w:r>
      <w:r w:rsidRPr="00B53FE2">
        <w:rPr>
          <w:sz w:val="16"/>
          <w:szCs w:val="16"/>
          <w:lang w:val="es-ES_tradnl"/>
        </w:rPr>
        <w:t> </w:t>
      </w:r>
      <w:r w:rsidRPr="00B53FE2">
        <w:rPr>
          <w:szCs w:val="24"/>
          <w:lang w:val="es-ES_tradnl"/>
        </w:rPr>
        <w:t xml:space="preserve">800 MHz está atribuida a título primario al servicio SETS (activo); </w:t>
      </w:r>
      <w:bookmarkEnd w:id="12"/>
    </w:p>
    <w:p w:rsidR="00504CB5" w:rsidRPr="00B53FE2" w:rsidRDefault="00504CB5" w:rsidP="00504CB5">
      <w:pPr>
        <w:tabs>
          <w:tab w:val="clear" w:pos="1191"/>
          <w:tab w:val="left" w:pos="-1890"/>
          <w:tab w:val="left" w:pos="1170"/>
        </w:tabs>
        <w:rPr>
          <w:szCs w:val="24"/>
          <w:lang w:val="es-ES_tradnl"/>
        </w:rPr>
      </w:pPr>
      <w:r w:rsidRPr="00B53FE2">
        <w:rPr>
          <w:i/>
          <w:iCs/>
          <w:lang w:val="es-ES_tradnl"/>
        </w:rPr>
        <w:t>b)</w:t>
      </w:r>
      <w:r w:rsidRPr="00B53FE2">
        <w:rPr>
          <w:lang w:val="es-ES_tradnl"/>
        </w:rPr>
        <w:tab/>
      </w:r>
      <w:bookmarkStart w:id="13" w:name="lt_pId100"/>
      <w:r w:rsidRPr="00B53FE2">
        <w:rPr>
          <w:szCs w:val="24"/>
          <w:lang w:val="es-ES_tradnl"/>
        </w:rPr>
        <w:t>que la banda de frecuencias 9</w:t>
      </w:r>
      <w:r w:rsidRPr="00B53FE2">
        <w:rPr>
          <w:sz w:val="16"/>
          <w:szCs w:val="16"/>
          <w:lang w:val="es-ES_tradnl"/>
        </w:rPr>
        <w:t> </w:t>
      </w:r>
      <w:r w:rsidRPr="00B53FE2">
        <w:rPr>
          <w:szCs w:val="24"/>
          <w:lang w:val="es-ES_tradnl"/>
        </w:rPr>
        <w:t>800-9</w:t>
      </w:r>
      <w:r w:rsidRPr="00B53FE2">
        <w:rPr>
          <w:sz w:val="16"/>
          <w:szCs w:val="16"/>
          <w:lang w:val="es-ES_tradnl"/>
        </w:rPr>
        <w:t> </w:t>
      </w:r>
      <w:r w:rsidRPr="00B53FE2">
        <w:rPr>
          <w:szCs w:val="24"/>
          <w:lang w:val="es-ES_tradnl"/>
        </w:rPr>
        <w:t>900 MHz está atribuida a título secundario al servicio SETS (activo);</w:t>
      </w:r>
    </w:p>
    <w:bookmarkEnd w:id="13"/>
    <w:p w:rsidR="00504CB5" w:rsidRPr="00B53FE2" w:rsidRDefault="00504CB5" w:rsidP="00504CB5">
      <w:pPr>
        <w:tabs>
          <w:tab w:val="clear" w:pos="1191"/>
          <w:tab w:val="left" w:pos="-1890"/>
          <w:tab w:val="left" w:pos="1170"/>
        </w:tabs>
        <w:rPr>
          <w:szCs w:val="24"/>
          <w:lang w:val="es-ES_tradnl"/>
        </w:rPr>
      </w:pPr>
      <w:r w:rsidRPr="00B53FE2">
        <w:rPr>
          <w:i/>
          <w:iCs/>
          <w:lang w:val="es-ES_tradnl"/>
        </w:rPr>
        <w:t>c)</w:t>
      </w:r>
      <w:r w:rsidRPr="00B53FE2">
        <w:rPr>
          <w:lang w:val="es-ES_tradnl"/>
        </w:rPr>
        <w:tab/>
      </w:r>
      <w:bookmarkStart w:id="14" w:name="lt_pId102"/>
      <w:r w:rsidRPr="00B53FE2">
        <w:rPr>
          <w:szCs w:val="24"/>
          <w:lang w:val="es-ES_tradnl"/>
        </w:rPr>
        <w:t>que la banda de frecuencias 8</w:t>
      </w:r>
      <w:r w:rsidRPr="00B53FE2">
        <w:rPr>
          <w:sz w:val="16"/>
          <w:szCs w:val="16"/>
          <w:lang w:val="es-ES_tradnl"/>
        </w:rPr>
        <w:t> </w:t>
      </w:r>
      <w:r w:rsidRPr="00B53FE2">
        <w:rPr>
          <w:szCs w:val="24"/>
          <w:lang w:val="es-ES_tradnl"/>
        </w:rPr>
        <w:t>400-8</w:t>
      </w:r>
      <w:r w:rsidRPr="00B53FE2">
        <w:rPr>
          <w:sz w:val="16"/>
          <w:szCs w:val="16"/>
          <w:lang w:val="es-ES_tradnl"/>
        </w:rPr>
        <w:t> </w:t>
      </w:r>
      <w:r w:rsidRPr="00B53FE2">
        <w:rPr>
          <w:szCs w:val="24"/>
          <w:lang w:val="es-ES_tradnl"/>
        </w:rPr>
        <w:t xml:space="preserve">450 MHz está atribuida a título primario a los enlaces espacio-Tierra del servicio SIE (espacio lejano); </w:t>
      </w:r>
    </w:p>
    <w:bookmarkEnd w:id="14"/>
    <w:p w:rsidR="00504CB5" w:rsidRPr="00B53FE2" w:rsidRDefault="00504CB5" w:rsidP="00504CB5">
      <w:pPr>
        <w:tabs>
          <w:tab w:val="clear" w:pos="1191"/>
          <w:tab w:val="left" w:pos="-1890"/>
          <w:tab w:val="left" w:pos="1170"/>
        </w:tabs>
        <w:rPr>
          <w:szCs w:val="24"/>
          <w:lang w:val="es-ES_tradnl"/>
        </w:rPr>
      </w:pPr>
      <w:r w:rsidRPr="00B53FE2">
        <w:rPr>
          <w:i/>
          <w:iCs/>
          <w:szCs w:val="24"/>
          <w:lang w:val="es-ES_tradnl"/>
        </w:rPr>
        <w:t>d)</w:t>
      </w:r>
      <w:r w:rsidRPr="00B53FE2">
        <w:rPr>
          <w:szCs w:val="24"/>
          <w:lang w:val="es-ES_tradnl"/>
        </w:rPr>
        <w:tab/>
      </w:r>
      <w:bookmarkStart w:id="15" w:name="lt_pId104"/>
      <w:r w:rsidRPr="00B53FE2">
        <w:rPr>
          <w:szCs w:val="24"/>
          <w:lang w:val="es-ES_tradnl"/>
        </w:rPr>
        <w:t xml:space="preserve">que la banda de frecuencias </w:t>
      </w:r>
      <w:r w:rsidRPr="00B53FE2">
        <w:rPr>
          <w:szCs w:val="24"/>
          <w:cs/>
          <w:lang w:val="es-ES_tradnl"/>
        </w:rPr>
        <w:t>‎</w:t>
      </w:r>
      <w:r w:rsidRPr="00B53FE2">
        <w:rPr>
          <w:szCs w:val="24"/>
          <w:lang w:val="es-ES_tradnl"/>
        </w:rPr>
        <w:t xml:space="preserve">8 450-8 500 </w:t>
      </w:r>
      <w:r w:rsidRPr="00B53FE2">
        <w:rPr>
          <w:szCs w:val="24"/>
          <w:cs/>
          <w:lang w:val="es-ES_tradnl"/>
        </w:rPr>
        <w:t>‎</w:t>
      </w:r>
      <w:r w:rsidRPr="00B53FE2">
        <w:rPr>
          <w:szCs w:val="24"/>
          <w:lang w:val="es-ES_tradnl"/>
        </w:rPr>
        <w:t xml:space="preserve">MHz está atribuida a título primario al SIE para los enlaces espacio-Tierra; </w:t>
      </w:r>
    </w:p>
    <w:bookmarkEnd w:id="15"/>
    <w:p w:rsidR="00504CB5" w:rsidRPr="00B53FE2" w:rsidRDefault="00504CB5" w:rsidP="00504CB5">
      <w:pPr>
        <w:tabs>
          <w:tab w:val="clear" w:pos="1191"/>
          <w:tab w:val="left" w:pos="-1890"/>
          <w:tab w:val="left" w:pos="1170"/>
        </w:tabs>
        <w:rPr>
          <w:szCs w:val="24"/>
          <w:lang w:val="es-ES_tradnl"/>
        </w:rPr>
      </w:pPr>
      <w:r w:rsidRPr="00B53FE2">
        <w:rPr>
          <w:i/>
          <w:iCs/>
          <w:szCs w:val="24"/>
          <w:lang w:val="es-ES_tradnl"/>
        </w:rPr>
        <w:t>e)</w:t>
      </w:r>
      <w:r w:rsidRPr="00B53FE2">
        <w:rPr>
          <w:szCs w:val="24"/>
          <w:lang w:val="es-ES_tradnl"/>
        </w:rPr>
        <w:tab/>
      </w:r>
      <w:bookmarkStart w:id="16" w:name="lt_pId106"/>
      <w:r w:rsidRPr="00B53FE2">
        <w:rPr>
          <w:szCs w:val="24"/>
          <w:lang w:val="es-ES_tradnl"/>
        </w:rPr>
        <w:t>que los sistemas que funcionan con radares activos en la banda de frecuencias 9</w:t>
      </w:r>
      <w:r w:rsidRPr="00B53FE2">
        <w:rPr>
          <w:sz w:val="16"/>
          <w:szCs w:val="16"/>
          <w:lang w:val="es-ES_tradnl"/>
        </w:rPr>
        <w:t> </w:t>
      </w:r>
      <w:r w:rsidRPr="00B53FE2">
        <w:rPr>
          <w:szCs w:val="24"/>
          <w:lang w:val="es-ES_tradnl"/>
        </w:rPr>
        <w:t>300</w:t>
      </w:r>
      <w:r w:rsidRPr="00B53FE2">
        <w:rPr>
          <w:szCs w:val="24"/>
          <w:lang w:val="es-ES_tradnl"/>
        </w:rPr>
        <w:noBreakHyphen/>
        <w:t>9</w:t>
      </w:r>
      <w:r w:rsidRPr="00B53FE2">
        <w:rPr>
          <w:sz w:val="16"/>
          <w:szCs w:val="16"/>
          <w:lang w:val="es-ES_tradnl"/>
        </w:rPr>
        <w:t> </w:t>
      </w:r>
      <w:r w:rsidRPr="00B53FE2">
        <w:rPr>
          <w:szCs w:val="24"/>
          <w:lang w:val="es-ES_tradnl"/>
        </w:rPr>
        <w:t>900 MHz utilizan emisiones de alta potencia en el sentido espacio-Tierra;</w:t>
      </w:r>
    </w:p>
    <w:bookmarkEnd w:id="16"/>
    <w:p w:rsidR="00504CB5" w:rsidRPr="00B53FE2" w:rsidRDefault="00504CB5" w:rsidP="00504CB5">
      <w:pPr>
        <w:tabs>
          <w:tab w:val="clear" w:pos="1191"/>
          <w:tab w:val="left" w:pos="-1890"/>
          <w:tab w:val="left" w:pos="1170"/>
        </w:tabs>
        <w:rPr>
          <w:szCs w:val="24"/>
          <w:lang w:val="es-ES_tradnl"/>
        </w:rPr>
      </w:pPr>
      <w:r w:rsidRPr="00B53FE2">
        <w:rPr>
          <w:i/>
          <w:iCs/>
          <w:szCs w:val="24"/>
          <w:lang w:val="es-ES_tradnl"/>
        </w:rPr>
        <w:t>f)</w:t>
      </w:r>
      <w:r w:rsidRPr="00B53FE2">
        <w:rPr>
          <w:szCs w:val="24"/>
          <w:lang w:val="es-ES_tradnl"/>
        </w:rPr>
        <w:tab/>
      </w:r>
      <w:bookmarkStart w:id="17" w:name="lt_pId108"/>
      <w:r w:rsidRPr="00B53FE2">
        <w:rPr>
          <w:szCs w:val="24"/>
          <w:lang w:val="es-ES_tradnl"/>
        </w:rPr>
        <w:t>que las estaciones terrenas del SIE (espacio lejano) que funcionan en la banda de frecuencias 8</w:t>
      </w:r>
      <w:r w:rsidRPr="00B53FE2">
        <w:rPr>
          <w:sz w:val="16"/>
          <w:szCs w:val="16"/>
          <w:lang w:val="es-ES_tradnl"/>
        </w:rPr>
        <w:t> </w:t>
      </w:r>
      <w:r w:rsidRPr="00B53FE2">
        <w:rPr>
          <w:szCs w:val="24"/>
          <w:lang w:val="es-ES_tradnl"/>
        </w:rPr>
        <w:t>400-8</w:t>
      </w:r>
      <w:r w:rsidRPr="00B53FE2">
        <w:rPr>
          <w:sz w:val="16"/>
          <w:szCs w:val="16"/>
          <w:lang w:val="es-ES_tradnl"/>
        </w:rPr>
        <w:t> </w:t>
      </w:r>
      <w:r w:rsidRPr="00B53FE2">
        <w:rPr>
          <w:szCs w:val="24"/>
          <w:lang w:val="es-ES_tradnl"/>
        </w:rPr>
        <w:t>450 MHz como se describe en la Recomendación UIT-R SA.1014, utilizan receptores extremadamente sensibles;</w:t>
      </w:r>
      <w:bookmarkEnd w:id="17"/>
    </w:p>
    <w:p w:rsidR="00504CB5" w:rsidRPr="00B53FE2" w:rsidRDefault="00504CB5" w:rsidP="00504CB5">
      <w:pPr>
        <w:tabs>
          <w:tab w:val="clear" w:pos="1191"/>
          <w:tab w:val="left" w:pos="-1890"/>
          <w:tab w:val="left" w:pos="1170"/>
        </w:tabs>
        <w:rPr>
          <w:szCs w:val="24"/>
          <w:lang w:val="es-ES_tradnl"/>
        </w:rPr>
      </w:pPr>
      <w:r w:rsidRPr="00B53FE2">
        <w:rPr>
          <w:i/>
          <w:szCs w:val="24"/>
          <w:lang w:val="es-ES_tradnl"/>
        </w:rPr>
        <w:t>g)</w:t>
      </w:r>
      <w:r w:rsidRPr="00B53FE2">
        <w:rPr>
          <w:szCs w:val="24"/>
          <w:lang w:val="es-ES_tradnl"/>
        </w:rPr>
        <w:tab/>
      </w:r>
      <w:bookmarkStart w:id="18" w:name="lt_pId110"/>
      <w:r w:rsidRPr="00B53FE2">
        <w:rPr>
          <w:szCs w:val="24"/>
          <w:lang w:val="es-ES_tradnl"/>
        </w:rPr>
        <w:t>que estas estaciones del SIE también apoyan misiones SIE como misiones de Lagrange y lunares en la banda de frecuencias 8</w:t>
      </w:r>
      <w:r w:rsidRPr="00B53FE2">
        <w:rPr>
          <w:sz w:val="16"/>
          <w:szCs w:val="16"/>
          <w:lang w:val="es-ES_tradnl"/>
        </w:rPr>
        <w:t> </w:t>
      </w:r>
      <w:r w:rsidRPr="00B53FE2">
        <w:rPr>
          <w:szCs w:val="24"/>
          <w:lang w:val="es-ES_tradnl"/>
        </w:rPr>
        <w:t>450-8</w:t>
      </w:r>
      <w:r w:rsidRPr="00B53FE2">
        <w:rPr>
          <w:sz w:val="16"/>
          <w:szCs w:val="16"/>
          <w:lang w:val="es-ES_tradnl"/>
        </w:rPr>
        <w:t> </w:t>
      </w:r>
      <w:r w:rsidRPr="00B53FE2">
        <w:rPr>
          <w:szCs w:val="24"/>
          <w:lang w:val="es-ES_tradnl"/>
        </w:rPr>
        <w:t>500 MHz;</w:t>
      </w:r>
      <w:bookmarkEnd w:id="18"/>
    </w:p>
    <w:p w:rsidR="00504CB5" w:rsidRPr="00B53FE2" w:rsidRDefault="00504CB5" w:rsidP="00504CB5">
      <w:pPr>
        <w:tabs>
          <w:tab w:val="clear" w:pos="1191"/>
          <w:tab w:val="left" w:pos="-1890"/>
          <w:tab w:val="left" w:pos="1170"/>
        </w:tabs>
        <w:rPr>
          <w:szCs w:val="24"/>
          <w:lang w:val="es-ES_tradnl"/>
        </w:rPr>
      </w:pPr>
      <w:r w:rsidRPr="00B53FE2">
        <w:rPr>
          <w:i/>
          <w:iCs/>
          <w:szCs w:val="24"/>
          <w:lang w:val="es-ES_tradnl"/>
        </w:rPr>
        <w:t>h)</w:t>
      </w:r>
      <w:r w:rsidRPr="00B53FE2">
        <w:rPr>
          <w:szCs w:val="24"/>
          <w:lang w:val="es-ES_tradnl"/>
        </w:rPr>
        <w:tab/>
      </w:r>
      <w:bookmarkStart w:id="19" w:name="lt_pId112"/>
      <w:r w:rsidRPr="00B53FE2">
        <w:rPr>
          <w:szCs w:val="24"/>
          <w:lang w:val="es-ES_tradnl"/>
        </w:rPr>
        <w:t>que la Recomendación UIT-R SA.1157 describe los criterios de protección de las misiones del SIE (espacio lejano) en la banda de frecuencias 8</w:t>
      </w:r>
      <w:r w:rsidRPr="00B53FE2">
        <w:rPr>
          <w:sz w:val="16"/>
          <w:szCs w:val="16"/>
          <w:lang w:val="es-ES_tradnl"/>
        </w:rPr>
        <w:t> </w:t>
      </w:r>
      <w:r w:rsidRPr="00B53FE2">
        <w:rPr>
          <w:szCs w:val="24"/>
          <w:lang w:val="es-ES_tradnl"/>
        </w:rPr>
        <w:t>400</w:t>
      </w:r>
      <w:r w:rsidRPr="00B53FE2">
        <w:rPr>
          <w:rFonts w:ascii="Normal" w:eastAsia="Normal" w:hAnsi="Normal" w:cs="Normal"/>
          <w:szCs w:val="24"/>
          <w:lang w:val="es-ES_tradnl"/>
        </w:rPr>
        <w:t>-</w:t>
      </w:r>
      <w:r w:rsidRPr="00B53FE2">
        <w:rPr>
          <w:szCs w:val="24"/>
          <w:lang w:val="es-ES_tradnl"/>
        </w:rPr>
        <w:t>8</w:t>
      </w:r>
      <w:r w:rsidRPr="00B53FE2">
        <w:rPr>
          <w:sz w:val="16"/>
          <w:szCs w:val="16"/>
          <w:lang w:val="es-ES_tradnl"/>
        </w:rPr>
        <w:t> </w:t>
      </w:r>
      <w:r w:rsidRPr="00B53FE2">
        <w:rPr>
          <w:szCs w:val="24"/>
          <w:lang w:val="es-ES_tradnl"/>
        </w:rPr>
        <w:t xml:space="preserve">450 MHz y la Recomendación UIT-R SA.609 los criterios de protección de las misiones del SIE en la banda de frecuencias </w:t>
      </w:r>
      <w:r w:rsidRPr="00B53FE2">
        <w:rPr>
          <w:color w:val="000000"/>
          <w:lang w:val="es-ES_tradnl"/>
        </w:rPr>
        <w:t>8</w:t>
      </w:r>
      <w:r w:rsidRPr="00B53FE2">
        <w:rPr>
          <w:sz w:val="16"/>
          <w:szCs w:val="16"/>
          <w:lang w:val="es-ES_tradnl"/>
        </w:rPr>
        <w:t> </w:t>
      </w:r>
      <w:r w:rsidRPr="00B53FE2">
        <w:rPr>
          <w:color w:val="000000"/>
          <w:lang w:val="es-ES_tradnl"/>
        </w:rPr>
        <w:t>450</w:t>
      </w:r>
      <w:r w:rsidRPr="00B53FE2">
        <w:rPr>
          <w:color w:val="000000"/>
          <w:lang w:val="es-ES_tradnl"/>
        </w:rPr>
        <w:noBreakHyphen/>
        <w:t>8</w:t>
      </w:r>
      <w:r w:rsidRPr="00B53FE2">
        <w:rPr>
          <w:sz w:val="16"/>
          <w:szCs w:val="16"/>
          <w:lang w:val="es-ES_tradnl"/>
        </w:rPr>
        <w:t> </w:t>
      </w:r>
      <w:r w:rsidRPr="00B53FE2">
        <w:rPr>
          <w:color w:val="000000"/>
          <w:lang w:val="es-ES_tradnl"/>
        </w:rPr>
        <w:t>500 MHz</w:t>
      </w:r>
      <w:r w:rsidRPr="00B53FE2">
        <w:rPr>
          <w:szCs w:val="24"/>
          <w:lang w:val="es-ES_tradnl"/>
        </w:rPr>
        <w:t>;</w:t>
      </w:r>
      <w:bookmarkEnd w:id="19"/>
    </w:p>
    <w:p w:rsidR="00504CB5" w:rsidRPr="00B53FE2" w:rsidRDefault="00504CB5" w:rsidP="00504CB5">
      <w:pPr>
        <w:rPr>
          <w:szCs w:val="24"/>
          <w:lang w:val="es-ES_tradnl"/>
        </w:rPr>
      </w:pPr>
      <w:r w:rsidRPr="00B53FE2">
        <w:rPr>
          <w:i/>
          <w:iCs/>
          <w:szCs w:val="24"/>
          <w:lang w:val="es-ES_tradnl"/>
        </w:rPr>
        <w:t>i)</w:t>
      </w:r>
      <w:r w:rsidRPr="00B53FE2">
        <w:rPr>
          <w:szCs w:val="24"/>
          <w:lang w:val="es-ES_tradnl"/>
        </w:rPr>
        <w:tab/>
      </w:r>
      <w:bookmarkStart w:id="20" w:name="lt_pId114"/>
      <w:r w:rsidRPr="00B53FE2">
        <w:rPr>
          <w:szCs w:val="24"/>
          <w:lang w:val="es-ES_tradnl"/>
        </w:rPr>
        <w:t>que las emisiones no deseadas del SETS (activo) que funciona en la banda de frecuencias 9 300</w:t>
      </w:r>
      <w:r w:rsidRPr="00B53FE2">
        <w:rPr>
          <w:rFonts w:ascii="Normal" w:eastAsia="Normal" w:hAnsi="Normal" w:cs="Normal"/>
          <w:szCs w:val="24"/>
          <w:lang w:val="es-ES_tradnl"/>
        </w:rPr>
        <w:t>-</w:t>
      </w:r>
      <w:r w:rsidRPr="00B53FE2">
        <w:rPr>
          <w:szCs w:val="24"/>
          <w:lang w:val="es-ES_tradnl"/>
        </w:rPr>
        <w:t>9 900 MHz pueden superar los criterios de protección del SIE (espacio lejano) en la banda 8</w:t>
      </w:r>
      <w:r w:rsidRPr="00B53FE2">
        <w:rPr>
          <w:sz w:val="16"/>
          <w:szCs w:val="16"/>
          <w:lang w:val="es-ES_tradnl"/>
        </w:rPr>
        <w:t> </w:t>
      </w:r>
      <w:r w:rsidRPr="00B53FE2">
        <w:rPr>
          <w:szCs w:val="24"/>
          <w:lang w:val="es-ES_tradnl"/>
        </w:rPr>
        <w:t>400-8</w:t>
      </w:r>
      <w:r w:rsidRPr="00B53FE2">
        <w:rPr>
          <w:sz w:val="16"/>
          <w:szCs w:val="16"/>
          <w:lang w:val="es-ES_tradnl"/>
        </w:rPr>
        <w:t> </w:t>
      </w:r>
      <w:r w:rsidRPr="00B53FE2">
        <w:rPr>
          <w:szCs w:val="24"/>
          <w:lang w:val="es-ES_tradnl"/>
        </w:rPr>
        <w:t>450 MHz;</w:t>
      </w:r>
      <w:bookmarkEnd w:id="20"/>
    </w:p>
    <w:p w:rsidR="00504CB5" w:rsidRPr="00B53FE2" w:rsidRDefault="00504CB5" w:rsidP="00504CB5">
      <w:pPr>
        <w:tabs>
          <w:tab w:val="clear" w:pos="1191"/>
          <w:tab w:val="left" w:pos="1170"/>
        </w:tabs>
        <w:rPr>
          <w:szCs w:val="24"/>
          <w:lang w:val="es-ES_tradnl"/>
        </w:rPr>
      </w:pPr>
      <w:r w:rsidRPr="00B53FE2">
        <w:rPr>
          <w:i/>
          <w:iCs/>
          <w:szCs w:val="24"/>
          <w:lang w:val="es-ES_tradnl"/>
        </w:rPr>
        <w:t>j)</w:t>
      </w:r>
      <w:r w:rsidRPr="00B53FE2">
        <w:rPr>
          <w:szCs w:val="24"/>
          <w:lang w:val="es-ES_tradnl"/>
        </w:rPr>
        <w:tab/>
      </w:r>
      <w:bookmarkStart w:id="21" w:name="lt_pId116"/>
      <w:r w:rsidRPr="00B53FE2">
        <w:rPr>
          <w:szCs w:val="24"/>
          <w:lang w:val="es-ES_tradnl"/>
        </w:rPr>
        <w:t>que casi todas las misiones del SIE (espacio lejano) utilizan la banda de frecuencias 8</w:t>
      </w:r>
      <w:r w:rsidRPr="00B53FE2">
        <w:rPr>
          <w:sz w:val="16"/>
          <w:szCs w:val="16"/>
          <w:lang w:val="es-ES_tradnl"/>
        </w:rPr>
        <w:t> </w:t>
      </w:r>
      <w:r w:rsidRPr="00B53FE2">
        <w:rPr>
          <w:szCs w:val="24"/>
          <w:lang w:val="es-ES_tradnl"/>
        </w:rPr>
        <w:t>400</w:t>
      </w:r>
      <w:r w:rsidRPr="00B53FE2">
        <w:rPr>
          <w:szCs w:val="24"/>
          <w:lang w:val="es-ES_tradnl"/>
        </w:rPr>
        <w:noBreakHyphen/>
        <w:t>8</w:t>
      </w:r>
      <w:r w:rsidRPr="00B53FE2">
        <w:rPr>
          <w:sz w:val="16"/>
          <w:szCs w:val="16"/>
          <w:lang w:val="es-ES_tradnl"/>
        </w:rPr>
        <w:t> </w:t>
      </w:r>
      <w:r w:rsidRPr="00B53FE2">
        <w:rPr>
          <w:szCs w:val="24"/>
          <w:lang w:val="es-ES_tradnl"/>
        </w:rPr>
        <w:t>450 MHz para dar apoyo a los acontecimientos rutinarios y críticos y casi todas las misiones SIE de Lagrange y lunares utilizan la banda de frecuencias 8</w:t>
      </w:r>
      <w:r w:rsidRPr="00B53FE2">
        <w:rPr>
          <w:sz w:val="16"/>
          <w:szCs w:val="16"/>
          <w:lang w:val="es-ES_tradnl"/>
        </w:rPr>
        <w:t> </w:t>
      </w:r>
      <w:r w:rsidRPr="00B53FE2">
        <w:rPr>
          <w:szCs w:val="24"/>
          <w:lang w:val="es-ES_tradnl"/>
        </w:rPr>
        <w:t>450-8</w:t>
      </w:r>
      <w:r w:rsidRPr="00B53FE2">
        <w:rPr>
          <w:sz w:val="16"/>
          <w:szCs w:val="16"/>
          <w:lang w:val="es-ES_tradnl"/>
        </w:rPr>
        <w:t> </w:t>
      </w:r>
      <w:r w:rsidRPr="00B53FE2">
        <w:rPr>
          <w:szCs w:val="24"/>
          <w:lang w:val="es-ES_tradnl"/>
        </w:rPr>
        <w:t>500 MHz;</w:t>
      </w:r>
      <w:bookmarkEnd w:id="21"/>
    </w:p>
    <w:p w:rsidR="00504CB5" w:rsidRPr="00B53FE2" w:rsidRDefault="00504CB5" w:rsidP="00504CB5">
      <w:pPr>
        <w:rPr>
          <w:szCs w:val="24"/>
          <w:lang w:val="es-ES_tradnl"/>
        </w:rPr>
      </w:pPr>
      <w:r w:rsidRPr="00B53FE2">
        <w:rPr>
          <w:i/>
          <w:lang w:val="es-ES_tradnl"/>
        </w:rPr>
        <w:t>k)</w:t>
      </w:r>
      <w:r w:rsidRPr="00B53FE2">
        <w:rPr>
          <w:lang w:val="es-ES_tradnl"/>
        </w:rPr>
        <w:tab/>
      </w:r>
      <w:bookmarkStart w:id="22" w:name="lt_pId118"/>
      <w:r w:rsidRPr="00B53FE2">
        <w:rPr>
          <w:lang w:val="es-ES_tradnl"/>
        </w:rPr>
        <w:t>que los acontecimientos críticos del SIE (espacio lejano) como el lanzamiento, la inserción en órbita, el sobrevuelo planetario, y</w:t>
      </w:r>
      <w:r w:rsidRPr="00B53FE2">
        <w:rPr>
          <w:szCs w:val="24"/>
          <w:lang w:val="es-ES_tradnl"/>
        </w:rPr>
        <w:t xml:space="preserve"> la reentrada, el descenso y el aterrizaje, incluida la recepción de muestras, a menudo determinan el éxito de las misiones del espacio lejano; </w:t>
      </w:r>
      <w:bookmarkEnd w:id="22"/>
    </w:p>
    <w:p w:rsidR="00504CB5" w:rsidRPr="00B53FE2" w:rsidRDefault="00504CB5" w:rsidP="00504CB5">
      <w:pPr>
        <w:rPr>
          <w:szCs w:val="24"/>
          <w:lang w:val="es-ES_tradnl"/>
        </w:rPr>
      </w:pPr>
      <w:r w:rsidRPr="00B53FE2">
        <w:rPr>
          <w:i/>
          <w:szCs w:val="24"/>
          <w:lang w:val="es-ES_tradnl"/>
        </w:rPr>
        <w:t>l)</w:t>
      </w:r>
      <w:r w:rsidRPr="00B53FE2">
        <w:rPr>
          <w:szCs w:val="24"/>
          <w:lang w:val="es-ES_tradnl"/>
        </w:rPr>
        <w:tab/>
      </w:r>
      <w:bookmarkStart w:id="23" w:name="lt_pId120"/>
      <w:r w:rsidRPr="00B53FE2">
        <w:rPr>
          <w:szCs w:val="24"/>
          <w:lang w:val="es-ES_tradnl"/>
        </w:rPr>
        <w:t>que la interferencia durante los acontecimientos críticos de las misiones del SIE (espacio lejano) pueden causar la perdida de datos esenciales o pueden incluso comprometer la seguridad y la supervivencia del vehículo especial;</w:t>
      </w:r>
      <w:bookmarkEnd w:id="23"/>
    </w:p>
    <w:p w:rsidR="00504CB5" w:rsidRPr="00B53FE2" w:rsidRDefault="00504CB5" w:rsidP="00504CB5">
      <w:pPr>
        <w:rPr>
          <w:szCs w:val="24"/>
          <w:lang w:val="es-ES_tradnl"/>
        </w:rPr>
      </w:pPr>
      <w:r w:rsidRPr="00B53FE2">
        <w:rPr>
          <w:i/>
          <w:iCs/>
          <w:szCs w:val="24"/>
          <w:lang w:val="es-ES_tradnl"/>
        </w:rPr>
        <w:t>m)</w:t>
      </w:r>
      <w:r w:rsidRPr="00B53FE2">
        <w:rPr>
          <w:szCs w:val="24"/>
          <w:lang w:val="es-ES_tradnl"/>
        </w:rPr>
        <w:tab/>
      </w:r>
      <w:bookmarkStart w:id="24" w:name="lt_pId122"/>
      <w:r w:rsidRPr="00B53FE2">
        <w:rPr>
          <w:szCs w:val="24"/>
          <w:lang w:val="es-ES_tradnl"/>
        </w:rPr>
        <w:t>que, durante las operaciones de rutina de las misiones del SIE (espacio lejano), las emisiones no deseadas del SETS (activo) que exceden los criterios de protección del SIE (espacio lejano) con una probabilidad muy baja pueden ser aceptables</w:t>
      </w:r>
      <w:bookmarkEnd w:id="24"/>
      <w:r w:rsidRPr="00B53FE2">
        <w:rPr>
          <w:szCs w:val="24"/>
          <w:lang w:val="es-ES_tradnl"/>
        </w:rPr>
        <w:t>;</w:t>
      </w:r>
    </w:p>
    <w:p w:rsidR="00504CB5" w:rsidRPr="00B53FE2" w:rsidRDefault="00504CB5" w:rsidP="00504CB5">
      <w:pPr>
        <w:rPr>
          <w:szCs w:val="24"/>
          <w:lang w:val="es-ES_tradnl"/>
        </w:rPr>
      </w:pPr>
      <w:r w:rsidRPr="00B53FE2">
        <w:rPr>
          <w:i/>
          <w:iCs/>
          <w:szCs w:val="24"/>
          <w:lang w:val="es-ES_tradnl"/>
        </w:rPr>
        <w:t>n)</w:t>
      </w:r>
      <w:r w:rsidRPr="00B53FE2">
        <w:rPr>
          <w:szCs w:val="24"/>
          <w:lang w:val="es-ES_tradnl"/>
        </w:rPr>
        <w:tab/>
      </w:r>
      <w:bookmarkStart w:id="25" w:name="lt_pId124"/>
      <w:r w:rsidRPr="00B53FE2">
        <w:rPr>
          <w:szCs w:val="24"/>
          <w:lang w:val="es-ES_tradnl"/>
        </w:rPr>
        <w:t>que las emisiones no deseadas del SETS (activo) pueden superar los niveles de saturación y los niveles de deterioro de los receptores de las estaciones terrenas del SIE descritos en el Anexo 1,</w:t>
      </w:r>
    </w:p>
    <w:bookmarkEnd w:id="25"/>
    <w:p w:rsidR="00504CB5" w:rsidRPr="00B53FE2" w:rsidRDefault="00504CB5" w:rsidP="00504CB5">
      <w:pPr>
        <w:pStyle w:val="Call"/>
        <w:rPr>
          <w:lang w:val="es-ES_tradnl"/>
        </w:rPr>
      </w:pPr>
      <w:r w:rsidRPr="00B53FE2">
        <w:rPr>
          <w:lang w:val="es-ES_tradnl"/>
        </w:rPr>
        <w:t>recomienda</w:t>
      </w:r>
    </w:p>
    <w:p w:rsidR="00504CB5" w:rsidRPr="00B53FE2" w:rsidRDefault="00504CB5" w:rsidP="00504CB5">
      <w:pPr>
        <w:rPr>
          <w:lang w:val="es-ES_tradnl"/>
        </w:rPr>
      </w:pPr>
      <w:r w:rsidRPr="00B53FE2">
        <w:rPr>
          <w:b/>
          <w:color w:val="000000"/>
          <w:lang w:val="es-ES_tradnl"/>
        </w:rPr>
        <w:t>1</w:t>
      </w:r>
      <w:r w:rsidRPr="00B53FE2">
        <w:rPr>
          <w:color w:val="000000"/>
          <w:lang w:val="es-ES_tradnl"/>
        </w:rPr>
        <w:tab/>
      </w:r>
      <w:bookmarkStart w:id="26" w:name="lt_pId127"/>
      <w:r w:rsidRPr="00B53FE2">
        <w:rPr>
          <w:color w:val="000000"/>
          <w:lang w:val="es-ES_tradnl"/>
        </w:rPr>
        <w:t xml:space="preserve">que los sistemas de radares de apertura sintética (SAR) del SETS utilicen los métodos descritos en el Anexo 2 para reducir las emisiones no deseadas en la banda de frecuencias </w:t>
      </w:r>
      <w:r w:rsidRPr="00B53FE2">
        <w:rPr>
          <w:lang w:val="es-ES_tradnl"/>
        </w:rPr>
        <w:t>8 400</w:t>
      </w:r>
      <w:r w:rsidRPr="00B53FE2">
        <w:rPr>
          <w:lang w:val="es-ES_tradnl"/>
        </w:rPr>
        <w:noBreakHyphen/>
        <w:t>8 500 MHz a fin de:</w:t>
      </w:r>
      <w:bookmarkEnd w:id="26"/>
      <w:r w:rsidRPr="00B53FE2">
        <w:rPr>
          <w:lang w:val="es-ES_tradnl"/>
        </w:rPr>
        <w:t xml:space="preserve"> </w:t>
      </w:r>
    </w:p>
    <w:p w:rsidR="00504CB5" w:rsidRPr="00B53FE2" w:rsidRDefault="00504CB5" w:rsidP="00504CB5">
      <w:pPr>
        <w:pStyle w:val="enumlev1"/>
        <w:rPr>
          <w:lang w:val="es-ES_tradnl"/>
        </w:rPr>
      </w:pPr>
      <w:r w:rsidRPr="00B53FE2">
        <w:rPr>
          <w:lang w:val="es-ES_tradnl"/>
        </w:rPr>
        <w:t>a)</w:t>
      </w:r>
      <w:r w:rsidRPr="00B53FE2">
        <w:rPr>
          <w:lang w:val="es-ES_tradnl"/>
        </w:rPr>
        <w:tab/>
      </w:r>
      <w:bookmarkStart w:id="27" w:name="lt_pId129"/>
      <w:r w:rsidRPr="00B53FE2">
        <w:rPr>
          <w:lang w:val="es-ES_tradnl"/>
        </w:rPr>
        <w:t>evitar, en todo momento, los daños a los receptores de las estaciones terrenas del SIE;</w:t>
      </w:r>
      <w:bookmarkEnd w:id="27"/>
    </w:p>
    <w:p w:rsidR="00504CB5" w:rsidRPr="00B53FE2" w:rsidRDefault="00504CB5" w:rsidP="00504CB5">
      <w:pPr>
        <w:pStyle w:val="enumlev1"/>
        <w:rPr>
          <w:lang w:val="es-ES_tradnl"/>
        </w:rPr>
      </w:pPr>
      <w:r w:rsidRPr="00B53FE2">
        <w:rPr>
          <w:lang w:val="es-ES_tradnl"/>
        </w:rPr>
        <w:lastRenderedPageBreak/>
        <w:t>b)</w:t>
      </w:r>
      <w:r w:rsidRPr="00B53FE2">
        <w:rPr>
          <w:lang w:val="es-ES_tradnl"/>
        </w:rPr>
        <w:tab/>
      </w:r>
      <w:bookmarkStart w:id="28" w:name="lt_pId131"/>
      <w:r w:rsidRPr="00B53FE2">
        <w:rPr>
          <w:lang w:val="es-ES_tradnl"/>
        </w:rPr>
        <w:t>reducir la probabilidad de saturar los receptores de las estaciones terrenas del SIE;</w:t>
      </w:r>
      <w:bookmarkEnd w:id="28"/>
    </w:p>
    <w:p w:rsidR="00504CB5" w:rsidRPr="00B53FE2" w:rsidRDefault="00504CB5" w:rsidP="00504CB5">
      <w:pPr>
        <w:pStyle w:val="enumlev1"/>
        <w:rPr>
          <w:lang w:val="es-ES_tradnl"/>
        </w:rPr>
      </w:pPr>
      <w:r w:rsidRPr="00B53FE2">
        <w:rPr>
          <w:lang w:val="es-ES_tradnl"/>
        </w:rPr>
        <w:t>c)</w:t>
      </w:r>
      <w:r w:rsidRPr="00B53FE2">
        <w:rPr>
          <w:lang w:val="es-ES_tradnl"/>
        </w:rPr>
        <w:tab/>
      </w:r>
      <w:bookmarkStart w:id="29" w:name="lt_pId133"/>
      <w:r w:rsidRPr="00B53FE2">
        <w:rPr>
          <w:lang w:val="es-ES_tradnl"/>
        </w:rPr>
        <w:t>evitar causar una interferencia que supere los criterios de protección de las estaciones terrenas del SIE (espacio lejano) durante los acontecimientos críticos;</w:t>
      </w:r>
      <w:bookmarkEnd w:id="29"/>
    </w:p>
    <w:p w:rsidR="00504CB5" w:rsidRPr="00B53FE2" w:rsidRDefault="00504CB5" w:rsidP="00504CB5">
      <w:pPr>
        <w:keepNext/>
        <w:keepLines/>
        <w:rPr>
          <w:lang w:val="es-ES_tradnl"/>
        </w:rPr>
      </w:pPr>
      <w:r w:rsidRPr="00B53FE2">
        <w:rPr>
          <w:b/>
          <w:lang w:val="es-ES_tradnl"/>
        </w:rPr>
        <w:t>2</w:t>
      </w:r>
      <w:r w:rsidRPr="00B53FE2">
        <w:rPr>
          <w:lang w:val="es-ES_tradnl"/>
        </w:rPr>
        <w:tab/>
      </w:r>
      <w:bookmarkStart w:id="30" w:name="lt_pId135"/>
      <w:r w:rsidRPr="00B53FE2">
        <w:rPr>
          <w:lang w:val="es-ES_tradnl"/>
        </w:rPr>
        <w:t xml:space="preserve">que, como último recurso, en el caso de que no pueda satisfacerse plenamente el </w:t>
      </w:r>
      <w:r w:rsidRPr="00B53FE2">
        <w:rPr>
          <w:i/>
          <w:iCs/>
          <w:lang w:val="es-ES_tradnl"/>
        </w:rPr>
        <w:t>recomienda</w:t>
      </w:r>
      <w:r w:rsidRPr="00B53FE2">
        <w:rPr>
          <w:lang w:val="es-ES_tradnl"/>
        </w:rPr>
        <w:t> </w:t>
      </w:r>
      <w:r w:rsidRPr="00B53FE2">
        <w:rPr>
          <w:b/>
          <w:bCs/>
          <w:lang w:val="es-ES_tradnl"/>
        </w:rPr>
        <w:t>1</w:t>
      </w:r>
      <w:r w:rsidRPr="00B53FE2">
        <w:rPr>
          <w:lang w:val="es-ES_tradnl"/>
        </w:rPr>
        <w:t xml:space="preserve"> con la aplicación de los métodos descritos en el Anexo 2, los operadores de los sistemas SAR del SETS prevean cualquier acontecimiento que pueda causar una posible interferencia para reducirla mediante la coordinación de las operaciones con los operadores de las misiones del SIE, al menos siete días antes del acontecimiento para las operaciones de rutina del SAR del SETS, y al menos 24 horas antes de la adquisición de imágenes por el SAR del SETS en casos de emergencia como la gestión de catástrofes;</w:t>
      </w:r>
    </w:p>
    <w:bookmarkEnd w:id="30"/>
    <w:p w:rsidR="00504CB5" w:rsidRPr="00B53FE2" w:rsidRDefault="00504CB5" w:rsidP="00504CB5">
      <w:pPr>
        <w:rPr>
          <w:lang w:val="es-ES_tradnl"/>
        </w:rPr>
      </w:pPr>
      <w:r w:rsidRPr="00B53FE2">
        <w:rPr>
          <w:b/>
          <w:lang w:val="es-ES_tradnl"/>
        </w:rPr>
        <w:t>3</w:t>
      </w:r>
      <w:r w:rsidRPr="00B53FE2">
        <w:rPr>
          <w:lang w:val="es-ES_tradnl"/>
        </w:rPr>
        <w:tab/>
      </w:r>
      <w:bookmarkStart w:id="31" w:name="lt_pId137"/>
      <w:r w:rsidRPr="00B53FE2">
        <w:rPr>
          <w:lang w:val="es-ES_tradnl"/>
        </w:rPr>
        <w:t>que, para facilitar la utilización de alguna de las técnicas de reducción así como la coordinación de las operaciones, los operadores de sistemas SAR del SETS y de sistemas del SIE compartan las características orbitales y de telecomunicaciones de sus respectivos sistemas, incluidos la trayectoria actualizada de sus misiones, el apuntamiento de la antena y el calendario de los acontecimientos críticos;</w:t>
      </w:r>
    </w:p>
    <w:bookmarkEnd w:id="31"/>
    <w:p w:rsidR="00504CB5" w:rsidRPr="00B53FE2" w:rsidRDefault="00504CB5" w:rsidP="00504CB5">
      <w:pPr>
        <w:rPr>
          <w:lang w:val="es-ES_tradnl"/>
        </w:rPr>
      </w:pPr>
      <w:r w:rsidRPr="00B53FE2">
        <w:rPr>
          <w:b/>
          <w:bCs/>
          <w:lang w:val="es-ES_tradnl"/>
        </w:rPr>
        <w:t>4</w:t>
      </w:r>
      <w:r w:rsidRPr="00B53FE2">
        <w:rPr>
          <w:lang w:val="es-ES_tradnl"/>
        </w:rPr>
        <w:tab/>
      </w:r>
      <w:bookmarkStart w:id="32" w:name="lt_pId139"/>
      <w:r w:rsidRPr="00B53FE2">
        <w:rPr>
          <w:lang w:val="es-ES_tradnl"/>
        </w:rPr>
        <w:t xml:space="preserve">que los niveles de saturación y de deterioro del Cuadro 1 del Anexo 1 se apliquen cuando se aplican los </w:t>
      </w:r>
      <w:r w:rsidRPr="00B53FE2">
        <w:rPr>
          <w:i/>
          <w:iCs/>
          <w:lang w:val="es-ES_tradnl"/>
        </w:rPr>
        <w:t>recomienda</w:t>
      </w:r>
      <w:r w:rsidRPr="00B53FE2">
        <w:rPr>
          <w:lang w:val="es-ES_tradnl"/>
        </w:rPr>
        <w:t xml:space="preserve"> </w:t>
      </w:r>
      <w:r w:rsidRPr="00B53FE2">
        <w:rPr>
          <w:b/>
          <w:bCs/>
          <w:lang w:val="es-ES_tradnl"/>
        </w:rPr>
        <w:t>1</w:t>
      </w:r>
      <w:r w:rsidRPr="00B53FE2">
        <w:rPr>
          <w:lang w:val="es-ES_tradnl"/>
        </w:rPr>
        <w:t xml:space="preserve">, </w:t>
      </w:r>
      <w:r w:rsidRPr="00B53FE2">
        <w:rPr>
          <w:b/>
          <w:bCs/>
          <w:lang w:val="es-ES_tradnl"/>
        </w:rPr>
        <w:t>2</w:t>
      </w:r>
      <w:r w:rsidRPr="00B53FE2">
        <w:rPr>
          <w:lang w:val="es-ES_tradnl"/>
        </w:rPr>
        <w:t xml:space="preserve"> y </w:t>
      </w:r>
      <w:r w:rsidRPr="00B53FE2">
        <w:rPr>
          <w:b/>
          <w:bCs/>
          <w:lang w:val="es-ES_tradnl"/>
        </w:rPr>
        <w:t>3</w:t>
      </w:r>
      <w:r w:rsidRPr="00B53FE2">
        <w:rPr>
          <w:lang w:val="es-ES_tradnl"/>
        </w:rPr>
        <w:t xml:space="preserve">; </w:t>
      </w:r>
    </w:p>
    <w:bookmarkEnd w:id="32"/>
    <w:p w:rsidR="00504CB5" w:rsidRPr="00B53FE2" w:rsidRDefault="00504CB5" w:rsidP="00504CB5">
      <w:pPr>
        <w:rPr>
          <w:lang w:val="es-ES_tradnl"/>
        </w:rPr>
      </w:pPr>
      <w:r w:rsidRPr="00B53FE2">
        <w:rPr>
          <w:b/>
          <w:bCs/>
          <w:lang w:val="es-ES_tradnl"/>
        </w:rPr>
        <w:t>5</w:t>
      </w:r>
      <w:r w:rsidRPr="00B53FE2">
        <w:rPr>
          <w:lang w:val="es-ES_tradnl"/>
        </w:rPr>
        <w:tab/>
      </w:r>
      <w:bookmarkStart w:id="33" w:name="lt_pId141"/>
      <w:r w:rsidRPr="00B53FE2">
        <w:rPr>
          <w:lang w:val="es-ES_tradnl"/>
        </w:rPr>
        <w:t xml:space="preserve">que los </w:t>
      </w:r>
      <w:r w:rsidRPr="00B53FE2">
        <w:rPr>
          <w:i/>
          <w:iCs/>
          <w:lang w:val="es-ES_tradnl"/>
        </w:rPr>
        <w:t>recomienda</w:t>
      </w:r>
      <w:r w:rsidRPr="00B53FE2">
        <w:rPr>
          <w:lang w:val="es-ES_tradnl"/>
        </w:rPr>
        <w:t xml:space="preserve"> </w:t>
      </w:r>
      <w:r w:rsidRPr="00B53FE2">
        <w:rPr>
          <w:b/>
          <w:bCs/>
          <w:lang w:val="es-ES_tradnl"/>
        </w:rPr>
        <w:t>1</w:t>
      </w:r>
      <w:r w:rsidRPr="00B53FE2">
        <w:rPr>
          <w:lang w:val="es-ES_tradnl"/>
        </w:rPr>
        <w:t xml:space="preserve">, </w:t>
      </w:r>
      <w:r w:rsidRPr="00B53FE2">
        <w:rPr>
          <w:b/>
          <w:bCs/>
          <w:lang w:val="es-ES_tradnl"/>
        </w:rPr>
        <w:t>2</w:t>
      </w:r>
      <w:r w:rsidRPr="00B53FE2">
        <w:rPr>
          <w:lang w:val="es-ES_tradnl"/>
        </w:rPr>
        <w:t xml:space="preserve">, </w:t>
      </w:r>
      <w:r w:rsidRPr="00B53FE2">
        <w:rPr>
          <w:b/>
          <w:bCs/>
          <w:lang w:val="es-ES_tradnl"/>
        </w:rPr>
        <w:t>3</w:t>
      </w:r>
      <w:r w:rsidRPr="00B53FE2">
        <w:rPr>
          <w:lang w:val="es-ES_tradnl"/>
        </w:rPr>
        <w:t xml:space="preserve"> y </w:t>
      </w:r>
      <w:r w:rsidRPr="00B53FE2">
        <w:rPr>
          <w:b/>
          <w:bCs/>
          <w:lang w:val="es-ES_tradnl"/>
        </w:rPr>
        <w:t>4</w:t>
      </w:r>
      <w:r w:rsidRPr="00B53FE2">
        <w:rPr>
          <w:lang w:val="es-ES_tradnl"/>
        </w:rPr>
        <w:t xml:space="preserve"> solo deben aplicarse a las estaciones terrenas del SIE enumeradas en la Recomendación UIT-R SA.1014.</w:t>
      </w:r>
      <w:bookmarkEnd w:id="33"/>
    </w:p>
    <w:p w:rsidR="00504CB5" w:rsidRPr="00B53FE2" w:rsidRDefault="00504CB5" w:rsidP="00504CB5">
      <w:pPr>
        <w:rPr>
          <w:lang w:val="es-ES_tradnl"/>
        </w:rPr>
      </w:pPr>
    </w:p>
    <w:p w:rsidR="00504CB5" w:rsidRPr="00B53FE2" w:rsidRDefault="00504CB5" w:rsidP="00504CB5">
      <w:pPr>
        <w:pStyle w:val="AnnexNoTitle"/>
        <w:rPr>
          <w:lang w:val="es-ES_tradnl"/>
        </w:rPr>
      </w:pPr>
      <w:r w:rsidRPr="00B53FE2">
        <w:rPr>
          <w:lang w:val="es-ES_tradnl"/>
        </w:rPr>
        <w:t>Anexo 1</w:t>
      </w:r>
      <w:r w:rsidRPr="00B53FE2">
        <w:rPr>
          <w:lang w:val="es-ES_tradnl"/>
        </w:rPr>
        <w:br/>
      </w:r>
      <w:r w:rsidRPr="00B53FE2">
        <w:rPr>
          <w:lang w:val="es-ES_tradnl"/>
        </w:rPr>
        <w:br/>
      </w:r>
      <w:bookmarkStart w:id="34" w:name="lt_pId143"/>
      <w:r w:rsidRPr="00B53FE2">
        <w:rPr>
          <w:lang w:val="es-ES_tradnl"/>
        </w:rPr>
        <w:t xml:space="preserve">Deterioro y saturación de los receptores frontales </w:t>
      </w:r>
      <w:r w:rsidRPr="00B53FE2">
        <w:rPr>
          <w:lang w:val="es-ES_tradnl"/>
        </w:rPr>
        <w:br/>
        <w:t>de las estaciones terrenas del SIE (espacio lejano)</w:t>
      </w:r>
      <w:bookmarkEnd w:id="34"/>
    </w:p>
    <w:p w:rsidR="00504CB5" w:rsidRPr="00B53FE2" w:rsidRDefault="00504CB5" w:rsidP="00504CB5">
      <w:pPr>
        <w:pStyle w:val="Normalaftertitle"/>
        <w:rPr>
          <w:lang w:val="es-ES_tradnl"/>
        </w:rPr>
      </w:pPr>
      <w:bookmarkStart w:id="35" w:name="lt_pId145"/>
      <w:r w:rsidRPr="00B53FE2">
        <w:rPr>
          <w:lang w:val="es-ES_tradnl"/>
        </w:rPr>
        <w:t>La Recomendación UIT-R SA.1014 contiene la descripción de las características y la ubicación de los receptores del SIE (espacio lejano).</w:t>
      </w:r>
      <w:bookmarkEnd w:id="35"/>
      <w:r w:rsidRPr="00B53FE2">
        <w:rPr>
          <w:lang w:val="es-ES_tradnl"/>
        </w:rPr>
        <w:t xml:space="preserve"> </w:t>
      </w:r>
      <w:bookmarkStart w:id="36" w:name="lt_pId146"/>
      <w:r w:rsidRPr="00B53FE2">
        <w:rPr>
          <w:lang w:val="es-ES_tradnl"/>
        </w:rPr>
        <w:t xml:space="preserve">La agencia civil espacial de los Estados Unidos de América, la </w:t>
      </w:r>
      <w:r w:rsidRPr="00B53FE2">
        <w:rPr>
          <w:color w:val="000000"/>
          <w:lang w:val="es-ES_tradnl"/>
        </w:rPr>
        <w:t>Administración Nacional de Aeronáutica y del Espacio (NASA)</w:t>
      </w:r>
      <w:r w:rsidRPr="00B53FE2">
        <w:rPr>
          <w:lang w:val="es-ES_tradnl"/>
        </w:rPr>
        <w:t xml:space="preserve">, y la Agencia Espacial Europea (ESA) han proporcionado las características de los niveles de saturación y de posible deterioro de los receptores de sus estaciones terrenas para el espacio lejano. </w:t>
      </w:r>
      <w:bookmarkStart w:id="37" w:name="lt_pId147"/>
      <w:bookmarkEnd w:id="36"/>
      <w:r w:rsidRPr="00B53FE2">
        <w:rPr>
          <w:lang w:val="es-ES_tradnl"/>
        </w:rPr>
        <w:t>El Cuadro A1-1 contiene un resumen de estos valores</w:t>
      </w:r>
      <w:bookmarkEnd w:id="37"/>
      <w:r w:rsidRPr="00B53FE2">
        <w:rPr>
          <w:lang w:val="es-ES_tradnl"/>
        </w:rPr>
        <w:t>.</w:t>
      </w:r>
    </w:p>
    <w:p w:rsidR="00504CB5" w:rsidRPr="00B53FE2" w:rsidRDefault="00504CB5" w:rsidP="00504CB5">
      <w:pPr>
        <w:pStyle w:val="TableNo"/>
        <w:rPr>
          <w:lang w:val="es-ES_tradnl"/>
        </w:rPr>
      </w:pPr>
      <w:bookmarkStart w:id="38" w:name="lt_pId148"/>
      <w:r w:rsidRPr="00B53FE2">
        <w:rPr>
          <w:lang w:val="es-ES_tradnl"/>
        </w:rPr>
        <w:t>CUADRO A1-1</w:t>
      </w:r>
      <w:bookmarkEnd w:id="38"/>
    </w:p>
    <w:p w:rsidR="00504CB5" w:rsidRPr="00B53FE2" w:rsidRDefault="00504CB5" w:rsidP="00504CB5">
      <w:pPr>
        <w:pStyle w:val="Tabletitle"/>
        <w:rPr>
          <w:lang w:val="es-ES_tradnl"/>
        </w:rPr>
      </w:pPr>
      <w:bookmarkStart w:id="39" w:name="lt_pId149"/>
      <w:r w:rsidRPr="00B53FE2">
        <w:rPr>
          <w:lang w:val="es-ES_tradnl"/>
        </w:rPr>
        <w:t xml:space="preserve">Niveles de saturación y de deterioro de los receptores </w:t>
      </w:r>
      <w:r w:rsidRPr="00B53FE2">
        <w:rPr>
          <w:lang w:val="es-ES_tradnl"/>
        </w:rPr>
        <w:br/>
        <w:t>de las estaciones terrenas del SIE (</w:t>
      </w:r>
      <w:r w:rsidRPr="00B53FE2">
        <w:rPr>
          <w:cs/>
          <w:lang w:val="es-ES_tradnl"/>
        </w:rPr>
        <w:t>‎</w:t>
      </w:r>
      <w:r w:rsidRPr="00B53FE2">
        <w:rPr>
          <w:lang w:val="es-ES_tradnl"/>
        </w:rPr>
        <w:t>espacio lejano)</w:t>
      </w:r>
      <w:bookmarkEnd w:id="39"/>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32"/>
        <w:gridCol w:w="1536"/>
        <w:gridCol w:w="1536"/>
        <w:gridCol w:w="1567"/>
      </w:tblGrid>
      <w:tr w:rsidR="00504CB5" w:rsidRPr="00B53FE2" w:rsidTr="00A36412">
        <w:trPr>
          <w:trHeight w:val="300"/>
          <w:jc w:val="center"/>
        </w:trPr>
        <w:tc>
          <w:tcPr>
            <w:tcW w:w="2130" w:type="dxa"/>
            <w:shd w:val="clear" w:color="auto" w:fill="auto"/>
            <w:vAlign w:val="center"/>
            <w:hideMark/>
          </w:tcPr>
          <w:p w:rsidR="00504CB5" w:rsidRPr="00B53FE2" w:rsidRDefault="00504CB5" w:rsidP="00A36412">
            <w:pPr>
              <w:pStyle w:val="Tablehead"/>
              <w:rPr>
                <w:lang w:val="es-ES_tradnl"/>
              </w:rPr>
            </w:pPr>
            <w:r w:rsidRPr="00B53FE2">
              <w:rPr>
                <w:lang w:val="es-ES_tradnl"/>
              </w:rPr>
              <w:t>Parámetro</w:t>
            </w:r>
          </w:p>
        </w:tc>
        <w:tc>
          <w:tcPr>
            <w:tcW w:w="1197" w:type="dxa"/>
            <w:vAlign w:val="center"/>
          </w:tcPr>
          <w:p w:rsidR="00504CB5" w:rsidRPr="00B53FE2" w:rsidRDefault="00504CB5" w:rsidP="00A36412">
            <w:pPr>
              <w:pStyle w:val="Tablehead"/>
              <w:rPr>
                <w:lang w:val="es-ES_tradnl"/>
              </w:rPr>
            </w:pPr>
            <w:r w:rsidRPr="00B53FE2">
              <w:rPr>
                <w:lang w:val="es-ES_tradnl"/>
              </w:rPr>
              <w:t>Unidades</w:t>
            </w:r>
          </w:p>
        </w:tc>
        <w:tc>
          <w:tcPr>
            <w:tcW w:w="1197" w:type="dxa"/>
            <w:shd w:val="clear" w:color="auto" w:fill="auto"/>
            <w:vAlign w:val="center"/>
            <w:hideMark/>
          </w:tcPr>
          <w:p w:rsidR="00504CB5" w:rsidRPr="00B53FE2" w:rsidRDefault="00504CB5" w:rsidP="00A36412">
            <w:pPr>
              <w:pStyle w:val="Tablehead"/>
              <w:rPr>
                <w:lang w:val="es-ES_tradnl"/>
              </w:rPr>
            </w:pPr>
            <w:bookmarkStart w:id="40" w:name="lt_pId152"/>
            <w:r w:rsidRPr="00B53FE2">
              <w:rPr>
                <w:lang w:val="es-ES_tradnl"/>
              </w:rPr>
              <w:t>NASA</w:t>
            </w:r>
            <w:bookmarkEnd w:id="40"/>
          </w:p>
        </w:tc>
        <w:tc>
          <w:tcPr>
            <w:tcW w:w="1221" w:type="dxa"/>
            <w:shd w:val="clear" w:color="auto" w:fill="auto"/>
            <w:vAlign w:val="center"/>
            <w:hideMark/>
          </w:tcPr>
          <w:p w:rsidR="00504CB5" w:rsidRPr="00B53FE2" w:rsidRDefault="00504CB5" w:rsidP="00A36412">
            <w:pPr>
              <w:pStyle w:val="Tablehead"/>
              <w:rPr>
                <w:lang w:val="es-ES_tradnl"/>
              </w:rPr>
            </w:pPr>
            <w:bookmarkStart w:id="41" w:name="lt_pId153"/>
            <w:r w:rsidRPr="00B53FE2">
              <w:rPr>
                <w:lang w:val="es-ES_tradnl"/>
              </w:rPr>
              <w:t>ESA</w:t>
            </w:r>
            <w:bookmarkEnd w:id="41"/>
          </w:p>
        </w:tc>
      </w:tr>
      <w:tr w:rsidR="00504CB5" w:rsidRPr="00B53FE2" w:rsidTr="00A36412">
        <w:trPr>
          <w:trHeight w:val="300"/>
          <w:jc w:val="center"/>
        </w:trPr>
        <w:tc>
          <w:tcPr>
            <w:tcW w:w="2130" w:type="dxa"/>
            <w:shd w:val="clear" w:color="auto" w:fill="auto"/>
            <w:vAlign w:val="center"/>
          </w:tcPr>
          <w:p w:rsidR="00504CB5" w:rsidRPr="00B53FE2" w:rsidRDefault="00504CB5" w:rsidP="00A36412">
            <w:pPr>
              <w:pStyle w:val="Tabletext"/>
              <w:rPr>
                <w:lang w:val="es-ES_tradnl" w:eastAsia="fr-FR"/>
              </w:rPr>
            </w:pPr>
            <w:r w:rsidRPr="00B53FE2">
              <w:rPr>
                <w:lang w:val="es-ES_tradnl" w:eastAsia="fr-FR"/>
              </w:rPr>
              <w:t>Banda de frecuencias</w:t>
            </w:r>
          </w:p>
        </w:tc>
        <w:tc>
          <w:tcPr>
            <w:tcW w:w="1197" w:type="dxa"/>
            <w:vAlign w:val="center"/>
          </w:tcPr>
          <w:p w:rsidR="00504CB5" w:rsidRPr="00B53FE2" w:rsidRDefault="00504CB5" w:rsidP="00A36412">
            <w:pPr>
              <w:pStyle w:val="Tabletext"/>
              <w:jc w:val="center"/>
              <w:rPr>
                <w:lang w:val="es-ES_tradnl" w:eastAsia="fr-FR"/>
              </w:rPr>
            </w:pPr>
            <w:bookmarkStart w:id="42" w:name="lt_pId155"/>
            <w:r w:rsidRPr="00B53FE2">
              <w:rPr>
                <w:lang w:val="es-ES_tradnl" w:eastAsia="fr-FR"/>
              </w:rPr>
              <w:t>MHz</w:t>
            </w:r>
            <w:bookmarkEnd w:id="42"/>
          </w:p>
        </w:tc>
        <w:tc>
          <w:tcPr>
            <w:tcW w:w="1197" w:type="dxa"/>
            <w:shd w:val="clear" w:color="auto" w:fill="auto"/>
            <w:vAlign w:val="center"/>
          </w:tcPr>
          <w:p w:rsidR="00504CB5" w:rsidRPr="00B53FE2" w:rsidRDefault="00504CB5" w:rsidP="00A36412">
            <w:pPr>
              <w:pStyle w:val="Tabletext"/>
              <w:jc w:val="center"/>
              <w:rPr>
                <w:lang w:val="es-ES_tradnl" w:eastAsia="fr-FR"/>
              </w:rPr>
            </w:pPr>
            <w:r w:rsidRPr="00B53FE2">
              <w:rPr>
                <w:lang w:val="es-ES_tradnl" w:eastAsia="fr-FR"/>
              </w:rPr>
              <w:t>8 200-8 700</w:t>
            </w:r>
          </w:p>
        </w:tc>
        <w:tc>
          <w:tcPr>
            <w:tcW w:w="1221" w:type="dxa"/>
            <w:shd w:val="clear" w:color="auto" w:fill="auto"/>
            <w:vAlign w:val="center"/>
          </w:tcPr>
          <w:p w:rsidR="00504CB5" w:rsidRPr="00B53FE2" w:rsidRDefault="00504CB5" w:rsidP="00A36412">
            <w:pPr>
              <w:pStyle w:val="Tabletext"/>
              <w:jc w:val="center"/>
              <w:rPr>
                <w:lang w:val="es-ES_tradnl"/>
              </w:rPr>
            </w:pPr>
            <w:r w:rsidRPr="00B53FE2">
              <w:rPr>
                <w:lang w:val="es-ES_tradnl"/>
              </w:rPr>
              <w:t>8 400-8 500</w:t>
            </w:r>
          </w:p>
        </w:tc>
      </w:tr>
      <w:tr w:rsidR="00504CB5" w:rsidRPr="00B53FE2" w:rsidTr="00A36412">
        <w:trPr>
          <w:trHeight w:val="300"/>
          <w:jc w:val="center"/>
        </w:trPr>
        <w:tc>
          <w:tcPr>
            <w:tcW w:w="2130" w:type="dxa"/>
            <w:shd w:val="clear" w:color="auto" w:fill="auto"/>
            <w:vAlign w:val="center"/>
            <w:hideMark/>
          </w:tcPr>
          <w:p w:rsidR="00504CB5" w:rsidRPr="00B53FE2" w:rsidRDefault="00504CB5" w:rsidP="00A36412">
            <w:pPr>
              <w:pStyle w:val="Tabletext"/>
              <w:rPr>
                <w:lang w:val="es-ES_tradnl"/>
              </w:rPr>
            </w:pPr>
            <w:r w:rsidRPr="00B53FE2">
              <w:rPr>
                <w:lang w:val="es-ES_tradnl" w:eastAsia="fr-FR"/>
              </w:rPr>
              <w:t>Nivel de saturación</w:t>
            </w:r>
          </w:p>
        </w:tc>
        <w:tc>
          <w:tcPr>
            <w:tcW w:w="1197" w:type="dxa"/>
            <w:vAlign w:val="center"/>
          </w:tcPr>
          <w:p w:rsidR="00504CB5" w:rsidRPr="00B53FE2" w:rsidRDefault="00504CB5" w:rsidP="00A36412">
            <w:pPr>
              <w:pStyle w:val="Tabletext"/>
              <w:jc w:val="center"/>
              <w:rPr>
                <w:lang w:val="es-ES_tradnl" w:eastAsia="fr-FR"/>
              </w:rPr>
            </w:pPr>
            <w:bookmarkStart w:id="43" w:name="lt_pId159"/>
            <w:r w:rsidRPr="00B53FE2">
              <w:rPr>
                <w:lang w:val="es-ES_tradnl" w:eastAsia="fr-FR"/>
              </w:rPr>
              <w:t>dBW</w:t>
            </w:r>
            <w:bookmarkEnd w:id="43"/>
          </w:p>
        </w:tc>
        <w:tc>
          <w:tcPr>
            <w:tcW w:w="1197" w:type="dxa"/>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–115</w:t>
            </w:r>
          </w:p>
        </w:tc>
        <w:tc>
          <w:tcPr>
            <w:tcW w:w="1221" w:type="dxa"/>
            <w:shd w:val="clear" w:color="auto" w:fill="auto"/>
            <w:vAlign w:val="center"/>
            <w:hideMark/>
          </w:tcPr>
          <w:p w:rsidR="00504CB5" w:rsidRPr="00B53FE2" w:rsidRDefault="00504CB5" w:rsidP="00A36412">
            <w:pPr>
              <w:pStyle w:val="Tabletext"/>
              <w:jc w:val="center"/>
              <w:rPr>
                <w:lang w:val="es-ES_tradnl"/>
              </w:rPr>
            </w:pPr>
            <w:r w:rsidRPr="00B53FE2">
              <w:rPr>
                <w:lang w:val="es-ES_tradnl"/>
              </w:rPr>
              <w:t>–117</w:t>
            </w:r>
          </w:p>
        </w:tc>
      </w:tr>
      <w:tr w:rsidR="00504CB5" w:rsidRPr="00B53FE2" w:rsidTr="00A36412">
        <w:trPr>
          <w:trHeight w:val="300"/>
          <w:jc w:val="center"/>
        </w:trPr>
        <w:tc>
          <w:tcPr>
            <w:tcW w:w="2130" w:type="dxa"/>
            <w:shd w:val="clear" w:color="auto" w:fill="auto"/>
            <w:vAlign w:val="center"/>
            <w:hideMark/>
          </w:tcPr>
          <w:p w:rsidR="00504CB5" w:rsidRPr="00B53FE2" w:rsidRDefault="00504CB5" w:rsidP="00A36412">
            <w:pPr>
              <w:pStyle w:val="Tabletext"/>
              <w:rPr>
                <w:lang w:val="es-ES_tradnl"/>
              </w:rPr>
            </w:pPr>
            <w:r w:rsidRPr="00B53FE2">
              <w:rPr>
                <w:lang w:val="es-ES_tradnl" w:eastAsia="fr-FR"/>
              </w:rPr>
              <w:t>Nivel de deterioro</w:t>
            </w:r>
          </w:p>
        </w:tc>
        <w:tc>
          <w:tcPr>
            <w:tcW w:w="1197" w:type="dxa"/>
            <w:vAlign w:val="center"/>
          </w:tcPr>
          <w:p w:rsidR="00504CB5" w:rsidRPr="00B53FE2" w:rsidRDefault="00504CB5" w:rsidP="00A36412">
            <w:pPr>
              <w:pStyle w:val="Tabletext"/>
              <w:jc w:val="center"/>
              <w:rPr>
                <w:lang w:val="es-ES_tradnl" w:eastAsia="fr-FR"/>
              </w:rPr>
            </w:pPr>
            <w:bookmarkStart w:id="44" w:name="lt_pId163"/>
            <w:r w:rsidRPr="00B53FE2">
              <w:rPr>
                <w:lang w:val="es-ES_tradnl" w:eastAsia="fr-FR"/>
              </w:rPr>
              <w:t>dBW</w:t>
            </w:r>
            <w:bookmarkEnd w:id="44"/>
          </w:p>
        </w:tc>
        <w:tc>
          <w:tcPr>
            <w:tcW w:w="1197" w:type="dxa"/>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–105</w:t>
            </w:r>
          </w:p>
        </w:tc>
        <w:tc>
          <w:tcPr>
            <w:tcW w:w="1221" w:type="dxa"/>
            <w:shd w:val="clear" w:color="auto" w:fill="auto"/>
            <w:vAlign w:val="center"/>
            <w:hideMark/>
          </w:tcPr>
          <w:p w:rsidR="00504CB5" w:rsidRPr="00B53FE2" w:rsidRDefault="00504CB5" w:rsidP="00A36412">
            <w:pPr>
              <w:pStyle w:val="Tabletext"/>
              <w:jc w:val="center"/>
              <w:rPr>
                <w:lang w:val="es-ES_tradnl"/>
              </w:rPr>
            </w:pPr>
            <w:r w:rsidRPr="00B53FE2">
              <w:rPr>
                <w:lang w:val="es-ES_tradnl"/>
              </w:rPr>
              <w:t>–107</w:t>
            </w:r>
          </w:p>
        </w:tc>
      </w:tr>
    </w:tbl>
    <w:p w:rsidR="00504CB5" w:rsidRPr="00B53FE2" w:rsidRDefault="00504CB5" w:rsidP="00504CB5">
      <w:pPr>
        <w:pStyle w:val="Tablefin"/>
        <w:rPr>
          <w:lang w:val="es-ES_tradnl"/>
        </w:rPr>
      </w:pPr>
    </w:p>
    <w:p w:rsidR="00504CB5" w:rsidRPr="00B53FE2" w:rsidRDefault="00504CB5" w:rsidP="00504CB5">
      <w:pPr>
        <w:rPr>
          <w:lang w:val="es-ES_tradnl"/>
        </w:rPr>
      </w:pPr>
      <w:bookmarkStart w:id="45" w:name="lt_pId166"/>
      <w:r w:rsidRPr="00B53FE2">
        <w:rPr>
          <w:lang w:val="es-ES_tradnl"/>
        </w:rPr>
        <w:t xml:space="preserve">Estos niveles de saturación y de deterioro se miden directamente en el terminal de entrada de los receptores frontales. </w:t>
      </w:r>
      <w:bookmarkEnd w:id="45"/>
      <w:r w:rsidRPr="00B53FE2">
        <w:rPr>
          <w:lang w:val="es-ES_tradnl"/>
        </w:rPr>
        <w:t xml:space="preserve">Los receptores de las estaciones terrenas del SIE (espacio lejano) de la NASA </w:t>
      </w:r>
      <w:bookmarkStart w:id="46" w:name="lt_pId167"/>
      <w:r w:rsidRPr="00B53FE2">
        <w:rPr>
          <w:lang w:val="es-ES_tradnl"/>
        </w:rPr>
        <w:lastRenderedPageBreak/>
        <w:t>están diseñados para dar apoyo también al radar del sistema solar de la NASA que funciona en la banda 8</w:t>
      </w:r>
      <w:r w:rsidRPr="00B53FE2">
        <w:rPr>
          <w:sz w:val="16"/>
          <w:szCs w:val="16"/>
          <w:lang w:val="es-ES_tradnl"/>
        </w:rPr>
        <w:t> </w:t>
      </w:r>
      <w:r w:rsidRPr="00B53FE2">
        <w:rPr>
          <w:lang w:val="es-ES_tradnl"/>
        </w:rPr>
        <w:t>500-8</w:t>
      </w:r>
      <w:r w:rsidRPr="00B53FE2">
        <w:rPr>
          <w:sz w:val="16"/>
          <w:szCs w:val="16"/>
          <w:lang w:val="es-ES_tradnl"/>
        </w:rPr>
        <w:t> </w:t>
      </w:r>
      <w:r w:rsidRPr="00B53FE2">
        <w:rPr>
          <w:lang w:val="es-ES_tradnl"/>
        </w:rPr>
        <w:t>700 MHz, atribuida al servicio de radiolocalización.</w:t>
      </w:r>
      <w:bookmarkEnd w:id="46"/>
    </w:p>
    <w:p w:rsidR="00504CB5" w:rsidRDefault="00504CB5" w:rsidP="00504CB5">
      <w:pPr>
        <w:rPr>
          <w:lang w:val="es-ES_tradnl"/>
        </w:rPr>
      </w:pPr>
      <w:bookmarkStart w:id="47" w:name="lt_pId168"/>
      <w:r w:rsidRPr="00B53FE2">
        <w:rPr>
          <w:lang w:val="es-ES_tradnl"/>
        </w:rPr>
        <w:t>Las estaciones terrenas del SIE descritas en la Recomendación UIT-R SA.1014 están diseñadas para dar apoyo también a las misiones de Lagrange y lunares en la banda 8</w:t>
      </w:r>
      <w:r w:rsidRPr="00B53FE2">
        <w:rPr>
          <w:sz w:val="16"/>
          <w:szCs w:val="16"/>
          <w:lang w:val="es-ES_tradnl"/>
        </w:rPr>
        <w:t> </w:t>
      </w:r>
      <w:r w:rsidRPr="00B53FE2">
        <w:rPr>
          <w:lang w:val="es-ES_tradnl"/>
        </w:rPr>
        <w:t>450-8</w:t>
      </w:r>
      <w:r w:rsidRPr="00B53FE2">
        <w:rPr>
          <w:sz w:val="16"/>
          <w:szCs w:val="16"/>
          <w:lang w:val="es-ES_tradnl"/>
        </w:rPr>
        <w:t> </w:t>
      </w:r>
      <w:r w:rsidRPr="00B53FE2">
        <w:rPr>
          <w:lang w:val="es-ES_tradnl"/>
        </w:rPr>
        <w:t>500 MHz.</w:t>
      </w:r>
      <w:bookmarkEnd w:id="47"/>
      <w:r w:rsidRPr="00B53FE2">
        <w:rPr>
          <w:lang w:val="es-ES_tradnl"/>
        </w:rPr>
        <w:t xml:space="preserve"> </w:t>
      </w:r>
      <w:bookmarkStart w:id="48" w:name="lt_pId169"/>
      <w:r w:rsidRPr="00B53FE2">
        <w:rPr>
          <w:lang w:val="es-ES_tradnl"/>
        </w:rPr>
        <w:t>Estos niveles de deterioro no deben superarse en ningún momento. Las emisiones no deseadas del servicio SETS (activo) deben permanecer por debajo del nivel de saturación durante los acontecimientos críticos de las misiones del SIE (espacio lejano).</w:t>
      </w:r>
      <w:bookmarkEnd w:id="48"/>
      <w:r w:rsidRPr="00B53FE2">
        <w:rPr>
          <w:lang w:val="es-ES_tradnl"/>
        </w:rPr>
        <w:t xml:space="preserve"> Las estaciones terrenas del SIE no descritas en la Recomendación UIT-R SA.1014 utilizan normalmente tecnologías de receptores frontales diferentes. </w:t>
      </w:r>
      <w:bookmarkStart w:id="49" w:name="lt_pId172"/>
      <w:r w:rsidRPr="00B53FE2">
        <w:rPr>
          <w:lang w:val="es-ES_tradnl"/>
        </w:rPr>
        <w:t>Estas tecnologías son típicamente menos susceptibles a la saturación y el deterioro provocados por las emisiones no deseadas del SETS (activo).</w:t>
      </w:r>
      <w:bookmarkEnd w:id="49"/>
    </w:p>
    <w:p w:rsidR="00106226" w:rsidRDefault="00106226" w:rsidP="00504CB5">
      <w:pPr>
        <w:rPr>
          <w:lang w:val="es-ES_tradnl"/>
        </w:rPr>
      </w:pPr>
    </w:p>
    <w:p w:rsidR="005626D0" w:rsidRPr="00B53FE2" w:rsidRDefault="005626D0" w:rsidP="00504CB5">
      <w:pPr>
        <w:rPr>
          <w:lang w:val="es-ES_tradnl"/>
        </w:rPr>
      </w:pPr>
    </w:p>
    <w:p w:rsidR="00504CB5" w:rsidRPr="00B53FE2" w:rsidRDefault="00504CB5" w:rsidP="00504CB5">
      <w:pPr>
        <w:pStyle w:val="AnnexNoTitle"/>
        <w:rPr>
          <w:lang w:val="es-ES_tradnl"/>
        </w:rPr>
      </w:pPr>
      <w:bookmarkStart w:id="50" w:name="lt_pId173"/>
      <w:r w:rsidRPr="00B53FE2">
        <w:rPr>
          <w:lang w:val="es-ES_tradnl"/>
        </w:rPr>
        <w:t>Anexo 2</w:t>
      </w:r>
      <w:bookmarkEnd w:id="50"/>
      <w:r w:rsidRPr="00B53FE2">
        <w:rPr>
          <w:lang w:val="es-ES_tradnl"/>
        </w:rPr>
        <w:br/>
      </w:r>
      <w:r w:rsidRPr="00B53FE2">
        <w:rPr>
          <w:lang w:val="es-ES_tradnl"/>
        </w:rPr>
        <w:br/>
      </w:r>
      <w:bookmarkStart w:id="51" w:name="lt_pId174"/>
      <w:r w:rsidRPr="00B53FE2">
        <w:rPr>
          <w:lang w:val="es-ES_tradnl"/>
        </w:rPr>
        <w:t xml:space="preserve">Técnicas de reducción para disminuir las emisiones no </w:t>
      </w:r>
      <w:r w:rsidRPr="00B53FE2">
        <w:rPr>
          <w:cs/>
          <w:lang w:val="es-ES_tradnl"/>
        </w:rPr>
        <w:t>‎</w:t>
      </w:r>
      <w:r w:rsidRPr="00B53FE2">
        <w:rPr>
          <w:lang w:val="es-ES_tradnl"/>
        </w:rPr>
        <w:t xml:space="preserve">deseadas de los sistemas del SETS (activo) que funcionan alrededor de 9 600 MHz en el SIE </w:t>
      </w:r>
      <w:r w:rsidRPr="00B53FE2">
        <w:rPr>
          <w:cs/>
          <w:lang w:val="es-ES_tradnl"/>
        </w:rPr>
        <w:t>‎</w:t>
      </w:r>
      <w:r w:rsidRPr="00B53FE2">
        <w:rPr>
          <w:lang w:val="es-ES_tradnl"/>
        </w:rPr>
        <w:t xml:space="preserve">en </w:t>
      </w:r>
      <w:r w:rsidRPr="00B53FE2">
        <w:rPr>
          <w:lang w:val="es-ES_tradnl"/>
        </w:rPr>
        <w:br/>
        <w:t>las bandas de frecuencias 8 400-8 450 MHz y 8 450-8 500 MHz</w:t>
      </w:r>
    </w:p>
    <w:p w:rsidR="00504CB5" w:rsidRPr="00B53FE2" w:rsidRDefault="00504CB5" w:rsidP="00504CB5">
      <w:pPr>
        <w:pStyle w:val="Normalaftertitle"/>
        <w:rPr>
          <w:lang w:val="es-ES_tradnl"/>
        </w:rPr>
      </w:pPr>
      <w:bookmarkStart w:id="52" w:name="lt_pId177"/>
      <w:bookmarkEnd w:id="51"/>
      <w:r w:rsidRPr="00B53FE2">
        <w:rPr>
          <w:lang w:val="es-ES_tradnl"/>
        </w:rPr>
        <w:t>Este Anexo contiene los resultados de los cálculos teóricos de las emisiones no deseadas de los sistemas SETS (activo) alrededor de 9 600 MHz utilizando los parámetros de SAR-1, SAR-2 y SAR</w:t>
      </w:r>
      <w:r w:rsidRPr="00B53FE2">
        <w:rPr>
          <w:lang w:val="es-ES_tradnl"/>
        </w:rPr>
        <w:noBreakHyphen/>
        <w:t xml:space="preserve">3 de la Recomendación UIT-R RS.2043. </w:t>
      </w:r>
      <w:bookmarkStart w:id="53" w:name="lt_pId178"/>
      <w:bookmarkEnd w:id="52"/>
      <w:r w:rsidRPr="00B53FE2">
        <w:rPr>
          <w:lang w:val="es-ES_tradnl"/>
        </w:rPr>
        <w:t>Se examinan varias técnicas de reducción para disminuir las emisiones no deseadas de los sistemas SETS (activo) en la banda 8</w:t>
      </w:r>
      <w:r w:rsidRPr="00B53FE2">
        <w:rPr>
          <w:sz w:val="16"/>
          <w:szCs w:val="16"/>
          <w:lang w:val="es-ES_tradnl"/>
        </w:rPr>
        <w:t> </w:t>
      </w:r>
      <w:r w:rsidRPr="00B53FE2">
        <w:rPr>
          <w:lang w:val="es-ES_tradnl"/>
        </w:rPr>
        <w:t>400-8</w:t>
      </w:r>
      <w:r w:rsidRPr="00B53FE2">
        <w:rPr>
          <w:sz w:val="16"/>
          <w:szCs w:val="16"/>
          <w:lang w:val="es-ES_tradnl"/>
        </w:rPr>
        <w:t> </w:t>
      </w:r>
      <w:r w:rsidRPr="00B53FE2">
        <w:rPr>
          <w:lang w:val="es-ES_tradnl"/>
        </w:rPr>
        <w:t>450 MHz del SIE (espacio lejano) y en la banda 8</w:t>
      </w:r>
      <w:r w:rsidRPr="00B53FE2">
        <w:rPr>
          <w:sz w:val="16"/>
          <w:szCs w:val="16"/>
          <w:lang w:val="es-ES_tradnl"/>
        </w:rPr>
        <w:t> </w:t>
      </w:r>
      <w:r w:rsidRPr="00B53FE2">
        <w:rPr>
          <w:lang w:val="es-ES_tradnl"/>
        </w:rPr>
        <w:t>450-8</w:t>
      </w:r>
      <w:r w:rsidRPr="00B53FE2">
        <w:rPr>
          <w:sz w:val="16"/>
          <w:szCs w:val="16"/>
          <w:lang w:val="es-ES_tradnl"/>
        </w:rPr>
        <w:t> </w:t>
      </w:r>
      <w:r w:rsidRPr="00B53FE2">
        <w:rPr>
          <w:lang w:val="es-ES_tradnl"/>
        </w:rPr>
        <w:t>500 MHz del SIE.</w:t>
      </w:r>
      <w:bookmarkEnd w:id="53"/>
    </w:p>
    <w:p w:rsidR="00504CB5" w:rsidRPr="00B53FE2" w:rsidRDefault="00504CB5" w:rsidP="00504CB5">
      <w:pPr>
        <w:pStyle w:val="Heading1"/>
        <w:rPr>
          <w:lang w:val="es-ES_tradnl"/>
        </w:rPr>
      </w:pPr>
      <w:r w:rsidRPr="00B53FE2">
        <w:rPr>
          <w:lang w:val="es-ES_tradnl"/>
        </w:rPr>
        <w:t>1</w:t>
      </w:r>
      <w:r w:rsidRPr="00B53FE2">
        <w:rPr>
          <w:lang w:val="es-ES_tradnl"/>
        </w:rPr>
        <w:tab/>
      </w:r>
      <w:bookmarkStart w:id="54" w:name="lt_pId180"/>
      <w:r w:rsidRPr="00B53FE2">
        <w:rPr>
          <w:lang w:val="es-ES_tradnl"/>
        </w:rPr>
        <w:t>Protección de los enlaces espacio-Tierra del SIE</w:t>
      </w:r>
      <w:bookmarkEnd w:id="54"/>
    </w:p>
    <w:p w:rsidR="00504CB5" w:rsidRPr="00B53FE2" w:rsidRDefault="00504CB5" w:rsidP="00504CB5">
      <w:pPr>
        <w:rPr>
          <w:lang w:val="es-ES_tradnl"/>
        </w:rPr>
      </w:pPr>
      <w:bookmarkStart w:id="55" w:name="lt_pId181"/>
      <w:r w:rsidRPr="00B53FE2">
        <w:rPr>
          <w:lang w:val="es-ES_tradnl"/>
        </w:rPr>
        <w:t xml:space="preserve">La </w:t>
      </w:r>
      <w:r w:rsidRPr="00B53FE2">
        <w:rPr>
          <w:lang w:val="es-ES_tradnl" w:eastAsia="ja-JP"/>
        </w:rPr>
        <w:t>Recomendación</w:t>
      </w:r>
      <w:r w:rsidRPr="00B53FE2">
        <w:rPr>
          <w:lang w:val="es-ES_tradnl"/>
        </w:rPr>
        <w:t xml:space="preserve"> UIT-R SA.1157 estipula el criterio de protección de las estaciones terrenas de investigación del espacio lejano de –221 dB (W/Hz) para la banda de frecuencias 8 400-8 450 MHz del SIE. </w:t>
      </w:r>
      <w:bookmarkStart w:id="56" w:name="lt_pId182"/>
      <w:bookmarkEnd w:id="55"/>
      <w:r w:rsidRPr="00B53FE2">
        <w:rPr>
          <w:lang w:val="es-ES_tradnl"/>
        </w:rPr>
        <w:t>El cálculo de la interferencia fuera de la línea de visibilidad debida a la propagación transhorizonte debe realizarse con las estadísticas meteorológicas del 0,001% del tiempo. La Recomendación UIT</w:t>
      </w:r>
      <w:r w:rsidRPr="00B53FE2">
        <w:rPr>
          <w:lang w:val="es-ES_tradnl"/>
        </w:rPr>
        <w:noBreakHyphen/>
        <w:t xml:space="preserve">R SA.1157 ofrece los criterios de protección para los sistemas receptores de los sistemas SIE (espacio lejano). El cumplimiento de los criterios de protección para estos equipos determina el éxito de la misión en el caso de las misiones del SIE en el espacio lejano. La interferencia perjudicial durante los acontecimientos críticos, por ejemplo la inserción en órbita, el sobrevuelo planetario y las fases de reentrada, descenso y aterrizaje, puede causar la pérdida del vehículo espacial o la pérdida de datos esenciales. </w:t>
      </w:r>
      <w:bookmarkEnd w:id="56"/>
      <w:r w:rsidRPr="00B53FE2">
        <w:rPr>
          <w:lang w:val="es-ES_tradnl"/>
        </w:rPr>
        <w:t>También se producen acontecimientos críticos en el caso de las observaciones científicas únicas cuando un vehículo espacial penetra en la atmósfera de un planeta o una luna, o impacta contra una luna, un planeta, un asteroide o un cometa. El vehículo puede destruirse durante el proceso. Los datos transmitidos durante la aproximación, o en los momentos anteriores al impacto y durante el impacto, pueden determinar el éxito de las misiones. Por lo tanto, la protección de los vehículos espaciales y de las estaciones terrenas del SIE en el espacio lejano durante los acontecimientos críticos, en la medida solicitada por la Recomendación UIT-R SA.1157, es fundamental para el éxito de las misiones del SIE en el espacio lejano.</w:t>
      </w:r>
    </w:p>
    <w:p w:rsidR="00504CB5" w:rsidRPr="00B53FE2" w:rsidRDefault="00504CB5" w:rsidP="00504CB5">
      <w:pPr>
        <w:rPr>
          <w:szCs w:val="24"/>
          <w:lang w:val="es-ES_tradnl"/>
        </w:rPr>
      </w:pPr>
      <w:bookmarkStart w:id="57" w:name="lt_pId190"/>
      <w:r w:rsidRPr="00B53FE2">
        <w:rPr>
          <w:szCs w:val="24"/>
          <w:lang w:val="es-ES_tradnl"/>
        </w:rPr>
        <w:t xml:space="preserve">Además, las </w:t>
      </w:r>
      <w:r w:rsidRPr="00B53FE2">
        <w:rPr>
          <w:color w:val="000000"/>
          <w:lang w:val="es-ES_tradnl"/>
        </w:rPr>
        <w:t>situaciones de emergencia de un vehículo espacial de los sistemas del espacio lejano deben considerarse como un acontecimiento crítico.</w:t>
      </w:r>
      <w:bookmarkEnd w:id="57"/>
    </w:p>
    <w:p w:rsidR="00504CB5" w:rsidRPr="00B53FE2" w:rsidRDefault="00504CB5" w:rsidP="00504CB5">
      <w:pPr>
        <w:rPr>
          <w:color w:val="000000" w:themeColor="text1"/>
          <w:szCs w:val="24"/>
          <w:lang w:val="es-ES_tradnl"/>
        </w:rPr>
      </w:pPr>
      <w:bookmarkStart w:id="58" w:name="lt_pId191"/>
      <w:r w:rsidRPr="00B53FE2">
        <w:rPr>
          <w:lang w:val="es-ES_tradnl"/>
        </w:rPr>
        <w:lastRenderedPageBreak/>
        <w:t xml:space="preserve">La Recomendación UIT-R SA.609 estipula, además, el criterio de protección de las estaciones terrenas del SIE en –216 dB para la banda de frecuencias </w:t>
      </w:r>
      <w:r w:rsidRPr="00B53FE2">
        <w:rPr>
          <w:szCs w:val="24"/>
          <w:lang w:val="es-ES_tradnl"/>
        </w:rPr>
        <w:t>8</w:t>
      </w:r>
      <w:r w:rsidRPr="00B53FE2">
        <w:rPr>
          <w:sz w:val="16"/>
          <w:szCs w:val="16"/>
          <w:lang w:val="es-ES_tradnl"/>
        </w:rPr>
        <w:t> </w:t>
      </w:r>
      <w:r w:rsidRPr="00B53FE2">
        <w:rPr>
          <w:szCs w:val="24"/>
          <w:lang w:val="es-ES_tradnl"/>
        </w:rPr>
        <w:t>450-8</w:t>
      </w:r>
      <w:r w:rsidRPr="00B53FE2">
        <w:rPr>
          <w:sz w:val="16"/>
          <w:szCs w:val="16"/>
          <w:lang w:val="es-ES_tradnl"/>
        </w:rPr>
        <w:t> </w:t>
      </w:r>
      <w:r w:rsidRPr="00B53FE2">
        <w:rPr>
          <w:szCs w:val="24"/>
          <w:lang w:val="es-ES_tradnl"/>
        </w:rPr>
        <w:t>500 MHz del SIE.</w:t>
      </w:r>
      <w:bookmarkStart w:id="59" w:name="lt_pId192"/>
      <w:bookmarkEnd w:id="58"/>
      <w:r w:rsidRPr="00B53FE2">
        <w:rPr>
          <w:szCs w:val="24"/>
          <w:lang w:val="es-ES_tradnl"/>
        </w:rPr>
        <w:t xml:space="preserve"> </w:t>
      </w:r>
      <w:r w:rsidRPr="00B53FE2">
        <w:rPr>
          <w:lang w:val="es-ES_tradnl"/>
        </w:rPr>
        <w:t>El cálculo de la interferencia resultante de los efectos atmosféricos y de las precipitaciones se debe basar en estadísticas meteorológicas durante el 0,1% del tiempo para las misiones no tripuladas, como las misiones de Lagrange y lunares.</w:t>
      </w:r>
      <w:bookmarkEnd w:id="59"/>
    </w:p>
    <w:p w:rsidR="00504CB5" w:rsidRPr="00B53FE2" w:rsidRDefault="00504CB5" w:rsidP="00504CB5">
      <w:pPr>
        <w:pStyle w:val="Heading1"/>
        <w:rPr>
          <w:lang w:val="es-ES_tradnl"/>
        </w:rPr>
      </w:pPr>
      <w:r w:rsidRPr="00B53FE2">
        <w:rPr>
          <w:lang w:val="es-ES_tradnl"/>
        </w:rPr>
        <w:t>2</w:t>
      </w:r>
      <w:r w:rsidRPr="00B53FE2">
        <w:rPr>
          <w:lang w:val="es-ES_tradnl"/>
        </w:rPr>
        <w:tab/>
      </w:r>
      <w:bookmarkStart w:id="60" w:name="lt_pId194"/>
      <w:r w:rsidRPr="00B53FE2">
        <w:rPr>
          <w:lang w:val="es-ES_tradnl"/>
        </w:rPr>
        <w:t>Características de los sistemas SETS (activo) alrededor de 9</w:t>
      </w:r>
      <w:r w:rsidRPr="00B53FE2">
        <w:rPr>
          <w:sz w:val="16"/>
          <w:szCs w:val="16"/>
          <w:lang w:val="es-ES_tradnl"/>
        </w:rPr>
        <w:t> </w:t>
      </w:r>
      <w:r w:rsidRPr="00B53FE2">
        <w:rPr>
          <w:lang w:val="es-ES_tradnl"/>
        </w:rPr>
        <w:t>600 MHz</w:t>
      </w:r>
      <w:bookmarkEnd w:id="60"/>
    </w:p>
    <w:p w:rsidR="00504CB5" w:rsidRPr="00B53FE2" w:rsidRDefault="00504CB5" w:rsidP="00504CB5">
      <w:pPr>
        <w:rPr>
          <w:lang w:val="es-ES_tradnl"/>
        </w:rPr>
      </w:pPr>
      <w:bookmarkStart w:id="61" w:name="lt_pId195"/>
      <w:r w:rsidRPr="00B53FE2">
        <w:rPr>
          <w:lang w:val="es-ES_tradnl"/>
        </w:rPr>
        <w:t>Algunos sistemas SAR utilizan la banda 9</w:t>
      </w:r>
      <w:r w:rsidRPr="00B53FE2">
        <w:rPr>
          <w:sz w:val="16"/>
          <w:szCs w:val="16"/>
          <w:lang w:val="es-ES_tradnl"/>
        </w:rPr>
        <w:t> </w:t>
      </w:r>
      <w:r w:rsidRPr="00B53FE2">
        <w:rPr>
          <w:lang w:val="es-ES_tradnl"/>
        </w:rPr>
        <w:t>300-9</w:t>
      </w:r>
      <w:r w:rsidRPr="00B53FE2">
        <w:rPr>
          <w:sz w:val="16"/>
          <w:szCs w:val="16"/>
          <w:lang w:val="es-ES_tradnl"/>
        </w:rPr>
        <w:t> </w:t>
      </w:r>
      <w:r w:rsidRPr="00B53FE2">
        <w:rPr>
          <w:lang w:val="es-ES_tradnl"/>
        </w:rPr>
        <w:t>900 MHz, típicamente identificada como la banda 9 600 MHz del SETS (activo). La Recomendación UIT-R</w:t>
      </w:r>
      <w:bookmarkStart w:id="62" w:name="lt_pId196"/>
      <w:bookmarkEnd w:id="61"/>
      <w:r w:rsidRPr="00B53FE2">
        <w:rPr>
          <w:lang w:val="es-ES_tradnl"/>
        </w:rPr>
        <w:t xml:space="preserve"> </w:t>
      </w:r>
      <w:r w:rsidRPr="00B53FE2">
        <w:rPr>
          <w:bCs/>
          <w:lang w:val="es-ES_tradnl"/>
        </w:rPr>
        <w:t>RS.2043</w:t>
      </w:r>
      <w:r w:rsidRPr="00B53FE2">
        <w:rPr>
          <w:lang w:val="es-ES_tradnl"/>
        </w:rPr>
        <w:t xml:space="preserve"> ofrece las características de tres sistemas SAR que funcionan en esta banda.</w:t>
      </w:r>
      <w:bookmarkEnd w:id="62"/>
    </w:p>
    <w:p w:rsidR="00504CB5" w:rsidRPr="00B53FE2" w:rsidRDefault="00504CB5" w:rsidP="00504CB5">
      <w:pPr>
        <w:pStyle w:val="TableNo"/>
        <w:rPr>
          <w:lang w:val="es-ES_tradnl"/>
        </w:rPr>
      </w:pPr>
      <w:bookmarkStart w:id="63" w:name="lt_pId197"/>
      <w:r w:rsidRPr="00B53FE2">
        <w:rPr>
          <w:lang w:val="es-ES_tradnl"/>
        </w:rPr>
        <w:t>CUADRO A2-1</w:t>
      </w:r>
      <w:bookmarkEnd w:id="63"/>
    </w:p>
    <w:p w:rsidR="00504CB5" w:rsidRPr="00B53FE2" w:rsidRDefault="00504CB5" w:rsidP="00504CB5">
      <w:pPr>
        <w:pStyle w:val="Tabletitle"/>
        <w:rPr>
          <w:lang w:val="es-ES_tradnl"/>
        </w:rPr>
      </w:pPr>
      <w:bookmarkStart w:id="64" w:name="lt_pId198"/>
      <w:r w:rsidRPr="00B53FE2">
        <w:rPr>
          <w:lang w:val="es-ES_tradnl"/>
        </w:rPr>
        <w:t>Características de los sistemas SAR-1, SAR-2 y SAR-3</w:t>
      </w:r>
      <w:bookmarkEnd w:id="6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0"/>
        <w:gridCol w:w="1780"/>
        <w:gridCol w:w="1929"/>
        <w:gridCol w:w="1780"/>
      </w:tblGrid>
      <w:tr w:rsidR="00504CB5" w:rsidRPr="00B53FE2" w:rsidTr="00F4403F">
        <w:trPr>
          <w:cantSplit/>
          <w:jc w:val="center"/>
        </w:trPr>
        <w:tc>
          <w:tcPr>
            <w:tcW w:w="3964" w:type="dxa"/>
          </w:tcPr>
          <w:p w:rsidR="00504CB5" w:rsidRPr="00B53FE2" w:rsidRDefault="00504CB5" w:rsidP="00A36412">
            <w:pPr>
              <w:pStyle w:val="Tablehead"/>
              <w:rPr>
                <w:lang w:val="es-ES_tradnl"/>
              </w:rPr>
            </w:pPr>
            <w:r w:rsidRPr="00B53FE2">
              <w:rPr>
                <w:lang w:val="es-ES_tradnl"/>
              </w:rPr>
              <w:t>Parámetro</w:t>
            </w:r>
          </w:p>
        </w:tc>
        <w:tc>
          <w:tcPr>
            <w:tcW w:w="1701" w:type="dxa"/>
          </w:tcPr>
          <w:p w:rsidR="00504CB5" w:rsidRPr="00B53FE2" w:rsidRDefault="00504CB5" w:rsidP="00A36412">
            <w:pPr>
              <w:pStyle w:val="Tablehead"/>
              <w:rPr>
                <w:lang w:val="es-ES_tradnl"/>
              </w:rPr>
            </w:pPr>
            <w:r w:rsidRPr="00B53FE2">
              <w:rPr>
                <w:lang w:val="es-ES_tradnl"/>
              </w:rPr>
              <w:t>SAR-1</w:t>
            </w:r>
          </w:p>
        </w:tc>
        <w:tc>
          <w:tcPr>
            <w:tcW w:w="1843" w:type="dxa"/>
          </w:tcPr>
          <w:p w:rsidR="00504CB5" w:rsidRPr="00B53FE2" w:rsidRDefault="00504CB5" w:rsidP="00A36412">
            <w:pPr>
              <w:pStyle w:val="Tablehead"/>
              <w:rPr>
                <w:lang w:val="es-ES_tradnl"/>
              </w:rPr>
            </w:pPr>
            <w:r w:rsidRPr="00B53FE2">
              <w:rPr>
                <w:lang w:val="es-ES_tradnl"/>
              </w:rPr>
              <w:t>SAR-2</w:t>
            </w:r>
          </w:p>
        </w:tc>
        <w:tc>
          <w:tcPr>
            <w:tcW w:w="1701" w:type="dxa"/>
          </w:tcPr>
          <w:p w:rsidR="00504CB5" w:rsidRPr="00B53FE2" w:rsidRDefault="00504CB5" w:rsidP="00A36412">
            <w:pPr>
              <w:pStyle w:val="Tablehead"/>
              <w:rPr>
                <w:lang w:val="es-ES_tradnl"/>
              </w:rPr>
            </w:pPr>
            <w:r w:rsidRPr="00B53FE2">
              <w:rPr>
                <w:lang w:val="es-ES_tradnl"/>
              </w:rPr>
              <w:t>SAR-3</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Altitud orbital (km)</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400</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619</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506</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Inclinación orbital (grados)</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57</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98</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98</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Frecuencia central de RF (GHz)</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9,6</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9,6</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9,6</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Potencia de cresta radiada (W)</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1 500</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5 000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25 000</w:t>
            </w:r>
          </w:p>
        </w:tc>
      </w:tr>
      <w:tr w:rsidR="00504CB5" w:rsidRPr="00504CB5"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Modulación de impulsos</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Fluctuación modulada linealmente en frecuencia</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Fluctuación modulada linealmente en frecuencia</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Fluctuación modulada linealmente en frecuencia</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Anchura de banda de la fluctuación (MHz)</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10</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400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450</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Duración del impulso (</w:t>
            </w:r>
            <w:r w:rsidRPr="00F4403F">
              <w:rPr>
                <w:szCs w:val="22"/>
                <w:lang w:val="es-ES_tradnl"/>
              </w:rPr>
              <w:sym w:font="Symbol" w:char="F06D"/>
            </w:r>
            <w:r w:rsidRPr="00F4403F">
              <w:rPr>
                <w:szCs w:val="22"/>
                <w:lang w:val="es-ES_tradnl"/>
              </w:rPr>
              <w:t>s)</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33,8</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10-80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1-10</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Frecuencia de repetición de impulsos (ips)</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1 736</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2 000-4 500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410-515</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Ciclo de trabajo (%)</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5,9</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2,0-28,0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0,04-0,5</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Relación de compresión de gama</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338</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&lt; 12 000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450-4 500</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Tipo de antena</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Guíaondas ranurado</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Red coplanar</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Red coplanar en fase</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Ganancia de antena de cresta (dBi)</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44,0</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44,0-46,0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39,5-42,5</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p.i.r.e. (dBW)</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75,8</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83,0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83,5-88,5</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Orientación de la antena con respecto al nadir</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20º a 55º</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34°</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20º a 44º</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Anchura de haz de la antena</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 xml:space="preserve">5,5º (El) </w:t>
            </w:r>
            <w:r w:rsidRPr="00F4403F">
              <w:rPr>
                <w:szCs w:val="22"/>
                <w:lang w:val="es-ES_tradnl"/>
              </w:rPr>
              <w:br/>
              <w:t>0,14º (Az)</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 xml:space="preserve">1,6-2,3º (El) </w:t>
            </w:r>
            <w:r w:rsidRPr="00F4403F">
              <w:rPr>
                <w:szCs w:val="22"/>
                <w:lang w:val="es-ES_tradnl"/>
              </w:rPr>
              <w:br/>
              <w:t>0,3º (Az)</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 xml:space="preserve">1,1-2,3º (El) </w:t>
            </w:r>
            <w:r w:rsidRPr="00F4403F">
              <w:rPr>
                <w:szCs w:val="22"/>
                <w:lang w:val="es-ES_tradnl"/>
              </w:rPr>
              <w:br/>
              <w:t>1,15º (Az)</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Polarización de la antena</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Lineal vertical</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Lineal HH o VV</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Lineal horizontal/</w:t>
            </w:r>
            <w:r w:rsidRPr="00F4403F">
              <w:rPr>
                <w:szCs w:val="22"/>
                <w:lang w:val="es-ES_tradnl"/>
              </w:rPr>
              <w:br/>
              <w:t>vertical</w:t>
            </w:r>
          </w:p>
        </w:tc>
      </w:tr>
      <w:tr w:rsidR="00504CB5" w:rsidRPr="00B53FE2" w:rsidTr="00F4403F">
        <w:trPr>
          <w:cantSplit/>
          <w:jc w:val="center"/>
        </w:trPr>
        <w:tc>
          <w:tcPr>
            <w:tcW w:w="3964" w:type="dxa"/>
          </w:tcPr>
          <w:p w:rsidR="00504CB5" w:rsidRPr="00F4403F" w:rsidRDefault="00504CB5" w:rsidP="00A36412">
            <w:pPr>
              <w:pStyle w:val="Tabletext"/>
              <w:jc w:val="left"/>
              <w:rPr>
                <w:szCs w:val="22"/>
                <w:lang w:val="es-ES_tradnl"/>
              </w:rPr>
            </w:pPr>
            <w:r w:rsidRPr="00F4403F">
              <w:rPr>
                <w:szCs w:val="22"/>
                <w:lang w:val="es-ES_tradnl"/>
              </w:rPr>
              <w:t>Temperatura de ruido del sistema (K)</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551</w:t>
            </w:r>
          </w:p>
        </w:tc>
        <w:tc>
          <w:tcPr>
            <w:tcW w:w="1843" w:type="dxa"/>
          </w:tcPr>
          <w:p w:rsidR="00504CB5" w:rsidRPr="00F4403F" w:rsidRDefault="00504CB5" w:rsidP="00A36412">
            <w:pPr>
              <w:pStyle w:val="Tabletext"/>
              <w:jc w:val="center"/>
              <w:rPr>
                <w:szCs w:val="22"/>
                <w:lang w:val="es-ES_tradnl"/>
              </w:rPr>
            </w:pPr>
            <w:r w:rsidRPr="00F4403F">
              <w:rPr>
                <w:szCs w:val="22"/>
                <w:lang w:val="es-ES_tradnl"/>
              </w:rPr>
              <w:t>500</w:t>
            </w:r>
          </w:p>
        </w:tc>
        <w:tc>
          <w:tcPr>
            <w:tcW w:w="1701" w:type="dxa"/>
          </w:tcPr>
          <w:p w:rsidR="00504CB5" w:rsidRPr="00F4403F" w:rsidRDefault="00504CB5" w:rsidP="00A36412">
            <w:pPr>
              <w:pStyle w:val="Tabletext"/>
              <w:jc w:val="center"/>
              <w:rPr>
                <w:szCs w:val="22"/>
                <w:lang w:val="es-ES_tradnl"/>
              </w:rPr>
            </w:pPr>
            <w:r w:rsidRPr="00F4403F">
              <w:rPr>
                <w:szCs w:val="22"/>
                <w:lang w:val="es-ES_tradnl"/>
              </w:rPr>
              <w:t>600</w:t>
            </w:r>
          </w:p>
        </w:tc>
      </w:tr>
    </w:tbl>
    <w:p w:rsidR="00504CB5" w:rsidRPr="00B53FE2" w:rsidRDefault="00504CB5" w:rsidP="00F4403F">
      <w:pPr>
        <w:pStyle w:val="Tablefin"/>
      </w:pPr>
    </w:p>
    <w:p w:rsidR="00504CB5" w:rsidRPr="00B53FE2" w:rsidRDefault="00504CB5" w:rsidP="00504CB5">
      <w:pPr>
        <w:pStyle w:val="Heading1"/>
        <w:rPr>
          <w:lang w:val="es-ES_tradnl"/>
        </w:rPr>
      </w:pPr>
      <w:r w:rsidRPr="00B53FE2">
        <w:rPr>
          <w:lang w:val="es-ES_tradnl"/>
        </w:rPr>
        <w:lastRenderedPageBreak/>
        <w:t>3</w:t>
      </w:r>
      <w:r w:rsidRPr="00B53FE2">
        <w:rPr>
          <w:lang w:val="es-ES_tradnl"/>
        </w:rPr>
        <w:tab/>
      </w:r>
      <w:bookmarkStart w:id="65" w:name="lt_pId276"/>
      <w:r w:rsidRPr="00B53FE2">
        <w:rPr>
          <w:lang w:val="es-ES_tradnl"/>
        </w:rPr>
        <w:t>Emisiones no deseadas de los sistemas SETS (activo) en el rango de frecuencias 8</w:t>
      </w:r>
      <w:r w:rsidRPr="00B53FE2">
        <w:rPr>
          <w:sz w:val="16"/>
          <w:szCs w:val="16"/>
          <w:lang w:val="es-ES_tradnl"/>
        </w:rPr>
        <w:t> </w:t>
      </w:r>
      <w:r w:rsidRPr="00B53FE2">
        <w:rPr>
          <w:lang w:val="es-ES_tradnl"/>
        </w:rPr>
        <w:t>400</w:t>
      </w:r>
      <w:r w:rsidRPr="00B53FE2">
        <w:rPr>
          <w:lang w:val="es-ES_tradnl"/>
        </w:rPr>
        <w:noBreakHyphen/>
        <w:t>8</w:t>
      </w:r>
      <w:r w:rsidRPr="00B53FE2">
        <w:rPr>
          <w:sz w:val="16"/>
          <w:szCs w:val="16"/>
          <w:lang w:val="es-ES_tradnl"/>
        </w:rPr>
        <w:t> </w:t>
      </w:r>
      <w:r w:rsidRPr="00B53FE2">
        <w:rPr>
          <w:lang w:val="es-ES_tradnl"/>
        </w:rPr>
        <w:t>500 MHz</w:t>
      </w:r>
      <w:bookmarkEnd w:id="65"/>
    </w:p>
    <w:p w:rsidR="00504CB5" w:rsidRPr="00B53FE2" w:rsidRDefault="00504CB5" w:rsidP="00504CB5">
      <w:pPr>
        <w:rPr>
          <w:lang w:val="es-ES_tradnl"/>
        </w:rPr>
      </w:pPr>
      <w:bookmarkStart w:id="66" w:name="lt_pId277"/>
      <w:r w:rsidRPr="00B53FE2">
        <w:rPr>
          <w:lang w:val="es-ES_tradnl"/>
        </w:rPr>
        <w:t>Los niveles teóricos de emisiones no deseadas de los tres sistemas SAR descritos en el Cuadro A2-1 en la banda de frecuencias 8</w:t>
      </w:r>
      <w:r w:rsidRPr="00B53FE2">
        <w:rPr>
          <w:sz w:val="16"/>
          <w:szCs w:val="16"/>
          <w:lang w:val="es-ES_tradnl"/>
        </w:rPr>
        <w:t> </w:t>
      </w:r>
      <w:r w:rsidRPr="00B53FE2">
        <w:rPr>
          <w:lang w:val="es-ES_tradnl"/>
        </w:rPr>
        <w:t>400-8</w:t>
      </w:r>
      <w:r w:rsidRPr="00B53FE2">
        <w:rPr>
          <w:sz w:val="16"/>
          <w:szCs w:val="16"/>
          <w:lang w:val="es-ES_tradnl"/>
        </w:rPr>
        <w:t> </w:t>
      </w:r>
      <w:r w:rsidRPr="00B53FE2">
        <w:rPr>
          <w:lang w:val="es-ES_tradnl"/>
        </w:rPr>
        <w:t>450 MHz se muestran en el Cuadro A2-2.</w:t>
      </w:r>
      <w:bookmarkEnd w:id="66"/>
      <w:r w:rsidRPr="00B53FE2">
        <w:rPr>
          <w:lang w:val="es-ES_tradnl"/>
        </w:rPr>
        <w:t xml:space="preserve"> </w:t>
      </w:r>
      <w:bookmarkStart w:id="67" w:name="lt_pId278"/>
      <w:r w:rsidRPr="00B53FE2">
        <w:rPr>
          <w:lang w:val="es-ES_tradnl"/>
        </w:rPr>
        <w:t>Se considera que los sistemas SAR de MF lineal (LFM) tiene un tiempo de subida de 10 ns y un tiempo de caída del impulso de 10 ns con formas de onda trapezoidales.</w:t>
      </w:r>
      <w:bookmarkEnd w:id="67"/>
      <w:r w:rsidRPr="00B53FE2">
        <w:rPr>
          <w:lang w:val="es-ES_tradnl"/>
        </w:rPr>
        <w:t xml:space="preserve"> </w:t>
      </w:r>
      <w:bookmarkStart w:id="68" w:name="lt_pId279"/>
      <w:r w:rsidRPr="00B53FE2">
        <w:rPr>
          <w:lang w:val="es-ES_tradnl"/>
        </w:rPr>
        <w:t xml:space="preserve">Las duraciones de impulso para los sistemas SAR-2 y SAR-3 son 10 </w:t>
      </w:r>
      <w:r w:rsidRPr="00B53FE2">
        <w:rPr>
          <w:rFonts w:ascii="Normal" w:eastAsia="Normal" w:hAnsi="Normal" w:cs="Normal"/>
          <w:lang w:val="es-ES_tradnl"/>
        </w:rPr>
        <w:t>μ</w:t>
      </w:r>
      <w:r w:rsidRPr="00B53FE2">
        <w:rPr>
          <w:lang w:val="es-ES_tradnl"/>
        </w:rPr>
        <w:t xml:space="preserve">s y 1 </w:t>
      </w:r>
      <w:r w:rsidRPr="00B53FE2">
        <w:rPr>
          <w:rFonts w:ascii="Normal" w:eastAsia="Normal" w:hAnsi="Normal" w:cs="Normal"/>
          <w:lang w:val="es-ES_tradnl"/>
        </w:rPr>
        <w:t>μ</w:t>
      </w:r>
      <w:r w:rsidRPr="00B53FE2">
        <w:rPr>
          <w:lang w:val="es-ES_tradnl"/>
        </w:rPr>
        <w:t>s, respectivamente.</w:t>
      </w:r>
      <w:bookmarkEnd w:id="68"/>
      <w:r w:rsidRPr="00B53FE2">
        <w:rPr>
          <w:lang w:val="es-ES_tradnl"/>
        </w:rPr>
        <w:t xml:space="preserve"> </w:t>
      </w:r>
      <w:bookmarkStart w:id="69" w:name="lt_pId280"/>
      <w:r w:rsidRPr="00B53FE2">
        <w:rPr>
          <w:lang w:val="es-ES_tradnl"/>
        </w:rPr>
        <w:t>La ganancia de la antena de la estación terrena del SIE en el espacio lejano es 74 dBi.</w:t>
      </w:r>
      <w:bookmarkEnd w:id="69"/>
    </w:p>
    <w:p w:rsidR="00504CB5" w:rsidRPr="00B53FE2" w:rsidRDefault="00504CB5" w:rsidP="00504CB5">
      <w:pPr>
        <w:pStyle w:val="TableNo"/>
        <w:keepLines/>
        <w:rPr>
          <w:lang w:val="es-ES_tradnl"/>
        </w:rPr>
      </w:pPr>
      <w:bookmarkStart w:id="70" w:name="lt_pId281"/>
      <w:r w:rsidRPr="00B53FE2">
        <w:rPr>
          <w:lang w:val="es-ES_tradnl"/>
        </w:rPr>
        <w:t>CUADRO A2-2</w:t>
      </w:r>
      <w:bookmarkEnd w:id="70"/>
    </w:p>
    <w:p w:rsidR="00504CB5" w:rsidRPr="00B53FE2" w:rsidRDefault="00504CB5" w:rsidP="00504CB5">
      <w:pPr>
        <w:pStyle w:val="Tabletitle"/>
        <w:keepLines/>
        <w:rPr>
          <w:lang w:val="es-ES_tradnl"/>
        </w:rPr>
      </w:pPr>
      <w:bookmarkStart w:id="71" w:name="lt_pId282"/>
      <w:r w:rsidRPr="00B53FE2">
        <w:rPr>
          <w:lang w:val="es-ES_tradnl"/>
        </w:rPr>
        <w:t xml:space="preserve">Emisiones no deseadas de los sistemas SAR-1, SAR-2 y SAR-3 </w:t>
      </w:r>
      <w:r w:rsidR="007E4189">
        <w:rPr>
          <w:lang w:val="es-ES_tradnl"/>
        </w:rPr>
        <w:br/>
      </w:r>
      <w:r w:rsidRPr="00B53FE2">
        <w:rPr>
          <w:lang w:val="es-ES_tradnl"/>
        </w:rPr>
        <w:t>en la banda 8</w:t>
      </w:r>
      <w:r w:rsidRPr="00B53FE2">
        <w:rPr>
          <w:sz w:val="16"/>
          <w:szCs w:val="16"/>
          <w:lang w:val="es-ES_tradnl"/>
        </w:rPr>
        <w:t> </w:t>
      </w:r>
      <w:r w:rsidRPr="00B53FE2">
        <w:rPr>
          <w:lang w:val="es-ES_tradnl"/>
        </w:rPr>
        <w:t>400-8</w:t>
      </w:r>
      <w:r w:rsidRPr="00B53FE2">
        <w:rPr>
          <w:sz w:val="16"/>
          <w:szCs w:val="16"/>
          <w:lang w:val="es-ES_tradnl"/>
        </w:rPr>
        <w:t> </w:t>
      </w:r>
      <w:r w:rsidRPr="00B53FE2">
        <w:rPr>
          <w:lang w:val="es-ES_tradnl"/>
        </w:rPr>
        <w:t>450 MHz</w:t>
      </w:r>
      <w:bookmarkEnd w:id="71"/>
    </w:p>
    <w:tbl>
      <w:tblPr>
        <w:tblW w:w="8505" w:type="dxa"/>
        <w:jc w:val="center"/>
        <w:tblLook w:val="04A0" w:firstRow="1" w:lastRow="0" w:firstColumn="1" w:lastColumn="0" w:noHBand="0" w:noVBand="1"/>
      </w:tblPr>
      <w:tblGrid>
        <w:gridCol w:w="4902"/>
        <w:gridCol w:w="1201"/>
        <w:gridCol w:w="1201"/>
        <w:gridCol w:w="1201"/>
      </w:tblGrid>
      <w:tr w:rsidR="00504CB5" w:rsidRPr="00B53FE2" w:rsidTr="00A36412">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head"/>
              <w:keepLines/>
              <w:rPr>
                <w:lang w:val="es-ES_tradnl"/>
              </w:rPr>
            </w:pPr>
            <w:r w:rsidRPr="00B53FE2">
              <w:rPr>
                <w:lang w:val="es-ES_tradnl"/>
              </w:rPr>
              <w:t>Parámetro</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keepLines/>
              <w:rPr>
                <w:lang w:val="es-ES_tradnl"/>
              </w:rPr>
            </w:pPr>
            <w:bookmarkStart w:id="72" w:name="lt_pId284"/>
            <w:r w:rsidRPr="00B53FE2">
              <w:rPr>
                <w:lang w:val="es-ES_tradnl"/>
              </w:rPr>
              <w:t>SAR-1</w:t>
            </w:r>
            <w:bookmarkEnd w:id="72"/>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keepLines/>
              <w:rPr>
                <w:lang w:val="es-ES_tradnl"/>
              </w:rPr>
            </w:pPr>
            <w:bookmarkStart w:id="73" w:name="lt_pId285"/>
            <w:r w:rsidRPr="00B53FE2">
              <w:rPr>
                <w:lang w:val="es-ES_tradnl"/>
              </w:rPr>
              <w:t>SAR-2</w:t>
            </w:r>
            <w:bookmarkEnd w:id="73"/>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keepLines/>
              <w:rPr>
                <w:lang w:val="es-ES_tradnl"/>
              </w:rPr>
            </w:pPr>
            <w:bookmarkStart w:id="74" w:name="lt_pId286"/>
            <w:r w:rsidRPr="00B53FE2">
              <w:rPr>
                <w:lang w:val="es-ES_tradnl"/>
              </w:rPr>
              <w:t>SAR-3</w:t>
            </w:r>
            <w:bookmarkEnd w:id="74"/>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bookmarkStart w:id="75" w:name="lt_pId287"/>
            <w:r w:rsidRPr="00B53FE2">
              <w:rPr>
                <w:lang w:val="es-ES_tradnl" w:eastAsia="fr-FR"/>
              </w:rPr>
              <w:t>p.i.r.e. (dBW)</w:t>
            </w:r>
            <w:bookmarkEnd w:id="75"/>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86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bookmarkStart w:id="76" w:name="lt_pId291"/>
            <w:r w:rsidRPr="00B53FE2">
              <w:rPr>
                <w:lang w:val="es-ES_tradnl" w:eastAsia="fr-FR"/>
              </w:rPr>
              <w:t>Ancho de banda (MHz)</w:t>
            </w:r>
            <w:bookmarkEnd w:id="76"/>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450</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bookmarkStart w:id="77" w:name="lt_pId295"/>
            <w:r w:rsidRPr="00B53FE2">
              <w:rPr>
                <w:lang w:val="es-ES_tradnl" w:eastAsia="fr-FR"/>
              </w:rPr>
              <w:t>Distancia oblicua mínima (km)</w:t>
            </w:r>
            <w:bookmarkEnd w:id="77"/>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536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r w:rsidRPr="00B53FE2">
              <w:rPr>
                <w:lang w:val="es-ES_tradnl" w:eastAsia="fr-FR"/>
              </w:rPr>
              <w:t>Pérdidas espaciales (dB)</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–166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bookmarkStart w:id="78" w:name="lt_pId303"/>
            <w:r w:rsidRPr="00B53FE2">
              <w:rPr>
                <w:lang w:val="es-ES_tradnl" w:eastAsia="fr-FR"/>
              </w:rPr>
              <w:t>Ganancia de cresta de la antena del receptor (dBi)</w:t>
            </w:r>
            <w:bookmarkEnd w:id="78"/>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74</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bookmarkStart w:id="79" w:name="lt_pId307"/>
            <w:r w:rsidRPr="00B53FE2">
              <w:rPr>
                <w:lang w:val="es-ES_tradnl" w:eastAsia="fr-FR"/>
              </w:rPr>
              <w:t>Perdida de polarización (dB)</w:t>
            </w:r>
            <w:bookmarkEnd w:id="79"/>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–3</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rPr>
                <w:lang w:val="es-ES_tradnl"/>
              </w:rPr>
            </w:pPr>
            <w:bookmarkStart w:id="80" w:name="lt_pId311"/>
            <w:r w:rsidRPr="00B53FE2">
              <w:rPr>
                <w:lang w:val="es-ES_tradnl" w:eastAsia="fr-FR"/>
              </w:rPr>
              <w:t>Reducción espectral (dB)</w:t>
            </w:r>
            <w:bookmarkEnd w:id="80"/>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–109</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–86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center"/>
              <w:rPr>
                <w:lang w:val="es-ES_tradnl"/>
              </w:rPr>
            </w:pPr>
            <w:r w:rsidRPr="00B53FE2">
              <w:rPr>
                <w:lang w:val="es-ES_tradnl" w:eastAsia="fr-FR"/>
              </w:rPr>
              <w:t>–78</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rPr>
                <w:lang w:val="es-ES_tradnl"/>
              </w:rPr>
            </w:pPr>
            <w:bookmarkStart w:id="81" w:name="lt_pId315"/>
            <w:r w:rsidRPr="00B53FE2">
              <w:rPr>
                <w:lang w:val="es-ES_tradnl" w:eastAsia="fr-FR"/>
              </w:rPr>
              <w:t>Densidad espectral de potencia de la interferencia de recepción (dB(W/Hz))</w:t>
            </w:r>
            <w:bookmarkEnd w:id="81"/>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–196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–185</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–174</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003929">
            <w:pPr>
              <w:pStyle w:val="Tabletext"/>
              <w:jc w:val="left"/>
              <w:rPr>
                <w:lang w:val="es-ES_tradnl"/>
              </w:rPr>
            </w:pPr>
            <w:bookmarkStart w:id="82" w:name="lt_pId319"/>
            <w:r w:rsidRPr="00B53FE2">
              <w:rPr>
                <w:lang w:val="es-ES_tradnl" w:eastAsia="fr-FR"/>
              </w:rPr>
              <w:t>Criterio de protección en el espacio lejano (dB(W/Hz))</w:t>
            </w:r>
            <w:bookmarkEnd w:id="82"/>
            <w:r w:rsidRPr="00B53FE2">
              <w:rPr>
                <w:i/>
                <w:iCs/>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rPr>
                <w:lang w:val="es-ES_tradnl"/>
              </w:rPr>
            </w:pPr>
            <w:bookmarkStart w:id="83" w:name="lt_pId323"/>
            <w:r w:rsidRPr="00B53FE2">
              <w:rPr>
                <w:lang w:val="es-ES_tradnl" w:eastAsia="fr-FR"/>
              </w:rPr>
              <w:t>Rebasamiento del criterio de protección (dB)</w:t>
            </w:r>
            <w:bookmarkEnd w:id="83"/>
            <w:r w:rsidRPr="00B53FE2">
              <w:rPr>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25</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47</w:t>
            </w:r>
          </w:p>
        </w:tc>
      </w:tr>
    </w:tbl>
    <w:p w:rsidR="00504CB5" w:rsidRPr="00B53FE2" w:rsidRDefault="00504CB5" w:rsidP="00504CB5">
      <w:pPr>
        <w:pStyle w:val="Tablefin"/>
        <w:rPr>
          <w:lang w:val="es-ES_tradnl"/>
        </w:rPr>
      </w:pPr>
    </w:p>
    <w:p w:rsidR="00504CB5" w:rsidRPr="00B53FE2" w:rsidRDefault="00504CB5" w:rsidP="00003929">
      <w:pPr>
        <w:rPr>
          <w:lang w:val="es-ES_tradnl"/>
        </w:rPr>
      </w:pPr>
      <w:bookmarkStart w:id="84" w:name="lt_pId327"/>
      <w:r w:rsidRPr="00B53FE2">
        <w:rPr>
          <w:lang w:val="es-ES_tradnl"/>
        </w:rPr>
        <w:t>El Cuadro A2-2 muestra que las emisiones no deseadas de los sistemas SAR-1, SAR-2 y SAR</w:t>
      </w:r>
      <w:r w:rsidR="00003929">
        <w:rPr>
          <w:lang w:val="es-ES_tradnl"/>
        </w:rPr>
        <w:noBreakHyphen/>
      </w:r>
      <w:r w:rsidRPr="00B53FE2">
        <w:rPr>
          <w:lang w:val="es-ES_tradnl"/>
        </w:rPr>
        <w:t>3 superan el criterio de protección en el espacio lejano en valores comprendidos entre 25 y 47 dB. Las emisiones de los sistemas SAR están calculadas teniendo en cuenta la reducción espectral teórica de las señales del SAR. Es posible que se produzcan emisiones no deseadas mayores cuando los sistemas del SETS (activo) incluyen componentes como los amplificadores de potencia muy eficientes que funcionan en modos de saturación. El cálculo de las emisiones no deseadas de los sistemas SAR que utilizan el Anexo 8 de la Recomendación UIT-R SM.1541 da como resultado unas emisiones deseadas mayores, y por lo tanto, una interferencia mayor en los enlaces espacio-Tierra del SIE (espacio lejano) en la banda 8 400-8 450 MHz. Para calcular los niveles de atenuación necesarios para proteger las operaciones del SIE (espacio lejano) y proteger los receptores del SIE del deterioro, se debe utilizar los valores de las emisiones no deseadas de los equipos del SETS (activo), en vez de los valores teóricos.</w:t>
      </w:r>
    </w:p>
    <w:p w:rsidR="00504CB5" w:rsidRPr="00B53FE2" w:rsidRDefault="00504CB5" w:rsidP="00504CB5">
      <w:pPr>
        <w:rPr>
          <w:lang w:val="es-ES_tradnl"/>
        </w:rPr>
      </w:pPr>
      <w:bookmarkStart w:id="85" w:name="lt_pId332"/>
      <w:bookmarkEnd w:id="84"/>
      <w:r w:rsidRPr="00B53FE2">
        <w:rPr>
          <w:lang w:val="es-ES_tradnl"/>
        </w:rPr>
        <w:t>El nivel de las emisiones que se producen en la banda de frecuencias 8 450-8 500 MHz debería ser mayor debido a la reducida separación de frecuencias.</w:t>
      </w:r>
      <w:bookmarkEnd w:id="85"/>
      <w:r w:rsidRPr="00B53FE2">
        <w:rPr>
          <w:lang w:val="es-ES_tradnl"/>
        </w:rPr>
        <w:t xml:space="preserve"> </w:t>
      </w:r>
      <w:bookmarkStart w:id="86" w:name="lt_pId333"/>
      <w:r w:rsidRPr="00B53FE2">
        <w:rPr>
          <w:lang w:val="es-ES_tradnl"/>
        </w:rPr>
        <w:t>Aunque los estudios muestran que no se produce interferencia perjudicial en esta banda, puede existir un riesgo de saturación o deterioro de los receptores terrestres en caso de iluminación directa, lo que requiere la aplicación de técnicas de reducción específicas también en esta banda.</w:t>
      </w:r>
    </w:p>
    <w:bookmarkEnd w:id="86"/>
    <w:p w:rsidR="00504CB5" w:rsidRPr="00B53FE2" w:rsidRDefault="00504CB5" w:rsidP="00504CB5">
      <w:pPr>
        <w:pStyle w:val="Heading1"/>
        <w:rPr>
          <w:lang w:val="es-ES_tradnl"/>
        </w:rPr>
      </w:pPr>
      <w:r w:rsidRPr="00B53FE2">
        <w:rPr>
          <w:lang w:val="es-ES_tradnl"/>
        </w:rPr>
        <w:lastRenderedPageBreak/>
        <w:t>4</w:t>
      </w:r>
      <w:r w:rsidRPr="00B53FE2">
        <w:rPr>
          <w:lang w:val="es-ES_tradnl"/>
        </w:rPr>
        <w:tab/>
        <w:t>Técnicas de reducción</w:t>
      </w:r>
    </w:p>
    <w:p w:rsidR="00504CB5" w:rsidRPr="00B53FE2" w:rsidRDefault="00504CB5" w:rsidP="00504CB5">
      <w:pPr>
        <w:rPr>
          <w:lang w:val="es-ES_tradnl"/>
        </w:rPr>
      </w:pPr>
      <w:bookmarkStart w:id="87" w:name="lt_pId336"/>
      <w:r w:rsidRPr="00B53FE2">
        <w:rPr>
          <w:lang w:val="es-ES_tradnl"/>
        </w:rPr>
        <w:t>En esta sección se describen varias técnicas de reducción de interferencia.</w:t>
      </w:r>
      <w:bookmarkEnd w:id="87"/>
      <w:r w:rsidRPr="00B53FE2">
        <w:rPr>
          <w:lang w:val="es-ES_tradnl"/>
        </w:rPr>
        <w:t xml:space="preserve"> </w:t>
      </w:r>
      <w:bookmarkStart w:id="88" w:name="lt_pId337"/>
      <w:r w:rsidRPr="00B53FE2">
        <w:rPr>
          <w:lang w:val="es-ES_tradnl"/>
        </w:rPr>
        <w:t>La posible interferencia producida por las emisiones no deseadas de los sistemas SETS (activo) puede reducirse utilizando una de las técnicas descritas, o una combinación de ellas. En general, las tres primeras técnicas, la conformación de impulso, el apuntamiento de la antena y el filtrado pueden reducir de manera significativa las emisiones no deseadas de los sistemas SETS (activo).</w:t>
      </w:r>
    </w:p>
    <w:bookmarkEnd w:id="88"/>
    <w:p w:rsidR="00504CB5" w:rsidRPr="00B53FE2" w:rsidRDefault="00504CB5" w:rsidP="00504CB5">
      <w:pPr>
        <w:pStyle w:val="Heading2"/>
        <w:rPr>
          <w:lang w:val="es-ES_tradnl"/>
        </w:rPr>
      </w:pPr>
      <w:r w:rsidRPr="00B53FE2">
        <w:rPr>
          <w:lang w:val="es-ES_tradnl"/>
        </w:rPr>
        <w:t>4.1</w:t>
      </w:r>
      <w:r w:rsidRPr="00B53FE2">
        <w:rPr>
          <w:lang w:val="es-ES_tradnl"/>
        </w:rPr>
        <w:tab/>
        <w:t>Conformación de impulso</w:t>
      </w:r>
    </w:p>
    <w:p w:rsidR="00504CB5" w:rsidRPr="00B53FE2" w:rsidRDefault="00504CB5" w:rsidP="00504CB5">
      <w:pPr>
        <w:rPr>
          <w:lang w:val="es-ES_tradnl"/>
        </w:rPr>
      </w:pPr>
      <w:bookmarkStart w:id="89" w:name="lt_pId341"/>
      <w:r w:rsidRPr="00B53FE2">
        <w:rPr>
          <w:lang w:val="es-ES_tradnl"/>
        </w:rPr>
        <w:t>La conformación de impulso cambia la envolvente de los impulsos chirp modulados con MF lineal para reducir las emisiones no deseadas. Comparado con un sistema LFM con 10 ns de tiempo de subida y 10 ns de bajada de impulso, un conformado de impulso con formas de onda trapezoidales y formas de onda de coseno alzado con 100 ns de tiempo de subida y 100 ns de bajada de impulso puede, en teoría, reducir las emisiones no deseadas de los radares LFM en 17 dB a 26 dB aproximadamente. El Cuadro A2-3 muestra que una forma de onda trapezoidal con 100 ns de tiempo de subida y 100 ns de bajada de impulso puede reducir las emisiones no deseadas de un sistema SAR</w:t>
      </w:r>
      <w:r w:rsidRPr="00B53FE2">
        <w:rPr>
          <w:lang w:val="es-ES_tradnl"/>
        </w:rPr>
        <w:noBreakHyphen/>
        <w:t>1 para situarlo por debajo del nivel de protección del SIE (espacio lejano), aunque las emisiones no deseadas de los sistemas SAR-2 y SAR-3 seguirán superando el nivel de protección. Con el conformado de impulso del coseno alzado, las emisiones no deseadas de los tres sistemas SAR están por debajo de los criterios de protección. Cabe señalar que las imperfecciones y las no linealidades de varios componentes de la cadena de transmisión del SETS (activo) incrementarán seguramente las emisiones no deseadas.</w:t>
      </w:r>
    </w:p>
    <w:p w:rsidR="00504CB5" w:rsidRPr="00B53FE2" w:rsidRDefault="00504CB5" w:rsidP="00504CB5">
      <w:pPr>
        <w:pStyle w:val="TableNo"/>
        <w:rPr>
          <w:lang w:val="es-ES_tradnl"/>
        </w:rPr>
      </w:pPr>
      <w:bookmarkStart w:id="90" w:name="lt_pId346"/>
      <w:bookmarkEnd w:id="89"/>
      <w:r w:rsidRPr="00B53FE2">
        <w:rPr>
          <w:lang w:val="es-ES_tradnl"/>
        </w:rPr>
        <w:t>CUADRO A2-3</w:t>
      </w:r>
      <w:bookmarkEnd w:id="90"/>
    </w:p>
    <w:p w:rsidR="00504CB5" w:rsidRPr="00B53FE2" w:rsidRDefault="00504CB5" w:rsidP="00504CB5">
      <w:pPr>
        <w:pStyle w:val="Tabletitle"/>
        <w:rPr>
          <w:lang w:val="es-ES_tradnl"/>
        </w:rPr>
      </w:pPr>
      <w:bookmarkStart w:id="91" w:name="lt_pId347"/>
      <w:r w:rsidRPr="00B53FE2">
        <w:rPr>
          <w:lang w:val="es-ES_tradnl"/>
        </w:rPr>
        <w:t xml:space="preserve">Emisiones no deseadas del SETS (activo) con forma de onda trapezoidal, con un tiempo </w:t>
      </w:r>
      <w:r w:rsidRPr="00B53FE2">
        <w:rPr>
          <w:lang w:val="es-ES_tradnl"/>
        </w:rPr>
        <w:br/>
        <w:t xml:space="preserve">de subida y una bajada de impulso de 100 ns </w:t>
      </w:r>
      <w:bookmarkStart w:id="92" w:name="lt_pId348"/>
      <w:bookmarkEnd w:id="91"/>
      <w:r w:rsidRPr="00B53FE2">
        <w:rPr>
          <w:lang w:val="es-ES_tradnl"/>
        </w:rPr>
        <w:t>en la banda 8</w:t>
      </w:r>
      <w:r w:rsidRPr="00B53FE2">
        <w:rPr>
          <w:sz w:val="16"/>
          <w:szCs w:val="16"/>
          <w:lang w:val="es-ES_tradnl"/>
        </w:rPr>
        <w:t> </w:t>
      </w:r>
      <w:r w:rsidRPr="00B53FE2">
        <w:rPr>
          <w:lang w:val="es-ES_tradnl"/>
        </w:rPr>
        <w:t>400-8</w:t>
      </w:r>
      <w:r w:rsidRPr="00B53FE2">
        <w:rPr>
          <w:sz w:val="16"/>
          <w:szCs w:val="16"/>
          <w:lang w:val="es-ES_tradnl"/>
        </w:rPr>
        <w:t> </w:t>
      </w:r>
      <w:r w:rsidRPr="00B53FE2">
        <w:rPr>
          <w:lang w:val="es-ES_tradnl"/>
        </w:rPr>
        <w:t xml:space="preserve">450 MHz </w:t>
      </w:r>
      <w:bookmarkEnd w:id="92"/>
    </w:p>
    <w:tbl>
      <w:tblPr>
        <w:tblW w:w="8505" w:type="dxa"/>
        <w:jc w:val="center"/>
        <w:tblLook w:val="04A0" w:firstRow="1" w:lastRow="0" w:firstColumn="1" w:lastColumn="0" w:noHBand="0" w:noVBand="1"/>
      </w:tblPr>
      <w:tblGrid>
        <w:gridCol w:w="4902"/>
        <w:gridCol w:w="1201"/>
        <w:gridCol w:w="1201"/>
        <w:gridCol w:w="1201"/>
      </w:tblGrid>
      <w:tr w:rsidR="00504CB5" w:rsidRPr="00B53FE2" w:rsidTr="00A36412">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head"/>
              <w:spacing w:before="40" w:after="40"/>
              <w:rPr>
                <w:lang w:val="es-ES_tradnl"/>
              </w:rPr>
            </w:pPr>
            <w:r w:rsidRPr="00B53FE2">
              <w:rPr>
                <w:lang w:val="es-ES_tradnl"/>
              </w:rPr>
              <w:t>Parámetro </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spacing w:before="40" w:after="40"/>
              <w:rPr>
                <w:lang w:val="es-ES_tradnl"/>
              </w:rPr>
            </w:pPr>
            <w:bookmarkStart w:id="93" w:name="lt_pId350"/>
            <w:r w:rsidRPr="00B53FE2">
              <w:rPr>
                <w:lang w:val="es-ES_tradnl"/>
              </w:rPr>
              <w:t>SAR-1</w:t>
            </w:r>
            <w:bookmarkEnd w:id="93"/>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spacing w:before="40" w:after="40"/>
              <w:rPr>
                <w:lang w:val="es-ES_tradnl"/>
              </w:rPr>
            </w:pPr>
            <w:bookmarkStart w:id="94" w:name="lt_pId351"/>
            <w:r w:rsidRPr="00B53FE2">
              <w:rPr>
                <w:lang w:val="es-ES_tradnl"/>
              </w:rPr>
              <w:t>SAR-2</w:t>
            </w:r>
            <w:bookmarkEnd w:id="94"/>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spacing w:before="40" w:after="40"/>
              <w:rPr>
                <w:lang w:val="es-ES_tradnl"/>
              </w:rPr>
            </w:pPr>
            <w:bookmarkStart w:id="95" w:name="lt_pId352"/>
            <w:r w:rsidRPr="00B53FE2">
              <w:rPr>
                <w:lang w:val="es-ES_tradnl"/>
              </w:rPr>
              <w:t>SAR-3</w:t>
            </w:r>
            <w:bookmarkEnd w:id="95"/>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p.i.r.e. (dBW)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86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Ancho de banda (MHz)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450</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Distancia oblicua mínima (km)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536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Pérdidas espaciales (dB)</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Ganancia de cresta de la antena del receptor (dBi)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74</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Perdida de polarización (dB)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Reducción espectral (dB)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–135</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–106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–95</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jc w:val="left"/>
              <w:rPr>
                <w:lang w:val="es-ES_tradnl"/>
              </w:rPr>
            </w:pPr>
            <w:r w:rsidRPr="00B53FE2">
              <w:rPr>
                <w:lang w:val="es-ES_tradnl" w:eastAsia="fr-FR"/>
              </w:rPr>
              <w:t>Densidad espectral de potencia de la interferencia de recepción (dB(W/Hz))</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–222</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–205</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–191</w:t>
            </w:r>
          </w:p>
        </w:tc>
      </w:tr>
      <w:tr w:rsidR="00504CB5" w:rsidRPr="00B53FE2" w:rsidTr="00D906F4">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jc w:val="left"/>
              <w:rPr>
                <w:lang w:val="es-ES_tradnl"/>
              </w:rPr>
            </w:pPr>
            <w:r w:rsidRPr="00B53FE2">
              <w:rPr>
                <w:lang w:val="es-ES_tradnl" w:eastAsia="fr-FR"/>
              </w:rPr>
              <w:t>Criterio de protección en el espacio lejano (dB(W/Hz))</w:t>
            </w:r>
            <w:r w:rsidRPr="00B53FE2">
              <w:rPr>
                <w:i/>
                <w:iCs/>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r>
      <w:tr w:rsidR="00504CB5" w:rsidRPr="00B53FE2" w:rsidTr="00D906F4">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jc w:val="left"/>
              <w:rPr>
                <w:lang w:val="es-ES_tradnl"/>
              </w:rPr>
            </w:pPr>
            <w:r w:rsidRPr="00B53FE2">
              <w:rPr>
                <w:lang w:val="es-ES_tradnl" w:eastAsia="fr-FR"/>
              </w:rPr>
              <w:t xml:space="preserve">Rebasamiento del criterio de protección (dB) </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30</w:t>
            </w:r>
          </w:p>
        </w:tc>
      </w:tr>
    </w:tbl>
    <w:p w:rsidR="00D906F4" w:rsidRDefault="00D906F4" w:rsidP="00D906F4">
      <w:pPr>
        <w:pStyle w:val="Tablefin"/>
      </w:pPr>
    </w:p>
    <w:p w:rsidR="00504CB5" w:rsidRPr="00B53FE2" w:rsidRDefault="00504CB5" w:rsidP="00504CB5">
      <w:pPr>
        <w:pStyle w:val="TableNo"/>
        <w:rPr>
          <w:lang w:val="es-ES_tradnl"/>
        </w:rPr>
      </w:pPr>
      <w:bookmarkStart w:id="96" w:name="lt_pId393"/>
      <w:r w:rsidRPr="00B53FE2">
        <w:rPr>
          <w:lang w:val="es-ES_tradnl"/>
        </w:rPr>
        <w:lastRenderedPageBreak/>
        <w:t>CUADRO A2-4</w:t>
      </w:r>
      <w:bookmarkEnd w:id="96"/>
    </w:p>
    <w:p w:rsidR="00504CB5" w:rsidRPr="00B53FE2" w:rsidRDefault="00504CB5" w:rsidP="00504CB5">
      <w:pPr>
        <w:pStyle w:val="Tabletitle"/>
        <w:rPr>
          <w:lang w:val="es-ES_tradnl"/>
        </w:rPr>
      </w:pPr>
      <w:bookmarkStart w:id="97" w:name="lt_pId394"/>
      <w:r w:rsidRPr="00B53FE2">
        <w:rPr>
          <w:lang w:val="es-ES_tradnl"/>
        </w:rPr>
        <w:t xml:space="preserve">Emisiones no deseadas del SETS (activo) con forma de coseno alzado, con un tiempo de </w:t>
      </w:r>
      <w:r w:rsidRPr="00B53FE2">
        <w:rPr>
          <w:cs/>
          <w:lang w:val="es-ES_tradnl"/>
        </w:rPr>
        <w:t>‎</w:t>
      </w:r>
      <w:r w:rsidRPr="00B53FE2">
        <w:rPr>
          <w:lang w:val="es-ES_tradnl"/>
        </w:rPr>
        <w:t xml:space="preserve">subida y una bajada de impulso de 100 ns en la banda 8 400-8 450 MHz </w:t>
      </w:r>
      <w:r w:rsidRPr="00B53FE2">
        <w:rPr>
          <w:cs/>
          <w:lang w:val="es-ES_tradnl"/>
        </w:rPr>
        <w:t>‎</w:t>
      </w:r>
      <w:bookmarkEnd w:id="97"/>
    </w:p>
    <w:tbl>
      <w:tblPr>
        <w:tblW w:w="8505" w:type="dxa"/>
        <w:jc w:val="center"/>
        <w:tblLook w:val="04A0" w:firstRow="1" w:lastRow="0" w:firstColumn="1" w:lastColumn="0" w:noHBand="0" w:noVBand="1"/>
      </w:tblPr>
      <w:tblGrid>
        <w:gridCol w:w="4902"/>
        <w:gridCol w:w="1201"/>
        <w:gridCol w:w="1201"/>
        <w:gridCol w:w="1201"/>
      </w:tblGrid>
      <w:tr w:rsidR="00504CB5" w:rsidRPr="00B53FE2" w:rsidTr="00A36412">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head"/>
              <w:rPr>
                <w:lang w:val="es-ES_tradnl"/>
              </w:rPr>
            </w:pPr>
            <w:r w:rsidRPr="00B53FE2">
              <w:rPr>
                <w:lang w:val="es-ES_tradnl"/>
              </w:rPr>
              <w:t> Parámetro</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rPr>
                <w:lang w:val="es-ES_tradnl"/>
              </w:rPr>
            </w:pPr>
            <w:bookmarkStart w:id="98" w:name="lt_pId397"/>
            <w:r w:rsidRPr="00B53FE2">
              <w:rPr>
                <w:lang w:val="es-ES_tradnl"/>
              </w:rPr>
              <w:t>SAR-1</w:t>
            </w:r>
            <w:bookmarkEnd w:id="98"/>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rPr>
                <w:lang w:val="es-ES_tradnl"/>
              </w:rPr>
            </w:pPr>
            <w:bookmarkStart w:id="99" w:name="lt_pId398"/>
            <w:r w:rsidRPr="00B53FE2">
              <w:rPr>
                <w:lang w:val="es-ES_tradnl"/>
              </w:rPr>
              <w:t>SAR-2</w:t>
            </w:r>
            <w:bookmarkEnd w:id="99"/>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504CB5" w:rsidRPr="00B53FE2" w:rsidRDefault="00504CB5" w:rsidP="00A36412">
            <w:pPr>
              <w:pStyle w:val="Tablehead"/>
              <w:rPr>
                <w:lang w:val="es-ES_tradnl"/>
              </w:rPr>
            </w:pPr>
            <w:bookmarkStart w:id="100" w:name="lt_pId399"/>
            <w:r w:rsidRPr="00B53FE2">
              <w:rPr>
                <w:lang w:val="es-ES_tradnl"/>
              </w:rPr>
              <w:t>SAR-3</w:t>
            </w:r>
            <w:bookmarkEnd w:id="100"/>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p.i.r.e. (dBW)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83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86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Ancho de banda (MHz)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10</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400</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450</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Distancia oblicua mínima (km)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424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654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536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Pérdidas espaciales (dB)</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–167</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–166</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Ganancia de cresta de la antena del receptor (dBi)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74</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Perdida de polarización (dB)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keepNext/>
              <w:keepLines/>
              <w:jc w:val="left"/>
              <w:rPr>
                <w:lang w:val="es-ES_tradnl"/>
              </w:rPr>
            </w:pPr>
            <w:r w:rsidRPr="00B53FE2">
              <w:rPr>
                <w:lang w:val="es-ES_tradnl" w:eastAsia="fr-FR"/>
              </w:rPr>
              <w:t xml:space="preserve">Reducción espectral (dB)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–168</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–147</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–137</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jc w:val="left"/>
              <w:rPr>
                <w:lang w:val="es-ES_tradnl"/>
              </w:rPr>
            </w:pPr>
            <w:r w:rsidRPr="00B53FE2">
              <w:rPr>
                <w:lang w:val="es-ES_tradnl" w:eastAsia="fr-FR"/>
              </w:rPr>
              <w:t>Densidad espectral de potencia de la interferencia de recepción (dB(W/Hz))</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–255</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–246</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–233</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jc w:val="left"/>
              <w:rPr>
                <w:lang w:val="es-ES_tradnl"/>
              </w:rPr>
            </w:pPr>
            <w:r w:rsidRPr="00B53FE2">
              <w:rPr>
                <w:lang w:val="es-ES_tradnl" w:eastAsia="fr-FR"/>
              </w:rPr>
              <w:t>Criterio de protección en el espacio lejano (dB(W/Hz))</w:t>
            </w:r>
            <w:r w:rsidRPr="00B53FE2">
              <w:rPr>
                <w:i/>
                <w:iCs/>
                <w:lang w:val="es-ES_tradnl" w:eastAsia="fr-FR"/>
              </w:rPr>
              <w:t xml:space="preserve">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–221</w:t>
            </w:r>
          </w:p>
        </w:tc>
      </w:tr>
      <w:tr w:rsidR="00504CB5" w:rsidRPr="00B53FE2" w:rsidTr="00A36412">
        <w:trPr>
          <w:trHeight w:val="300"/>
          <w:jc w:val="center"/>
        </w:trPr>
        <w:tc>
          <w:tcPr>
            <w:tcW w:w="4902" w:type="dxa"/>
            <w:tcBorders>
              <w:top w:val="nil"/>
              <w:left w:val="single" w:sz="4" w:space="0" w:color="auto"/>
              <w:bottom w:val="single" w:sz="4" w:space="0" w:color="auto"/>
              <w:right w:val="single" w:sz="4" w:space="0" w:color="auto"/>
            </w:tcBorders>
            <w:shd w:val="clear" w:color="auto" w:fill="auto"/>
            <w:vAlign w:val="center"/>
            <w:hideMark/>
          </w:tcPr>
          <w:p w:rsidR="00504CB5" w:rsidRPr="00B53FE2" w:rsidRDefault="00504CB5" w:rsidP="00A36412">
            <w:pPr>
              <w:pStyle w:val="Tabletext"/>
              <w:jc w:val="left"/>
              <w:rPr>
                <w:lang w:val="es-ES_tradnl"/>
              </w:rPr>
            </w:pPr>
            <w:r w:rsidRPr="00B53FE2">
              <w:rPr>
                <w:lang w:val="es-ES_tradnl" w:eastAsia="fr-FR"/>
              </w:rPr>
              <w:t xml:space="preserve">Rebasamiento del criterio de protección (dB) </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–34</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–25</w:t>
            </w:r>
          </w:p>
        </w:tc>
        <w:tc>
          <w:tcPr>
            <w:tcW w:w="1201" w:type="dxa"/>
            <w:tcBorders>
              <w:top w:val="nil"/>
              <w:left w:val="nil"/>
              <w:bottom w:val="single" w:sz="4" w:space="0" w:color="auto"/>
              <w:right w:val="single" w:sz="4" w:space="0" w:color="auto"/>
            </w:tcBorders>
            <w:shd w:val="clear" w:color="auto" w:fill="auto"/>
            <w:vAlign w:val="center"/>
            <w:hideMark/>
          </w:tcPr>
          <w:p w:rsidR="00504CB5" w:rsidRPr="00B53FE2" w:rsidRDefault="00504CB5" w:rsidP="00A36412">
            <w:pPr>
              <w:pStyle w:val="Tabletext"/>
              <w:jc w:val="center"/>
              <w:rPr>
                <w:lang w:val="es-ES_tradnl"/>
              </w:rPr>
            </w:pPr>
            <w:r w:rsidRPr="00B53FE2">
              <w:rPr>
                <w:lang w:val="es-ES_tradnl" w:eastAsia="fr-FR"/>
              </w:rPr>
              <w:t>–12</w:t>
            </w:r>
          </w:p>
        </w:tc>
      </w:tr>
    </w:tbl>
    <w:p w:rsidR="00504CB5" w:rsidRPr="00B53FE2" w:rsidRDefault="00504CB5" w:rsidP="00504CB5">
      <w:pPr>
        <w:pStyle w:val="Heading2"/>
        <w:rPr>
          <w:lang w:val="es-ES_tradnl"/>
        </w:rPr>
      </w:pPr>
      <w:r w:rsidRPr="00B53FE2">
        <w:rPr>
          <w:lang w:val="es-ES_tradnl"/>
        </w:rPr>
        <w:t>4.2</w:t>
      </w:r>
      <w:r w:rsidRPr="00B53FE2">
        <w:rPr>
          <w:lang w:val="es-ES_tradnl"/>
        </w:rPr>
        <w:tab/>
        <w:t>Apuntamiento de antena</w:t>
      </w:r>
    </w:p>
    <w:p w:rsidR="00504CB5" w:rsidRPr="00B53FE2" w:rsidRDefault="00504CB5" w:rsidP="00504CB5">
      <w:pPr>
        <w:rPr>
          <w:color w:val="000000"/>
          <w:lang w:val="es-ES_tradnl"/>
        </w:rPr>
      </w:pPr>
      <w:bookmarkStart w:id="101" w:name="lt_pId442"/>
      <w:r w:rsidRPr="00B53FE2">
        <w:rPr>
          <w:lang w:val="es-ES_tradnl"/>
        </w:rPr>
        <w:t xml:space="preserve">Los tres sistemas SAR del Informe UIT-R </w:t>
      </w:r>
      <w:r w:rsidRPr="00B53FE2">
        <w:rPr>
          <w:bCs/>
          <w:lang w:val="es-ES_tradnl"/>
        </w:rPr>
        <w:t>RS.2094</w:t>
      </w:r>
      <w:r w:rsidRPr="00B53FE2">
        <w:rPr>
          <w:lang w:val="es-ES_tradnl"/>
        </w:rPr>
        <w:t xml:space="preserve"> tienen unas </w:t>
      </w:r>
      <w:r w:rsidRPr="00B53FE2">
        <w:rPr>
          <w:color w:val="000000"/>
          <w:lang w:val="es-ES_tradnl"/>
        </w:rPr>
        <w:t xml:space="preserve">antenas muy directivas. Por ejemplo, la ganancia de cresta de una antena de un sistema SAR-2 está entre 43 dBi y 46 dBi. El diagrama de antena en dirección horizontal (o acimut) cae rápidamente a </w:t>
      </w:r>
      <w:r w:rsidRPr="00B53FE2">
        <w:rPr>
          <w:lang w:val="es-ES_tradnl"/>
        </w:rPr>
        <w:t>–</w:t>
      </w:r>
      <w:r w:rsidRPr="00B53FE2">
        <w:rPr>
          <w:color w:val="000000"/>
          <w:lang w:val="es-ES_tradnl"/>
        </w:rPr>
        <w:t xml:space="preserve">3 dBi. Si el SAR-2 puede no apuntar la antena hacia las estaciones terrenas del SIE de manera que la ganancia de la antena sea </w:t>
      </w:r>
      <w:r w:rsidRPr="00B53FE2">
        <w:rPr>
          <w:lang w:val="es-ES_tradnl"/>
        </w:rPr>
        <w:t>–</w:t>
      </w:r>
      <w:r w:rsidRPr="00B53FE2">
        <w:rPr>
          <w:color w:val="000000"/>
          <w:lang w:val="es-ES_tradnl"/>
        </w:rPr>
        <w:t>3 dBi hacia las estaciones terrenas del SIE, las emisiones no deseadas del sistema SAR-2 pueden reducirse en 46 a 49 dB. Técnicas similares también funcionan en los sistemas SAR-1 y SAR-3.</w:t>
      </w:r>
    </w:p>
    <w:bookmarkEnd w:id="101"/>
    <w:p w:rsidR="00504CB5" w:rsidRPr="00B53FE2" w:rsidRDefault="00504CB5" w:rsidP="00504CB5">
      <w:pPr>
        <w:pStyle w:val="Heading2"/>
        <w:rPr>
          <w:lang w:val="es-ES_tradnl"/>
        </w:rPr>
      </w:pPr>
      <w:r w:rsidRPr="00B53FE2">
        <w:rPr>
          <w:lang w:val="es-ES_tradnl"/>
        </w:rPr>
        <w:t>4.3</w:t>
      </w:r>
      <w:r w:rsidRPr="00B53FE2">
        <w:rPr>
          <w:lang w:val="es-ES_tradnl"/>
        </w:rPr>
        <w:tab/>
        <w:t>Filtrado</w:t>
      </w:r>
    </w:p>
    <w:p w:rsidR="00504CB5" w:rsidRPr="00B53FE2" w:rsidRDefault="00504CB5" w:rsidP="00504CB5">
      <w:pPr>
        <w:rPr>
          <w:lang w:val="es-ES_tradnl"/>
        </w:rPr>
      </w:pPr>
      <w:bookmarkStart w:id="102" w:name="lt_pId449"/>
      <w:r w:rsidRPr="00B53FE2">
        <w:rPr>
          <w:lang w:val="es-ES_tradnl"/>
        </w:rPr>
        <w:t>Dependiendo de las configuraciones de los sistemas del SETS (activo), se puede incorporar filtros y guías de onda en transmisión con una frecuencia de corte con pendiente abrupta en la parte baja de la banda del SETS (activo) para limitar las emisiones no deseadas de los sistemas. Se han utilizado con éxito técnicas de filtrado en los enlaces espacio-Tierra del SETS en la banda de frecuencias 8 025</w:t>
      </w:r>
      <w:r w:rsidRPr="00B53FE2">
        <w:rPr>
          <w:lang w:val="es-ES_tradnl"/>
        </w:rPr>
        <w:noBreakHyphen/>
        <w:t>8 400 MHz con el fin de reducir las emisiones no deseadas de estos enlaces en la banda de frecuencias 8 400-8 450 MHz, en –40 dB e incluso más.</w:t>
      </w:r>
    </w:p>
    <w:p w:rsidR="00504CB5" w:rsidRPr="00B53FE2" w:rsidRDefault="00504CB5" w:rsidP="00504CB5">
      <w:pPr>
        <w:rPr>
          <w:lang w:val="es-ES_tradnl"/>
        </w:rPr>
      </w:pPr>
      <w:bookmarkStart w:id="103" w:name="lt_pId451"/>
      <w:bookmarkEnd w:id="102"/>
      <w:r w:rsidRPr="00B53FE2">
        <w:rPr>
          <w:lang w:val="es-ES_tradnl"/>
        </w:rPr>
        <w:t>Los sistemas SAR pueden utilizar sistemas de antenas en fase compuestas por varios centenares de módulos de transmisión y recepción (TR) que incluyen amplificadores de potencia. Cualquier filtrado de salida debería aplicarse en las etapas de potencia de estos módulos con el consiguiente incremento de la complejidad, el coste y las pérdidas de rendimiento del radar.</w:t>
      </w:r>
    </w:p>
    <w:p w:rsidR="00504CB5" w:rsidRPr="00B53FE2" w:rsidRDefault="00504CB5" w:rsidP="00504CB5">
      <w:pPr>
        <w:rPr>
          <w:lang w:val="es-ES_tradnl"/>
        </w:rPr>
      </w:pPr>
      <w:bookmarkStart w:id="104" w:name="lt_pId453"/>
      <w:bookmarkEnd w:id="103"/>
      <w:r w:rsidRPr="00B53FE2">
        <w:rPr>
          <w:lang w:val="es-ES_tradnl"/>
        </w:rPr>
        <w:t>Sin embargo, en caso de necesidad, se puede introducir el filtro de ranura adecuado en la cadena de transmisión para atenuar en lo posible las emisiones no deseadas del SAR, en una banda limitada.</w:t>
      </w:r>
    </w:p>
    <w:bookmarkEnd w:id="104"/>
    <w:p w:rsidR="00504CB5" w:rsidRPr="00B53FE2" w:rsidRDefault="00504CB5" w:rsidP="00504CB5">
      <w:pPr>
        <w:pStyle w:val="Heading2"/>
        <w:rPr>
          <w:lang w:val="es-ES_tradnl"/>
        </w:rPr>
      </w:pPr>
      <w:r w:rsidRPr="00B53FE2">
        <w:rPr>
          <w:lang w:val="es-ES_tradnl"/>
        </w:rPr>
        <w:t>4.4</w:t>
      </w:r>
      <w:r w:rsidRPr="00B53FE2">
        <w:rPr>
          <w:lang w:val="es-ES_tradnl"/>
        </w:rPr>
        <w:tab/>
      </w:r>
      <w:bookmarkStart w:id="105" w:name="lt_pId455"/>
      <w:r w:rsidRPr="00B53FE2">
        <w:rPr>
          <w:lang w:val="es-ES_tradnl"/>
        </w:rPr>
        <w:t>Selección de la frecuencia de barrido y de la anchura de impulso</w:t>
      </w:r>
      <w:bookmarkEnd w:id="105"/>
    </w:p>
    <w:p w:rsidR="00504CB5" w:rsidRPr="00B53FE2" w:rsidRDefault="00504CB5" w:rsidP="00504CB5">
      <w:pPr>
        <w:rPr>
          <w:lang w:val="es-ES_tradnl"/>
        </w:rPr>
      </w:pPr>
      <w:bookmarkStart w:id="106" w:name="lt_pId456"/>
      <w:r w:rsidRPr="00B53FE2">
        <w:rPr>
          <w:lang w:val="es-ES_tradnl"/>
        </w:rPr>
        <w:t xml:space="preserve">La disminución espectral de las emisiones no deseadas para un radar LFM depende de la frecuencia de barrido y de la anchura de impulso de la señal chirp LFM. La emisión no deseada aumenta cuando se incrementa la frecuencia de barrido del chirp. También aumenta cuando disminuye la anchura del impulso del chirp. Puede ser posible para el operador de un SETS (activo) variar la frecuencia de barrido y la anchura del impulso del radar para reducir las emisiones no deseadas, particularmente </w:t>
      </w:r>
      <w:r w:rsidRPr="00B53FE2">
        <w:rPr>
          <w:lang w:val="es-ES_tradnl"/>
        </w:rPr>
        <w:lastRenderedPageBreak/>
        <w:t>cuando la antena del SETS (activo) apunta cerca de la estación terrena del SIE (espacio lejano). La eficacia de estas técnicas es limitada. Pueden reducir las emisiones no deseadas de un sistema SETS (activo) solo en unos pocos decibelios.</w:t>
      </w:r>
    </w:p>
    <w:bookmarkEnd w:id="106"/>
    <w:p w:rsidR="00504CB5" w:rsidRPr="00B53FE2" w:rsidRDefault="00504CB5" w:rsidP="00504CB5">
      <w:pPr>
        <w:pStyle w:val="Heading2"/>
        <w:rPr>
          <w:lang w:val="es-ES_tradnl"/>
        </w:rPr>
      </w:pPr>
      <w:r w:rsidRPr="00B53FE2">
        <w:rPr>
          <w:lang w:val="es-ES_tradnl"/>
        </w:rPr>
        <w:t>4.5</w:t>
      </w:r>
      <w:r w:rsidRPr="00B53FE2">
        <w:rPr>
          <w:lang w:val="es-ES_tradnl"/>
        </w:rPr>
        <w:tab/>
      </w:r>
      <w:bookmarkStart w:id="107" w:name="lt_pId463"/>
      <w:r w:rsidRPr="00B53FE2">
        <w:rPr>
          <w:lang w:val="es-ES_tradnl"/>
        </w:rPr>
        <w:t>Separación geográfica</w:t>
      </w:r>
      <w:bookmarkEnd w:id="107"/>
    </w:p>
    <w:p w:rsidR="00504CB5" w:rsidRPr="00B53FE2" w:rsidRDefault="00504CB5" w:rsidP="00504CB5">
      <w:pPr>
        <w:rPr>
          <w:lang w:val="es-ES_tradnl"/>
        </w:rPr>
      </w:pPr>
      <w:bookmarkStart w:id="108" w:name="lt_pId464"/>
      <w:r w:rsidRPr="00B53FE2">
        <w:rPr>
          <w:lang w:val="es-ES_tradnl"/>
        </w:rPr>
        <w:t xml:space="preserve">También es posible reducir la interferencia de los sistemas SETS (activo) mediante la separación geográfica. Los sistemas SETS (activo) pueden respetar una distancia oblicua mínima a la estación terrena del SIE utilizando la información de la Recomendación </w:t>
      </w:r>
      <w:bookmarkStart w:id="109" w:name="lt_pId465"/>
      <w:bookmarkEnd w:id="108"/>
      <w:r w:rsidRPr="00B53FE2">
        <w:rPr>
          <w:lang w:val="es-ES_tradnl"/>
        </w:rPr>
        <w:t xml:space="preserve">UIT-R </w:t>
      </w:r>
      <w:r w:rsidRPr="00B53FE2">
        <w:rPr>
          <w:bCs/>
          <w:lang w:val="es-ES_tradnl"/>
        </w:rPr>
        <w:t>SA.1014</w:t>
      </w:r>
      <w:r w:rsidRPr="00B53FE2">
        <w:rPr>
          <w:lang w:val="es-ES_tradnl"/>
        </w:rPr>
        <w:t xml:space="preserve"> para mantener una perdida en espacio libre mínima, creando una zona de exclusión. Llevado al extremo, los sistemas SETS (activo) pueden evitar la transmisión cuando existe línea de visibilidad directa entre los sistemas SETS (activo) y una de las estaciones terrenas del SIE.</w:t>
      </w:r>
    </w:p>
    <w:p w:rsidR="00504CB5" w:rsidRPr="00B53FE2" w:rsidRDefault="00504CB5" w:rsidP="00504CB5">
      <w:pPr>
        <w:pStyle w:val="Reasons"/>
        <w:rPr>
          <w:lang w:val="es-ES_tradnl"/>
        </w:rPr>
      </w:pPr>
    </w:p>
    <w:p w:rsidR="00504CB5" w:rsidRPr="00B53FE2" w:rsidRDefault="00504CB5" w:rsidP="00504CB5">
      <w:pPr>
        <w:jc w:val="center"/>
        <w:rPr>
          <w:lang w:val="es-ES_tradnl"/>
        </w:rPr>
      </w:pPr>
      <w:r w:rsidRPr="00B53FE2">
        <w:rPr>
          <w:lang w:val="es-ES_tradnl"/>
        </w:rPr>
        <w:t>______________</w:t>
      </w:r>
    </w:p>
    <w:p w:rsidR="0059484B" w:rsidRPr="0059484B" w:rsidRDefault="0059484B" w:rsidP="0059484B">
      <w:pPr>
        <w:rPr>
          <w:lang w:val="es-ES_tradnl"/>
        </w:rPr>
      </w:pPr>
      <w:bookmarkStart w:id="110" w:name="_GoBack"/>
      <w:bookmarkEnd w:id="109"/>
      <w:bookmarkEnd w:id="110"/>
    </w:p>
    <w:sectPr w:rsidR="0059484B" w:rsidRPr="0059484B" w:rsidSect="009100BD">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AE" w:rsidRDefault="009E6FAE">
      <w:r>
        <w:separator/>
      </w:r>
    </w:p>
  </w:endnote>
  <w:endnote w:type="continuationSeparator" w:id="0">
    <w:p w:rsidR="009E6FAE" w:rsidRDefault="009E6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Normal">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AE" w:rsidRDefault="009E6FAE">
      <w:r>
        <w:separator/>
      </w:r>
    </w:p>
  </w:footnote>
  <w:footnote w:type="continuationSeparator" w:id="0">
    <w:p w:rsidR="009E6FAE" w:rsidRDefault="009E6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E" w:rsidRDefault="009E6FA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E" w:rsidRDefault="009E6FAE" w:rsidP="00D62884">
    <w:pPr>
      <w:pStyle w:val="Header"/>
      <w:ind w:right="360" w:firstLine="360"/>
    </w:pPr>
    <w:r>
      <w:rPr>
        <w:noProof/>
        <w:lang w:val="en-US" w:eastAsia="zh-CN"/>
      </w:rPr>
      <w:drawing>
        <wp:anchor distT="0" distB="0" distL="114300" distR="114300" simplePos="0" relativeHeight="251659264" behindDoc="1" locked="0" layoutInCell="1" allowOverlap="1" wp14:anchorId="7E6B9457" wp14:editId="0026BFA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E" w:rsidRDefault="009E6FAE"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7E4E41">
      <w:rPr>
        <w:rStyle w:val="PageNumber"/>
        <w:b/>
        <w:bCs/>
        <w:noProof/>
      </w:rPr>
      <w:t>ii</w:t>
    </w:r>
    <w:r>
      <w:rPr>
        <w:rStyle w:val="PageNumber"/>
        <w:b/>
        <w:bCs/>
      </w:rPr>
      <w:fldChar w:fldCharType="end"/>
    </w:r>
    <w:r>
      <w:tab/>
    </w:r>
    <w:r w:rsidR="007E4E41">
      <w:fldChar w:fldCharType="begin"/>
    </w:r>
    <w:r w:rsidR="007E4E41">
      <w:instrText xml:space="preserve"> DOCPROPERTY "Header" \* MERGEFORMAT </w:instrText>
    </w:r>
    <w:r w:rsidR="007E4E41">
      <w:fldChar w:fldCharType="separate"/>
    </w:r>
    <w:r w:rsidR="007E4E41" w:rsidRPr="007E4E41">
      <w:rPr>
        <w:b/>
        <w:bCs/>
        <w:lang w:val="en-US"/>
      </w:rPr>
      <w:t xml:space="preserve">Rec. </w:t>
    </w:r>
    <w:r w:rsidR="007E4E41">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7E4E41">
      <w:rPr>
        <w:b/>
        <w:bCs/>
        <w:noProof/>
      </w:rPr>
      <w:t>UIT-R  RS.2065-0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FAE" w:rsidRDefault="009E6FAE">
    <w:pPr>
      <w:pStyle w:val="Header"/>
    </w:pPr>
    <w:r>
      <w:tab/>
    </w:r>
    <w:r w:rsidR="007E4E41">
      <w:fldChar w:fldCharType="begin"/>
    </w:r>
    <w:r w:rsidR="007E4E41">
      <w:instrText xml:space="preserve"> DOCPROPERTY "Header" \* MERGEFORMAT </w:instrText>
    </w:r>
    <w:r w:rsidR="007E4E41">
      <w:fldChar w:fldCharType="separate"/>
    </w:r>
    <w:r w:rsidR="007E4E41" w:rsidRPr="007E4E41">
      <w:rPr>
        <w:lang w:val="en-US"/>
      </w:rPr>
      <w:t xml:space="preserve">Rec. </w:t>
    </w:r>
    <w:r w:rsidR="007E4E41">
      <w:rPr>
        <w:lang w:val="en-US"/>
      </w:rPr>
      <w:fldChar w:fldCharType="end"/>
    </w:r>
    <w:r>
      <w:rPr>
        <w:b/>
        <w:bCs/>
      </w:rPr>
      <w:t xml:space="preserve">  </w:t>
    </w:r>
    <w:r>
      <w:rPr>
        <w:b/>
        <w:bCs/>
      </w:rPr>
      <w:fldChar w:fldCharType="begin"/>
    </w:r>
    <w:r>
      <w:rPr>
        <w:b/>
        <w:bCs/>
      </w:rPr>
      <w:instrText>styleref href</w:instrText>
    </w:r>
    <w:r>
      <w:rPr>
        <w:b/>
        <w:bCs/>
      </w:rPr>
      <w:fldChar w:fldCharType="separate"/>
    </w:r>
    <w:r w:rsidR="007E4E41">
      <w:rPr>
        <w:b/>
        <w:bCs/>
        <w:noProof/>
      </w:rPr>
      <w:t>UIT-R  RS.2065-0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E4E41">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E4E41" w:rsidRPr="007E4E4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E4E41">
      <w:rPr>
        <w:b/>
        <w:bCs/>
        <w:noProof/>
      </w:rPr>
      <w:t>UIT-R  RS.2065-0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7E4E41">
      <w:fldChar w:fldCharType="begin"/>
    </w:r>
    <w:r w:rsidR="007E4E41">
      <w:instrText xml:space="preserve"> DOCPROPERTY "Header" \* MERGEFORMAT </w:instrText>
    </w:r>
    <w:r w:rsidR="007E4E41">
      <w:fldChar w:fldCharType="separate"/>
    </w:r>
    <w:r w:rsidR="007E4E41" w:rsidRPr="007E4E41">
      <w:rPr>
        <w:b/>
        <w:bCs/>
      </w:rPr>
      <w:t xml:space="preserve">Rec. </w:t>
    </w:r>
    <w:r w:rsidR="007E4E41">
      <w:rPr>
        <w:b/>
        <w:bCs/>
      </w:rPr>
      <w:fldChar w:fldCharType="end"/>
    </w:r>
    <w:r>
      <w:rPr>
        <w:b/>
        <w:bCs/>
      </w:rPr>
      <w:t xml:space="preserve"> </w:t>
    </w:r>
    <w:r>
      <w:rPr>
        <w:b/>
        <w:bCs/>
      </w:rPr>
      <w:fldChar w:fldCharType="begin"/>
    </w:r>
    <w:r>
      <w:rPr>
        <w:b/>
        <w:bCs/>
      </w:rPr>
      <w:instrText>styleref href</w:instrText>
    </w:r>
    <w:r>
      <w:rPr>
        <w:b/>
        <w:bCs/>
      </w:rPr>
      <w:fldChar w:fldCharType="separate"/>
    </w:r>
    <w:r w:rsidR="007E4E41">
      <w:rPr>
        <w:b/>
        <w:bCs/>
        <w:noProof/>
      </w:rPr>
      <w:t>UIT-R  RS.2065-0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E4E41">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FAE"/>
    <w:rsid w:val="00003929"/>
    <w:rsid w:val="00106226"/>
    <w:rsid w:val="00217EBF"/>
    <w:rsid w:val="00242AEE"/>
    <w:rsid w:val="002D76C4"/>
    <w:rsid w:val="00504CB5"/>
    <w:rsid w:val="0052529D"/>
    <w:rsid w:val="005500F0"/>
    <w:rsid w:val="005626D0"/>
    <w:rsid w:val="0059484B"/>
    <w:rsid w:val="00607D68"/>
    <w:rsid w:val="007468DA"/>
    <w:rsid w:val="007E4189"/>
    <w:rsid w:val="007E4E41"/>
    <w:rsid w:val="008548B4"/>
    <w:rsid w:val="009100BD"/>
    <w:rsid w:val="009A4F63"/>
    <w:rsid w:val="009E00A8"/>
    <w:rsid w:val="009E6FAE"/>
    <w:rsid w:val="00A6617B"/>
    <w:rsid w:val="00AB0DC8"/>
    <w:rsid w:val="00B44E24"/>
    <w:rsid w:val="00D906F4"/>
    <w:rsid w:val="00DF4176"/>
    <w:rsid w:val="00F440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841CA54-60FB-4585-AC72-4E16076C0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F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9E6FAE"/>
    <w:rPr>
      <w:color w:val="0000FF"/>
      <w:u w:val="single"/>
    </w:rPr>
  </w:style>
  <w:style w:type="table" w:styleId="TableGrid">
    <w:name w:val="Table Grid"/>
    <w:basedOn w:val="TableNormal"/>
    <w:rsid w:val="009E6FA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04CB5"/>
    <w:rPr>
      <w:b/>
      <w:sz w:val="24"/>
      <w:lang w:val="fr-FR" w:eastAsia="en-US"/>
    </w:rPr>
  </w:style>
  <w:style w:type="character" w:customStyle="1" w:styleId="Heading2Char">
    <w:name w:val="Heading 2 Char"/>
    <w:basedOn w:val="DefaultParagraphFont"/>
    <w:link w:val="Heading2"/>
    <w:rsid w:val="00504CB5"/>
    <w:rPr>
      <w:b/>
      <w:sz w:val="24"/>
      <w:lang w:val="fr-FR" w:eastAsia="en-US"/>
    </w:rPr>
  </w:style>
  <w:style w:type="character" w:customStyle="1" w:styleId="TableNoChar">
    <w:name w:val="Table_No Char"/>
    <w:basedOn w:val="DefaultParagraphFont"/>
    <w:link w:val="TableNo"/>
    <w:rsid w:val="00504CB5"/>
    <w:rPr>
      <w:sz w:val="24"/>
      <w:lang w:val="fr-FR" w:eastAsia="en-US"/>
    </w:rPr>
  </w:style>
  <w:style w:type="character" w:customStyle="1" w:styleId="TabletitleChar">
    <w:name w:val="Table_title Char"/>
    <w:basedOn w:val="DefaultParagraphFont"/>
    <w:link w:val="Tabletitle"/>
    <w:rsid w:val="00504CB5"/>
    <w:rPr>
      <w:b/>
      <w:sz w:val="24"/>
      <w:lang w:val="fr-FR" w:eastAsia="en-US"/>
    </w:rPr>
  </w:style>
  <w:style w:type="character" w:customStyle="1" w:styleId="RectitleChar">
    <w:name w:val="Rec_title Char"/>
    <w:link w:val="Rectitle"/>
    <w:rsid w:val="00504CB5"/>
    <w:rPr>
      <w:b/>
      <w:sz w:val="28"/>
      <w:lang w:val="fr-FR" w:eastAsia="en-US"/>
    </w:rPr>
  </w:style>
  <w:style w:type="character" w:customStyle="1" w:styleId="CallChar">
    <w:name w:val="Call Char"/>
    <w:link w:val="Call"/>
    <w:locked/>
    <w:rsid w:val="00504CB5"/>
    <w:rPr>
      <w:i/>
      <w:sz w:val="24"/>
      <w:lang w:val="fr-FR" w:eastAsia="en-US"/>
    </w:rPr>
  </w:style>
  <w:style w:type="character" w:customStyle="1" w:styleId="TabletextChar">
    <w:name w:val="Table_text Char"/>
    <w:basedOn w:val="DefaultParagraphFont"/>
    <w:link w:val="Tabletext"/>
    <w:locked/>
    <w:rsid w:val="00504CB5"/>
    <w:rPr>
      <w:sz w:val="22"/>
      <w:lang w:val="fr-FR" w:eastAsia="en-US"/>
    </w:rPr>
  </w:style>
  <w:style w:type="character" w:customStyle="1" w:styleId="TableheadChar">
    <w:name w:val="Table_head Char"/>
    <w:basedOn w:val="DefaultParagraphFont"/>
    <w:link w:val="Tablehead"/>
    <w:locked/>
    <w:rsid w:val="00504CB5"/>
    <w:rPr>
      <w:b/>
      <w:sz w:val="22"/>
      <w:lang w:val="fr-FR" w:eastAsia="en-US"/>
    </w:rPr>
  </w:style>
  <w:style w:type="character" w:customStyle="1" w:styleId="enumlev1Char">
    <w:name w:val="enumlev1 Char"/>
    <w:basedOn w:val="DefaultParagraphFont"/>
    <w:link w:val="enumlev1"/>
    <w:rsid w:val="00504CB5"/>
    <w:rPr>
      <w:sz w:val="24"/>
      <w:lang w:val="fr-FR" w:eastAsia="en-US"/>
    </w:rPr>
  </w:style>
  <w:style w:type="paragraph" w:customStyle="1" w:styleId="Reasons">
    <w:name w:val="Reasons"/>
    <w:basedOn w:val="Normal"/>
    <w:qFormat/>
    <w:rsid w:val="00504CB5"/>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124</TotalTime>
  <Pages>11</Pages>
  <Words>4049</Words>
  <Characters>21393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2016-01-14T12:31:00Z</cp:lastPrinted>
  <dcterms:created xsi:type="dcterms:W3CDTF">2016-01-13T09:10:00Z</dcterms:created>
  <dcterms:modified xsi:type="dcterms:W3CDTF">2016-01-14T12:31:00Z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