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716E" w14:textId="77777777" w:rsidR="003B14C2" w:rsidRDefault="003B14C2" w:rsidP="003B14C2"/>
    <w:p w14:paraId="69923CA9" w14:textId="77777777" w:rsidR="003B14C2" w:rsidRDefault="003B14C2" w:rsidP="003B14C2">
      <w:pPr>
        <w:tabs>
          <w:tab w:val="clear" w:pos="794"/>
          <w:tab w:val="clear" w:pos="1191"/>
          <w:tab w:val="clear" w:pos="1588"/>
          <w:tab w:val="clear" w:pos="1985"/>
        </w:tabs>
      </w:pPr>
    </w:p>
    <w:p w14:paraId="2A2E05F9" w14:textId="21E7C770" w:rsidR="003B14C2" w:rsidRPr="00110326" w:rsidRDefault="003B14C2" w:rsidP="003B14C2">
      <w:pPr>
        <w:pStyle w:val="CoverNumber"/>
        <w:rPr>
          <w:lang w:val="en-GB"/>
        </w:rPr>
      </w:pPr>
      <w:r w:rsidRPr="00110326">
        <w:rPr>
          <w:lang w:val="en-GB"/>
        </w:rPr>
        <w:t>Recommendation ITU-R RS.2165-0</w:t>
      </w:r>
    </w:p>
    <w:p w14:paraId="42A7EE7C" w14:textId="680080A1" w:rsidR="003B14C2" w:rsidRPr="00110326" w:rsidRDefault="003B14C2" w:rsidP="003B14C2">
      <w:pPr>
        <w:pStyle w:val="CoverDate"/>
        <w:rPr>
          <w:lang w:val="en-GB"/>
        </w:rPr>
      </w:pPr>
      <w:r w:rsidRPr="00110326">
        <w:rPr>
          <w:lang w:val="en-GB"/>
        </w:rPr>
        <w:t>(12/2023)</w:t>
      </w:r>
    </w:p>
    <w:p w14:paraId="3F74DA65" w14:textId="77777777" w:rsidR="003B14C2" w:rsidRPr="004A6FEB" w:rsidRDefault="003B14C2" w:rsidP="003B14C2">
      <w:pPr>
        <w:pStyle w:val="CoverSeries"/>
      </w:pPr>
      <w:r>
        <w:t>RS</w:t>
      </w:r>
      <w:r w:rsidRPr="00A86DD2">
        <w:t xml:space="preserve"> </w:t>
      </w:r>
      <w:r w:rsidRPr="004A6FEB">
        <w:t>Series:</w:t>
      </w:r>
      <w:r w:rsidRPr="00A86DD2">
        <w:t xml:space="preserve"> </w:t>
      </w:r>
      <w:r w:rsidRPr="003B14C2">
        <w:rPr>
          <w:bCs w:val="0"/>
          <w:lang w:val="en-GB"/>
        </w:rPr>
        <w:t>Remote sensing systems</w:t>
      </w:r>
    </w:p>
    <w:p w14:paraId="00EB3C3F" w14:textId="352D01AE" w:rsidR="003B14C2" w:rsidRPr="004A6FEB" w:rsidRDefault="003B14C2" w:rsidP="003B14C2">
      <w:pPr>
        <w:pStyle w:val="CoverTitle"/>
      </w:pPr>
      <w:bookmarkStart w:id="0" w:name="_Hlk102655955"/>
      <w:r w:rsidRPr="003B14C2">
        <w:rPr>
          <w:lang w:val="en-GB"/>
        </w:rPr>
        <w:t>Evaluation of the potential for pulsed interference from planned and future spaceborne synthetic aperture radar sensors in the earth exploration-satellite (active) service to radionavigation-satellite service receivers in the 1 215-1 300 MHz band</w:t>
      </w:r>
      <w:bookmarkEnd w:id="0"/>
    </w:p>
    <w:p w14:paraId="5B72F169" w14:textId="77777777" w:rsidR="003B14C2" w:rsidRPr="005373E0" w:rsidRDefault="003B14C2" w:rsidP="003B14C2">
      <w:pPr>
        <w:rPr>
          <w:lang w:val="en-US"/>
        </w:rPr>
      </w:pPr>
    </w:p>
    <w:p w14:paraId="63A42FA5" w14:textId="77777777" w:rsidR="003B14C2" w:rsidRPr="005373E0" w:rsidRDefault="003B14C2" w:rsidP="003B14C2"/>
    <w:p w14:paraId="2CC4C4D4" w14:textId="77777777" w:rsidR="003B14C2" w:rsidRPr="005373E0" w:rsidRDefault="003B14C2" w:rsidP="003B14C2">
      <w:pPr>
        <w:sectPr w:rsidR="003B14C2" w:rsidRPr="005373E0" w:rsidSect="0027411A">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13BFC479" w14:textId="77777777" w:rsidR="003B14C2" w:rsidRPr="00586EF8" w:rsidRDefault="003B14C2" w:rsidP="003B14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1" w:name="c2tope"/>
      <w:bookmarkEnd w:id="1"/>
      <w:r w:rsidRPr="00586EF8">
        <w:rPr>
          <w:bCs/>
          <w:sz w:val="24"/>
          <w:szCs w:val="24"/>
          <w:lang w:val="en-US"/>
        </w:rPr>
        <w:lastRenderedPageBreak/>
        <w:t>Foreword</w:t>
      </w:r>
    </w:p>
    <w:p w14:paraId="3EE10610" w14:textId="77777777" w:rsidR="003B14C2" w:rsidRDefault="003B14C2" w:rsidP="003B14C2">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59B25ED1" w14:textId="77777777" w:rsidR="003B14C2" w:rsidRDefault="003B14C2" w:rsidP="003B14C2">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AEC4AF3" w14:textId="77777777" w:rsidR="003B14C2" w:rsidRPr="00B714F3" w:rsidRDefault="003B14C2" w:rsidP="003B14C2">
      <w:pPr>
        <w:pStyle w:val="Heading1"/>
        <w:spacing w:before="680"/>
        <w:jc w:val="center"/>
        <w:rPr>
          <w:szCs w:val="24"/>
          <w:lang w:val="en-US"/>
        </w:rPr>
      </w:pPr>
      <w:r w:rsidRPr="00B714F3">
        <w:rPr>
          <w:szCs w:val="24"/>
          <w:lang w:val="en-US"/>
        </w:rPr>
        <w:t>Policy on Intellectual Property Right (IPR)</w:t>
      </w:r>
    </w:p>
    <w:p w14:paraId="460409A5" w14:textId="77777777" w:rsidR="003B14C2" w:rsidRPr="00B714F3" w:rsidRDefault="003B14C2" w:rsidP="003B14C2">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9"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23F2CFB7" w14:textId="77777777" w:rsidR="003B14C2" w:rsidRDefault="003B14C2" w:rsidP="003B14C2">
      <w:pPr>
        <w:jc w:val="center"/>
        <w:rPr>
          <w:sz w:val="22"/>
          <w:lang w:val="en-US"/>
        </w:rPr>
      </w:pPr>
    </w:p>
    <w:p w14:paraId="351771FA" w14:textId="77777777" w:rsidR="003B14C2" w:rsidRDefault="003B14C2" w:rsidP="003B14C2">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3B14C2" w:rsidRPr="00576D47" w14:paraId="49C9F655" w14:textId="77777777" w:rsidTr="00681BA8">
        <w:tc>
          <w:tcPr>
            <w:tcW w:w="9360" w:type="dxa"/>
            <w:gridSpan w:val="2"/>
          </w:tcPr>
          <w:p w14:paraId="5F7C5D22" w14:textId="77777777" w:rsidR="003B14C2" w:rsidRPr="00036EE3" w:rsidRDefault="003B14C2" w:rsidP="00681BA8">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410DCEF9" w14:textId="77777777" w:rsidR="003B14C2" w:rsidRPr="00036EE3"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0" w:history="1">
              <w:r w:rsidRPr="00590EE8">
                <w:rPr>
                  <w:rStyle w:val="Hyperlink"/>
                  <w:b w:val="0"/>
                  <w:sz w:val="18"/>
                  <w:szCs w:val="18"/>
                  <w:lang w:val="en-US"/>
                </w:rPr>
                <w:t>https://www.itu.int/publ/R-REC/en</w:t>
              </w:r>
            </w:hyperlink>
            <w:r w:rsidRPr="00CE0A43">
              <w:rPr>
                <w:b w:val="0"/>
                <w:sz w:val="18"/>
                <w:szCs w:val="18"/>
                <w:lang w:val="en-US"/>
              </w:rPr>
              <w:t>)</w:t>
            </w:r>
          </w:p>
        </w:tc>
      </w:tr>
      <w:tr w:rsidR="003B14C2" w:rsidRPr="00036EE3" w14:paraId="2F58F21E" w14:textId="77777777" w:rsidTr="00681BA8">
        <w:tc>
          <w:tcPr>
            <w:tcW w:w="1140" w:type="dxa"/>
            <w:tcBorders>
              <w:bottom w:val="nil"/>
            </w:tcBorders>
            <w:vAlign w:val="bottom"/>
          </w:tcPr>
          <w:p w14:paraId="63FBE67B" w14:textId="77777777" w:rsidR="003B14C2" w:rsidRPr="00036EE3" w:rsidRDefault="003B14C2" w:rsidP="00681BA8">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51C5E116" w14:textId="77777777" w:rsidR="003B14C2" w:rsidRPr="00036EE3"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3B14C2" w:rsidRPr="00F92A40" w14:paraId="467EFB20" w14:textId="77777777" w:rsidTr="00681BA8">
        <w:tc>
          <w:tcPr>
            <w:tcW w:w="1140" w:type="dxa"/>
            <w:tcBorders>
              <w:top w:val="nil"/>
              <w:bottom w:val="nil"/>
            </w:tcBorders>
            <w:shd w:val="clear" w:color="auto" w:fill="auto"/>
          </w:tcPr>
          <w:p w14:paraId="024D3CAC" w14:textId="77777777" w:rsidR="003B14C2" w:rsidRPr="00F92A40" w:rsidRDefault="003B14C2" w:rsidP="00681BA8">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681D48CE" w14:textId="77777777" w:rsidR="003B14C2" w:rsidRPr="00F92A40"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3B14C2" w:rsidRPr="00576D47" w14:paraId="6B715AFD" w14:textId="77777777" w:rsidTr="00681BA8">
        <w:tc>
          <w:tcPr>
            <w:tcW w:w="1140" w:type="dxa"/>
            <w:tcBorders>
              <w:top w:val="nil"/>
            </w:tcBorders>
            <w:shd w:val="clear" w:color="auto" w:fill="FFFFFF" w:themeFill="background1"/>
          </w:tcPr>
          <w:p w14:paraId="1074E7E0" w14:textId="77777777" w:rsidR="003B14C2" w:rsidRPr="00B51DD9" w:rsidRDefault="003B14C2" w:rsidP="00681BA8">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6FF02968" w14:textId="77777777" w:rsidR="003B14C2" w:rsidRPr="00B51DD9"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3B14C2" w:rsidRPr="00036EE3" w14:paraId="44E69BE3" w14:textId="77777777" w:rsidTr="00681BA8">
        <w:tc>
          <w:tcPr>
            <w:tcW w:w="1140" w:type="dxa"/>
          </w:tcPr>
          <w:p w14:paraId="76BC7E70" w14:textId="77777777" w:rsidR="003B14C2" w:rsidRPr="00036EE3" w:rsidRDefault="003B14C2" w:rsidP="00681BA8">
            <w:pPr>
              <w:spacing w:before="30" w:after="30"/>
              <w:ind w:left="57"/>
              <w:jc w:val="left"/>
              <w:rPr>
                <w:b/>
                <w:bCs/>
                <w:sz w:val="20"/>
                <w:lang w:val="en-US"/>
              </w:rPr>
            </w:pPr>
            <w:r w:rsidRPr="00036EE3">
              <w:rPr>
                <w:b/>
                <w:bCs/>
                <w:sz w:val="20"/>
                <w:lang w:val="en-US"/>
              </w:rPr>
              <w:t>BS</w:t>
            </w:r>
          </w:p>
        </w:tc>
        <w:tc>
          <w:tcPr>
            <w:tcW w:w="8220" w:type="dxa"/>
          </w:tcPr>
          <w:p w14:paraId="384B897F" w14:textId="77777777" w:rsidR="003B14C2" w:rsidRPr="00036EE3"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3B14C2" w:rsidRPr="00ED2695" w14:paraId="51117079" w14:textId="77777777" w:rsidTr="00681BA8">
        <w:tc>
          <w:tcPr>
            <w:tcW w:w="1140" w:type="dxa"/>
            <w:shd w:val="clear" w:color="auto" w:fill="auto"/>
          </w:tcPr>
          <w:p w14:paraId="5DF729A2" w14:textId="77777777" w:rsidR="003B14C2" w:rsidRPr="00ED2695" w:rsidRDefault="003B14C2" w:rsidP="00681BA8">
            <w:pPr>
              <w:spacing w:before="30" w:after="30"/>
              <w:ind w:left="57"/>
              <w:jc w:val="left"/>
              <w:rPr>
                <w:b/>
                <w:bCs/>
                <w:sz w:val="20"/>
                <w:lang w:val="en-US"/>
              </w:rPr>
            </w:pPr>
            <w:r w:rsidRPr="00ED2695">
              <w:rPr>
                <w:b/>
                <w:bCs/>
                <w:sz w:val="20"/>
                <w:lang w:val="en-US"/>
              </w:rPr>
              <w:t>BT</w:t>
            </w:r>
          </w:p>
        </w:tc>
        <w:tc>
          <w:tcPr>
            <w:tcW w:w="8220" w:type="dxa"/>
            <w:shd w:val="clear" w:color="auto" w:fill="auto"/>
          </w:tcPr>
          <w:p w14:paraId="6E050158" w14:textId="77777777" w:rsidR="003B14C2" w:rsidRPr="00ED2695"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3B14C2" w:rsidRPr="00036EE3" w14:paraId="1DE75FCD" w14:textId="77777777" w:rsidTr="00681BA8">
        <w:tc>
          <w:tcPr>
            <w:tcW w:w="1140" w:type="dxa"/>
            <w:shd w:val="clear" w:color="auto" w:fill="auto"/>
          </w:tcPr>
          <w:p w14:paraId="2514B431" w14:textId="77777777" w:rsidR="003B14C2" w:rsidRPr="00036EE3" w:rsidRDefault="003B14C2" w:rsidP="00681BA8">
            <w:pPr>
              <w:spacing w:before="30" w:after="30"/>
              <w:ind w:left="57"/>
              <w:jc w:val="left"/>
              <w:rPr>
                <w:b/>
                <w:bCs/>
                <w:sz w:val="20"/>
                <w:lang w:val="fr-CH"/>
              </w:rPr>
            </w:pPr>
            <w:r w:rsidRPr="00036EE3">
              <w:rPr>
                <w:b/>
                <w:bCs/>
                <w:sz w:val="20"/>
                <w:lang w:val="fr-CH"/>
              </w:rPr>
              <w:t>F</w:t>
            </w:r>
          </w:p>
        </w:tc>
        <w:tc>
          <w:tcPr>
            <w:tcW w:w="8220" w:type="dxa"/>
            <w:shd w:val="clear" w:color="auto" w:fill="auto"/>
          </w:tcPr>
          <w:p w14:paraId="2651744C" w14:textId="77777777" w:rsidR="003B14C2" w:rsidRPr="00036EE3" w:rsidRDefault="003B14C2" w:rsidP="00681B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3B14C2" w:rsidRPr="00512A4E" w14:paraId="1D0E1663" w14:textId="77777777" w:rsidTr="00681BA8">
        <w:tc>
          <w:tcPr>
            <w:tcW w:w="1140" w:type="dxa"/>
            <w:shd w:val="clear" w:color="auto" w:fill="FFFFFF" w:themeFill="background1"/>
          </w:tcPr>
          <w:p w14:paraId="50530D4B" w14:textId="77777777" w:rsidR="003B14C2" w:rsidRPr="00512A4E" w:rsidRDefault="003B14C2" w:rsidP="00681BA8">
            <w:pPr>
              <w:spacing w:before="30" w:after="30"/>
              <w:ind w:left="57"/>
              <w:jc w:val="left"/>
              <w:rPr>
                <w:b/>
                <w:bCs/>
                <w:sz w:val="20"/>
                <w:lang w:val="en-US"/>
              </w:rPr>
            </w:pPr>
            <w:r w:rsidRPr="00512A4E">
              <w:rPr>
                <w:b/>
                <w:bCs/>
                <w:sz w:val="20"/>
                <w:lang w:val="en-US"/>
              </w:rPr>
              <w:t>M</w:t>
            </w:r>
          </w:p>
        </w:tc>
        <w:tc>
          <w:tcPr>
            <w:tcW w:w="8220" w:type="dxa"/>
            <w:shd w:val="clear" w:color="auto" w:fill="FFFFFF" w:themeFill="background1"/>
          </w:tcPr>
          <w:p w14:paraId="1D31DD93" w14:textId="77777777" w:rsidR="003B14C2" w:rsidRPr="00B0442F"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B0442F">
              <w:rPr>
                <w:b w:val="0"/>
                <w:bCs/>
                <w:sz w:val="20"/>
                <w:lang w:val="en-US"/>
              </w:rPr>
              <w:t>Mobile, radiodetermination, amateur and related satellite services</w:t>
            </w:r>
          </w:p>
        </w:tc>
      </w:tr>
      <w:tr w:rsidR="003B14C2" w:rsidRPr="00512A4E" w14:paraId="478F7914" w14:textId="77777777" w:rsidTr="00681BA8">
        <w:tc>
          <w:tcPr>
            <w:tcW w:w="1140" w:type="dxa"/>
            <w:shd w:val="clear" w:color="auto" w:fill="FFFFFF" w:themeFill="background1"/>
          </w:tcPr>
          <w:p w14:paraId="407DA078" w14:textId="77777777" w:rsidR="003B14C2" w:rsidRPr="00E830F9" w:rsidRDefault="003B14C2" w:rsidP="00681BA8">
            <w:pPr>
              <w:spacing w:before="30" w:after="30"/>
              <w:ind w:left="57"/>
              <w:jc w:val="left"/>
              <w:rPr>
                <w:b/>
                <w:bCs/>
                <w:sz w:val="20"/>
                <w:lang w:val="en-US"/>
              </w:rPr>
            </w:pPr>
            <w:r w:rsidRPr="00E830F9">
              <w:rPr>
                <w:b/>
                <w:bCs/>
                <w:sz w:val="20"/>
                <w:lang w:val="en-US"/>
              </w:rPr>
              <w:t>P</w:t>
            </w:r>
          </w:p>
        </w:tc>
        <w:tc>
          <w:tcPr>
            <w:tcW w:w="8220" w:type="dxa"/>
            <w:shd w:val="clear" w:color="auto" w:fill="FFFFFF" w:themeFill="background1"/>
          </w:tcPr>
          <w:p w14:paraId="2E81E087" w14:textId="77777777" w:rsidR="003B14C2" w:rsidRPr="00512A4E" w:rsidRDefault="003B14C2" w:rsidP="00681B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rFonts w:hAnsi="Times New Roman Bold"/>
                <w:color w:val="000080"/>
                <w:sz w:val="20"/>
                <w:lang w:val="en-US"/>
              </w:rPr>
            </w:pPr>
            <w:proofErr w:type="spellStart"/>
            <w:r w:rsidRPr="00E830F9">
              <w:rPr>
                <w:sz w:val="20"/>
                <w:lang w:val="en-US"/>
              </w:rPr>
              <w:t>Radiowave</w:t>
            </w:r>
            <w:proofErr w:type="spellEnd"/>
            <w:r w:rsidRPr="00E830F9">
              <w:rPr>
                <w:sz w:val="20"/>
                <w:lang w:val="en-US"/>
              </w:rPr>
              <w:t xml:space="preserve"> propagation</w:t>
            </w:r>
          </w:p>
        </w:tc>
      </w:tr>
      <w:tr w:rsidR="003B14C2" w:rsidRPr="00036EE3" w14:paraId="76429F5E" w14:textId="77777777" w:rsidTr="00681BA8">
        <w:tc>
          <w:tcPr>
            <w:tcW w:w="1140" w:type="dxa"/>
            <w:shd w:val="clear" w:color="auto" w:fill="FFFFFF" w:themeFill="background1"/>
          </w:tcPr>
          <w:p w14:paraId="6624CC87" w14:textId="77777777" w:rsidR="003B14C2" w:rsidRPr="00441DCF" w:rsidRDefault="003B14C2" w:rsidP="00681BA8">
            <w:pPr>
              <w:spacing w:before="30" w:after="30"/>
              <w:ind w:left="57"/>
              <w:jc w:val="left"/>
              <w:rPr>
                <w:b/>
                <w:bCs/>
                <w:sz w:val="20"/>
                <w:lang w:val="en-US"/>
              </w:rPr>
            </w:pPr>
            <w:r w:rsidRPr="00441DCF">
              <w:rPr>
                <w:b/>
                <w:bCs/>
                <w:sz w:val="20"/>
                <w:lang w:val="en-US"/>
              </w:rPr>
              <w:t>RA</w:t>
            </w:r>
          </w:p>
        </w:tc>
        <w:tc>
          <w:tcPr>
            <w:tcW w:w="8220" w:type="dxa"/>
            <w:shd w:val="clear" w:color="auto" w:fill="FFFFFF" w:themeFill="background1"/>
          </w:tcPr>
          <w:p w14:paraId="2CC75633" w14:textId="77777777" w:rsidR="003B14C2" w:rsidRPr="00036EE3" w:rsidRDefault="003B14C2" w:rsidP="00681BA8">
            <w:pPr>
              <w:spacing w:before="30" w:after="30"/>
              <w:jc w:val="left"/>
              <w:rPr>
                <w:sz w:val="20"/>
                <w:lang w:val="en-US"/>
              </w:rPr>
            </w:pPr>
            <w:r w:rsidRPr="00441DCF">
              <w:rPr>
                <w:sz w:val="20"/>
                <w:lang w:val="en-US"/>
              </w:rPr>
              <w:t>Radio astronomy</w:t>
            </w:r>
          </w:p>
        </w:tc>
      </w:tr>
      <w:tr w:rsidR="003B14C2" w:rsidRPr="00036EE3" w14:paraId="75C3FAE8" w14:textId="77777777" w:rsidTr="00681BA8">
        <w:tc>
          <w:tcPr>
            <w:tcW w:w="1140" w:type="dxa"/>
            <w:shd w:val="clear" w:color="auto" w:fill="F2F2F2" w:themeFill="background1" w:themeFillShade="F2"/>
          </w:tcPr>
          <w:p w14:paraId="74E8C5DE" w14:textId="77777777" w:rsidR="003B14C2" w:rsidRPr="00441DCF" w:rsidRDefault="003B14C2" w:rsidP="00681BA8">
            <w:pPr>
              <w:spacing w:before="30" w:after="30"/>
              <w:ind w:left="57"/>
              <w:jc w:val="left"/>
              <w:rPr>
                <w:rFonts w:hAnsi="Times New Roman Bold"/>
                <w:b/>
                <w:color w:val="000080"/>
                <w:sz w:val="20"/>
                <w:lang w:val="en-US"/>
              </w:rPr>
            </w:pPr>
            <w:r w:rsidRPr="00441DCF">
              <w:rPr>
                <w:rFonts w:hAnsi="Times New Roman Bold"/>
                <w:b/>
                <w:color w:val="000080"/>
                <w:sz w:val="20"/>
                <w:lang w:val="en-US"/>
              </w:rPr>
              <w:t>RS</w:t>
            </w:r>
          </w:p>
        </w:tc>
        <w:tc>
          <w:tcPr>
            <w:tcW w:w="8220" w:type="dxa"/>
            <w:shd w:val="clear" w:color="auto" w:fill="F2F2F2" w:themeFill="background1" w:themeFillShade="F2"/>
          </w:tcPr>
          <w:p w14:paraId="20FBC512" w14:textId="77777777" w:rsidR="003B14C2" w:rsidRPr="00441DCF"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41DCF">
              <w:rPr>
                <w:rFonts w:hAnsi="Times New Roman Bold"/>
                <w:color w:val="000080"/>
                <w:sz w:val="20"/>
                <w:lang w:val="en-US"/>
              </w:rPr>
              <w:t>Remote sensing systems</w:t>
            </w:r>
          </w:p>
        </w:tc>
      </w:tr>
      <w:tr w:rsidR="003B14C2" w:rsidRPr="00036EE3" w14:paraId="2FCE390A" w14:textId="77777777" w:rsidTr="00681BA8">
        <w:tc>
          <w:tcPr>
            <w:tcW w:w="1140" w:type="dxa"/>
          </w:tcPr>
          <w:p w14:paraId="7A7D9F66" w14:textId="77777777" w:rsidR="003B14C2" w:rsidRPr="00036EE3" w:rsidRDefault="003B14C2" w:rsidP="00681BA8">
            <w:pPr>
              <w:spacing w:before="30" w:after="30"/>
              <w:ind w:left="57"/>
              <w:jc w:val="left"/>
              <w:rPr>
                <w:b/>
                <w:bCs/>
                <w:sz w:val="20"/>
                <w:lang w:val="en-US"/>
              </w:rPr>
            </w:pPr>
            <w:r w:rsidRPr="00036EE3">
              <w:rPr>
                <w:b/>
                <w:bCs/>
                <w:sz w:val="20"/>
                <w:lang w:val="en-US"/>
              </w:rPr>
              <w:t>S</w:t>
            </w:r>
          </w:p>
        </w:tc>
        <w:tc>
          <w:tcPr>
            <w:tcW w:w="8220" w:type="dxa"/>
          </w:tcPr>
          <w:p w14:paraId="4058F57B" w14:textId="77777777" w:rsidR="003B14C2" w:rsidRPr="00036EE3" w:rsidRDefault="003B14C2" w:rsidP="00681BA8">
            <w:pPr>
              <w:spacing w:before="30" w:after="30"/>
              <w:jc w:val="left"/>
              <w:rPr>
                <w:sz w:val="20"/>
                <w:lang w:val="en-US"/>
              </w:rPr>
            </w:pPr>
            <w:r w:rsidRPr="00036EE3">
              <w:rPr>
                <w:sz w:val="20"/>
                <w:lang w:val="en-US"/>
              </w:rPr>
              <w:t>Fixed-satellite service</w:t>
            </w:r>
          </w:p>
        </w:tc>
      </w:tr>
      <w:tr w:rsidR="003B14C2" w:rsidRPr="00036EE3" w14:paraId="7A826E9B" w14:textId="77777777" w:rsidTr="00681BA8">
        <w:tc>
          <w:tcPr>
            <w:tcW w:w="1140" w:type="dxa"/>
          </w:tcPr>
          <w:p w14:paraId="156F07CE" w14:textId="77777777" w:rsidR="003B14C2" w:rsidRPr="00036EE3" w:rsidRDefault="003B14C2" w:rsidP="00681BA8">
            <w:pPr>
              <w:spacing w:before="30" w:after="30"/>
              <w:ind w:left="57"/>
              <w:jc w:val="left"/>
              <w:rPr>
                <w:b/>
                <w:bCs/>
                <w:sz w:val="20"/>
                <w:lang w:val="en-US"/>
              </w:rPr>
            </w:pPr>
            <w:r w:rsidRPr="00036EE3">
              <w:rPr>
                <w:b/>
                <w:bCs/>
                <w:sz w:val="20"/>
                <w:lang w:val="en-US"/>
              </w:rPr>
              <w:t>SA</w:t>
            </w:r>
          </w:p>
        </w:tc>
        <w:tc>
          <w:tcPr>
            <w:tcW w:w="8220" w:type="dxa"/>
          </w:tcPr>
          <w:p w14:paraId="5F8B3523" w14:textId="77777777" w:rsidR="003B14C2" w:rsidRPr="00036EE3" w:rsidRDefault="003B14C2" w:rsidP="00681BA8">
            <w:pPr>
              <w:spacing w:before="30" w:after="30"/>
              <w:jc w:val="left"/>
              <w:rPr>
                <w:sz w:val="20"/>
                <w:lang w:val="en-US"/>
              </w:rPr>
            </w:pPr>
            <w:r w:rsidRPr="00036EE3">
              <w:rPr>
                <w:sz w:val="20"/>
                <w:lang w:val="en-US"/>
              </w:rPr>
              <w:t>Space applications and meteorology</w:t>
            </w:r>
          </w:p>
        </w:tc>
      </w:tr>
      <w:tr w:rsidR="003B14C2" w:rsidRPr="00576D47" w14:paraId="2780D44C" w14:textId="77777777" w:rsidTr="00681BA8">
        <w:tc>
          <w:tcPr>
            <w:tcW w:w="1140" w:type="dxa"/>
            <w:tcBorders>
              <w:bottom w:val="nil"/>
            </w:tcBorders>
          </w:tcPr>
          <w:p w14:paraId="78DA29EA" w14:textId="77777777" w:rsidR="003B14C2" w:rsidRPr="00036EE3" w:rsidRDefault="003B14C2" w:rsidP="00681BA8">
            <w:pPr>
              <w:spacing w:before="30" w:after="30"/>
              <w:ind w:left="57"/>
              <w:jc w:val="left"/>
              <w:rPr>
                <w:b/>
                <w:bCs/>
                <w:sz w:val="20"/>
                <w:lang w:val="en-US"/>
              </w:rPr>
            </w:pPr>
            <w:r w:rsidRPr="00036EE3">
              <w:rPr>
                <w:b/>
                <w:bCs/>
                <w:sz w:val="20"/>
                <w:lang w:val="en-US"/>
              </w:rPr>
              <w:t>SF</w:t>
            </w:r>
          </w:p>
        </w:tc>
        <w:tc>
          <w:tcPr>
            <w:tcW w:w="8220" w:type="dxa"/>
            <w:tcBorders>
              <w:bottom w:val="nil"/>
            </w:tcBorders>
          </w:tcPr>
          <w:p w14:paraId="6486EEB7" w14:textId="77777777" w:rsidR="003B14C2" w:rsidRPr="00036EE3" w:rsidRDefault="003B14C2" w:rsidP="00681BA8">
            <w:pPr>
              <w:spacing w:before="30" w:after="30"/>
              <w:jc w:val="left"/>
              <w:rPr>
                <w:sz w:val="20"/>
                <w:lang w:val="en-US"/>
              </w:rPr>
            </w:pPr>
            <w:r w:rsidRPr="00036EE3">
              <w:rPr>
                <w:sz w:val="20"/>
                <w:lang w:val="en-US"/>
              </w:rPr>
              <w:t>Frequency sharing and coordination between fixed-satellite and fixed service systems</w:t>
            </w:r>
          </w:p>
        </w:tc>
      </w:tr>
      <w:tr w:rsidR="003B14C2" w:rsidRPr="00036EE3" w14:paraId="5DCB3A16" w14:textId="77777777" w:rsidTr="00681BA8">
        <w:tc>
          <w:tcPr>
            <w:tcW w:w="1140" w:type="dxa"/>
            <w:tcBorders>
              <w:top w:val="nil"/>
              <w:bottom w:val="nil"/>
            </w:tcBorders>
            <w:shd w:val="clear" w:color="auto" w:fill="auto"/>
          </w:tcPr>
          <w:p w14:paraId="145D3E14" w14:textId="77777777" w:rsidR="003B14C2" w:rsidRPr="001B164E" w:rsidRDefault="003B14C2" w:rsidP="00681BA8">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58235045" w14:textId="77777777" w:rsidR="003B14C2" w:rsidRPr="001B164E" w:rsidRDefault="003B14C2" w:rsidP="00681BA8">
            <w:pPr>
              <w:spacing w:before="30" w:after="30"/>
              <w:jc w:val="left"/>
              <w:rPr>
                <w:rFonts w:hAnsi="Times New Roman Bold"/>
                <w:sz w:val="20"/>
                <w:lang w:val="en-US"/>
              </w:rPr>
            </w:pPr>
            <w:r w:rsidRPr="001B164E">
              <w:rPr>
                <w:rFonts w:hAnsi="Times New Roman Bold"/>
                <w:sz w:val="20"/>
                <w:lang w:val="en-US"/>
              </w:rPr>
              <w:t>Spectrum management</w:t>
            </w:r>
          </w:p>
        </w:tc>
      </w:tr>
      <w:tr w:rsidR="003B14C2" w:rsidRPr="00036EE3" w14:paraId="28F23DAE" w14:textId="77777777" w:rsidTr="00681BA8">
        <w:tc>
          <w:tcPr>
            <w:tcW w:w="1140" w:type="dxa"/>
            <w:tcBorders>
              <w:top w:val="nil"/>
            </w:tcBorders>
          </w:tcPr>
          <w:p w14:paraId="588041B8" w14:textId="77777777" w:rsidR="003B14C2" w:rsidRPr="00036EE3" w:rsidRDefault="003B14C2" w:rsidP="00681BA8">
            <w:pPr>
              <w:spacing w:before="30" w:after="30"/>
              <w:ind w:left="57"/>
              <w:jc w:val="left"/>
              <w:rPr>
                <w:b/>
                <w:bCs/>
                <w:sz w:val="20"/>
                <w:lang w:val="en-US"/>
              </w:rPr>
            </w:pPr>
            <w:r w:rsidRPr="00036EE3">
              <w:rPr>
                <w:b/>
                <w:bCs/>
                <w:sz w:val="20"/>
                <w:lang w:val="en-US"/>
              </w:rPr>
              <w:t>SNG</w:t>
            </w:r>
          </w:p>
        </w:tc>
        <w:tc>
          <w:tcPr>
            <w:tcW w:w="8220" w:type="dxa"/>
            <w:tcBorders>
              <w:top w:val="nil"/>
            </w:tcBorders>
          </w:tcPr>
          <w:p w14:paraId="4B6626FB" w14:textId="77777777" w:rsidR="003B14C2" w:rsidRPr="00036EE3" w:rsidRDefault="003B14C2" w:rsidP="00681BA8">
            <w:pPr>
              <w:spacing w:before="30" w:after="30"/>
              <w:jc w:val="left"/>
              <w:rPr>
                <w:sz w:val="20"/>
                <w:lang w:val="en-US"/>
              </w:rPr>
            </w:pPr>
            <w:r w:rsidRPr="00036EE3">
              <w:rPr>
                <w:sz w:val="20"/>
                <w:lang w:val="en-US"/>
              </w:rPr>
              <w:t>Satellite news gathering</w:t>
            </w:r>
          </w:p>
        </w:tc>
      </w:tr>
      <w:tr w:rsidR="003B14C2" w:rsidRPr="00576D47" w14:paraId="519090EC" w14:textId="77777777" w:rsidTr="00681BA8">
        <w:tc>
          <w:tcPr>
            <w:tcW w:w="1140" w:type="dxa"/>
          </w:tcPr>
          <w:p w14:paraId="70351586" w14:textId="77777777" w:rsidR="003B14C2" w:rsidRPr="00036EE3" w:rsidRDefault="003B14C2" w:rsidP="00681BA8">
            <w:pPr>
              <w:spacing w:before="30" w:after="30"/>
              <w:ind w:left="57"/>
              <w:jc w:val="left"/>
              <w:rPr>
                <w:b/>
                <w:bCs/>
                <w:sz w:val="20"/>
                <w:lang w:val="en-US"/>
              </w:rPr>
            </w:pPr>
            <w:r w:rsidRPr="00036EE3">
              <w:rPr>
                <w:b/>
                <w:bCs/>
                <w:sz w:val="20"/>
                <w:lang w:val="en-US"/>
              </w:rPr>
              <w:t>TF</w:t>
            </w:r>
          </w:p>
        </w:tc>
        <w:tc>
          <w:tcPr>
            <w:tcW w:w="8220" w:type="dxa"/>
          </w:tcPr>
          <w:p w14:paraId="3F87A34D" w14:textId="77777777" w:rsidR="003B14C2" w:rsidRPr="00036EE3" w:rsidRDefault="003B14C2" w:rsidP="00681BA8">
            <w:pPr>
              <w:spacing w:before="30" w:after="30"/>
              <w:jc w:val="left"/>
              <w:rPr>
                <w:sz w:val="20"/>
                <w:lang w:val="en-US"/>
              </w:rPr>
            </w:pPr>
            <w:r w:rsidRPr="00036EE3">
              <w:rPr>
                <w:sz w:val="20"/>
                <w:lang w:val="en-US"/>
              </w:rPr>
              <w:t>Time signals and frequency standards emissions</w:t>
            </w:r>
          </w:p>
        </w:tc>
      </w:tr>
      <w:tr w:rsidR="003B14C2" w:rsidRPr="00036EE3" w14:paraId="0D0966E7" w14:textId="77777777" w:rsidTr="00681BA8">
        <w:tc>
          <w:tcPr>
            <w:tcW w:w="1140" w:type="dxa"/>
          </w:tcPr>
          <w:p w14:paraId="3214804E" w14:textId="77777777" w:rsidR="003B14C2" w:rsidRPr="00036EE3" w:rsidRDefault="003B14C2" w:rsidP="00681BA8">
            <w:pPr>
              <w:spacing w:before="30" w:after="30"/>
              <w:ind w:left="57"/>
              <w:jc w:val="left"/>
              <w:rPr>
                <w:b/>
                <w:bCs/>
                <w:sz w:val="20"/>
                <w:lang w:val="en-US"/>
              </w:rPr>
            </w:pPr>
            <w:r w:rsidRPr="00036EE3">
              <w:rPr>
                <w:b/>
                <w:bCs/>
                <w:sz w:val="20"/>
                <w:lang w:val="en-US"/>
              </w:rPr>
              <w:t>V</w:t>
            </w:r>
          </w:p>
        </w:tc>
        <w:tc>
          <w:tcPr>
            <w:tcW w:w="8220" w:type="dxa"/>
          </w:tcPr>
          <w:p w14:paraId="578B109E" w14:textId="77777777" w:rsidR="003B14C2" w:rsidRPr="00036EE3" w:rsidRDefault="003B14C2" w:rsidP="00681BA8">
            <w:pPr>
              <w:spacing w:before="30" w:after="180"/>
              <w:jc w:val="left"/>
              <w:rPr>
                <w:sz w:val="20"/>
                <w:lang w:val="en-US"/>
              </w:rPr>
            </w:pPr>
            <w:r w:rsidRPr="00036EE3">
              <w:rPr>
                <w:sz w:val="20"/>
                <w:lang w:val="en-US"/>
              </w:rPr>
              <w:t>Vocabulary and related subjects</w:t>
            </w:r>
          </w:p>
        </w:tc>
      </w:tr>
    </w:tbl>
    <w:p w14:paraId="3CBD55CE" w14:textId="77777777" w:rsidR="003B14C2" w:rsidRPr="00036EE3" w:rsidRDefault="003B14C2" w:rsidP="003B14C2">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3B14C2" w14:paraId="5818122B" w14:textId="77777777" w:rsidTr="00681BA8">
        <w:tc>
          <w:tcPr>
            <w:tcW w:w="720" w:type="dxa"/>
          </w:tcPr>
          <w:p w14:paraId="469187EB" w14:textId="77777777" w:rsidR="003B14C2" w:rsidRDefault="003B14C2" w:rsidP="00681BA8">
            <w:pPr>
              <w:jc w:val="center"/>
              <w:rPr>
                <w:sz w:val="22"/>
                <w:lang w:val="en-US"/>
              </w:rPr>
            </w:pPr>
          </w:p>
        </w:tc>
      </w:tr>
    </w:tbl>
    <w:p w14:paraId="2E7DE69F" w14:textId="77777777" w:rsidR="003B14C2" w:rsidRPr="00036EE3" w:rsidRDefault="003B14C2" w:rsidP="003B14C2">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3B14C2" w:rsidRPr="00576D47" w14:paraId="733FFD7B" w14:textId="77777777" w:rsidTr="00681BA8">
        <w:tc>
          <w:tcPr>
            <w:tcW w:w="9360" w:type="dxa"/>
          </w:tcPr>
          <w:p w14:paraId="2F0523ED" w14:textId="77777777" w:rsidR="003B14C2" w:rsidRPr="002F5199" w:rsidRDefault="003B14C2" w:rsidP="00681BA8">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78EC5556" w14:textId="77777777" w:rsidR="003B14C2" w:rsidRDefault="003B14C2" w:rsidP="003B14C2">
      <w:pPr>
        <w:spacing w:before="0"/>
        <w:jc w:val="center"/>
        <w:rPr>
          <w:sz w:val="22"/>
          <w:lang w:val="en-US"/>
        </w:rPr>
      </w:pPr>
    </w:p>
    <w:p w14:paraId="1D92B59C" w14:textId="77777777" w:rsidR="003B14C2" w:rsidRDefault="003B14C2" w:rsidP="003B14C2">
      <w:pPr>
        <w:spacing w:before="0"/>
        <w:jc w:val="center"/>
        <w:rPr>
          <w:sz w:val="22"/>
          <w:lang w:val="en-US"/>
        </w:rPr>
      </w:pPr>
    </w:p>
    <w:p w14:paraId="204DF4C5" w14:textId="77777777" w:rsidR="003B14C2" w:rsidRPr="002F5199" w:rsidRDefault="003B14C2" w:rsidP="003B14C2">
      <w:pPr>
        <w:spacing w:before="0"/>
        <w:jc w:val="right"/>
        <w:rPr>
          <w:i/>
          <w:iCs/>
          <w:sz w:val="20"/>
          <w:lang w:val="en-US"/>
        </w:rPr>
      </w:pPr>
      <w:r w:rsidRPr="002F5199">
        <w:rPr>
          <w:i/>
          <w:iCs/>
          <w:sz w:val="20"/>
          <w:lang w:val="en-US"/>
        </w:rPr>
        <w:t>Electronic Publication</w:t>
      </w:r>
    </w:p>
    <w:p w14:paraId="69B3EDE6" w14:textId="44E93850" w:rsidR="003B14C2" w:rsidRPr="002F5199" w:rsidRDefault="003B14C2" w:rsidP="003B14C2">
      <w:pPr>
        <w:spacing w:before="0"/>
        <w:jc w:val="right"/>
        <w:rPr>
          <w:sz w:val="20"/>
          <w:lang w:val="en-US"/>
        </w:rPr>
      </w:pPr>
      <w:smartTag w:uri="urn:schemas-microsoft-com:office:smarttags" w:element="place">
        <w:smartTag w:uri="urn:schemas-microsoft-com:office:smarttags" w:element="City">
          <w:r w:rsidRPr="002F5199">
            <w:rPr>
              <w:sz w:val="20"/>
              <w:lang w:val="en-US"/>
            </w:rPr>
            <w:t>Geneva</w:t>
          </w:r>
        </w:smartTag>
      </w:smartTag>
      <w:r w:rsidRPr="002F5199">
        <w:rPr>
          <w:sz w:val="20"/>
          <w:lang w:val="en-US"/>
        </w:rPr>
        <w:t>, 20</w:t>
      </w:r>
      <w:r>
        <w:rPr>
          <w:sz w:val="20"/>
          <w:lang w:val="en-US"/>
        </w:rPr>
        <w:t>24</w:t>
      </w:r>
    </w:p>
    <w:p w14:paraId="36BA8392" w14:textId="77777777" w:rsidR="003B14C2" w:rsidRDefault="003B14C2" w:rsidP="003B14C2">
      <w:pPr>
        <w:jc w:val="center"/>
        <w:rPr>
          <w:sz w:val="22"/>
          <w:lang w:val="en-US"/>
        </w:rPr>
      </w:pPr>
    </w:p>
    <w:p w14:paraId="2C564AE9" w14:textId="7D0FF932" w:rsidR="003B14C2" w:rsidRPr="00470E28" w:rsidRDefault="003B14C2" w:rsidP="003B14C2">
      <w:pPr>
        <w:jc w:val="center"/>
        <w:rPr>
          <w:sz w:val="20"/>
          <w:lang w:val="en-US"/>
        </w:rPr>
      </w:pPr>
      <w:r w:rsidRPr="00470E28">
        <w:rPr>
          <w:sz w:val="20"/>
          <w:lang w:val="en-US"/>
        </w:rPr>
        <w:sym w:font="Symbol" w:char="F0E3"/>
      </w:r>
      <w:r w:rsidRPr="00470E28">
        <w:rPr>
          <w:sz w:val="20"/>
          <w:lang w:val="en-US"/>
        </w:rPr>
        <w:t xml:space="preserve"> ITU </w:t>
      </w:r>
      <w:bookmarkStart w:id="2" w:name="iiannee"/>
      <w:bookmarkEnd w:id="2"/>
      <w:r w:rsidRPr="00470E28">
        <w:rPr>
          <w:sz w:val="20"/>
          <w:lang w:val="en-US"/>
        </w:rPr>
        <w:t>20</w:t>
      </w:r>
      <w:r>
        <w:rPr>
          <w:sz w:val="20"/>
          <w:lang w:val="en-US"/>
        </w:rPr>
        <w:t>24</w:t>
      </w:r>
    </w:p>
    <w:p w14:paraId="0584A271" w14:textId="77777777" w:rsidR="003B14C2" w:rsidRPr="00470E28" w:rsidRDefault="003B14C2" w:rsidP="003B14C2">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4C587BB4" w14:textId="77777777" w:rsidR="003B14C2" w:rsidRDefault="003B14C2" w:rsidP="003B14C2">
      <w:pPr>
        <w:spacing w:before="160"/>
        <w:rPr>
          <w:i/>
          <w:sz w:val="20"/>
          <w:lang w:val="en-US"/>
        </w:rPr>
        <w:sectPr w:rsidR="003B14C2"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798E7A22" w14:textId="1B7705DA" w:rsidR="003B14C2" w:rsidRPr="00B874C6" w:rsidRDefault="003B14C2" w:rsidP="003B14C2">
      <w:pPr>
        <w:pStyle w:val="RecNo"/>
        <w:spacing w:before="0"/>
        <w:rPr>
          <w:lang w:val="en-US"/>
        </w:rPr>
      </w:pPr>
      <w:bookmarkStart w:id="3" w:name="irecnoe"/>
      <w:bookmarkEnd w:id="3"/>
      <w:proofErr w:type="gramStart"/>
      <w:r w:rsidRPr="00BF487A">
        <w:lastRenderedPageBreak/>
        <w:t xml:space="preserve">RECOMMENDATION  </w:t>
      </w:r>
      <w:r w:rsidRPr="00BF487A">
        <w:rPr>
          <w:rStyle w:val="href"/>
          <w:lang w:val="en-US"/>
        </w:rPr>
        <w:t>ITU</w:t>
      </w:r>
      <w:proofErr w:type="gramEnd"/>
      <w:r w:rsidRPr="00BF487A">
        <w:rPr>
          <w:rStyle w:val="href"/>
          <w:lang w:val="en-US"/>
        </w:rPr>
        <w:t xml:space="preserve">-R  </w:t>
      </w:r>
      <w:r>
        <w:rPr>
          <w:rStyle w:val="href"/>
          <w:lang w:val="en-US"/>
        </w:rPr>
        <w:t>RS</w:t>
      </w:r>
      <w:r w:rsidRPr="00BF487A">
        <w:rPr>
          <w:rStyle w:val="href"/>
          <w:lang w:val="en-US"/>
        </w:rPr>
        <w:t>.</w:t>
      </w:r>
      <w:r>
        <w:rPr>
          <w:rStyle w:val="href"/>
          <w:lang w:val="en-US"/>
        </w:rPr>
        <w:t>2165-0</w:t>
      </w:r>
    </w:p>
    <w:p w14:paraId="69F07112" w14:textId="6F15C32A" w:rsidR="003B14C2" w:rsidRDefault="003B14C2" w:rsidP="003B14C2">
      <w:pPr>
        <w:pStyle w:val="Rectitle"/>
      </w:pPr>
      <w:r w:rsidRPr="00C96909">
        <w:rPr>
          <w:rFonts w:eastAsia="SimSun"/>
          <w:lang w:eastAsia="zh-CN"/>
        </w:rPr>
        <w:t xml:space="preserve">Evaluation of the potential for pulsed interference </w:t>
      </w:r>
      <w:r w:rsidRPr="00C96909">
        <w:t>from planned and future spaceborne synthetic aperture radar sensors in the earth exploration-satellite (active) service to</w:t>
      </w:r>
      <w:r w:rsidRPr="00C96909">
        <w:rPr>
          <w:rFonts w:eastAsia="SimSun"/>
          <w:lang w:eastAsia="zh-CN"/>
        </w:rPr>
        <w:t xml:space="preserve"> radionavigation-satellite service receivers </w:t>
      </w:r>
      <w:r w:rsidRPr="00C96909">
        <w:rPr>
          <w:rFonts w:eastAsia="SimSun"/>
          <w:lang w:eastAsia="zh-CN"/>
        </w:rPr>
        <w:br/>
        <w:t>in the 1 215-1 300 MHz band</w:t>
      </w:r>
    </w:p>
    <w:p w14:paraId="02A9D46C" w14:textId="77777777" w:rsidR="003B14C2" w:rsidRPr="00F01690" w:rsidRDefault="003B14C2" w:rsidP="003B14C2">
      <w:pPr>
        <w:pStyle w:val="Questionref"/>
        <w:rPr>
          <w:szCs w:val="24"/>
        </w:rPr>
      </w:pPr>
      <w:r w:rsidRPr="00F01690">
        <w:rPr>
          <w:szCs w:val="24"/>
        </w:rPr>
        <w:t xml:space="preserve">(Question </w:t>
      </w:r>
      <w:hyperlink r:id="rId13" w:history="1">
        <w:r w:rsidRPr="00F01690">
          <w:rPr>
            <w:rStyle w:val="Hyperlink"/>
            <w:color w:val="auto"/>
            <w:szCs w:val="24"/>
            <w:u w:val="none"/>
          </w:rPr>
          <w:t>ITU-R 234/7</w:t>
        </w:r>
      </w:hyperlink>
      <w:r w:rsidRPr="00F01690">
        <w:rPr>
          <w:szCs w:val="24"/>
        </w:rPr>
        <w:t>)</w:t>
      </w:r>
    </w:p>
    <w:p w14:paraId="4846F446" w14:textId="77777777" w:rsidR="003B14C2" w:rsidRPr="00C96909" w:rsidRDefault="003B14C2" w:rsidP="003B14C2">
      <w:pPr>
        <w:pStyle w:val="Recdate"/>
        <w:rPr>
          <w:szCs w:val="24"/>
        </w:rPr>
      </w:pPr>
      <w:r w:rsidRPr="00C96909">
        <w:rPr>
          <w:szCs w:val="24"/>
        </w:rPr>
        <w:t>(2023)</w:t>
      </w:r>
    </w:p>
    <w:p w14:paraId="6515EE62" w14:textId="77777777" w:rsidR="003B14C2" w:rsidRPr="00110326" w:rsidRDefault="003B14C2" w:rsidP="00F01690">
      <w:pPr>
        <w:pStyle w:val="HeadingSum"/>
        <w:rPr>
          <w:rFonts w:eastAsia="MS Mincho"/>
          <w:lang w:val="en-GB"/>
        </w:rPr>
      </w:pPr>
      <w:r w:rsidRPr="00110326">
        <w:rPr>
          <w:rFonts w:eastAsia="MS Mincho"/>
          <w:lang w:val="en-GB"/>
        </w:rPr>
        <w:t>Scope</w:t>
      </w:r>
    </w:p>
    <w:p w14:paraId="156704FD" w14:textId="77777777" w:rsidR="003B14C2" w:rsidRPr="00110326" w:rsidRDefault="003B14C2" w:rsidP="00F01690">
      <w:pPr>
        <w:pStyle w:val="Summary"/>
        <w:rPr>
          <w:lang w:val="en-GB"/>
        </w:rPr>
      </w:pPr>
      <w:r w:rsidRPr="00110326">
        <w:rPr>
          <w:lang w:val="en-GB"/>
        </w:rPr>
        <w:t xml:space="preserve">This Recommendation </w:t>
      </w:r>
      <w:bookmarkStart w:id="4" w:name="_Hlk510191423"/>
      <w:r w:rsidRPr="00110326">
        <w:rPr>
          <w:lang w:val="en-GB"/>
        </w:rPr>
        <w:t>recommends</w:t>
      </w:r>
      <w:bookmarkEnd w:id="4"/>
      <w:r w:rsidRPr="00110326">
        <w:rPr>
          <w:lang w:val="en-GB"/>
        </w:rPr>
        <w:t xml:space="preserve"> the methodology to be used for </w:t>
      </w:r>
      <w:bookmarkStart w:id="5" w:name="_Hlk510195729"/>
      <w:r w:rsidRPr="00110326">
        <w:rPr>
          <w:lang w:val="en-GB"/>
        </w:rPr>
        <w:t>performing a preliminary evaluation of</w:t>
      </w:r>
      <w:bookmarkEnd w:id="5"/>
      <w:r w:rsidRPr="00110326">
        <w:rPr>
          <w:lang w:val="en-GB"/>
        </w:rPr>
        <w:t xml:space="preserve"> the potential for pulsed interference from planned and future Earth exploration-satellite service (active) (EESS (active)) spaceborne synthetic aperture radars (SARs) to receiving earth stations in the radionavigation-satellite service (RNSS) (space-to-Earth) operating in the 1 215-1 300 MHz frequency band. This Recommendation has not been evaluated for application to RNSS (space-to-space) receivers on board spacecraft. As soon as the studies of EESS (active) </w:t>
      </w:r>
      <w:proofErr w:type="spellStart"/>
      <w:r w:rsidRPr="00110326">
        <w:rPr>
          <w:lang w:val="en-GB"/>
        </w:rPr>
        <w:t>scatterometers</w:t>
      </w:r>
      <w:proofErr w:type="spellEnd"/>
      <w:r w:rsidRPr="00110326">
        <w:rPr>
          <w:lang w:val="en-GB"/>
        </w:rPr>
        <w:t xml:space="preserve"> operating the frequency band 1 215-1 300 MHz are completed, the relevant information can be included in a future ITU-R Recommendation or Report, as appropriate.</w:t>
      </w:r>
    </w:p>
    <w:p w14:paraId="2C371A27" w14:textId="77777777" w:rsidR="003B14C2" w:rsidRPr="00110326" w:rsidRDefault="003B14C2" w:rsidP="00F01690">
      <w:pPr>
        <w:pStyle w:val="Summary"/>
        <w:rPr>
          <w:lang w:val="en-GB"/>
        </w:rPr>
      </w:pPr>
      <w:r w:rsidRPr="00110326">
        <w:rPr>
          <w:lang w:val="en-GB"/>
        </w:rPr>
        <w:t>The evaluation of the pulsed interference caused by SARs in the EESS (active) to RNSS receivers (space-to-Earth) should also consider the cumulative impact of multiple spaceborne active sensors that may simultaneously illuminate the RNSS receivers, wherever relevant.</w:t>
      </w:r>
    </w:p>
    <w:p w14:paraId="58F32581" w14:textId="77777777" w:rsidR="003B14C2" w:rsidRPr="00C96909" w:rsidRDefault="003B14C2" w:rsidP="003B14C2">
      <w:pPr>
        <w:pStyle w:val="Headingb"/>
        <w:rPr>
          <w:szCs w:val="24"/>
        </w:rPr>
      </w:pPr>
      <w:r w:rsidRPr="00C96909">
        <w:rPr>
          <w:szCs w:val="24"/>
        </w:rPr>
        <w:t>Keywords</w:t>
      </w:r>
    </w:p>
    <w:p w14:paraId="02F2AFD1" w14:textId="77777777" w:rsidR="003B14C2" w:rsidRPr="00C96909" w:rsidRDefault="003B14C2" w:rsidP="003B14C2">
      <w:pPr>
        <w:spacing w:before="136"/>
        <w:rPr>
          <w:szCs w:val="24"/>
        </w:rPr>
      </w:pPr>
      <w:r w:rsidRPr="00C96909">
        <w:rPr>
          <w:szCs w:val="24"/>
        </w:rPr>
        <w:t>EESS, pulsed RF interference, RNSS, spaceborne active sensor, spaceborne synthetic aperture radar</w:t>
      </w:r>
      <w:r w:rsidRPr="00C96909">
        <w:rPr>
          <w:bCs/>
          <w:szCs w:val="24"/>
        </w:rPr>
        <w:t>,</w:t>
      </w:r>
      <w:r w:rsidRPr="00C96909">
        <w:rPr>
          <w:szCs w:val="24"/>
        </w:rPr>
        <w:t xml:space="preserve"> </w:t>
      </w:r>
      <w:proofErr w:type="spellStart"/>
      <w:r w:rsidRPr="00C96909">
        <w:rPr>
          <w:szCs w:val="24"/>
        </w:rPr>
        <w:t>scatterometer</w:t>
      </w:r>
      <w:proofErr w:type="spellEnd"/>
    </w:p>
    <w:p w14:paraId="334F9242" w14:textId="77777777" w:rsidR="003B14C2" w:rsidRPr="00C96909" w:rsidRDefault="003B14C2" w:rsidP="003350FE">
      <w:pPr>
        <w:pStyle w:val="Headingb"/>
        <w:rPr>
          <w:szCs w:val="24"/>
        </w:rPr>
      </w:pPr>
      <w:r w:rsidRPr="00C96909">
        <w:rPr>
          <w:szCs w:val="24"/>
        </w:rPr>
        <w:t>Abbreviations/Glossary</w:t>
      </w:r>
    </w:p>
    <w:p w14:paraId="0EAAC3B3" w14:textId="305D5126" w:rsidR="003B14C2" w:rsidRPr="00C96909" w:rsidRDefault="003B14C2" w:rsidP="003350FE">
      <w:pPr>
        <w:tabs>
          <w:tab w:val="clear" w:pos="794"/>
        </w:tabs>
      </w:pPr>
      <w:r w:rsidRPr="00C96909">
        <w:t>EESS</w:t>
      </w:r>
      <w:r w:rsidR="003350FE">
        <w:tab/>
      </w:r>
      <w:r w:rsidRPr="00C96909">
        <w:t>Earth exploration-satellite service</w:t>
      </w:r>
    </w:p>
    <w:p w14:paraId="6BB17548" w14:textId="6BFB9E2A" w:rsidR="003B14C2" w:rsidRPr="00110326" w:rsidRDefault="003B14C2" w:rsidP="003350FE">
      <w:pPr>
        <w:tabs>
          <w:tab w:val="clear" w:pos="794"/>
        </w:tabs>
        <w:rPr>
          <w:lang w:val="fr-FR"/>
        </w:rPr>
      </w:pPr>
      <w:r w:rsidRPr="00110326">
        <w:rPr>
          <w:lang w:val="fr-FR"/>
        </w:rPr>
        <w:t>RNSS</w:t>
      </w:r>
      <w:r w:rsidR="003350FE" w:rsidRPr="00110326">
        <w:rPr>
          <w:lang w:val="fr-FR"/>
        </w:rPr>
        <w:tab/>
      </w:r>
      <w:r w:rsidRPr="00110326">
        <w:rPr>
          <w:lang w:val="fr-FR"/>
        </w:rPr>
        <w:t>Radionavigation-satellite service</w:t>
      </w:r>
    </w:p>
    <w:p w14:paraId="5D4F615A" w14:textId="77777777" w:rsidR="003350FE" w:rsidRPr="00110326" w:rsidRDefault="003350FE" w:rsidP="003350FE">
      <w:pPr>
        <w:tabs>
          <w:tab w:val="clear" w:pos="794"/>
        </w:tabs>
        <w:rPr>
          <w:lang w:val="fr-FR"/>
        </w:rPr>
      </w:pPr>
      <w:r w:rsidRPr="00110326">
        <w:rPr>
          <w:lang w:val="fr-FR"/>
        </w:rPr>
        <w:t>SAR</w:t>
      </w:r>
      <w:r w:rsidRPr="00110326">
        <w:rPr>
          <w:lang w:val="fr-FR"/>
        </w:rPr>
        <w:tab/>
      </w:r>
      <w:proofErr w:type="spellStart"/>
      <w:r w:rsidRPr="00110326">
        <w:rPr>
          <w:lang w:val="fr-FR"/>
        </w:rPr>
        <w:t>Synthetic</w:t>
      </w:r>
      <w:proofErr w:type="spellEnd"/>
      <w:r w:rsidRPr="00110326">
        <w:rPr>
          <w:lang w:val="fr-FR"/>
        </w:rPr>
        <w:t xml:space="preserve"> aperture radar</w:t>
      </w:r>
    </w:p>
    <w:p w14:paraId="11ED2BF7" w14:textId="77777777" w:rsidR="003B14C2" w:rsidRPr="00C96909" w:rsidRDefault="003B14C2" w:rsidP="003350FE">
      <w:pPr>
        <w:pStyle w:val="Headingb"/>
        <w:rPr>
          <w:rFonts w:eastAsia="Batang"/>
        </w:rPr>
      </w:pPr>
      <w:r w:rsidRPr="00C96909">
        <w:rPr>
          <w:rFonts w:eastAsia="Batang"/>
        </w:rPr>
        <w:t>Related ITU Recommendations, Reports</w:t>
      </w:r>
    </w:p>
    <w:p w14:paraId="65323217" w14:textId="77777777" w:rsidR="00110326" w:rsidRDefault="00110326" w:rsidP="00110326">
      <w:pPr>
        <w:pStyle w:val="Reftext"/>
        <w:rPr>
          <w:rFonts w:eastAsia="SimSun"/>
          <w:lang w:eastAsia="zh-CN"/>
        </w:rPr>
      </w:pPr>
      <w:r w:rsidRPr="003350FE">
        <w:rPr>
          <w:rFonts w:eastAsia="SimSun"/>
          <w:lang w:eastAsia="zh-CN"/>
        </w:rPr>
        <w:t xml:space="preserve">Recommendation </w:t>
      </w:r>
      <w:hyperlink r:id="rId14" w:history="1">
        <w:r w:rsidRPr="003350FE">
          <w:rPr>
            <w:rStyle w:val="Hyperlink"/>
            <w:rFonts w:eastAsia="SimSun"/>
            <w:color w:val="auto"/>
            <w:u w:val="none"/>
            <w:lang w:eastAsia="zh-CN"/>
          </w:rPr>
          <w:t>ITU-R RS.577</w:t>
        </w:r>
      </w:hyperlink>
      <w:r>
        <w:rPr>
          <w:rFonts w:eastAsia="SimSun"/>
          <w:lang w:eastAsia="zh-CN"/>
        </w:rPr>
        <w:t xml:space="preserve"> – </w:t>
      </w:r>
      <w:r w:rsidRPr="003350FE">
        <w:rPr>
          <w:rFonts w:eastAsia="SimSun"/>
          <w:lang w:eastAsia="zh-CN"/>
        </w:rPr>
        <w:t xml:space="preserve">Frequency bands and required bandwidths used for spaceborne active </w:t>
      </w:r>
      <w:r w:rsidRPr="00E67187">
        <w:rPr>
          <w:rFonts w:eastAsia="SimSun"/>
          <w:lang w:eastAsia="zh-CN"/>
        </w:rPr>
        <w:t>sensors operating in the Earth exploration-satellite (active) and space research (active) services</w:t>
      </w:r>
    </w:p>
    <w:p w14:paraId="3D7BB239" w14:textId="74D5DEF5" w:rsidR="003350FE" w:rsidRDefault="003350FE" w:rsidP="003350FE">
      <w:pPr>
        <w:pStyle w:val="Reftext"/>
        <w:rPr>
          <w:rFonts w:eastAsia="SimSun"/>
          <w:lang w:eastAsia="zh-CN"/>
        </w:rPr>
      </w:pPr>
      <w:r w:rsidRPr="00E67187">
        <w:rPr>
          <w:rFonts w:eastAsia="SimSun"/>
          <w:lang w:eastAsia="zh-CN"/>
        </w:rPr>
        <w:t xml:space="preserve">Recommendation </w:t>
      </w:r>
      <w:hyperlink r:id="rId15" w:history="1">
        <w:r w:rsidRPr="00E67187">
          <w:rPr>
            <w:rFonts w:eastAsia="Calibri"/>
            <w:lang w:eastAsia="zh-CN"/>
          </w:rPr>
          <w:t>ITU-R M.1318</w:t>
        </w:r>
      </w:hyperlink>
      <w:r>
        <w:rPr>
          <w:rFonts w:eastAsia="SimSun"/>
          <w:lang w:eastAsia="zh-CN"/>
        </w:rPr>
        <w:t xml:space="preserve"> – </w:t>
      </w:r>
      <w:r w:rsidRPr="00E67187">
        <w:rPr>
          <w:rFonts w:eastAsia="SimSun"/>
          <w:spacing w:val="-4"/>
          <w:lang w:eastAsia="zh-CN"/>
        </w:rPr>
        <w:t>Evaluation model for continuous interference from radio sources other than in the radionavigation-satellite service to the radionavigation-satellite service systems and networks operating in the 1 164-1 215 MHz, 1 215-1 300 MHz, 1 559-1 610 MHz and 5 010-5 030 MHz bands</w:t>
      </w:r>
    </w:p>
    <w:p w14:paraId="4528A79E" w14:textId="77777777" w:rsidR="00110326" w:rsidRPr="003350FE" w:rsidRDefault="00110326" w:rsidP="00110326">
      <w:pPr>
        <w:pStyle w:val="Reftext"/>
        <w:rPr>
          <w:rFonts w:eastAsia="SimSun"/>
          <w:lang w:eastAsia="zh-CN"/>
        </w:rPr>
      </w:pPr>
      <w:r w:rsidRPr="003350FE">
        <w:rPr>
          <w:rFonts w:eastAsia="SimSun"/>
          <w:lang w:eastAsia="zh-CN"/>
        </w:rPr>
        <w:t xml:space="preserve">Recommendation </w:t>
      </w:r>
      <w:hyperlink r:id="rId16" w:history="1">
        <w:r w:rsidRPr="003350FE">
          <w:rPr>
            <w:rStyle w:val="Hyperlink"/>
            <w:rFonts w:eastAsia="SimSun"/>
            <w:color w:val="auto"/>
            <w:u w:val="none"/>
            <w:lang w:eastAsia="zh-CN"/>
          </w:rPr>
          <w:t>ITU-R RS.1347</w:t>
        </w:r>
      </w:hyperlink>
      <w:r w:rsidRPr="003350FE">
        <w:rPr>
          <w:rFonts w:eastAsia="SimSun"/>
          <w:lang w:eastAsia="zh-CN"/>
        </w:rPr>
        <w:t xml:space="preserve"> – </w:t>
      </w:r>
      <w:r w:rsidRPr="003350FE">
        <w:rPr>
          <w:rFonts w:eastAsia="SimSun" w:cs="Arial"/>
          <w:szCs w:val="22"/>
          <w:lang w:eastAsia="zh-CN"/>
        </w:rPr>
        <w:t xml:space="preserve">Feasibility of sharing between radionavigation-satellite service receivers and the Earth exploration-satellite (active) </w:t>
      </w:r>
      <w:r w:rsidRPr="003350FE">
        <w:rPr>
          <w:rFonts w:eastAsia="SimSun" w:cs="Arial"/>
          <w:spacing w:val="-2"/>
          <w:szCs w:val="22"/>
          <w:lang w:eastAsia="zh-CN"/>
        </w:rPr>
        <w:t>and space research (active) services in the 1 215</w:t>
      </w:r>
      <w:r w:rsidRPr="003350FE">
        <w:rPr>
          <w:rFonts w:eastAsia="SimSun" w:cs="Arial"/>
          <w:spacing w:val="-2"/>
          <w:szCs w:val="22"/>
          <w:lang w:eastAsia="zh-CN"/>
        </w:rPr>
        <w:noBreakHyphen/>
        <w:t>1 260 MHz</w:t>
      </w:r>
      <w:r w:rsidRPr="003350FE">
        <w:rPr>
          <w:rFonts w:eastAsia="SimSun" w:cs="Arial"/>
          <w:szCs w:val="22"/>
          <w:lang w:eastAsia="zh-CN"/>
        </w:rPr>
        <w:t xml:space="preserve"> band</w:t>
      </w:r>
    </w:p>
    <w:p w14:paraId="1DC01759" w14:textId="77777777" w:rsidR="00110326" w:rsidRDefault="00110326" w:rsidP="00110326">
      <w:pPr>
        <w:pStyle w:val="Reftext"/>
        <w:rPr>
          <w:rFonts w:eastAsia="SimSun"/>
          <w:lang w:eastAsia="zh-CN"/>
        </w:rPr>
      </w:pPr>
      <w:r w:rsidRPr="003350FE">
        <w:rPr>
          <w:rFonts w:eastAsia="SimSun"/>
          <w:lang w:eastAsia="zh-CN"/>
        </w:rPr>
        <w:t xml:space="preserve">Recommendation </w:t>
      </w:r>
      <w:hyperlink r:id="rId17" w:history="1">
        <w:r w:rsidRPr="003350FE">
          <w:rPr>
            <w:rStyle w:val="Hyperlink"/>
            <w:rFonts w:eastAsia="SimSun"/>
            <w:color w:val="auto"/>
            <w:u w:val="none"/>
            <w:lang w:eastAsia="zh-CN"/>
          </w:rPr>
          <w:t>ITU-R RS.1749</w:t>
        </w:r>
      </w:hyperlink>
      <w:r>
        <w:rPr>
          <w:rFonts w:eastAsia="SimSun"/>
          <w:lang w:eastAsia="zh-CN"/>
        </w:rPr>
        <w:t xml:space="preserve"> – </w:t>
      </w:r>
      <w:r w:rsidRPr="003350FE">
        <w:rPr>
          <w:rFonts w:eastAsia="SimSun"/>
          <w:lang w:eastAsia="zh-CN"/>
        </w:rPr>
        <w:t>Mitigation technique to facilitate the use of the 1 215</w:t>
      </w:r>
      <w:r w:rsidRPr="003350FE">
        <w:rPr>
          <w:rFonts w:eastAsia="SimSun"/>
          <w:lang w:eastAsia="zh-CN"/>
        </w:rPr>
        <w:noBreakHyphen/>
        <w:t xml:space="preserve">1 300 MHz </w:t>
      </w:r>
      <w:r w:rsidRPr="00E67187">
        <w:rPr>
          <w:rFonts w:eastAsia="SimSun"/>
          <w:lang w:eastAsia="zh-CN"/>
        </w:rPr>
        <w:t>band by the Earth exploration-satellite service (active) and the space research service (active)</w:t>
      </w:r>
    </w:p>
    <w:p w14:paraId="04AEFC6E" w14:textId="3C22F6EA" w:rsidR="003350FE" w:rsidRPr="00E67187" w:rsidRDefault="003350FE" w:rsidP="003350FE">
      <w:pPr>
        <w:pStyle w:val="Reftext"/>
        <w:rPr>
          <w:rFonts w:eastAsia="SimSun"/>
          <w:spacing w:val="-2"/>
          <w:lang w:eastAsia="zh-CN"/>
        </w:rPr>
      </w:pPr>
      <w:r w:rsidRPr="00E67187">
        <w:rPr>
          <w:rFonts w:eastAsia="SimSun"/>
          <w:lang w:eastAsia="zh-CN"/>
        </w:rPr>
        <w:t xml:space="preserve">Recommendation </w:t>
      </w:r>
      <w:hyperlink r:id="rId18" w:history="1">
        <w:r w:rsidRPr="00E67187">
          <w:rPr>
            <w:rFonts w:eastAsia="Calibri"/>
            <w:lang w:eastAsia="zh-CN"/>
          </w:rPr>
          <w:t>ITU-R M.1787</w:t>
        </w:r>
      </w:hyperlink>
      <w:r>
        <w:rPr>
          <w:rFonts w:eastAsia="SimSun"/>
          <w:lang w:eastAsia="zh-CN"/>
        </w:rPr>
        <w:t xml:space="preserve"> – </w:t>
      </w:r>
      <w:r w:rsidRPr="00E67187">
        <w:rPr>
          <w:rFonts w:eastAsia="SimSun"/>
          <w:spacing w:val="-2"/>
          <w:lang w:eastAsia="zh-CN"/>
        </w:rPr>
        <w:t>Description of systems and networks in the radionavigation-satellite service (space-to-Earth and space-to-space) and technical characteristics of transmitting space stations operating in the bands 1 164</w:t>
      </w:r>
      <w:r w:rsidRPr="00E67187">
        <w:rPr>
          <w:rFonts w:eastAsia="SimSun"/>
          <w:spacing w:val="-2"/>
          <w:lang w:eastAsia="zh-CN"/>
        </w:rPr>
        <w:noBreakHyphen/>
        <w:t>1 215 MHz, 1 215</w:t>
      </w:r>
      <w:r w:rsidRPr="00E67187">
        <w:rPr>
          <w:rFonts w:eastAsia="SimSun"/>
          <w:spacing w:val="-2"/>
          <w:lang w:eastAsia="zh-CN"/>
        </w:rPr>
        <w:noBreakHyphen/>
        <w:t xml:space="preserve">1 300 MHz and 1 559-1 610 MHz </w:t>
      </w:r>
    </w:p>
    <w:p w14:paraId="4816BB96" w14:textId="380097A4" w:rsidR="003350FE" w:rsidRPr="00E67187" w:rsidRDefault="003350FE" w:rsidP="003350FE">
      <w:pPr>
        <w:pStyle w:val="Reftext"/>
        <w:rPr>
          <w:rFonts w:eastAsia="Calibri"/>
          <w:lang w:eastAsia="zh-CN"/>
        </w:rPr>
      </w:pPr>
      <w:r w:rsidRPr="00E67187">
        <w:rPr>
          <w:rFonts w:eastAsia="SimSun"/>
          <w:lang w:eastAsia="zh-CN"/>
        </w:rPr>
        <w:t xml:space="preserve">Recommendation </w:t>
      </w:r>
      <w:hyperlink r:id="rId19" w:history="1">
        <w:r w:rsidRPr="00E67187">
          <w:rPr>
            <w:rFonts w:eastAsia="Calibri"/>
            <w:lang w:eastAsia="zh-CN"/>
          </w:rPr>
          <w:t>ITU-R M.1901</w:t>
        </w:r>
      </w:hyperlink>
      <w:r>
        <w:rPr>
          <w:rFonts w:eastAsia="SimSun"/>
          <w:lang w:eastAsia="zh-CN"/>
        </w:rPr>
        <w:t xml:space="preserve"> – </w:t>
      </w:r>
      <w:r w:rsidRPr="00E67187">
        <w:rPr>
          <w:rFonts w:eastAsia="Calibri"/>
          <w:lang w:eastAsia="zh-CN"/>
        </w:rPr>
        <w:t>Guidance on ITU-R Recommendations related to systems and networks in the radionavigation-satellite service operating in the frequency bands 1 164-1 215 MHz, 1 215</w:t>
      </w:r>
      <w:r w:rsidRPr="00E67187">
        <w:rPr>
          <w:rFonts w:eastAsia="Calibri"/>
          <w:lang w:eastAsia="zh-CN"/>
        </w:rPr>
        <w:noBreakHyphen/>
        <w:t>1 300</w:t>
      </w:r>
      <w:r>
        <w:rPr>
          <w:rFonts w:eastAsia="Calibri"/>
          <w:lang w:eastAsia="zh-CN"/>
        </w:rPr>
        <w:t> </w:t>
      </w:r>
      <w:r w:rsidRPr="00E67187">
        <w:rPr>
          <w:rFonts w:eastAsia="Calibri"/>
          <w:lang w:eastAsia="zh-CN"/>
        </w:rPr>
        <w:t xml:space="preserve">MHz, 1 559-1 610 MHz, 5 000-5 010 MHz and 5 010-5 030 MHz </w:t>
      </w:r>
    </w:p>
    <w:p w14:paraId="2B27491A" w14:textId="1D8C1C84" w:rsidR="003350FE" w:rsidRPr="00E67187" w:rsidRDefault="003350FE" w:rsidP="003350FE">
      <w:pPr>
        <w:pStyle w:val="Reftext"/>
        <w:rPr>
          <w:rFonts w:eastAsia="Calibri"/>
          <w:lang w:eastAsia="zh-CN"/>
        </w:rPr>
      </w:pPr>
      <w:r w:rsidRPr="00E67187">
        <w:rPr>
          <w:rFonts w:eastAsia="SimSun"/>
          <w:lang w:eastAsia="zh-CN"/>
        </w:rPr>
        <w:lastRenderedPageBreak/>
        <w:t xml:space="preserve">Recommendation </w:t>
      </w:r>
      <w:hyperlink r:id="rId20" w:history="1">
        <w:r w:rsidRPr="00E67187">
          <w:rPr>
            <w:rFonts w:eastAsia="Calibri"/>
            <w:lang w:eastAsia="zh-CN"/>
          </w:rPr>
          <w:t>ITU-R M.1902</w:t>
        </w:r>
      </w:hyperlink>
      <w:r>
        <w:rPr>
          <w:rFonts w:eastAsia="SimSun"/>
          <w:lang w:eastAsia="zh-CN"/>
        </w:rPr>
        <w:t xml:space="preserve"> – </w:t>
      </w:r>
      <w:r w:rsidRPr="00E67187">
        <w:rPr>
          <w:rFonts w:eastAsia="SimSun"/>
          <w:lang w:eastAsia="zh-CN"/>
        </w:rPr>
        <w:t>Characteristics and protection criteria for receiving earth stations in the radionavigation-satellite service (space-to-Earth) operating in the band 1 215-1 300 MHz</w:t>
      </w:r>
      <w:r w:rsidRPr="00E67187">
        <w:rPr>
          <w:rFonts w:eastAsia="SimSun" w:cs="Arial"/>
          <w:szCs w:val="22"/>
          <w:lang w:eastAsia="zh-CN"/>
        </w:rPr>
        <w:t xml:space="preserve"> </w:t>
      </w:r>
    </w:p>
    <w:p w14:paraId="1D2C3B98" w14:textId="4DB0ABA2" w:rsidR="003350FE" w:rsidRPr="00E67187" w:rsidRDefault="003350FE" w:rsidP="003350FE">
      <w:pPr>
        <w:pStyle w:val="Reftext"/>
        <w:rPr>
          <w:rFonts w:eastAsia="SimSun"/>
          <w:lang w:eastAsia="zh-CN"/>
        </w:rPr>
      </w:pPr>
      <w:r w:rsidRPr="00E67187">
        <w:rPr>
          <w:rFonts w:eastAsia="SimSun"/>
          <w:lang w:eastAsia="zh-CN"/>
        </w:rPr>
        <w:t xml:space="preserve">Recommendation </w:t>
      </w:r>
      <w:hyperlink r:id="rId21" w:history="1">
        <w:r w:rsidRPr="00E67187">
          <w:rPr>
            <w:rFonts w:eastAsia="Calibri"/>
            <w:lang w:eastAsia="zh-CN"/>
          </w:rPr>
          <w:t>ITU-R M.2030</w:t>
        </w:r>
      </w:hyperlink>
      <w:r>
        <w:rPr>
          <w:rFonts w:eastAsia="SimSun"/>
          <w:lang w:eastAsia="zh-CN"/>
        </w:rPr>
        <w:t xml:space="preserve"> – </w:t>
      </w:r>
      <w:r w:rsidRPr="00E67187">
        <w:rPr>
          <w:rFonts w:eastAsia="SimSun"/>
          <w:lang w:eastAsia="zh-CN"/>
        </w:rPr>
        <w:t>Evaluation method for pulsed interference from relevant radio sources other than in the radionavigation-satellite service to the radionavigation-satellite service systems and networks operating in the 1 164-1 215 MHz, 1 215</w:t>
      </w:r>
      <w:r w:rsidRPr="00E67187">
        <w:rPr>
          <w:rFonts w:eastAsia="SimSun"/>
          <w:lang w:eastAsia="zh-CN"/>
        </w:rPr>
        <w:noBreakHyphen/>
        <w:t>1 300 MHz and 1 559-1 610 MHz frequency bands</w:t>
      </w:r>
    </w:p>
    <w:p w14:paraId="44F70531" w14:textId="49E7AFBB" w:rsidR="003350FE" w:rsidRPr="003350FE" w:rsidRDefault="003350FE" w:rsidP="003350FE">
      <w:pPr>
        <w:pStyle w:val="Reftext"/>
        <w:rPr>
          <w:rFonts w:eastAsia="SimSun"/>
          <w:lang w:eastAsia="zh-CN"/>
        </w:rPr>
      </w:pPr>
      <w:r w:rsidRPr="003350FE">
        <w:rPr>
          <w:rFonts w:eastAsia="SimSun"/>
          <w:lang w:eastAsia="zh-CN"/>
        </w:rPr>
        <w:t xml:space="preserve">Recommendation </w:t>
      </w:r>
      <w:hyperlink r:id="rId22" w:history="1">
        <w:r w:rsidRPr="003350FE">
          <w:rPr>
            <w:rStyle w:val="Hyperlink"/>
            <w:rFonts w:eastAsia="SimSun"/>
            <w:color w:val="auto"/>
            <w:u w:val="none"/>
            <w:lang w:eastAsia="zh-CN"/>
          </w:rPr>
          <w:t>ITU-R RS.2105</w:t>
        </w:r>
      </w:hyperlink>
      <w:r>
        <w:rPr>
          <w:rFonts w:eastAsia="SimSun"/>
          <w:lang w:eastAsia="zh-CN"/>
        </w:rPr>
        <w:t xml:space="preserve"> – </w:t>
      </w:r>
      <w:r w:rsidRPr="003350FE">
        <w:rPr>
          <w:rFonts w:eastAsia="SimSun"/>
          <w:lang w:eastAsia="zh-CN"/>
        </w:rPr>
        <w:t>Typical technical and operational characteristics of Earth exploration-satellite service (active) systems using allocations between 432 MHz and 238 GHz</w:t>
      </w:r>
    </w:p>
    <w:p w14:paraId="538F13DF" w14:textId="7BD9748A" w:rsidR="003350FE" w:rsidRPr="003350FE" w:rsidRDefault="003350FE" w:rsidP="003350FE">
      <w:pPr>
        <w:pStyle w:val="Reftext"/>
        <w:rPr>
          <w:rFonts w:eastAsia="SimSun"/>
          <w:lang w:eastAsia="zh-CN"/>
        </w:rPr>
      </w:pPr>
      <w:r w:rsidRPr="003350FE">
        <w:rPr>
          <w:rFonts w:eastAsia="SimSun"/>
          <w:lang w:eastAsia="zh-CN"/>
        </w:rPr>
        <w:t xml:space="preserve">Report </w:t>
      </w:r>
      <w:hyperlink r:id="rId23" w:history="1">
        <w:r w:rsidRPr="003350FE">
          <w:rPr>
            <w:rFonts w:eastAsia="Calibri"/>
            <w:lang w:eastAsia="zh-CN"/>
          </w:rPr>
          <w:t>ITU-R M.2220</w:t>
        </w:r>
      </w:hyperlink>
      <w:r>
        <w:rPr>
          <w:rFonts w:eastAsia="SimSun"/>
          <w:lang w:eastAsia="zh-CN"/>
        </w:rPr>
        <w:t xml:space="preserve"> – </w:t>
      </w:r>
      <w:r w:rsidRPr="003350FE">
        <w:rPr>
          <w:rFonts w:eastAsia="SimSun"/>
          <w:lang w:eastAsia="zh-CN"/>
        </w:rPr>
        <w:t>Calculation method to determine aggregate interference parameters of pulsed RF systems operating in and near the frequency bands 1 164-1 215 MHz and 1 215</w:t>
      </w:r>
      <w:r w:rsidRPr="003350FE">
        <w:rPr>
          <w:rFonts w:eastAsia="SimSun"/>
          <w:lang w:eastAsia="zh-CN"/>
        </w:rPr>
        <w:noBreakHyphen/>
        <w:t xml:space="preserve">1 300 MHz that may impact radionavigation satellite service airborne and ground-based receivers operating in those bands </w:t>
      </w:r>
    </w:p>
    <w:p w14:paraId="32FA4182" w14:textId="1656D93F" w:rsidR="003350FE" w:rsidRPr="00E67187" w:rsidRDefault="003350FE" w:rsidP="003350FE">
      <w:pPr>
        <w:pStyle w:val="Reftext"/>
        <w:rPr>
          <w:rFonts w:eastAsia="SimSun"/>
          <w:lang w:eastAsia="zh-CN"/>
        </w:rPr>
      </w:pPr>
      <w:r w:rsidRPr="003350FE">
        <w:rPr>
          <w:rFonts w:eastAsia="SimSun"/>
          <w:lang w:eastAsia="zh-CN"/>
        </w:rPr>
        <w:t xml:space="preserve">Report </w:t>
      </w:r>
      <w:hyperlink r:id="rId24" w:history="1">
        <w:r w:rsidRPr="003350FE">
          <w:rPr>
            <w:rStyle w:val="Hyperlink"/>
            <w:rFonts w:eastAsia="SimSun"/>
            <w:color w:val="auto"/>
            <w:u w:val="none"/>
            <w:lang w:eastAsia="zh-CN"/>
          </w:rPr>
          <w:t>ITU-R M.2305</w:t>
        </w:r>
      </w:hyperlink>
      <w:r>
        <w:rPr>
          <w:rFonts w:eastAsia="SimSun"/>
          <w:lang w:eastAsia="zh-CN"/>
        </w:rPr>
        <w:t xml:space="preserve"> – </w:t>
      </w:r>
      <w:r w:rsidRPr="003350FE">
        <w:rPr>
          <w:szCs w:val="24"/>
          <w:lang w:eastAsia="zh-CN"/>
        </w:rPr>
        <w:t xml:space="preserve">Consideration of aggregate radio frequency interference event potentials from </w:t>
      </w:r>
      <w:r w:rsidRPr="00E67187">
        <w:rPr>
          <w:szCs w:val="24"/>
          <w:lang w:eastAsia="zh-CN"/>
        </w:rPr>
        <w:t>multiple Earth exploration-satellite service systems on radionavigation-satellite service receivers operating in the 1 215-1 300 MHz frequency band</w:t>
      </w:r>
    </w:p>
    <w:p w14:paraId="048004B0" w14:textId="77777777" w:rsidR="003B14C2" w:rsidRPr="00C96909" w:rsidRDefault="003B14C2" w:rsidP="003B14C2">
      <w:pPr>
        <w:pStyle w:val="Normalaftertitle"/>
      </w:pPr>
      <w:r w:rsidRPr="00C96909">
        <w:t>The ITU Radiocommunication Assembly,</w:t>
      </w:r>
    </w:p>
    <w:p w14:paraId="3E409307" w14:textId="77777777" w:rsidR="003B14C2" w:rsidRPr="00C96909" w:rsidRDefault="003B14C2" w:rsidP="003B14C2">
      <w:pPr>
        <w:pStyle w:val="Call"/>
      </w:pPr>
      <w:r w:rsidRPr="00C96909">
        <w:t>considering</w:t>
      </w:r>
    </w:p>
    <w:p w14:paraId="4E554B22" w14:textId="77777777" w:rsidR="003B14C2" w:rsidRPr="00C96909" w:rsidRDefault="003B14C2" w:rsidP="003B14C2">
      <w:r w:rsidRPr="00C96909">
        <w:rPr>
          <w:i/>
        </w:rPr>
        <w:t>a)</w:t>
      </w:r>
      <w:r w:rsidRPr="00C96909">
        <w:tab/>
        <w:t>that sharing studies have shown compatibility between certain typical Earth exploration-satellite service (active) (EESS (active)) spaceborne sensors and certain radionavigation-satellite service (RNSS) receivers in the acquisition and tracking phases;</w:t>
      </w:r>
    </w:p>
    <w:p w14:paraId="39303E27" w14:textId="77777777" w:rsidR="003B14C2" w:rsidRPr="00C96909" w:rsidRDefault="003B14C2" w:rsidP="003B14C2">
      <w:r w:rsidRPr="00C96909">
        <w:rPr>
          <w:i/>
        </w:rPr>
        <w:t>b)</w:t>
      </w:r>
      <w:r w:rsidRPr="00C96909">
        <w:rPr>
          <w:i/>
        </w:rPr>
        <w:tab/>
      </w:r>
      <w:r w:rsidRPr="00C96909">
        <w:t xml:space="preserve">that an appropriate analytic method would facilitate evaluation of the potential for pulsed interference from an EESS (active) sensor to an RNSS system or network (space-to-Earth) operating in the frequency band 1 215-1 300 MHz; </w:t>
      </w:r>
    </w:p>
    <w:p w14:paraId="0ACD401A" w14:textId="77777777" w:rsidR="003B14C2" w:rsidRPr="00C96909" w:rsidRDefault="003B14C2" w:rsidP="003B14C2">
      <w:r w:rsidRPr="009E7E64">
        <w:rPr>
          <w:i/>
          <w:iCs/>
        </w:rPr>
        <w:t>c)</w:t>
      </w:r>
      <w:r w:rsidRPr="00C96909">
        <w:tab/>
        <w:t xml:space="preserve">that the analytic method referred to in </w:t>
      </w:r>
      <w:r w:rsidRPr="00C96909">
        <w:rPr>
          <w:i/>
          <w:iCs/>
        </w:rPr>
        <w:t>considering b)</w:t>
      </w:r>
      <w:r w:rsidRPr="00C96909">
        <w:t xml:space="preserve"> would necessarily be limited to evaluation of the potential for pulsed interference from an individual EESS (active) sensor to an RNSS system or network (space-to-Earth) operating in the frequency band 1 215-1 300 MHz; </w:t>
      </w:r>
    </w:p>
    <w:p w14:paraId="7F20E86D" w14:textId="77777777" w:rsidR="003B14C2" w:rsidRPr="00C96909" w:rsidRDefault="003B14C2" w:rsidP="003B14C2">
      <w:pPr>
        <w:rPr>
          <w:i/>
        </w:rPr>
      </w:pPr>
      <w:r w:rsidRPr="009E7E64">
        <w:rPr>
          <w:i/>
          <w:iCs/>
        </w:rPr>
        <w:t>d)</w:t>
      </w:r>
      <w:r w:rsidRPr="00C96909">
        <w:tab/>
      </w:r>
      <w:r w:rsidRPr="00C96909">
        <w:rPr>
          <w:lang w:eastAsia="zh-CN"/>
        </w:rPr>
        <w:t>that the potential for aggregate pulsed interference to receivers of RNSS (space-Earth) systems or networks from two or more individual EESS (active) sensors that simultaneously operate in the same frequency bands needs to be considered, even where the interference assessment is for two or more individual EESS (active) sensors that are considered by evaluation not to exceed interference allowances</w:t>
      </w:r>
      <w:r w:rsidRPr="00C96909">
        <w:t>,</w:t>
      </w:r>
    </w:p>
    <w:p w14:paraId="2C81ACA3" w14:textId="77777777" w:rsidR="003B14C2" w:rsidRPr="00C96909" w:rsidRDefault="003B14C2" w:rsidP="003B14C2">
      <w:pPr>
        <w:pStyle w:val="Call"/>
      </w:pPr>
      <w:r w:rsidRPr="00C96909">
        <w:t>recognizing</w:t>
      </w:r>
    </w:p>
    <w:p w14:paraId="05C8B99E" w14:textId="77777777" w:rsidR="003B14C2" w:rsidRPr="00C96909" w:rsidRDefault="003B14C2" w:rsidP="003B14C2">
      <w:r w:rsidRPr="00C96909">
        <w:rPr>
          <w:i/>
        </w:rPr>
        <w:t>a)</w:t>
      </w:r>
      <w:r w:rsidRPr="00C96909">
        <w:tab/>
        <w:t>that the RNSS (</w:t>
      </w:r>
      <w:r>
        <w:t>(</w:t>
      </w:r>
      <w:r w:rsidRPr="00C96909">
        <w:t>space-to-Earth) and (space-to-space)</w:t>
      </w:r>
      <w:r>
        <w:t>)</w:t>
      </w:r>
      <w:r w:rsidRPr="00C96909">
        <w:t xml:space="preserve"> is allocated on a primary basis in the 1 215</w:t>
      </w:r>
      <w:r w:rsidRPr="00C96909">
        <w:noBreakHyphen/>
        <w:t>1 300 MHz frequency band;</w:t>
      </w:r>
    </w:p>
    <w:p w14:paraId="0085920F" w14:textId="77777777" w:rsidR="003B14C2" w:rsidRPr="00C96909" w:rsidRDefault="003B14C2" w:rsidP="003B14C2">
      <w:r w:rsidRPr="00C96909">
        <w:rPr>
          <w:i/>
        </w:rPr>
        <w:t>b)</w:t>
      </w:r>
      <w:r w:rsidRPr="00C96909">
        <w:tab/>
        <w:t>that the EESS (active) is allocated on a primary basis in the frequency band 1 215</w:t>
      </w:r>
      <w:r w:rsidRPr="00C96909">
        <w:noBreakHyphen/>
        <w:t xml:space="preserve">1 300 MHz subject to the limitations of certain Radio Regulations (RR) including Nos. </w:t>
      </w:r>
      <w:r w:rsidRPr="00C96909">
        <w:rPr>
          <w:b/>
        </w:rPr>
        <w:t>5.332</w:t>
      </w:r>
      <w:r w:rsidRPr="00C96909">
        <w:t xml:space="preserve"> and </w:t>
      </w:r>
      <w:r w:rsidRPr="00C96909">
        <w:rPr>
          <w:b/>
        </w:rPr>
        <w:t>5.335A</w:t>
      </w:r>
      <w:r w:rsidRPr="00C96909">
        <w:t>;</w:t>
      </w:r>
    </w:p>
    <w:p w14:paraId="1F40EAA5" w14:textId="77777777" w:rsidR="003B14C2" w:rsidRPr="00C96909" w:rsidRDefault="003B14C2" w:rsidP="003B14C2">
      <w:r w:rsidRPr="00C96909">
        <w:rPr>
          <w:i/>
        </w:rPr>
        <w:t>c)</w:t>
      </w:r>
      <w:r w:rsidRPr="00C96909">
        <w:rPr>
          <w:i/>
        </w:rPr>
        <w:tab/>
      </w:r>
      <w:r w:rsidRPr="00C96909">
        <w:t>that synthetic aperture radar (SAR) is one type of EESS (active) spaceborne sensor;</w:t>
      </w:r>
    </w:p>
    <w:p w14:paraId="18768154" w14:textId="77777777" w:rsidR="003B14C2" w:rsidRPr="00C96909" w:rsidRDefault="003B14C2" w:rsidP="003B14C2">
      <w:r w:rsidRPr="00C96909">
        <w:rPr>
          <w:i/>
        </w:rPr>
        <w:t>d)</w:t>
      </w:r>
      <w:r w:rsidRPr="00C96909">
        <w:tab/>
        <w:t xml:space="preserve">that notwithstanding RR No. </w:t>
      </w:r>
      <w:r w:rsidRPr="00C96909">
        <w:rPr>
          <w:b/>
        </w:rPr>
        <w:t>5.332</w:t>
      </w:r>
      <w:r w:rsidRPr="00C96909">
        <w:t>, SAR sensors and RNSS receivers have been able to operate in the 1 215-1 260 MHz frequency band for decades;</w:t>
      </w:r>
    </w:p>
    <w:p w14:paraId="154C3A23" w14:textId="77777777" w:rsidR="003B14C2" w:rsidRPr="00C96909" w:rsidRDefault="003B14C2" w:rsidP="003B14C2">
      <w:r w:rsidRPr="00C96909">
        <w:rPr>
          <w:i/>
          <w:iCs/>
        </w:rPr>
        <w:t>e)</w:t>
      </w:r>
      <w:r w:rsidRPr="00C96909">
        <w:rPr>
          <w:i/>
          <w:iCs/>
        </w:rPr>
        <w:tab/>
      </w:r>
      <w:r w:rsidRPr="00C96909">
        <w:t xml:space="preserve">that several Recommendations, including </w:t>
      </w:r>
      <w:hyperlink r:id="rId25" w:history="1">
        <w:r w:rsidRPr="00E67187">
          <w:rPr>
            <w:rFonts w:eastAsia="Calibri"/>
            <w:lang w:eastAsia="zh-CN"/>
          </w:rPr>
          <w:t>ITU-R M.1901</w:t>
        </w:r>
      </w:hyperlink>
      <w:r w:rsidRPr="00C96909">
        <w:t xml:space="preserve">, </w:t>
      </w:r>
      <w:hyperlink r:id="rId26" w:history="1">
        <w:r w:rsidRPr="00E67187">
          <w:rPr>
            <w:rFonts w:eastAsia="Calibri"/>
            <w:lang w:eastAsia="zh-CN"/>
          </w:rPr>
          <w:t>ITU-R M.1902</w:t>
        </w:r>
      </w:hyperlink>
      <w:r w:rsidRPr="00C96909">
        <w:t>,</w:t>
      </w:r>
      <w:r w:rsidRPr="00C96909">
        <w:rPr>
          <w:lang w:eastAsia="ja-JP"/>
        </w:rPr>
        <w:t xml:space="preserve"> </w:t>
      </w:r>
      <w:r w:rsidRPr="00C96909">
        <w:t>and </w:t>
      </w:r>
      <w:hyperlink r:id="rId27" w:history="1">
        <w:r w:rsidRPr="00E67187">
          <w:rPr>
            <w:rFonts w:eastAsia="Calibri"/>
            <w:lang w:eastAsia="zh-CN"/>
          </w:rPr>
          <w:t>ITU-R M.1787</w:t>
        </w:r>
      </w:hyperlink>
      <w:r w:rsidRPr="00C96909">
        <w:t>, provide technical and operational characteristics and protection criteria for RNSS system and network operations;</w:t>
      </w:r>
    </w:p>
    <w:p w14:paraId="285F1EE7" w14:textId="21FD1297" w:rsidR="003B14C2" w:rsidRPr="00C96909" w:rsidRDefault="003B14C2" w:rsidP="003B14C2">
      <w:pPr>
        <w:rPr>
          <w:spacing w:val="-2"/>
        </w:rPr>
      </w:pPr>
      <w:r w:rsidRPr="00C96909">
        <w:rPr>
          <w:i/>
          <w:iCs/>
          <w:spacing w:val="-2"/>
        </w:rPr>
        <w:t>f)</w:t>
      </w:r>
      <w:r w:rsidRPr="00C96909">
        <w:rPr>
          <w:spacing w:val="-2"/>
        </w:rPr>
        <w:tab/>
        <w:t xml:space="preserve">that Recommendation </w:t>
      </w:r>
      <w:hyperlink r:id="rId28" w:history="1">
        <w:r w:rsidRPr="00E67187">
          <w:rPr>
            <w:rFonts w:eastAsia="Calibri"/>
            <w:lang w:eastAsia="zh-CN"/>
          </w:rPr>
          <w:t>ITU-R M.2030</w:t>
        </w:r>
      </w:hyperlink>
      <w:r w:rsidRPr="00C96909">
        <w:rPr>
          <w:spacing w:val="-2"/>
        </w:rPr>
        <w:t xml:space="preserve"> and Report </w:t>
      </w:r>
      <w:hyperlink r:id="rId29" w:history="1">
        <w:r w:rsidRPr="00E67187">
          <w:rPr>
            <w:rFonts w:eastAsia="Calibri"/>
            <w:lang w:eastAsia="zh-CN"/>
          </w:rPr>
          <w:t>ITU-R M.2220</w:t>
        </w:r>
      </w:hyperlink>
      <w:r w:rsidRPr="00C96909">
        <w:rPr>
          <w:spacing w:val="-2"/>
        </w:rPr>
        <w:t xml:space="preserve"> provide, respectively, a general method for analysing the potential for pulsed radio</w:t>
      </w:r>
      <w:r w:rsidR="00B14A9C">
        <w:rPr>
          <w:spacing w:val="-2"/>
        </w:rPr>
        <w:t>-</w:t>
      </w:r>
      <w:r w:rsidRPr="00C96909">
        <w:rPr>
          <w:spacing w:val="-2"/>
        </w:rPr>
        <w:t xml:space="preserve">frequency interference to RNSS receivers and a means of characterizing the received pulsed emissions from potential interference sources, and </w:t>
      </w:r>
      <w:r w:rsidRPr="00C96909">
        <w:rPr>
          <w:spacing w:val="-2"/>
        </w:rPr>
        <w:lastRenderedPageBreak/>
        <w:t xml:space="preserve">Recommendation </w:t>
      </w:r>
      <w:hyperlink r:id="rId30" w:history="1">
        <w:r w:rsidRPr="00E67187">
          <w:rPr>
            <w:rFonts w:eastAsia="Calibri"/>
            <w:lang w:eastAsia="zh-CN"/>
          </w:rPr>
          <w:t>ITU-R M.2030</w:t>
        </w:r>
      </w:hyperlink>
      <w:r w:rsidRPr="00C96909">
        <w:rPr>
          <w:spacing w:val="-2"/>
        </w:rPr>
        <w:t xml:space="preserve"> provides the allowable degradation ratios from pulsed interference for some RNSS receivers (space-to-Earth) operating in the band 1 215</w:t>
      </w:r>
      <w:r w:rsidRPr="00C96909">
        <w:rPr>
          <w:spacing w:val="-2"/>
        </w:rPr>
        <w:noBreakHyphen/>
        <w:t>1 300 MHz;</w:t>
      </w:r>
    </w:p>
    <w:p w14:paraId="64315F5E" w14:textId="77777777" w:rsidR="003B14C2" w:rsidRPr="00C96909" w:rsidRDefault="003B14C2" w:rsidP="003B14C2">
      <w:pPr>
        <w:spacing w:after="120"/>
      </w:pPr>
      <w:r w:rsidRPr="00C96909">
        <w:rPr>
          <w:i/>
        </w:rPr>
        <w:t>g)</w:t>
      </w:r>
      <w:r w:rsidRPr="00C96909">
        <w:tab/>
      </w:r>
      <w:r w:rsidRPr="00C96909">
        <w:rPr>
          <w:lang w:eastAsia="zh-CN"/>
        </w:rPr>
        <w:t xml:space="preserve">that </w:t>
      </w:r>
      <w:r w:rsidRPr="00C96909">
        <w:rPr>
          <w:rFonts w:eastAsia="SimSun"/>
          <w:color w:val="000000" w:themeColor="text1"/>
          <w:lang w:eastAsia="zh-CN"/>
        </w:rPr>
        <w:t xml:space="preserve">Report ITU-R RS.2537-0 </w:t>
      </w:r>
      <w:r w:rsidRPr="00C96909">
        <w:rPr>
          <w:lang w:eastAsia="zh-CN"/>
        </w:rPr>
        <w:t>presents examples of applying the relevant methodology for evaluating the interference from a single spaceborne synthetic aperture radar in the EESS (active) into</w:t>
      </w:r>
      <w:r w:rsidRPr="00C96909">
        <w:t xml:space="preserve"> receiving earth stations in the RNSS (space-to-Earth) operating in the 1 215</w:t>
      </w:r>
      <w:r w:rsidRPr="00C96909">
        <w:noBreakHyphen/>
        <w:t>1 300 MHz band;</w:t>
      </w:r>
    </w:p>
    <w:p w14:paraId="55247A5E" w14:textId="4A0E27E9" w:rsidR="003B14C2" w:rsidRPr="00C96909" w:rsidRDefault="003B14C2" w:rsidP="003B14C2">
      <w:pPr>
        <w:overflowPunct/>
        <w:spacing w:before="0"/>
        <w:textAlignment w:val="auto"/>
      </w:pPr>
      <w:r w:rsidRPr="00B14A9C">
        <w:rPr>
          <w:i/>
          <w:iCs/>
          <w:szCs w:val="24"/>
        </w:rPr>
        <w:t>h)</w:t>
      </w:r>
      <w:r w:rsidRPr="00B14A9C">
        <w:rPr>
          <w:szCs w:val="24"/>
        </w:rPr>
        <w:tab/>
        <w:t xml:space="preserve">that Report </w:t>
      </w:r>
      <w:hyperlink r:id="rId31" w:history="1">
        <w:r w:rsidRPr="00B14A9C">
          <w:rPr>
            <w:rStyle w:val="Hyperlink"/>
            <w:rFonts w:eastAsia="SimSun"/>
            <w:color w:val="auto"/>
            <w:u w:val="none"/>
            <w:lang w:eastAsia="zh-CN"/>
          </w:rPr>
          <w:t>ITU-R M.2305</w:t>
        </w:r>
      </w:hyperlink>
      <w:r w:rsidRPr="00B14A9C">
        <w:rPr>
          <w:szCs w:val="24"/>
        </w:rPr>
        <w:t xml:space="preserve"> includes </w:t>
      </w:r>
      <w:r w:rsidRPr="00B14A9C">
        <w:rPr>
          <w:szCs w:val="24"/>
          <w:lang w:eastAsia="zh-CN"/>
        </w:rPr>
        <w:t>consideration of aggregate radio</w:t>
      </w:r>
      <w:r w:rsidR="00B14A9C">
        <w:rPr>
          <w:szCs w:val="24"/>
          <w:lang w:eastAsia="zh-CN"/>
        </w:rPr>
        <w:t>-</w:t>
      </w:r>
      <w:r w:rsidRPr="00B14A9C">
        <w:rPr>
          <w:szCs w:val="24"/>
          <w:lang w:eastAsia="zh-CN"/>
        </w:rPr>
        <w:t xml:space="preserve">frequency interference </w:t>
      </w:r>
      <w:r w:rsidRPr="00C96909">
        <w:rPr>
          <w:szCs w:val="24"/>
          <w:lang w:eastAsia="zh-CN"/>
        </w:rPr>
        <w:t>event potentials from multiple Earth exploration-satellite service systems on radionavigation-satellite service receivers operating in the 1 215-1 300 MHz frequency band,</w:t>
      </w:r>
    </w:p>
    <w:p w14:paraId="737748CE" w14:textId="77777777" w:rsidR="003B14C2" w:rsidRPr="00C96909" w:rsidRDefault="003B14C2" w:rsidP="003B14C2">
      <w:pPr>
        <w:pStyle w:val="Call"/>
      </w:pPr>
      <w:r w:rsidRPr="00C96909">
        <w:t>noting</w:t>
      </w:r>
    </w:p>
    <w:p w14:paraId="4230ECD0" w14:textId="4B34745C" w:rsidR="003B14C2" w:rsidRPr="00C96909" w:rsidRDefault="003B14C2" w:rsidP="003B14C2">
      <w:r w:rsidRPr="00C96909">
        <w:t xml:space="preserve">that for </w:t>
      </w:r>
      <w:proofErr w:type="spellStart"/>
      <w:r w:rsidRPr="00C96909">
        <w:t>scatterometers</w:t>
      </w:r>
      <w:proofErr w:type="spellEnd"/>
      <w:r w:rsidRPr="00C96909">
        <w:t xml:space="preserve"> in the EESS (active) service that would operate in the frequency band 1</w:t>
      </w:r>
      <w:r>
        <w:t> </w:t>
      </w:r>
      <w:r w:rsidRPr="00C96909">
        <w:t>215</w:t>
      </w:r>
      <w:r w:rsidRPr="00C96909">
        <w:noBreakHyphen/>
        <w:t>1</w:t>
      </w:r>
      <w:r w:rsidR="00B14A9C">
        <w:t> </w:t>
      </w:r>
      <w:r w:rsidRPr="00C96909">
        <w:t>300 MHz, the applicable methodology and example application thereof remains under study in the ITU-R,</w:t>
      </w:r>
      <w:r w:rsidRPr="00C96909">
        <w:rPr>
          <w:rStyle w:val="FootnoteReference"/>
        </w:rPr>
        <w:footnoteReference w:id="1"/>
      </w:r>
    </w:p>
    <w:p w14:paraId="69F9C9A4" w14:textId="77777777" w:rsidR="003B14C2" w:rsidRPr="00C96909" w:rsidRDefault="003B14C2" w:rsidP="003B14C2">
      <w:pPr>
        <w:pStyle w:val="Call"/>
      </w:pPr>
      <w:r w:rsidRPr="00C96909">
        <w:t>recommends</w:t>
      </w:r>
    </w:p>
    <w:p w14:paraId="2EB98FDE" w14:textId="3B9878EA" w:rsidR="003B14C2" w:rsidRPr="00555A6D" w:rsidRDefault="003B14C2" w:rsidP="00555A6D">
      <w:r w:rsidRPr="00555A6D">
        <w:rPr>
          <w:bCs/>
        </w:rPr>
        <w:t>1</w:t>
      </w:r>
      <w:r w:rsidRPr="00555A6D">
        <w:tab/>
        <w:t xml:space="preserve">that the method in Recommendation </w:t>
      </w:r>
      <w:hyperlink r:id="rId32" w:history="1">
        <w:r w:rsidRPr="00555A6D">
          <w:rPr>
            <w:rFonts w:eastAsia="Calibri"/>
            <w:lang w:eastAsia="zh-CN"/>
          </w:rPr>
          <w:t>ITU-R M.2030</w:t>
        </w:r>
      </w:hyperlink>
      <w:r w:rsidRPr="00555A6D">
        <w:t xml:space="preserve"> should</w:t>
      </w:r>
      <w:r w:rsidRPr="00555A6D">
        <w:rPr>
          <w:lang w:eastAsia="zh-CN"/>
        </w:rPr>
        <w:t xml:space="preserve"> </w:t>
      </w:r>
      <w:r w:rsidRPr="00555A6D">
        <w:t xml:space="preserve">be used, as appropriate, along with Report </w:t>
      </w:r>
      <w:hyperlink r:id="rId33" w:history="1">
        <w:r w:rsidRPr="00555A6D">
          <w:rPr>
            <w:rFonts w:eastAsia="Calibri"/>
            <w:lang w:eastAsia="zh-CN"/>
          </w:rPr>
          <w:t>ITU-R M.2220</w:t>
        </w:r>
      </w:hyperlink>
      <w:r w:rsidRPr="00555A6D">
        <w:t xml:space="preserve">, Recommendations </w:t>
      </w:r>
      <w:hyperlink r:id="rId34" w:history="1">
        <w:r w:rsidRPr="00555A6D">
          <w:rPr>
            <w:rFonts w:eastAsia="Calibri"/>
            <w:lang w:eastAsia="zh-CN"/>
          </w:rPr>
          <w:t>ITU-R M.1901</w:t>
        </w:r>
      </w:hyperlink>
      <w:r w:rsidRPr="00555A6D">
        <w:t xml:space="preserve">, </w:t>
      </w:r>
      <w:hyperlink r:id="rId35" w:history="1">
        <w:r w:rsidRPr="00555A6D">
          <w:rPr>
            <w:rFonts w:eastAsia="Calibri"/>
            <w:lang w:eastAsia="zh-CN"/>
          </w:rPr>
          <w:t>ITU-R M.1902</w:t>
        </w:r>
      </w:hyperlink>
      <w:r w:rsidRPr="00555A6D">
        <w:t xml:space="preserve">, and </w:t>
      </w:r>
      <w:hyperlink r:id="rId36" w:history="1">
        <w:r w:rsidRPr="00555A6D">
          <w:rPr>
            <w:rFonts w:eastAsia="Calibri"/>
            <w:lang w:eastAsia="zh-CN"/>
          </w:rPr>
          <w:t>ITU-R M.1787</w:t>
        </w:r>
      </w:hyperlink>
      <w:r w:rsidRPr="00555A6D">
        <w:t>, for the preliminary evaluation of the potential for pulsed interference from planned</w:t>
      </w:r>
      <w:r w:rsidRPr="00555A6D">
        <w:rPr>
          <w:sz w:val="22"/>
          <w:szCs w:val="18"/>
        </w:rPr>
        <w:t xml:space="preserve"> </w:t>
      </w:r>
      <w:r w:rsidRPr="00555A6D">
        <w:t>EESS (active) SAR sensors into the 1 215-1 300 MHz frequency band, including consideration of the interference resulting from all planned and currently operating EESS (active) sensors in this frequency band (see Note 1)</w:t>
      </w:r>
      <w:r w:rsidRPr="00555A6D">
        <w:rPr>
          <w:rStyle w:val="FootnoteReference"/>
        </w:rPr>
        <w:footnoteReference w:id="2"/>
      </w:r>
      <w:r w:rsidRPr="00555A6D">
        <w:t>;</w:t>
      </w:r>
    </w:p>
    <w:p w14:paraId="1FD0F1B8" w14:textId="77777777" w:rsidR="003B14C2" w:rsidRPr="00C96909" w:rsidRDefault="003B14C2" w:rsidP="003B14C2">
      <w:r w:rsidRPr="00C96909">
        <w:rPr>
          <w:bCs/>
        </w:rPr>
        <w:t>2</w:t>
      </w:r>
      <w:r w:rsidRPr="00C96909">
        <w:rPr>
          <w:b/>
        </w:rPr>
        <w:tab/>
      </w:r>
      <w:r w:rsidRPr="00C96909">
        <w:t xml:space="preserve">that, taking into account </w:t>
      </w:r>
      <w:r w:rsidRPr="00C96909">
        <w:rPr>
          <w:i/>
          <w:iCs/>
        </w:rPr>
        <w:t xml:space="preserve">recognizing b) </w:t>
      </w:r>
      <w:r w:rsidRPr="00C96909">
        <w:t xml:space="preserve">above, if the application of the method specified in </w:t>
      </w:r>
      <w:r w:rsidRPr="00C96909">
        <w:rPr>
          <w:i/>
        </w:rPr>
        <w:t xml:space="preserve">recommends </w:t>
      </w:r>
      <w:r w:rsidRPr="00C96909">
        <w:t>1</w:t>
      </w:r>
      <w:r w:rsidRPr="00C96909">
        <w:rPr>
          <w:i/>
        </w:rPr>
        <w:t xml:space="preserve"> </w:t>
      </w:r>
      <w:r w:rsidRPr="00C96909">
        <w:t>indicates that the allowable degradation ratio for receiving earth stations in RNSS (space-to-Earth) systems or networks (</w:t>
      </w:r>
      <w:r w:rsidRPr="00A21AEB">
        <w:t>see</w:t>
      </w:r>
      <w:r w:rsidRPr="00C96909">
        <w:rPr>
          <w:i/>
          <w:iCs/>
        </w:rPr>
        <w:t xml:space="preserve"> </w:t>
      </w:r>
      <w:r w:rsidRPr="00C96909">
        <w:t xml:space="preserve">Table 2 in Annex 1 to Recommendation </w:t>
      </w:r>
      <w:hyperlink r:id="rId37" w:history="1">
        <w:r w:rsidRPr="00E67187">
          <w:rPr>
            <w:rFonts w:eastAsia="Calibri"/>
            <w:lang w:eastAsia="zh-CN"/>
          </w:rPr>
          <w:t>ITU-R M.2030</w:t>
        </w:r>
      </w:hyperlink>
      <w:r w:rsidRPr="00C96909">
        <w:t xml:space="preserve">) would not be exceeded, then the result of this analysis can be </w:t>
      </w:r>
      <w:r w:rsidRPr="00C96909">
        <w:rPr>
          <w:lang w:eastAsia="zh-CN"/>
        </w:rPr>
        <w:t xml:space="preserve">referenced by the affected RNSS systems and networks, and can be used by administrations in further </w:t>
      </w:r>
      <w:r w:rsidRPr="00C96909">
        <w:t xml:space="preserve">consideration of the cumulative impact of multiple spaceborne active sensors, including all known </w:t>
      </w:r>
      <w:r w:rsidRPr="00C96909">
        <w:rPr>
          <w:spacing w:val="-2"/>
          <w:szCs w:val="18"/>
        </w:rPr>
        <w:t xml:space="preserve">planned </w:t>
      </w:r>
      <w:r w:rsidRPr="00C96909">
        <w:t>and currently operating SAR sensors, that simultaneously illuminate the RNSS receivers, wherever relevant (see Note 1);</w:t>
      </w:r>
    </w:p>
    <w:p w14:paraId="2DD5F0EB" w14:textId="77777777" w:rsidR="003B14C2" w:rsidRPr="00C96909" w:rsidRDefault="003B14C2" w:rsidP="003B14C2">
      <w:pPr>
        <w:keepNext/>
        <w:keepLines/>
      </w:pPr>
      <w:r w:rsidRPr="00C96909">
        <w:rPr>
          <w:bCs/>
        </w:rPr>
        <w:t>3</w:t>
      </w:r>
      <w:r w:rsidRPr="00C96909">
        <w:tab/>
        <w:t xml:space="preserve">that if the application of the method specified in </w:t>
      </w:r>
      <w:r w:rsidRPr="00C96909">
        <w:rPr>
          <w:i/>
        </w:rPr>
        <w:t xml:space="preserve">recommends </w:t>
      </w:r>
      <w:r w:rsidRPr="00C96909">
        <w:t>1</w:t>
      </w:r>
      <w:r w:rsidRPr="00C96909">
        <w:rPr>
          <w:i/>
        </w:rPr>
        <w:t xml:space="preserve"> </w:t>
      </w:r>
      <w:r w:rsidRPr="00C96909">
        <w:t xml:space="preserve">indicates exceedance of the allowable degradation ratio from Table 2 in Annex 1 to Recommendation </w:t>
      </w:r>
      <w:hyperlink r:id="rId38" w:history="1">
        <w:r w:rsidRPr="00E67187">
          <w:rPr>
            <w:rFonts w:eastAsia="Calibri"/>
            <w:lang w:eastAsia="zh-CN"/>
          </w:rPr>
          <w:t>ITU-R M.2030</w:t>
        </w:r>
      </w:hyperlink>
      <w:r w:rsidRPr="00C96909">
        <w:t xml:space="preserve"> for receiving earth stations in RNSS (space-to-Earth) systems or networks, or if the administration(s) of an affected RNSS system or network so requests, then a more detailed analysis should be performed that:</w:t>
      </w:r>
    </w:p>
    <w:p w14:paraId="03882F62" w14:textId="77777777" w:rsidR="003B14C2" w:rsidRPr="00C96909" w:rsidRDefault="003B14C2" w:rsidP="003B14C2">
      <w:pPr>
        <w:pStyle w:val="enumlev1"/>
      </w:pPr>
      <w:r w:rsidRPr="00C96909">
        <w:t>–</w:t>
      </w:r>
      <w:r w:rsidRPr="00C96909">
        <w:tab/>
        <w:t>involves the administration(s) of the operators of the intended EESS (active) sensor and the administration(s) of the affected RNSS system or network; and</w:t>
      </w:r>
    </w:p>
    <w:p w14:paraId="1A8E6512" w14:textId="77777777" w:rsidR="003B14C2" w:rsidRPr="00C96909" w:rsidRDefault="003B14C2" w:rsidP="003B14C2">
      <w:pPr>
        <w:pStyle w:val="enumlev1"/>
      </w:pPr>
      <w:r w:rsidRPr="00C96909">
        <w:t>–</w:t>
      </w:r>
      <w:r w:rsidRPr="00C96909">
        <w:tab/>
        <w:t>takes into account operational parameters of the individual EESS (active) SAR sensor under consideration, detailed RNSS receiver characteristics, and any other relevant factors (see Note 1);</w:t>
      </w:r>
    </w:p>
    <w:p w14:paraId="63C82C4B" w14:textId="77777777" w:rsidR="003B14C2" w:rsidRPr="00C96909" w:rsidRDefault="003B14C2" w:rsidP="003F6906">
      <w:pPr>
        <w:keepNext/>
        <w:keepLines/>
      </w:pPr>
      <w:r w:rsidRPr="00C96909">
        <w:rPr>
          <w:bCs/>
        </w:rPr>
        <w:lastRenderedPageBreak/>
        <w:t>4</w:t>
      </w:r>
      <w:r w:rsidRPr="00C96909">
        <w:rPr>
          <w:b/>
        </w:rPr>
        <w:tab/>
      </w:r>
      <w:r w:rsidRPr="00C96909">
        <w:t xml:space="preserve">that, taking into account </w:t>
      </w:r>
      <w:r w:rsidRPr="00C96909">
        <w:rPr>
          <w:i/>
          <w:iCs/>
        </w:rPr>
        <w:t xml:space="preserve">recognizing b) </w:t>
      </w:r>
      <w:r w:rsidRPr="00C96909">
        <w:t xml:space="preserve">above, when the application of the detailed analysis of </w:t>
      </w:r>
      <w:r w:rsidRPr="00C96909">
        <w:rPr>
          <w:i/>
        </w:rPr>
        <w:t xml:space="preserve">recommends </w:t>
      </w:r>
      <w:r w:rsidRPr="00C96909">
        <w:t>3</w:t>
      </w:r>
      <w:r w:rsidRPr="00C96909">
        <w:rPr>
          <w:sz w:val="20"/>
        </w:rPr>
        <w:t xml:space="preserve"> </w:t>
      </w:r>
      <w:r w:rsidRPr="00C96909">
        <w:t>involving the administration(s) of the operators of the planned</w:t>
      </w:r>
      <w:r w:rsidRPr="00C96909">
        <w:rPr>
          <w:spacing w:val="-2"/>
          <w:sz w:val="22"/>
          <w:szCs w:val="18"/>
        </w:rPr>
        <w:t xml:space="preserve"> </w:t>
      </w:r>
      <w:r w:rsidRPr="00C96909">
        <w:t>EESS (active) sensor and administration(s) of the affected RNSS systems and networks,</w:t>
      </w:r>
      <w:r w:rsidRPr="00C96909">
        <w:rPr>
          <w:i/>
        </w:rPr>
        <w:t xml:space="preserve"> </w:t>
      </w:r>
      <w:r w:rsidRPr="00C96909">
        <w:t xml:space="preserve">determines that the allowable degradation ratio from Table 2 in Annex 1 to Recommendation </w:t>
      </w:r>
      <w:hyperlink r:id="rId39" w:history="1">
        <w:r w:rsidRPr="00E67187">
          <w:rPr>
            <w:rFonts w:eastAsia="Calibri"/>
            <w:lang w:eastAsia="zh-CN"/>
          </w:rPr>
          <w:t>ITU-R M.2030</w:t>
        </w:r>
      </w:hyperlink>
      <w:r w:rsidRPr="00C96909">
        <w:t xml:space="preserve"> for receiving earth stations in RNSS (space-to-Earth) systems or networks would not be exceeded, then the result of this analysis (which can be individual or aggregate as of the time of analysis) can </w:t>
      </w:r>
      <w:r w:rsidRPr="00C96909">
        <w:rPr>
          <w:lang w:eastAsia="zh-CN"/>
        </w:rPr>
        <w:t xml:space="preserve">be referenced </w:t>
      </w:r>
      <w:r w:rsidRPr="00C96909">
        <w:t xml:space="preserve">by the affected RNSS systems and networks, and can be used by administrations in further consideration of the cumulative impact of multiple spaceborne active sensors, including all known </w:t>
      </w:r>
      <w:r w:rsidRPr="00C96909">
        <w:rPr>
          <w:spacing w:val="-2"/>
          <w:szCs w:val="18"/>
        </w:rPr>
        <w:t xml:space="preserve">planned </w:t>
      </w:r>
      <w:r w:rsidRPr="00C96909">
        <w:t>and currently operating SAR sensors, that simultaneously illuminate the RNSS receivers, wherever relevant (see Note 1);</w:t>
      </w:r>
    </w:p>
    <w:p w14:paraId="11582166" w14:textId="77777777" w:rsidR="003B14C2" w:rsidRPr="00C96909" w:rsidRDefault="003B14C2" w:rsidP="003B14C2">
      <w:r w:rsidRPr="00C96909">
        <w:t>5</w:t>
      </w:r>
      <w:r w:rsidRPr="00C96909">
        <w:tab/>
        <w:t>that Note 1 is considered as an integral part of this Recommendation.</w:t>
      </w:r>
    </w:p>
    <w:p w14:paraId="7D060BF6" w14:textId="77777777" w:rsidR="003B14C2" w:rsidRPr="003F6906" w:rsidRDefault="003B14C2" w:rsidP="003F6906">
      <w:r w:rsidRPr="003F6906">
        <w:t xml:space="preserve">NOTE </w:t>
      </w:r>
      <w:r w:rsidRPr="003F6906">
        <w:rPr>
          <w:lang w:eastAsia="ja-JP"/>
        </w:rPr>
        <w:t>1</w:t>
      </w:r>
      <w:r w:rsidRPr="003F6906">
        <w:t xml:space="preserve"> – Notwithstanding </w:t>
      </w:r>
      <w:r w:rsidRPr="003F6906">
        <w:rPr>
          <w:i/>
          <w:iCs/>
        </w:rPr>
        <w:t xml:space="preserve">recommends </w:t>
      </w:r>
      <w:r w:rsidRPr="003F6906">
        <w:t xml:space="preserve">2 and 4, the evaluation of the potential pulsed interference from a </w:t>
      </w:r>
      <w:r w:rsidRPr="003F6906">
        <w:rPr>
          <w:szCs w:val="18"/>
        </w:rPr>
        <w:t xml:space="preserve">planned </w:t>
      </w:r>
      <w:r w:rsidRPr="003F6906">
        <w:t xml:space="preserve">EESS (active) sensor in this Recommendation </w:t>
      </w:r>
      <w:r w:rsidRPr="003F6906">
        <w:rPr>
          <w:lang w:eastAsia="zh-CN"/>
        </w:rPr>
        <w:t xml:space="preserve">should consider </w:t>
      </w:r>
      <w:r w:rsidRPr="003F6906">
        <w:t xml:space="preserve">the cumulative impact of multiple spaceborne active sensors, including all </w:t>
      </w:r>
      <w:r w:rsidRPr="003F6906">
        <w:rPr>
          <w:szCs w:val="18"/>
        </w:rPr>
        <w:t xml:space="preserve">planned </w:t>
      </w:r>
      <w:r w:rsidRPr="003F6906">
        <w:t>and currently operating SAR sensors, that simultaneously operate in the same frequency band in the same area with RNSS receivers, wherever relevant.</w:t>
      </w:r>
      <w:r w:rsidRPr="003F6906">
        <w:rPr>
          <w:lang w:eastAsia="ja-JP"/>
        </w:rPr>
        <w:t xml:space="preserve"> </w:t>
      </w:r>
      <w:r w:rsidRPr="003F6906">
        <w:t xml:space="preserve">One potential means of mitigating the potential aggregate interference from multiple spaceborne active sensors is through operational coordination by EESS (active) operators of such sensors. Further consideration on the evaluation of potential aggregate interference from multiple spaceborne active sensors is provided in Report </w:t>
      </w:r>
      <w:hyperlink r:id="rId40" w:history="1">
        <w:r w:rsidRPr="003F6906">
          <w:rPr>
            <w:rStyle w:val="Hyperlink"/>
            <w:rFonts w:eastAsia="SimSun"/>
            <w:color w:val="auto"/>
            <w:u w:val="none"/>
            <w:lang w:eastAsia="zh-CN"/>
          </w:rPr>
          <w:t>ITU-R M.2305</w:t>
        </w:r>
      </w:hyperlink>
      <w:r w:rsidRPr="003F6906">
        <w:t>.</w:t>
      </w:r>
    </w:p>
    <w:p w14:paraId="6C05C843" w14:textId="0F936EA1" w:rsidR="003B14C2" w:rsidRPr="00C96909" w:rsidRDefault="003B14C2" w:rsidP="003F6906">
      <w:pPr>
        <w:pStyle w:val="Line"/>
        <w:rPr>
          <w:lang w:eastAsia="zh-CN"/>
        </w:rPr>
      </w:pPr>
    </w:p>
    <w:sectPr w:rsidR="003B14C2" w:rsidRPr="00C96909" w:rsidSect="00F01690">
      <w:headerReference w:type="even" r:id="rId41"/>
      <w:headerReference w:type="default" r:id="rId42"/>
      <w:footerReference w:type="default" r:id="rId4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0BDC" w14:textId="77777777" w:rsidR="003B14C2" w:rsidRDefault="003B14C2">
      <w:r>
        <w:separator/>
      </w:r>
    </w:p>
  </w:endnote>
  <w:endnote w:type="continuationSeparator" w:id="0">
    <w:p w14:paraId="0A402263" w14:textId="77777777" w:rsidR="003B14C2" w:rsidRDefault="003B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3DB3" w14:textId="77777777" w:rsidR="003B14C2" w:rsidRDefault="003B14C2">
    <w:pPr>
      <w:pStyle w:val="Footer"/>
    </w:pPr>
    <w:r>
      <w:drawing>
        <wp:anchor distT="0" distB="0" distL="0" distR="0" simplePos="0" relativeHeight="251659264" behindDoc="0" locked="0" layoutInCell="1" allowOverlap="1" wp14:anchorId="69BB206F" wp14:editId="4AD844ED">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6CC9" w14:textId="69C6EFDC" w:rsidR="003350FE" w:rsidRDefault="00335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4CFA" w14:textId="77777777" w:rsidR="003B14C2" w:rsidRDefault="003B14C2">
      <w:r>
        <w:separator/>
      </w:r>
    </w:p>
  </w:footnote>
  <w:footnote w:type="continuationSeparator" w:id="0">
    <w:p w14:paraId="0D0440B0" w14:textId="77777777" w:rsidR="003B14C2" w:rsidRDefault="003B14C2">
      <w:r>
        <w:continuationSeparator/>
      </w:r>
    </w:p>
  </w:footnote>
  <w:footnote w:id="1">
    <w:p w14:paraId="34E0A1C2" w14:textId="77777777" w:rsidR="003B14C2" w:rsidRPr="00EA1E37" w:rsidRDefault="003B14C2" w:rsidP="003B14C2">
      <w:pPr>
        <w:pStyle w:val="FootnoteText"/>
        <w:rPr>
          <w:sz w:val="32"/>
          <w:szCs w:val="24"/>
          <w:lang w:val="en-US"/>
        </w:rPr>
      </w:pPr>
      <w:r>
        <w:rPr>
          <w:rStyle w:val="FootnoteReference"/>
        </w:rPr>
        <w:footnoteRef/>
      </w:r>
      <w:r>
        <w:t xml:space="preserve"> </w:t>
      </w:r>
      <w:r>
        <w:tab/>
      </w:r>
      <w:r w:rsidRPr="00EA1E37">
        <w:rPr>
          <w:szCs w:val="32"/>
        </w:rPr>
        <w:t>When the studies are complete, relevant material could be included in a revision to this Recommendation and/or in a</w:t>
      </w:r>
      <w:r>
        <w:rPr>
          <w:szCs w:val="32"/>
        </w:rPr>
        <w:t xml:space="preserve"> new or revised ITU-R Report. </w:t>
      </w:r>
      <w:r w:rsidRPr="00EA1E37">
        <w:rPr>
          <w:szCs w:val="32"/>
        </w:rPr>
        <w:t xml:space="preserve">In the meantime, the potential for harmful interference from </w:t>
      </w:r>
      <w:proofErr w:type="spellStart"/>
      <w:r w:rsidRPr="00EA1E37">
        <w:rPr>
          <w:szCs w:val="32"/>
        </w:rPr>
        <w:t>scatterometers</w:t>
      </w:r>
      <w:proofErr w:type="spellEnd"/>
      <w:r w:rsidRPr="00EA1E37">
        <w:rPr>
          <w:szCs w:val="32"/>
        </w:rPr>
        <w:t xml:space="preserve"> into RNSS systems or networks should be assessed on a case</w:t>
      </w:r>
      <w:r w:rsidRPr="00EA1E37">
        <w:rPr>
          <w:szCs w:val="32"/>
        </w:rPr>
        <w:noBreakHyphen/>
        <w:t>by</w:t>
      </w:r>
      <w:r w:rsidRPr="00EA1E37">
        <w:rPr>
          <w:szCs w:val="32"/>
        </w:rPr>
        <w:noBreakHyphen/>
        <w:t>case basis between operators using mutually-agreed parameters and criteria.</w:t>
      </w:r>
    </w:p>
  </w:footnote>
  <w:footnote w:id="2">
    <w:p w14:paraId="28AA6D37" w14:textId="77777777" w:rsidR="003B14C2" w:rsidRPr="00A16F91" w:rsidRDefault="003B14C2" w:rsidP="003B14C2">
      <w:pPr>
        <w:pStyle w:val="FootnoteText"/>
        <w:rPr>
          <w:lang w:val="en-US"/>
        </w:rPr>
      </w:pPr>
      <w:r w:rsidRPr="009507B6">
        <w:rPr>
          <w:rStyle w:val="FootnoteReference"/>
        </w:rPr>
        <w:footnoteRef/>
      </w:r>
      <w:r>
        <w:rPr>
          <w:lang w:val="en-US"/>
        </w:rPr>
        <w:tab/>
      </w:r>
      <w:r w:rsidRPr="009507B6">
        <w:rPr>
          <w:lang w:val="en-US"/>
        </w:rPr>
        <w:t xml:space="preserve">“Planned” EESS (active) sensors </w:t>
      </w:r>
      <w:r w:rsidRPr="006D1289">
        <w:rPr>
          <w:lang w:val="en-US"/>
        </w:rPr>
        <w:t xml:space="preserve">in this Recommendation </w:t>
      </w:r>
      <w:r w:rsidRPr="009507B6">
        <w:rPr>
          <w:lang w:val="en-US"/>
        </w:rPr>
        <w:t xml:space="preserve">are understood to be sensors that are notified and preparing to </w:t>
      </w:r>
      <w:proofErr w:type="gramStart"/>
      <w:r w:rsidRPr="009507B6">
        <w:rPr>
          <w:lang w:val="en-US"/>
        </w:rPr>
        <w:t>enter into</w:t>
      </w:r>
      <w:proofErr w:type="gramEnd"/>
      <w:r w:rsidRPr="009507B6">
        <w:rPr>
          <w:lang w:val="en-US"/>
        </w:rPr>
        <w:t xml:space="preserve"> </w:t>
      </w:r>
      <w:r w:rsidRPr="006D1289">
        <w:rPr>
          <w:lang w:val="en-US"/>
        </w:rPr>
        <w:t xml:space="preserve">simultaneous </w:t>
      </w:r>
      <w:r w:rsidRPr="009507B6">
        <w:rPr>
          <w:lang w:val="en-US"/>
        </w:rPr>
        <w:t>operation with the EESS (active) sensor under evaluation.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55CC" w14:textId="77777777" w:rsidR="003B14C2" w:rsidRDefault="003B14C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3B14C2" w:rsidRPr="00A239D1" w14:paraId="390801AD" w14:textId="77777777" w:rsidTr="0019307B">
      <w:tc>
        <w:tcPr>
          <w:tcW w:w="4634" w:type="dxa"/>
          <w:vAlign w:val="center"/>
        </w:tcPr>
        <w:p w14:paraId="21B54E11" w14:textId="77777777" w:rsidR="003B14C2" w:rsidRPr="005B0371" w:rsidRDefault="003B14C2"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80A35D" w14:textId="77777777" w:rsidR="003B14C2" w:rsidRPr="00260B24" w:rsidRDefault="003B14C2"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3B14C2" w:rsidRPr="00A239D1" w14:paraId="65DEA190" w14:textId="77777777" w:rsidTr="0019307B">
      <w:tc>
        <w:tcPr>
          <w:tcW w:w="4634" w:type="dxa"/>
          <w:vAlign w:val="center"/>
        </w:tcPr>
        <w:p w14:paraId="033509FE" w14:textId="77777777" w:rsidR="003B14C2" w:rsidRPr="00260B24" w:rsidRDefault="003B14C2"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24CCF4F8" w14:textId="77777777" w:rsidR="003B14C2" w:rsidRPr="00260B24" w:rsidRDefault="003B14C2"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28E90F7E" w14:textId="77777777" w:rsidR="003B14C2" w:rsidRDefault="003B14C2"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D1C0180" wp14:editId="06723A2F">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672ED6C4" wp14:editId="0AF2182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602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0042A1F" w14:textId="77777777" w:rsidR="003B14C2" w:rsidRDefault="003B14C2"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0495B983" wp14:editId="7EFA772E">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8B974"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0DBC" w14:textId="0B2227B0" w:rsidR="003B14C2" w:rsidRPr="00D72623" w:rsidRDefault="003B14C2"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800A8">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D800A8">
      <w:rPr>
        <w:b/>
        <w:bCs/>
        <w:noProof/>
      </w:rPr>
      <w:t>ITU-R  RS.2165-0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FC2F" w14:textId="0B39C188" w:rsidR="003B14C2" w:rsidRDefault="003B14C2">
    <w:pPr>
      <w:pStyle w:val="Header"/>
    </w:pPr>
    <w:r>
      <w:tab/>
    </w:r>
    <w:r>
      <w:rPr>
        <w:b/>
        <w:bCs/>
      </w:rPr>
      <w:fldChar w:fldCharType="begin"/>
    </w:r>
    <w:r>
      <w:rPr>
        <w:b/>
        <w:bCs/>
      </w:rPr>
      <w:instrText xml:space="preserve"> DOCPROPERTY "Header" \* MERGEFORMAT </w:instrText>
    </w:r>
    <w:r>
      <w:rPr>
        <w:b/>
        <w:bCs/>
      </w:rPr>
      <w:fldChar w:fldCharType="separate"/>
    </w:r>
    <w:r w:rsidR="00D800A8">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D800A8">
      <w:rPr>
        <w:b/>
        <w:bCs/>
        <w:noProof/>
      </w:rPr>
      <w:t>ITU-R  RS.2165-0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9F69" w14:textId="223C072A"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D800A8" w:rsidRPr="00D800A8">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D800A8">
      <w:rPr>
        <w:b/>
        <w:bCs/>
        <w:noProof/>
      </w:rPr>
      <w:t>ITU-R  RS.2165-0</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DAED" w14:textId="305188FA" w:rsidR="00607D68" w:rsidRDefault="00607D68">
    <w:pPr>
      <w:pStyle w:val="Header"/>
    </w:pPr>
    <w:r>
      <w:tab/>
    </w:r>
    <w:r w:rsidR="00D800A8">
      <w:fldChar w:fldCharType="begin"/>
    </w:r>
    <w:r w:rsidR="00D800A8">
      <w:instrText xml:space="preserve"> DOCPROPERTY "Header" \* MERGEFORMAT </w:instrText>
    </w:r>
    <w:r w:rsidR="00D800A8">
      <w:fldChar w:fldCharType="separate"/>
    </w:r>
    <w:r w:rsidR="00D800A8" w:rsidRPr="00D800A8">
      <w:rPr>
        <w:b/>
        <w:bCs/>
      </w:rPr>
      <w:t xml:space="preserve">Rec. </w:t>
    </w:r>
    <w:r w:rsidR="00D800A8">
      <w:rPr>
        <w:b/>
        <w:bCs/>
      </w:rPr>
      <w:fldChar w:fldCharType="end"/>
    </w:r>
    <w:r>
      <w:rPr>
        <w:b/>
        <w:bCs/>
      </w:rPr>
      <w:t xml:space="preserve"> </w:t>
    </w:r>
    <w:r>
      <w:rPr>
        <w:b/>
        <w:bCs/>
      </w:rPr>
      <w:fldChar w:fldCharType="begin"/>
    </w:r>
    <w:r>
      <w:rPr>
        <w:b/>
        <w:bCs/>
      </w:rPr>
      <w:instrText>styleref href</w:instrText>
    </w:r>
    <w:r>
      <w:rPr>
        <w:b/>
        <w:bCs/>
      </w:rPr>
      <w:fldChar w:fldCharType="separate"/>
    </w:r>
    <w:r w:rsidR="00D800A8">
      <w:rPr>
        <w:b/>
        <w:bCs/>
        <w:noProof/>
      </w:rPr>
      <w:t>ITU-R  RS.2165-0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C2"/>
    <w:rsid w:val="00110326"/>
    <w:rsid w:val="00217EBF"/>
    <w:rsid w:val="00242AEE"/>
    <w:rsid w:val="002D76C4"/>
    <w:rsid w:val="003350FE"/>
    <w:rsid w:val="003B14C2"/>
    <w:rsid w:val="003F6906"/>
    <w:rsid w:val="0052529D"/>
    <w:rsid w:val="00555A6D"/>
    <w:rsid w:val="00607D68"/>
    <w:rsid w:val="007468DA"/>
    <w:rsid w:val="009E00A8"/>
    <w:rsid w:val="00A6617B"/>
    <w:rsid w:val="00AB0DC8"/>
    <w:rsid w:val="00B14A9C"/>
    <w:rsid w:val="00B44E24"/>
    <w:rsid w:val="00D800A8"/>
    <w:rsid w:val="00DC2B47"/>
    <w:rsid w:val="00DF4176"/>
    <w:rsid w:val="00F01690"/>
    <w:rsid w:val="00FC03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15AEA8"/>
  <w15:docId w15:val="{9D977E59-A9AA-48A7-A804-D3AFC8A8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F01690"/>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3B14C2"/>
    <w:rPr>
      <w:b/>
      <w:sz w:val="24"/>
      <w:lang w:val="en-GB" w:eastAsia="en-US"/>
    </w:rPr>
  </w:style>
  <w:style w:type="character" w:customStyle="1" w:styleId="HeaderChar">
    <w:name w:val="Header Char"/>
    <w:basedOn w:val="DefaultParagraphFont"/>
    <w:link w:val="Header"/>
    <w:uiPriority w:val="99"/>
    <w:rsid w:val="003B14C2"/>
    <w:rPr>
      <w:sz w:val="24"/>
      <w:lang w:val="en-GB" w:eastAsia="en-US"/>
    </w:rPr>
  </w:style>
  <w:style w:type="character" w:customStyle="1" w:styleId="FooterChar">
    <w:name w:val="Footer Char"/>
    <w:basedOn w:val="DefaultParagraphFont"/>
    <w:link w:val="Footer"/>
    <w:rsid w:val="003B14C2"/>
    <w:rPr>
      <w:noProof/>
      <w:sz w:val="18"/>
      <w:lang w:val="en-GB" w:eastAsia="en-US"/>
    </w:rPr>
  </w:style>
  <w:style w:type="character" w:styleId="Hyperlink">
    <w:name w:val="Hyperlink"/>
    <w:basedOn w:val="DefaultParagraphFont"/>
    <w:rsid w:val="003B14C2"/>
    <w:rPr>
      <w:color w:val="0000FF"/>
      <w:u w:val="single"/>
    </w:rPr>
  </w:style>
  <w:style w:type="table" w:styleId="TableGrid">
    <w:name w:val="Table Grid"/>
    <w:basedOn w:val="TableNormal"/>
    <w:uiPriority w:val="39"/>
    <w:rsid w:val="003B14C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3B14C2"/>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3B14C2"/>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3B14C2"/>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3B14C2"/>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rsid w:val="003B14C2"/>
    <w:rPr>
      <w:sz w:val="22"/>
      <w:lang w:val="en-GB" w:eastAsia="en-US"/>
    </w:rPr>
  </w:style>
  <w:style w:type="character" w:customStyle="1" w:styleId="NormalaftertitleChar">
    <w:name w:val="Normal_after_title Char"/>
    <w:link w:val="Normalaftertitle"/>
    <w:locked/>
    <w:rsid w:val="003B14C2"/>
    <w:rPr>
      <w:sz w:val="24"/>
      <w:lang w:val="en-GB" w:eastAsia="en-US"/>
    </w:rPr>
  </w:style>
  <w:style w:type="character" w:customStyle="1" w:styleId="CallChar">
    <w:name w:val="Call Char"/>
    <w:link w:val="Call"/>
    <w:rsid w:val="003B14C2"/>
    <w:rPr>
      <w:i/>
      <w:sz w:val="24"/>
      <w:lang w:val="en-GB" w:eastAsia="en-US"/>
    </w:rPr>
  </w:style>
  <w:style w:type="character" w:customStyle="1" w:styleId="enumlev1Char">
    <w:name w:val="enumlev1 Char"/>
    <w:link w:val="enumlev1"/>
    <w:rsid w:val="003B14C2"/>
    <w:rPr>
      <w:sz w:val="24"/>
      <w:lang w:val="en-GB" w:eastAsia="en-US"/>
    </w:rPr>
  </w:style>
  <w:style w:type="character" w:customStyle="1" w:styleId="NoteChar">
    <w:name w:val="Note Char"/>
    <w:link w:val="Note"/>
    <w:locked/>
    <w:rsid w:val="003B14C2"/>
    <w:rPr>
      <w:sz w:val="22"/>
      <w:lang w:val="en-GB" w:eastAsia="en-US"/>
    </w:rPr>
  </w:style>
  <w:style w:type="character" w:customStyle="1" w:styleId="HeadingbChar">
    <w:name w:val="Heading_b Char"/>
    <w:link w:val="Headingb"/>
    <w:locked/>
    <w:rsid w:val="003B14C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QUE-SG07.234" TargetMode="External"/><Relationship Id="rId18" Type="http://schemas.openxmlformats.org/officeDocument/2006/relationships/hyperlink" Target="http://www.itu.int/rec/R-REC-M.1787/en" TargetMode="External"/><Relationship Id="rId26" Type="http://schemas.openxmlformats.org/officeDocument/2006/relationships/hyperlink" Target="http://www.itu.int/rec/R-REC-M.1902/en" TargetMode="External"/><Relationship Id="rId39" Type="http://schemas.openxmlformats.org/officeDocument/2006/relationships/hyperlink" Target="http://www.itu.int/rec/R-REC-M.2030/en" TargetMode="External"/><Relationship Id="rId21" Type="http://schemas.openxmlformats.org/officeDocument/2006/relationships/hyperlink" Target="http://www.itu.int/rec/R-REC-M.2030/en" TargetMode="External"/><Relationship Id="rId34" Type="http://schemas.openxmlformats.org/officeDocument/2006/relationships/hyperlink" Target="http://www.itu.int/rec/R-REC-M.1901/en" TargetMode="External"/><Relationship Id="rId42" Type="http://schemas.openxmlformats.org/officeDocument/2006/relationships/header" Target="header6.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itu.int/rec/R-REC-RS.1347/en" TargetMode="External"/><Relationship Id="rId29" Type="http://schemas.openxmlformats.org/officeDocument/2006/relationships/hyperlink" Target="http://www.itu.int/pub/R-REP-M.2220"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yperlink" Target="https://www.itu.int/dms_pub/itu-r/opb/rep/R-REP-M.2305-2014-PDF-E.pdf" TargetMode="External"/><Relationship Id="rId32" Type="http://schemas.openxmlformats.org/officeDocument/2006/relationships/hyperlink" Target="http://www.itu.int/rec/R-REC-M.2030/en" TargetMode="External"/><Relationship Id="rId37" Type="http://schemas.openxmlformats.org/officeDocument/2006/relationships/hyperlink" Target="http://www.itu.int/rec/R-REC-M.2030/en" TargetMode="External"/><Relationship Id="rId40" Type="http://schemas.openxmlformats.org/officeDocument/2006/relationships/hyperlink" Target="https://www.itu.int/dms_pub/itu-r/opb/rep/R-REP-M.2305-2014-PDF-E.pdf"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itu.int/rec/R-REC-M.1318/en" TargetMode="External"/><Relationship Id="rId23" Type="http://schemas.openxmlformats.org/officeDocument/2006/relationships/hyperlink" Target="http://www.itu.int/pub/R-REP-M.2220" TargetMode="External"/><Relationship Id="rId28" Type="http://schemas.openxmlformats.org/officeDocument/2006/relationships/hyperlink" Target="http://www.itu.int/rec/R-REC-M.2030/en" TargetMode="External"/><Relationship Id="rId36" Type="http://schemas.openxmlformats.org/officeDocument/2006/relationships/hyperlink" Target="http://www.itu.int/rec/R-REC-M.1787/en" TargetMode="External"/><Relationship Id="rId10" Type="http://schemas.openxmlformats.org/officeDocument/2006/relationships/hyperlink" Target="https://www.itu.int/publ/R-REC/en" TargetMode="External"/><Relationship Id="rId19" Type="http://schemas.openxmlformats.org/officeDocument/2006/relationships/hyperlink" Target="http://www.itu.int/rec/R-REC-M.1901/en" TargetMode="External"/><Relationship Id="rId31" Type="http://schemas.openxmlformats.org/officeDocument/2006/relationships/hyperlink" Target="https://www.itu.int/dms_pub/itu-r/opb/rep/R-REP-M.2305-2014-PDF-E.pdf"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tu.int/ITU-R/go/patents/en" TargetMode="External"/><Relationship Id="rId14" Type="http://schemas.openxmlformats.org/officeDocument/2006/relationships/hyperlink" Target="https://www.itu.int/rec/R-REC-RS.577/en" TargetMode="External"/><Relationship Id="rId22" Type="http://schemas.openxmlformats.org/officeDocument/2006/relationships/hyperlink" Target="https://www.itu.int/rec/R-REC-RS.2105/en" TargetMode="External"/><Relationship Id="rId27" Type="http://schemas.openxmlformats.org/officeDocument/2006/relationships/hyperlink" Target="http://www.itu.int/rec/R-REC-M.1787/en" TargetMode="External"/><Relationship Id="rId30" Type="http://schemas.openxmlformats.org/officeDocument/2006/relationships/hyperlink" Target="http://www.itu.int/rec/R-REC-M.2030/en" TargetMode="External"/><Relationship Id="rId35" Type="http://schemas.openxmlformats.org/officeDocument/2006/relationships/hyperlink" Target="http://www.itu.int/rec/R-REC-M.1902/en" TargetMode="External"/><Relationship Id="rId43" Type="http://schemas.openxmlformats.org/officeDocument/2006/relationships/footer" Target="footer2.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yperlink" Target="https://www.itu.int/rec/R-REC-RS.1749/en" TargetMode="External"/><Relationship Id="rId25" Type="http://schemas.openxmlformats.org/officeDocument/2006/relationships/hyperlink" Target="http://www.itu.int/rec/R-REC-M.1901/en" TargetMode="External"/><Relationship Id="rId33" Type="http://schemas.openxmlformats.org/officeDocument/2006/relationships/hyperlink" Target="http://www.itu.int/pub/R-REP-M.2220" TargetMode="External"/><Relationship Id="rId38" Type="http://schemas.openxmlformats.org/officeDocument/2006/relationships/hyperlink" Target="http://www.itu.int/rec/R-REC-M.2030/en" TargetMode="External"/><Relationship Id="rId20" Type="http://schemas.openxmlformats.org/officeDocument/2006/relationships/hyperlink" Target="http://www.itu.int/rec/R-REC-M.1902/en" TargetMode="External"/><Relationship Id="rId41"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27</TotalTime>
  <Pages>6</Pages>
  <Words>1893</Words>
  <Characters>13280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Recommendation ITU-R RS.2165-0 (12/2023) - Evaluation of the potential for pulsed interference from planned and future spaceborne synthetic aperture radar sensors in the earth exploration-satellite (active) service to radionavigation-satellite service rec</vt:lpstr>
    </vt:vector>
  </TitlesOfParts>
  <Manager/>
  <Company>ITU</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RS.2165-0 (12/2023) - Evaluation of the potential for pulsed interference from planned and future spaceborne synthetic aperture radar sensors in the earth exploration-satellite (active) service to radionavigation-satellite service receivers in the 1 215-1 300 MHz band</dc:title>
  <dc:subject/>
  <dc:creator>Gachet, Christelle</dc:creator>
  <cp:keywords/>
  <dc:description/>
  <cp:lastModifiedBy>Al-Yammouni, Hala</cp:lastModifiedBy>
  <cp:revision>9</cp:revision>
  <cp:lastPrinted>2024-01-18T15:30:00Z</cp:lastPrinted>
  <dcterms:created xsi:type="dcterms:W3CDTF">2024-01-15T14:50:00Z</dcterms:created>
  <dcterms:modified xsi:type="dcterms:W3CDTF">2024-01-18T15:37:00Z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