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p w:rsidR="00AB0E65" w:rsidRPr="00821C07" w:rsidRDefault="00AB0E65" w:rsidP="00AB79C9">
      <w:pPr>
        <w:rPr>
          <w:lang w:val="en-GB"/>
        </w:rPr>
      </w:pPr>
    </w:p>
    <w:tbl>
      <w:tblPr>
        <w:tblW w:w="10089" w:type="dxa"/>
        <w:tblLook w:val="01E0" w:firstRow="1" w:lastRow="1" w:firstColumn="1" w:lastColumn="1" w:noHBand="0" w:noVBand="0"/>
      </w:tblPr>
      <w:tblGrid>
        <w:gridCol w:w="10089"/>
      </w:tblGrid>
      <w:tr w:rsidR="00AB0E65" w:rsidRPr="00821C07" w:rsidTr="00885C3D">
        <w:tc>
          <w:tcPr>
            <w:tcW w:w="10089" w:type="dxa"/>
          </w:tcPr>
          <w:p w:rsidR="00AB0E65" w:rsidRPr="00821C07" w:rsidRDefault="00AB0E65" w:rsidP="00885C3D">
            <w:pPr>
              <w:spacing w:before="380" w:line="280" w:lineRule="exact"/>
              <w:jc w:val="right"/>
              <w:rPr>
                <w:rFonts w:ascii="Tahoma" w:hAnsi="Tahoma" w:cs="Tahoma"/>
                <w:b/>
                <w:bCs/>
                <w:iCs/>
                <w:color w:val="243285"/>
                <w:sz w:val="32"/>
                <w:szCs w:val="32"/>
                <w:lang w:val="en-GB"/>
              </w:rPr>
            </w:pPr>
          </w:p>
          <w:p w:rsidR="00AB0E65" w:rsidRPr="00821C07" w:rsidRDefault="00AB0E65" w:rsidP="00AB0E65">
            <w:pPr>
              <w:spacing w:before="380" w:line="280" w:lineRule="exact"/>
              <w:jc w:val="right"/>
              <w:rPr>
                <w:rFonts w:ascii="Tahoma" w:hAnsi="Tahoma" w:cs="Tahoma"/>
                <w:b/>
                <w:bCs/>
                <w:iCs/>
                <w:color w:val="243285"/>
                <w:sz w:val="36"/>
                <w:szCs w:val="36"/>
                <w:lang w:val="en-GB"/>
              </w:rPr>
            </w:pPr>
            <w:r w:rsidRPr="00821C07">
              <w:rPr>
                <w:rFonts w:ascii="Tahoma" w:hAnsi="Tahoma" w:cs="Tahoma"/>
                <w:b/>
                <w:bCs/>
                <w:iCs/>
                <w:color w:val="243285"/>
                <w:sz w:val="36"/>
                <w:szCs w:val="36"/>
                <w:lang w:val="en-GB"/>
              </w:rPr>
              <w:t>Recommendation  ITU-R  S.1003-2</w:t>
            </w:r>
          </w:p>
          <w:p w:rsidR="00AB0E65" w:rsidRPr="00821C07" w:rsidRDefault="00AB0E65" w:rsidP="00AB0E65">
            <w:pPr>
              <w:spacing w:before="80" w:line="280" w:lineRule="exact"/>
              <w:jc w:val="right"/>
              <w:rPr>
                <w:rFonts w:ascii="Tahoma" w:hAnsi="Tahoma" w:cs="Tahoma"/>
                <w:b/>
                <w:bCs/>
                <w:iCs/>
                <w:color w:val="243285"/>
                <w:szCs w:val="24"/>
                <w:lang w:val="en-GB"/>
              </w:rPr>
            </w:pPr>
            <w:r w:rsidRPr="00821C07">
              <w:rPr>
                <w:rFonts w:ascii="Tahoma" w:hAnsi="Tahoma" w:cs="Tahoma"/>
                <w:b/>
                <w:bCs/>
                <w:iCs/>
                <w:color w:val="243285"/>
                <w:szCs w:val="24"/>
                <w:lang w:val="en-GB"/>
              </w:rPr>
              <w:t>(12/2010)</w:t>
            </w:r>
          </w:p>
        </w:tc>
      </w:tr>
      <w:tr w:rsidR="00AB0E65" w:rsidRPr="00462B40" w:rsidTr="00885C3D">
        <w:tc>
          <w:tcPr>
            <w:tcW w:w="10089" w:type="dxa"/>
          </w:tcPr>
          <w:p w:rsidR="00AB0E65" w:rsidRPr="00821C07" w:rsidRDefault="00AB0E65" w:rsidP="00885C3D">
            <w:pPr>
              <w:spacing w:before="80" w:line="500" w:lineRule="exact"/>
              <w:jc w:val="right"/>
              <w:rPr>
                <w:rFonts w:ascii="Tahoma" w:hAnsi="Tahoma" w:cs="Tahoma"/>
                <w:b/>
                <w:bCs/>
                <w:iCs/>
                <w:color w:val="243285"/>
                <w:sz w:val="44"/>
                <w:szCs w:val="44"/>
                <w:lang w:val="en-GB"/>
              </w:rPr>
            </w:pPr>
          </w:p>
          <w:p w:rsidR="00AB0E65" w:rsidRPr="00821C07" w:rsidRDefault="0039160B" w:rsidP="00821C07">
            <w:pPr>
              <w:spacing w:before="80" w:line="500" w:lineRule="exact"/>
              <w:jc w:val="right"/>
              <w:rPr>
                <w:rFonts w:ascii="Tahoma" w:hAnsi="Tahoma" w:cs="Tahoma"/>
                <w:b/>
                <w:bCs/>
                <w:color w:val="243285"/>
                <w:sz w:val="44"/>
                <w:szCs w:val="44"/>
                <w:lang w:val="en-GB"/>
              </w:rPr>
            </w:pPr>
            <w:r w:rsidRPr="00821C07">
              <w:rPr>
                <w:rFonts w:ascii="Tahoma" w:hAnsi="Tahoma" w:cs="Tahoma"/>
                <w:b/>
                <w:bCs/>
                <w:color w:val="243285"/>
                <w:sz w:val="44"/>
                <w:szCs w:val="44"/>
                <w:lang w:val="en-GB"/>
              </w:rPr>
              <w:t>Environmental protection of the</w:t>
            </w:r>
            <w:r w:rsidR="00821C07" w:rsidRPr="00821C07">
              <w:rPr>
                <w:rFonts w:ascii="Tahoma" w:hAnsi="Tahoma" w:cs="Tahoma"/>
                <w:b/>
                <w:bCs/>
                <w:color w:val="243285"/>
                <w:sz w:val="44"/>
                <w:szCs w:val="44"/>
                <w:lang w:val="en-GB"/>
              </w:rPr>
              <w:t xml:space="preserve"> </w:t>
            </w:r>
            <w:r w:rsidRPr="00821C07">
              <w:rPr>
                <w:rFonts w:ascii="Tahoma" w:hAnsi="Tahoma" w:cs="Tahoma"/>
                <w:b/>
                <w:bCs/>
                <w:color w:val="243285"/>
                <w:sz w:val="44"/>
                <w:szCs w:val="44"/>
                <w:lang w:val="en-GB"/>
              </w:rPr>
              <w:t>geostationary-satellite orbit</w:t>
            </w:r>
          </w:p>
          <w:p w:rsidR="00AB0E65" w:rsidRPr="00821C07" w:rsidRDefault="00AB0E65" w:rsidP="00885C3D">
            <w:pPr>
              <w:spacing w:before="80" w:line="500" w:lineRule="exact"/>
              <w:jc w:val="right"/>
              <w:rPr>
                <w:rFonts w:ascii="Tahoma" w:hAnsi="Tahoma" w:cs="Tahoma"/>
                <w:b/>
                <w:bCs/>
                <w:iCs/>
                <w:color w:val="243285"/>
                <w:sz w:val="40"/>
                <w:szCs w:val="40"/>
                <w:lang w:val="en-GB"/>
              </w:rPr>
            </w:pPr>
          </w:p>
        </w:tc>
      </w:tr>
      <w:tr w:rsidR="00AB0E65" w:rsidRPr="00821C07" w:rsidTr="00885C3D">
        <w:tc>
          <w:tcPr>
            <w:tcW w:w="10089" w:type="dxa"/>
          </w:tcPr>
          <w:p w:rsidR="00AB0E65" w:rsidRPr="00821C07" w:rsidRDefault="00AB0E65" w:rsidP="00885C3D">
            <w:pPr>
              <w:spacing w:before="80" w:line="280" w:lineRule="exact"/>
              <w:ind w:right="640"/>
              <w:rPr>
                <w:rFonts w:ascii="Tahoma" w:hAnsi="Tahoma" w:cs="Tahoma"/>
                <w:b/>
                <w:bCs/>
                <w:iCs/>
                <w:color w:val="243285"/>
                <w:sz w:val="32"/>
                <w:szCs w:val="32"/>
                <w:lang w:val="en-GB"/>
              </w:rPr>
            </w:pPr>
          </w:p>
          <w:p w:rsidR="00AB0E65" w:rsidRPr="00821C07" w:rsidRDefault="00AB0E65" w:rsidP="00885C3D">
            <w:pPr>
              <w:spacing w:before="80" w:line="280" w:lineRule="exact"/>
              <w:ind w:right="640"/>
              <w:rPr>
                <w:rFonts w:ascii="Tahoma" w:hAnsi="Tahoma" w:cs="Tahoma"/>
                <w:b/>
                <w:bCs/>
                <w:iCs/>
                <w:color w:val="243285"/>
                <w:sz w:val="32"/>
                <w:szCs w:val="32"/>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ind w:right="720"/>
              <w:rPr>
                <w:rFonts w:ascii="Tahoma" w:hAnsi="Tahoma" w:cs="Tahoma"/>
                <w:b/>
                <w:bCs/>
                <w:iCs/>
                <w:color w:val="243285"/>
                <w:sz w:val="36"/>
                <w:szCs w:val="36"/>
                <w:lang w:val="en-GB"/>
              </w:rPr>
            </w:pPr>
          </w:p>
          <w:p w:rsidR="00AB0E65" w:rsidRPr="00821C07" w:rsidRDefault="00AB0E65" w:rsidP="00885C3D">
            <w:pPr>
              <w:spacing w:before="80" w:after="180" w:line="360" w:lineRule="exact"/>
              <w:jc w:val="right"/>
              <w:rPr>
                <w:rFonts w:ascii="Tahoma" w:hAnsi="Tahoma" w:cs="Tahoma"/>
                <w:b/>
                <w:bCs/>
                <w:iCs/>
                <w:color w:val="243285"/>
                <w:sz w:val="36"/>
                <w:szCs w:val="36"/>
                <w:lang w:val="en-GB"/>
              </w:rPr>
            </w:pPr>
            <w:r w:rsidRPr="00821C07">
              <w:rPr>
                <w:rFonts w:ascii="Tahoma" w:hAnsi="Tahoma" w:cs="Tahoma"/>
                <w:b/>
                <w:bCs/>
                <w:iCs/>
                <w:color w:val="243285"/>
                <w:sz w:val="36"/>
                <w:szCs w:val="36"/>
                <w:lang w:val="en-GB"/>
              </w:rPr>
              <w:t>S Series</w:t>
            </w:r>
          </w:p>
          <w:p w:rsidR="00AB0E65" w:rsidRPr="00821C07" w:rsidRDefault="00AB0E65" w:rsidP="00462B40">
            <w:pPr>
              <w:spacing w:before="80" w:line="360" w:lineRule="exact"/>
              <w:jc w:val="right"/>
              <w:rPr>
                <w:rFonts w:ascii="Tahoma" w:hAnsi="Tahoma" w:cs="Tahoma"/>
                <w:b/>
                <w:bCs/>
                <w:iCs/>
                <w:color w:val="243285"/>
                <w:sz w:val="36"/>
                <w:szCs w:val="36"/>
                <w:lang w:val="en-GB"/>
              </w:rPr>
            </w:pPr>
            <w:r w:rsidRPr="00821C07">
              <w:rPr>
                <w:rFonts w:ascii="Tahoma" w:hAnsi="Tahoma" w:cs="Tahoma"/>
                <w:b/>
                <w:bCs/>
                <w:color w:val="243285"/>
                <w:sz w:val="36"/>
                <w:szCs w:val="36"/>
                <w:lang w:val="en-GB"/>
              </w:rPr>
              <w:t>Fixed-satellite service</w:t>
            </w:r>
            <w:bookmarkStart w:id="0" w:name="_GoBack"/>
            <w:bookmarkEnd w:id="0"/>
          </w:p>
        </w:tc>
      </w:tr>
    </w:tbl>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spacing w:before="80"/>
        <w:rPr>
          <w:i/>
          <w:sz w:val="22"/>
          <w:lang w:val="en-GB"/>
        </w:rPr>
      </w:pPr>
    </w:p>
    <w:p w:rsidR="00AB0E65" w:rsidRPr="00821C07" w:rsidRDefault="00AB0E65" w:rsidP="00AB79C9">
      <w:pPr>
        <w:pStyle w:val="Equation"/>
        <w:tabs>
          <w:tab w:val="clear" w:pos="4820"/>
          <w:tab w:val="clear" w:pos="9639"/>
          <w:tab w:val="left" w:pos="1191"/>
          <w:tab w:val="left" w:pos="1588"/>
          <w:tab w:val="left" w:pos="1985"/>
        </w:tabs>
        <w:rPr>
          <w:rFonts w:ascii="Palatino Linotype" w:hAnsi="Palatino Linotype"/>
          <w:lang w:val="en-GB"/>
        </w:rPr>
        <w:sectPr w:rsidR="00AB0E65" w:rsidRPr="00821C07" w:rsidSect="00B2263D">
          <w:headerReference w:type="even" r:id="rId8"/>
          <w:headerReference w:type="default" r:id="rId9"/>
          <w:pgSz w:w="11907" w:h="16834" w:code="9"/>
          <w:pgMar w:top="1418" w:right="1134" w:bottom="1134" w:left="1134" w:header="720" w:footer="482" w:gutter="0"/>
          <w:paperSrc w:first="15" w:other="15"/>
          <w:cols w:space="720"/>
        </w:sectPr>
      </w:pPr>
    </w:p>
    <w:p w:rsidR="00AB0E65" w:rsidRPr="00821C07" w:rsidRDefault="00AB0E65"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21C07">
        <w:rPr>
          <w:bCs/>
          <w:sz w:val="24"/>
          <w:szCs w:val="24"/>
          <w:lang w:val="en-GB"/>
        </w:rPr>
        <w:lastRenderedPageBreak/>
        <w:t>Foreword</w:t>
      </w:r>
    </w:p>
    <w:p w:rsidR="00AB0E65" w:rsidRPr="00821C07" w:rsidRDefault="00AB0E65" w:rsidP="00AB79C9">
      <w:pPr>
        <w:spacing w:before="240"/>
        <w:rPr>
          <w:sz w:val="20"/>
          <w:lang w:val="en-GB"/>
        </w:rPr>
      </w:pPr>
      <w:r w:rsidRPr="00821C0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0E65" w:rsidRPr="00821C07" w:rsidRDefault="00AB0E65" w:rsidP="00AB79C9">
      <w:pPr>
        <w:rPr>
          <w:sz w:val="20"/>
          <w:lang w:val="en-GB"/>
        </w:rPr>
      </w:pPr>
      <w:r w:rsidRPr="00821C07">
        <w:rPr>
          <w:sz w:val="20"/>
          <w:lang w:val="en-GB"/>
        </w:rPr>
        <w:t>The regulatory and policy functions of the Radiocommunication Sector are performed by World and Regional Radiocommunication Conferences and Radiocommunication Assemblies supported by Study Groups.</w:t>
      </w:r>
    </w:p>
    <w:p w:rsidR="00AB0E65" w:rsidRPr="00821C07" w:rsidRDefault="00AB0E65" w:rsidP="00AB79C9">
      <w:pPr>
        <w:pStyle w:val="Heading1"/>
        <w:spacing w:before="680"/>
        <w:jc w:val="center"/>
        <w:rPr>
          <w:szCs w:val="24"/>
          <w:lang w:val="en-GB"/>
        </w:rPr>
      </w:pPr>
      <w:r w:rsidRPr="00821C07">
        <w:rPr>
          <w:szCs w:val="24"/>
          <w:lang w:val="en-GB"/>
        </w:rPr>
        <w:t>Policy on Intellectual Property Right (IPR)</w:t>
      </w:r>
    </w:p>
    <w:p w:rsidR="00AB0E65" w:rsidRPr="00821C07" w:rsidRDefault="00AB0E65" w:rsidP="00AB79C9">
      <w:pPr>
        <w:tabs>
          <w:tab w:val="clear" w:pos="794"/>
          <w:tab w:val="clear" w:pos="1191"/>
          <w:tab w:val="clear" w:pos="1588"/>
          <w:tab w:val="clear" w:pos="1985"/>
        </w:tabs>
        <w:spacing w:before="240"/>
        <w:rPr>
          <w:sz w:val="20"/>
          <w:lang w:val="en-GB"/>
        </w:rPr>
      </w:pPr>
      <w:r w:rsidRPr="00821C0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821C07">
          <w:rPr>
            <w:rStyle w:val="Hyperlink"/>
            <w:sz w:val="20"/>
            <w:lang w:val="en-GB"/>
          </w:rPr>
          <w:t>http://www.itu.int/ITU-R/go/patents/en</w:t>
        </w:r>
      </w:hyperlink>
      <w:r w:rsidRPr="00821C07">
        <w:rPr>
          <w:sz w:val="20"/>
          <w:lang w:val="en-GB"/>
        </w:rPr>
        <w:t xml:space="preserve"> where the Guidelines for Implementation of the Common Patent Policy for ITU</w:t>
      </w:r>
      <w:r w:rsidRPr="00821C07">
        <w:rPr>
          <w:sz w:val="20"/>
          <w:lang w:val="en-GB"/>
        </w:rPr>
        <w:noBreakHyphen/>
        <w:t>T/ITU</w:t>
      </w:r>
      <w:r w:rsidRPr="00821C07">
        <w:rPr>
          <w:sz w:val="20"/>
          <w:lang w:val="en-GB"/>
        </w:rPr>
        <w:noBreakHyphen/>
        <w:t xml:space="preserve">R/ISO/IEC and the ITU-R patent information database can also be found. </w:t>
      </w:r>
    </w:p>
    <w:p w:rsidR="00AB0E65" w:rsidRPr="00821C07" w:rsidRDefault="00AB0E65" w:rsidP="00AB79C9">
      <w:pPr>
        <w:jc w:val="center"/>
        <w:rPr>
          <w:sz w:val="22"/>
          <w:lang w:val="en-GB"/>
        </w:rPr>
      </w:pPr>
    </w:p>
    <w:p w:rsidR="00AB0E65" w:rsidRPr="00821C07" w:rsidRDefault="00AB0E65" w:rsidP="00AB79C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0E65" w:rsidRPr="00462B40" w:rsidTr="00885C3D">
        <w:tc>
          <w:tcPr>
            <w:tcW w:w="9360" w:type="dxa"/>
            <w:gridSpan w:val="2"/>
          </w:tcPr>
          <w:p w:rsidR="00AB0E65" w:rsidRPr="00821C07" w:rsidRDefault="00AB0E65" w:rsidP="00885C3D">
            <w:pPr>
              <w:pStyle w:val="Chaptitle"/>
              <w:keepLines w:val="0"/>
              <w:tabs>
                <w:tab w:val="clear" w:pos="794"/>
                <w:tab w:val="clear" w:pos="1191"/>
                <w:tab w:val="clear" w:pos="1588"/>
                <w:tab w:val="clear" w:pos="1985"/>
              </w:tabs>
              <w:overflowPunct/>
              <w:spacing w:before="180"/>
              <w:textAlignment w:val="auto"/>
              <w:rPr>
                <w:sz w:val="22"/>
                <w:szCs w:val="22"/>
                <w:lang w:val="en-GB"/>
              </w:rPr>
            </w:pPr>
            <w:r w:rsidRPr="00821C07">
              <w:rPr>
                <w:sz w:val="22"/>
                <w:szCs w:val="22"/>
                <w:lang w:val="en-GB"/>
              </w:rPr>
              <w:t xml:space="preserve">Series of ITU-R Recommendations </w:t>
            </w:r>
          </w:p>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21C07">
              <w:rPr>
                <w:b w:val="0"/>
                <w:sz w:val="18"/>
                <w:szCs w:val="18"/>
                <w:lang w:val="en-GB"/>
              </w:rPr>
              <w:t xml:space="preserve">(Also available online at </w:t>
            </w:r>
            <w:hyperlink r:id="rId11" w:history="1">
              <w:r w:rsidRPr="00821C07">
                <w:rPr>
                  <w:rStyle w:val="Hyperlink"/>
                  <w:b w:val="0"/>
                  <w:sz w:val="18"/>
                  <w:szCs w:val="18"/>
                  <w:lang w:val="en-GB"/>
                </w:rPr>
                <w:t>http://www.itu.int/publ/R-REC/en</w:t>
              </w:r>
            </w:hyperlink>
            <w:r w:rsidRPr="00821C07">
              <w:rPr>
                <w:b w:val="0"/>
                <w:sz w:val="18"/>
                <w:szCs w:val="18"/>
                <w:lang w:val="en-GB"/>
              </w:rPr>
              <w:t>)</w:t>
            </w:r>
          </w:p>
        </w:tc>
      </w:tr>
      <w:tr w:rsidR="00AB0E65" w:rsidRPr="00821C07" w:rsidTr="00885C3D">
        <w:tc>
          <w:tcPr>
            <w:tcW w:w="1140" w:type="dxa"/>
          </w:tcPr>
          <w:p w:rsidR="00AB0E65" w:rsidRPr="00821C07" w:rsidRDefault="00AB0E65" w:rsidP="00885C3D">
            <w:pPr>
              <w:spacing w:before="200" w:after="100"/>
              <w:ind w:left="57"/>
              <w:rPr>
                <w:b/>
                <w:bCs/>
                <w:sz w:val="20"/>
                <w:lang w:val="en-GB"/>
              </w:rPr>
            </w:pPr>
            <w:r w:rsidRPr="00821C07">
              <w:rPr>
                <w:b/>
                <w:bCs/>
                <w:sz w:val="20"/>
                <w:lang w:val="en-GB"/>
              </w:rPr>
              <w:t>Series</w:t>
            </w:r>
          </w:p>
        </w:tc>
        <w:tc>
          <w:tcPr>
            <w:tcW w:w="8220" w:type="dxa"/>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21C07">
              <w:rPr>
                <w:bCs/>
                <w:sz w:val="20"/>
                <w:lang w:val="en-GB"/>
              </w:rPr>
              <w:t>Title</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BO</w:t>
            </w:r>
          </w:p>
        </w:tc>
        <w:tc>
          <w:tcPr>
            <w:tcW w:w="8220" w:type="dxa"/>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21C07">
              <w:rPr>
                <w:b w:val="0"/>
                <w:bCs/>
                <w:sz w:val="20"/>
                <w:lang w:val="en-GB"/>
              </w:rPr>
              <w:t>Satellite delivery</w:t>
            </w:r>
          </w:p>
        </w:tc>
      </w:tr>
      <w:tr w:rsidR="00AB0E65" w:rsidRPr="00462B40"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BR</w:t>
            </w:r>
          </w:p>
        </w:tc>
        <w:tc>
          <w:tcPr>
            <w:tcW w:w="8220" w:type="dxa"/>
            <w:tcBorders>
              <w:bottom w:val="nil"/>
            </w:tcBorders>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21C07">
              <w:rPr>
                <w:b w:val="0"/>
                <w:sz w:val="20"/>
                <w:lang w:val="en-GB"/>
              </w:rPr>
              <w:t>Recording for production, archival and play-out; film for television</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BS</w:t>
            </w:r>
          </w:p>
        </w:tc>
        <w:tc>
          <w:tcPr>
            <w:tcW w:w="8220" w:type="dxa"/>
            <w:tcBorders>
              <w:top w:val="nil"/>
              <w:bottom w:val="nil"/>
            </w:tcBorders>
            <w:shd w:val="clear" w:color="auto" w:fill="auto"/>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21C07">
              <w:rPr>
                <w:rFonts w:hAnsi="Times New Roman Bold"/>
                <w:b w:val="0"/>
                <w:sz w:val="20"/>
                <w:lang w:val="en-GB"/>
              </w:rPr>
              <w:t>Broadcasting service (sound)</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b/>
                <w:bCs/>
                <w:sz w:val="20"/>
                <w:lang w:val="en-GB"/>
              </w:rPr>
            </w:pPr>
            <w:r w:rsidRPr="00821C07">
              <w:rPr>
                <w:b/>
                <w:bCs/>
                <w:sz w:val="20"/>
                <w:lang w:val="en-GB"/>
              </w:rPr>
              <w:t>BT</w:t>
            </w:r>
          </w:p>
        </w:tc>
        <w:tc>
          <w:tcPr>
            <w:tcW w:w="8220" w:type="dxa"/>
            <w:tcBorders>
              <w:top w:val="nil"/>
              <w:bottom w:val="nil"/>
            </w:tcBorders>
            <w:shd w:val="clear" w:color="auto" w:fill="auto"/>
          </w:tcPr>
          <w:p w:rsidR="00AB0E65" w:rsidRPr="00821C07" w:rsidRDefault="00AB0E65"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21C07">
              <w:rPr>
                <w:b w:val="0"/>
                <w:sz w:val="20"/>
                <w:lang w:val="en-GB"/>
              </w:rPr>
              <w:t>Broadcasting service (television)</w:t>
            </w:r>
          </w:p>
        </w:tc>
      </w:tr>
      <w:tr w:rsidR="00AB0E65" w:rsidRPr="00821C07" w:rsidTr="00AB79C9">
        <w:tc>
          <w:tcPr>
            <w:tcW w:w="1140" w:type="dxa"/>
            <w:tcBorders>
              <w:top w:val="nil"/>
              <w:bottom w:val="nil"/>
            </w:tcBorders>
            <w:shd w:val="clear" w:color="auto" w:fill="auto"/>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F</w:t>
            </w:r>
          </w:p>
        </w:tc>
        <w:tc>
          <w:tcPr>
            <w:tcW w:w="8220" w:type="dxa"/>
            <w:tcBorders>
              <w:top w:val="nil"/>
              <w:bottom w:val="nil"/>
            </w:tcBorders>
            <w:shd w:val="clear" w:color="auto" w:fill="auto"/>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21C07">
              <w:rPr>
                <w:rFonts w:hAnsi="Times New Roman Bold"/>
                <w:sz w:val="20"/>
                <w:lang w:val="en-GB"/>
              </w:rPr>
              <w:t>Fixed service</w:t>
            </w:r>
          </w:p>
        </w:tc>
      </w:tr>
      <w:tr w:rsidR="00AB0E65" w:rsidRPr="00821C07" w:rsidTr="00AB79C9">
        <w:tc>
          <w:tcPr>
            <w:tcW w:w="1140" w:type="dxa"/>
            <w:tcBorders>
              <w:top w:val="nil"/>
              <w:bottom w:val="nil"/>
            </w:tcBorders>
            <w:shd w:val="clear" w:color="auto" w:fill="FFFFFF"/>
          </w:tcPr>
          <w:p w:rsidR="00AB0E65" w:rsidRPr="00821C07" w:rsidRDefault="00AB0E65" w:rsidP="00885C3D">
            <w:pPr>
              <w:spacing w:before="30" w:after="30"/>
              <w:ind w:left="57"/>
              <w:jc w:val="left"/>
              <w:rPr>
                <w:rFonts w:hAnsi="Times New Roman Bold"/>
                <w:b/>
                <w:bCs/>
                <w:sz w:val="20"/>
                <w:lang w:val="en-GB"/>
              </w:rPr>
            </w:pPr>
            <w:r w:rsidRPr="00821C07">
              <w:rPr>
                <w:rFonts w:hAnsi="Times New Roman Bold"/>
                <w:b/>
                <w:bCs/>
                <w:sz w:val="20"/>
                <w:lang w:val="en-GB"/>
              </w:rPr>
              <w:t>M</w:t>
            </w:r>
          </w:p>
        </w:tc>
        <w:tc>
          <w:tcPr>
            <w:tcW w:w="8220" w:type="dxa"/>
            <w:tcBorders>
              <w:top w:val="nil"/>
              <w:bottom w:val="nil"/>
            </w:tcBorders>
            <w:shd w:val="clear" w:color="auto" w:fill="FFFFFF"/>
          </w:tcPr>
          <w:p w:rsidR="00AB0E65" w:rsidRPr="00821C07" w:rsidRDefault="00AB0E65" w:rsidP="00885C3D">
            <w:pPr>
              <w:spacing w:before="30" w:after="30"/>
              <w:jc w:val="left"/>
              <w:rPr>
                <w:color w:val="000000"/>
                <w:sz w:val="20"/>
                <w:lang w:val="en-GB"/>
              </w:rPr>
            </w:pPr>
            <w:r w:rsidRPr="00821C07">
              <w:rPr>
                <w:color w:val="000000"/>
                <w:sz w:val="20"/>
                <w:lang w:val="en-GB"/>
              </w:rPr>
              <w:t>Mobile, radiodetermination, amateur and related satellite services</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P</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Radiowave propagation</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RA</w:t>
            </w:r>
          </w:p>
        </w:tc>
        <w:tc>
          <w:tcPr>
            <w:tcW w:w="8220" w:type="dxa"/>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21C07">
              <w:rPr>
                <w:sz w:val="20"/>
                <w:lang w:val="en-GB"/>
              </w:rPr>
              <w:t>Radio astronomy</w:t>
            </w:r>
          </w:p>
        </w:tc>
      </w:tr>
      <w:tr w:rsidR="00AB0E65" w:rsidRPr="00821C07"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RS</w:t>
            </w:r>
          </w:p>
        </w:tc>
        <w:tc>
          <w:tcPr>
            <w:tcW w:w="8220" w:type="dxa"/>
            <w:tcBorders>
              <w:bottom w:val="nil"/>
            </w:tcBorders>
          </w:tcPr>
          <w:p w:rsidR="00AB0E65" w:rsidRPr="00821C07" w:rsidRDefault="00AB0E65"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21C07">
              <w:rPr>
                <w:sz w:val="20"/>
                <w:lang w:val="en-GB"/>
              </w:rPr>
              <w:t>Remote sensing systems</w:t>
            </w:r>
          </w:p>
        </w:tc>
      </w:tr>
      <w:tr w:rsidR="00AB0E65" w:rsidRPr="00821C07" w:rsidTr="00885C3D">
        <w:tc>
          <w:tcPr>
            <w:tcW w:w="1140" w:type="dxa"/>
            <w:tcBorders>
              <w:top w:val="nil"/>
              <w:bottom w:val="nil"/>
            </w:tcBorders>
            <w:shd w:val="clear" w:color="auto" w:fill="F3F3F3"/>
          </w:tcPr>
          <w:p w:rsidR="00AB0E65" w:rsidRPr="00821C07" w:rsidRDefault="00AB0E65" w:rsidP="00885C3D">
            <w:pPr>
              <w:spacing w:before="30" w:after="30"/>
              <w:ind w:left="57"/>
              <w:jc w:val="left"/>
              <w:rPr>
                <w:b/>
                <w:bCs/>
                <w:color w:val="000080"/>
                <w:sz w:val="20"/>
                <w:lang w:val="en-GB"/>
              </w:rPr>
            </w:pPr>
            <w:r w:rsidRPr="00821C07">
              <w:rPr>
                <w:b/>
                <w:bCs/>
                <w:color w:val="000080"/>
                <w:sz w:val="20"/>
                <w:lang w:val="en-GB"/>
              </w:rPr>
              <w:t>S</w:t>
            </w:r>
          </w:p>
        </w:tc>
        <w:tc>
          <w:tcPr>
            <w:tcW w:w="8220" w:type="dxa"/>
            <w:tcBorders>
              <w:top w:val="nil"/>
              <w:bottom w:val="nil"/>
            </w:tcBorders>
            <w:shd w:val="clear" w:color="auto" w:fill="F3F3F3"/>
          </w:tcPr>
          <w:p w:rsidR="00AB0E65" w:rsidRPr="00821C07" w:rsidRDefault="00AB0E65" w:rsidP="00885C3D">
            <w:pPr>
              <w:spacing w:before="30" w:after="30"/>
              <w:jc w:val="left"/>
              <w:rPr>
                <w:color w:val="000080"/>
                <w:sz w:val="20"/>
                <w:lang w:val="en-GB"/>
              </w:rPr>
            </w:pPr>
            <w:r w:rsidRPr="00821C07">
              <w:rPr>
                <w:color w:val="000080"/>
                <w:sz w:val="20"/>
                <w:lang w:val="en-GB"/>
              </w:rPr>
              <w:t>Fixed-satellite service</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SA</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Space applications and meteorology</w:t>
            </w:r>
          </w:p>
        </w:tc>
      </w:tr>
      <w:tr w:rsidR="00AB0E65" w:rsidRPr="00462B40" w:rsidTr="00885C3D">
        <w:tc>
          <w:tcPr>
            <w:tcW w:w="1140" w:type="dxa"/>
            <w:tcBorders>
              <w:bottom w:val="nil"/>
            </w:tcBorders>
          </w:tcPr>
          <w:p w:rsidR="00AB0E65" w:rsidRPr="00821C07" w:rsidRDefault="00AB0E65" w:rsidP="00885C3D">
            <w:pPr>
              <w:spacing w:before="30" w:after="30"/>
              <w:ind w:left="57"/>
              <w:jc w:val="left"/>
              <w:rPr>
                <w:b/>
                <w:bCs/>
                <w:sz w:val="20"/>
                <w:lang w:val="en-GB"/>
              </w:rPr>
            </w:pPr>
            <w:r w:rsidRPr="00821C07">
              <w:rPr>
                <w:b/>
                <w:bCs/>
                <w:sz w:val="20"/>
                <w:lang w:val="en-GB"/>
              </w:rPr>
              <w:t>SF</w:t>
            </w:r>
          </w:p>
        </w:tc>
        <w:tc>
          <w:tcPr>
            <w:tcW w:w="8220" w:type="dxa"/>
            <w:tcBorders>
              <w:bottom w:val="nil"/>
            </w:tcBorders>
          </w:tcPr>
          <w:p w:rsidR="00AB0E65" w:rsidRPr="00821C07" w:rsidRDefault="00AB0E65" w:rsidP="00885C3D">
            <w:pPr>
              <w:spacing w:before="30" w:after="30"/>
              <w:jc w:val="left"/>
              <w:rPr>
                <w:sz w:val="20"/>
                <w:lang w:val="en-GB"/>
              </w:rPr>
            </w:pPr>
            <w:r w:rsidRPr="00821C07">
              <w:rPr>
                <w:sz w:val="20"/>
                <w:lang w:val="en-GB"/>
              </w:rPr>
              <w:t>Frequency sharing and coordination between fixed-satellite and fixed service systems</w:t>
            </w:r>
          </w:p>
        </w:tc>
      </w:tr>
      <w:tr w:rsidR="00AB0E65" w:rsidRPr="00821C07" w:rsidTr="00885C3D">
        <w:tc>
          <w:tcPr>
            <w:tcW w:w="1140" w:type="dxa"/>
            <w:tcBorders>
              <w:top w:val="nil"/>
              <w:bottom w:val="nil"/>
            </w:tcBorders>
            <w:shd w:val="clear" w:color="auto" w:fill="auto"/>
          </w:tcPr>
          <w:p w:rsidR="00AB0E65" w:rsidRPr="00821C07" w:rsidRDefault="00AB0E65" w:rsidP="00885C3D">
            <w:pPr>
              <w:spacing w:before="30" w:after="30"/>
              <w:ind w:left="57"/>
              <w:jc w:val="left"/>
              <w:rPr>
                <w:b/>
                <w:bCs/>
                <w:sz w:val="20"/>
                <w:lang w:val="en-GB"/>
              </w:rPr>
            </w:pPr>
            <w:r w:rsidRPr="00821C07">
              <w:rPr>
                <w:b/>
                <w:bCs/>
                <w:sz w:val="20"/>
                <w:lang w:val="en-GB"/>
              </w:rPr>
              <w:t>SM</w:t>
            </w:r>
          </w:p>
        </w:tc>
        <w:tc>
          <w:tcPr>
            <w:tcW w:w="8220" w:type="dxa"/>
            <w:tcBorders>
              <w:top w:val="nil"/>
              <w:bottom w:val="nil"/>
            </w:tcBorders>
            <w:shd w:val="clear" w:color="auto" w:fill="auto"/>
          </w:tcPr>
          <w:p w:rsidR="00AB0E65" w:rsidRPr="00821C07" w:rsidRDefault="00AB0E65" w:rsidP="00885C3D">
            <w:pPr>
              <w:spacing w:before="30" w:after="30"/>
              <w:jc w:val="left"/>
              <w:rPr>
                <w:sz w:val="20"/>
                <w:lang w:val="en-GB"/>
              </w:rPr>
            </w:pPr>
            <w:r w:rsidRPr="00821C07">
              <w:rPr>
                <w:sz w:val="20"/>
                <w:lang w:val="en-GB"/>
              </w:rPr>
              <w:t>Spectrum management</w:t>
            </w:r>
          </w:p>
        </w:tc>
      </w:tr>
      <w:tr w:rsidR="00AB0E65" w:rsidRPr="00821C07" w:rsidTr="00885C3D">
        <w:tc>
          <w:tcPr>
            <w:tcW w:w="1140" w:type="dxa"/>
            <w:tcBorders>
              <w:top w:val="nil"/>
            </w:tcBorders>
          </w:tcPr>
          <w:p w:rsidR="00AB0E65" w:rsidRPr="00821C07" w:rsidRDefault="00AB0E65" w:rsidP="00885C3D">
            <w:pPr>
              <w:spacing w:before="30" w:after="30"/>
              <w:ind w:left="57"/>
              <w:jc w:val="left"/>
              <w:rPr>
                <w:b/>
                <w:bCs/>
                <w:sz w:val="20"/>
                <w:lang w:val="en-GB"/>
              </w:rPr>
            </w:pPr>
            <w:r w:rsidRPr="00821C07">
              <w:rPr>
                <w:b/>
                <w:bCs/>
                <w:sz w:val="20"/>
                <w:lang w:val="en-GB"/>
              </w:rPr>
              <w:t>SNG</w:t>
            </w:r>
          </w:p>
        </w:tc>
        <w:tc>
          <w:tcPr>
            <w:tcW w:w="8220" w:type="dxa"/>
            <w:tcBorders>
              <w:top w:val="nil"/>
            </w:tcBorders>
          </w:tcPr>
          <w:p w:rsidR="00AB0E65" w:rsidRPr="00821C07" w:rsidRDefault="00AB0E65" w:rsidP="00885C3D">
            <w:pPr>
              <w:spacing w:before="30" w:after="30"/>
              <w:jc w:val="left"/>
              <w:rPr>
                <w:sz w:val="20"/>
                <w:lang w:val="en-GB"/>
              </w:rPr>
            </w:pPr>
            <w:r w:rsidRPr="00821C07">
              <w:rPr>
                <w:sz w:val="20"/>
                <w:lang w:val="en-GB"/>
              </w:rPr>
              <w:t>Satellite news gathering</w:t>
            </w:r>
          </w:p>
        </w:tc>
      </w:tr>
      <w:tr w:rsidR="00AB0E65" w:rsidRPr="00462B40"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TF</w:t>
            </w:r>
          </w:p>
        </w:tc>
        <w:tc>
          <w:tcPr>
            <w:tcW w:w="8220" w:type="dxa"/>
          </w:tcPr>
          <w:p w:rsidR="00AB0E65" w:rsidRPr="00821C07" w:rsidRDefault="00AB0E65" w:rsidP="00885C3D">
            <w:pPr>
              <w:spacing w:before="30" w:after="30"/>
              <w:jc w:val="left"/>
              <w:rPr>
                <w:sz w:val="20"/>
                <w:lang w:val="en-GB"/>
              </w:rPr>
            </w:pPr>
            <w:r w:rsidRPr="00821C07">
              <w:rPr>
                <w:sz w:val="20"/>
                <w:lang w:val="en-GB"/>
              </w:rPr>
              <w:t>Time signals and frequency standards emissions</w:t>
            </w:r>
          </w:p>
        </w:tc>
      </w:tr>
      <w:tr w:rsidR="00AB0E65" w:rsidRPr="00821C07" w:rsidTr="00885C3D">
        <w:tc>
          <w:tcPr>
            <w:tcW w:w="1140" w:type="dxa"/>
          </w:tcPr>
          <w:p w:rsidR="00AB0E65" w:rsidRPr="00821C07" w:rsidRDefault="00AB0E65" w:rsidP="00885C3D">
            <w:pPr>
              <w:spacing w:before="30" w:after="30"/>
              <w:ind w:left="57"/>
              <w:jc w:val="left"/>
              <w:rPr>
                <w:b/>
                <w:bCs/>
                <w:sz w:val="20"/>
                <w:lang w:val="en-GB"/>
              </w:rPr>
            </w:pPr>
            <w:r w:rsidRPr="00821C07">
              <w:rPr>
                <w:b/>
                <w:bCs/>
                <w:sz w:val="20"/>
                <w:lang w:val="en-GB"/>
              </w:rPr>
              <w:t>V</w:t>
            </w:r>
          </w:p>
        </w:tc>
        <w:tc>
          <w:tcPr>
            <w:tcW w:w="8220" w:type="dxa"/>
          </w:tcPr>
          <w:p w:rsidR="00AB0E65" w:rsidRPr="00821C07" w:rsidRDefault="00AB0E65" w:rsidP="00885C3D">
            <w:pPr>
              <w:spacing w:before="30" w:after="180"/>
              <w:jc w:val="left"/>
              <w:rPr>
                <w:sz w:val="20"/>
                <w:lang w:val="en-GB"/>
              </w:rPr>
            </w:pPr>
            <w:r w:rsidRPr="00821C07">
              <w:rPr>
                <w:sz w:val="20"/>
                <w:lang w:val="en-GB"/>
              </w:rPr>
              <w:t>Vocabulary and related subjects</w:t>
            </w:r>
          </w:p>
        </w:tc>
      </w:tr>
    </w:tbl>
    <w:p w:rsidR="00AB0E65" w:rsidRPr="00821C07" w:rsidRDefault="00AB0E65" w:rsidP="00AB79C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B0E65" w:rsidRPr="00821C07" w:rsidTr="00885C3D">
        <w:tc>
          <w:tcPr>
            <w:tcW w:w="720" w:type="dxa"/>
          </w:tcPr>
          <w:p w:rsidR="00AB0E65" w:rsidRPr="00821C07" w:rsidRDefault="00AB0E65" w:rsidP="00885C3D">
            <w:pPr>
              <w:jc w:val="center"/>
              <w:rPr>
                <w:sz w:val="22"/>
                <w:lang w:val="en-GB"/>
              </w:rPr>
            </w:pPr>
          </w:p>
        </w:tc>
      </w:tr>
    </w:tbl>
    <w:p w:rsidR="00AB0E65" w:rsidRPr="00821C07" w:rsidRDefault="00AB0E65" w:rsidP="00AB79C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0E65" w:rsidRPr="00462B40" w:rsidTr="00885C3D">
        <w:tc>
          <w:tcPr>
            <w:tcW w:w="9360" w:type="dxa"/>
          </w:tcPr>
          <w:p w:rsidR="00AB0E65" w:rsidRPr="00821C07" w:rsidRDefault="00AB0E65" w:rsidP="00885C3D">
            <w:pPr>
              <w:spacing w:after="120"/>
              <w:jc w:val="center"/>
              <w:rPr>
                <w:sz w:val="20"/>
                <w:lang w:val="en-GB"/>
              </w:rPr>
            </w:pPr>
            <w:r w:rsidRPr="00821C07">
              <w:rPr>
                <w:b/>
                <w:bCs/>
                <w:i/>
                <w:iCs/>
                <w:sz w:val="20"/>
                <w:lang w:val="en-GB"/>
              </w:rPr>
              <w:t>Note</w:t>
            </w:r>
            <w:r w:rsidRPr="00821C07">
              <w:rPr>
                <w:sz w:val="20"/>
                <w:lang w:val="en-GB"/>
              </w:rPr>
              <w:t xml:space="preserve">: </w:t>
            </w:r>
            <w:r w:rsidRPr="00821C07">
              <w:rPr>
                <w:i/>
                <w:iCs/>
                <w:sz w:val="20"/>
                <w:lang w:val="en-GB"/>
              </w:rPr>
              <w:t>This ITU-R Recommendation was approved in English under the procedure detailed in Resolution ITU-R 1.</w:t>
            </w:r>
          </w:p>
        </w:tc>
      </w:tr>
    </w:tbl>
    <w:p w:rsidR="00AB0E65" w:rsidRPr="00821C07" w:rsidRDefault="00AB0E65" w:rsidP="00AB79C9">
      <w:pPr>
        <w:spacing w:before="0"/>
        <w:jc w:val="center"/>
        <w:rPr>
          <w:sz w:val="22"/>
          <w:lang w:val="en-GB"/>
        </w:rPr>
      </w:pPr>
    </w:p>
    <w:p w:rsidR="00AB0E65" w:rsidRPr="00821C07" w:rsidRDefault="00AB0E65" w:rsidP="00AB79C9">
      <w:pPr>
        <w:spacing w:before="0"/>
        <w:jc w:val="center"/>
        <w:rPr>
          <w:sz w:val="22"/>
          <w:lang w:val="en-GB"/>
        </w:rPr>
      </w:pPr>
    </w:p>
    <w:p w:rsidR="00AB0E65" w:rsidRPr="00821C07" w:rsidRDefault="00AB0E65" w:rsidP="00AB79C9">
      <w:pPr>
        <w:spacing w:before="0"/>
        <w:jc w:val="right"/>
        <w:rPr>
          <w:i/>
          <w:iCs/>
          <w:sz w:val="20"/>
          <w:lang w:val="en-GB"/>
        </w:rPr>
      </w:pPr>
      <w:r w:rsidRPr="00821C07">
        <w:rPr>
          <w:i/>
          <w:iCs/>
          <w:sz w:val="20"/>
          <w:lang w:val="en-GB"/>
        </w:rPr>
        <w:t>Electronic Publication</w:t>
      </w:r>
    </w:p>
    <w:p w:rsidR="00AB0E65" w:rsidRPr="00821C07" w:rsidRDefault="00AB0E65" w:rsidP="00200377">
      <w:pPr>
        <w:spacing w:before="0"/>
        <w:jc w:val="right"/>
        <w:rPr>
          <w:sz w:val="20"/>
          <w:lang w:val="en-GB"/>
        </w:rPr>
      </w:pPr>
      <w:r w:rsidRPr="00821C07">
        <w:rPr>
          <w:sz w:val="20"/>
          <w:lang w:val="en-GB"/>
        </w:rPr>
        <w:t>Geneva, 201</w:t>
      </w:r>
      <w:r w:rsidR="00200377">
        <w:rPr>
          <w:sz w:val="20"/>
          <w:lang w:val="en-GB"/>
        </w:rPr>
        <w:t>1</w:t>
      </w:r>
    </w:p>
    <w:p w:rsidR="00AB0E65" w:rsidRPr="00821C07" w:rsidRDefault="00AB0E65" w:rsidP="00AB79C9">
      <w:pPr>
        <w:jc w:val="center"/>
        <w:rPr>
          <w:sz w:val="22"/>
          <w:lang w:val="en-GB"/>
        </w:rPr>
      </w:pPr>
    </w:p>
    <w:p w:rsidR="00AB0E65" w:rsidRPr="00821C07" w:rsidRDefault="00AB0E65" w:rsidP="00200377">
      <w:pPr>
        <w:jc w:val="center"/>
        <w:rPr>
          <w:sz w:val="20"/>
          <w:lang w:val="en-GB"/>
        </w:rPr>
      </w:pPr>
      <w:r w:rsidRPr="00821C07">
        <w:rPr>
          <w:sz w:val="20"/>
          <w:lang w:val="en-GB"/>
        </w:rPr>
        <w:sym w:font="Symbol" w:char="F0E3"/>
      </w:r>
      <w:r w:rsidRPr="00821C07">
        <w:rPr>
          <w:sz w:val="20"/>
          <w:lang w:val="en-GB"/>
        </w:rPr>
        <w:t xml:space="preserve"> ITU </w:t>
      </w:r>
      <w:bookmarkStart w:id="2" w:name="iiannee"/>
      <w:bookmarkEnd w:id="2"/>
      <w:r w:rsidRPr="00821C07">
        <w:rPr>
          <w:sz w:val="20"/>
          <w:lang w:val="en-GB"/>
        </w:rPr>
        <w:t>201</w:t>
      </w:r>
      <w:r w:rsidR="00200377">
        <w:rPr>
          <w:sz w:val="20"/>
          <w:lang w:val="en-GB"/>
        </w:rPr>
        <w:t>1</w:t>
      </w:r>
    </w:p>
    <w:p w:rsidR="00AB0E65" w:rsidRPr="00821C07" w:rsidRDefault="00AB0E65" w:rsidP="00AB79C9">
      <w:pPr>
        <w:rPr>
          <w:sz w:val="18"/>
          <w:szCs w:val="18"/>
          <w:lang w:val="en-GB"/>
        </w:rPr>
      </w:pPr>
      <w:r w:rsidRPr="00821C07">
        <w:rPr>
          <w:sz w:val="18"/>
          <w:szCs w:val="18"/>
          <w:lang w:val="en-GB"/>
        </w:rPr>
        <w:t>All rights reserved. No part of this publication may be reproduced, by any means whatsoever, without written permission of ITU.</w:t>
      </w:r>
    </w:p>
    <w:p w:rsidR="00AB0E65" w:rsidRPr="00821C07" w:rsidRDefault="00AB0E65" w:rsidP="00AB79C9">
      <w:pPr>
        <w:spacing w:before="160"/>
        <w:rPr>
          <w:i/>
          <w:sz w:val="20"/>
          <w:lang w:val="en-GB"/>
        </w:rPr>
        <w:sectPr w:rsidR="00AB0E65" w:rsidRPr="00821C07"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B0E65" w:rsidRPr="00821C07" w:rsidRDefault="00AB0E65" w:rsidP="00173403">
      <w:pPr>
        <w:pStyle w:val="RecNo"/>
        <w:spacing w:before="0"/>
        <w:rPr>
          <w:lang w:val="en-GB"/>
        </w:rPr>
      </w:pPr>
      <w:bookmarkStart w:id="3" w:name="irecnoe"/>
      <w:bookmarkEnd w:id="3"/>
      <w:r w:rsidRPr="00821C07">
        <w:rPr>
          <w:lang w:val="en-GB"/>
        </w:rPr>
        <w:lastRenderedPageBreak/>
        <w:t xml:space="preserve">RECOMMENDATION  </w:t>
      </w:r>
      <w:r w:rsidRPr="00821C07">
        <w:rPr>
          <w:rStyle w:val="href"/>
          <w:lang w:val="en-GB"/>
        </w:rPr>
        <w:t>ITU-R  S.</w:t>
      </w:r>
      <w:r w:rsidR="0039160B" w:rsidRPr="00821C07">
        <w:rPr>
          <w:rStyle w:val="href"/>
          <w:lang w:val="en-GB"/>
        </w:rPr>
        <w:t>1003-2</w:t>
      </w:r>
      <w:r w:rsidR="00173403">
        <w:rPr>
          <w:rStyle w:val="FootnoteReference"/>
          <w:lang w:val="en-GB"/>
        </w:rPr>
        <w:footnoteReference w:customMarkFollows="1" w:id="1"/>
        <w:t>*</w:t>
      </w:r>
    </w:p>
    <w:p w:rsidR="00AB0E65" w:rsidRDefault="00AB0E65" w:rsidP="00AB0E65">
      <w:pPr>
        <w:pStyle w:val="Rectitle"/>
        <w:rPr>
          <w:lang w:val="en-GB"/>
        </w:rPr>
      </w:pPr>
      <w:r w:rsidRPr="00821C07">
        <w:rPr>
          <w:lang w:val="en-GB"/>
        </w:rPr>
        <w:t>Environmental protection of the geostationary-satellite orbit</w:t>
      </w:r>
    </w:p>
    <w:p w:rsidR="00173403" w:rsidRPr="00173403" w:rsidRDefault="00173403" w:rsidP="00173403">
      <w:pPr>
        <w:pStyle w:val="Recref"/>
        <w:rPr>
          <w:lang w:val="en-GB"/>
        </w:rPr>
      </w:pPr>
      <w:r>
        <w:rPr>
          <w:lang w:val="en-GB"/>
        </w:rPr>
        <w:t>(Question ITU-R 34/4)</w:t>
      </w:r>
    </w:p>
    <w:p w:rsidR="00173403" w:rsidRDefault="00173403" w:rsidP="00AB0E65">
      <w:pPr>
        <w:pStyle w:val="Recdate"/>
        <w:rPr>
          <w:szCs w:val="22"/>
          <w:lang w:val="en-GB"/>
        </w:rPr>
      </w:pPr>
    </w:p>
    <w:p w:rsidR="00AB0E65" w:rsidRPr="00821C07" w:rsidRDefault="00AB0E65" w:rsidP="00AB0E65">
      <w:pPr>
        <w:pStyle w:val="Recdate"/>
        <w:rPr>
          <w:szCs w:val="22"/>
          <w:lang w:val="en-GB"/>
        </w:rPr>
      </w:pPr>
      <w:r w:rsidRPr="00821C07">
        <w:rPr>
          <w:szCs w:val="22"/>
          <w:lang w:val="en-GB"/>
        </w:rPr>
        <w:t>(1993-2003</w:t>
      </w:r>
      <w:r w:rsidR="00F72183" w:rsidRPr="00821C07">
        <w:rPr>
          <w:szCs w:val="22"/>
          <w:lang w:val="en-GB"/>
        </w:rPr>
        <w:t>-2010</w:t>
      </w:r>
      <w:r w:rsidRPr="00821C07">
        <w:rPr>
          <w:szCs w:val="22"/>
          <w:lang w:val="en-GB"/>
        </w:rPr>
        <w:t>)</w:t>
      </w:r>
    </w:p>
    <w:p w:rsidR="00173403" w:rsidRDefault="00173403" w:rsidP="00173403">
      <w:pPr>
        <w:rPr>
          <w:lang w:val="en-GB"/>
        </w:rPr>
      </w:pPr>
    </w:p>
    <w:p w:rsidR="00AB0E65" w:rsidRPr="00173403" w:rsidRDefault="00AB0E65" w:rsidP="00AB0E65">
      <w:pPr>
        <w:pStyle w:val="HeadingSum"/>
        <w:rPr>
          <w:sz w:val="24"/>
          <w:lang w:val="en-GB"/>
        </w:rPr>
      </w:pPr>
      <w:r w:rsidRPr="00173403">
        <w:rPr>
          <w:sz w:val="24"/>
          <w:lang w:val="en-GB"/>
        </w:rPr>
        <w:t>Scope</w:t>
      </w:r>
    </w:p>
    <w:p w:rsidR="00AB0E65" w:rsidRPr="00173403" w:rsidRDefault="00AB0E65" w:rsidP="00F72183">
      <w:pPr>
        <w:pStyle w:val="Summary"/>
        <w:rPr>
          <w:sz w:val="24"/>
          <w:lang w:val="en-GB"/>
        </w:rPr>
      </w:pPr>
      <w:r w:rsidRPr="00173403">
        <w:rPr>
          <w:sz w:val="24"/>
          <w:lang w:val="en-GB"/>
        </w:rPr>
        <w:t>This Recommendation provides guidance about disposal orbits for satellites in the geostationary-satellite orbit and comments on the increase in debris due to fragments resulting from increased</w:t>
      </w:r>
      <w:r w:rsidR="00F72183" w:rsidRPr="00173403">
        <w:rPr>
          <w:sz w:val="24"/>
          <w:lang w:val="en-GB"/>
        </w:rPr>
        <w:t xml:space="preserve"> </w:t>
      </w:r>
      <w:r w:rsidRPr="00173403">
        <w:rPr>
          <w:sz w:val="24"/>
          <w:lang w:val="en-GB"/>
        </w:rPr>
        <w:t>numbers of satellites and their associated launches.</w:t>
      </w:r>
    </w:p>
    <w:p w:rsidR="00AB0E65" w:rsidRPr="00821C07" w:rsidRDefault="00AB0E65" w:rsidP="00F72183">
      <w:pPr>
        <w:pStyle w:val="Normalaftertitle"/>
        <w:rPr>
          <w:lang w:val="en-GB"/>
        </w:rPr>
      </w:pPr>
      <w:r w:rsidRPr="00821C07">
        <w:rPr>
          <w:lang w:val="en-GB"/>
        </w:rPr>
        <w:t xml:space="preserve">The ITU Radiocommunication Assembly, </w:t>
      </w:r>
    </w:p>
    <w:p w:rsidR="00AB0E65" w:rsidRPr="00821C07" w:rsidRDefault="00AB0E65" w:rsidP="00AB0E65">
      <w:pPr>
        <w:pStyle w:val="Call"/>
        <w:rPr>
          <w:lang w:val="en-GB"/>
        </w:rPr>
      </w:pPr>
      <w:r w:rsidRPr="00821C07">
        <w:rPr>
          <w:lang w:val="en-GB"/>
        </w:rPr>
        <w:t>considering</w:t>
      </w:r>
    </w:p>
    <w:p w:rsidR="00AB0E65" w:rsidRPr="00821C07" w:rsidRDefault="00AB0E65" w:rsidP="00AB0E65">
      <w:pPr>
        <w:rPr>
          <w:lang w:val="en-GB"/>
        </w:rPr>
      </w:pPr>
      <w:r w:rsidRPr="00821C07">
        <w:rPr>
          <w:lang w:val="en-GB"/>
        </w:rPr>
        <w:t>a)</w:t>
      </w:r>
      <w:r w:rsidRPr="00821C07">
        <w:rPr>
          <w:lang w:val="en-GB"/>
        </w:rPr>
        <w:tab/>
        <w:t>that the GSO (see Fig. 1) is a unique resource that offers significant benefits to operators from the standpoint of station-keeping requirements, ground visibility and coverage, the absence of the need for tracking facilities in small earth station antennas and a relatively benign orbital environment;</w:t>
      </w:r>
    </w:p>
    <w:p w:rsidR="00AB0E65" w:rsidRPr="00821C07" w:rsidRDefault="00AB0E65" w:rsidP="00AB0E65">
      <w:pPr>
        <w:rPr>
          <w:lang w:val="en-GB"/>
        </w:rPr>
      </w:pPr>
      <w:r w:rsidRPr="00821C07">
        <w:rPr>
          <w:lang w:val="en-GB"/>
        </w:rPr>
        <w:t>b)</w:t>
      </w:r>
      <w:r w:rsidRPr="00821C07">
        <w:rPr>
          <w:lang w:val="en-GB"/>
        </w:rPr>
        <w:tab/>
        <w:t>that satellites have little survivability in case of a collision in orbit;</w:t>
      </w:r>
    </w:p>
    <w:p w:rsidR="00AB0E65" w:rsidRPr="00821C07" w:rsidRDefault="00AB0E65" w:rsidP="00AB0E65">
      <w:pPr>
        <w:rPr>
          <w:lang w:val="en-GB"/>
        </w:rPr>
      </w:pPr>
      <w:r w:rsidRPr="00821C07">
        <w:rPr>
          <w:lang w:val="en-GB"/>
        </w:rPr>
        <w:t>c)</w:t>
      </w:r>
      <w:r w:rsidRPr="00821C07">
        <w:rPr>
          <w:lang w:val="en-GB"/>
        </w:rPr>
        <w:tab/>
        <w:t>that telecommunications functions of a satellite would be lost or at least degraded by a collision in orbit;</w:t>
      </w:r>
    </w:p>
    <w:p w:rsidR="00AB0E65" w:rsidRPr="00821C07" w:rsidRDefault="00AB0E65" w:rsidP="00AB0E65">
      <w:pPr>
        <w:rPr>
          <w:lang w:val="en-GB"/>
        </w:rPr>
      </w:pPr>
      <w:r w:rsidRPr="00821C07">
        <w:rPr>
          <w:lang w:val="en-GB"/>
        </w:rPr>
        <w:t>d)</w:t>
      </w:r>
      <w:r w:rsidRPr="00821C07">
        <w:rPr>
          <w:lang w:val="en-GB"/>
        </w:rPr>
        <w:tab/>
        <w:t>that satellite breakup due to a collision or explosion would create a cloud of orbital debris that would dissipate around the orbit, increasing the collision probability within that orbit region;</w:t>
      </w:r>
    </w:p>
    <w:p w:rsidR="00AB0E65" w:rsidRPr="00821C07" w:rsidRDefault="00AB0E65" w:rsidP="00AB0E65">
      <w:pPr>
        <w:rPr>
          <w:lang w:val="en-GB"/>
        </w:rPr>
      </w:pPr>
      <w:r w:rsidRPr="00821C07">
        <w:rPr>
          <w:lang w:val="en-GB"/>
        </w:rPr>
        <w:t>e)</w:t>
      </w:r>
      <w:r w:rsidRPr="00821C07">
        <w:rPr>
          <w:lang w:val="en-GB"/>
        </w:rPr>
        <w:tab/>
        <w:t>that a satellite drifting in GSO after the end of its life may block RF links of active satellites,</w:t>
      </w:r>
    </w:p>
    <w:p w:rsidR="00AB0E65" w:rsidRPr="00821C07" w:rsidRDefault="00AB0E65" w:rsidP="00AB0E65">
      <w:pPr>
        <w:pStyle w:val="Call"/>
        <w:rPr>
          <w:lang w:val="en-GB"/>
        </w:rPr>
      </w:pPr>
      <w:r w:rsidRPr="00821C07">
        <w:rPr>
          <w:lang w:val="en-GB"/>
        </w:rPr>
        <w:t>recommends</w:t>
      </w:r>
    </w:p>
    <w:p w:rsidR="00AB0E65" w:rsidRPr="00821C07" w:rsidRDefault="00AB0E65" w:rsidP="00AB0E65">
      <w:pPr>
        <w:rPr>
          <w:lang w:val="en-GB"/>
        </w:rPr>
      </w:pPr>
      <w:r w:rsidRPr="00821C07">
        <w:rPr>
          <w:b/>
          <w:lang w:val="en-GB"/>
        </w:rPr>
        <w:t>1</w:t>
      </w:r>
      <w:r w:rsidRPr="00821C07">
        <w:rPr>
          <w:lang w:val="en-GB"/>
        </w:rPr>
        <w:tab/>
        <w:t>that as little debris as possible should be released into the GSO region during the placement of a satellite in orbit;</w:t>
      </w:r>
    </w:p>
    <w:p w:rsidR="00AB0E65" w:rsidRPr="00821C07" w:rsidRDefault="00AB0E65" w:rsidP="00AB0E65">
      <w:pPr>
        <w:rPr>
          <w:lang w:val="en-GB"/>
        </w:rPr>
      </w:pPr>
      <w:r w:rsidRPr="00821C07">
        <w:rPr>
          <w:b/>
          <w:lang w:val="en-GB"/>
        </w:rPr>
        <w:t>2</w:t>
      </w:r>
      <w:r w:rsidRPr="00821C07">
        <w:rPr>
          <w:lang w:val="en-GB"/>
        </w:rPr>
        <w:tab/>
        <w:t>that every reasonable effort should be made to shorten the lifetime of debris in elliptical transfer orbits with the apogees at or near GSO altitude;</w:t>
      </w:r>
    </w:p>
    <w:p w:rsidR="00AB0E65" w:rsidRPr="00821C07" w:rsidRDefault="00AB0E65" w:rsidP="00AB0E65">
      <w:pPr>
        <w:rPr>
          <w:lang w:val="en-GB"/>
        </w:rPr>
      </w:pPr>
      <w:r w:rsidRPr="00821C07">
        <w:rPr>
          <w:b/>
          <w:lang w:val="en-GB"/>
        </w:rPr>
        <w:t>3</w:t>
      </w:r>
      <w:r w:rsidRPr="00821C07">
        <w:rPr>
          <w:lang w:val="en-GB"/>
        </w:rPr>
        <w:tab/>
        <w:t>that before complete exhaustion of its propellant, a geostationary satellite at the end of its life should be removed from the GSO region such that under the influence of perturbing forces on its trajectory, it would subsequently remain in an orbit with a perigee no less than 200 km above the geostationary altitude (see Annex 1);</w:t>
      </w:r>
    </w:p>
    <w:p w:rsidR="00AB0E65" w:rsidRPr="00821C07" w:rsidRDefault="00AB0E65" w:rsidP="00AB0E65">
      <w:pPr>
        <w:rPr>
          <w:lang w:val="en-GB"/>
        </w:rPr>
      </w:pPr>
      <w:r w:rsidRPr="00821C07">
        <w:rPr>
          <w:b/>
          <w:lang w:val="en-GB"/>
        </w:rPr>
        <w:t>4</w:t>
      </w:r>
      <w:r w:rsidRPr="00821C07">
        <w:rPr>
          <w:lang w:val="en-GB"/>
        </w:rPr>
        <w:tab/>
        <w:t>that the transfer to the graveyard orbit removal should be carried out with particular caution in order to avoid RF interference with active satellites.</w:t>
      </w:r>
    </w:p>
    <w:p w:rsidR="00AB0E65" w:rsidRPr="00821C07" w:rsidRDefault="00AB0E65" w:rsidP="00AB0E65">
      <w:pPr>
        <w:pStyle w:val="AnnexNoTitle"/>
        <w:rPr>
          <w:lang w:val="en-GB"/>
        </w:rPr>
      </w:pPr>
      <w:r w:rsidRPr="00821C07">
        <w:rPr>
          <w:lang w:val="en-GB"/>
        </w:rPr>
        <w:lastRenderedPageBreak/>
        <w:t>Annex 1</w:t>
      </w:r>
      <w:r w:rsidRPr="00821C07">
        <w:rPr>
          <w:lang w:val="en-GB"/>
        </w:rPr>
        <w:br/>
      </w:r>
      <w:r w:rsidRPr="00821C07">
        <w:rPr>
          <w:lang w:val="en-GB"/>
        </w:rPr>
        <w:br/>
        <w:t>Environmental protection of the GSO</w:t>
      </w:r>
    </w:p>
    <w:p w:rsidR="00AB0E65" w:rsidRPr="00821C07" w:rsidRDefault="00AB0E65" w:rsidP="00AB0E65">
      <w:pPr>
        <w:pStyle w:val="Normalaftertitle"/>
        <w:rPr>
          <w:lang w:val="en-GB"/>
        </w:rPr>
      </w:pPr>
      <w:r w:rsidRPr="00821C07">
        <w:rPr>
          <w:lang w:val="en-GB"/>
        </w:rPr>
        <w:t>In 2010 there are approximately 1</w:t>
      </w:r>
      <w:r w:rsidR="00F72183" w:rsidRPr="00821C07">
        <w:rPr>
          <w:lang w:val="en-GB"/>
        </w:rPr>
        <w:t> </w:t>
      </w:r>
      <w:r w:rsidRPr="00821C07">
        <w:rPr>
          <w:lang w:val="en-GB"/>
        </w:rPr>
        <w:t>100 known spacecraft and rocket bodies near the GSO, of which approximately one</w:t>
      </w:r>
      <w:r w:rsidRPr="00821C07">
        <w:rPr>
          <w:lang w:val="en-GB"/>
        </w:rPr>
        <w:noBreakHyphen/>
        <w:t>third are currently operational.</w:t>
      </w:r>
    </w:p>
    <w:p w:rsidR="00AB0E65" w:rsidRPr="00821C07" w:rsidRDefault="00AB0E65" w:rsidP="00173403">
      <w:pPr>
        <w:rPr>
          <w:lang w:val="en-GB"/>
        </w:rPr>
      </w:pPr>
      <w:r w:rsidRPr="00821C07">
        <w:rPr>
          <w:lang w:val="en-GB"/>
        </w:rPr>
        <w:t>Knowledge of the geostationary environment is limited by the resolution of Earth-based observations. The smallest dimension of an object detectable and trackable (under best conditions) in the GSO at present is slightly less than 1</w:t>
      </w:r>
      <w:r w:rsidR="00F72183" w:rsidRPr="00821C07">
        <w:rPr>
          <w:lang w:val="en-GB"/>
        </w:rPr>
        <w:t> </w:t>
      </w:r>
      <w:r w:rsidRPr="00821C07">
        <w:rPr>
          <w:lang w:val="en-GB"/>
        </w:rPr>
        <w:t>m; by comparison, in low-Earth orbit the population of objects having dimensions above 30</w:t>
      </w:r>
      <w:r w:rsidR="00F72183" w:rsidRPr="00821C07">
        <w:rPr>
          <w:lang w:val="en-GB"/>
        </w:rPr>
        <w:t> </w:t>
      </w:r>
      <w:r w:rsidRPr="00821C07">
        <w:rPr>
          <w:lang w:val="en-GB"/>
        </w:rPr>
        <w:t>cm is deterministically known and catalogued, and the population of objects having dimensions down to 5</w:t>
      </w:r>
      <w:r w:rsidR="00F72183" w:rsidRPr="00821C07">
        <w:rPr>
          <w:lang w:val="en-GB"/>
        </w:rPr>
        <w:t> </w:t>
      </w:r>
      <w:r w:rsidRPr="00821C07">
        <w:rPr>
          <w:lang w:val="en-GB"/>
        </w:rPr>
        <w:t>mm is statistically characterized as to altitude and inclination. Position knowledge of spacecraft or objects not under RF control is not as good as the operator</w:t>
      </w:r>
      <w:r w:rsidR="00173403">
        <w:rPr>
          <w:lang w:val="en-GB"/>
        </w:rPr>
        <w:t>’</w:t>
      </w:r>
      <w:r w:rsidRPr="00821C07">
        <w:rPr>
          <w:lang w:val="en-GB"/>
        </w:rPr>
        <w:t>s knowledge of position of active spacecraft.</w:t>
      </w:r>
    </w:p>
    <w:p w:rsidR="00AB0E65" w:rsidRPr="00821C07" w:rsidRDefault="00AB0E65" w:rsidP="00F72183">
      <w:pPr>
        <w:rPr>
          <w:lang w:val="en-GB"/>
        </w:rPr>
      </w:pPr>
      <w:r w:rsidRPr="00821C07">
        <w:rPr>
          <w:lang w:val="en-GB"/>
        </w:rPr>
        <w:t>Risk to operational spacecraft derives from explosion debris fragments attributable to residual propellants and gases in rocket bodies and less frequently to stored energy in batteries. Risk can also derive from</w:t>
      </w:r>
      <w:r w:rsidR="00F72183" w:rsidRPr="00821C07">
        <w:rPr>
          <w:lang w:val="en-GB"/>
        </w:rPr>
        <w:t xml:space="preserve"> </w:t>
      </w:r>
      <w:r w:rsidRPr="00821C07">
        <w:rPr>
          <w:lang w:val="en-GB"/>
        </w:rPr>
        <w:t>fragments produced by</w:t>
      </w:r>
      <w:r w:rsidR="00F72183" w:rsidRPr="00821C07">
        <w:rPr>
          <w:lang w:val="en-GB"/>
        </w:rPr>
        <w:t xml:space="preserve"> </w:t>
      </w:r>
      <w:r w:rsidRPr="00821C07">
        <w:rPr>
          <w:lang w:val="en-GB"/>
        </w:rPr>
        <w:t>collisions between intact spacecraft. Moreover, additional fragments are also produced when a fragment collides with an intact spacecraft or another fragment. This latter risk has increased significantly in recent years at some altitudes as a result of a</w:t>
      </w:r>
      <w:r w:rsidR="00F72183" w:rsidRPr="00821C07">
        <w:rPr>
          <w:lang w:val="en-GB"/>
        </w:rPr>
        <w:t xml:space="preserve"> </w:t>
      </w:r>
      <w:r w:rsidRPr="00821C07">
        <w:rPr>
          <w:lang w:val="en-GB"/>
        </w:rPr>
        <w:t>small number of events. Approximately 60% of the objects in the Space Surveillance Catalogue are fragmentation debris objects. Two fragmentations have been identified in the geostationary region, both characterized as explosion events. It is quite likely that there have been other events that have escaped detection due to the limitations of observation methods at this altitude.</w:t>
      </w:r>
    </w:p>
    <w:p w:rsidR="00AB0E65" w:rsidRPr="00821C07" w:rsidRDefault="00AB0E65" w:rsidP="00AB0E65">
      <w:pPr>
        <w:rPr>
          <w:lang w:val="en-GB"/>
        </w:rPr>
      </w:pPr>
      <w:r w:rsidRPr="00821C07">
        <w:rPr>
          <w:lang w:val="en-GB"/>
        </w:rPr>
        <w:t>While collisions in the geosynchronous orbit will not have the extreme consequences of those in low-Earth orbit, with characteristic impact velocities of the order of 500 m/s, such collisions can still result in significant damage to orbiting systems.</w:t>
      </w:r>
    </w:p>
    <w:p w:rsidR="00AB0E65" w:rsidRPr="00821C07" w:rsidRDefault="00AB0E65" w:rsidP="00AB0E65">
      <w:pPr>
        <w:rPr>
          <w:lang w:val="en-GB"/>
        </w:rPr>
      </w:pPr>
      <w:r w:rsidRPr="00821C07">
        <w:rPr>
          <w:lang w:val="en-GB"/>
        </w:rPr>
        <w:t>Given the current limitations (primarily specific impulse) of space propulsion systems, it is impractical to retrieve objects from GSO altitudes or to return them to Earth at the end of their operational life. A protected region must therefore be established above, below and around the GSO which defines the nominal orbital regime within which operational satellites will reside and manoeuvre. To avoid an accumulation of non-functional objects in this region, and the associated increase in population density and potential collision risk that this would lead to, satellites should be manoeuvred out of this region at the end of their operational life. In order to ensure that these objects do not present a collision hazard to satellites being injected into GSO, they should be manoeuvred to altitudes higher than the GSO region, rather than lower. The target disposal altitude should be sufficiently high that, under the influence of perturbing forces, the satellite cannot interfere with existing operational satellites in the GSO region. The GSO region incorporates both the GSO (operational station-keeping zone) and the manoeuvre corridor directly above the GSO, and reaches an altitude of 200 km above the GSO altitude (as shown in Fig. 1).</w:t>
      </w:r>
    </w:p>
    <w:p w:rsidR="00AB0E65" w:rsidRPr="00821C07" w:rsidRDefault="00AB0E65" w:rsidP="00AB0E65">
      <w:pPr>
        <w:rPr>
          <w:lang w:val="en-GB"/>
        </w:rPr>
      </w:pPr>
      <w:r w:rsidRPr="00821C07">
        <w:rPr>
          <w:lang w:val="en-GB"/>
        </w:rPr>
        <w:t>The basic requirement is that following disposal into a higher altitude orbit, the spacecraft, which will be under the influence of perturbing forces, must not migrate back into the GSO region:</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Pr="00821C07">
        <w:rPr>
          <w:szCs w:val="24"/>
          <w:lang w:val="en-GB"/>
        </w:rPr>
        <w:sym w:font="Symbol" w:char="F044"/>
      </w:r>
      <w:r w:rsidRPr="00821C07">
        <w:rPr>
          <w:i/>
          <w:lang w:val="en-GB"/>
        </w:rPr>
        <w:t>H</w:t>
      </w:r>
      <w:r w:rsidRPr="00821C07">
        <w:rPr>
          <w:lang w:val="en-GB"/>
        </w:rPr>
        <w:t> </w:t>
      </w:r>
      <w:r w:rsidR="00C53526" w:rsidRPr="00C53526">
        <w:sym w:font="Symbol" w:char="F03E"/>
      </w:r>
      <w:r w:rsidRPr="00821C07">
        <w:rPr>
          <w:lang w:val="en-GB"/>
        </w:rPr>
        <w:t> </w:t>
      </w:r>
      <w:r w:rsidRPr="00821C07">
        <w:rPr>
          <w:i/>
          <w:lang w:val="en-GB"/>
        </w:rPr>
        <w:t>h</w:t>
      </w:r>
      <w:r w:rsidRPr="00821C07">
        <w:rPr>
          <w:lang w:val="en-GB"/>
        </w:rPr>
        <w:t> </w:t>
      </w:r>
      <w:r w:rsidR="00C53526" w:rsidRPr="00462B40">
        <w:rPr>
          <w:lang w:val="en-US"/>
        </w:rPr>
        <w:t>+</w:t>
      </w:r>
      <w:r w:rsidRPr="00821C07">
        <w:rPr>
          <w:lang w:val="en-GB"/>
        </w:rPr>
        <w:t> </w:t>
      </w:r>
      <w:r w:rsidR="00C53526" w:rsidRPr="00C53526">
        <w:sym w:font="Symbol" w:char="F064"/>
      </w:r>
      <w:r w:rsidRPr="00821C07">
        <w:rPr>
          <w:lang w:val="en-GB"/>
        </w:rPr>
        <w:tab/>
        <w:t>(1)</w:t>
      </w:r>
    </w:p>
    <w:p w:rsidR="007E5D10" w:rsidRDefault="007E5D10" w:rsidP="007E5D10">
      <w:pPr>
        <w:pStyle w:val="FigureNo"/>
        <w:rPr>
          <w:lang w:val="en-GB"/>
        </w:rPr>
      </w:pPr>
      <w:r>
        <w:rPr>
          <w:lang w:val="en-GB"/>
        </w:rPr>
        <w:lastRenderedPageBreak/>
        <w:t>figure 1</w:t>
      </w:r>
    </w:p>
    <w:p w:rsidR="007E5D10" w:rsidRDefault="007E5D10" w:rsidP="007E5D10">
      <w:pPr>
        <w:pStyle w:val="Figuretitle"/>
        <w:rPr>
          <w:lang w:val="en-GB"/>
        </w:rPr>
      </w:pPr>
      <w:r>
        <w:rPr>
          <w:lang w:val="en-GB"/>
        </w:rPr>
        <w:t>Illustration of the GSO region (shaded areas) and the minimum re-orbit altitude</w:t>
      </w:r>
    </w:p>
    <w:p w:rsidR="00AB0E65" w:rsidRPr="00821C07" w:rsidRDefault="00200377" w:rsidP="007E5D10">
      <w:pPr>
        <w:pStyle w:val="Figure"/>
        <w:rPr>
          <w:lang w:val="en-GB"/>
        </w:rPr>
      </w:pPr>
      <w:r>
        <w:object w:dxaOrig="6469" w:dyaOrig="5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77.5pt" o:ole="">
            <v:imagedata r:id="rId14" o:title=""/>
          </v:shape>
          <o:OLEObject Type="Embed" ProgID="CorelDRAW.Graphic.14" ShapeID="_x0000_i1025" DrawAspect="Content" ObjectID="_1425304698" r:id="rId15"/>
        </w:object>
      </w:r>
    </w:p>
    <w:p w:rsidR="00AB0E65" w:rsidRPr="00821C07" w:rsidRDefault="00AB0E65" w:rsidP="00AB0E65">
      <w:pPr>
        <w:pStyle w:val="Heading1"/>
        <w:rPr>
          <w:lang w:val="en-GB"/>
        </w:rPr>
      </w:pPr>
      <w:r w:rsidRPr="00821C07">
        <w:rPr>
          <w:lang w:val="en-GB"/>
        </w:rPr>
        <w:t>1</w:t>
      </w:r>
      <w:r w:rsidRPr="00821C07">
        <w:rPr>
          <w:lang w:val="en-GB"/>
        </w:rPr>
        <w:tab/>
        <w:t>Perturbations to a satellite in a super-synchronous orbit</w:t>
      </w:r>
    </w:p>
    <w:p w:rsidR="00AB0E65" w:rsidRPr="00821C07" w:rsidRDefault="00AB0E65" w:rsidP="00AB0E65">
      <w:pPr>
        <w:rPr>
          <w:lang w:val="en-GB"/>
        </w:rPr>
      </w:pPr>
      <w:r w:rsidRPr="00821C07">
        <w:rPr>
          <w:lang w:val="en-GB"/>
        </w:rPr>
        <w:t>The motion of a satellite injected into an orbit with altitude wholly above GSO will be perturbed in a periodic manner due to the influence of:</w:t>
      </w:r>
    </w:p>
    <w:p w:rsidR="00AB0E65" w:rsidRPr="00821C07" w:rsidRDefault="00AB0E65" w:rsidP="00AB0E65">
      <w:pPr>
        <w:pStyle w:val="enumlev1"/>
        <w:rPr>
          <w:lang w:val="en-GB"/>
        </w:rPr>
      </w:pPr>
      <w:r w:rsidRPr="00821C07">
        <w:rPr>
          <w:lang w:val="en-GB"/>
        </w:rPr>
        <w:t>–</w:t>
      </w:r>
      <w:r w:rsidRPr="00821C07">
        <w:rPr>
          <w:lang w:val="en-GB"/>
        </w:rPr>
        <w:tab/>
        <w:t>the gravitational influence of the asphericity of the Earth;</w:t>
      </w:r>
    </w:p>
    <w:p w:rsidR="00AB0E65" w:rsidRPr="00821C07" w:rsidRDefault="00AB0E65" w:rsidP="00AB0E65">
      <w:pPr>
        <w:pStyle w:val="enumlev1"/>
        <w:rPr>
          <w:lang w:val="en-GB"/>
        </w:rPr>
      </w:pPr>
      <w:r w:rsidRPr="00821C07">
        <w:rPr>
          <w:lang w:val="en-GB"/>
        </w:rPr>
        <w:t>–</w:t>
      </w:r>
      <w:r w:rsidRPr="00821C07">
        <w:rPr>
          <w:lang w:val="en-GB"/>
        </w:rPr>
        <w:tab/>
        <w:t>the gravitational attraction of the sun and moon;</w:t>
      </w:r>
    </w:p>
    <w:p w:rsidR="00AB0E65" w:rsidRPr="00821C07" w:rsidRDefault="00AB0E65" w:rsidP="00AB0E65">
      <w:pPr>
        <w:pStyle w:val="enumlev1"/>
        <w:rPr>
          <w:lang w:val="en-GB"/>
        </w:rPr>
      </w:pPr>
      <w:r w:rsidRPr="00821C07">
        <w:rPr>
          <w:lang w:val="en-GB"/>
        </w:rPr>
        <w:t>–</w:t>
      </w:r>
      <w:r w:rsidRPr="00821C07">
        <w:rPr>
          <w:lang w:val="en-GB"/>
        </w:rPr>
        <w:tab/>
        <w:t>the radiation pressure of the sun.</w:t>
      </w:r>
    </w:p>
    <w:p w:rsidR="00AB0E65" w:rsidRPr="00821C07" w:rsidRDefault="00AB0E65" w:rsidP="00C53526">
      <w:pPr>
        <w:rPr>
          <w:lang w:val="en-GB"/>
        </w:rPr>
      </w:pPr>
      <w:r w:rsidRPr="00821C07">
        <w:rPr>
          <w:lang w:val="en-GB"/>
        </w:rPr>
        <w:t>The overall orbital perturbation,</w:t>
      </w:r>
      <w:r w:rsidRPr="00821C07">
        <w:rPr>
          <w:iCs/>
          <w:lang w:val="en-GB"/>
        </w:rPr>
        <w:t xml:space="preserve"> </w:t>
      </w:r>
      <w:r w:rsidR="00C53526" w:rsidRPr="00C53526">
        <w:sym w:font="Symbol" w:char="F064"/>
      </w:r>
      <w:r w:rsidRPr="00821C07">
        <w:rPr>
          <w:lang w:val="en-GB"/>
        </w:rPr>
        <w:t>, can be represented empirically by two components. The</w:t>
      </w:r>
      <w:r w:rsidR="00821C07" w:rsidRPr="00821C07">
        <w:rPr>
          <w:lang w:val="en-GB"/>
        </w:rPr>
        <w:t xml:space="preserve"> </w:t>
      </w:r>
      <w:r w:rsidRPr="00821C07">
        <w:rPr>
          <w:lang w:val="en-GB"/>
        </w:rPr>
        <w:t>combined influence of the periodic gravitational perturbations should not exceed 35</w:t>
      </w:r>
      <w:r w:rsidR="00821C07" w:rsidRPr="00821C07">
        <w:rPr>
          <w:lang w:val="en-GB"/>
        </w:rPr>
        <w:t> </w:t>
      </w:r>
      <w:r w:rsidRPr="00821C07">
        <w:rPr>
          <w:lang w:val="en-GB"/>
        </w:rPr>
        <w:t>km for any satellite in a circular orbit (eccentricity less than 0.003), or:</w:t>
      </w:r>
    </w:p>
    <w:p w:rsidR="00F72183" w:rsidRPr="00821C07" w:rsidRDefault="00F72183" w:rsidP="00F72183">
      <w:pPr>
        <w:pStyle w:val="Blanc"/>
      </w:pPr>
    </w:p>
    <w:p w:rsidR="00AB0E65" w:rsidRPr="00821C07" w:rsidRDefault="00AB0E65" w:rsidP="00C53526">
      <w:pPr>
        <w:pStyle w:val="Equation"/>
        <w:rPr>
          <w:lang w:val="en-GB"/>
        </w:rPr>
      </w:pPr>
      <w:r w:rsidRPr="00821C07">
        <w:rPr>
          <w:i/>
          <w:lang w:val="en-GB"/>
        </w:rPr>
        <w:tab/>
      </w:r>
      <w:r w:rsidRPr="00821C07">
        <w:rPr>
          <w:i/>
          <w:lang w:val="en-GB"/>
        </w:rPr>
        <w:tab/>
      </w:r>
      <w:r w:rsidR="00C53526" w:rsidRPr="00C53526">
        <w:sym w:font="Symbol" w:char="F064"/>
      </w:r>
      <w:r w:rsidRPr="00821C07">
        <w:rPr>
          <w:i/>
          <w:iCs/>
          <w:vertAlign w:val="subscript"/>
          <w:lang w:val="en-GB"/>
        </w:rPr>
        <w:t>grav</w:t>
      </w:r>
      <w:r w:rsidRPr="00821C07">
        <w:rPr>
          <w:lang w:val="en-GB"/>
        </w:rPr>
        <w:t> </w:t>
      </w:r>
      <w:r w:rsidR="00C53526" w:rsidRPr="00C53526">
        <w:sym w:font="Symbol" w:char="F03C"/>
      </w:r>
      <w:r w:rsidRPr="00821C07">
        <w:rPr>
          <w:lang w:val="en-GB"/>
        </w:rPr>
        <w:t> 35 km</w:t>
      </w:r>
      <w:r w:rsidRPr="00821C07">
        <w:rPr>
          <w:lang w:val="en-GB"/>
        </w:rPr>
        <w:tab/>
        <w:t>(2)</w:t>
      </w:r>
    </w:p>
    <w:p w:rsidR="00F72183" w:rsidRPr="00821C07" w:rsidRDefault="00F72183" w:rsidP="00F72183">
      <w:pPr>
        <w:pStyle w:val="Blanc"/>
      </w:pPr>
    </w:p>
    <w:p w:rsidR="00AB0E65" w:rsidRPr="00821C07" w:rsidRDefault="00AB0E65" w:rsidP="00AB0E65">
      <w:pPr>
        <w:rPr>
          <w:lang w:val="en-GB"/>
        </w:rPr>
      </w:pPr>
      <w:r w:rsidRPr="00821C07">
        <w:rPr>
          <w:lang w:val="en-GB"/>
        </w:rPr>
        <w:t>For more eccentric disposal orbits, the perturbation effect could be greater than 35 km.</w:t>
      </w:r>
    </w:p>
    <w:p w:rsidR="00AB0E65" w:rsidRPr="00821C07" w:rsidRDefault="00AB0E65" w:rsidP="00AB0E65">
      <w:pPr>
        <w:rPr>
          <w:lang w:val="en-GB"/>
        </w:rPr>
      </w:pPr>
      <w:r w:rsidRPr="00821C07">
        <w:rPr>
          <w:lang w:val="en-GB"/>
        </w:rPr>
        <w:t>The maximum extent of the solar radiation pressure (SRP) perturbation will depend upon the individual characteristics of a satellite and is given (km) by:</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00C53526" w:rsidRPr="00C53526">
        <w:sym w:font="Symbol" w:char="F064"/>
      </w:r>
      <w:r w:rsidRPr="00821C07">
        <w:rPr>
          <w:i/>
          <w:iCs/>
          <w:vertAlign w:val="subscript"/>
          <w:lang w:val="en-GB"/>
        </w:rPr>
        <w:t>SRP</w:t>
      </w:r>
      <w:r w:rsidRPr="00821C07">
        <w:rPr>
          <w:lang w:val="en-GB"/>
        </w:rPr>
        <w:t> </w:t>
      </w:r>
      <w:r w:rsidR="00C53526" w:rsidRPr="00C53526">
        <w:sym w:font="Symbol" w:char="F03C"/>
      </w:r>
      <w:r w:rsidRPr="00821C07">
        <w:rPr>
          <w:lang w:val="en-GB"/>
        </w:rPr>
        <w:t> 1 000 </w:t>
      </w:r>
      <w:r w:rsidRPr="00821C07">
        <w:rPr>
          <w:i/>
          <w:lang w:val="en-GB"/>
        </w:rPr>
        <w:t>C</w:t>
      </w:r>
      <w:r w:rsidRPr="00821C07">
        <w:rPr>
          <w:i/>
          <w:iCs/>
          <w:vertAlign w:val="subscript"/>
          <w:lang w:val="en-GB"/>
        </w:rPr>
        <w:t>r</w:t>
      </w:r>
      <w:r w:rsidRPr="00821C07">
        <w:rPr>
          <w:i/>
          <w:lang w:val="en-GB"/>
        </w:rPr>
        <w:t xml:space="preserve"> A</w:t>
      </w:r>
      <w:r w:rsidRPr="00821C07">
        <w:rPr>
          <w:iCs/>
          <w:lang w:val="en-GB"/>
        </w:rPr>
        <w:t>/</w:t>
      </w:r>
      <w:r w:rsidRPr="00821C07">
        <w:rPr>
          <w:i/>
          <w:lang w:val="en-GB"/>
        </w:rPr>
        <w:t>M</w:t>
      </w:r>
      <w:r w:rsidRPr="00821C07">
        <w:rPr>
          <w:lang w:val="en-GB"/>
        </w:rPr>
        <w:tab/>
        <w:t>(3)</w:t>
      </w:r>
    </w:p>
    <w:p w:rsidR="00AB0E65" w:rsidRPr="00821C07" w:rsidRDefault="00AB0E65" w:rsidP="00AB0E65">
      <w:pPr>
        <w:rPr>
          <w:lang w:val="en-GB"/>
        </w:rPr>
      </w:pPr>
      <w:r w:rsidRPr="00821C07">
        <w:rPr>
          <w:lang w:val="en-GB"/>
        </w:rPr>
        <w:t>where:</w:t>
      </w:r>
    </w:p>
    <w:p w:rsidR="00AB0E65" w:rsidRPr="00821C07" w:rsidRDefault="00AB0E65" w:rsidP="00C53526">
      <w:pPr>
        <w:pStyle w:val="Equation"/>
        <w:rPr>
          <w:i/>
          <w:iCs/>
          <w:vertAlign w:val="subscript"/>
          <w:lang w:val="en-GB"/>
        </w:rPr>
      </w:pPr>
      <w:r w:rsidRPr="00C53526">
        <w:rPr>
          <w:lang w:val="en-GB"/>
        </w:rPr>
        <w:tab/>
      </w:r>
      <w:r w:rsidRPr="00821C07">
        <w:rPr>
          <w:lang w:val="en-GB"/>
        </w:rPr>
        <w:tab/>
      </w:r>
      <w:r w:rsidR="00C53526" w:rsidRPr="00C53526">
        <w:sym w:font="Symbol" w:char="F064"/>
      </w:r>
      <w:r w:rsidRPr="00821C07">
        <w:rPr>
          <w:lang w:val="en-GB"/>
        </w:rPr>
        <w:t> = </w:t>
      </w:r>
      <w:r w:rsidR="00C53526" w:rsidRPr="00C53526">
        <w:sym w:font="Symbol" w:char="F064"/>
      </w:r>
      <w:r w:rsidRPr="00821C07">
        <w:rPr>
          <w:i/>
          <w:iCs/>
          <w:vertAlign w:val="subscript"/>
          <w:lang w:val="en-GB"/>
        </w:rPr>
        <w:t>grav</w:t>
      </w:r>
      <w:r w:rsidRPr="00821C07">
        <w:rPr>
          <w:lang w:val="en-GB"/>
        </w:rPr>
        <w:t> </w:t>
      </w:r>
      <w:r w:rsidR="00C53526" w:rsidRPr="00462B40">
        <w:rPr>
          <w:lang w:val="en-US"/>
        </w:rPr>
        <w:t>+</w:t>
      </w:r>
      <w:r w:rsidRPr="00821C07">
        <w:rPr>
          <w:lang w:val="en-GB"/>
        </w:rPr>
        <w:t> </w:t>
      </w:r>
      <w:r w:rsidR="00C53526" w:rsidRPr="00C53526">
        <w:sym w:font="Symbol" w:char="F064"/>
      </w:r>
      <w:r w:rsidRPr="00821C07">
        <w:rPr>
          <w:i/>
          <w:iCs/>
          <w:vertAlign w:val="subscript"/>
          <w:lang w:val="en-GB"/>
        </w:rPr>
        <w:t>SRP</w:t>
      </w:r>
    </w:p>
    <w:p w:rsidR="00AB0E65" w:rsidRPr="00821C07" w:rsidRDefault="00AB0E65" w:rsidP="00A93224">
      <w:pPr>
        <w:pStyle w:val="Equationlegend"/>
        <w:rPr>
          <w:lang w:val="en-GB"/>
        </w:rPr>
      </w:pPr>
      <w:r w:rsidRPr="00821C07">
        <w:rPr>
          <w:i/>
          <w:lang w:val="en-GB"/>
        </w:rPr>
        <w:tab/>
        <w:t>C</w:t>
      </w:r>
      <w:r w:rsidRPr="00821C07">
        <w:rPr>
          <w:i/>
          <w:vertAlign w:val="subscript"/>
          <w:lang w:val="en-GB"/>
        </w:rPr>
        <w:t>r</w:t>
      </w:r>
      <w:r w:rsidRPr="00821C07">
        <w:rPr>
          <w:rFonts w:ascii="Tms Rmn" w:hAnsi="Tms Rmn"/>
          <w:sz w:val="12"/>
          <w:lang w:val="en-GB"/>
        </w:rPr>
        <w:t> </w:t>
      </w:r>
      <w:r w:rsidRPr="00821C07">
        <w:rPr>
          <w:lang w:val="en-GB"/>
        </w:rPr>
        <w:t xml:space="preserve">: </w:t>
      </w:r>
      <w:r w:rsidRPr="00821C07">
        <w:rPr>
          <w:lang w:val="en-GB"/>
        </w:rPr>
        <w:tab/>
        <w:t>reflectivity coefficient of the satellite at beginning of life and will vary between</w:t>
      </w:r>
      <w:r w:rsidR="00A93224">
        <w:rPr>
          <w:lang w:val="en-GB"/>
        </w:rPr>
        <w:t xml:space="preserve"> </w:t>
      </w:r>
      <w:r w:rsidRPr="00821C07">
        <w:rPr>
          <w:lang w:val="en-GB"/>
        </w:rPr>
        <w:t>1 and 2 depending upon its surface characteristics</w:t>
      </w:r>
    </w:p>
    <w:p w:rsidR="00AB0E65" w:rsidRPr="00821C07" w:rsidRDefault="00AB0E65" w:rsidP="00821C07">
      <w:pPr>
        <w:pStyle w:val="Equationlegend"/>
        <w:rPr>
          <w:lang w:val="en-GB"/>
        </w:rPr>
      </w:pPr>
      <w:r w:rsidRPr="00821C07">
        <w:rPr>
          <w:i/>
          <w:lang w:val="en-GB"/>
        </w:rPr>
        <w:tab/>
        <w:t>A</w:t>
      </w:r>
      <w:r w:rsidRPr="00821C07">
        <w:rPr>
          <w:rFonts w:ascii="Tms Rmn" w:hAnsi="Tms Rmn"/>
          <w:sz w:val="12"/>
          <w:lang w:val="en-GB"/>
        </w:rPr>
        <w:t> </w:t>
      </w:r>
      <w:r w:rsidRPr="00821C07">
        <w:rPr>
          <w:lang w:val="en-GB"/>
        </w:rPr>
        <w:t>:</w:t>
      </w:r>
      <w:r w:rsidRPr="00821C07">
        <w:rPr>
          <w:i/>
          <w:lang w:val="en-GB"/>
        </w:rPr>
        <w:tab/>
      </w:r>
      <w:r w:rsidRPr="00821C07">
        <w:rPr>
          <w:lang w:val="en-GB"/>
        </w:rPr>
        <w:t>aspect area of the satellite exposed to the sun (m</w:t>
      </w:r>
      <w:r w:rsidRPr="00821C07">
        <w:rPr>
          <w:vertAlign w:val="superscript"/>
          <w:lang w:val="en-GB"/>
        </w:rPr>
        <w:t>2</w:t>
      </w:r>
      <w:r w:rsidRPr="00821C07">
        <w:rPr>
          <w:lang w:val="en-GB"/>
        </w:rPr>
        <w:t>)</w:t>
      </w:r>
    </w:p>
    <w:p w:rsidR="00AB0E65" w:rsidRPr="00821C07" w:rsidRDefault="00AB0E65" w:rsidP="00AB0E65">
      <w:pPr>
        <w:pStyle w:val="Equationlegend"/>
        <w:rPr>
          <w:lang w:val="en-GB"/>
        </w:rPr>
      </w:pPr>
      <w:r w:rsidRPr="00821C07">
        <w:rPr>
          <w:i/>
          <w:lang w:val="en-GB"/>
        </w:rPr>
        <w:tab/>
        <w:t>M</w:t>
      </w:r>
      <w:r w:rsidRPr="00821C07">
        <w:rPr>
          <w:rFonts w:ascii="Tms Rmn" w:hAnsi="Tms Rmn"/>
          <w:sz w:val="12"/>
          <w:lang w:val="en-GB"/>
        </w:rPr>
        <w:t> </w:t>
      </w:r>
      <w:r w:rsidRPr="00821C07">
        <w:rPr>
          <w:lang w:val="en-GB"/>
        </w:rPr>
        <w:t>:</w:t>
      </w:r>
      <w:r w:rsidRPr="00821C07">
        <w:rPr>
          <w:i/>
          <w:lang w:val="en-GB"/>
        </w:rPr>
        <w:tab/>
      </w:r>
      <w:r w:rsidRPr="00821C07">
        <w:rPr>
          <w:lang w:val="en-GB"/>
        </w:rPr>
        <w:t>dry mass of the satellite (kg).</w:t>
      </w:r>
    </w:p>
    <w:p w:rsidR="00AB0E65" w:rsidRPr="00821C07" w:rsidRDefault="00AB0E65" w:rsidP="00AB0E65">
      <w:pPr>
        <w:rPr>
          <w:lang w:val="en-GB"/>
        </w:rPr>
      </w:pPr>
      <w:r w:rsidRPr="00821C07">
        <w:rPr>
          <w:iCs/>
          <w:lang w:val="en-GB"/>
        </w:rPr>
        <w:lastRenderedPageBreak/>
        <w:t>(</w:t>
      </w:r>
      <w:r w:rsidRPr="00821C07">
        <w:rPr>
          <w:i/>
          <w:lang w:val="en-GB"/>
        </w:rPr>
        <w:t>A</w:t>
      </w:r>
      <w:r w:rsidRPr="00821C07">
        <w:rPr>
          <w:iCs/>
          <w:lang w:val="en-GB"/>
        </w:rPr>
        <w:t>/</w:t>
      </w:r>
      <w:r w:rsidRPr="00821C07">
        <w:rPr>
          <w:i/>
          <w:lang w:val="en-GB"/>
        </w:rPr>
        <w:t>M</w:t>
      </w:r>
      <w:r w:rsidRPr="00821C07">
        <w:rPr>
          <w:lang w:val="en-GB"/>
        </w:rPr>
        <w:t xml:space="preserve"> will typically take a value between 0.01 and 0.1 depending upon the characteristics of the satellite.)</w:t>
      </w:r>
    </w:p>
    <w:p w:rsidR="00AB0E65" w:rsidRPr="00821C07" w:rsidRDefault="00AB0E65" w:rsidP="00AB0E65">
      <w:pPr>
        <w:rPr>
          <w:lang w:val="en-GB"/>
        </w:rPr>
      </w:pPr>
      <w:r w:rsidRPr="00821C07">
        <w:rPr>
          <w:lang w:val="en-GB"/>
        </w:rPr>
        <w:t>Combining equations (1), (2) and (3) gives the minimum re-orbit perigee altitude requirement above the GSO altitude to ensure that the satellite, following end of life disposal, does not return within the protected GSO region which extends 200 km above the geostationary altitude:</w:t>
      </w:r>
    </w:p>
    <w:p w:rsidR="00F72183" w:rsidRPr="00821C07" w:rsidRDefault="00F72183" w:rsidP="00F72183">
      <w:pPr>
        <w:pStyle w:val="Blanc"/>
      </w:pPr>
    </w:p>
    <w:p w:rsidR="00AB0E65" w:rsidRPr="00821C07" w:rsidRDefault="00AB0E65" w:rsidP="00C53526">
      <w:pPr>
        <w:pStyle w:val="Equation"/>
        <w:rPr>
          <w:lang w:val="en-GB"/>
        </w:rPr>
      </w:pPr>
      <w:r w:rsidRPr="00821C07">
        <w:rPr>
          <w:lang w:val="en-GB"/>
        </w:rPr>
        <w:tab/>
      </w:r>
      <w:r w:rsidRPr="00821C07">
        <w:rPr>
          <w:lang w:val="en-GB"/>
        </w:rPr>
        <w:tab/>
      </w:r>
      <w:r w:rsidR="00C53526" w:rsidRPr="00C53526">
        <w:sym w:font="Symbol" w:char="F044"/>
      </w:r>
      <w:r w:rsidRPr="00821C07">
        <w:rPr>
          <w:i/>
          <w:lang w:val="en-GB"/>
        </w:rPr>
        <w:t>H</w:t>
      </w:r>
      <w:r w:rsidRPr="00821C07">
        <w:rPr>
          <w:lang w:val="en-GB"/>
        </w:rPr>
        <w:t> </w:t>
      </w:r>
      <w:r w:rsidR="00C53526" w:rsidRPr="00C53526">
        <w:sym w:font="Symbol" w:char="F03E"/>
      </w:r>
      <w:r w:rsidRPr="00821C07">
        <w:rPr>
          <w:lang w:val="en-GB"/>
        </w:rPr>
        <w:t> 235 </w:t>
      </w:r>
      <w:r w:rsidR="00C53526" w:rsidRPr="00462B40">
        <w:rPr>
          <w:lang w:val="en-US"/>
        </w:rPr>
        <w:t>+</w:t>
      </w:r>
      <w:r w:rsidRPr="00821C07">
        <w:rPr>
          <w:lang w:val="en-GB"/>
        </w:rPr>
        <w:t> 1</w:t>
      </w:r>
      <w:r w:rsidR="00F72183" w:rsidRPr="00821C07">
        <w:rPr>
          <w:lang w:val="en-GB"/>
        </w:rPr>
        <w:t> </w:t>
      </w:r>
      <w:r w:rsidRPr="00821C07">
        <w:rPr>
          <w:lang w:val="en-GB"/>
        </w:rPr>
        <w:t xml:space="preserve">000 </w:t>
      </w:r>
      <w:r w:rsidRPr="00821C07">
        <w:rPr>
          <w:i/>
          <w:lang w:val="en-GB"/>
        </w:rPr>
        <w:t>C</w:t>
      </w:r>
      <w:r w:rsidRPr="00821C07">
        <w:rPr>
          <w:i/>
          <w:vertAlign w:val="subscript"/>
          <w:lang w:val="en-GB"/>
        </w:rPr>
        <w:t>r</w:t>
      </w:r>
      <w:r w:rsidRPr="00821C07">
        <w:rPr>
          <w:lang w:val="en-GB"/>
        </w:rPr>
        <w:t xml:space="preserve"> </w:t>
      </w:r>
      <w:r w:rsidRPr="00821C07">
        <w:rPr>
          <w:i/>
          <w:lang w:val="en-GB"/>
        </w:rPr>
        <w:t>A</w:t>
      </w:r>
      <w:r w:rsidRPr="00821C07">
        <w:rPr>
          <w:iCs/>
          <w:lang w:val="en-GB"/>
        </w:rPr>
        <w:t>/</w:t>
      </w:r>
      <w:r w:rsidRPr="00821C07">
        <w:rPr>
          <w:i/>
          <w:lang w:val="en-GB"/>
        </w:rPr>
        <w:t>M</w:t>
      </w:r>
      <w:r w:rsidRPr="00821C07">
        <w:rPr>
          <w:vertAlign w:val="subscript"/>
          <w:lang w:val="en-GB"/>
        </w:rPr>
        <w:tab/>
      </w:r>
      <w:r w:rsidRPr="00821C07">
        <w:rPr>
          <w:lang w:val="en-GB"/>
        </w:rPr>
        <w:t>(4)</w:t>
      </w:r>
    </w:p>
    <w:p w:rsidR="00F72183" w:rsidRPr="00821C07" w:rsidRDefault="00F72183" w:rsidP="00F72183">
      <w:pPr>
        <w:pStyle w:val="Blanc"/>
      </w:pPr>
    </w:p>
    <w:p w:rsidR="00AB0E65" w:rsidRPr="00821C07" w:rsidRDefault="00AB0E65" w:rsidP="00AB0E65">
      <w:pPr>
        <w:pStyle w:val="Equation"/>
        <w:rPr>
          <w:lang w:val="en-GB"/>
        </w:rPr>
      </w:pPr>
      <w:r w:rsidRPr="00821C07">
        <w:rPr>
          <w:lang w:val="en-GB"/>
        </w:rPr>
        <w:t>for eccentricities &lt; 0.003.</w:t>
      </w:r>
    </w:p>
    <w:p w:rsidR="00AB0E65" w:rsidRPr="00821C07" w:rsidRDefault="00AB0E65" w:rsidP="00AB0E65">
      <w:pPr>
        <w:pStyle w:val="Equation"/>
        <w:rPr>
          <w:lang w:val="en-GB"/>
        </w:rPr>
      </w:pPr>
      <w:r w:rsidRPr="00821C07">
        <w:rPr>
          <w:lang w:val="en-GB"/>
        </w:rPr>
        <w:t>Lower disposal orbit perigee altitudes, which will still avoid the GSO region for at least 100 years, are sometimes possible when the orbital plane and the line of apsides are aligned favourably.</w:t>
      </w:r>
    </w:p>
    <w:p w:rsidR="00AB0E65" w:rsidRPr="00821C07" w:rsidRDefault="00AB0E65" w:rsidP="00AB0E65">
      <w:pPr>
        <w:pStyle w:val="Heading1"/>
        <w:rPr>
          <w:lang w:val="en-GB"/>
        </w:rPr>
      </w:pPr>
      <w:r w:rsidRPr="00821C07">
        <w:rPr>
          <w:lang w:val="en-GB"/>
        </w:rPr>
        <w:t>2</w:t>
      </w:r>
      <w:r w:rsidRPr="00821C07">
        <w:rPr>
          <w:lang w:val="en-GB"/>
        </w:rPr>
        <w:tab/>
        <w:t>Fuel budget and margin</w:t>
      </w:r>
    </w:p>
    <w:p w:rsidR="00AB0E65" w:rsidRPr="00821C07" w:rsidRDefault="00AB0E65" w:rsidP="00AB0E65">
      <w:pPr>
        <w:rPr>
          <w:lang w:val="en-GB"/>
        </w:rPr>
      </w:pPr>
      <w:r w:rsidRPr="00821C07">
        <w:rPr>
          <w:lang w:val="en-GB"/>
        </w:rPr>
        <w:t>Spacecraft operators are encouraged to monitor the use of on-board propellant to ensure adequate fuel is available to achieve the required manoeuvre at end of life. It is recognized that some existing operational satellites in the GSO may have difficulty in meeting this objective and that this may increase the risk of collisions. In addition, it is recommended that a fuel margin be added to the budget in order to account for the effect of orbital determination inaccuracies and possible execution errors.</w:t>
      </w:r>
    </w:p>
    <w:p w:rsidR="00AB0E65" w:rsidRPr="00821C07" w:rsidRDefault="00AB0E65" w:rsidP="00AB0E65">
      <w:pPr>
        <w:rPr>
          <w:lang w:val="en-GB"/>
        </w:rPr>
      </w:pPr>
      <w:r w:rsidRPr="00821C07">
        <w:rPr>
          <w:lang w:val="en-GB"/>
        </w:rPr>
        <w:t>It is recommended that a multiple manoeuvre strategy be followed to raise the orbit perigee to the projected minimum altitude, thereby minimizing the consequences of failure of the propulsion system due to either malfunction or inadequate fuel margin.</w:t>
      </w:r>
    </w:p>
    <w:p w:rsidR="00AB0E65" w:rsidRPr="00821C07" w:rsidRDefault="00AB0E65" w:rsidP="00AB0E65">
      <w:pPr>
        <w:rPr>
          <w:lang w:val="en-GB"/>
        </w:rPr>
      </w:pPr>
      <w:r w:rsidRPr="00821C07">
        <w:rPr>
          <w:lang w:val="en-GB"/>
        </w:rPr>
        <w:t>Once the minimum perigee altitude has been reached, a multiple manoeuvre strategy should continue to be followed, progressively raising the orbit perigee, using to the greatest extent possible all remaining propellants and, if feasible, pressurants. Once any remaining propellants and pressurants have been expended, all further stored energy sources on board should be passivated (e.g.</w:t>
      </w:r>
      <w:r w:rsidR="00F72183" w:rsidRPr="00821C07">
        <w:rPr>
          <w:lang w:val="en-GB"/>
        </w:rPr>
        <w:t>,</w:t>
      </w:r>
      <w:r w:rsidRPr="00821C07">
        <w:rPr>
          <w:lang w:val="en-GB"/>
        </w:rPr>
        <w:t xml:space="preserve"> batteries, gyros) to avoid the possibility of fragmentation.</w:t>
      </w:r>
    </w:p>
    <w:p w:rsidR="00A6617B" w:rsidRDefault="00A6617B" w:rsidP="00A6617B">
      <w:pPr>
        <w:rPr>
          <w:lang w:val="en-GB"/>
        </w:rPr>
      </w:pPr>
    </w:p>
    <w:p w:rsidR="00173403" w:rsidRPr="00821C07" w:rsidRDefault="00173403" w:rsidP="00A6617B">
      <w:pPr>
        <w:rPr>
          <w:lang w:val="en-GB"/>
        </w:rPr>
      </w:pPr>
    </w:p>
    <w:p w:rsidR="00AB0E65" w:rsidRPr="00821C07" w:rsidRDefault="00AB0E65" w:rsidP="00AB0E65">
      <w:pPr>
        <w:pStyle w:val="Line"/>
      </w:pPr>
    </w:p>
    <w:sectPr w:rsidR="00AB0E65" w:rsidRPr="00821C07" w:rsidSect="0039160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65" w:rsidRDefault="00AB0E65">
      <w:r>
        <w:separator/>
      </w:r>
    </w:p>
  </w:endnote>
  <w:endnote w:type="continuationSeparator" w:id="0">
    <w:p w:rsidR="00AB0E65" w:rsidRDefault="00AB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65" w:rsidRDefault="00AB0E65">
      <w:r>
        <w:separator/>
      </w:r>
    </w:p>
  </w:footnote>
  <w:footnote w:type="continuationSeparator" w:id="0">
    <w:p w:rsidR="00AB0E65" w:rsidRDefault="00AB0E65">
      <w:r>
        <w:continuationSeparator/>
      </w:r>
    </w:p>
  </w:footnote>
  <w:footnote w:id="1">
    <w:p w:rsidR="00173403" w:rsidRPr="00173403" w:rsidRDefault="00173403" w:rsidP="00173403">
      <w:pPr>
        <w:pStyle w:val="FootnoteText"/>
        <w:rPr>
          <w:lang w:val="en-US"/>
        </w:rPr>
      </w:pPr>
      <w:r w:rsidRPr="00462B40">
        <w:rPr>
          <w:rStyle w:val="FootnoteReference"/>
          <w:lang w:val="en-US"/>
        </w:rPr>
        <w:t>*</w:t>
      </w:r>
      <w:r w:rsidRPr="00462B40">
        <w:rPr>
          <w:lang w:val="en-US"/>
        </w:rPr>
        <w:tab/>
      </w:r>
      <w:r>
        <w:rPr>
          <w:lang w:val="en-US"/>
        </w:rPr>
        <w:t>This Recommendation should be brought to the attention of Radiocommunication Study Groups 5, 6 and 7. It is requested that Radiocommunication Study Group 7 should address the subject of the preventing of the deposit in the geostationary arc of spacecraft or transfer stage components that represent a hazard to functioning spacecraft.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rsidP="00885C3D">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Pr="00FC42AF" w:rsidRDefault="00801733" w:rsidP="00863DF0">
    <w:pPr>
      <w:pStyle w:val="Header"/>
      <w:jc w:val="left"/>
    </w:pPr>
    <w:r>
      <w:rPr>
        <w:rStyle w:val="PageNumber"/>
        <w:b/>
        <w:bCs/>
      </w:rPr>
      <w:fldChar w:fldCharType="begin"/>
    </w:r>
    <w:r w:rsidR="00AB0E65" w:rsidRPr="00FC42AF">
      <w:rPr>
        <w:rStyle w:val="PageNumber"/>
        <w:b/>
        <w:bCs/>
      </w:rPr>
      <w:instrText xml:space="preserve"> PAGE </w:instrText>
    </w:r>
    <w:r>
      <w:rPr>
        <w:rStyle w:val="PageNumber"/>
        <w:b/>
        <w:bCs/>
      </w:rPr>
      <w:fldChar w:fldCharType="separate"/>
    </w:r>
    <w:r w:rsidR="00462B40">
      <w:rPr>
        <w:rStyle w:val="PageNumber"/>
        <w:b/>
        <w:bCs/>
        <w:noProof/>
      </w:rPr>
      <w:t>ii</w:t>
    </w:r>
    <w:r>
      <w:rPr>
        <w:rStyle w:val="PageNumber"/>
        <w:b/>
        <w:bCs/>
      </w:rPr>
      <w:fldChar w:fldCharType="end"/>
    </w:r>
    <w:r w:rsidR="00AB0E65" w:rsidRPr="00FC42AF">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sidR="00AB0E65" w:rsidRPr="00863DF0">
      <w:rPr>
        <w:b/>
        <w:bCs/>
      </w:rPr>
      <w:t xml:space="preserve"> </w:t>
    </w:r>
    <w:r w:rsidRPr="00863DF0">
      <w:rPr>
        <w:b/>
        <w:bCs/>
      </w:rPr>
      <w:fldChar w:fldCharType="begin"/>
    </w:r>
    <w:r w:rsidR="00AB0E65" w:rsidRPr="00863DF0">
      <w:rPr>
        <w:b/>
        <w:bCs/>
      </w:rPr>
      <w:instrText>styleref href</w:instrText>
    </w:r>
    <w:r w:rsidRPr="00863DF0">
      <w:rPr>
        <w:b/>
        <w:bCs/>
      </w:rPr>
      <w:fldChar w:fldCharType="separate"/>
    </w:r>
    <w:r w:rsidR="00462B40">
      <w:rPr>
        <w:b/>
        <w:bCs/>
        <w:noProof/>
      </w:rPr>
      <w:t>ITU-R  S.1003-2</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65" w:rsidRDefault="00AB0E65">
    <w:r>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Pr>
        <w:b/>
        <w:bCs/>
      </w:rPr>
      <w:t xml:space="preserve"> </w:t>
    </w:r>
    <w:r w:rsidR="00801733">
      <w:rPr>
        <w:b/>
        <w:bCs/>
      </w:rPr>
      <w:fldChar w:fldCharType="begin"/>
    </w:r>
    <w:r>
      <w:rPr>
        <w:b/>
        <w:bCs/>
      </w:rPr>
      <w:instrText>styleref href</w:instrText>
    </w:r>
    <w:r w:rsidR="00801733">
      <w:rPr>
        <w:b/>
        <w:bCs/>
      </w:rPr>
      <w:fldChar w:fldCharType="separate"/>
    </w:r>
    <w:r w:rsidR="00173403">
      <w:rPr>
        <w:b/>
        <w:bCs/>
        <w:noProof/>
      </w:rPr>
      <w:t>ITU-R  S.1003-2</w:t>
    </w:r>
    <w:r w:rsidR="00801733">
      <w:rPr>
        <w:b/>
        <w:bCs/>
      </w:rPr>
      <w:fldChar w:fldCharType="end"/>
    </w:r>
    <w:r>
      <w:tab/>
    </w:r>
    <w:r w:rsidR="00801733">
      <w:rPr>
        <w:rStyle w:val="PageNumber"/>
        <w:b/>
        <w:bCs/>
      </w:rPr>
      <w:fldChar w:fldCharType="begin"/>
    </w:r>
    <w:r>
      <w:rPr>
        <w:rStyle w:val="PageNumber"/>
        <w:b/>
        <w:bCs/>
      </w:rPr>
      <w:instrText xml:space="preserve"> PAGE </w:instrText>
    </w:r>
    <w:r w:rsidR="00801733">
      <w:rPr>
        <w:rStyle w:val="PageNumber"/>
        <w:b/>
        <w:bCs/>
      </w:rPr>
      <w:fldChar w:fldCharType="separate"/>
    </w:r>
    <w:r>
      <w:rPr>
        <w:rStyle w:val="PageNumber"/>
        <w:b/>
        <w:bCs/>
        <w:noProof/>
      </w:rPr>
      <w:t>iii</w:t>
    </w:r>
    <w:r w:rsidR="0080173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801733">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462B40">
      <w:rPr>
        <w:rStyle w:val="PageNumber"/>
        <w:b/>
        <w:bCs/>
        <w:noProof/>
        <w:lang w:val="en-US"/>
      </w:rPr>
      <w:t>4</w:t>
    </w:r>
    <w:r>
      <w:rPr>
        <w:rStyle w:val="PageNumber"/>
        <w:b/>
        <w:bCs/>
      </w:rPr>
      <w:fldChar w:fldCharType="end"/>
    </w:r>
    <w:r w:rsidR="00607D68">
      <w:rPr>
        <w:lang w:val="en-US"/>
      </w:rPr>
      <w:tab/>
    </w:r>
    <w:r w:rsidR="00462B40">
      <w:fldChar w:fldCharType="begin"/>
    </w:r>
    <w:r w:rsidR="00462B40">
      <w:instrText xml:space="preserve"> DOCPROPERTY "Header" \* MERGEFORMAT </w:instrText>
    </w:r>
    <w:r w:rsidR="00462B40">
      <w:fldChar w:fldCharType="separate"/>
    </w:r>
    <w:r w:rsidR="00173403" w:rsidRPr="00173403">
      <w:rPr>
        <w:b/>
        <w:bCs/>
        <w:lang w:val="en-US"/>
      </w:rPr>
      <w:t xml:space="preserve">Rec. </w:t>
    </w:r>
    <w:r w:rsidR="00462B40">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462B40">
      <w:rPr>
        <w:b/>
        <w:bCs/>
        <w:noProof/>
      </w:rPr>
      <w:t>ITU-R  S.1003-2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462B40">
      <w:fldChar w:fldCharType="begin"/>
    </w:r>
    <w:r w:rsidR="00462B40">
      <w:instrText xml:space="preserve"> DOCPROPERTY "Header" \* MERGEFORMAT </w:instrText>
    </w:r>
    <w:r w:rsidR="00462B40">
      <w:fldChar w:fldCharType="separate"/>
    </w:r>
    <w:r w:rsidR="00173403" w:rsidRPr="00173403">
      <w:rPr>
        <w:b/>
        <w:bCs/>
      </w:rPr>
      <w:t xml:space="preserve">Rec. </w:t>
    </w:r>
    <w:r w:rsidR="00462B40">
      <w:rPr>
        <w:b/>
        <w:bCs/>
      </w:rPr>
      <w:fldChar w:fldCharType="end"/>
    </w:r>
    <w:r>
      <w:rPr>
        <w:b/>
        <w:bCs/>
      </w:rPr>
      <w:t xml:space="preserve"> </w:t>
    </w:r>
    <w:r w:rsidR="00801733">
      <w:rPr>
        <w:b/>
        <w:bCs/>
      </w:rPr>
      <w:fldChar w:fldCharType="begin"/>
    </w:r>
    <w:r>
      <w:rPr>
        <w:b/>
        <w:bCs/>
      </w:rPr>
      <w:instrText>styleref href</w:instrText>
    </w:r>
    <w:r w:rsidR="00801733">
      <w:rPr>
        <w:b/>
        <w:bCs/>
      </w:rPr>
      <w:fldChar w:fldCharType="separate"/>
    </w:r>
    <w:r w:rsidR="00462B40">
      <w:rPr>
        <w:b/>
        <w:bCs/>
        <w:noProof/>
      </w:rPr>
      <w:t>ITU-R  S.1003-2</w:t>
    </w:r>
    <w:r w:rsidR="00801733">
      <w:rPr>
        <w:b/>
        <w:bCs/>
      </w:rPr>
      <w:fldChar w:fldCharType="end"/>
    </w:r>
    <w:r>
      <w:tab/>
    </w:r>
    <w:r w:rsidR="00801733">
      <w:rPr>
        <w:rStyle w:val="PageNumber"/>
        <w:b/>
        <w:bCs/>
      </w:rPr>
      <w:fldChar w:fldCharType="begin"/>
    </w:r>
    <w:r>
      <w:rPr>
        <w:rStyle w:val="PageNumber"/>
        <w:b/>
        <w:bCs/>
      </w:rPr>
      <w:instrText xml:space="preserve"> PAGE </w:instrText>
    </w:r>
    <w:r w:rsidR="00801733">
      <w:rPr>
        <w:rStyle w:val="PageNumber"/>
        <w:b/>
        <w:bCs/>
      </w:rPr>
      <w:fldChar w:fldCharType="separate"/>
    </w:r>
    <w:r w:rsidR="00462B40">
      <w:rPr>
        <w:rStyle w:val="PageNumber"/>
        <w:b/>
        <w:bCs/>
        <w:noProof/>
      </w:rPr>
      <w:t>3</w:t>
    </w:r>
    <w:r w:rsidR="0080173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9160B"/>
    <w:rsid w:val="0016480C"/>
    <w:rsid w:val="00173403"/>
    <w:rsid w:val="00200377"/>
    <w:rsid w:val="00217EBF"/>
    <w:rsid w:val="00264017"/>
    <w:rsid w:val="002D76C4"/>
    <w:rsid w:val="0039160B"/>
    <w:rsid w:val="00462B40"/>
    <w:rsid w:val="005E5AC0"/>
    <w:rsid w:val="00607D68"/>
    <w:rsid w:val="007468DA"/>
    <w:rsid w:val="007E5D10"/>
    <w:rsid w:val="00801733"/>
    <w:rsid w:val="00821C07"/>
    <w:rsid w:val="00A6617B"/>
    <w:rsid w:val="00A93224"/>
    <w:rsid w:val="00AB0DC8"/>
    <w:rsid w:val="00AB0E65"/>
    <w:rsid w:val="00B44E24"/>
    <w:rsid w:val="00C53526"/>
    <w:rsid w:val="00CF02B0"/>
    <w:rsid w:val="00DF4176"/>
    <w:rsid w:val="00F721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4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73403"/>
    <w:pPr>
      <w:keepNext/>
      <w:keepLines/>
      <w:spacing w:before="480"/>
      <w:ind w:left="794" w:hanging="794"/>
      <w:outlineLvl w:val="0"/>
    </w:pPr>
    <w:rPr>
      <w:b/>
    </w:rPr>
  </w:style>
  <w:style w:type="paragraph" w:styleId="Heading2">
    <w:name w:val="heading 2"/>
    <w:basedOn w:val="Heading1"/>
    <w:next w:val="Normal"/>
    <w:qFormat/>
    <w:rsid w:val="00173403"/>
    <w:pPr>
      <w:spacing w:before="320"/>
      <w:outlineLvl w:val="1"/>
    </w:pPr>
  </w:style>
  <w:style w:type="paragraph" w:styleId="Heading3">
    <w:name w:val="heading 3"/>
    <w:basedOn w:val="Heading1"/>
    <w:next w:val="Normal"/>
    <w:qFormat/>
    <w:rsid w:val="00173403"/>
    <w:pPr>
      <w:spacing w:before="200"/>
      <w:outlineLvl w:val="2"/>
    </w:pPr>
  </w:style>
  <w:style w:type="paragraph" w:styleId="Heading4">
    <w:name w:val="heading 4"/>
    <w:basedOn w:val="Heading3"/>
    <w:next w:val="Normal"/>
    <w:qFormat/>
    <w:rsid w:val="00173403"/>
    <w:pPr>
      <w:tabs>
        <w:tab w:val="clear" w:pos="794"/>
        <w:tab w:val="left" w:pos="992"/>
      </w:tabs>
      <w:ind w:left="992" w:hanging="992"/>
      <w:outlineLvl w:val="3"/>
    </w:pPr>
  </w:style>
  <w:style w:type="paragraph" w:styleId="Heading5">
    <w:name w:val="heading 5"/>
    <w:basedOn w:val="Heading4"/>
    <w:next w:val="Normal"/>
    <w:qFormat/>
    <w:rsid w:val="00173403"/>
    <w:pPr>
      <w:outlineLvl w:val="4"/>
    </w:pPr>
  </w:style>
  <w:style w:type="paragraph" w:styleId="Heading6">
    <w:name w:val="heading 6"/>
    <w:basedOn w:val="Heading4"/>
    <w:next w:val="Normal"/>
    <w:qFormat/>
    <w:rsid w:val="00173403"/>
    <w:pPr>
      <w:tabs>
        <w:tab w:val="clear" w:pos="992"/>
        <w:tab w:val="clear" w:pos="1191"/>
      </w:tabs>
      <w:ind w:left="1588" w:hanging="1588"/>
      <w:outlineLvl w:val="5"/>
    </w:pPr>
  </w:style>
  <w:style w:type="paragraph" w:styleId="Heading7">
    <w:name w:val="heading 7"/>
    <w:basedOn w:val="Heading6"/>
    <w:next w:val="Normal"/>
    <w:qFormat/>
    <w:rsid w:val="00173403"/>
    <w:pPr>
      <w:outlineLvl w:val="6"/>
    </w:pPr>
  </w:style>
  <w:style w:type="paragraph" w:styleId="Heading8">
    <w:name w:val="heading 8"/>
    <w:basedOn w:val="Heading6"/>
    <w:next w:val="Normal"/>
    <w:qFormat/>
    <w:rsid w:val="00173403"/>
    <w:pPr>
      <w:outlineLvl w:val="7"/>
    </w:pPr>
  </w:style>
  <w:style w:type="paragraph" w:styleId="Heading9">
    <w:name w:val="heading 9"/>
    <w:basedOn w:val="Heading6"/>
    <w:next w:val="Normal"/>
    <w:qFormat/>
    <w:rsid w:val="001734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34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734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73403"/>
  </w:style>
  <w:style w:type="paragraph" w:customStyle="1" w:styleId="Headingb">
    <w:name w:val="Heading_b"/>
    <w:basedOn w:val="Heading3"/>
    <w:next w:val="Normal"/>
    <w:rsid w:val="00173403"/>
    <w:pPr>
      <w:spacing w:before="160"/>
      <w:ind w:left="0" w:firstLine="0"/>
      <w:outlineLvl w:val="9"/>
    </w:pPr>
  </w:style>
  <w:style w:type="paragraph" w:customStyle="1" w:styleId="Headingi">
    <w:name w:val="Heading_i"/>
    <w:basedOn w:val="Heading3"/>
    <w:next w:val="Normal"/>
    <w:rsid w:val="00173403"/>
    <w:pPr>
      <w:spacing w:before="160"/>
      <w:ind w:left="0" w:firstLine="0"/>
    </w:pPr>
    <w:rPr>
      <w:b w:val="0"/>
      <w:i/>
    </w:rPr>
  </w:style>
  <w:style w:type="character" w:customStyle="1" w:styleId="href">
    <w:name w:val="href"/>
    <w:basedOn w:val="DefaultParagraphFont"/>
    <w:rsid w:val="00173403"/>
  </w:style>
  <w:style w:type="paragraph" w:customStyle="1" w:styleId="enumlev1">
    <w:name w:val="enumlev1"/>
    <w:basedOn w:val="Normal"/>
    <w:link w:val="enumlev1Char"/>
    <w:rsid w:val="00173403"/>
    <w:pPr>
      <w:spacing w:before="80"/>
      <w:ind w:left="794" w:hanging="794"/>
    </w:pPr>
  </w:style>
  <w:style w:type="paragraph" w:customStyle="1" w:styleId="enumlev2">
    <w:name w:val="enumlev2"/>
    <w:basedOn w:val="enumlev1"/>
    <w:rsid w:val="00173403"/>
    <w:pPr>
      <w:ind w:left="1191" w:hanging="397"/>
    </w:pPr>
  </w:style>
  <w:style w:type="paragraph" w:customStyle="1" w:styleId="enumlev3">
    <w:name w:val="enumlev3"/>
    <w:basedOn w:val="enumlev2"/>
    <w:rsid w:val="00173403"/>
    <w:pPr>
      <w:ind w:left="1588"/>
    </w:pPr>
  </w:style>
  <w:style w:type="paragraph" w:customStyle="1" w:styleId="Normalaftertitle">
    <w:name w:val="Normal_after_title"/>
    <w:basedOn w:val="Normal"/>
    <w:next w:val="Normal"/>
    <w:link w:val="NormalaftertitleChar"/>
    <w:rsid w:val="00173403"/>
    <w:pPr>
      <w:spacing w:before="320"/>
    </w:pPr>
  </w:style>
  <w:style w:type="paragraph" w:customStyle="1" w:styleId="Note">
    <w:name w:val="Note"/>
    <w:basedOn w:val="Normal"/>
    <w:rsid w:val="001734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7340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73403"/>
    <w:pPr>
      <w:spacing w:before="240"/>
    </w:pPr>
    <w:rPr>
      <w:sz w:val="22"/>
      <w:lang w:val="es-ES_tradnl"/>
    </w:rPr>
  </w:style>
  <w:style w:type="paragraph" w:customStyle="1" w:styleId="Recref">
    <w:name w:val="Rec_ref"/>
    <w:basedOn w:val="Normal"/>
    <w:next w:val="Recdate"/>
    <w:rsid w:val="00173403"/>
    <w:pPr>
      <w:jc w:val="center"/>
    </w:pPr>
  </w:style>
  <w:style w:type="paragraph" w:customStyle="1" w:styleId="Recdate">
    <w:name w:val="Rec_date"/>
    <w:basedOn w:val="Recref"/>
    <w:next w:val="Normalaftertitle"/>
    <w:rsid w:val="00173403"/>
    <w:pPr>
      <w:jc w:val="right"/>
    </w:pPr>
  </w:style>
  <w:style w:type="paragraph" w:customStyle="1" w:styleId="AnnexNoTitle">
    <w:name w:val="Annex_NoTitle"/>
    <w:basedOn w:val="Normal"/>
    <w:next w:val="Normalaftertitle"/>
    <w:rsid w:val="00173403"/>
    <w:pPr>
      <w:keepNext/>
      <w:keepLines/>
      <w:spacing w:before="480" w:after="80"/>
      <w:jc w:val="center"/>
    </w:pPr>
    <w:rPr>
      <w:b/>
      <w:sz w:val="28"/>
    </w:rPr>
  </w:style>
  <w:style w:type="paragraph" w:customStyle="1" w:styleId="AppendixNoTitle">
    <w:name w:val="Appendix_NoTitle"/>
    <w:basedOn w:val="AnnexNoTitle"/>
    <w:next w:val="Normal"/>
    <w:rsid w:val="00173403"/>
  </w:style>
  <w:style w:type="paragraph" w:customStyle="1" w:styleId="Tablefin">
    <w:name w:val="Table_fin"/>
    <w:basedOn w:val="Normal"/>
    <w:next w:val="Normal"/>
    <w:rsid w:val="00173403"/>
    <w:pPr>
      <w:spacing w:before="0"/>
    </w:pPr>
    <w:rPr>
      <w:sz w:val="20"/>
      <w:lang w:val="en-GB"/>
    </w:rPr>
  </w:style>
  <w:style w:type="paragraph" w:customStyle="1" w:styleId="Tablehead">
    <w:name w:val="Table_head"/>
    <w:basedOn w:val="Normal"/>
    <w:next w:val="Normal"/>
    <w:rsid w:val="001734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34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3403"/>
    <w:pPr>
      <w:keepNext/>
      <w:spacing w:before="360" w:after="120"/>
      <w:jc w:val="center"/>
    </w:pPr>
  </w:style>
  <w:style w:type="paragraph" w:customStyle="1" w:styleId="Tabletext">
    <w:name w:val="Table_text"/>
    <w:basedOn w:val="Normal"/>
    <w:rsid w:val="001734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3403"/>
    <w:pPr>
      <w:tabs>
        <w:tab w:val="clear" w:pos="1191"/>
        <w:tab w:val="clear" w:pos="1588"/>
        <w:tab w:val="clear" w:pos="1985"/>
        <w:tab w:val="center" w:pos="4820"/>
        <w:tab w:val="right" w:pos="9639"/>
      </w:tabs>
    </w:pPr>
  </w:style>
  <w:style w:type="paragraph" w:customStyle="1" w:styleId="Equationlegend">
    <w:name w:val="Equation_legend"/>
    <w:basedOn w:val="NormalIndent"/>
    <w:rsid w:val="001734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73403"/>
    <w:pPr>
      <w:ind w:left="794"/>
    </w:pPr>
  </w:style>
  <w:style w:type="paragraph" w:customStyle="1" w:styleId="Figurelegend">
    <w:name w:val="Figure_legend"/>
    <w:basedOn w:val="Normal"/>
    <w:rsid w:val="001734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73403"/>
    <w:pPr>
      <w:keepNext/>
      <w:keepLines/>
      <w:spacing w:before="480" w:after="80"/>
      <w:jc w:val="center"/>
    </w:pPr>
    <w:rPr>
      <w:caps/>
      <w:sz w:val="18"/>
    </w:rPr>
  </w:style>
  <w:style w:type="paragraph" w:customStyle="1" w:styleId="tocpart">
    <w:name w:val="tocpart"/>
    <w:basedOn w:val="Normal"/>
    <w:rsid w:val="001734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3403"/>
    <w:pPr>
      <w:keepNext/>
      <w:keepLines/>
      <w:spacing w:before="480"/>
      <w:jc w:val="center"/>
    </w:pPr>
    <w:rPr>
      <w:sz w:val="28"/>
    </w:rPr>
  </w:style>
  <w:style w:type="paragraph" w:customStyle="1" w:styleId="Arttitle">
    <w:name w:val="Art_title"/>
    <w:basedOn w:val="Normal"/>
    <w:next w:val="Normalaftertitle"/>
    <w:rsid w:val="00173403"/>
    <w:pPr>
      <w:keepNext/>
      <w:keepLines/>
      <w:spacing w:before="240"/>
      <w:jc w:val="center"/>
    </w:pPr>
    <w:rPr>
      <w:b/>
      <w:sz w:val="28"/>
    </w:rPr>
  </w:style>
  <w:style w:type="paragraph" w:customStyle="1" w:styleId="Blanc">
    <w:name w:val="Blanc"/>
    <w:basedOn w:val="Normal"/>
    <w:next w:val="Tabletext"/>
    <w:rsid w:val="001734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34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73403"/>
    <w:pPr>
      <w:keepNext/>
      <w:keepLines/>
      <w:spacing w:before="160"/>
      <w:ind w:left="794"/>
    </w:pPr>
    <w:rPr>
      <w:i/>
    </w:rPr>
  </w:style>
  <w:style w:type="paragraph" w:customStyle="1" w:styleId="ChapNo">
    <w:name w:val="Chap_No"/>
    <w:basedOn w:val="ArtNo"/>
    <w:next w:val="Chaptitle"/>
    <w:rsid w:val="00173403"/>
    <w:rPr>
      <w:b/>
    </w:rPr>
  </w:style>
  <w:style w:type="paragraph" w:customStyle="1" w:styleId="Chaptitle">
    <w:name w:val="Chap_title"/>
    <w:basedOn w:val="Arttitle"/>
    <w:next w:val="Normalaftertitle"/>
    <w:rsid w:val="00173403"/>
  </w:style>
  <w:style w:type="character" w:styleId="FootnoteReference">
    <w:name w:val="footnote reference"/>
    <w:basedOn w:val="DefaultParagraphFont"/>
    <w:rsid w:val="00173403"/>
    <w:rPr>
      <w:position w:val="6"/>
      <w:sz w:val="18"/>
    </w:rPr>
  </w:style>
  <w:style w:type="paragraph" w:styleId="FootnoteText">
    <w:name w:val="footnote text"/>
    <w:basedOn w:val="Normal"/>
    <w:link w:val="FootnoteTextChar"/>
    <w:rsid w:val="00173403"/>
    <w:pPr>
      <w:keepLines/>
      <w:tabs>
        <w:tab w:val="left" w:pos="255"/>
      </w:tabs>
      <w:ind w:left="255" w:hanging="255"/>
    </w:pPr>
    <w:rPr>
      <w:sz w:val="22"/>
    </w:rPr>
  </w:style>
  <w:style w:type="paragraph" w:styleId="Index1">
    <w:name w:val="index 1"/>
    <w:basedOn w:val="Normal"/>
    <w:next w:val="Normal"/>
    <w:semiHidden/>
    <w:rsid w:val="00173403"/>
  </w:style>
  <w:style w:type="paragraph" w:styleId="Index2">
    <w:name w:val="index 2"/>
    <w:basedOn w:val="Normal"/>
    <w:next w:val="Normal"/>
    <w:semiHidden/>
    <w:rsid w:val="00173403"/>
    <w:pPr>
      <w:ind w:left="283"/>
    </w:pPr>
  </w:style>
  <w:style w:type="paragraph" w:styleId="Index3">
    <w:name w:val="index 3"/>
    <w:basedOn w:val="Normal"/>
    <w:next w:val="Normal"/>
    <w:semiHidden/>
    <w:rsid w:val="00173403"/>
    <w:pPr>
      <w:ind w:left="566"/>
    </w:pPr>
  </w:style>
  <w:style w:type="paragraph" w:styleId="IndexHeading">
    <w:name w:val="index heading"/>
    <w:basedOn w:val="Normal"/>
    <w:next w:val="Index1"/>
    <w:semiHidden/>
    <w:rsid w:val="00173403"/>
  </w:style>
  <w:style w:type="paragraph" w:customStyle="1" w:styleId="Line">
    <w:name w:val="Line"/>
    <w:basedOn w:val="Normal"/>
    <w:next w:val="Normal"/>
    <w:rsid w:val="001734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34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3403"/>
  </w:style>
  <w:style w:type="paragraph" w:customStyle="1" w:styleId="Partref">
    <w:name w:val="Part_ref"/>
    <w:basedOn w:val="Normal"/>
    <w:next w:val="Normal"/>
    <w:rsid w:val="00173403"/>
    <w:pPr>
      <w:keepNext/>
      <w:keepLines/>
      <w:spacing w:after="280"/>
      <w:jc w:val="center"/>
    </w:pPr>
  </w:style>
  <w:style w:type="paragraph" w:customStyle="1" w:styleId="Parttitle">
    <w:name w:val="Part_title"/>
    <w:basedOn w:val="Normal"/>
    <w:next w:val="Normalaftertitle"/>
    <w:rsid w:val="001734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3403"/>
  </w:style>
  <w:style w:type="paragraph" w:customStyle="1" w:styleId="QuestionNo">
    <w:name w:val="Question_No"/>
    <w:basedOn w:val="RecNo"/>
    <w:next w:val="Normal"/>
    <w:rsid w:val="00173403"/>
  </w:style>
  <w:style w:type="paragraph" w:customStyle="1" w:styleId="Questionref">
    <w:name w:val="Question_ref"/>
    <w:basedOn w:val="Recref"/>
    <w:next w:val="Questiondate"/>
    <w:rsid w:val="00173403"/>
  </w:style>
  <w:style w:type="paragraph" w:customStyle="1" w:styleId="Questiontitle">
    <w:name w:val="Question_title"/>
    <w:basedOn w:val="Normal"/>
    <w:next w:val="Questionref"/>
    <w:rsid w:val="00173403"/>
  </w:style>
  <w:style w:type="paragraph" w:customStyle="1" w:styleId="Reftext">
    <w:name w:val="Ref_text"/>
    <w:basedOn w:val="Normal"/>
    <w:rsid w:val="00173403"/>
    <w:pPr>
      <w:ind w:left="794" w:hanging="794"/>
    </w:pPr>
    <w:rPr>
      <w:sz w:val="22"/>
    </w:rPr>
  </w:style>
  <w:style w:type="paragraph" w:customStyle="1" w:styleId="Reftitle">
    <w:name w:val="Ref_title"/>
    <w:basedOn w:val="Normal"/>
    <w:next w:val="Reftext"/>
    <w:rsid w:val="001734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3403"/>
  </w:style>
  <w:style w:type="paragraph" w:customStyle="1" w:styleId="RepNo">
    <w:name w:val="Rep_No"/>
    <w:basedOn w:val="RecNo"/>
    <w:next w:val="Reptitle"/>
    <w:rsid w:val="00173403"/>
  </w:style>
  <w:style w:type="paragraph" w:customStyle="1" w:styleId="Repref">
    <w:name w:val="Rep_ref"/>
    <w:basedOn w:val="Recref"/>
    <w:next w:val="Repdate"/>
    <w:rsid w:val="00173403"/>
  </w:style>
  <w:style w:type="paragraph" w:customStyle="1" w:styleId="Reptitle">
    <w:name w:val="Rep_title"/>
    <w:basedOn w:val="Rectitle"/>
    <w:next w:val="Repref"/>
    <w:rsid w:val="00173403"/>
  </w:style>
  <w:style w:type="paragraph" w:customStyle="1" w:styleId="Resdate">
    <w:name w:val="Res_date"/>
    <w:basedOn w:val="Recdate"/>
    <w:next w:val="Normalaftertitle"/>
    <w:rsid w:val="00173403"/>
  </w:style>
  <w:style w:type="paragraph" w:customStyle="1" w:styleId="ResNo">
    <w:name w:val="Res_No"/>
    <w:basedOn w:val="RecNo"/>
    <w:next w:val="Restitle"/>
    <w:rsid w:val="00173403"/>
  </w:style>
  <w:style w:type="paragraph" w:customStyle="1" w:styleId="Resref">
    <w:name w:val="Res_ref"/>
    <w:basedOn w:val="Recref"/>
    <w:next w:val="Resdate"/>
    <w:rsid w:val="00173403"/>
  </w:style>
  <w:style w:type="paragraph" w:customStyle="1" w:styleId="Restitle">
    <w:name w:val="Res_title"/>
    <w:basedOn w:val="Normal"/>
    <w:next w:val="Resref"/>
    <w:rsid w:val="00173403"/>
    <w:pPr>
      <w:spacing w:before="240"/>
      <w:jc w:val="center"/>
    </w:pPr>
    <w:rPr>
      <w:b/>
      <w:sz w:val="28"/>
    </w:rPr>
  </w:style>
  <w:style w:type="paragraph" w:customStyle="1" w:styleId="SectionNo">
    <w:name w:val="Section_No"/>
    <w:basedOn w:val="Normal"/>
    <w:next w:val="Normal"/>
    <w:rsid w:val="00173403"/>
  </w:style>
  <w:style w:type="paragraph" w:customStyle="1" w:styleId="Sectiontitle">
    <w:name w:val="Section_title"/>
    <w:basedOn w:val="Normal"/>
    <w:next w:val="Normalaftertitle"/>
    <w:rsid w:val="001734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3403"/>
    <w:pPr>
      <w:tabs>
        <w:tab w:val="clear" w:pos="794"/>
        <w:tab w:val="clear" w:pos="1191"/>
        <w:tab w:val="clear" w:pos="1588"/>
        <w:tab w:val="clear" w:pos="1985"/>
        <w:tab w:val="right" w:pos="9611"/>
      </w:tabs>
    </w:pPr>
    <w:rPr>
      <w:i/>
    </w:rPr>
  </w:style>
  <w:style w:type="paragraph" w:styleId="TOC1">
    <w:name w:val="toc 1"/>
    <w:basedOn w:val="Normal"/>
    <w:semiHidden/>
    <w:rsid w:val="001734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73403"/>
    <w:pPr>
      <w:tabs>
        <w:tab w:val="clear" w:pos="567"/>
        <w:tab w:val="left" w:pos="1276"/>
      </w:tabs>
      <w:spacing w:before="160"/>
      <w:ind w:left="1276" w:hanging="709"/>
    </w:pPr>
  </w:style>
  <w:style w:type="paragraph" w:styleId="TOC3">
    <w:name w:val="toc 3"/>
    <w:basedOn w:val="TOC2"/>
    <w:semiHidden/>
    <w:rsid w:val="00173403"/>
    <w:pPr>
      <w:tabs>
        <w:tab w:val="clear" w:pos="1276"/>
        <w:tab w:val="left" w:pos="2155"/>
      </w:tabs>
      <w:ind w:left="2155" w:hanging="879"/>
    </w:pPr>
  </w:style>
  <w:style w:type="paragraph" w:styleId="TOC4">
    <w:name w:val="toc 4"/>
    <w:basedOn w:val="TOC3"/>
    <w:semiHidden/>
    <w:rsid w:val="00173403"/>
    <w:pPr>
      <w:tabs>
        <w:tab w:val="left" w:pos="3261"/>
      </w:tabs>
      <w:spacing w:before="80"/>
      <w:ind w:left="3261" w:hanging="993"/>
    </w:pPr>
  </w:style>
  <w:style w:type="paragraph" w:styleId="TOC5">
    <w:name w:val="toc 5"/>
    <w:basedOn w:val="TOC4"/>
    <w:semiHidden/>
    <w:rsid w:val="00173403"/>
  </w:style>
  <w:style w:type="paragraph" w:styleId="TOC6">
    <w:name w:val="toc 6"/>
    <w:basedOn w:val="TOC4"/>
    <w:semiHidden/>
    <w:rsid w:val="00173403"/>
  </w:style>
  <w:style w:type="paragraph" w:styleId="TOC7">
    <w:name w:val="toc 7"/>
    <w:basedOn w:val="TOC4"/>
    <w:semiHidden/>
    <w:rsid w:val="00173403"/>
  </w:style>
  <w:style w:type="paragraph" w:styleId="TOC8">
    <w:name w:val="toc 8"/>
    <w:basedOn w:val="TOC4"/>
    <w:semiHidden/>
    <w:rsid w:val="00173403"/>
  </w:style>
  <w:style w:type="paragraph" w:customStyle="1" w:styleId="Rectitle">
    <w:name w:val="Rec_title"/>
    <w:basedOn w:val="Normal"/>
    <w:next w:val="Recref"/>
    <w:link w:val="RectitleChar"/>
    <w:rsid w:val="00173403"/>
    <w:pPr>
      <w:keepNext/>
      <w:keepLines/>
      <w:spacing w:before="240"/>
      <w:jc w:val="center"/>
    </w:pPr>
    <w:rPr>
      <w:b/>
      <w:sz w:val="28"/>
    </w:rPr>
  </w:style>
  <w:style w:type="paragraph" w:customStyle="1" w:styleId="Annexref">
    <w:name w:val="Annex_ref"/>
    <w:basedOn w:val="Normal"/>
    <w:next w:val="Normalaftertitle"/>
    <w:rsid w:val="00173403"/>
    <w:pPr>
      <w:keepNext/>
      <w:keepLines/>
      <w:spacing w:after="280"/>
      <w:jc w:val="center"/>
    </w:pPr>
  </w:style>
  <w:style w:type="paragraph" w:customStyle="1" w:styleId="Appendixref">
    <w:name w:val="Appendix_ref"/>
    <w:basedOn w:val="Annexref"/>
    <w:next w:val="Normalaftertitle"/>
    <w:rsid w:val="00173403"/>
  </w:style>
  <w:style w:type="paragraph" w:customStyle="1" w:styleId="Figuretitle">
    <w:name w:val="Figure_title"/>
    <w:basedOn w:val="Normal"/>
    <w:next w:val="Figure"/>
    <w:rsid w:val="0017340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3403"/>
    <w:pPr>
      <w:keepNext/>
      <w:spacing w:before="0" w:after="120"/>
      <w:jc w:val="center"/>
    </w:pPr>
    <w:rPr>
      <w:b/>
    </w:rPr>
  </w:style>
  <w:style w:type="paragraph" w:customStyle="1" w:styleId="Summary">
    <w:name w:val="Summary"/>
    <w:basedOn w:val="Normal"/>
    <w:next w:val="Normalaftertitle"/>
    <w:rsid w:val="00173403"/>
    <w:pPr>
      <w:spacing w:after="480"/>
    </w:pPr>
    <w:rPr>
      <w:sz w:val="22"/>
      <w:lang w:val="es-ES_tradnl"/>
    </w:rPr>
  </w:style>
  <w:style w:type="paragraph" w:customStyle="1" w:styleId="TableLegendNote">
    <w:name w:val="Table_Legend_Note"/>
    <w:basedOn w:val="Tablelegend"/>
    <w:next w:val="Tablelegend"/>
    <w:rsid w:val="00173403"/>
    <w:pPr>
      <w:ind w:left="-85" w:firstLine="0"/>
    </w:pPr>
    <w:rPr>
      <w:lang w:val="en-US"/>
    </w:rPr>
  </w:style>
  <w:style w:type="paragraph" w:customStyle="1" w:styleId="Figure">
    <w:name w:val="Figure"/>
    <w:basedOn w:val="FigureNo"/>
    <w:next w:val="Normal"/>
    <w:rsid w:val="00173403"/>
    <w:pPr>
      <w:keepNext w:val="0"/>
      <w:spacing w:before="0" w:after="240"/>
    </w:pPr>
  </w:style>
  <w:style w:type="character" w:styleId="Hyperlink">
    <w:name w:val="Hyperlink"/>
    <w:basedOn w:val="DefaultParagraphFont"/>
    <w:rsid w:val="00AB0E65"/>
    <w:rPr>
      <w:color w:val="0000FF"/>
      <w:u w:val="single"/>
    </w:rPr>
  </w:style>
  <w:style w:type="character" w:customStyle="1" w:styleId="FootnoteTextChar">
    <w:name w:val="Footnote Text Char"/>
    <w:basedOn w:val="DefaultParagraphFont"/>
    <w:link w:val="FootnoteText"/>
    <w:rsid w:val="00F72183"/>
    <w:rPr>
      <w:sz w:val="22"/>
      <w:lang w:val="fr-FR" w:eastAsia="en-US"/>
    </w:rPr>
  </w:style>
  <w:style w:type="character" w:customStyle="1" w:styleId="FigureNoChar">
    <w:name w:val="Figure_No Char"/>
    <w:basedOn w:val="DefaultParagraphFont"/>
    <w:link w:val="FigureNo"/>
    <w:locked/>
    <w:rsid w:val="00AB0E65"/>
    <w:rPr>
      <w:caps/>
      <w:sz w:val="18"/>
      <w:lang w:val="fr-FR" w:eastAsia="en-US"/>
    </w:rPr>
  </w:style>
  <w:style w:type="character" w:customStyle="1" w:styleId="NormalaftertitleChar">
    <w:name w:val="Normal_after_title Char"/>
    <w:basedOn w:val="DefaultParagraphFont"/>
    <w:link w:val="Normalaftertitle"/>
    <w:locked/>
    <w:rsid w:val="00AB0E65"/>
    <w:rPr>
      <w:sz w:val="24"/>
      <w:lang w:val="fr-FR" w:eastAsia="en-US"/>
    </w:rPr>
  </w:style>
  <w:style w:type="character" w:customStyle="1" w:styleId="enumlev1Char">
    <w:name w:val="enumlev1 Char"/>
    <w:basedOn w:val="DefaultParagraphFont"/>
    <w:link w:val="enumlev1"/>
    <w:locked/>
    <w:rsid w:val="00AB0E65"/>
    <w:rPr>
      <w:sz w:val="24"/>
      <w:lang w:val="fr-FR" w:eastAsia="en-US"/>
    </w:rPr>
  </w:style>
  <w:style w:type="character" w:customStyle="1" w:styleId="CallChar">
    <w:name w:val="Call Char"/>
    <w:basedOn w:val="DefaultParagraphFont"/>
    <w:link w:val="Call"/>
    <w:locked/>
    <w:rsid w:val="00AB0E65"/>
    <w:rPr>
      <w:i/>
      <w:sz w:val="24"/>
      <w:lang w:val="fr-FR" w:eastAsia="en-US"/>
    </w:rPr>
  </w:style>
  <w:style w:type="character" w:customStyle="1" w:styleId="RectitleChar">
    <w:name w:val="Rec_title Char"/>
    <w:basedOn w:val="DefaultParagraphFont"/>
    <w:link w:val="Rectitle"/>
    <w:locked/>
    <w:rsid w:val="00AB0E65"/>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7076-A0A2-4757-B37E-7D668421B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TotalTime>
  <Pages>6</Pages>
  <Words>1623</Words>
  <Characters>9265</Characters>
  <Application>Microsoft Office Word</Application>
  <DocSecurity>0</DocSecurity>
  <Lines>402</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S.1003-2* - Environmental protection of the geostationary-satellite orbit</dc:title>
  <dc:subject>S Series = Fixed-satellite service</dc:subject>
  <dc:creator>ITU Radiocommunication Bureau (BR)</dc:creator>
  <cp:keywords>S,1003-2*</cp:keywords>
  <dc:description>Santosbo, 16/12/2010, MSB106309</dc:description>
  <cp:lastModifiedBy>Gachet, Christelle</cp:lastModifiedBy>
  <cp:revision>11</cp:revision>
  <cp:lastPrinted>2005-02-10T15:54:00Z</cp:lastPrinted>
  <dcterms:created xsi:type="dcterms:W3CDTF">2010-12-07T09:58:00Z</dcterms:created>
  <dcterms:modified xsi:type="dcterms:W3CDTF">2013-03-20T14:20:00Z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16 December 2010</vt:lpwstr>
  </property>
</Properties>
</file>