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28E0" w:rsidRPr="00384EC1" w:rsidRDefault="000E28E0" w:rsidP="00384EC1">
      <w:pPr>
        <w:rPr>
          <w:lang w:val="es-ES_tradnl"/>
        </w:rPr>
      </w:pPr>
      <w:bookmarkStart w:id="0" w:name="_GoBack"/>
      <w:bookmarkEnd w:id="0"/>
    </w:p>
    <w:p w:rsidR="000E28E0" w:rsidRPr="00384EC1" w:rsidRDefault="000E28E0" w:rsidP="00384EC1">
      <w:pPr>
        <w:rPr>
          <w:lang w:val="es-ES_tradnl"/>
        </w:rPr>
      </w:pPr>
    </w:p>
    <w:p w:rsidR="000E28E0" w:rsidRPr="00384EC1" w:rsidRDefault="000E28E0" w:rsidP="00384EC1">
      <w:pPr>
        <w:rPr>
          <w:lang w:val="es-ES_tradnl"/>
        </w:rPr>
      </w:pPr>
    </w:p>
    <w:p w:rsidR="000E28E0" w:rsidRPr="00384EC1" w:rsidRDefault="000E28E0" w:rsidP="00384EC1">
      <w:pPr>
        <w:rPr>
          <w:lang w:val="es-ES_tradnl"/>
        </w:rPr>
      </w:pPr>
    </w:p>
    <w:p w:rsidR="000E28E0" w:rsidRPr="00384EC1" w:rsidRDefault="000E28E0" w:rsidP="00384EC1">
      <w:pPr>
        <w:rPr>
          <w:lang w:val="es-ES_tradnl"/>
        </w:rPr>
      </w:pPr>
    </w:p>
    <w:p w:rsidR="000E28E0" w:rsidRPr="00384EC1" w:rsidRDefault="000E28E0" w:rsidP="00384EC1">
      <w:pPr>
        <w:rPr>
          <w:lang w:val="es-ES_tradnl"/>
        </w:rPr>
      </w:pPr>
    </w:p>
    <w:p w:rsidR="000E28E0" w:rsidRPr="00384EC1" w:rsidRDefault="000E28E0" w:rsidP="00384EC1">
      <w:pPr>
        <w:rPr>
          <w:lang w:val="es-ES_tradnl"/>
        </w:rPr>
      </w:pPr>
    </w:p>
    <w:p w:rsidR="000E28E0" w:rsidRPr="00384EC1" w:rsidRDefault="000E28E0" w:rsidP="00384EC1">
      <w:pPr>
        <w:rPr>
          <w:lang w:val="es-ES_tradnl"/>
        </w:rPr>
      </w:pPr>
    </w:p>
    <w:p w:rsidR="000E28E0" w:rsidRPr="00384EC1" w:rsidRDefault="000E28E0" w:rsidP="00384EC1">
      <w:pPr>
        <w:rPr>
          <w:lang w:val="es-ES_tradnl"/>
        </w:rPr>
      </w:pPr>
    </w:p>
    <w:tbl>
      <w:tblPr>
        <w:tblW w:w="10089" w:type="dxa"/>
        <w:tblLook w:val="01E0" w:firstRow="1" w:lastRow="1" w:firstColumn="1" w:lastColumn="1" w:noHBand="0" w:noVBand="0"/>
      </w:tblPr>
      <w:tblGrid>
        <w:gridCol w:w="10089"/>
      </w:tblGrid>
      <w:tr w:rsidR="000E28E0" w:rsidRPr="00384EC1" w:rsidTr="00FF7BAA">
        <w:tc>
          <w:tcPr>
            <w:tcW w:w="10089" w:type="dxa"/>
          </w:tcPr>
          <w:p w:rsidR="000E28E0" w:rsidRPr="00384EC1" w:rsidRDefault="000E28E0" w:rsidP="00384EC1">
            <w:pPr>
              <w:spacing w:before="380" w:line="280" w:lineRule="exact"/>
              <w:jc w:val="right"/>
              <w:rPr>
                <w:rFonts w:ascii="Tahoma" w:hAnsi="Tahoma" w:cs="Tahoma"/>
                <w:b/>
                <w:bCs/>
                <w:iCs/>
                <w:color w:val="243285"/>
                <w:sz w:val="32"/>
                <w:szCs w:val="32"/>
                <w:lang w:val="es-ES_tradnl"/>
              </w:rPr>
            </w:pPr>
          </w:p>
          <w:p w:rsidR="000E28E0" w:rsidRPr="00384EC1" w:rsidRDefault="000E28E0" w:rsidP="00384EC1">
            <w:pPr>
              <w:spacing w:before="380" w:line="280" w:lineRule="exact"/>
              <w:jc w:val="right"/>
              <w:rPr>
                <w:rFonts w:ascii="Tahoma" w:hAnsi="Tahoma" w:cs="Tahoma"/>
                <w:b/>
                <w:bCs/>
                <w:iCs/>
                <w:color w:val="243285"/>
                <w:sz w:val="36"/>
                <w:szCs w:val="36"/>
                <w:lang w:val="es-ES_tradnl"/>
              </w:rPr>
            </w:pPr>
            <w:r w:rsidRPr="00384EC1">
              <w:rPr>
                <w:rFonts w:ascii="Tahoma" w:hAnsi="Tahoma" w:cs="Tahoma"/>
                <w:b/>
                <w:bCs/>
                <w:iCs/>
                <w:color w:val="243285"/>
                <w:sz w:val="36"/>
                <w:szCs w:val="36"/>
                <w:lang w:val="es-ES_tradnl"/>
              </w:rPr>
              <w:t>Recomendación  UIT-R  S.2062-0</w:t>
            </w:r>
          </w:p>
          <w:p w:rsidR="000E28E0" w:rsidRPr="00384EC1" w:rsidRDefault="000E28E0" w:rsidP="00384EC1">
            <w:pPr>
              <w:spacing w:before="80" w:line="280" w:lineRule="exact"/>
              <w:jc w:val="right"/>
              <w:rPr>
                <w:rFonts w:ascii="Tahoma" w:hAnsi="Tahoma" w:cs="Tahoma"/>
                <w:b/>
                <w:bCs/>
                <w:iCs/>
                <w:color w:val="243285"/>
                <w:szCs w:val="24"/>
                <w:lang w:val="es-ES_tradnl"/>
              </w:rPr>
            </w:pPr>
            <w:r w:rsidRPr="00384EC1">
              <w:rPr>
                <w:rFonts w:ascii="Tahoma" w:hAnsi="Tahoma" w:cs="Tahoma"/>
                <w:b/>
                <w:bCs/>
                <w:iCs/>
                <w:color w:val="243285"/>
                <w:szCs w:val="24"/>
                <w:lang w:val="es-ES_tradnl"/>
              </w:rPr>
              <w:t>(09/2014)</w:t>
            </w:r>
          </w:p>
        </w:tc>
      </w:tr>
      <w:tr w:rsidR="000E28E0" w:rsidRPr="00385729" w:rsidTr="00FF7BAA">
        <w:tc>
          <w:tcPr>
            <w:tcW w:w="10089" w:type="dxa"/>
          </w:tcPr>
          <w:p w:rsidR="000E28E0" w:rsidRPr="00384EC1" w:rsidRDefault="000E28E0" w:rsidP="00384EC1">
            <w:pPr>
              <w:spacing w:before="80" w:line="500" w:lineRule="exact"/>
              <w:jc w:val="right"/>
              <w:rPr>
                <w:rFonts w:ascii="Tahoma" w:hAnsi="Tahoma" w:cs="Tahoma"/>
                <w:b/>
                <w:bCs/>
                <w:iCs/>
                <w:color w:val="243285"/>
                <w:sz w:val="44"/>
                <w:szCs w:val="44"/>
                <w:lang w:val="es-ES_tradnl"/>
              </w:rPr>
            </w:pPr>
          </w:p>
          <w:p w:rsidR="000E28E0" w:rsidRPr="00384EC1" w:rsidRDefault="000E28E0" w:rsidP="00384EC1">
            <w:pPr>
              <w:spacing w:before="80" w:line="500" w:lineRule="exact"/>
              <w:jc w:val="right"/>
              <w:rPr>
                <w:rFonts w:ascii="Tahoma" w:hAnsi="Tahoma" w:cs="Tahoma"/>
                <w:b/>
                <w:bCs/>
                <w:color w:val="243285"/>
                <w:sz w:val="44"/>
                <w:szCs w:val="44"/>
                <w:lang w:val="es-ES_tradnl"/>
              </w:rPr>
            </w:pPr>
            <w:r w:rsidRPr="00384EC1">
              <w:rPr>
                <w:rFonts w:ascii="Tahoma" w:hAnsi="Tahoma" w:cs="Tahoma"/>
                <w:b/>
                <w:bCs/>
                <w:color w:val="243285"/>
                <w:sz w:val="44"/>
                <w:szCs w:val="44"/>
                <w:lang w:val="es-ES_tradnl"/>
              </w:rPr>
              <w:t>Sistema de identificación de portadora</w:t>
            </w:r>
            <w:r w:rsidR="00F943C2" w:rsidRPr="00384EC1">
              <w:rPr>
                <w:rFonts w:ascii="Tahoma" w:hAnsi="Tahoma" w:cs="Tahoma"/>
                <w:b/>
                <w:bCs/>
                <w:color w:val="243285"/>
                <w:sz w:val="44"/>
                <w:szCs w:val="44"/>
                <w:lang w:val="es-ES_tradnl"/>
              </w:rPr>
              <w:br/>
            </w:r>
            <w:r w:rsidRPr="00384EC1">
              <w:rPr>
                <w:rFonts w:ascii="Tahoma" w:hAnsi="Tahoma" w:cs="Tahoma"/>
                <w:b/>
                <w:bCs/>
                <w:color w:val="243285"/>
                <w:sz w:val="44"/>
                <w:szCs w:val="44"/>
                <w:lang w:val="es-ES_tradnl"/>
              </w:rPr>
              <w:t>para transmisiones de estaciones terrenas</w:t>
            </w:r>
            <w:r w:rsidR="00F943C2" w:rsidRPr="00384EC1">
              <w:rPr>
                <w:rFonts w:ascii="Tahoma" w:hAnsi="Tahoma" w:cs="Tahoma"/>
                <w:b/>
                <w:bCs/>
                <w:color w:val="243285"/>
                <w:sz w:val="44"/>
                <w:szCs w:val="44"/>
                <w:lang w:val="es-ES_tradnl"/>
              </w:rPr>
              <w:br/>
            </w:r>
            <w:r w:rsidRPr="00384EC1">
              <w:rPr>
                <w:rFonts w:ascii="Tahoma" w:hAnsi="Tahoma" w:cs="Tahoma"/>
                <w:b/>
                <w:bCs/>
                <w:color w:val="243285"/>
                <w:sz w:val="44"/>
                <w:szCs w:val="44"/>
                <w:lang w:val="es-ES_tradnl"/>
              </w:rPr>
              <w:t xml:space="preserve">de portadora de utilización ocasional (UO) </w:t>
            </w:r>
            <w:r w:rsidRPr="00384EC1">
              <w:rPr>
                <w:rFonts w:ascii="Tahoma" w:hAnsi="Tahoma" w:cs="Tahoma"/>
                <w:b/>
                <w:bCs/>
                <w:color w:val="243285"/>
                <w:sz w:val="44"/>
                <w:szCs w:val="44"/>
                <w:lang w:val="es-ES_tradnl"/>
              </w:rPr>
              <w:br/>
              <w:t>del servicio fijo por satélite (SFS)</w:t>
            </w:r>
            <w:r w:rsidR="00F943C2" w:rsidRPr="00384EC1">
              <w:rPr>
                <w:rFonts w:ascii="Tahoma" w:hAnsi="Tahoma" w:cs="Tahoma"/>
                <w:b/>
                <w:bCs/>
                <w:color w:val="243285"/>
                <w:sz w:val="44"/>
                <w:szCs w:val="44"/>
                <w:lang w:val="es-ES_tradnl"/>
              </w:rPr>
              <w:br/>
            </w:r>
            <w:r w:rsidRPr="00384EC1">
              <w:rPr>
                <w:rFonts w:ascii="Tahoma" w:hAnsi="Tahoma" w:cs="Tahoma"/>
                <w:b/>
                <w:bCs/>
                <w:color w:val="243285"/>
                <w:sz w:val="44"/>
                <w:szCs w:val="44"/>
                <w:lang w:val="es-ES_tradnl"/>
              </w:rPr>
              <w:t>con modulación digital que emplean redes de</w:t>
            </w:r>
            <w:r w:rsidR="00F943C2" w:rsidRPr="00384EC1">
              <w:rPr>
                <w:rFonts w:ascii="Tahoma" w:hAnsi="Tahoma" w:cs="Tahoma"/>
                <w:b/>
                <w:bCs/>
                <w:color w:val="243285"/>
                <w:sz w:val="44"/>
                <w:szCs w:val="44"/>
                <w:lang w:val="es-ES_tradnl"/>
              </w:rPr>
              <w:t xml:space="preserve"> </w:t>
            </w:r>
            <w:r w:rsidRPr="00384EC1">
              <w:rPr>
                <w:rFonts w:ascii="Tahoma" w:hAnsi="Tahoma" w:cs="Tahoma"/>
                <w:b/>
                <w:bCs/>
                <w:color w:val="243285"/>
                <w:sz w:val="44"/>
                <w:szCs w:val="44"/>
                <w:lang w:val="es-ES_tradnl"/>
              </w:rPr>
              <w:t>satélites geoestacionarios en las bandas</w:t>
            </w:r>
            <w:r w:rsidRPr="00384EC1">
              <w:rPr>
                <w:rFonts w:ascii="Tahoma" w:hAnsi="Tahoma" w:cs="Tahoma"/>
                <w:b/>
                <w:bCs/>
                <w:color w:val="243285"/>
                <w:sz w:val="44"/>
                <w:szCs w:val="44"/>
                <w:lang w:val="es-ES_tradnl"/>
              </w:rPr>
              <w:br/>
              <w:t>4/6 GHz y 11-12/13/14 GHz del SFS</w:t>
            </w:r>
          </w:p>
          <w:p w:rsidR="000E28E0" w:rsidRPr="00384EC1" w:rsidRDefault="000E28E0" w:rsidP="00384EC1">
            <w:pPr>
              <w:spacing w:before="80" w:line="500" w:lineRule="exact"/>
              <w:jc w:val="right"/>
              <w:rPr>
                <w:rFonts w:ascii="Tahoma" w:hAnsi="Tahoma" w:cs="Tahoma"/>
                <w:b/>
                <w:bCs/>
                <w:iCs/>
                <w:color w:val="243285"/>
                <w:sz w:val="44"/>
                <w:szCs w:val="44"/>
                <w:lang w:val="es-ES_tradnl"/>
              </w:rPr>
            </w:pPr>
          </w:p>
        </w:tc>
      </w:tr>
      <w:tr w:rsidR="000E28E0" w:rsidRPr="00385729" w:rsidTr="00FF7BAA">
        <w:tc>
          <w:tcPr>
            <w:tcW w:w="10089" w:type="dxa"/>
          </w:tcPr>
          <w:p w:rsidR="000E28E0" w:rsidRPr="00384EC1" w:rsidRDefault="000E28E0" w:rsidP="00384EC1">
            <w:pPr>
              <w:spacing w:before="80" w:line="280" w:lineRule="exact"/>
              <w:ind w:right="640"/>
              <w:rPr>
                <w:rFonts w:ascii="Tahoma" w:hAnsi="Tahoma" w:cs="Tahoma"/>
                <w:b/>
                <w:bCs/>
                <w:iCs/>
                <w:color w:val="243285"/>
                <w:sz w:val="32"/>
                <w:szCs w:val="32"/>
                <w:lang w:val="es-ES_tradnl"/>
              </w:rPr>
            </w:pPr>
          </w:p>
          <w:p w:rsidR="000E28E0" w:rsidRPr="00384EC1" w:rsidRDefault="000E28E0" w:rsidP="00384EC1">
            <w:pPr>
              <w:spacing w:before="80" w:line="280" w:lineRule="exact"/>
              <w:ind w:right="640"/>
              <w:rPr>
                <w:rFonts w:ascii="Tahoma" w:hAnsi="Tahoma" w:cs="Tahoma"/>
                <w:b/>
                <w:bCs/>
                <w:iCs/>
                <w:color w:val="243285"/>
                <w:sz w:val="32"/>
                <w:szCs w:val="32"/>
                <w:lang w:val="es-ES_tradnl"/>
              </w:rPr>
            </w:pPr>
          </w:p>
          <w:p w:rsidR="000E28E0" w:rsidRPr="00384EC1" w:rsidRDefault="000E28E0" w:rsidP="00384EC1">
            <w:pPr>
              <w:spacing w:before="80" w:after="180" w:line="360" w:lineRule="exact"/>
              <w:ind w:right="720"/>
              <w:rPr>
                <w:rFonts w:ascii="Tahoma" w:hAnsi="Tahoma" w:cs="Tahoma"/>
                <w:b/>
                <w:bCs/>
                <w:iCs/>
                <w:color w:val="243285"/>
                <w:sz w:val="36"/>
                <w:szCs w:val="36"/>
                <w:lang w:val="es-ES_tradnl"/>
              </w:rPr>
            </w:pPr>
          </w:p>
          <w:p w:rsidR="000E28E0" w:rsidRPr="00384EC1" w:rsidRDefault="000E28E0" w:rsidP="00384EC1">
            <w:pPr>
              <w:spacing w:before="80" w:after="180" w:line="360" w:lineRule="exact"/>
              <w:jc w:val="right"/>
              <w:rPr>
                <w:rFonts w:ascii="Tahoma" w:hAnsi="Tahoma" w:cs="Tahoma"/>
                <w:b/>
                <w:bCs/>
                <w:iCs/>
                <w:color w:val="243285"/>
                <w:sz w:val="36"/>
                <w:szCs w:val="36"/>
                <w:lang w:val="es-ES_tradnl"/>
              </w:rPr>
            </w:pPr>
            <w:r w:rsidRPr="00384EC1">
              <w:rPr>
                <w:rFonts w:ascii="Tahoma" w:hAnsi="Tahoma" w:cs="Tahoma"/>
                <w:b/>
                <w:bCs/>
                <w:iCs/>
                <w:color w:val="243285"/>
                <w:sz w:val="36"/>
                <w:szCs w:val="36"/>
                <w:lang w:val="es-ES_tradnl"/>
              </w:rPr>
              <w:t>Serie S</w:t>
            </w:r>
          </w:p>
          <w:p w:rsidR="000E28E0" w:rsidRPr="00384EC1" w:rsidRDefault="000E28E0" w:rsidP="00384EC1">
            <w:pPr>
              <w:spacing w:before="80" w:line="420" w:lineRule="exact"/>
              <w:jc w:val="right"/>
              <w:rPr>
                <w:rFonts w:ascii="Tahoma" w:hAnsi="Tahoma" w:cs="Tahoma"/>
                <w:b/>
                <w:bCs/>
                <w:iCs/>
                <w:color w:val="243285"/>
                <w:sz w:val="36"/>
                <w:szCs w:val="36"/>
                <w:lang w:val="es-ES_tradnl"/>
              </w:rPr>
            </w:pPr>
            <w:r w:rsidRPr="00384EC1">
              <w:rPr>
                <w:rFonts w:ascii="Tahoma" w:hAnsi="Tahoma" w:cs="Tahoma"/>
                <w:b/>
                <w:bCs/>
                <w:iCs/>
                <w:color w:val="243285"/>
                <w:sz w:val="36"/>
                <w:szCs w:val="36"/>
                <w:lang w:val="es-ES_tradnl"/>
              </w:rPr>
              <w:t>Servicio fijo por satélite</w:t>
            </w:r>
          </w:p>
        </w:tc>
      </w:tr>
    </w:tbl>
    <w:p w:rsidR="000E28E0" w:rsidRPr="00384EC1" w:rsidRDefault="000E28E0" w:rsidP="00384EC1">
      <w:pPr>
        <w:spacing w:before="80"/>
        <w:rPr>
          <w:i/>
          <w:sz w:val="22"/>
          <w:lang w:val="es-ES_tradnl"/>
        </w:rPr>
      </w:pPr>
    </w:p>
    <w:p w:rsidR="000E28E0" w:rsidRPr="00384EC1" w:rsidRDefault="000E28E0" w:rsidP="00384EC1">
      <w:pPr>
        <w:spacing w:before="80"/>
        <w:rPr>
          <w:i/>
          <w:sz w:val="22"/>
          <w:lang w:val="es-ES_tradnl"/>
        </w:rPr>
      </w:pPr>
    </w:p>
    <w:p w:rsidR="000E28E0" w:rsidRPr="00384EC1" w:rsidRDefault="000E28E0" w:rsidP="00384EC1">
      <w:pPr>
        <w:spacing w:before="80"/>
        <w:rPr>
          <w:i/>
          <w:sz w:val="22"/>
          <w:lang w:val="es-ES_tradnl"/>
        </w:rPr>
      </w:pPr>
    </w:p>
    <w:p w:rsidR="000E28E0" w:rsidRPr="00384EC1" w:rsidRDefault="000E28E0" w:rsidP="00384EC1">
      <w:pPr>
        <w:spacing w:before="80"/>
        <w:rPr>
          <w:i/>
          <w:sz w:val="22"/>
          <w:lang w:val="es-ES_tradnl"/>
        </w:rPr>
      </w:pPr>
    </w:p>
    <w:p w:rsidR="000E28E0" w:rsidRPr="00384EC1" w:rsidRDefault="000E28E0" w:rsidP="00384EC1">
      <w:pPr>
        <w:spacing w:before="80"/>
        <w:rPr>
          <w:i/>
          <w:sz w:val="22"/>
          <w:lang w:val="es-ES_tradnl"/>
        </w:rPr>
      </w:pPr>
    </w:p>
    <w:p w:rsidR="000E28E0" w:rsidRPr="00384EC1" w:rsidRDefault="000E28E0" w:rsidP="00384EC1">
      <w:pPr>
        <w:spacing w:before="80"/>
        <w:rPr>
          <w:i/>
          <w:sz w:val="22"/>
          <w:lang w:val="es-ES_tradnl"/>
        </w:rPr>
      </w:pPr>
    </w:p>
    <w:p w:rsidR="000E28E0" w:rsidRPr="00384EC1" w:rsidRDefault="000E28E0" w:rsidP="00384EC1">
      <w:pPr>
        <w:pStyle w:val="Equation"/>
        <w:tabs>
          <w:tab w:val="clear" w:pos="4820"/>
          <w:tab w:val="clear" w:pos="9639"/>
          <w:tab w:val="left" w:pos="1191"/>
          <w:tab w:val="left" w:pos="1588"/>
          <w:tab w:val="left" w:pos="1985"/>
        </w:tabs>
        <w:rPr>
          <w:rFonts w:ascii="Palatino Linotype" w:hAnsi="Palatino Linotype"/>
          <w:lang w:val="es-ES_tradnl"/>
        </w:rPr>
        <w:sectPr w:rsidR="000E28E0" w:rsidRPr="00384EC1">
          <w:headerReference w:type="even" r:id="rId6"/>
          <w:headerReference w:type="default" r:id="rId7"/>
          <w:pgSz w:w="11907" w:h="16840" w:code="9"/>
          <w:pgMar w:top="1089" w:right="1089" w:bottom="284" w:left="1089" w:header="567" w:footer="284" w:gutter="0"/>
          <w:pgNumType w:start="1"/>
          <w:cols w:space="720"/>
        </w:sectPr>
      </w:pPr>
    </w:p>
    <w:p w:rsidR="000E28E0" w:rsidRPr="00384EC1" w:rsidRDefault="000E28E0" w:rsidP="00384E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384EC1">
        <w:rPr>
          <w:bCs/>
          <w:sz w:val="24"/>
          <w:szCs w:val="24"/>
          <w:lang w:val="es-ES_tradnl"/>
        </w:rPr>
        <w:lastRenderedPageBreak/>
        <w:t>Prólogo</w:t>
      </w:r>
    </w:p>
    <w:p w:rsidR="000E28E0" w:rsidRPr="00384EC1" w:rsidRDefault="000E28E0" w:rsidP="00384EC1">
      <w:pPr>
        <w:spacing w:before="180"/>
        <w:rPr>
          <w:sz w:val="20"/>
          <w:lang w:val="es-ES_tradnl"/>
        </w:rPr>
      </w:pPr>
      <w:r w:rsidRPr="00384EC1">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E28E0" w:rsidRPr="00384EC1" w:rsidRDefault="000E28E0" w:rsidP="00384EC1">
      <w:pPr>
        <w:rPr>
          <w:sz w:val="20"/>
          <w:lang w:val="es-ES_tradnl"/>
        </w:rPr>
      </w:pPr>
      <w:r w:rsidRPr="00384EC1">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0E28E0" w:rsidRPr="00384EC1" w:rsidRDefault="000E28E0" w:rsidP="00384EC1">
      <w:pPr>
        <w:pStyle w:val="Heading1"/>
        <w:spacing w:before="340"/>
        <w:jc w:val="center"/>
        <w:rPr>
          <w:szCs w:val="24"/>
          <w:lang w:val="es-ES_tradnl"/>
        </w:rPr>
      </w:pPr>
      <w:r w:rsidRPr="00384EC1">
        <w:rPr>
          <w:lang w:val="es-ES_tradnl"/>
        </w:rPr>
        <w:t>Política sobre Derechos de Propiedad Intelectual</w:t>
      </w:r>
      <w:r w:rsidRPr="00384EC1">
        <w:rPr>
          <w:szCs w:val="24"/>
          <w:lang w:val="es-ES_tradnl"/>
        </w:rPr>
        <w:t xml:space="preserve"> (IPR)</w:t>
      </w:r>
    </w:p>
    <w:p w:rsidR="000E28E0" w:rsidRPr="00384EC1" w:rsidRDefault="000E28E0" w:rsidP="00384EC1">
      <w:pPr>
        <w:spacing w:before="180"/>
        <w:rPr>
          <w:sz w:val="20"/>
          <w:lang w:val="es-ES_tradnl"/>
        </w:rPr>
      </w:pPr>
      <w:r w:rsidRPr="00384EC1">
        <w:rPr>
          <w:sz w:val="20"/>
          <w:lang w:val="es-ES_tradnl"/>
        </w:rPr>
        <w:t>La política del UIT</w:t>
      </w:r>
      <w:r w:rsidRPr="00384EC1">
        <w:rPr>
          <w:sz w:val="20"/>
          <w:lang w:val="es-ES_tradnl"/>
        </w:rPr>
        <w:noBreakHyphen/>
        <w:t>R sobre Derechos de Propiedad Intelectual se describe en la Política Común de Patentes UIT</w:t>
      </w:r>
      <w:r w:rsidRPr="00384EC1">
        <w:rPr>
          <w:sz w:val="20"/>
          <w:lang w:val="es-ES_tradnl"/>
        </w:rPr>
        <w:noBreakHyphen/>
        <w:t>T/UIT</w:t>
      </w:r>
      <w:r w:rsidRPr="00384EC1">
        <w:rPr>
          <w:sz w:val="20"/>
          <w:lang w:val="es-ES_tradnl"/>
        </w:rPr>
        <w:noBreakHyphen/>
        <w:t>R/ISO/CEI a la que se hace referencia en el Anexo 1 a la Resolución UIT</w:t>
      </w:r>
      <w:r w:rsidRPr="00384EC1">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384EC1">
          <w:rPr>
            <w:rStyle w:val="Hyperlink"/>
            <w:sz w:val="20"/>
            <w:lang w:val="es-ES_tradnl"/>
          </w:rPr>
          <w:t>http://www.itu.int/ITU-R/go/patents/es</w:t>
        </w:r>
      </w:hyperlink>
      <w:r w:rsidRPr="00384EC1">
        <w:rPr>
          <w:sz w:val="20"/>
          <w:lang w:val="es-ES_tradnl"/>
        </w:rPr>
        <w:t>, donde también aparecen las Directrices para la implementación de la Política Común de Patentes UIT</w:t>
      </w:r>
      <w:r w:rsidRPr="00384EC1">
        <w:rPr>
          <w:sz w:val="20"/>
          <w:lang w:val="es-ES_tradnl"/>
        </w:rPr>
        <w:noBreakHyphen/>
        <w:t>T/UIT</w:t>
      </w:r>
      <w:r w:rsidRPr="00384EC1">
        <w:rPr>
          <w:sz w:val="20"/>
          <w:lang w:val="es-ES_tradnl"/>
        </w:rPr>
        <w:noBreakHyphen/>
        <w:t>R/ISO/CEI y la base de datos sobre información de patentes del UIT</w:t>
      </w:r>
      <w:r w:rsidRPr="00384EC1">
        <w:rPr>
          <w:sz w:val="20"/>
          <w:lang w:val="es-ES_tradnl"/>
        </w:rPr>
        <w:noBreakHyphen/>
        <w:t>R sobre este asunto.</w:t>
      </w:r>
    </w:p>
    <w:p w:rsidR="000E28E0" w:rsidRPr="00384EC1" w:rsidRDefault="000E28E0" w:rsidP="00384EC1">
      <w:pPr>
        <w:spacing w:before="0"/>
        <w:jc w:val="center"/>
        <w:rPr>
          <w:sz w:val="22"/>
          <w:lang w:val="es-ES_tradnl"/>
        </w:rPr>
      </w:pPr>
    </w:p>
    <w:p w:rsidR="000E28E0" w:rsidRPr="00384EC1" w:rsidRDefault="000E28E0" w:rsidP="00384EC1">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E28E0" w:rsidRPr="00385729" w:rsidTr="00FF7BAA">
        <w:tc>
          <w:tcPr>
            <w:tcW w:w="9360" w:type="dxa"/>
            <w:gridSpan w:val="2"/>
          </w:tcPr>
          <w:p w:rsidR="000E28E0" w:rsidRPr="00384EC1" w:rsidRDefault="000E28E0" w:rsidP="00384EC1">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384EC1">
              <w:rPr>
                <w:sz w:val="22"/>
                <w:szCs w:val="22"/>
                <w:lang w:val="es-ES_tradnl"/>
              </w:rPr>
              <w:t xml:space="preserve">Series de las Recomendaciones UIT-R </w:t>
            </w:r>
          </w:p>
          <w:p w:rsidR="000E28E0" w:rsidRPr="00384EC1" w:rsidRDefault="000E28E0" w:rsidP="00384E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384EC1">
              <w:rPr>
                <w:b w:val="0"/>
                <w:sz w:val="18"/>
                <w:szCs w:val="18"/>
                <w:lang w:val="es-ES_tradnl"/>
              </w:rPr>
              <w:t xml:space="preserve">(También disponible en línea en </w:t>
            </w:r>
            <w:hyperlink r:id="rId9" w:history="1">
              <w:r w:rsidRPr="00384EC1">
                <w:rPr>
                  <w:rStyle w:val="Hyperlink"/>
                  <w:b w:val="0"/>
                  <w:bCs/>
                  <w:sz w:val="18"/>
                  <w:szCs w:val="18"/>
                  <w:lang w:val="es-ES_tradnl"/>
                </w:rPr>
                <w:t>http://www.itu.int/publ/R-REC/es</w:t>
              </w:r>
            </w:hyperlink>
            <w:r w:rsidRPr="00384EC1">
              <w:rPr>
                <w:b w:val="0"/>
                <w:bCs/>
                <w:sz w:val="18"/>
                <w:szCs w:val="18"/>
                <w:lang w:val="es-ES_tradnl"/>
              </w:rPr>
              <w:t>)</w:t>
            </w:r>
          </w:p>
        </w:tc>
      </w:tr>
      <w:tr w:rsidR="000E28E0" w:rsidRPr="00384EC1" w:rsidTr="00FF7BAA">
        <w:tc>
          <w:tcPr>
            <w:tcW w:w="1140" w:type="dxa"/>
            <w:tcBorders>
              <w:bottom w:val="nil"/>
            </w:tcBorders>
          </w:tcPr>
          <w:p w:rsidR="000E28E0" w:rsidRPr="00384EC1" w:rsidRDefault="000E28E0" w:rsidP="00384EC1">
            <w:pPr>
              <w:spacing w:before="180" w:after="100"/>
              <w:ind w:left="57"/>
              <w:rPr>
                <w:b/>
                <w:bCs/>
                <w:sz w:val="20"/>
                <w:lang w:val="es-ES_tradnl"/>
              </w:rPr>
            </w:pPr>
            <w:r w:rsidRPr="00384EC1">
              <w:rPr>
                <w:b/>
                <w:bCs/>
                <w:sz w:val="20"/>
                <w:lang w:val="es-ES_tradnl"/>
              </w:rPr>
              <w:t>Series</w:t>
            </w:r>
          </w:p>
        </w:tc>
        <w:tc>
          <w:tcPr>
            <w:tcW w:w="8220" w:type="dxa"/>
            <w:tcBorders>
              <w:bottom w:val="nil"/>
            </w:tcBorders>
          </w:tcPr>
          <w:p w:rsidR="000E28E0" w:rsidRPr="00384EC1" w:rsidRDefault="000E28E0" w:rsidP="00384E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384EC1">
              <w:rPr>
                <w:bCs/>
                <w:sz w:val="20"/>
                <w:lang w:val="es-ES_tradnl"/>
              </w:rPr>
              <w:t>Título</w:t>
            </w:r>
          </w:p>
        </w:tc>
      </w:tr>
      <w:tr w:rsidR="000E28E0" w:rsidRPr="00384EC1" w:rsidTr="00FF7BAA">
        <w:tc>
          <w:tcPr>
            <w:tcW w:w="1140" w:type="dxa"/>
            <w:tcBorders>
              <w:top w:val="nil"/>
              <w:bottom w:val="nil"/>
            </w:tcBorders>
            <w:shd w:val="clear" w:color="auto" w:fill="auto"/>
          </w:tcPr>
          <w:p w:rsidR="000E28E0" w:rsidRPr="00384EC1" w:rsidRDefault="000E28E0" w:rsidP="00384EC1">
            <w:pPr>
              <w:spacing w:before="30" w:after="30"/>
              <w:ind w:left="57"/>
              <w:jc w:val="left"/>
              <w:rPr>
                <w:b/>
                <w:bCs/>
                <w:sz w:val="20"/>
                <w:lang w:val="es-ES_tradnl"/>
              </w:rPr>
            </w:pPr>
            <w:r w:rsidRPr="00384EC1">
              <w:rPr>
                <w:b/>
                <w:bCs/>
                <w:sz w:val="20"/>
                <w:lang w:val="es-ES_tradnl"/>
              </w:rPr>
              <w:t>BO</w:t>
            </w:r>
          </w:p>
        </w:tc>
        <w:tc>
          <w:tcPr>
            <w:tcW w:w="8220" w:type="dxa"/>
            <w:tcBorders>
              <w:top w:val="nil"/>
              <w:bottom w:val="nil"/>
            </w:tcBorders>
            <w:shd w:val="clear" w:color="auto" w:fill="auto"/>
          </w:tcPr>
          <w:p w:rsidR="000E28E0" w:rsidRPr="00384EC1" w:rsidRDefault="000E28E0" w:rsidP="00384E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384EC1">
              <w:rPr>
                <w:b w:val="0"/>
                <w:sz w:val="20"/>
                <w:lang w:val="es-ES_tradnl"/>
              </w:rPr>
              <w:t>Distribución por satélite</w:t>
            </w:r>
          </w:p>
        </w:tc>
      </w:tr>
      <w:tr w:rsidR="000E28E0" w:rsidRPr="00385729" w:rsidTr="00FF7BAA">
        <w:tc>
          <w:tcPr>
            <w:tcW w:w="1140" w:type="dxa"/>
            <w:tcBorders>
              <w:top w:val="nil"/>
              <w:bottom w:val="nil"/>
            </w:tcBorders>
            <w:shd w:val="clear" w:color="auto" w:fill="auto"/>
          </w:tcPr>
          <w:p w:rsidR="000E28E0" w:rsidRPr="00384EC1" w:rsidRDefault="000E28E0" w:rsidP="00384EC1">
            <w:pPr>
              <w:spacing w:before="30" w:after="30"/>
              <w:ind w:left="57"/>
              <w:jc w:val="left"/>
              <w:rPr>
                <w:b/>
                <w:bCs/>
                <w:sz w:val="20"/>
                <w:lang w:val="es-ES_tradnl"/>
              </w:rPr>
            </w:pPr>
            <w:r w:rsidRPr="00384EC1">
              <w:rPr>
                <w:b/>
                <w:bCs/>
                <w:sz w:val="20"/>
                <w:lang w:val="es-ES_tradnl"/>
              </w:rPr>
              <w:t>BR</w:t>
            </w:r>
          </w:p>
        </w:tc>
        <w:tc>
          <w:tcPr>
            <w:tcW w:w="8220" w:type="dxa"/>
            <w:tcBorders>
              <w:top w:val="nil"/>
              <w:bottom w:val="nil"/>
            </w:tcBorders>
            <w:shd w:val="clear" w:color="auto" w:fill="auto"/>
          </w:tcPr>
          <w:p w:rsidR="000E28E0" w:rsidRPr="00384EC1" w:rsidRDefault="000E28E0" w:rsidP="00384E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384EC1">
              <w:rPr>
                <w:b w:val="0"/>
                <w:sz w:val="20"/>
                <w:lang w:val="es-ES_tradnl"/>
              </w:rPr>
              <w:t>Registro para producción, archivo y reproducción; películas en televisión</w:t>
            </w:r>
          </w:p>
        </w:tc>
      </w:tr>
      <w:tr w:rsidR="000E28E0" w:rsidRPr="00384EC1" w:rsidTr="00FF7BAA">
        <w:tc>
          <w:tcPr>
            <w:tcW w:w="1140" w:type="dxa"/>
            <w:tcBorders>
              <w:top w:val="nil"/>
              <w:bottom w:val="nil"/>
            </w:tcBorders>
            <w:shd w:val="clear" w:color="auto" w:fill="auto"/>
          </w:tcPr>
          <w:p w:rsidR="000E28E0" w:rsidRPr="00384EC1" w:rsidRDefault="000E28E0" w:rsidP="00384EC1">
            <w:pPr>
              <w:spacing w:before="30" w:after="30"/>
              <w:ind w:left="57"/>
              <w:jc w:val="left"/>
              <w:rPr>
                <w:b/>
                <w:bCs/>
                <w:sz w:val="20"/>
                <w:lang w:val="es-ES_tradnl"/>
              </w:rPr>
            </w:pPr>
            <w:r w:rsidRPr="00384EC1">
              <w:rPr>
                <w:b/>
                <w:bCs/>
                <w:sz w:val="20"/>
                <w:lang w:val="es-ES_tradnl"/>
              </w:rPr>
              <w:t>BS</w:t>
            </w:r>
          </w:p>
        </w:tc>
        <w:tc>
          <w:tcPr>
            <w:tcW w:w="8220" w:type="dxa"/>
            <w:tcBorders>
              <w:top w:val="nil"/>
              <w:bottom w:val="nil"/>
            </w:tcBorders>
            <w:shd w:val="clear" w:color="auto" w:fill="auto"/>
          </w:tcPr>
          <w:p w:rsidR="000E28E0" w:rsidRPr="00384EC1" w:rsidRDefault="000E28E0" w:rsidP="00384E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384EC1">
              <w:rPr>
                <w:b w:val="0"/>
                <w:bCs/>
                <w:sz w:val="20"/>
                <w:lang w:val="es-ES_tradnl"/>
              </w:rPr>
              <w:t>Servicio de radiodifusión (sonora)</w:t>
            </w:r>
          </w:p>
        </w:tc>
      </w:tr>
      <w:tr w:rsidR="000E28E0" w:rsidRPr="00384EC1" w:rsidTr="00FF7BAA">
        <w:tc>
          <w:tcPr>
            <w:tcW w:w="1140" w:type="dxa"/>
            <w:tcBorders>
              <w:top w:val="nil"/>
              <w:bottom w:val="nil"/>
            </w:tcBorders>
            <w:shd w:val="clear" w:color="auto" w:fill="auto"/>
          </w:tcPr>
          <w:p w:rsidR="000E28E0" w:rsidRPr="00384EC1" w:rsidRDefault="000E28E0" w:rsidP="00384EC1">
            <w:pPr>
              <w:spacing w:before="30" w:after="30"/>
              <w:ind w:left="57"/>
              <w:jc w:val="left"/>
              <w:rPr>
                <w:b/>
                <w:bCs/>
                <w:sz w:val="20"/>
                <w:lang w:val="es-ES_tradnl"/>
              </w:rPr>
            </w:pPr>
            <w:r w:rsidRPr="00384EC1">
              <w:rPr>
                <w:b/>
                <w:bCs/>
                <w:sz w:val="20"/>
                <w:lang w:val="es-ES_tradnl"/>
              </w:rPr>
              <w:t>BT</w:t>
            </w:r>
          </w:p>
        </w:tc>
        <w:tc>
          <w:tcPr>
            <w:tcW w:w="8220" w:type="dxa"/>
            <w:tcBorders>
              <w:top w:val="nil"/>
              <w:bottom w:val="nil"/>
            </w:tcBorders>
            <w:shd w:val="clear" w:color="auto" w:fill="auto"/>
          </w:tcPr>
          <w:p w:rsidR="000E28E0" w:rsidRPr="00384EC1" w:rsidRDefault="000E28E0" w:rsidP="00384E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384EC1">
              <w:rPr>
                <w:b w:val="0"/>
                <w:bCs/>
                <w:sz w:val="20"/>
                <w:lang w:val="es-ES_tradnl"/>
              </w:rPr>
              <w:t>Servicio de radiodifusión (televisión)</w:t>
            </w:r>
          </w:p>
        </w:tc>
      </w:tr>
      <w:tr w:rsidR="000E28E0" w:rsidRPr="00384EC1" w:rsidTr="00FF7BAA">
        <w:tc>
          <w:tcPr>
            <w:tcW w:w="1140" w:type="dxa"/>
            <w:tcBorders>
              <w:top w:val="nil"/>
              <w:bottom w:val="nil"/>
            </w:tcBorders>
            <w:shd w:val="clear" w:color="auto" w:fill="auto"/>
          </w:tcPr>
          <w:p w:rsidR="000E28E0" w:rsidRPr="00384EC1" w:rsidRDefault="000E28E0" w:rsidP="00384EC1">
            <w:pPr>
              <w:spacing w:before="30" w:after="30"/>
              <w:ind w:left="57"/>
              <w:jc w:val="left"/>
              <w:rPr>
                <w:b/>
                <w:bCs/>
                <w:sz w:val="20"/>
                <w:lang w:val="es-ES_tradnl"/>
              </w:rPr>
            </w:pPr>
            <w:r w:rsidRPr="00384EC1">
              <w:rPr>
                <w:b/>
                <w:bCs/>
                <w:sz w:val="20"/>
                <w:lang w:val="es-ES_tradnl"/>
              </w:rPr>
              <w:t>F</w:t>
            </w:r>
          </w:p>
        </w:tc>
        <w:tc>
          <w:tcPr>
            <w:tcW w:w="8220" w:type="dxa"/>
            <w:tcBorders>
              <w:top w:val="nil"/>
              <w:bottom w:val="nil"/>
            </w:tcBorders>
            <w:shd w:val="clear" w:color="auto" w:fill="auto"/>
          </w:tcPr>
          <w:p w:rsidR="000E28E0" w:rsidRPr="00384EC1" w:rsidRDefault="000E28E0" w:rsidP="00384EC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384EC1">
              <w:rPr>
                <w:sz w:val="20"/>
                <w:lang w:val="es-ES_tradnl"/>
              </w:rPr>
              <w:t>Servicio fijo</w:t>
            </w:r>
          </w:p>
        </w:tc>
      </w:tr>
      <w:tr w:rsidR="000E28E0" w:rsidRPr="00385729" w:rsidTr="00FF7BAA">
        <w:tc>
          <w:tcPr>
            <w:tcW w:w="1140" w:type="dxa"/>
            <w:tcBorders>
              <w:top w:val="nil"/>
              <w:bottom w:val="nil"/>
            </w:tcBorders>
            <w:shd w:val="clear" w:color="auto" w:fill="auto"/>
          </w:tcPr>
          <w:p w:rsidR="000E28E0" w:rsidRPr="00384EC1" w:rsidRDefault="000E28E0" w:rsidP="00384EC1">
            <w:pPr>
              <w:spacing w:before="30" w:after="30"/>
              <w:ind w:left="57"/>
              <w:jc w:val="left"/>
              <w:rPr>
                <w:rFonts w:hAnsi="Times New Roman Bold"/>
                <w:b/>
                <w:bCs/>
                <w:sz w:val="20"/>
                <w:lang w:val="es-ES_tradnl"/>
              </w:rPr>
            </w:pPr>
            <w:r w:rsidRPr="00384EC1">
              <w:rPr>
                <w:rFonts w:hAnsi="Times New Roman Bold"/>
                <w:b/>
                <w:bCs/>
                <w:sz w:val="20"/>
                <w:lang w:val="es-ES_tradnl"/>
              </w:rPr>
              <w:t>M</w:t>
            </w:r>
          </w:p>
        </w:tc>
        <w:tc>
          <w:tcPr>
            <w:tcW w:w="8220" w:type="dxa"/>
            <w:tcBorders>
              <w:top w:val="nil"/>
              <w:bottom w:val="nil"/>
            </w:tcBorders>
            <w:shd w:val="clear" w:color="auto" w:fill="auto"/>
          </w:tcPr>
          <w:p w:rsidR="000E28E0" w:rsidRPr="00384EC1" w:rsidRDefault="000E28E0" w:rsidP="00384E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384EC1">
              <w:rPr>
                <w:rFonts w:hAnsi="Times New Roman Bold"/>
                <w:b w:val="0"/>
                <w:sz w:val="20"/>
                <w:lang w:val="es-ES_tradnl"/>
              </w:rPr>
              <w:t>Servicios m</w:t>
            </w:r>
            <w:r w:rsidRPr="00384EC1">
              <w:rPr>
                <w:rFonts w:hAnsi="Times New Roman Bold"/>
                <w:b w:val="0"/>
                <w:sz w:val="20"/>
                <w:lang w:val="es-ES_tradnl"/>
              </w:rPr>
              <w:t>ó</w:t>
            </w:r>
            <w:r w:rsidRPr="00384EC1">
              <w:rPr>
                <w:rFonts w:hAnsi="Times New Roman Bold"/>
                <w:b w:val="0"/>
                <w:sz w:val="20"/>
                <w:lang w:val="es-ES_tradnl"/>
              </w:rPr>
              <w:t>viles, de radiodeterminaci</w:t>
            </w:r>
            <w:r w:rsidRPr="00384EC1">
              <w:rPr>
                <w:rFonts w:hAnsi="Times New Roman Bold"/>
                <w:b w:val="0"/>
                <w:sz w:val="20"/>
                <w:lang w:val="es-ES_tradnl"/>
              </w:rPr>
              <w:t>ó</w:t>
            </w:r>
            <w:r w:rsidRPr="00384EC1">
              <w:rPr>
                <w:rFonts w:hAnsi="Times New Roman Bold"/>
                <w:b w:val="0"/>
                <w:sz w:val="20"/>
                <w:lang w:val="es-ES_tradnl"/>
              </w:rPr>
              <w:t>n, de aficionados y otros servicios por sat</w:t>
            </w:r>
            <w:r w:rsidRPr="00384EC1">
              <w:rPr>
                <w:rFonts w:hAnsi="Times New Roman Bold"/>
                <w:b w:val="0"/>
                <w:sz w:val="20"/>
                <w:lang w:val="es-ES_tradnl"/>
              </w:rPr>
              <w:t>é</w:t>
            </w:r>
            <w:r w:rsidRPr="00384EC1">
              <w:rPr>
                <w:rFonts w:hAnsi="Times New Roman Bold"/>
                <w:b w:val="0"/>
                <w:sz w:val="20"/>
                <w:lang w:val="es-ES_tradnl"/>
              </w:rPr>
              <w:t>lite conexos</w:t>
            </w:r>
          </w:p>
        </w:tc>
      </w:tr>
      <w:tr w:rsidR="000E28E0" w:rsidRPr="00385729" w:rsidTr="00FF7BAA">
        <w:tc>
          <w:tcPr>
            <w:tcW w:w="1140" w:type="dxa"/>
            <w:tcBorders>
              <w:top w:val="nil"/>
              <w:bottom w:val="nil"/>
            </w:tcBorders>
            <w:shd w:val="clear" w:color="auto" w:fill="auto"/>
          </w:tcPr>
          <w:p w:rsidR="000E28E0" w:rsidRPr="00384EC1" w:rsidRDefault="000E28E0" w:rsidP="00384EC1">
            <w:pPr>
              <w:spacing w:before="30" w:after="30"/>
              <w:ind w:left="57"/>
              <w:jc w:val="left"/>
              <w:rPr>
                <w:b/>
                <w:bCs/>
                <w:sz w:val="20"/>
                <w:lang w:val="es-ES_tradnl"/>
              </w:rPr>
            </w:pPr>
            <w:r w:rsidRPr="00384EC1">
              <w:rPr>
                <w:b/>
                <w:bCs/>
                <w:sz w:val="20"/>
                <w:lang w:val="es-ES_tradnl"/>
              </w:rPr>
              <w:t>P</w:t>
            </w:r>
          </w:p>
        </w:tc>
        <w:tc>
          <w:tcPr>
            <w:tcW w:w="8220" w:type="dxa"/>
            <w:tcBorders>
              <w:top w:val="nil"/>
              <w:bottom w:val="nil"/>
            </w:tcBorders>
            <w:shd w:val="clear" w:color="auto" w:fill="auto"/>
          </w:tcPr>
          <w:p w:rsidR="000E28E0" w:rsidRPr="00384EC1" w:rsidRDefault="000E28E0" w:rsidP="00384EC1">
            <w:pPr>
              <w:spacing w:before="30" w:after="30"/>
              <w:jc w:val="left"/>
              <w:rPr>
                <w:sz w:val="20"/>
                <w:lang w:val="es-ES_tradnl"/>
              </w:rPr>
            </w:pPr>
            <w:r w:rsidRPr="00384EC1">
              <w:rPr>
                <w:sz w:val="20"/>
                <w:lang w:val="es-ES_tradnl"/>
              </w:rPr>
              <w:t>Propagación de las ondas radioeléctricas</w:t>
            </w:r>
          </w:p>
        </w:tc>
      </w:tr>
      <w:tr w:rsidR="000E28E0" w:rsidRPr="00384EC1" w:rsidTr="00FF7BAA">
        <w:tc>
          <w:tcPr>
            <w:tcW w:w="1140" w:type="dxa"/>
            <w:tcBorders>
              <w:top w:val="nil"/>
              <w:bottom w:val="nil"/>
            </w:tcBorders>
            <w:shd w:val="clear" w:color="auto" w:fill="auto"/>
          </w:tcPr>
          <w:p w:rsidR="000E28E0" w:rsidRPr="00384EC1" w:rsidRDefault="000E28E0" w:rsidP="00384EC1">
            <w:pPr>
              <w:spacing w:before="30" w:after="30"/>
              <w:ind w:left="57"/>
              <w:jc w:val="left"/>
              <w:rPr>
                <w:b/>
                <w:bCs/>
                <w:sz w:val="20"/>
                <w:lang w:val="es-ES_tradnl"/>
              </w:rPr>
            </w:pPr>
            <w:r w:rsidRPr="00384EC1">
              <w:rPr>
                <w:b/>
                <w:bCs/>
                <w:sz w:val="20"/>
                <w:lang w:val="es-ES_tradnl"/>
              </w:rPr>
              <w:t>RA</w:t>
            </w:r>
          </w:p>
        </w:tc>
        <w:tc>
          <w:tcPr>
            <w:tcW w:w="8220" w:type="dxa"/>
            <w:tcBorders>
              <w:top w:val="nil"/>
              <w:bottom w:val="nil"/>
            </w:tcBorders>
            <w:shd w:val="clear" w:color="auto" w:fill="auto"/>
          </w:tcPr>
          <w:p w:rsidR="000E28E0" w:rsidRPr="00384EC1" w:rsidRDefault="000E28E0" w:rsidP="00384EC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384EC1">
              <w:rPr>
                <w:sz w:val="20"/>
                <w:lang w:val="es-ES_tradnl"/>
              </w:rPr>
              <w:t>Radio astronomía</w:t>
            </w:r>
          </w:p>
        </w:tc>
      </w:tr>
      <w:tr w:rsidR="000E28E0" w:rsidRPr="00385729" w:rsidTr="00FF7BAA">
        <w:tc>
          <w:tcPr>
            <w:tcW w:w="1140" w:type="dxa"/>
            <w:tcBorders>
              <w:top w:val="nil"/>
              <w:bottom w:val="nil"/>
            </w:tcBorders>
            <w:shd w:val="clear" w:color="auto" w:fill="auto"/>
          </w:tcPr>
          <w:p w:rsidR="000E28E0" w:rsidRPr="00384EC1" w:rsidRDefault="000E28E0" w:rsidP="00384EC1">
            <w:pPr>
              <w:spacing w:before="30" w:after="30"/>
              <w:ind w:left="57"/>
              <w:jc w:val="left"/>
              <w:rPr>
                <w:b/>
                <w:bCs/>
                <w:sz w:val="20"/>
                <w:lang w:val="es-ES_tradnl"/>
              </w:rPr>
            </w:pPr>
            <w:r w:rsidRPr="00384EC1">
              <w:rPr>
                <w:b/>
                <w:bCs/>
                <w:sz w:val="20"/>
                <w:lang w:val="es-ES_tradnl"/>
              </w:rPr>
              <w:t>RS</w:t>
            </w:r>
          </w:p>
        </w:tc>
        <w:tc>
          <w:tcPr>
            <w:tcW w:w="8220" w:type="dxa"/>
            <w:tcBorders>
              <w:top w:val="nil"/>
              <w:bottom w:val="nil"/>
            </w:tcBorders>
            <w:shd w:val="clear" w:color="auto" w:fill="auto"/>
          </w:tcPr>
          <w:p w:rsidR="000E28E0" w:rsidRPr="00384EC1" w:rsidRDefault="000E28E0" w:rsidP="00384EC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384EC1">
              <w:rPr>
                <w:sz w:val="20"/>
                <w:lang w:val="es-ES_tradnl"/>
              </w:rPr>
              <w:t>Sistemas de detección a distancia</w:t>
            </w:r>
          </w:p>
        </w:tc>
      </w:tr>
      <w:tr w:rsidR="000E28E0" w:rsidRPr="00384EC1" w:rsidTr="00FF7BAA">
        <w:tc>
          <w:tcPr>
            <w:tcW w:w="1140" w:type="dxa"/>
            <w:tcBorders>
              <w:top w:val="nil"/>
              <w:bottom w:val="nil"/>
            </w:tcBorders>
            <w:shd w:val="clear" w:color="auto" w:fill="F3F3F3"/>
          </w:tcPr>
          <w:p w:rsidR="000E28E0" w:rsidRPr="00384EC1" w:rsidRDefault="000E28E0" w:rsidP="00384EC1">
            <w:pPr>
              <w:spacing w:before="30" w:after="30"/>
              <w:ind w:left="57"/>
              <w:jc w:val="left"/>
              <w:rPr>
                <w:b/>
                <w:bCs/>
                <w:color w:val="000080"/>
                <w:sz w:val="20"/>
                <w:lang w:val="es-ES_tradnl"/>
              </w:rPr>
            </w:pPr>
            <w:r w:rsidRPr="00384EC1">
              <w:rPr>
                <w:b/>
                <w:bCs/>
                <w:color w:val="000080"/>
                <w:sz w:val="20"/>
                <w:lang w:val="es-ES_tradnl"/>
              </w:rPr>
              <w:t>S</w:t>
            </w:r>
          </w:p>
        </w:tc>
        <w:tc>
          <w:tcPr>
            <w:tcW w:w="8220" w:type="dxa"/>
            <w:tcBorders>
              <w:top w:val="nil"/>
              <w:bottom w:val="nil"/>
            </w:tcBorders>
            <w:shd w:val="clear" w:color="auto" w:fill="F3F3F3"/>
          </w:tcPr>
          <w:p w:rsidR="000E28E0" w:rsidRPr="00384EC1" w:rsidRDefault="000E28E0" w:rsidP="00384EC1">
            <w:pPr>
              <w:spacing w:before="30" w:after="30"/>
              <w:jc w:val="left"/>
              <w:rPr>
                <w:b/>
                <w:bCs/>
                <w:color w:val="000080"/>
                <w:sz w:val="20"/>
                <w:lang w:val="es-ES_tradnl"/>
              </w:rPr>
            </w:pPr>
            <w:r w:rsidRPr="00384EC1">
              <w:rPr>
                <w:b/>
                <w:bCs/>
                <w:color w:val="000080"/>
                <w:sz w:val="20"/>
                <w:lang w:val="es-ES_tradnl"/>
              </w:rPr>
              <w:t>Servicio fijo por satélite</w:t>
            </w:r>
          </w:p>
        </w:tc>
      </w:tr>
      <w:tr w:rsidR="000E28E0" w:rsidRPr="00384EC1" w:rsidTr="00FF7BAA">
        <w:tc>
          <w:tcPr>
            <w:tcW w:w="1140" w:type="dxa"/>
            <w:tcBorders>
              <w:top w:val="nil"/>
            </w:tcBorders>
          </w:tcPr>
          <w:p w:rsidR="000E28E0" w:rsidRPr="00384EC1" w:rsidRDefault="000E28E0" w:rsidP="00384EC1">
            <w:pPr>
              <w:spacing w:before="30" w:after="30"/>
              <w:ind w:left="57"/>
              <w:jc w:val="left"/>
              <w:rPr>
                <w:b/>
                <w:bCs/>
                <w:sz w:val="20"/>
                <w:lang w:val="es-ES_tradnl"/>
              </w:rPr>
            </w:pPr>
            <w:r w:rsidRPr="00384EC1">
              <w:rPr>
                <w:b/>
                <w:bCs/>
                <w:sz w:val="20"/>
                <w:lang w:val="es-ES_tradnl"/>
              </w:rPr>
              <w:t>SA</w:t>
            </w:r>
          </w:p>
        </w:tc>
        <w:tc>
          <w:tcPr>
            <w:tcW w:w="8220" w:type="dxa"/>
            <w:tcBorders>
              <w:top w:val="nil"/>
            </w:tcBorders>
          </w:tcPr>
          <w:p w:rsidR="000E28E0" w:rsidRPr="00384EC1" w:rsidRDefault="000E28E0" w:rsidP="00384EC1">
            <w:pPr>
              <w:spacing w:before="30" w:after="30"/>
              <w:jc w:val="left"/>
              <w:rPr>
                <w:bCs/>
                <w:sz w:val="20"/>
                <w:lang w:val="es-ES_tradnl"/>
              </w:rPr>
            </w:pPr>
            <w:r w:rsidRPr="00384EC1">
              <w:rPr>
                <w:bCs/>
                <w:sz w:val="20"/>
                <w:lang w:val="es-ES_tradnl"/>
              </w:rPr>
              <w:t>Aplicaciones espaciales y meteorología</w:t>
            </w:r>
          </w:p>
        </w:tc>
      </w:tr>
      <w:tr w:rsidR="000E28E0" w:rsidRPr="00385729" w:rsidTr="00FF7BAA">
        <w:tc>
          <w:tcPr>
            <w:tcW w:w="1140" w:type="dxa"/>
          </w:tcPr>
          <w:p w:rsidR="000E28E0" w:rsidRPr="00384EC1" w:rsidRDefault="000E28E0" w:rsidP="00384EC1">
            <w:pPr>
              <w:spacing w:before="30" w:after="30"/>
              <w:ind w:left="57"/>
              <w:jc w:val="left"/>
              <w:rPr>
                <w:b/>
                <w:bCs/>
                <w:sz w:val="20"/>
                <w:lang w:val="es-ES_tradnl"/>
              </w:rPr>
            </w:pPr>
            <w:r w:rsidRPr="00384EC1">
              <w:rPr>
                <w:b/>
                <w:bCs/>
                <w:sz w:val="20"/>
                <w:lang w:val="es-ES_tradnl"/>
              </w:rPr>
              <w:t>SF</w:t>
            </w:r>
          </w:p>
        </w:tc>
        <w:tc>
          <w:tcPr>
            <w:tcW w:w="8220" w:type="dxa"/>
          </w:tcPr>
          <w:p w:rsidR="000E28E0" w:rsidRPr="00384EC1" w:rsidRDefault="000E28E0" w:rsidP="00384EC1">
            <w:pPr>
              <w:spacing w:before="30" w:after="30"/>
              <w:jc w:val="left"/>
              <w:rPr>
                <w:bCs/>
                <w:sz w:val="20"/>
                <w:lang w:val="es-ES_tradnl"/>
              </w:rPr>
            </w:pPr>
            <w:r w:rsidRPr="00384EC1">
              <w:rPr>
                <w:bCs/>
                <w:sz w:val="20"/>
                <w:lang w:val="es-ES_tradnl"/>
              </w:rPr>
              <w:t>Compartición de frecuencias y coordinación entre los sistemas del servicio fijo por satélite y del servicio fijo</w:t>
            </w:r>
          </w:p>
        </w:tc>
      </w:tr>
      <w:tr w:rsidR="000E28E0" w:rsidRPr="00384EC1" w:rsidTr="00FF7BAA">
        <w:tc>
          <w:tcPr>
            <w:tcW w:w="1140" w:type="dxa"/>
            <w:shd w:val="clear" w:color="auto" w:fill="auto"/>
          </w:tcPr>
          <w:p w:rsidR="000E28E0" w:rsidRPr="00384EC1" w:rsidRDefault="000E28E0" w:rsidP="00384EC1">
            <w:pPr>
              <w:spacing w:before="30" w:after="30"/>
              <w:ind w:left="57"/>
              <w:jc w:val="left"/>
              <w:rPr>
                <w:b/>
                <w:bCs/>
                <w:sz w:val="20"/>
                <w:lang w:val="es-ES_tradnl"/>
              </w:rPr>
            </w:pPr>
            <w:r w:rsidRPr="00384EC1">
              <w:rPr>
                <w:b/>
                <w:bCs/>
                <w:sz w:val="20"/>
                <w:lang w:val="es-ES_tradnl"/>
              </w:rPr>
              <w:t>SM</w:t>
            </w:r>
          </w:p>
        </w:tc>
        <w:tc>
          <w:tcPr>
            <w:tcW w:w="8220" w:type="dxa"/>
            <w:shd w:val="clear" w:color="auto" w:fill="auto"/>
          </w:tcPr>
          <w:p w:rsidR="000E28E0" w:rsidRPr="00384EC1" w:rsidRDefault="000E28E0" w:rsidP="00384EC1">
            <w:pPr>
              <w:spacing w:before="30" w:after="30"/>
              <w:jc w:val="left"/>
              <w:rPr>
                <w:sz w:val="20"/>
                <w:lang w:val="es-ES_tradnl"/>
              </w:rPr>
            </w:pPr>
            <w:r w:rsidRPr="00384EC1">
              <w:rPr>
                <w:sz w:val="20"/>
                <w:lang w:val="es-ES_tradnl"/>
              </w:rPr>
              <w:t>Gestión del espectro</w:t>
            </w:r>
          </w:p>
        </w:tc>
      </w:tr>
      <w:tr w:rsidR="000E28E0" w:rsidRPr="00384EC1" w:rsidTr="00FF7BAA">
        <w:tc>
          <w:tcPr>
            <w:tcW w:w="1140" w:type="dxa"/>
          </w:tcPr>
          <w:p w:rsidR="000E28E0" w:rsidRPr="00384EC1" w:rsidRDefault="000E28E0" w:rsidP="00384EC1">
            <w:pPr>
              <w:spacing w:before="30" w:after="30"/>
              <w:ind w:left="57"/>
              <w:jc w:val="left"/>
              <w:rPr>
                <w:b/>
                <w:bCs/>
                <w:sz w:val="20"/>
                <w:lang w:val="es-ES_tradnl"/>
              </w:rPr>
            </w:pPr>
            <w:r w:rsidRPr="00384EC1">
              <w:rPr>
                <w:b/>
                <w:bCs/>
                <w:sz w:val="20"/>
                <w:lang w:val="es-ES_tradnl"/>
              </w:rPr>
              <w:t>SNG</w:t>
            </w:r>
          </w:p>
        </w:tc>
        <w:tc>
          <w:tcPr>
            <w:tcW w:w="8220" w:type="dxa"/>
          </w:tcPr>
          <w:p w:rsidR="000E28E0" w:rsidRPr="00384EC1" w:rsidRDefault="000E28E0" w:rsidP="00384EC1">
            <w:pPr>
              <w:spacing w:before="30" w:after="30"/>
              <w:jc w:val="left"/>
              <w:rPr>
                <w:bCs/>
                <w:sz w:val="20"/>
                <w:lang w:val="es-ES_tradnl"/>
              </w:rPr>
            </w:pPr>
            <w:r w:rsidRPr="00384EC1">
              <w:rPr>
                <w:bCs/>
                <w:sz w:val="20"/>
                <w:lang w:val="es-ES_tradnl"/>
              </w:rPr>
              <w:t>Periodismo electrónico por satélite</w:t>
            </w:r>
          </w:p>
        </w:tc>
      </w:tr>
      <w:tr w:rsidR="000E28E0" w:rsidRPr="00385729" w:rsidTr="00FF7BAA">
        <w:tc>
          <w:tcPr>
            <w:tcW w:w="1140" w:type="dxa"/>
          </w:tcPr>
          <w:p w:rsidR="000E28E0" w:rsidRPr="00384EC1" w:rsidRDefault="000E28E0" w:rsidP="00384EC1">
            <w:pPr>
              <w:spacing w:before="30" w:after="30"/>
              <w:ind w:left="57"/>
              <w:jc w:val="left"/>
              <w:rPr>
                <w:b/>
                <w:bCs/>
                <w:sz w:val="20"/>
                <w:lang w:val="es-ES_tradnl"/>
              </w:rPr>
            </w:pPr>
            <w:r w:rsidRPr="00384EC1">
              <w:rPr>
                <w:b/>
                <w:bCs/>
                <w:sz w:val="20"/>
                <w:lang w:val="es-ES_tradnl"/>
              </w:rPr>
              <w:t>TF</w:t>
            </w:r>
          </w:p>
        </w:tc>
        <w:tc>
          <w:tcPr>
            <w:tcW w:w="8220" w:type="dxa"/>
          </w:tcPr>
          <w:p w:rsidR="000E28E0" w:rsidRPr="00384EC1" w:rsidRDefault="000E28E0" w:rsidP="00384EC1">
            <w:pPr>
              <w:spacing w:before="30" w:after="30"/>
              <w:jc w:val="left"/>
              <w:rPr>
                <w:bCs/>
                <w:sz w:val="20"/>
                <w:lang w:val="es-ES_tradnl"/>
              </w:rPr>
            </w:pPr>
            <w:r w:rsidRPr="00384EC1">
              <w:rPr>
                <w:bCs/>
                <w:sz w:val="20"/>
                <w:lang w:val="es-ES_tradnl"/>
              </w:rPr>
              <w:t>Emisiones de frecuencias patrón y señales horarias</w:t>
            </w:r>
          </w:p>
        </w:tc>
      </w:tr>
      <w:tr w:rsidR="000E28E0" w:rsidRPr="00384EC1" w:rsidTr="00FF7BAA">
        <w:tc>
          <w:tcPr>
            <w:tcW w:w="1140" w:type="dxa"/>
          </w:tcPr>
          <w:p w:rsidR="000E28E0" w:rsidRPr="00384EC1" w:rsidRDefault="000E28E0" w:rsidP="00384EC1">
            <w:pPr>
              <w:spacing w:before="30" w:after="30"/>
              <w:ind w:left="57"/>
              <w:jc w:val="left"/>
              <w:rPr>
                <w:b/>
                <w:bCs/>
                <w:sz w:val="20"/>
                <w:lang w:val="es-ES_tradnl"/>
              </w:rPr>
            </w:pPr>
            <w:r w:rsidRPr="00384EC1">
              <w:rPr>
                <w:b/>
                <w:bCs/>
                <w:sz w:val="20"/>
                <w:lang w:val="es-ES_tradnl"/>
              </w:rPr>
              <w:t>V</w:t>
            </w:r>
          </w:p>
        </w:tc>
        <w:tc>
          <w:tcPr>
            <w:tcW w:w="8220" w:type="dxa"/>
          </w:tcPr>
          <w:p w:rsidR="000E28E0" w:rsidRPr="00384EC1" w:rsidRDefault="000E28E0" w:rsidP="00384EC1">
            <w:pPr>
              <w:spacing w:before="30" w:after="140"/>
              <w:jc w:val="left"/>
              <w:rPr>
                <w:bCs/>
                <w:sz w:val="20"/>
                <w:lang w:val="es-ES_tradnl"/>
              </w:rPr>
            </w:pPr>
            <w:r w:rsidRPr="00384EC1">
              <w:rPr>
                <w:bCs/>
                <w:sz w:val="20"/>
                <w:lang w:val="es-ES_tradnl"/>
              </w:rPr>
              <w:t>Vocabulario y cuestiones afines</w:t>
            </w:r>
          </w:p>
        </w:tc>
      </w:tr>
    </w:tbl>
    <w:p w:rsidR="000E28E0" w:rsidRPr="00384EC1" w:rsidRDefault="000E28E0" w:rsidP="00384EC1">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0E28E0" w:rsidRPr="00384EC1" w:rsidTr="00FF7BAA">
        <w:tc>
          <w:tcPr>
            <w:tcW w:w="720" w:type="dxa"/>
          </w:tcPr>
          <w:p w:rsidR="000E28E0" w:rsidRPr="00384EC1" w:rsidRDefault="000E28E0" w:rsidP="00384EC1">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E28E0" w:rsidRPr="00385729" w:rsidTr="00FF7BAA">
        <w:tc>
          <w:tcPr>
            <w:tcW w:w="9360" w:type="dxa"/>
          </w:tcPr>
          <w:p w:rsidR="000E28E0" w:rsidRPr="00384EC1" w:rsidRDefault="000E28E0" w:rsidP="00384EC1">
            <w:pPr>
              <w:spacing w:before="92" w:after="92"/>
              <w:jc w:val="left"/>
              <w:rPr>
                <w:i/>
                <w:iCs/>
                <w:sz w:val="20"/>
                <w:lang w:val="es-ES_tradnl"/>
              </w:rPr>
            </w:pPr>
            <w:r w:rsidRPr="00384EC1">
              <w:rPr>
                <w:b/>
                <w:bCs/>
                <w:i/>
                <w:iCs/>
                <w:sz w:val="20"/>
                <w:lang w:val="es-ES_tradnl"/>
              </w:rPr>
              <w:t>Nota</w:t>
            </w:r>
            <w:r w:rsidRPr="00384EC1">
              <w:rPr>
                <w:i/>
                <w:iCs/>
                <w:sz w:val="20"/>
                <w:lang w:val="es-ES_tradnl"/>
              </w:rPr>
              <w:t xml:space="preserve">: Esta Recomendación UIT-R fue aprobada en inglés conforme al procedimiento detallado en la </w:t>
            </w:r>
            <w:r w:rsidRPr="00384EC1">
              <w:rPr>
                <w:i/>
                <w:iCs/>
                <w:sz w:val="20"/>
                <w:lang w:val="es-ES_tradnl"/>
              </w:rPr>
              <w:br/>
              <w:t>Resolución UIT-R 1.</w:t>
            </w:r>
          </w:p>
        </w:tc>
      </w:tr>
    </w:tbl>
    <w:p w:rsidR="000E28E0" w:rsidRPr="00384EC1" w:rsidRDefault="000E28E0" w:rsidP="00384EC1">
      <w:pPr>
        <w:spacing w:before="0"/>
        <w:jc w:val="center"/>
        <w:rPr>
          <w:sz w:val="22"/>
          <w:lang w:val="es-ES_tradnl"/>
        </w:rPr>
      </w:pPr>
    </w:p>
    <w:p w:rsidR="000E28E0" w:rsidRPr="00384EC1" w:rsidRDefault="000E28E0" w:rsidP="00384EC1">
      <w:pPr>
        <w:spacing w:before="60"/>
        <w:jc w:val="right"/>
        <w:rPr>
          <w:i/>
          <w:iCs/>
          <w:sz w:val="20"/>
          <w:lang w:val="es-ES_tradnl"/>
        </w:rPr>
      </w:pPr>
      <w:r w:rsidRPr="00384EC1">
        <w:rPr>
          <w:i/>
          <w:iCs/>
          <w:sz w:val="20"/>
          <w:lang w:val="es-ES_tradnl"/>
        </w:rPr>
        <w:t>Publicación electrónica</w:t>
      </w:r>
    </w:p>
    <w:p w:rsidR="000E28E0" w:rsidRPr="00384EC1" w:rsidRDefault="00385729" w:rsidP="00384EC1">
      <w:pPr>
        <w:spacing w:before="0" w:after="40"/>
        <w:jc w:val="right"/>
        <w:rPr>
          <w:sz w:val="20"/>
          <w:lang w:val="es-ES_tradnl"/>
        </w:rPr>
      </w:pPr>
      <w:r>
        <w:rPr>
          <w:sz w:val="20"/>
          <w:lang w:val="es-ES_tradnl"/>
        </w:rPr>
        <w:t>Ginebra, 2016</w:t>
      </w:r>
    </w:p>
    <w:p w:rsidR="000E28E0" w:rsidRPr="00384EC1" w:rsidRDefault="000E28E0" w:rsidP="00384EC1">
      <w:pPr>
        <w:spacing w:before="0"/>
        <w:jc w:val="center"/>
        <w:rPr>
          <w:sz w:val="22"/>
          <w:lang w:val="es-ES_tradnl"/>
        </w:rPr>
      </w:pPr>
    </w:p>
    <w:p w:rsidR="000E28E0" w:rsidRPr="00384EC1" w:rsidRDefault="000E28E0" w:rsidP="00384EC1">
      <w:pPr>
        <w:spacing w:before="0"/>
        <w:jc w:val="center"/>
        <w:rPr>
          <w:sz w:val="20"/>
          <w:lang w:val="es-ES_tradnl"/>
        </w:rPr>
      </w:pPr>
      <w:r w:rsidRPr="00384EC1">
        <w:rPr>
          <w:sz w:val="20"/>
          <w:lang w:val="es-ES_tradnl"/>
        </w:rPr>
        <w:sym w:font="Symbol" w:char="F0E3"/>
      </w:r>
      <w:r w:rsidRPr="00384EC1">
        <w:rPr>
          <w:sz w:val="20"/>
          <w:lang w:val="es-ES_tradnl"/>
        </w:rPr>
        <w:t xml:space="preserve"> UIT </w:t>
      </w:r>
      <w:bookmarkStart w:id="2" w:name="iiannee"/>
      <w:bookmarkEnd w:id="2"/>
      <w:r w:rsidR="00385729">
        <w:rPr>
          <w:sz w:val="20"/>
          <w:lang w:val="es-ES_tradnl"/>
        </w:rPr>
        <w:t>2016</w:t>
      </w:r>
    </w:p>
    <w:p w:rsidR="000E28E0" w:rsidRPr="00384EC1" w:rsidRDefault="000E28E0" w:rsidP="00384EC1">
      <w:pPr>
        <w:spacing w:before="80"/>
        <w:rPr>
          <w:sz w:val="18"/>
          <w:szCs w:val="18"/>
          <w:lang w:val="es-ES_tradnl"/>
        </w:rPr>
      </w:pPr>
      <w:r w:rsidRPr="00384EC1">
        <w:rPr>
          <w:sz w:val="18"/>
          <w:szCs w:val="18"/>
          <w:lang w:val="es-ES_tradnl"/>
        </w:rPr>
        <w:t>Reservados todos los derechos. Ninguna parte de esta publicación puede reproducirse por ningún procedimiento sin previa autorización escrita por parte de la UIT.</w:t>
      </w:r>
    </w:p>
    <w:p w:rsidR="000E28E0" w:rsidRPr="00384EC1" w:rsidRDefault="000E28E0" w:rsidP="00384EC1">
      <w:pPr>
        <w:spacing w:before="160"/>
        <w:rPr>
          <w:i/>
          <w:sz w:val="20"/>
          <w:highlight w:val="yellow"/>
          <w:lang w:val="es-ES_tradnl"/>
        </w:rPr>
        <w:sectPr w:rsidR="000E28E0" w:rsidRPr="00384EC1" w:rsidSect="00D62884">
          <w:headerReference w:type="even" r:id="rId10"/>
          <w:headerReference w:type="default" r:id="rId11"/>
          <w:pgSz w:w="11907" w:h="16834" w:code="9"/>
          <w:pgMar w:top="1418" w:right="1134" w:bottom="1134" w:left="1134" w:header="720" w:footer="482" w:gutter="0"/>
          <w:pgNumType w:fmt="lowerRoman" w:start="2"/>
          <w:cols w:space="720"/>
        </w:sectPr>
      </w:pPr>
    </w:p>
    <w:p w:rsidR="000E28E0" w:rsidRPr="00384EC1" w:rsidRDefault="000E28E0" w:rsidP="00384EC1">
      <w:pPr>
        <w:pStyle w:val="RecNo"/>
        <w:spacing w:before="0"/>
        <w:rPr>
          <w:lang w:val="es-ES_tradnl"/>
        </w:rPr>
      </w:pPr>
      <w:bookmarkStart w:id="3" w:name="irecnoe"/>
      <w:bookmarkEnd w:id="3"/>
      <w:r w:rsidRPr="00384EC1">
        <w:rPr>
          <w:lang w:val="es-ES_tradnl"/>
        </w:rPr>
        <w:lastRenderedPageBreak/>
        <w:t xml:space="preserve">RECOMENDACIÓN  </w:t>
      </w:r>
      <w:r w:rsidRPr="00384EC1">
        <w:rPr>
          <w:rStyle w:val="href"/>
          <w:lang w:val="es-ES_tradnl"/>
        </w:rPr>
        <w:t>UIT-R  S.2062-0</w:t>
      </w:r>
    </w:p>
    <w:p w:rsidR="000E28E0" w:rsidRPr="00384EC1" w:rsidRDefault="000E28E0" w:rsidP="00384EC1">
      <w:pPr>
        <w:pStyle w:val="Rectitle"/>
        <w:rPr>
          <w:lang w:val="es-ES_tradnl"/>
        </w:rPr>
      </w:pPr>
      <w:r w:rsidRPr="00384EC1">
        <w:rPr>
          <w:lang w:val="es-ES_tradnl"/>
        </w:rPr>
        <w:t xml:space="preserve">Sistema de identificación de portadora para transmisiones de estaciones terrenas de portadora de utilización ocasional (UO) del servicio fijo por satélite (SFS) </w:t>
      </w:r>
      <w:r w:rsidRPr="00384EC1">
        <w:rPr>
          <w:lang w:val="es-ES_tradnl"/>
        </w:rPr>
        <w:br/>
        <w:t xml:space="preserve">con modulación digital que emplean redes de satélites geoestacionarios </w:t>
      </w:r>
      <w:r w:rsidRPr="00384EC1">
        <w:rPr>
          <w:lang w:val="es-ES_tradnl"/>
        </w:rPr>
        <w:br/>
        <w:t>en las bandas 4/6 GHz y 11-12/13/14 GHz del SFS</w:t>
      </w:r>
    </w:p>
    <w:p w:rsidR="000E28E0" w:rsidRPr="00384EC1" w:rsidRDefault="000E28E0" w:rsidP="00384EC1">
      <w:pPr>
        <w:spacing w:before="240"/>
        <w:jc w:val="center"/>
        <w:rPr>
          <w:rFonts w:cstheme="majorBidi"/>
          <w:szCs w:val="24"/>
          <w:lang w:val="es-ES_tradnl"/>
        </w:rPr>
      </w:pPr>
      <w:r w:rsidRPr="00384EC1">
        <w:rPr>
          <w:rFonts w:cstheme="majorBidi"/>
          <w:szCs w:val="24"/>
          <w:lang w:val="es-ES_tradnl"/>
        </w:rPr>
        <w:t>(Cuestión UIT-R 271/4)</w:t>
      </w:r>
    </w:p>
    <w:p w:rsidR="000E28E0" w:rsidRPr="00384EC1" w:rsidRDefault="000E28E0" w:rsidP="00384EC1">
      <w:pPr>
        <w:pStyle w:val="Recdate"/>
        <w:rPr>
          <w:lang w:val="es-ES_tradnl"/>
        </w:rPr>
      </w:pPr>
      <w:r w:rsidRPr="00384EC1">
        <w:rPr>
          <w:lang w:val="es-ES_tradnl"/>
        </w:rPr>
        <w:t>(2014)</w:t>
      </w:r>
    </w:p>
    <w:p w:rsidR="000E28E0" w:rsidRPr="00384EC1" w:rsidRDefault="000E28E0" w:rsidP="00384EC1">
      <w:pPr>
        <w:pStyle w:val="HeadingSum"/>
      </w:pPr>
      <w:r w:rsidRPr="00384EC1">
        <w:t>Cometido</w:t>
      </w:r>
    </w:p>
    <w:p w:rsidR="000E28E0" w:rsidRPr="00384EC1" w:rsidRDefault="000E28E0" w:rsidP="00384EC1">
      <w:pPr>
        <w:pStyle w:val="Summary"/>
      </w:pPr>
      <w:r w:rsidRPr="00384EC1">
        <w:t>En esta Recomendación se describen posibles métodos sobre un sistema de identificación de portadora de las transmisiones de modulación digital del servicio fijo por satélite (SFS) que emplean ocasionalmente el servicio fijo por satélite (SFS) para transmisiones de portadora de estación terrena desde un punto fijo a estaciones espaciales OSG en las bandas 4/6 GHz y 11-12/13/14 GHz del SFS para facilitar la identificación de las fuentes de interferencia inaceptable y eliminarlas.</w:t>
      </w:r>
    </w:p>
    <w:p w:rsidR="000E28E0" w:rsidRPr="00384EC1" w:rsidRDefault="00BE4527" w:rsidP="00384EC1">
      <w:pPr>
        <w:pStyle w:val="Headingb"/>
        <w:rPr>
          <w:lang w:val="es-ES_tradnl"/>
        </w:rPr>
      </w:pPr>
      <w:r>
        <w:rPr>
          <w:lang w:val="es-ES_tradnl"/>
        </w:rPr>
        <w:t>Palabras clave</w:t>
      </w:r>
    </w:p>
    <w:p w:rsidR="000E28E0" w:rsidRPr="00384EC1" w:rsidRDefault="000E28E0" w:rsidP="0015379B">
      <w:pPr>
        <w:rPr>
          <w:lang w:val="es-ES_tradnl" w:eastAsia="ja-JP"/>
        </w:rPr>
      </w:pPr>
      <w:r w:rsidRPr="00384EC1">
        <w:rPr>
          <w:lang w:val="es-ES_tradnl" w:eastAsia="ja-JP"/>
        </w:rPr>
        <w:t>ID de portadora</w:t>
      </w:r>
      <w:r w:rsidR="0015379B">
        <w:rPr>
          <w:lang w:val="es-ES_tradnl" w:eastAsia="ja-JP"/>
        </w:rPr>
        <w:t>,</w:t>
      </w:r>
      <w:r w:rsidRPr="00384EC1">
        <w:rPr>
          <w:lang w:val="es-ES_tradnl" w:eastAsia="ja-JP"/>
        </w:rPr>
        <w:t xml:space="preserve"> utilización ocasional</w:t>
      </w:r>
      <w:r w:rsidR="0015379B">
        <w:rPr>
          <w:lang w:val="es-ES_tradnl" w:eastAsia="ja-JP"/>
        </w:rPr>
        <w:t>, SFS</w:t>
      </w:r>
    </w:p>
    <w:p w:rsidR="000E28E0" w:rsidRPr="00384EC1" w:rsidRDefault="000E28E0" w:rsidP="00384EC1">
      <w:pPr>
        <w:pStyle w:val="Headingb"/>
        <w:rPr>
          <w:lang w:val="es-ES_tradnl"/>
        </w:rPr>
      </w:pPr>
      <w:bookmarkStart w:id="4" w:name="_Toc369007122"/>
      <w:r w:rsidRPr="00384EC1">
        <w:rPr>
          <w:lang w:val="es-ES_tradnl"/>
        </w:rPr>
        <w:t>Siglas/</w:t>
      </w:r>
      <w:bookmarkEnd w:id="4"/>
      <w:r w:rsidRPr="00384EC1">
        <w:rPr>
          <w:lang w:val="es-ES_tradnl"/>
        </w:rPr>
        <w:t>glosario</w:t>
      </w:r>
    </w:p>
    <w:p w:rsidR="000E28E0" w:rsidRPr="00384EC1" w:rsidRDefault="000E28E0" w:rsidP="0083474D">
      <w:pPr>
        <w:ind w:left="1191" w:hanging="1191"/>
        <w:rPr>
          <w:lang w:val="es-ES_tradnl" w:eastAsia="ja-JP"/>
        </w:rPr>
      </w:pPr>
      <w:r w:rsidRPr="00384EC1">
        <w:rPr>
          <w:lang w:val="es-ES_tradnl" w:eastAsia="ja-JP"/>
        </w:rPr>
        <w:t>ASCII</w:t>
      </w:r>
      <w:r w:rsidRPr="00384EC1">
        <w:rPr>
          <w:lang w:val="es-ES_tradnl" w:eastAsia="ja-JP"/>
        </w:rPr>
        <w:tab/>
      </w:r>
      <w:r w:rsidRPr="00384EC1">
        <w:rPr>
          <w:lang w:val="es-ES_tradnl" w:eastAsia="ja-JP"/>
        </w:rPr>
        <w:tab/>
        <w:t>Código normalizado estadounidense para el intercambio de información</w:t>
      </w:r>
    </w:p>
    <w:p w:rsidR="000E28E0" w:rsidRPr="00385729" w:rsidRDefault="000E28E0" w:rsidP="00384EC1">
      <w:pPr>
        <w:rPr>
          <w:lang w:val="es-ES_tradnl" w:eastAsia="ja-JP"/>
        </w:rPr>
      </w:pPr>
      <w:r w:rsidRPr="00385729">
        <w:rPr>
          <w:lang w:val="es-ES_tradnl" w:eastAsia="ja-JP"/>
        </w:rPr>
        <w:t>BCH</w:t>
      </w:r>
      <w:r w:rsidRPr="00385729">
        <w:rPr>
          <w:lang w:val="es-ES_tradnl" w:eastAsia="ja-JP"/>
        </w:rPr>
        <w:tab/>
      </w:r>
      <w:r w:rsidRPr="00385729">
        <w:rPr>
          <w:lang w:val="es-ES_tradnl" w:eastAsia="ja-JP"/>
        </w:rPr>
        <w:tab/>
        <w:t>Código B</w:t>
      </w:r>
      <w:r w:rsidR="009368D7" w:rsidRPr="00385729">
        <w:rPr>
          <w:lang w:val="es-ES_tradnl" w:eastAsia="ja-JP"/>
        </w:rPr>
        <w:t>ose, Ray-Chaudhuri, Hocquenghem</w:t>
      </w:r>
    </w:p>
    <w:p w:rsidR="000E28E0" w:rsidRPr="00384EC1" w:rsidRDefault="000E28E0" w:rsidP="0083474D">
      <w:pPr>
        <w:rPr>
          <w:lang w:val="es-ES_tradnl" w:eastAsia="ja-JP"/>
        </w:rPr>
      </w:pPr>
      <w:r w:rsidRPr="00384EC1">
        <w:rPr>
          <w:lang w:val="es-ES_tradnl" w:eastAsia="ja-JP"/>
        </w:rPr>
        <w:t>BPSK</w:t>
      </w:r>
      <w:r w:rsidRPr="00384EC1">
        <w:rPr>
          <w:lang w:val="es-ES_tradnl" w:eastAsia="ja-JP"/>
        </w:rPr>
        <w:tab/>
      </w:r>
      <w:r w:rsidRPr="00384EC1">
        <w:rPr>
          <w:lang w:val="es-ES_tradnl" w:eastAsia="ja-JP"/>
        </w:rPr>
        <w:tab/>
        <w:t>Modulación por desplazamiento de fase binaria</w:t>
      </w:r>
    </w:p>
    <w:p w:rsidR="000E28E0" w:rsidRPr="00384EC1" w:rsidRDefault="000E28E0" w:rsidP="0083474D">
      <w:pPr>
        <w:rPr>
          <w:lang w:val="es-ES_tradnl" w:eastAsia="ja-JP"/>
        </w:rPr>
      </w:pPr>
      <w:r w:rsidRPr="00384EC1">
        <w:rPr>
          <w:lang w:val="es-ES_tradnl" w:eastAsia="ja-JP"/>
        </w:rPr>
        <w:t>Carrier-ID</w:t>
      </w:r>
      <w:r w:rsidRPr="00384EC1">
        <w:rPr>
          <w:lang w:val="es-ES_tradnl" w:eastAsia="ja-JP"/>
        </w:rPr>
        <w:tab/>
        <w:t>Sistema de identificación de portadora</w:t>
      </w:r>
    </w:p>
    <w:p w:rsidR="000E28E0" w:rsidRPr="00384EC1" w:rsidRDefault="000E28E0" w:rsidP="0083474D">
      <w:pPr>
        <w:rPr>
          <w:lang w:val="es-ES_tradnl" w:eastAsia="ja-JP"/>
        </w:rPr>
      </w:pPr>
      <w:r w:rsidRPr="00384EC1">
        <w:rPr>
          <w:lang w:val="es-ES_tradnl" w:eastAsia="ja-JP"/>
        </w:rPr>
        <w:t>CRC</w:t>
      </w:r>
      <w:r w:rsidRPr="00384EC1">
        <w:rPr>
          <w:lang w:val="es-ES_tradnl" w:eastAsia="ja-JP"/>
        </w:rPr>
        <w:tab/>
      </w:r>
      <w:r w:rsidRPr="00384EC1">
        <w:rPr>
          <w:lang w:val="es-ES_tradnl" w:eastAsia="ja-JP"/>
        </w:rPr>
        <w:tab/>
        <w:t>Verificación de la redundancia cíclica</w:t>
      </w:r>
    </w:p>
    <w:p w:rsidR="000E28E0" w:rsidRPr="00384EC1" w:rsidRDefault="000E28E0" w:rsidP="0083474D">
      <w:pPr>
        <w:rPr>
          <w:lang w:val="es-ES_tradnl" w:eastAsia="ja-JP"/>
        </w:rPr>
      </w:pPr>
      <w:r w:rsidRPr="00384EC1">
        <w:rPr>
          <w:lang w:val="es-ES_tradnl" w:eastAsia="ja-JP"/>
        </w:rPr>
        <w:t>FEC</w:t>
      </w:r>
      <w:r w:rsidRPr="00384EC1">
        <w:rPr>
          <w:lang w:val="es-ES_tradnl" w:eastAsia="ja-JP"/>
        </w:rPr>
        <w:tab/>
      </w:r>
      <w:r w:rsidRPr="00384EC1">
        <w:rPr>
          <w:lang w:val="es-ES_tradnl" w:eastAsia="ja-JP"/>
        </w:rPr>
        <w:tab/>
        <w:t>Corrección de errores en recepción</w:t>
      </w:r>
    </w:p>
    <w:p w:rsidR="000E28E0" w:rsidRPr="00384EC1" w:rsidRDefault="000E28E0" w:rsidP="0083474D">
      <w:pPr>
        <w:rPr>
          <w:lang w:val="es-ES_tradnl" w:eastAsia="ja-JP"/>
        </w:rPr>
      </w:pPr>
      <w:r w:rsidRPr="00384EC1">
        <w:rPr>
          <w:lang w:val="es-ES_tradnl" w:eastAsia="ja-JP"/>
        </w:rPr>
        <w:t>IRD</w:t>
      </w:r>
      <w:r w:rsidRPr="00384EC1">
        <w:rPr>
          <w:lang w:val="es-ES_tradnl" w:eastAsia="ja-JP"/>
        </w:rPr>
        <w:tab/>
      </w:r>
      <w:r w:rsidRPr="00384EC1">
        <w:rPr>
          <w:lang w:val="es-ES_tradnl" w:eastAsia="ja-JP"/>
        </w:rPr>
        <w:tab/>
        <w:t>Receptor/decodificador integrado</w:t>
      </w:r>
    </w:p>
    <w:p w:rsidR="000E28E0" w:rsidRPr="00384EC1" w:rsidRDefault="000E28E0" w:rsidP="0083474D">
      <w:pPr>
        <w:rPr>
          <w:lang w:val="es-ES_tradnl" w:eastAsia="ja-JP"/>
        </w:rPr>
      </w:pPr>
      <w:r w:rsidRPr="00384EC1">
        <w:rPr>
          <w:lang w:val="es-ES_tradnl" w:eastAsia="ja-JP"/>
        </w:rPr>
        <w:t>MPEG</w:t>
      </w:r>
      <w:r w:rsidRPr="00384EC1">
        <w:rPr>
          <w:lang w:val="es-ES_tradnl" w:eastAsia="ja-JP"/>
        </w:rPr>
        <w:tab/>
      </w:r>
      <w:r w:rsidRPr="00384EC1">
        <w:rPr>
          <w:lang w:val="es-ES_tradnl" w:eastAsia="ja-JP"/>
        </w:rPr>
        <w:tab/>
        <w:t xml:space="preserve">Grupo de </w:t>
      </w:r>
      <w:r w:rsidR="007B7581" w:rsidRPr="00384EC1">
        <w:rPr>
          <w:lang w:val="es-ES_tradnl" w:eastAsia="ja-JP"/>
        </w:rPr>
        <w:t xml:space="preserve">expertos </w:t>
      </w:r>
      <w:r w:rsidRPr="00384EC1">
        <w:rPr>
          <w:lang w:val="es-ES_tradnl" w:eastAsia="ja-JP"/>
        </w:rPr>
        <w:t>en imágenes en movimiento</w:t>
      </w:r>
    </w:p>
    <w:p w:rsidR="000E28E0" w:rsidRPr="00384EC1" w:rsidRDefault="000E28E0" w:rsidP="0083474D">
      <w:pPr>
        <w:rPr>
          <w:lang w:val="es-ES_tradnl" w:eastAsia="ja-JP"/>
        </w:rPr>
      </w:pPr>
      <w:r w:rsidRPr="00384EC1">
        <w:rPr>
          <w:lang w:val="es-ES_tradnl" w:eastAsia="ja-JP"/>
        </w:rPr>
        <w:t>NIT</w:t>
      </w:r>
      <w:r w:rsidRPr="00384EC1">
        <w:rPr>
          <w:lang w:val="es-ES_tradnl" w:eastAsia="ja-JP"/>
        </w:rPr>
        <w:tab/>
      </w:r>
      <w:r w:rsidRPr="00384EC1">
        <w:rPr>
          <w:lang w:val="es-ES_tradnl" w:eastAsia="ja-JP"/>
        </w:rPr>
        <w:tab/>
        <w:t>Tabla de información de red</w:t>
      </w:r>
    </w:p>
    <w:p w:rsidR="000E28E0" w:rsidRPr="00384EC1" w:rsidRDefault="000E28E0" w:rsidP="0083474D">
      <w:pPr>
        <w:rPr>
          <w:lang w:val="es-ES_tradnl" w:eastAsia="ja-JP"/>
        </w:rPr>
      </w:pPr>
      <w:r w:rsidRPr="00384EC1">
        <w:rPr>
          <w:lang w:val="es-ES_tradnl" w:eastAsia="ja-JP"/>
        </w:rPr>
        <w:t>OU</w:t>
      </w:r>
      <w:r w:rsidRPr="00384EC1">
        <w:rPr>
          <w:lang w:val="es-ES_tradnl" w:eastAsia="ja-JP"/>
        </w:rPr>
        <w:tab/>
      </w:r>
      <w:r w:rsidRPr="00384EC1">
        <w:rPr>
          <w:lang w:val="es-ES_tradnl" w:eastAsia="ja-JP"/>
        </w:rPr>
        <w:tab/>
        <w:t>Utilización ocasional</w:t>
      </w:r>
    </w:p>
    <w:p w:rsidR="000E28E0" w:rsidRPr="00384EC1" w:rsidRDefault="000E28E0" w:rsidP="0083474D">
      <w:pPr>
        <w:rPr>
          <w:lang w:val="es-ES_tradnl" w:eastAsia="ja-JP"/>
        </w:rPr>
      </w:pPr>
      <w:r w:rsidRPr="00384EC1">
        <w:rPr>
          <w:lang w:val="es-ES_tradnl" w:eastAsia="ja-JP"/>
        </w:rPr>
        <w:t>PID</w:t>
      </w:r>
      <w:r w:rsidRPr="00384EC1">
        <w:rPr>
          <w:lang w:val="es-ES_tradnl" w:eastAsia="ja-JP"/>
        </w:rPr>
        <w:tab/>
      </w:r>
      <w:r w:rsidRPr="00384EC1">
        <w:rPr>
          <w:lang w:val="es-ES_tradnl" w:eastAsia="ja-JP"/>
        </w:rPr>
        <w:tab/>
        <w:t>Identificador de paquetes</w:t>
      </w:r>
    </w:p>
    <w:p w:rsidR="000E28E0" w:rsidRPr="00384EC1" w:rsidRDefault="000E28E0" w:rsidP="0083474D">
      <w:pPr>
        <w:rPr>
          <w:lang w:val="es-ES_tradnl" w:eastAsia="ja-JP"/>
        </w:rPr>
      </w:pPr>
      <w:r w:rsidRPr="00384EC1">
        <w:rPr>
          <w:lang w:val="es-ES_tradnl" w:eastAsia="ja-JP"/>
        </w:rPr>
        <w:t>PSD</w:t>
      </w:r>
      <w:r w:rsidRPr="00384EC1">
        <w:rPr>
          <w:lang w:val="es-ES_tradnl" w:eastAsia="ja-JP"/>
        </w:rPr>
        <w:tab/>
      </w:r>
      <w:r w:rsidRPr="00384EC1">
        <w:rPr>
          <w:lang w:val="es-ES_tradnl" w:eastAsia="ja-JP"/>
        </w:rPr>
        <w:tab/>
        <w:t>Densidad espectral de potencia</w:t>
      </w:r>
    </w:p>
    <w:p w:rsidR="000E28E0" w:rsidRPr="00384EC1" w:rsidRDefault="000E28E0" w:rsidP="0083474D">
      <w:pPr>
        <w:rPr>
          <w:lang w:val="es-ES_tradnl" w:eastAsia="ja-JP"/>
        </w:rPr>
      </w:pPr>
      <w:r w:rsidRPr="00384EC1">
        <w:rPr>
          <w:lang w:val="es-ES_tradnl" w:eastAsia="ja-JP"/>
        </w:rPr>
        <w:t>STB</w:t>
      </w:r>
      <w:r w:rsidRPr="00384EC1">
        <w:rPr>
          <w:lang w:val="es-ES_tradnl" w:eastAsia="ja-JP"/>
        </w:rPr>
        <w:tab/>
      </w:r>
      <w:r w:rsidRPr="00384EC1">
        <w:rPr>
          <w:lang w:val="es-ES_tradnl" w:eastAsia="ja-JP"/>
        </w:rPr>
        <w:tab/>
        <w:t>Decodificador multimedios</w:t>
      </w:r>
    </w:p>
    <w:p w:rsidR="000E28E0" w:rsidRPr="00384EC1" w:rsidRDefault="000E28E0" w:rsidP="0083474D">
      <w:pPr>
        <w:rPr>
          <w:lang w:val="es-ES_tradnl" w:eastAsia="ja-JP"/>
        </w:rPr>
      </w:pPr>
      <w:r w:rsidRPr="00384EC1">
        <w:rPr>
          <w:lang w:val="es-ES_tradnl" w:eastAsia="ja-JP"/>
        </w:rPr>
        <w:t>TDMA</w:t>
      </w:r>
      <w:r w:rsidRPr="00384EC1">
        <w:rPr>
          <w:lang w:val="es-ES_tradnl" w:eastAsia="ja-JP"/>
        </w:rPr>
        <w:tab/>
      </w:r>
      <w:r w:rsidRPr="00384EC1">
        <w:rPr>
          <w:lang w:val="es-ES_tradnl" w:eastAsia="ja-JP"/>
        </w:rPr>
        <w:tab/>
        <w:t>Acceso múltiple por división en el tiempo</w:t>
      </w:r>
    </w:p>
    <w:p w:rsidR="000E28E0" w:rsidRPr="00384EC1" w:rsidRDefault="000E28E0" w:rsidP="0083474D">
      <w:pPr>
        <w:rPr>
          <w:lang w:val="es-ES_tradnl" w:eastAsia="ja-JP"/>
        </w:rPr>
      </w:pPr>
      <w:r w:rsidRPr="00384EC1">
        <w:rPr>
          <w:lang w:val="es-ES_tradnl" w:eastAsia="ja-JP"/>
        </w:rPr>
        <w:t>TS</w:t>
      </w:r>
      <w:r w:rsidRPr="00384EC1">
        <w:rPr>
          <w:lang w:val="es-ES_tradnl" w:eastAsia="ja-JP"/>
        </w:rPr>
        <w:tab/>
      </w:r>
      <w:r w:rsidRPr="00384EC1">
        <w:rPr>
          <w:lang w:val="es-ES_tradnl" w:eastAsia="ja-JP"/>
        </w:rPr>
        <w:tab/>
        <w:t>Flujo de transporte</w:t>
      </w:r>
    </w:p>
    <w:p w:rsidR="000E28E0" w:rsidRPr="00384EC1" w:rsidRDefault="000E28E0" w:rsidP="00384EC1">
      <w:pPr>
        <w:pStyle w:val="Headingb"/>
        <w:rPr>
          <w:lang w:val="es-ES_tradnl"/>
        </w:rPr>
      </w:pPr>
      <w:r w:rsidRPr="00384EC1">
        <w:rPr>
          <w:lang w:val="es-ES_tradnl"/>
        </w:rPr>
        <w:t>Recomendación de la UIT conexa</w:t>
      </w:r>
    </w:p>
    <w:p w:rsidR="000E28E0" w:rsidRPr="00384EC1" w:rsidRDefault="000E28E0" w:rsidP="00384EC1">
      <w:pPr>
        <w:ind w:left="3204" w:hanging="3204"/>
        <w:rPr>
          <w:lang w:val="es-ES_tradnl" w:eastAsia="ja-JP"/>
        </w:rPr>
      </w:pPr>
      <w:r w:rsidRPr="00384EC1">
        <w:rPr>
          <w:lang w:val="es-ES_tradnl" w:eastAsia="ja-JP"/>
        </w:rPr>
        <w:t>Recomendación UIT-R S.2049</w:t>
      </w:r>
      <w:r w:rsidRPr="00384EC1">
        <w:rPr>
          <w:lang w:val="es-ES_tradnl" w:eastAsia="ja-JP"/>
        </w:rPr>
        <w:tab/>
        <w:t>Procedimientos de acceso de estaciones terrenas que utilizan ocasionalmente el servicio fijo por satélite para transmisiones a estaciones espaciales de la órbita de satélites geoestacionarios en las bandas 4/6 GHz y 11-12/13/14 GHz del SFS</w:t>
      </w:r>
    </w:p>
    <w:p w:rsidR="000E28E0" w:rsidRPr="00384EC1" w:rsidRDefault="000E28E0" w:rsidP="000E28E0">
      <w:pPr>
        <w:pStyle w:val="Normalaftertitle"/>
        <w:rPr>
          <w:lang w:val="es-ES_tradnl"/>
        </w:rPr>
      </w:pPr>
      <w:r w:rsidRPr="00384EC1">
        <w:rPr>
          <w:lang w:val="es-ES_tradnl"/>
        </w:rPr>
        <w:lastRenderedPageBreak/>
        <w:t>La Asamblea de Radiocomunicaciones de la UIT,</w:t>
      </w:r>
    </w:p>
    <w:p w:rsidR="000E28E0" w:rsidRPr="00384EC1" w:rsidRDefault="000E28E0" w:rsidP="000E28E0">
      <w:pPr>
        <w:pStyle w:val="Call"/>
        <w:rPr>
          <w:lang w:val="es-ES_tradnl"/>
        </w:rPr>
      </w:pPr>
      <w:r w:rsidRPr="00384EC1">
        <w:rPr>
          <w:lang w:val="es-ES_tradnl"/>
        </w:rPr>
        <w:t>considerando</w:t>
      </w:r>
    </w:p>
    <w:p w:rsidR="000E28E0" w:rsidRPr="00384EC1" w:rsidRDefault="000E28E0" w:rsidP="008705E8">
      <w:pPr>
        <w:rPr>
          <w:lang w:val="es-ES_tradnl" w:eastAsia="zh-CN"/>
        </w:rPr>
      </w:pPr>
      <w:r w:rsidRPr="00384EC1">
        <w:rPr>
          <w:i/>
          <w:iCs/>
          <w:lang w:val="es-ES_tradnl"/>
        </w:rPr>
        <w:t>a)</w:t>
      </w:r>
      <w:r w:rsidRPr="00384EC1">
        <w:rPr>
          <w:lang w:val="es-ES_tradnl"/>
        </w:rPr>
        <w:tab/>
        <w:t>que las transmisiones de utilización ocasional (UO) en las bandas de 4/6</w:t>
      </w:r>
      <w:r w:rsidR="008705E8" w:rsidRPr="00384EC1">
        <w:rPr>
          <w:lang w:val="es-ES_tradnl"/>
        </w:rPr>
        <w:t> </w:t>
      </w:r>
      <w:r w:rsidRPr="00384EC1">
        <w:rPr>
          <w:lang w:val="es-ES_tradnl"/>
        </w:rPr>
        <w:t>GHz y 11</w:t>
      </w:r>
      <w:r w:rsidRPr="00384EC1">
        <w:rPr>
          <w:lang w:val="es-ES_tradnl"/>
        </w:rPr>
        <w:noBreakHyphen/>
        <w:t>12/13/14 GHz del SFS suelen requerir cambios frecuentes en la puntería de antena de la estación terrena, la frecuencia, el nivel de potencia, el sentido de polarización, el ancho de banda de la portadora y la técnica de modulación</w:t>
      </w:r>
      <w:r w:rsidRPr="00384EC1">
        <w:rPr>
          <w:szCs w:val="24"/>
          <w:lang w:val="es-ES_tradnl"/>
        </w:rPr>
        <w:t>;</w:t>
      </w:r>
    </w:p>
    <w:p w:rsidR="000E28E0" w:rsidRPr="00384EC1" w:rsidRDefault="000E28E0" w:rsidP="000E28E0">
      <w:pPr>
        <w:rPr>
          <w:lang w:val="es-ES_tradnl" w:eastAsia="zh-CN"/>
        </w:rPr>
      </w:pPr>
      <w:r w:rsidRPr="00384EC1">
        <w:rPr>
          <w:i/>
          <w:iCs/>
          <w:lang w:val="es-ES_tradnl"/>
        </w:rPr>
        <w:t>b)</w:t>
      </w:r>
      <w:r w:rsidRPr="00384EC1">
        <w:rPr>
          <w:lang w:val="es-ES_tradnl"/>
        </w:rPr>
        <w:tab/>
        <w:t>que la mayor utilización de estaciones terrenas transmisoras UO y sus cambios frecuentes de los parámetros de enlace ha aumentado la interferencia que se causa involuntariamente a otros usuarios de satélites</w:t>
      </w:r>
      <w:r w:rsidRPr="00384EC1">
        <w:rPr>
          <w:lang w:val="es-ES_tradnl" w:eastAsia="zh-CN"/>
        </w:rPr>
        <w:t>;</w:t>
      </w:r>
    </w:p>
    <w:p w:rsidR="000E28E0" w:rsidRPr="00384EC1" w:rsidRDefault="000E28E0" w:rsidP="000E28E0">
      <w:pPr>
        <w:rPr>
          <w:lang w:val="es-ES_tradnl"/>
        </w:rPr>
      </w:pPr>
      <w:r w:rsidRPr="00384EC1">
        <w:rPr>
          <w:i/>
          <w:iCs/>
          <w:lang w:val="es-ES_tradnl"/>
        </w:rPr>
        <w:t>c)</w:t>
      </w:r>
      <w:r w:rsidRPr="00384EC1">
        <w:rPr>
          <w:lang w:val="es-ES_tradnl"/>
        </w:rPr>
        <w:tab/>
        <w:t>que la causa más frecuente de esta interferencia es un error del operador;</w:t>
      </w:r>
    </w:p>
    <w:p w:rsidR="000E28E0" w:rsidRPr="00384EC1" w:rsidRDefault="000E28E0" w:rsidP="000E28E0">
      <w:pPr>
        <w:rPr>
          <w:lang w:val="es-ES_tradnl"/>
        </w:rPr>
      </w:pPr>
      <w:r w:rsidRPr="00384EC1">
        <w:rPr>
          <w:i/>
          <w:iCs/>
          <w:lang w:val="es-ES_tradnl"/>
        </w:rPr>
        <w:t>d)</w:t>
      </w:r>
      <w:r w:rsidRPr="00384EC1">
        <w:rPr>
          <w:lang w:val="es-ES_tradnl"/>
        </w:rPr>
        <w:tab/>
        <w:t>que la interferencia puede inhibir la recepción de información sensible al paso del tiempo;</w:t>
      </w:r>
    </w:p>
    <w:p w:rsidR="000E28E0" w:rsidRPr="00384EC1" w:rsidRDefault="000E28E0" w:rsidP="000E28E0">
      <w:pPr>
        <w:rPr>
          <w:lang w:val="es-ES_tradnl"/>
        </w:rPr>
      </w:pPr>
      <w:r w:rsidRPr="00384EC1">
        <w:rPr>
          <w:i/>
          <w:iCs/>
          <w:lang w:val="es-ES_tradnl"/>
        </w:rPr>
        <w:t>e)</w:t>
      </w:r>
      <w:r w:rsidRPr="00384EC1">
        <w:rPr>
          <w:lang w:val="es-ES_tradnl"/>
        </w:rPr>
        <w:tab/>
        <w:t>que es difícil determinar con precisión el origen de dicha interferencia en un corto periodo de tiempo;</w:t>
      </w:r>
    </w:p>
    <w:p w:rsidR="000E28E0" w:rsidRPr="00384EC1" w:rsidRDefault="000E28E0" w:rsidP="000E28E0">
      <w:pPr>
        <w:rPr>
          <w:lang w:val="es-ES_tradnl"/>
        </w:rPr>
      </w:pPr>
      <w:r w:rsidRPr="00384EC1">
        <w:rPr>
          <w:i/>
          <w:iCs/>
          <w:lang w:val="es-ES_tradnl"/>
        </w:rPr>
        <w:t>f)</w:t>
      </w:r>
      <w:r w:rsidRPr="00384EC1">
        <w:rPr>
          <w:lang w:val="es-ES_tradnl"/>
        </w:rPr>
        <w:tab/>
        <w:t>que no existe una metodología técnica uniforme internacionalmente reconocida para identificar el origen de dicha interferencia;</w:t>
      </w:r>
    </w:p>
    <w:p w:rsidR="000E28E0" w:rsidRPr="00384EC1" w:rsidRDefault="000E28E0" w:rsidP="000E28E0">
      <w:pPr>
        <w:rPr>
          <w:lang w:val="es-ES_tradnl"/>
        </w:rPr>
      </w:pPr>
      <w:r w:rsidRPr="00384EC1">
        <w:rPr>
          <w:i/>
          <w:iCs/>
          <w:lang w:val="es-ES_tradnl"/>
        </w:rPr>
        <w:t>g)</w:t>
      </w:r>
      <w:r w:rsidRPr="00384EC1">
        <w:rPr>
          <w:lang w:val="es-ES_tradnl"/>
        </w:rPr>
        <w:tab/>
        <w:t>que existen tecnologías que permiten identificar con precisión el origen de las interferencias en un corto periodo de tiempo;</w:t>
      </w:r>
    </w:p>
    <w:p w:rsidR="000E28E0" w:rsidRPr="00384EC1" w:rsidRDefault="000E28E0" w:rsidP="000E28E0">
      <w:pPr>
        <w:rPr>
          <w:lang w:val="es-ES_tradnl"/>
        </w:rPr>
      </w:pPr>
      <w:r w:rsidRPr="00384EC1">
        <w:rPr>
          <w:i/>
          <w:iCs/>
          <w:lang w:val="es-ES_tradnl"/>
        </w:rPr>
        <w:t>h)</w:t>
      </w:r>
      <w:r w:rsidRPr="00384EC1">
        <w:rPr>
          <w:lang w:val="es-ES_tradnl"/>
        </w:rPr>
        <w:tab/>
        <w:t>que para eliminar una interferencia inaceptable es fundamental poder identificar rápidamente su origen,</w:t>
      </w:r>
    </w:p>
    <w:p w:rsidR="000E28E0" w:rsidRPr="00384EC1" w:rsidRDefault="000E28E0" w:rsidP="000E28E0">
      <w:pPr>
        <w:pStyle w:val="Call"/>
        <w:rPr>
          <w:lang w:val="es-ES_tradnl"/>
        </w:rPr>
      </w:pPr>
      <w:r w:rsidRPr="00384EC1">
        <w:rPr>
          <w:lang w:val="es-ES_tradnl"/>
        </w:rPr>
        <w:t>recomienda</w:t>
      </w:r>
    </w:p>
    <w:p w:rsidR="000E28E0" w:rsidRPr="00384EC1" w:rsidRDefault="000E28E0" w:rsidP="008705E8">
      <w:pPr>
        <w:rPr>
          <w:lang w:val="es-ES_tradnl" w:eastAsia="zh-CN"/>
        </w:rPr>
      </w:pPr>
      <w:r w:rsidRPr="00384EC1">
        <w:rPr>
          <w:b/>
          <w:bCs/>
          <w:lang w:val="es-ES_tradnl" w:eastAsia="zh-CN"/>
        </w:rPr>
        <w:t>1</w:t>
      </w:r>
      <w:r w:rsidRPr="00384EC1">
        <w:rPr>
          <w:lang w:val="es-ES_tradnl" w:eastAsia="zh-CN"/>
        </w:rPr>
        <w:tab/>
        <w:t>que las transmisiones de estaciones terrenas del SFS</w:t>
      </w:r>
      <w:r w:rsidR="008705E8" w:rsidRPr="00384EC1">
        <w:rPr>
          <w:lang w:val="es-ES_tradnl" w:eastAsia="zh-CN"/>
        </w:rPr>
        <w:t> </w:t>
      </w:r>
      <w:r w:rsidRPr="00384EC1">
        <w:rPr>
          <w:lang w:val="es-ES_tradnl" w:eastAsia="zh-CN"/>
        </w:rPr>
        <w:t xml:space="preserve">UO en las bandas enumeradas en el </w:t>
      </w:r>
      <w:r w:rsidRPr="00384EC1">
        <w:rPr>
          <w:i/>
          <w:lang w:val="es-ES_tradnl" w:eastAsia="zh-CN"/>
        </w:rPr>
        <w:t>considerando</w:t>
      </w:r>
      <w:r w:rsidR="00CE30C6" w:rsidRPr="00384EC1">
        <w:rPr>
          <w:lang w:val="es-ES_tradnl"/>
        </w:rPr>
        <w:t> </w:t>
      </w:r>
      <w:r w:rsidRPr="00384EC1">
        <w:rPr>
          <w:i/>
          <w:iCs/>
          <w:lang w:val="es-ES_tradnl"/>
        </w:rPr>
        <w:t>a)</w:t>
      </w:r>
      <w:r w:rsidRPr="00384EC1">
        <w:rPr>
          <w:i/>
          <w:lang w:val="es-ES_tradnl" w:eastAsia="zh-CN"/>
        </w:rPr>
        <w:t xml:space="preserve"> </w:t>
      </w:r>
      <w:r w:rsidRPr="00384EC1">
        <w:rPr>
          <w:lang w:val="es-ES_tradnl" w:eastAsia="zh-CN"/>
        </w:rPr>
        <w:t>utilicen un sistema de identificación de portadora</w:t>
      </w:r>
      <w:r w:rsidRPr="00384EC1">
        <w:rPr>
          <w:i/>
          <w:lang w:val="es-ES_tradnl" w:eastAsia="zh-CN"/>
        </w:rPr>
        <w:t xml:space="preserve"> </w:t>
      </w:r>
      <w:r w:rsidRPr="00384EC1">
        <w:rPr>
          <w:lang w:val="es-ES_tradnl" w:eastAsia="zh-CN"/>
        </w:rPr>
        <w:t>(ID-Portadora) para permitir detectar oportunamente las fuentes de interferencia y eliminar la interferencia inaceptable;</w:t>
      </w:r>
    </w:p>
    <w:p w:rsidR="000E28E0" w:rsidRDefault="000E28E0" w:rsidP="000E28E0">
      <w:pPr>
        <w:rPr>
          <w:lang w:val="es-ES_tradnl" w:eastAsia="zh-CN"/>
        </w:rPr>
      </w:pPr>
      <w:r w:rsidRPr="00384EC1">
        <w:rPr>
          <w:b/>
          <w:bCs/>
          <w:lang w:val="es-ES_tradnl" w:eastAsia="zh-CN"/>
        </w:rPr>
        <w:t>2</w:t>
      </w:r>
      <w:r w:rsidRPr="00384EC1">
        <w:rPr>
          <w:lang w:val="es-ES_tradnl" w:eastAsia="zh-CN"/>
        </w:rPr>
        <w:tab/>
        <w:t xml:space="preserve">que para la aplicación del </w:t>
      </w:r>
      <w:r w:rsidRPr="00384EC1">
        <w:rPr>
          <w:i/>
          <w:iCs/>
          <w:lang w:val="es-ES_tradnl" w:eastAsia="zh-CN"/>
        </w:rPr>
        <w:t xml:space="preserve">recomienda </w:t>
      </w:r>
      <w:r w:rsidRPr="00384EC1">
        <w:rPr>
          <w:lang w:val="es-ES_tradnl" w:eastAsia="zh-CN"/>
        </w:rPr>
        <w:t>1</w:t>
      </w:r>
      <w:r w:rsidRPr="00384EC1">
        <w:rPr>
          <w:b/>
          <w:bCs/>
          <w:lang w:val="es-ES_tradnl" w:eastAsia="zh-CN"/>
        </w:rPr>
        <w:t xml:space="preserve"> </w:t>
      </w:r>
      <w:r w:rsidRPr="00384EC1">
        <w:rPr>
          <w:lang w:val="es-ES_tradnl" w:eastAsia="zh-CN"/>
        </w:rPr>
        <w:t>se considere la posibilidad de recurrir al método de identificación de portadora descrito en el Anexo 1.</w:t>
      </w:r>
    </w:p>
    <w:p w:rsidR="000E28E0" w:rsidRPr="00384EC1" w:rsidRDefault="000E28E0" w:rsidP="00E65805">
      <w:pPr>
        <w:pStyle w:val="AnnexNoTitle"/>
        <w:rPr>
          <w:lang w:val="es-ES_tradnl"/>
        </w:rPr>
      </w:pPr>
      <w:r w:rsidRPr="00384EC1">
        <w:rPr>
          <w:rFonts w:eastAsia="SimSun"/>
          <w:lang w:val="es-ES_tradnl"/>
        </w:rPr>
        <w:t>Anexo 1</w:t>
      </w:r>
      <w:r w:rsidRPr="00384EC1">
        <w:rPr>
          <w:rFonts w:eastAsia="SimSun"/>
          <w:lang w:val="es-ES_tradnl"/>
        </w:rPr>
        <w:br/>
      </w:r>
      <w:r w:rsidRPr="00384EC1">
        <w:rPr>
          <w:rFonts w:eastAsia="SimSun"/>
          <w:lang w:val="es-ES_tradnl"/>
        </w:rPr>
        <w:br/>
      </w:r>
      <w:r w:rsidRPr="00384EC1">
        <w:rPr>
          <w:rFonts w:eastAsia="Batang"/>
          <w:lang w:val="es-ES_tradnl"/>
        </w:rPr>
        <w:t>Métodos para identificar la interferencia causada por transmisiones</w:t>
      </w:r>
      <w:r w:rsidR="00E65805">
        <w:rPr>
          <w:rFonts w:eastAsia="Batang"/>
          <w:lang w:val="es-ES_tradnl"/>
        </w:rPr>
        <w:br/>
      </w:r>
      <w:r w:rsidRPr="00384EC1">
        <w:rPr>
          <w:rFonts w:eastAsia="Batang"/>
          <w:lang w:val="es-ES_tradnl"/>
        </w:rPr>
        <w:t xml:space="preserve">de estaciones terrenas del servicio fijo de utilización ocasional </w:t>
      </w:r>
      <w:r w:rsidRPr="00384EC1">
        <w:rPr>
          <w:rFonts w:eastAsia="Batang"/>
          <w:lang w:val="es-ES_tradnl"/>
        </w:rPr>
        <w:br/>
        <w:t>que utilizan redes de satélites geoestacionarios en</w:t>
      </w:r>
      <w:r w:rsidR="00E65805">
        <w:rPr>
          <w:rFonts w:eastAsia="Batang"/>
          <w:lang w:val="es-ES_tradnl"/>
        </w:rPr>
        <w:br/>
      </w:r>
      <w:r w:rsidRPr="00384EC1">
        <w:rPr>
          <w:rFonts w:eastAsia="Batang"/>
          <w:lang w:val="es-ES_tradnl"/>
        </w:rPr>
        <w:t>las bandas 4/6 GHz y 11-12/13/14 GHz del SFS</w:t>
      </w:r>
    </w:p>
    <w:p w:rsidR="000E28E0" w:rsidRPr="00384EC1" w:rsidRDefault="000E28E0" w:rsidP="000E28E0">
      <w:pPr>
        <w:pStyle w:val="Heading1"/>
        <w:rPr>
          <w:lang w:val="es-ES_tradnl"/>
        </w:rPr>
      </w:pPr>
      <w:r w:rsidRPr="00384EC1">
        <w:rPr>
          <w:lang w:val="es-ES_tradnl"/>
        </w:rPr>
        <w:t>1</w:t>
      </w:r>
      <w:r w:rsidRPr="00384EC1">
        <w:rPr>
          <w:lang w:val="es-ES_tradnl"/>
        </w:rPr>
        <w:tab/>
        <w:t>Introducción</w:t>
      </w:r>
    </w:p>
    <w:p w:rsidR="000E28E0" w:rsidRPr="00384EC1" w:rsidRDefault="000E28E0" w:rsidP="000E28E0">
      <w:pPr>
        <w:rPr>
          <w:lang w:val="es-ES_tradnl" w:eastAsia="ja-JP"/>
        </w:rPr>
      </w:pPr>
      <w:r w:rsidRPr="00384EC1">
        <w:rPr>
          <w:lang w:val="es-ES_tradnl" w:eastAsia="ja-JP"/>
        </w:rPr>
        <w:t>Por lo general, cuando se observa interferencia en una estación terrena del proveedor de servicios, éste trata de investigar las causas de interferencia utilizando un analizador de espectro o instrumento de medición similar en cada punto de comprobación técnica durante un cierto periodo. Una vez que ha detectado la portadora sospechosa, el proveedor de servicios consulta a su operador de satélites para ayudarle a resolver el problema. Si el operador de satélites no puede determinar la posible fuente de interferencia, la interferencia a largo plazo resultante puede afectar negativamente a los servicios existentes. Por consiguiente, todo sistema de identificación de portadora (ID-portadora) presentará ventajas en el sentido de evitar que los servicios existentes reciban interferencia a largo plazo.</w:t>
      </w:r>
    </w:p>
    <w:p w:rsidR="000E28E0" w:rsidRPr="00384EC1" w:rsidRDefault="000E28E0" w:rsidP="00540FB0">
      <w:pPr>
        <w:rPr>
          <w:lang w:val="es-ES_tradnl" w:eastAsia="ja-JP"/>
        </w:rPr>
      </w:pPr>
      <w:r w:rsidRPr="00384EC1">
        <w:rPr>
          <w:lang w:val="es-ES_tradnl" w:eastAsia="ja-JP"/>
        </w:rPr>
        <w:lastRenderedPageBreak/>
        <w:t>Cabe observar que la utilización ocasional (UO) se refiere a las instalaciones en tierra vía satélite y al ancho de banda del transpondedor de satélite, adquirido o utilizado temporalmente o en función de las necesidades. Por lo general, estos recursos se ofrecen en segmentos de 5</w:t>
      </w:r>
      <w:r w:rsidR="00540FB0" w:rsidRPr="00384EC1">
        <w:rPr>
          <w:lang w:val="es-ES_tradnl" w:eastAsia="ja-JP"/>
        </w:rPr>
        <w:t> </w:t>
      </w:r>
      <w:r w:rsidRPr="00384EC1">
        <w:rPr>
          <w:lang w:val="es-ES_tradnl" w:eastAsia="ja-JP"/>
        </w:rPr>
        <w:t>minutos, que pueden prolongarse hasta varias horas, días, semanas e incluso meses, y se utilizan para transmisiones de corta duración o a tiempo parcial. Las transmisiones en una red del SFS OSG donde las estaciones terrenas están sujetas al control automático de una estación central, como las transmisiones de una red VSAT con gestión centralizada, no se consideran transmisiones UO a los efectos de la presente Recomendación.</w:t>
      </w:r>
    </w:p>
    <w:p w:rsidR="000E28E0" w:rsidRPr="00384EC1" w:rsidRDefault="000E28E0" w:rsidP="000E28E0">
      <w:pPr>
        <w:pStyle w:val="Heading1"/>
        <w:rPr>
          <w:lang w:val="es-ES_tradnl"/>
        </w:rPr>
      </w:pPr>
      <w:r w:rsidRPr="00384EC1">
        <w:rPr>
          <w:lang w:val="es-ES_tradnl"/>
        </w:rPr>
        <w:t>2</w:t>
      </w:r>
      <w:r w:rsidRPr="00384EC1">
        <w:rPr>
          <w:lang w:val="es-ES_tradnl"/>
        </w:rPr>
        <w:tab/>
        <w:t>Descripción general del identificador de portadora (ID-portadora)</w:t>
      </w:r>
    </w:p>
    <w:p w:rsidR="000E28E0" w:rsidRPr="00384EC1" w:rsidRDefault="000E28E0" w:rsidP="000E28E0">
      <w:pPr>
        <w:rPr>
          <w:lang w:val="es-ES_tradnl" w:eastAsia="ja-JP"/>
        </w:rPr>
      </w:pPr>
      <w:r w:rsidRPr="00384EC1">
        <w:rPr>
          <w:lang w:val="es-ES_tradnl" w:eastAsia="ja-JP"/>
        </w:rPr>
        <w:t>Hay dos métodos de transmitir el ID-portadora en la portadora original con un impacto mínimo en los datos deseados. A continuación se describen los métodos posibles.</w:t>
      </w:r>
    </w:p>
    <w:p w:rsidR="000E28E0" w:rsidRPr="00384EC1" w:rsidRDefault="000E28E0" w:rsidP="000E28E0">
      <w:pPr>
        <w:pStyle w:val="Heading2"/>
        <w:rPr>
          <w:lang w:val="es-ES_tradnl"/>
        </w:rPr>
      </w:pPr>
      <w:r w:rsidRPr="00384EC1">
        <w:rPr>
          <w:lang w:val="es-ES_tradnl"/>
        </w:rPr>
        <w:t>2.1</w:t>
      </w:r>
      <w:r w:rsidRPr="00384EC1">
        <w:rPr>
          <w:lang w:val="es-ES_tradnl"/>
        </w:rPr>
        <w:tab/>
        <w:t>Método A: ID-portadora en la tabla de información de red (NIT)</w:t>
      </w:r>
    </w:p>
    <w:p w:rsidR="000E28E0" w:rsidRPr="00384EC1" w:rsidRDefault="000E28E0" w:rsidP="000E28E0">
      <w:pPr>
        <w:pStyle w:val="enumlev1"/>
        <w:rPr>
          <w:lang w:val="es-ES_tradnl" w:eastAsia="ja-JP"/>
        </w:rPr>
      </w:pPr>
      <w:r w:rsidRPr="00384EC1">
        <w:rPr>
          <w:lang w:val="es-ES_tradnl" w:eastAsia="ja-JP"/>
        </w:rPr>
        <w:t>–</w:t>
      </w:r>
      <w:r w:rsidRPr="00384EC1">
        <w:rPr>
          <w:lang w:val="es-ES_tradnl" w:eastAsia="ja-JP"/>
        </w:rPr>
        <w:tab/>
      </w:r>
      <w:r w:rsidRPr="00384EC1">
        <w:rPr>
          <w:lang w:val="es-ES_tradnl"/>
        </w:rPr>
        <w:t>Insertar</w:t>
      </w:r>
      <w:r w:rsidRPr="00384EC1">
        <w:rPr>
          <w:lang w:val="es-ES_tradnl" w:eastAsia="ja-JP"/>
        </w:rPr>
        <w:t xml:space="preserve"> el ID-portadora en una trama de la tabla de información de red (NIT) en los paquetes del tren de transporte (TS) original del flujo MPEG.</w:t>
      </w:r>
    </w:p>
    <w:p w:rsidR="000E28E0" w:rsidRPr="00384EC1" w:rsidRDefault="000E28E0" w:rsidP="00082DA5">
      <w:pPr>
        <w:rPr>
          <w:lang w:val="es-ES_tradnl" w:eastAsia="ja-JP"/>
        </w:rPr>
      </w:pPr>
      <w:r w:rsidRPr="00384EC1">
        <w:rPr>
          <w:lang w:val="es-ES_tradnl" w:eastAsia="ja-JP"/>
        </w:rPr>
        <w:t>Los paquetes TS de los flujos MPEG constan de un encabezamiento de 4 bytes y una carga útil de 184</w:t>
      </w:r>
      <w:r w:rsidR="00082DA5" w:rsidRPr="00384EC1">
        <w:rPr>
          <w:lang w:val="es-ES_tradnl" w:eastAsia="ja-JP"/>
        </w:rPr>
        <w:t> </w:t>
      </w:r>
      <w:r w:rsidRPr="00384EC1">
        <w:rPr>
          <w:lang w:val="es-ES_tradnl" w:eastAsia="ja-JP"/>
        </w:rPr>
        <w:t xml:space="preserve">bytes, y en el encabezamiento figura un identificador de paquetes (PID) que indica el contenido en la carga útil de los paquetes TS definida en la </w:t>
      </w:r>
      <w:r w:rsidR="003F7BD8" w:rsidRPr="00384EC1">
        <w:rPr>
          <w:lang w:val="es-ES_tradnl" w:eastAsia="ja-JP"/>
        </w:rPr>
        <w:t>Fig.</w:t>
      </w:r>
      <w:r w:rsidRPr="00384EC1">
        <w:rPr>
          <w:lang w:val="es-ES_tradnl" w:eastAsia="ja-JP"/>
        </w:rPr>
        <w:t> 1. Se ha de asignar al PID el valor 0x0010 para indicar que la carga útil del paquete TS es una NIT. En lo que respecta a la tabla NIT propiamente dicha, la especificación DVB permite retransmitir esta tabla entre 25 ms y 10 s.</w:t>
      </w:r>
    </w:p>
    <w:p w:rsidR="000E28E0" w:rsidRPr="00384EC1" w:rsidRDefault="000E28E0" w:rsidP="000E28E0">
      <w:pPr>
        <w:pStyle w:val="FigureNo"/>
        <w:rPr>
          <w:lang w:val="es-ES_tradnl"/>
        </w:rPr>
      </w:pPr>
      <w:r w:rsidRPr="00384EC1">
        <w:rPr>
          <w:lang w:val="es-ES_tradnl"/>
        </w:rPr>
        <w:t>FigurA 1</w:t>
      </w:r>
    </w:p>
    <w:p w:rsidR="000E28E0" w:rsidRPr="00384EC1" w:rsidRDefault="000E28E0" w:rsidP="000E28E0">
      <w:pPr>
        <w:pStyle w:val="Figuretitle"/>
        <w:rPr>
          <w:lang w:val="es-ES_tradnl"/>
        </w:rPr>
      </w:pPr>
      <w:r w:rsidRPr="00384EC1">
        <w:rPr>
          <w:lang w:val="es-ES_tradnl"/>
        </w:rPr>
        <w:t xml:space="preserve">Estructura de trama de los paquetes </w:t>
      </w:r>
      <w:r w:rsidR="00CE30C6" w:rsidRPr="00384EC1">
        <w:rPr>
          <w:lang w:val="es-ES_tradnl"/>
        </w:rPr>
        <w:t>TS</w:t>
      </w:r>
    </w:p>
    <w:p w:rsidR="000E28E0" w:rsidRPr="00384EC1" w:rsidRDefault="005F01F2" w:rsidP="000E28E0">
      <w:pPr>
        <w:pStyle w:val="Figure"/>
        <w:rPr>
          <w:rFonts w:asciiTheme="majorHAnsi" w:hAnsiTheme="majorHAnsi"/>
          <w:lang w:val="es-ES_tradnl"/>
        </w:rPr>
      </w:pPr>
      <w:r w:rsidRPr="00384EC1">
        <w:rPr>
          <w:rFonts w:asciiTheme="majorHAnsi" w:hAnsiTheme="majorHAnsi"/>
          <w:noProof/>
          <w:lang w:val="es-ES_tradnl" w:eastAsia="zh-CN"/>
        </w:rPr>
        <w:object w:dxaOrig="5321" w:dyaOrig="15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pt;height:126.5pt" o:ole="">
            <v:imagedata r:id="rId12" o:title=""/>
          </v:shape>
          <o:OLEObject Type="Embed" ProgID="CorelDraw.Graphic.16" ShapeID="_x0000_i1025" DrawAspect="Content" ObjectID="_1521621399" r:id="rId13"/>
        </w:object>
      </w:r>
    </w:p>
    <w:p w:rsidR="000E28E0" w:rsidRPr="00384EC1" w:rsidRDefault="000E28E0" w:rsidP="00082DA5">
      <w:pPr>
        <w:rPr>
          <w:lang w:val="es-ES_tradnl" w:eastAsia="ja-JP"/>
        </w:rPr>
      </w:pPr>
      <w:r w:rsidRPr="00384EC1">
        <w:rPr>
          <w:lang w:val="es-ES_tradnl" w:eastAsia="ja-JP"/>
        </w:rPr>
        <w:t>En la carga útil de paquetes TS, la NIT contiene el nombre del fabricante y el número de serie único, proporcionando así un identificador único que permite la trazabilidad. Asimismo, también puede incluirse en la carga útil de los paquetes TS datos facultativos como el número de teléfono, información sobre la ubicación que se indica en el Cuadro</w:t>
      </w:r>
      <w:r w:rsidR="00082DA5" w:rsidRPr="00384EC1">
        <w:rPr>
          <w:lang w:val="es-ES_tradnl" w:eastAsia="ja-JP"/>
        </w:rPr>
        <w:t> </w:t>
      </w:r>
      <w:r w:rsidRPr="00384EC1">
        <w:rPr>
          <w:lang w:val="es-ES_tradnl" w:eastAsia="ja-JP"/>
        </w:rPr>
        <w:t xml:space="preserve">1, dependiendo de lo solicitado por los operadores de satélite. Estas cadenas tienen longitud fija y se separan mediante una coma </w:t>
      </w:r>
      <w:r w:rsidRPr="00384EC1">
        <w:rPr>
          <w:lang w:val="es-ES_tradnl"/>
        </w:rPr>
        <w:t>(«,»)</w:t>
      </w:r>
      <w:r w:rsidRPr="00384EC1">
        <w:rPr>
          <w:lang w:val="es-ES_tradnl" w:eastAsia="ja-JP"/>
        </w:rPr>
        <w:t xml:space="preserve">. Si es necesario añadir caracteres de relleno en cada cadena, se utilizará el carácter de subrayado </w:t>
      </w:r>
      <w:r w:rsidRPr="00384EC1">
        <w:rPr>
          <w:lang w:val="es-ES_tradnl"/>
        </w:rPr>
        <w:t>(«_»)</w:t>
      </w:r>
      <w:r w:rsidRPr="00384EC1">
        <w:rPr>
          <w:lang w:val="es-ES_tradnl" w:eastAsia="ja-JP"/>
        </w:rPr>
        <w:t xml:space="preserve"> para completar la cadena. Con estas reglas, el número total de caracteres para el ID de portadora en la trama NIT será de 80. Si los paquetes TS que contienen el NIT reciben interferencia o si los paquetes TS se encriptan, el decodificador no podrá leer la NIT.</w:t>
      </w:r>
    </w:p>
    <w:p w:rsidR="000E28E0" w:rsidRPr="00384EC1" w:rsidRDefault="000E28E0" w:rsidP="000E28E0">
      <w:pPr>
        <w:rPr>
          <w:lang w:val="es-ES_tradnl" w:eastAsia="ja-JP"/>
        </w:rPr>
      </w:pPr>
      <w:r w:rsidRPr="00384EC1">
        <w:rPr>
          <w:lang w:val="es-ES_tradnl" w:eastAsia="ja-JP"/>
        </w:rPr>
        <w:t>Algunos fabricantes de codificadores dotan a los equipos del ID-portadora en la NIT o mediante una actualización del firmware.</w:t>
      </w:r>
    </w:p>
    <w:p w:rsidR="000E28E0" w:rsidRPr="00384EC1" w:rsidRDefault="000E28E0" w:rsidP="000E28E0">
      <w:pPr>
        <w:pStyle w:val="TableNo"/>
        <w:rPr>
          <w:lang w:val="es-ES_tradnl"/>
        </w:rPr>
      </w:pPr>
      <w:r w:rsidRPr="00384EC1">
        <w:rPr>
          <w:lang w:val="es-ES_tradnl"/>
        </w:rPr>
        <w:lastRenderedPageBreak/>
        <w:t xml:space="preserve">CUADRO 1 </w:t>
      </w:r>
    </w:p>
    <w:p w:rsidR="000E28E0" w:rsidRPr="00384EC1" w:rsidRDefault="000E28E0" w:rsidP="000E28E0">
      <w:pPr>
        <w:pStyle w:val="Tabletitle"/>
        <w:rPr>
          <w:lang w:val="es-ES_tradnl"/>
        </w:rPr>
      </w:pPr>
      <w:r w:rsidRPr="00384EC1">
        <w:rPr>
          <w:lang w:val="es-ES_tradnl"/>
        </w:rPr>
        <w:t>Ejemplo de ID de contenido e información de contenido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4535"/>
      </w:tblGrid>
      <w:tr w:rsidR="000E28E0" w:rsidRPr="00385729" w:rsidTr="003F7BD8">
        <w:trPr>
          <w:jc w:val="center"/>
        </w:trPr>
        <w:tc>
          <w:tcPr>
            <w:tcW w:w="3969" w:type="dxa"/>
            <w:shd w:val="clear" w:color="auto" w:fill="auto"/>
          </w:tcPr>
          <w:p w:rsidR="000E28E0" w:rsidRPr="00384EC1" w:rsidRDefault="000E28E0" w:rsidP="00FF7BAA">
            <w:pPr>
              <w:pStyle w:val="Tabletext"/>
              <w:rPr>
                <w:lang w:val="es-ES_tradnl"/>
              </w:rPr>
            </w:pPr>
            <w:r w:rsidRPr="00384EC1">
              <w:rPr>
                <w:lang w:val="es-ES_tradnl"/>
              </w:rPr>
              <w:t>Formato del identificador de portadora</w:t>
            </w:r>
          </w:p>
        </w:tc>
        <w:tc>
          <w:tcPr>
            <w:tcW w:w="4535" w:type="dxa"/>
            <w:shd w:val="clear" w:color="auto" w:fill="auto"/>
          </w:tcPr>
          <w:p w:rsidR="000E28E0" w:rsidRPr="00384EC1" w:rsidRDefault="000E28E0" w:rsidP="00FF7BAA">
            <w:pPr>
              <w:pStyle w:val="Tabletext"/>
              <w:rPr>
                <w:lang w:val="es-ES_tradnl"/>
              </w:rPr>
            </w:pPr>
            <w:r w:rsidRPr="00384EC1">
              <w:rPr>
                <w:lang w:val="es-ES_tradnl"/>
              </w:rPr>
              <w:t>Cadena de 2 caracteres numéricos únicamente</w:t>
            </w:r>
          </w:p>
        </w:tc>
      </w:tr>
      <w:tr w:rsidR="000E28E0" w:rsidRPr="00384EC1" w:rsidTr="003F7BD8">
        <w:trPr>
          <w:jc w:val="center"/>
        </w:trPr>
        <w:tc>
          <w:tcPr>
            <w:tcW w:w="3969" w:type="dxa"/>
            <w:shd w:val="clear" w:color="auto" w:fill="auto"/>
          </w:tcPr>
          <w:p w:rsidR="000E28E0" w:rsidRPr="00384EC1" w:rsidRDefault="000E28E0" w:rsidP="00FF7BAA">
            <w:pPr>
              <w:pStyle w:val="Tabletext"/>
              <w:rPr>
                <w:lang w:val="es-ES_tradnl"/>
              </w:rPr>
            </w:pPr>
            <w:r w:rsidRPr="00384EC1">
              <w:rPr>
                <w:lang w:val="es-ES_tradnl"/>
              </w:rPr>
              <w:t>Fabricante del codificador</w:t>
            </w:r>
          </w:p>
        </w:tc>
        <w:tc>
          <w:tcPr>
            <w:tcW w:w="4535" w:type="dxa"/>
            <w:shd w:val="clear" w:color="auto" w:fill="auto"/>
          </w:tcPr>
          <w:p w:rsidR="000E28E0" w:rsidRPr="00384EC1" w:rsidRDefault="000E28E0" w:rsidP="00FF7BAA">
            <w:pPr>
              <w:pStyle w:val="Tabletext"/>
              <w:rPr>
                <w:lang w:val="es-ES_tradnl"/>
              </w:rPr>
            </w:pPr>
            <w:r w:rsidRPr="00384EC1">
              <w:rPr>
                <w:lang w:val="es-ES_tradnl"/>
              </w:rPr>
              <w:t>Cadena de 5 caracteres</w:t>
            </w:r>
          </w:p>
        </w:tc>
      </w:tr>
      <w:tr w:rsidR="000E28E0" w:rsidRPr="00384EC1" w:rsidTr="003F7BD8">
        <w:trPr>
          <w:jc w:val="center"/>
        </w:trPr>
        <w:tc>
          <w:tcPr>
            <w:tcW w:w="3969" w:type="dxa"/>
            <w:shd w:val="clear" w:color="auto" w:fill="auto"/>
          </w:tcPr>
          <w:p w:rsidR="000E28E0" w:rsidRPr="00384EC1" w:rsidRDefault="000E28E0" w:rsidP="00FF7BAA">
            <w:pPr>
              <w:pStyle w:val="Tabletext"/>
              <w:rPr>
                <w:lang w:val="es-ES_tradnl"/>
              </w:rPr>
            </w:pPr>
            <w:r w:rsidRPr="00384EC1">
              <w:rPr>
                <w:lang w:val="es-ES_tradnl"/>
              </w:rPr>
              <w:t>Número de serie del codificador</w:t>
            </w:r>
          </w:p>
        </w:tc>
        <w:tc>
          <w:tcPr>
            <w:tcW w:w="4535" w:type="dxa"/>
            <w:shd w:val="clear" w:color="auto" w:fill="auto"/>
          </w:tcPr>
          <w:p w:rsidR="000E28E0" w:rsidRPr="00384EC1" w:rsidRDefault="000E28E0" w:rsidP="00FF7BAA">
            <w:pPr>
              <w:pStyle w:val="Tabletext"/>
              <w:rPr>
                <w:lang w:val="es-ES_tradnl"/>
              </w:rPr>
            </w:pPr>
            <w:r w:rsidRPr="00384EC1">
              <w:rPr>
                <w:lang w:val="es-ES_tradnl"/>
              </w:rPr>
              <w:t>Cadena de 12 caracteres</w:t>
            </w:r>
          </w:p>
        </w:tc>
      </w:tr>
      <w:tr w:rsidR="000E28E0" w:rsidRPr="00384EC1" w:rsidTr="003F7BD8">
        <w:trPr>
          <w:jc w:val="center"/>
        </w:trPr>
        <w:tc>
          <w:tcPr>
            <w:tcW w:w="3969" w:type="dxa"/>
            <w:shd w:val="clear" w:color="auto" w:fill="auto"/>
          </w:tcPr>
          <w:p w:rsidR="000E28E0" w:rsidRPr="00384EC1" w:rsidRDefault="000E28E0" w:rsidP="00FF7BAA">
            <w:pPr>
              <w:pStyle w:val="Tabletext"/>
              <w:rPr>
                <w:lang w:val="es-ES_tradnl"/>
              </w:rPr>
            </w:pPr>
            <w:r w:rsidRPr="00384EC1">
              <w:rPr>
                <w:lang w:val="es-ES_tradnl"/>
              </w:rPr>
              <w:t>Identificador de portadora</w:t>
            </w:r>
          </w:p>
        </w:tc>
        <w:tc>
          <w:tcPr>
            <w:tcW w:w="4535" w:type="dxa"/>
            <w:shd w:val="clear" w:color="auto" w:fill="auto"/>
          </w:tcPr>
          <w:p w:rsidR="000E28E0" w:rsidRPr="00384EC1" w:rsidRDefault="000E28E0" w:rsidP="00FF7BAA">
            <w:pPr>
              <w:pStyle w:val="Tabletext"/>
              <w:rPr>
                <w:lang w:val="es-ES_tradnl"/>
              </w:rPr>
            </w:pPr>
            <w:r w:rsidRPr="00384EC1">
              <w:rPr>
                <w:lang w:val="es-ES_tradnl"/>
              </w:rPr>
              <w:t>Cadena de 5 caracteres</w:t>
            </w:r>
          </w:p>
        </w:tc>
      </w:tr>
      <w:tr w:rsidR="000E28E0" w:rsidRPr="00385729" w:rsidTr="003F7BD8">
        <w:trPr>
          <w:jc w:val="center"/>
        </w:trPr>
        <w:tc>
          <w:tcPr>
            <w:tcW w:w="3969" w:type="dxa"/>
            <w:shd w:val="clear" w:color="auto" w:fill="auto"/>
          </w:tcPr>
          <w:p w:rsidR="000E28E0" w:rsidRPr="00384EC1" w:rsidRDefault="000E28E0" w:rsidP="00FF7BAA">
            <w:pPr>
              <w:pStyle w:val="Tabletext"/>
              <w:rPr>
                <w:lang w:val="es-ES_tradnl"/>
              </w:rPr>
            </w:pPr>
            <w:r w:rsidRPr="00384EC1">
              <w:rPr>
                <w:lang w:val="es-ES_tradnl"/>
              </w:rPr>
              <w:t>Número de teléfono</w:t>
            </w:r>
          </w:p>
        </w:tc>
        <w:tc>
          <w:tcPr>
            <w:tcW w:w="4535" w:type="dxa"/>
            <w:shd w:val="clear" w:color="auto" w:fill="auto"/>
          </w:tcPr>
          <w:p w:rsidR="000E28E0" w:rsidRPr="00384EC1" w:rsidRDefault="000E28E0" w:rsidP="00FF7BAA">
            <w:pPr>
              <w:pStyle w:val="Tabletext"/>
              <w:rPr>
                <w:lang w:val="es-ES_tradnl"/>
              </w:rPr>
            </w:pPr>
            <w:r w:rsidRPr="00384EC1">
              <w:rPr>
                <w:lang w:val="es-ES_tradnl"/>
              </w:rPr>
              <w:t xml:space="preserve">Cadena de 17 caracteres numéricos únicamente </w:t>
            </w:r>
          </w:p>
        </w:tc>
      </w:tr>
      <w:tr w:rsidR="000E28E0" w:rsidRPr="00385729" w:rsidTr="003F7BD8">
        <w:trPr>
          <w:jc w:val="center"/>
        </w:trPr>
        <w:tc>
          <w:tcPr>
            <w:tcW w:w="3969" w:type="dxa"/>
            <w:shd w:val="clear" w:color="auto" w:fill="auto"/>
          </w:tcPr>
          <w:p w:rsidR="000E28E0" w:rsidRPr="00384EC1" w:rsidRDefault="000E28E0" w:rsidP="00FF7BAA">
            <w:pPr>
              <w:pStyle w:val="Tabletext"/>
              <w:rPr>
                <w:lang w:val="es-ES_tradnl"/>
              </w:rPr>
            </w:pPr>
            <w:r w:rsidRPr="00384EC1">
              <w:rPr>
                <w:lang w:val="es-ES_tradnl"/>
              </w:rPr>
              <w:t>Longitud</w:t>
            </w:r>
          </w:p>
        </w:tc>
        <w:tc>
          <w:tcPr>
            <w:tcW w:w="4535" w:type="dxa"/>
            <w:shd w:val="clear" w:color="auto" w:fill="auto"/>
          </w:tcPr>
          <w:p w:rsidR="000E28E0" w:rsidRPr="00384EC1" w:rsidRDefault="000E28E0" w:rsidP="00385729">
            <w:pPr>
              <w:pStyle w:val="Tabletext"/>
              <w:rPr>
                <w:lang w:val="es-ES_tradnl"/>
              </w:rPr>
            </w:pPr>
            <w:r w:rsidRPr="00384EC1">
              <w:rPr>
                <w:lang w:val="es-ES_tradnl"/>
              </w:rPr>
              <w:t xml:space="preserve">Cadena de </w:t>
            </w:r>
            <w:r w:rsidR="00385729">
              <w:rPr>
                <w:lang w:val="es-ES_tradnl"/>
              </w:rPr>
              <w:t>9</w:t>
            </w:r>
            <w:r w:rsidRPr="00384EC1">
              <w:rPr>
                <w:lang w:val="es-ES_tradnl"/>
              </w:rPr>
              <w:t xml:space="preserve"> caracteres </w:t>
            </w:r>
          </w:p>
        </w:tc>
      </w:tr>
      <w:tr w:rsidR="000E28E0" w:rsidRPr="00384EC1" w:rsidTr="003F7BD8">
        <w:trPr>
          <w:jc w:val="center"/>
        </w:trPr>
        <w:tc>
          <w:tcPr>
            <w:tcW w:w="3969" w:type="dxa"/>
            <w:shd w:val="clear" w:color="auto" w:fill="auto"/>
          </w:tcPr>
          <w:p w:rsidR="000E28E0" w:rsidRPr="00384EC1" w:rsidRDefault="000E28E0" w:rsidP="00FF7BAA">
            <w:pPr>
              <w:pStyle w:val="Tabletext"/>
              <w:rPr>
                <w:lang w:val="es-ES_tradnl"/>
              </w:rPr>
            </w:pPr>
            <w:r w:rsidRPr="00384EC1">
              <w:rPr>
                <w:lang w:val="es-ES_tradnl"/>
              </w:rPr>
              <w:t>Latitud</w:t>
            </w:r>
          </w:p>
        </w:tc>
        <w:tc>
          <w:tcPr>
            <w:tcW w:w="4535" w:type="dxa"/>
            <w:shd w:val="clear" w:color="auto" w:fill="auto"/>
          </w:tcPr>
          <w:p w:rsidR="000E28E0" w:rsidRPr="00384EC1" w:rsidRDefault="000E28E0" w:rsidP="00FF7BAA">
            <w:pPr>
              <w:pStyle w:val="Tabletext"/>
              <w:rPr>
                <w:lang w:val="es-ES_tradnl"/>
              </w:rPr>
            </w:pPr>
            <w:r w:rsidRPr="00384EC1">
              <w:rPr>
                <w:lang w:val="es-ES_tradnl"/>
              </w:rPr>
              <w:t>Cadena de 8 caracteres</w:t>
            </w:r>
          </w:p>
        </w:tc>
      </w:tr>
      <w:tr w:rsidR="000E28E0" w:rsidRPr="00384EC1" w:rsidTr="003F7BD8">
        <w:trPr>
          <w:jc w:val="center"/>
        </w:trPr>
        <w:tc>
          <w:tcPr>
            <w:tcW w:w="3969" w:type="dxa"/>
            <w:tcBorders>
              <w:bottom w:val="single" w:sz="4" w:space="0" w:color="auto"/>
            </w:tcBorders>
            <w:shd w:val="clear" w:color="auto" w:fill="auto"/>
          </w:tcPr>
          <w:p w:rsidR="000E28E0" w:rsidRPr="00384EC1" w:rsidRDefault="000E28E0" w:rsidP="00FF7BAA">
            <w:pPr>
              <w:pStyle w:val="Tabletext"/>
              <w:rPr>
                <w:lang w:val="es-ES_tradnl"/>
              </w:rPr>
            </w:pPr>
            <w:r w:rsidRPr="00384EC1">
              <w:rPr>
                <w:lang w:val="es-ES_tradnl"/>
              </w:rPr>
              <w:t>Información sobre el usuario</w:t>
            </w:r>
          </w:p>
        </w:tc>
        <w:tc>
          <w:tcPr>
            <w:tcW w:w="4535" w:type="dxa"/>
            <w:tcBorders>
              <w:bottom w:val="single" w:sz="4" w:space="0" w:color="auto"/>
            </w:tcBorders>
            <w:shd w:val="clear" w:color="auto" w:fill="auto"/>
          </w:tcPr>
          <w:p w:rsidR="000E28E0" w:rsidRPr="00384EC1" w:rsidRDefault="000E28E0" w:rsidP="00FF7BAA">
            <w:pPr>
              <w:pStyle w:val="Tabletext"/>
              <w:rPr>
                <w:lang w:val="es-ES_tradnl"/>
              </w:rPr>
            </w:pPr>
            <w:r w:rsidRPr="00384EC1">
              <w:rPr>
                <w:lang w:val="es-ES_tradnl"/>
              </w:rPr>
              <w:t>Cadena de 15 caracteres</w:t>
            </w:r>
          </w:p>
        </w:tc>
      </w:tr>
    </w:tbl>
    <w:p w:rsidR="000E28E0" w:rsidRPr="00384EC1" w:rsidRDefault="000E28E0" w:rsidP="000E28E0">
      <w:pPr>
        <w:pStyle w:val="Tablefin"/>
        <w:rPr>
          <w:lang w:val="es-ES_tradnl"/>
        </w:rPr>
      </w:pPr>
    </w:p>
    <w:p w:rsidR="000E28E0" w:rsidRPr="00384EC1" w:rsidRDefault="000E28E0" w:rsidP="000E28E0">
      <w:pPr>
        <w:pStyle w:val="Heading2"/>
        <w:rPr>
          <w:lang w:val="es-ES_tradnl"/>
        </w:rPr>
      </w:pPr>
      <w:r w:rsidRPr="00384EC1">
        <w:rPr>
          <w:lang w:val="es-ES_tradnl"/>
        </w:rPr>
        <w:t>2.2</w:t>
      </w:r>
      <w:r w:rsidRPr="00384EC1">
        <w:rPr>
          <w:lang w:val="es-ES_tradnl"/>
        </w:rPr>
        <w:tab/>
        <w:t>Método B: ID-portadora de espectro ensanchado</w:t>
      </w:r>
    </w:p>
    <w:p w:rsidR="000E28E0" w:rsidRPr="00384EC1" w:rsidRDefault="000E28E0" w:rsidP="000E28E0">
      <w:pPr>
        <w:pStyle w:val="enumlev1"/>
        <w:rPr>
          <w:lang w:val="es-ES_tradnl"/>
        </w:rPr>
      </w:pPr>
      <w:r w:rsidRPr="00384EC1">
        <w:rPr>
          <w:lang w:val="es-ES_tradnl"/>
        </w:rPr>
        <w:t>–</w:t>
      </w:r>
      <w:r w:rsidRPr="00384EC1">
        <w:rPr>
          <w:lang w:val="es-ES_tradnl"/>
        </w:rPr>
        <w:tab/>
        <w:t>El ID-portadora con información específica sobre la portadora se integra en una portadora de espectro ensanchado de baja velocidad que se envía superpuesta a la portadora original sin añadir ruido considerable a la portadora original.</w:t>
      </w:r>
    </w:p>
    <w:p w:rsidR="000E28E0" w:rsidRPr="00384EC1" w:rsidRDefault="000E28E0" w:rsidP="000E28E0">
      <w:pPr>
        <w:rPr>
          <w:lang w:val="es-ES_tradnl" w:eastAsia="ja-JP"/>
        </w:rPr>
      </w:pPr>
      <w:r w:rsidRPr="00384EC1">
        <w:rPr>
          <w:lang w:val="es-ES_tradnl" w:eastAsia="ja-JP"/>
        </w:rPr>
        <w:t>A diferencia del método NIT, en este método de espectro ensanchado la información de ID-portadora se puede extraer más probablemente incluso en presencia de interferencia grave. El ID-portadora de espectro ensanchado está disponible en los moduladores existentes de algunos fabricantes y en las actualizaciones del firmware de algunos moduladores no muy antiguos. Los moduladores con ID</w:t>
      </w:r>
      <w:r w:rsidRPr="00384EC1">
        <w:rPr>
          <w:lang w:val="es-ES_tradnl" w:eastAsia="ja-JP"/>
        </w:rPr>
        <w:noBreakHyphen/>
        <w:t>portadora de espectro ensanchado se marcan con el símbolo DVB-CID. También es posible adquirir un codificador de ID-portadora externo para añadir el ID-portadora a las portadoras moduladas existentes. Se necesita un equipo especial para detectar y decodificar el ID-portadora de espectro ensanchado en el lado del receptor.</w:t>
      </w:r>
    </w:p>
    <w:p w:rsidR="000E28E0" w:rsidRPr="00384EC1" w:rsidRDefault="000E28E0" w:rsidP="000E28E0">
      <w:pPr>
        <w:rPr>
          <w:lang w:val="es-ES_tradnl" w:eastAsia="ja-JP"/>
        </w:rPr>
      </w:pPr>
      <w:r w:rsidRPr="00384EC1">
        <w:rPr>
          <w:lang w:val="es-ES_tradnl" w:eastAsia="ja-JP"/>
        </w:rPr>
        <w:t xml:space="preserve">En la </w:t>
      </w:r>
      <w:r w:rsidR="003F7BD8" w:rsidRPr="00384EC1">
        <w:rPr>
          <w:lang w:val="es-ES_tradnl" w:eastAsia="ja-JP"/>
        </w:rPr>
        <w:t>Fig.</w:t>
      </w:r>
      <w:r w:rsidRPr="00384EC1">
        <w:rPr>
          <w:lang w:val="es-ES_tradnl" w:eastAsia="ja-JP"/>
        </w:rPr>
        <w:t> 2 se muestra un ejemplo de diagrama de bloques de ID-portadora de espectro ensanchado. Una vez configurado completamente el mensaje formato, éste se codifica en el codificador CRC y también en el codificador BCH FEC, y luego se construye la trama de ID</w:t>
      </w:r>
      <w:r w:rsidRPr="00384EC1">
        <w:rPr>
          <w:lang w:val="es-ES_tradnl" w:eastAsia="ja-JP"/>
        </w:rPr>
        <w:noBreakHyphen/>
        <w:t>portadora añadiendo bits de palabra única. Este ID-portadora se pasa por un aleatorizador y posteriormente se ensancha utilizando 4 096 chips/bit.</w:t>
      </w:r>
    </w:p>
    <w:p w:rsidR="000E28E0" w:rsidRPr="00384EC1" w:rsidRDefault="000E28E0" w:rsidP="000E28E0">
      <w:pPr>
        <w:pStyle w:val="FigureNo"/>
        <w:rPr>
          <w:lang w:val="es-ES_tradnl"/>
        </w:rPr>
      </w:pPr>
      <w:bookmarkStart w:id="5" w:name="_Ref361302829"/>
      <w:r w:rsidRPr="00384EC1">
        <w:rPr>
          <w:lang w:val="es-ES_tradnl"/>
        </w:rPr>
        <w:t xml:space="preserve">FigurA </w:t>
      </w:r>
      <w:bookmarkEnd w:id="5"/>
      <w:r w:rsidRPr="00384EC1">
        <w:rPr>
          <w:lang w:val="es-ES_tradnl"/>
        </w:rPr>
        <w:t>2</w:t>
      </w:r>
    </w:p>
    <w:p w:rsidR="000E28E0" w:rsidRPr="00384EC1" w:rsidRDefault="000E28E0" w:rsidP="000E28E0">
      <w:pPr>
        <w:pStyle w:val="Figuretitle"/>
        <w:rPr>
          <w:lang w:val="es-ES_tradnl"/>
        </w:rPr>
      </w:pPr>
      <w:r w:rsidRPr="00384EC1">
        <w:rPr>
          <w:lang w:val="es-ES_tradnl"/>
        </w:rPr>
        <w:t xml:space="preserve">Ejemplo de diagrama de bloques de ID-portadora de espectro ensanchado </w:t>
      </w:r>
    </w:p>
    <w:p w:rsidR="000E28E0" w:rsidRPr="00384EC1" w:rsidRDefault="001C5456" w:rsidP="000E28E0">
      <w:pPr>
        <w:pStyle w:val="Figure"/>
        <w:rPr>
          <w:rFonts w:asciiTheme="majorHAnsi" w:hAnsiTheme="majorHAnsi"/>
          <w:lang w:val="es-ES_tradnl"/>
        </w:rPr>
      </w:pPr>
      <w:r w:rsidRPr="00384EC1">
        <w:rPr>
          <w:rFonts w:asciiTheme="majorHAnsi" w:hAnsiTheme="majorHAnsi"/>
          <w:noProof/>
          <w:lang w:val="es-ES_tradnl" w:eastAsia="zh-CN"/>
        </w:rPr>
        <w:object w:dxaOrig="4197" w:dyaOrig="2145">
          <v:shape id="_x0000_i1026" type="#_x0000_t75" style="width:355pt;height:182pt" o:ole="">
            <v:imagedata r:id="rId14" o:title=""/>
          </v:shape>
          <o:OLEObject Type="Embed" ProgID="CorelDraw.Graphic.16" ShapeID="_x0000_i1026" DrawAspect="Content" ObjectID="_1521621400" r:id="rId15"/>
        </w:object>
      </w:r>
    </w:p>
    <w:p w:rsidR="000E28E0" w:rsidRPr="00384EC1" w:rsidRDefault="000E28E0" w:rsidP="000E28E0">
      <w:pPr>
        <w:rPr>
          <w:lang w:val="es-ES_tradnl"/>
        </w:rPr>
      </w:pPr>
      <w:r w:rsidRPr="00384EC1">
        <w:rPr>
          <w:lang w:val="es-ES_tradnl" w:eastAsia="ja-JP"/>
        </w:rPr>
        <w:lastRenderedPageBreak/>
        <w:t xml:space="preserve">Según este diagrama de bloques de ID-portadora de espectro ensanchado, la trama de ID-portadora se ensancha como se indica en la </w:t>
      </w:r>
      <w:r w:rsidR="003F7BD8" w:rsidRPr="00384EC1">
        <w:rPr>
          <w:lang w:val="es-ES_tradnl" w:eastAsia="ja-JP"/>
        </w:rPr>
        <w:t>Fig.</w:t>
      </w:r>
      <w:r w:rsidRPr="00384EC1">
        <w:rPr>
          <w:lang w:val="es-ES_tradnl" w:eastAsia="ja-JP"/>
        </w:rPr>
        <w:t> 3. En primer lugar, los operadores crean un mensaje formato mediante el panel frontal o la interfaz de usuario remota, mensaje que incluye un identificador «alto y bajo único global», el ID de contenido y la información de contenido. En cuando a los ID únicos mundiales, el ID alto único mundial indica el ID del fabricante, mientras que el ID bajo único mundial indica el ID ampliado.</w:t>
      </w:r>
    </w:p>
    <w:p w:rsidR="000E28E0" w:rsidRPr="00384EC1" w:rsidRDefault="000E28E0" w:rsidP="000E28E0">
      <w:pPr>
        <w:pStyle w:val="FigureNo"/>
        <w:rPr>
          <w:lang w:val="es-ES_tradnl"/>
        </w:rPr>
      </w:pPr>
      <w:bookmarkStart w:id="6" w:name="_Ref361305922"/>
      <w:r w:rsidRPr="00384EC1">
        <w:rPr>
          <w:lang w:val="es-ES_tradnl"/>
        </w:rPr>
        <w:t xml:space="preserve">FigurA </w:t>
      </w:r>
      <w:bookmarkEnd w:id="6"/>
      <w:r w:rsidRPr="00384EC1">
        <w:rPr>
          <w:lang w:val="es-ES_tradnl"/>
        </w:rPr>
        <w:t>3</w:t>
      </w:r>
    </w:p>
    <w:p w:rsidR="000E28E0" w:rsidRPr="00384EC1" w:rsidRDefault="000E28E0" w:rsidP="000E28E0">
      <w:pPr>
        <w:pStyle w:val="Figuretitle"/>
        <w:rPr>
          <w:lang w:val="es-ES_tradnl"/>
        </w:rPr>
      </w:pPr>
      <w:r w:rsidRPr="00384EC1">
        <w:rPr>
          <w:lang w:val="es-ES_tradnl"/>
        </w:rPr>
        <w:t>Ejemplo de estructura de trama de ID-portadora</w:t>
      </w:r>
    </w:p>
    <w:p w:rsidR="000E28E0" w:rsidRPr="00384EC1" w:rsidRDefault="000B73DF" w:rsidP="000E28E0">
      <w:pPr>
        <w:pStyle w:val="Figure"/>
        <w:rPr>
          <w:rFonts w:asciiTheme="majorHAnsi" w:hAnsiTheme="majorHAnsi"/>
          <w:lang w:val="es-ES_tradnl" w:eastAsia="ja-JP"/>
        </w:rPr>
      </w:pPr>
      <w:r w:rsidRPr="00384EC1">
        <w:rPr>
          <w:rFonts w:asciiTheme="majorHAnsi" w:hAnsiTheme="majorHAnsi"/>
          <w:noProof/>
          <w:lang w:val="es-ES_tradnl" w:eastAsia="zh-CN"/>
        </w:rPr>
        <w:object w:dxaOrig="5721" w:dyaOrig="3814">
          <v:shape id="_x0000_i1027" type="#_x0000_t75" style="width:479pt;height:318.5pt" o:ole="">
            <v:imagedata r:id="rId16" o:title=""/>
          </v:shape>
          <o:OLEObject Type="Embed" ProgID="CorelDraw.Graphic.16" ShapeID="_x0000_i1027" DrawAspect="Content" ObjectID="_1521621401" r:id="rId17"/>
        </w:object>
      </w:r>
    </w:p>
    <w:p w:rsidR="000E28E0" w:rsidRPr="00384EC1" w:rsidRDefault="000E28E0" w:rsidP="00557663">
      <w:pPr>
        <w:rPr>
          <w:lang w:val="es-ES_tradnl" w:eastAsia="ja-JP"/>
        </w:rPr>
      </w:pPr>
      <w:r w:rsidRPr="00384EC1">
        <w:rPr>
          <w:lang w:val="es-ES_tradnl" w:eastAsia="ja-JP"/>
        </w:rPr>
        <w:t>El Cuadro</w:t>
      </w:r>
      <w:r w:rsidR="00557663" w:rsidRPr="00384EC1">
        <w:rPr>
          <w:lang w:val="es-ES_tradnl" w:eastAsia="ja-JP"/>
        </w:rPr>
        <w:t> </w:t>
      </w:r>
      <w:r w:rsidRPr="00384EC1">
        <w:rPr>
          <w:lang w:val="es-ES_tradnl" w:eastAsia="ja-JP"/>
        </w:rPr>
        <w:t>2 muestra un ejemplo de ID de contenido e información de contenido que ayuda a identificar la posición de la fuente de la portadora. Los operadores deben introducir la información en cada campo de información, según lo solicite su operador de satélites.</w:t>
      </w:r>
    </w:p>
    <w:p w:rsidR="000E28E0" w:rsidRPr="00384EC1" w:rsidRDefault="00557663" w:rsidP="000E28E0">
      <w:pPr>
        <w:pStyle w:val="TableNo"/>
        <w:rPr>
          <w:lang w:val="es-ES_tradnl"/>
        </w:rPr>
      </w:pPr>
      <w:r w:rsidRPr="00384EC1">
        <w:rPr>
          <w:lang w:val="es-ES_tradnl"/>
        </w:rPr>
        <w:t>CUADRO 2</w:t>
      </w:r>
    </w:p>
    <w:p w:rsidR="000E28E0" w:rsidRPr="00384EC1" w:rsidRDefault="000E28E0" w:rsidP="000E28E0">
      <w:pPr>
        <w:pStyle w:val="Tabletitle"/>
        <w:rPr>
          <w:lang w:val="es-ES_tradnl"/>
        </w:rPr>
      </w:pPr>
      <w:r w:rsidRPr="00384EC1">
        <w:rPr>
          <w:lang w:val="es-ES_tradnl"/>
        </w:rPr>
        <w:t>Ejemplo de ID de contenido e información de contenido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5102"/>
      </w:tblGrid>
      <w:tr w:rsidR="000E28E0" w:rsidRPr="00385729" w:rsidTr="003F7BD8">
        <w:trPr>
          <w:jc w:val="center"/>
        </w:trPr>
        <w:tc>
          <w:tcPr>
            <w:tcW w:w="2041" w:type="dxa"/>
            <w:shd w:val="clear" w:color="auto" w:fill="auto"/>
          </w:tcPr>
          <w:p w:rsidR="000E28E0" w:rsidRPr="00384EC1" w:rsidRDefault="000E28E0" w:rsidP="00FF7BAA">
            <w:pPr>
              <w:pStyle w:val="Tablehead"/>
              <w:rPr>
                <w:lang w:val="es-ES_tradnl"/>
              </w:rPr>
            </w:pPr>
            <w:r w:rsidRPr="00384EC1">
              <w:rPr>
                <w:lang w:val="es-ES_tradnl"/>
              </w:rPr>
              <w:t>ID de contenido</w:t>
            </w:r>
          </w:p>
        </w:tc>
        <w:tc>
          <w:tcPr>
            <w:tcW w:w="5102" w:type="dxa"/>
            <w:shd w:val="clear" w:color="auto" w:fill="auto"/>
          </w:tcPr>
          <w:p w:rsidR="000E28E0" w:rsidRPr="00384EC1" w:rsidRDefault="000E28E0" w:rsidP="00FF7BAA">
            <w:pPr>
              <w:pStyle w:val="Tablehead"/>
              <w:rPr>
                <w:lang w:val="es-ES_tradnl"/>
              </w:rPr>
            </w:pPr>
            <w:r w:rsidRPr="00384EC1">
              <w:rPr>
                <w:lang w:val="es-ES_tradnl"/>
              </w:rPr>
              <w:t xml:space="preserve">Contenido del campo de información </w:t>
            </w:r>
          </w:p>
        </w:tc>
      </w:tr>
      <w:tr w:rsidR="000E28E0" w:rsidRPr="00385729" w:rsidTr="003F7BD8">
        <w:trPr>
          <w:jc w:val="center"/>
        </w:trPr>
        <w:tc>
          <w:tcPr>
            <w:tcW w:w="2041" w:type="dxa"/>
            <w:shd w:val="clear" w:color="auto" w:fill="auto"/>
          </w:tcPr>
          <w:p w:rsidR="000E28E0" w:rsidRPr="00384EC1" w:rsidRDefault="000E28E0" w:rsidP="00FF7BAA">
            <w:pPr>
              <w:pStyle w:val="Tabletext"/>
              <w:jc w:val="center"/>
              <w:rPr>
                <w:lang w:val="es-ES_tradnl"/>
              </w:rPr>
            </w:pPr>
            <w:r w:rsidRPr="00384EC1">
              <w:rPr>
                <w:lang w:val="es-ES_tradnl"/>
              </w:rPr>
              <w:t>0</w:t>
            </w:r>
          </w:p>
        </w:tc>
        <w:tc>
          <w:tcPr>
            <w:tcW w:w="5102" w:type="dxa"/>
            <w:shd w:val="clear" w:color="auto" w:fill="auto"/>
          </w:tcPr>
          <w:p w:rsidR="000E28E0" w:rsidRPr="00384EC1" w:rsidRDefault="000E28E0" w:rsidP="00FF7BAA">
            <w:pPr>
              <w:pStyle w:val="Tabletext"/>
              <w:rPr>
                <w:lang w:val="es-ES_tradnl"/>
              </w:rPr>
            </w:pPr>
            <w:r w:rsidRPr="00384EC1">
              <w:rPr>
                <w:lang w:val="es-ES_tradnl"/>
              </w:rPr>
              <w:t>Código de revisión de ID-portadora</w:t>
            </w:r>
          </w:p>
        </w:tc>
      </w:tr>
      <w:tr w:rsidR="000E28E0" w:rsidRPr="00384EC1" w:rsidTr="003F7BD8">
        <w:trPr>
          <w:jc w:val="center"/>
        </w:trPr>
        <w:tc>
          <w:tcPr>
            <w:tcW w:w="2041" w:type="dxa"/>
            <w:shd w:val="clear" w:color="auto" w:fill="auto"/>
          </w:tcPr>
          <w:p w:rsidR="000E28E0" w:rsidRPr="00384EC1" w:rsidRDefault="000E28E0" w:rsidP="00FF7BAA">
            <w:pPr>
              <w:pStyle w:val="Tabletext"/>
              <w:jc w:val="center"/>
              <w:rPr>
                <w:lang w:val="es-ES_tradnl"/>
              </w:rPr>
            </w:pPr>
            <w:r w:rsidRPr="00384EC1">
              <w:rPr>
                <w:lang w:val="es-ES_tradnl"/>
              </w:rPr>
              <w:t>1</w:t>
            </w:r>
          </w:p>
        </w:tc>
        <w:tc>
          <w:tcPr>
            <w:tcW w:w="5102" w:type="dxa"/>
            <w:shd w:val="clear" w:color="auto" w:fill="auto"/>
          </w:tcPr>
          <w:p w:rsidR="000E28E0" w:rsidRPr="00384EC1" w:rsidRDefault="000E28E0" w:rsidP="00FF7BAA">
            <w:pPr>
              <w:pStyle w:val="Tabletext"/>
              <w:rPr>
                <w:lang w:val="es-ES_tradnl"/>
              </w:rPr>
            </w:pPr>
            <w:r w:rsidRPr="00384EC1">
              <w:rPr>
                <w:lang w:val="es-ES_tradnl"/>
              </w:rPr>
              <w:t>Latitud</w:t>
            </w:r>
          </w:p>
        </w:tc>
      </w:tr>
      <w:tr w:rsidR="000E28E0" w:rsidRPr="00384EC1" w:rsidTr="003F7BD8">
        <w:trPr>
          <w:jc w:val="center"/>
        </w:trPr>
        <w:tc>
          <w:tcPr>
            <w:tcW w:w="2041" w:type="dxa"/>
            <w:shd w:val="clear" w:color="auto" w:fill="auto"/>
          </w:tcPr>
          <w:p w:rsidR="000E28E0" w:rsidRPr="00384EC1" w:rsidRDefault="000E28E0" w:rsidP="00FF7BAA">
            <w:pPr>
              <w:pStyle w:val="Tabletext"/>
              <w:jc w:val="center"/>
              <w:rPr>
                <w:lang w:val="es-ES_tradnl"/>
              </w:rPr>
            </w:pPr>
            <w:r w:rsidRPr="00384EC1">
              <w:rPr>
                <w:lang w:val="es-ES_tradnl"/>
              </w:rPr>
              <w:t>2</w:t>
            </w:r>
          </w:p>
        </w:tc>
        <w:tc>
          <w:tcPr>
            <w:tcW w:w="5102" w:type="dxa"/>
            <w:shd w:val="clear" w:color="auto" w:fill="auto"/>
          </w:tcPr>
          <w:p w:rsidR="000E28E0" w:rsidRPr="00384EC1" w:rsidRDefault="000E28E0" w:rsidP="00FF7BAA">
            <w:pPr>
              <w:pStyle w:val="Tabletext"/>
              <w:rPr>
                <w:lang w:val="es-ES_tradnl"/>
              </w:rPr>
            </w:pPr>
            <w:r w:rsidRPr="00384EC1">
              <w:rPr>
                <w:lang w:val="es-ES_tradnl"/>
              </w:rPr>
              <w:t>Longitud</w:t>
            </w:r>
          </w:p>
        </w:tc>
      </w:tr>
      <w:tr w:rsidR="000E28E0" w:rsidRPr="00384EC1" w:rsidTr="003F7BD8">
        <w:trPr>
          <w:jc w:val="center"/>
        </w:trPr>
        <w:tc>
          <w:tcPr>
            <w:tcW w:w="2041" w:type="dxa"/>
            <w:shd w:val="clear" w:color="auto" w:fill="auto"/>
          </w:tcPr>
          <w:p w:rsidR="000E28E0" w:rsidRPr="00384EC1" w:rsidRDefault="000E28E0" w:rsidP="00FF7BAA">
            <w:pPr>
              <w:pStyle w:val="Tabletext"/>
              <w:jc w:val="center"/>
              <w:rPr>
                <w:lang w:val="es-ES_tradnl"/>
              </w:rPr>
            </w:pPr>
            <w:r w:rsidRPr="00384EC1">
              <w:rPr>
                <w:lang w:val="es-ES_tradnl"/>
              </w:rPr>
              <w:t>3-5</w:t>
            </w:r>
          </w:p>
        </w:tc>
        <w:tc>
          <w:tcPr>
            <w:tcW w:w="5102" w:type="dxa"/>
            <w:shd w:val="clear" w:color="auto" w:fill="auto"/>
          </w:tcPr>
          <w:p w:rsidR="000E28E0" w:rsidRPr="00384EC1" w:rsidRDefault="000E28E0" w:rsidP="00FF7BAA">
            <w:pPr>
              <w:pStyle w:val="Tabletext"/>
              <w:rPr>
                <w:lang w:val="es-ES_tradnl"/>
              </w:rPr>
            </w:pPr>
            <w:r w:rsidRPr="00384EC1">
              <w:rPr>
                <w:lang w:val="es-ES_tradnl"/>
              </w:rPr>
              <w:t>Nº de teléfono</w:t>
            </w:r>
          </w:p>
        </w:tc>
      </w:tr>
      <w:tr w:rsidR="000E28E0" w:rsidRPr="00385729" w:rsidTr="003F7BD8">
        <w:trPr>
          <w:jc w:val="center"/>
        </w:trPr>
        <w:tc>
          <w:tcPr>
            <w:tcW w:w="2041" w:type="dxa"/>
            <w:shd w:val="clear" w:color="auto" w:fill="auto"/>
          </w:tcPr>
          <w:p w:rsidR="000E28E0" w:rsidRPr="00384EC1" w:rsidRDefault="000E28E0" w:rsidP="00FF7BAA">
            <w:pPr>
              <w:pStyle w:val="Tabletext"/>
              <w:jc w:val="center"/>
              <w:rPr>
                <w:lang w:val="es-ES_tradnl"/>
              </w:rPr>
            </w:pPr>
            <w:r w:rsidRPr="00384EC1">
              <w:rPr>
                <w:lang w:val="es-ES_tradnl"/>
              </w:rPr>
              <w:t>6-12</w:t>
            </w:r>
          </w:p>
        </w:tc>
        <w:tc>
          <w:tcPr>
            <w:tcW w:w="5102" w:type="dxa"/>
            <w:shd w:val="clear" w:color="auto" w:fill="auto"/>
          </w:tcPr>
          <w:p w:rsidR="000E28E0" w:rsidRPr="00384EC1" w:rsidRDefault="000E28E0" w:rsidP="00FF7BAA">
            <w:pPr>
              <w:pStyle w:val="Tabletext"/>
              <w:rPr>
                <w:lang w:val="es-ES_tradnl"/>
              </w:rPr>
            </w:pPr>
            <w:r w:rsidRPr="00384EC1">
              <w:rPr>
                <w:lang w:val="es-ES_tradnl"/>
              </w:rPr>
              <w:t>Datos de usuario (mensaje mediante código ASCII)</w:t>
            </w:r>
          </w:p>
        </w:tc>
      </w:tr>
      <w:tr w:rsidR="000E28E0" w:rsidRPr="00384EC1" w:rsidTr="003F7BD8">
        <w:trPr>
          <w:jc w:val="center"/>
        </w:trPr>
        <w:tc>
          <w:tcPr>
            <w:tcW w:w="2041" w:type="dxa"/>
            <w:shd w:val="clear" w:color="auto" w:fill="auto"/>
          </w:tcPr>
          <w:p w:rsidR="000E28E0" w:rsidRPr="00384EC1" w:rsidRDefault="000E28E0" w:rsidP="00FF7BAA">
            <w:pPr>
              <w:pStyle w:val="Tabletext"/>
              <w:jc w:val="center"/>
              <w:rPr>
                <w:lang w:val="es-ES_tradnl"/>
              </w:rPr>
            </w:pPr>
            <w:r w:rsidRPr="00384EC1">
              <w:rPr>
                <w:lang w:val="es-ES_tradnl"/>
              </w:rPr>
              <w:t>13-31</w:t>
            </w:r>
          </w:p>
        </w:tc>
        <w:tc>
          <w:tcPr>
            <w:tcW w:w="5102" w:type="dxa"/>
            <w:shd w:val="clear" w:color="auto" w:fill="auto"/>
          </w:tcPr>
          <w:p w:rsidR="000E28E0" w:rsidRPr="00384EC1" w:rsidRDefault="000E28E0" w:rsidP="00FF7BAA">
            <w:pPr>
              <w:pStyle w:val="Tabletext"/>
              <w:rPr>
                <w:lang w:val="es-ES_tradnl"/>
              </w:rPr>
            </w:pPr>
            <w:r w:rsidRPr="00384EC1">
              <w:rPr>
                <w:lang w:val="es-ES_tradnl"/>
              </w:rPr>
              <w:t>No definido</w:t>
            </w:r>
          </w:p>
        </w:tc>
      </w:tr>
    </w:tbl>
    <w:p w:rsidR="008705E8" w:rsidRPr="00384EC1" w:rsidRDefault="008705E8" w:rsidP="008705E8">
      <w:pPr>
        <w:pStyle w:val="Tablefin"/>
        <w:rPr>
          <w:lang w:val="es-ES_tradnl"/>
        </w:rPr>
      </w:pPr>
    </w:p>
    <w:p w:rsidR="000E28E0" w:rsidRPr="00384EC1" w:rsidRDefault="000E28E0" w:rsidP="000E28E0">
      <w:pPr>
        <w:rPr>
          <w:lang w:val="es-ES_tradnl" w:eastAsia="ja-JP"/>
        </w:rPr>
      </w:pPr>
      <w:r w:rsidRPr="00384EC1">
        <w:rPr>
          <w:lang w:val="es-ES_tradnl" w:eastAsia="ja-JP"/>
        </w:rPr>
        <w:lastRenderedPageBreak/>
        <w:t>Una vez ensanchado, cada chip de la secuencia de la trama ID-portadora se hará corresponder con una constelación BPSK a fin de generar un símbolo de modulación. Esta señal de correspondencia BPSK se transmitirá a una densidad espectral de potencia (PSD) inferior a la del ruido de fondo de la portadora original, ajustando la ganancia de transmisión, sin afectar al canal general del satélite.</w:t>
      </w:r>
    </w:p>
    <w:p w:rsidR="000E28E0" w:rsidRPr="00384EC1" w:rsidRDefault="000E28E0" w:rsidP="00557663">
      <w:pPr>
        <w:rPr>
          <w:lang w:val="es-ES_tradnl" w:eastAsia="ja-JP"/>
        </w:rPr>
      </w:pPr>
      <w:r w:rsidRPr="00384EC1">
        <w:rPr>
          <w:lang w:val="es-ES_tradnl" w:eastAsia="ja-JP"/>
        </w:rPr>
        <w:t>Por consiguiente, en el Cuadro</w:t>
      </w:r>
      <w:r w:rsidR="00557663" w:rsidRPr="00384EC1">
        <w:rPr>
          <w:lang w:val="es-ES_tradnl" w:eastAsia="ja-JP"/>
        </w:rPr>
        <w:t> </w:t>
      </w:r>
      <w:r w:rsidRPr="00384EC1">
        <w:rPr>
          <w:lang w:val="es-ES_tradnl" w:eastAsia="ja-JP"/>
        </w:rPr>
        <w:t xml:space="preserve">3 y la </w:t>
      </w:r>
      <w:r w:rsidR="003F7BD8" w:rsidRPr="00384EC1">
        <w:rPr>
          <w:lang w:val="es-ES_tradnl" w:eastAsia="ja-JP"/>
        </w:rPr>
        <w:t>Fig.</w:t>
      </w:r>
      <w:r w:rsidR="00557663" w:rsidRPr="00384EC1">
        <w:rPr>
          <w:lang w:val="es-ES_tradnl" w:eastAsia="ja-JP"/>
        </w:rPr>
        <w:t> </w:t>
      </w:r>
      <w:r w:rsidRPr="00384EC1">
        <w:rPr>
          <w:lang w:val="es-ES_tradnl" w:eastAsia="ja-JP"/>
        </w:rPr>
        <w:t>4 se muestra en detalle un ejemplo de definición de la densidad espectral de potencia relativa respecto a la portadora original.</w:t>
      </w:r>
    </w:p>
    <w:p w:rsidR="000E28E0" w:rsidRPr="00384EC1" w:rsidRDefault="000E28E0" w:rsidP="000E28E0">
      <w:pPr>
        <w:pStyle w:val="TableNo"/>
        <w:rPr>
          <w:lang w:val="es-ES_tradnl"/>
        </w:rPr>
      </w:pPr>
      <w:bookmarkStart w:id="7" w:name="_Ref361310356"/>
      <w:r w:rsidRPr="00384EC1">
        <w:rPr>
          <w:lang w:val="es-ES_tradnl"/>
        </w:rPr>
        <w:t>CUADRO 3</w:t>
      </w:r>
      <w:bookmarkEnd w:id="7"/>
    </w:p>
    <w:p w:rsidR="000E28E0" w:rsidRPr="00384EC1" w:rsidRDefault="000E28E0" w:rsidP="007D7ECC">
      <w:pPr>
        <w:pStyle w:val="Tabletitle"/>
        <w:rPr>
          <w:lang w:val="es-ES_tradnl"/>
        </w:rPr>
      </w:pPr>
      <w:r w:rsidRPr="00384EC1">
        <w:rPr>
          <w:lang w:val="es-ES_tradnl"/>
        </w:rPr>
        <w:t>Ejemplo de niveles de densidad espectral de potencia</w:t>
      </w:r>
      <w:r w:rsidR="007D7ECC" w:rsidRPr="00384EC1">
        <w:rPr>
          <w:lang w:val="es-ES_tradnl"/>
        </w:rPr>
        <w:br/>
      </w:r>
      <w:r w:rsidRPr="00384EC1">
        <w:rPr>
          <w:lang w:val="es-ES_tradnl"/>
        </w:rPr>
        <w:t>relativos a la portadora original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515"/>
        <w:gridCol w:w="3855"/>
      </w:tblGrid>
      <w:tr w:rsidR="007D7ECC" w:rsidRPr="00385729" w:rsidTr="007D7ECC">
        <w:trPr>
          <w:jc w:val="center"/>
        </w:trPr>
        <w:tc>
          <w:tcPr>
            <w:tcW w:w="2268" w:type="dxa"/>
            <w:vAlign w:val="center"/>
          </w:tcPr>
          <w:p w:rsidR="000E28E0" w:rsidRPr="00384EC1" w:rsidRDefault="000E28E0" w:rsidP="007D7ECC">
            <w:pPr>
              <w:pStyle w:val="Tablehead"/>
              <w:rPr>
                <w:lang w:val="es-ES_tradnl"/>
              </w:rPr>
            </w:pPr>
            <w:r w:rsidRPr="00384EC1">
              <w:rPr>
                <w:lang w:val="es-ES_tradnl"/>
              </w:rPr>
              <w:t>Velocidad de chip</w:t>
            </w:r>
            <w:r w:rsidR="007D7ECC" w:rsidRPr="00384EC1">
              <w:rPr>
                <w:lang w:val="es-ES_tradnl"/>
              </w:rPr>
              <w:t xml:space="preserve"> </w:t>
            </w:r>
            <w:r w:rsidRPr="00384EC1">
              <w:rPr>
                <w:lang w:val="es-ES_tradnl"/>
              </w:rPr>
              <w:t>del</w:t>
            </w:r>
            <w:r w:rsidR="007D7ECC" w:rsidRPr="00384EC1">
              <w:rPr>
                <w:lang w:val="es-ES_tradnl"/>
              </w:rPr>
              <w:br/>
            </w:r>
            <w:r w:rsidRPr="00384EC1">
              <w:rPr>
                <w:lang w:val="es-ES_tradnl"/>
              </w:rPr>
              <w:t xml:space="preserve">ID de portadora </w:t>
            </w:r>
            <w:r w:rsidRPr="00384EC1">
              <w:rPr>
                <w:lang w:val="es-ES_tradnl"/>
              </w:rPr>
              <w:br/>
              <w:t>(kHz)</w:t>
            </w:r>
          </w:p>
        </w:tc>
        <w:tc>
          <w:tcPr>
            <w:tcW w:w="3515" w:type="dxa"/>
            <w:shd w:val="clear" w:color="auto" w:fill="auto"/>
            <w:vAlign w:val="center"/>
          </w:tcPr>
          <w:p w:rsidR="000E28E0" w:rsidRPr="00384EC1" w:rsidRDefault="000E28E0" w:rsidP="00557663">
            <w:pPr>
              <w:pStyle w:val="Tablehead"/>
              <w:rPr>
                <w:lang w:val="es-ES_tradnl"/>
              </w:rPr>
            </w:pPr>
            <w:r w:rsidRPr="00384EC1">
              <w:rPr>
                <w:lang w:val="es-ES_tradnl"/>
              </w:rPr>
              <w:t>Gama de velocidades de símbolos</w:t>
            </w:r>
            <w:r w:rsidR="00557663" w:rsidRPr="00384EC1">
              <w:rPr>
                <w:lang w:val="es-ES_tradnl"/>
              </w:rPr>
              <w:br/>
            </w:r>
            <w:r w:rsidRPr="00384EC1">
              <w:rPr>
                <w:lang w:val="es-ES_tradnl"/>
              </w:rPr>
              <w:t xml:space="preserve">de la portadora anfitrión (S) </w:t>
            </w:r>
            <w:r w:rsidRPr="00384EC1">
              <w:rPr>
                <w:lang w:val="es-ES_tradnl"/>
              </w:rPr>
              <w:br/>
              <w:t>(kBaud)</w:t>
            </w:r>
          </w:p>
        </w:tc>
        <w:tc>
          <w:tcPr>
            <w:tcW w:w="3855" w:type="dxa"/>
            <w:shd w:val="clear" w:color="auto" w:fill="auto"/>
            <w:vAlign w:val="center"/>
          </w:tcPr>
          <w:p w:rsidR="000E28E0" w:rsidRPr="00384EC1" w:rsidRDefault="000E28E0" w:rsidP="00557663">
            <w:pPr>
              <w:pStyle w:val="Tablehead"/>
              <w:rPr>
                <w:lang w:val="es-ES_tradnl"/>
              </w:rPr>
            </w:pPr>
            <w:r w:rsidRPr="00384EC1">
              <w:rPr>
                <w:lang w:val="es-ES_tradnl"/>
              </w:rPr>
              <w:t>Nivel de DEP de la portadora original</w:t>
            </w:r>
            <w:r w:rsidR="00557663" w:rsidRPr="00384EC1">
              <w:rPr>
                <w:lang w:val="es-ES_tradnl"/>
              </w:rPr>
              <w:br/>
            </w:r>
            <w:r w:rsidRPr="00384EC1">
              <w:rPr>
                <w:lang w:val="es-ES_tradnl"/>
              </w:rPr>
              <w:t>relativa a la DEP del centro</w:t>
            </w:r>
            <w:r w:rsidR="007D7ECC" w:rsidRPr="00384EC1">
              <w:rPr>
                <w:lang w:val="es-ES_tradnl"/>
              </w:rPr>
              <w:br/>
              <w:t>de la portadora anfitrión</w:t>
            </w:r>
            <w:r w:rsidRPr="00384EC1">
              <w:rPr>
                <w:lang w:val="es-ES_tradnl"/>
              </w:rPr>
              <w:br/>
              <w:t>(dB)</w:t>
            </w:r>
          </w:p>
        </w:tc>
      </w:tr>
      <w:tr w:rsidR="007D7ECC" w:rsidRPr="00384EC1" w:rsidTr="007D7ECC">
        <w:trPr>
          <w:jc w:val="center"/>
        </w:trPr>
        <w:tc>
          <w:tcPr>
            <w:tcW w:w="2268" w:type="dxa"/>
            <w:vAlign w:val="center"/>
          </w:tcPr>
          <w:p w:rsidR="000E28E0" w:rsidRPr="00384EC1" w:rsidRDefault="000E28E0" w:rsidP="00FF7BAA">
            <w:pPr>
              <w:pStyle w:val="Tabletext"/>
              <w:jc w:val="center"/>
              <w:rPr>
                <w:lang w:val="es-ES_tradnl"/>
              </w:rPr>
            </w:pPr>
            <w:r w:rsidRPr="00384EC1">
              <w:rPr>
                <w:lang w:val="es-ES_tradnl"/>
              </w:rPr>
              <w:t>112</w:t>
            </w:r>
          </w:p>
        </w:tc>
        <w:tc>
          <w:tcPr>
            <w:tcW w:w="3515" w:type="dxa"/>
            <w:shd w:val="clear" w:color="auto" w:fill="auto"/>
            <w:vAlign w:val="center"/>
          </w:tcPr>
          <w:p w:rsidR="000E28E0" w:rsidRPr="00384EC1" w:rsidRDefault="000E28E0" w:rsidP="00FF7BAA">
            <w:pPr>
              <w:pStyle w:val="Tabletext"/>
              <w:jc w:val="center"/>
              <w:rPr>
                <w:lang w:val="es-ES_tradnl"/>
              </w:rPr>
            </w:pPr>
            <w:r w:rsidRPr="00384EC1">
              <w:rPr>
                <w:lang w:val="es-ES_tradnl"/>
              </w:rPr>
              <w:t>128 ≤ S &lt; 256</w:t>
            </w:r>
          </w:p>
        </w:tc>
        <w:tc>
          <w:tcPr>
            <w:tcW w:w="3855" w:type="dxa"/>
            <w:shd w:val="clear" w:color="auto" w:fill="auto"/>
            <w:vAlign w:val="center"/>
          </w:tcPr>
          <w:p w:rsidR="000E28E0" w:rsidRPr="00384EC1" w:rsidRDefault="000E28E0" w:rsidP="00FF7BAA">
            <w:pPr>
              <w:pStyle w:val="Tabletext"/>
              <w:jc w:val="center"/>
              <w:rPr>
                <w:lang w:val="es-ES_tradnl"/>
              </w:rPr>
            </w:pPr>
            <w:r w:rsidRPr="00384EC1">
              <w:rPr>
                <w:lang w:val="es-ES_tradnl"/>
              </w:rPr>
              <w:t>–27,5</w:t>
            </w:r>
          </w:p>
        </w:tc>
      </w:tr>
      <w:tr w:rsidR="007D7ECC" w:rsidRPr="00384EC1" w:rsidTr="007D7ECC">
        <w:trPr>
          <w:jc w:val="center"/>
        </w:trPr>
        <w:tc>
          <w:tcPr>
            <w:tcW w:w="2268" w:type="dxa"/>
            <w:vAlign w:val="center"/>
          </w:tcPr>
          <w:p w:rsidR="000E28E0" w:rsidRPr="00384EC1" w:rsidRDefault="000E28E0" w:rsidP="00FF7BAA">
            <w:pPr>
              <w:pStyle w:val="Tabletext"/>
              <w:jc w:val="center"/>
              <w:rPr>
                <w:lang w:val="es-ES_tradnl"/>
              </w:rPr>
            </w:pPr>
            <w:r w:rsidRPr="00384EC1">
              <w:rPr>
                <w:lang w:val="es-ES_tradnl"/>
              </w:rPr>
              <w:t>112</w:t>
            </w:r>
          </w:p>
        </w:tc>
        <w:tc>
          <w:tcPr>
            <w:tcW w:w="3515" w:type="dxa"/>
            <w:shd w:val="clear" w:color="auto" w:fill="auto"/>
            <w:vAlign w:val="center"/>
          </w:tcPr>
          <w:p w:rsidR="000E28E0" w:rsidRPr="00384EC1" w:rsidRDefault="000E28E0" w:rsidP="00FF7BAA">
            <w:pPr>
              <w:pStyle w:val="Tabletext"/>
              <w:jc w:val="center"/>
              <w:rPr>
                <w:lang w:val="es-ES_tradnl"/>
              </w:rPr>
            </w:pPr>
            <w:r w:rsidRPr="00384EC1">
              <w:rPr>
                <w:lang w:val="es-ES_tradnl"/>
              </w:rPr>
              <w:t>256 ≤ S &lt; 512</w:t>
            </w:r>
          </w:p>
        </w:tc>
        <w:tc>
          <w:tcPr>
            <w:tcW w:w="3855" w:type="dxa"/>
            <w:shd w:val="clear" w:color="auto" w:fill="auto"/>
            <w:vAlign w:val="center"/>
          </w:tcPr>
          <w:p w:rsidR="000E28E0" w:rsidRPr="00384EC1" w:rsidRDefault="000E28E0" w:rsidP="00FF7BAA">
            <w:pPr>
              <w:pStyle w:val="Tabletext"/>
              <w:jc w:val="center"/>
              <w:rPr>
                <w:lang w:val="es-ES_tradnl"/>
              </w:rPr>
            </w:pPr>
            <w:r w:rsidRPr="00384EC1">
              <w:rPr>
                <w:lang w:val="es-ES_tradnl"/>
              </w:rPr>
              <w:t>–27,5</w:t>
            </w:r>
          </w:p>
        </w:tc>
      </w:tr>
      <w:tr w:rsidR="007D7ECC" w:rsidRPr="00384EC1" w:rsidTr="007D7ECC">
        <w:trPr>
          <w:jc w:val="center"/>
        </w:trPr>
        <w:tc>
          <w:tcPr>
            <w:tcW w:w="2268" w:type="dxa"/>
            <w:vAlign w:val="center"/>
          </w:tcPr>
          <w:p w:rsidR="000E28E0" w:rsidRPr="00384EC1" w:rsidRDefault="000E28E0" w:rsidP="00FF7BAA">
            <w:pPr>
              <w:pStyle w:val="Tabletext"/>
              <w:jc w:val="center"/>
              <w:rPr>
                <w:lang w:val="es-ES_tradnl"/>
              </w:rPr>
            </w:pPr>
            <w:r w:rsidRPr="00384EC1">
              <w:rPr>
                <w:lang w:val="es-ES_tradnl"/>
              </w:rPr>
              <w:t>224</w:t>
            </w:r>
          </w:p>
        </w:tc>
        <w:tc>
          <w:tcPr>
            <w:tcW w:w="3515" w:type="dxa"/>
            <w:shd w:val="clear" w:color="auto" w:fill="auto"/>
            <w:vAlign w:val="center"/>
          </w:tcPr>
          <w:p w:rsidR="000E28E0" w:rsidRPr="00384EC1" w:rsidRDefault="000E28E0" w:rsidP="00FF7BAA">
            <w:pPr>
              <w:pStyle w:val="Tabletext"/>
              <w:jc w:val="center"/>
              <w:rPr>
                <w:lang w:val="es-ES_tradnl"/>
              </w:rPr>
            </w:pPr>
            <w:r w:rsidRPr="00384EC1">
              <w:rPr>
                <w:lang w:val="es-ES_tradnl"/>
              </w:rPr>
              <w:t>512 ≤ S &lt; 1024</w:t>
            </w:r>
          </w:p>
        </w:tc>
        <w:tc>
          <w:tcPr>
            <w:tcW w:w="3855" w:type="dxa"/>
            <w:shd w:val="clear" w:color="auto" w:fill="auto"/>
            <w:vAlign w:val="center"/>
          </w:tcPr>
          <w:p w:rsidR="000E28E0" w:rsidRPr="00384EC1" w:rsidRDefault="000E28E0" w:rsidP="00FF7BAA">
            <w:pPr>
              <w:pStyle w:val="Tabletext"/>
              <w:jc w:val="center"/>
              <w:rPr>
                <w:lang w:val="es-ES_tradnl"/>
              </w:rPr>
            </w:pPr>
            <w:r w:rsidRPr="00384EC1">
              <w:rPr>
                <w:lang w:val="es-ES_tradnl"/>
              </w:rPr>
              <w:t>–27,5</w:t>
            </w:r>
          </w:p>
        </w:tc>
      </w:tr>
      <w:tr w:rsidR="007D7ECC" w:rsidRPr="00384EC1" w:rsidTr="007D7ECC">
        <w:trPr>
          <w:jc w:val="center"/>
        </w:trPr>
        <w:tc>
          <w:tcPr>
            <w:tcW w:w="2268" w:type="dxa"/>
            <w:vAlign w:val="center"/>
          </w:tcPr>
          <w:p w:rsidR="000E28E0" w:rsidRPr="00384EC1" w:rsidRDefault="000E28E0" w:rsidP="00FF7BAA">
            <w:pPr>
              <w:pStyle w:val="Tabletext"/>
              <w:jc w:val="center"/>
              <w:rPr>
                <w:lang w:val="es-ES_tradnl"/>
              </w:rPr>
            </w:pPr>
            <w:r w:rsidRPr="00384EC1">
              <w:rPr>
                <w:lang w:val="es-ES_tradnl"/>
              </w:rPr>
              <w:t>224</w:t>
            </w:r>
          </w:p>
        </w:tc>
        <w:tc>
          <w:tcPr>
            <w:tcW w:w="3515" w:type="dxa"/>
            <w:shd w:val="clear" w:color="auto" w:fill="auto"/>
            <w:vAlign w:val="center"/>
          </w:tcPr>
          <w:p w:rsidR="000E28E0" w:rsidRPr="00384EC1" w:rsidRDefault="000E28E0" w:rsidP="00FF7BAA">
            <w:pPr>
              <w:pStyle w:val="Tabletext"/>
              <w:jc w:val="center"/>
              <w:rPr>
                <w:lang w:val="es-ES_tradnl"/>
              </w:rPr>
            </w:pPr>
            <w:r w:rsidRPr="00384EC1">
              <w:rPr>
                <w:lang w:val="es-ES_tradnl"/>
              </w:rPr>
              <w:t>1 024 ≤ S &lt; 2 048</w:t>
            </w:r>
          </w:p>
        </w:tc>
        <w:tc>
          <w:tcPr>
            <w:tcW w:w="3855" w:type="dxa"/>
            <w:shd w:val="clear" w:color="auto" w:fill="auto"/>
            <w:vAlign w:val="center"/>
          </w:tcPr>
          <w:p w:rsidR="000E28E0" w:rsidRPr="00384EC1" w:rsidRDefault="000E28E0" w:rsidP="00FF7BAA">
            <w:pPr>
              <w:pStyle w:val="Tabletext"/>
              <w:jc w:val="center"/>
              <w:rPr>
                <w:lang w:val="es-ES_tradnl"/>
              </w:rPr>
            </w:pPr>
            <w:r w:rsidRPr="00384EC1">
              <w:rPr>
                <w:lang w:val="es-ES_tradnl"/>
              </w:rPr>
              <w:t>–27,5</w:t>
            </w:r>
          </w:p>
        </w:tc>
      </w:tr>
      <w:tr w:rsidR="007D7ECC" w:rsidRPr="00384EC1" w:rsidTr="007D7ECC">
        <w:trPr>
          <w:jc w:val="center"/>
        </w:trPr>
        <w:tc>
          <w:tcPr>
            <w:tcW w:w="2268" w:type="dxa"/>
            <w:vAlign w:val="center"/>
          </w:tcPr>
          <w:p w:rsidR="000E28E0" w:rsidRPr="00384EC1" w:rsidRDefault="000E28E0" w:rsidP="00FF7BAA">
            <w:pPr>
              <w:pStyle w:val="Tabletext"/>
              <w:jc w:val="center"/>
              <w:rPr>
                <w:lang w:val="es-ES_tradnl"/>
              </w:rPr>
            </w:pPr>
            <w:r w:rsidRPr="00384EC1">
              <w:rPr>
                <w:lang w:val="es-ES_tradnl"/>
              </w:rPr>
              <w:t>224</w:t>
            </w:r>
          </w:p>
        </w:tc>
        <w:tc>
          <w:tcPr>
            <w:tcW w:w="3515" w:type="dxa"/>
            <w:shd w:val="clear" w:color="auto" w:fill="auto"/>
            <w:vAlign w:val="center"/>
          </w:tcPr>
          <w:p w:rsidR="000E28E0" w:rsidRPr="00384EC1" w:rsidRDefault="000E28E0" w:rsidP="00FF7BAA">
            <w:pPr>
              <w:pStyle w:val="Tabletext"/>
              <w:jc w:val="center"/>
              <w:rPr>
                <w:lang w:val="es-ES_tradnl"/>
              </w:rPr>
            </w:pPr>
            <w:r w:rsidRPr="00384EC1">
              <w:rPr>
                <w:lang w:val="es-ES_tradnl"/>
              </w:rPr>
              <w:t>2 048 ≤ S &lt; 4 096</w:t>
            </w:r>
          </w:p>
        </w:tc>
        <w:tc>
          <w:tcPr>
            <w:tcW w:w="3855" w:type="dxa"/>
            <w:shd w:val="clear" w:color="auto" w:fill="auto"/>
            <w:vAlign w:val="center"/>
          </w:tcPr>
          <w:p w:rsidR="000E28E0" w:rsidRPr="00384EC1" w:rsidRDefault="000E28E0" w:rsidP="00FF7BAA">
            <w:pPr>
              <w:pStyle w:val="Tabletext"/>
              <w:jc w:val="center"/>
              <w:rPr>
                <w:lang w:val="es-ES_tradnl"/>
              </w:rPr>
            </w:pPr>
            <w:r w:rsidRPr="00384EC1">
              <w:rPr>
                <w:lang w:val="es-ES_tradnl"/>
              </w:rPr>
              <w:t>–24,5</w:t>
            </w:r>
          </w:p>
        </w:tc>
      </w:tr>
      <w:tr w:rsidR="007D7ECC" w:rsidRPr="00384EC1" w:rsidTr="007D7ECC">
        <w:trPr>
          <w:jc w:val="center"/>
        </w:trPr>
        <w:tc>
          <w:tcPr>
            <w:tcW w:w="2268" w:type="dxa"/>
            <w:vAlign w:val="center"/>
          </w:tcPr>
          <w:p w:rsidR="000E28E0" w:rsidRPr="00384EC1" w:rsidRDefault="000E28E0" w:rsidP="00FF7BAA">
            <w:pPr>
              <w:pStyle w:val="Tabletext"/>
              <w:jc w:val="center"/>
              <w:rPr>
                <w:lang w:val="es-ES_tradnl"/>
              </w:rPr>
            </w:pPr>
            <w:r w:rsidRPr="00384EC1">
              <w:rPr>
                <w:lang w:val="es-ES_tradnl"/>
              </w:rPr>
              <w:t>224</w:t>
            </w:r>
          </w:p>
        </w:tc>
        <w:tc>
          <w:tcPr>
            <w:tcW w:w="3515" w:type="dxa"/>
            <w:shd w:val="clear" w:color="auto" w:fill="auto"/>
            <w:vAlign w:val="center"/>
          </w:tcPr>
          <w:p w:rsidR="000E28E0" w:rsidRPr="00384EC1" w:rsidRDefault="000E28E0" w:rsidP="00FF7BAA">
            <w:pPr>
              <w:pStyle w:val="Tabletext"/>
              <w:jc w:val="center"/>
              <w:rPr>
                <w:lang w:val="es-ES_tradnl"/>
              </w:rPr>
            </w:pPr>
            <w:r w:rsidRPr="00384EC1">
              <w:rPr>
                <w:lang w:val="es-ES_tradnl"/>
              </w:rPr>
              <w:t>4 096 ≤ S &lt; 8 192</w:t>
            </w:r>
          </w:p>
        </w:tc>
        <w:tc>
          <w:tcPr>
            <w:tcW w:w="3855" w:type="dxa"/>
            <w:shd w:val="clear" w:color="auto" w:fill="auto"/>
            <w:vAlign w:val="center"/>
          </w:tcPr>
          <w:p w:rsidR="000E28E0" w:rsidRPr="00384EC1" w:rsidRDefault="000E28E0" w:rsidP="00FF7BAA">
            <w:pPr>
              <w:pStyle w:val="Tabletext"/>
              <w:jc w:val="center"/>
              <w:rPr>
                <w:lang w:val="es-ES_tradnl"/>
              </w:rPr>
            </w:pPr>
            <w:r w:rsidRPr="00384EC1">
              <w:rPr>
                <w:lang w:val="es-ES_tradnl"/>
              </w:rPr>
              <w:t>–21,5</w:t>
            </w:r>
          </w:p>
        </w:tc>
      </w:tr>
      <w:tr w:rsidR="007D7ECC" w:rsidRPr="00384EC1" w:rsidTr="007D7ECC">
        <w:trPr>
          <w:jc w:val="center"/>
        </w:trPr>
        <w:tc>
          <w:tcPr>
            <w:tcW w:w="2268" w:type="dxa"/>
            <w:vAlign w:val="center"/>
          </w:tcPr>
          <w:p w:rsidR="000E28E0" w:rsidRPr="00384EC1" w:rsidRDefault="000E28E0" w:rsidP="00FF7BAA">
            <w:pPr>
              <w:pStyle w:val="Tabletext"/>
              <w:jc w:val="center"/>
              <w:rPr>
                <w:lang w:val="es-ES_tradnl"/>
              </w:rPr>
            </w:pPr>
            <w:r w:rsidRPr="00384EC1">
              <w:rPr>
                <w:lang w:val="es-ES_tradnl"/>
              </w:rPr>
              <w:t>224</w:t>
            </w:r>
          </w:p>
        </w:tc>
        <w:tc>
          <w:tcPr>
            <w:tcW w:w="3515" w:type="dxa"/>
            <w:shd w:val="clear" w:color="auto" w:fill="auto"/>
            <w:vAlign w:val="center"/>
          </w:tcPr>
          <w:p w:rsidR="000E28E0" w:rsidRPr="00384EC1" w:rsidRDefault="000E28E0" w:rsidP="00FF7BAA">
            <w:pPr>
              <w:pStyle w:val="Tabletext"/>
              <w:jc w:val="center"/>
              <w:rPr>
                <w:lang w:val="es-ES_tradnl"/>
              </w:rPr>
            </w:pPr>
            <w:r w:rsidRPr="00384EC1">
              <w:rPr>
                <w:lang w:val="es-ES_tradnl"/>
              </w:rPr>
              <w:t>8 192 ≤ S &lt; 16 384</w:t>
            </w:r>
          </w:p>
        </w:tc>
        <w:tc>
          <w:tcPr>
            <w:tcW w:w="3855" w:type="dxa"/>
            <w:shd w:val="clear" w:color="auto" w:fill="auto"/>
            <w:vAlign w:val="center"/>
          </w:tcPr>
          <w:p w:rsidR="000E28E0" w:rsidRPr="00384EC1" w:rsidRDefault="000E28E0" w:rsidP="00FF7BAA">
            <w:pPr>
              <w:pStyle w:val="Tabletext"/>
              <w:jc w:val="center"/>
              <w:rPr>
                <w:lang w:val="es-ES_tradnl"/>
              </w:rPr>
            </w:pPr>
            <w:r w:rsidRPr="00384EC1">
              <w:rPr>
                <w:lang w:val="es-ES_tradnl"/>
              </w:rPr>
              <w:t>–18,5</w:t>
            </w:r>
          </w:p>
        </w:tc>
      </w:tr>
      <w:tr w:rsidR="007D7ECC" w:rsidRPr="00384EC1" w:rsidTr="007D7ECC">
        <w:trPr>
          <w:jc w:val="center"/>
        </w:trPr>
        <w:tc>
          <w:tcPr>
            <w:tcW w:w="2268" w:type="dxa"/>
            <w:vAlign w:val="center"/>
          </w:tcPr>
          <w:p w:rsidR="000E28E0" w:rsidRPr="00384EC1" w:rsidRDefault="000E28E0" w:rsidP="00FF7BAA">
            <w:pPr>
              <w:pStyle w:val="Tabletext"/>
              <w:jc w:val="center"/>
              <w:rPr>
                <w:lang w:val="es-ES_tradnl"/>
              </w:rPr>
            </w:pPr>
            <w:r w:rsidRPr="00384EC1">
              <w:rPr>
                <w:lang w:val="es-ES_tradnl"/>
              </w:rPr>
              <w:t>224</w:t>
            </w:r>
          </w:p>
        </w:tc>
        <w:tc>
          <w:tcPr>
            <w:tcW w:w="3515" w:type="dxa"/>
            <w:shd w:val="clear" w:color="auto" w:fill="auto"/>
            <w:vAlign w:val="center"/>
          </w:tcPr>
          <w:p w:rsidR="000E28E0" w:rsidRPr="00384EC1" w:rsidRDefault="000E28E0" w:rsidP="00FF7BAA">
            <w:pPr>
              <w:pStyle w:val="Tabletext"/>
              <w:jc w:val="center"/>
              <w:rPr>
                <w:lang w:val="es-ES_tradnl"/>
              </w:rPr>
            </w:pPr>
            <w:r w:rsidRPr="00384EC1">
              <w:rPr>
                <w:lang w:val="es-ES_tradnl"/>
              </w:rPr>
              <w:t>16 384 ≤ S</w:t>
            </w:r>
          </w:p>
        </w:tc>
        <w:tc>
          <w:tcPr>
            <w:tcW w:w="3855" w:type="dxa"/>
            <w:shd w:val="clear" w:color="auto" w:fill="auto"/>
            <w:vAlign w:val="center"/>
          </w:tcPr>
          <w:p w:rsidR="000E28E0" w:rsidRPr="00384EC1" w:rsidRDefault="000E28E0" w:rsidP="00FF7BAA">
            <w:pPr>
              <w:pStyle w:val="Tabletext"/>
              <w:jc w:val="center"/>
              <w:rPr>
                <w:lang w:val="es-ES_tradnl"/>
              </w:rPr>
            </w:pPr>
            <w:r w:rsidRPr="00384EC1">
              <w:rPr>
                <w:lang w:val="es-ES_tradnl"/>
              </w:rPr>
              <w:t>–17,5</w:t>
            </w:r>
          </w:p>
        </w:tc>
      </w:tr>
    </w:tbl>
    <w:p w:rsidR="000E28E0" w:rsidRPr="00384EC1" w:rsidRDefault="000E28E0" w:rsidP="000E28E0">
      <w:pPr>
        <w:pStyle w:val="Tablefin"/>
        <w:rPr>
          <w:rFonts w:asciiTheme="majorHAnsi" w:hAnsiTheme="majorHAnsi"/>
          <w:lang w:val="es-ES_tradnl"/>
        </w:rPr>
      </w:pPr>
      <w:bookmarkStart w:id="8" w:name="_Ref361313798"/>
    </w:p>
    <w:p w:rsidR="000E28E0" w:rsidRPr="00384EC1" w:rsidRDefault="000E28E0" w:rsidP="000E28E0">
      <w:pPr>
        <w:pStyle w:val="FigureNo"/>
        <w:rPr>
          <w:lang w:val="es-ES_tradnl"/>
        </w:rPr>
      </w:pPr>
      <w:r w:rsidRPr="00384EC1">
        <w:rPr>
          <w:lang w:val="es-ES_tradnl"/>
        </w:rPr>
        <w:t>Figur</w:t>
      </w:r>
      <w:bookmarkEnd w:id="8"/>
      <w:r w:rsidR="00557663" w:rsidRPr="00384EC1">
        <w:rPr>
          <w:lang w:val="es-ES_tradnl"/>
        </w:rPr>
        <w:t>A 4</w:t>
      </w:r>
    </w:p>
    <w:p w:rsidR="000E28E0" w:rsidRPr="00384EC1" w:rsidRDefault="000E28E0" w:rsidP="0006189D">
      <w:pPr>
        <w:pStyle w:val="Figuretitle"/>
        <w:rPr>
          <w:lang w:val="es-ES_tradnl"/>
        </w:rPr>
      </w:pPr>
      <w:r w:rsidRPr="00384EC1">
        <w:rPr>
          <w:lang w:val="es-ES_tradnl"/>
        </w:rPr>
        <w:t>Nivel de DEP de la portadora original relativo a la DEP</w:t>
      </w:r>
      <w:r w:rsidR="0006189D" w:rsidRPr="00384EC1">
        <w:rPr>
          <w:lang w:val="es-ES_tradnl"/>
        </w:rPr>
        <w:br/>
      </w:r>
      <w:r w:rsidRPr="00384EC1">
        <w:rPr>
          <w:lang w:val="es-ES_tradnl"/>
        </w:rPr>
        <w:t>del centro de la portadora anfitrión</w:t>
      </w:r>
    </w:p>
    <w:p w:rsidR="000E28E0" w:rsidRPr="00384EC1" w:rsidRDefault="0006189D" w:rsidP="000E28E0">
      <w:pPr>
        <w:pStyle w:val="Figure"/>
        <w:rPr>
          <w:rFonts w:asciiTheme="majorHAnsi" w:hAnsiTheme="majorHAnsi"/>
          <w:lang w:val="es-ES_tradnl"/>
        </w:rPr>
      </w:pPr>
      <w:r w:rsidRPr="00384EC1">
        <w:rPr>
          <w:rFonts w:asciiTheme="majorHAnsi" w:hAnsiTheme="majorHAnsi"/>
          <w:noProof/>
          <w:lang w:val="es-ES_tradnl" w:eastAsia="zh-CN"/>
        </w:rPr>
        <w:object w:dxaOrig="4200" w:dyaOrig="2212">
          <v:shape id="_x0000_i1028" type="#_x0000_t75" style="width:357.5pt;height:188.5pt" o:ole="">
            <v:imagedata r:id="rId18" o:title=""/>
          </v:shape>
          <o:OLEObject Type="Embed" ProgID="CorelDraw.Graphic.16" ShapeID="_x0000_i1028" DrawAspect="Content" ObjectID="_1521621402" r:id="rId19"/>
        </w:object>
      </w:r>
    </w:p>
    <w:p w:rsidR="000E28E0" w:rsidRPr="00384EC1" w:rsidRDefault="000E28E0" w:rsidP="000E28E0">
      <w:pPr>
        <w:pStyle w:val="Heading2"/>
        <w:rPr>
          <w:lang w:val="es-ES_tradnl"/>
        </w:rPr>
      </w:pPr>
      <w:r w:rsidRPr="00384EC1">
        <w:rPr>
          <w:lang w:val="es-ES_tradnl"/>
        </w:rPr>
        <w:t>2.3</w:t>
      </w:r>
      <w:r w:rsidRPr="00384EC1">
        <w:rPr>
          <w:lang w:val="es-ES_tradnl"/>
        </w:rPr>
        <w:tab/>
        <w:t>Especificaciones comparativas entre el ID-portadora NIT y el ID-portadora de espectro ensanchado</w:t>
      </w:r>
    </w:p>
    <w:p w:rsidR="000E28E0" w:rsidRPr="00384EC1" w:rsidRDefault="000E28E0" w:rsidP="00557663">
      <w:pPr>
        <w:rPr>
          <w:lang w:val="es-ES_tradnl" w:eastAsia="ja-JP"/>
        </w:rPr>
      </w:pPr>
      <w:r w:rsidRPr="00384EC1">
        <w:rPr>
          <w:lang w:val="es-ES_tradnl" w:eastAsia="ja-JP"/>
        </w:rPr>
        <w:t>En el Cuadro</w:t>
      </w:r>
      <w:r w:rsidR="00557663" w:rsidRPr="00384EC1">
        <w:rPr>
          <w:lang w:val="es-ES_tradnl" w:eastAsia="ja-JP"/>
        </w:rPr>
        <w:t> </w:t>
      </w:r>
      <w:r w:rsidRPr="00384EC1">
        <w:rPr>
          <w:lang w:val="es-ES_tradnl" w:eastAsia="ja-JP"/>
        </w:rPr>
        <w:t>4 se muestra la especificación comparativa entre los sistemas de ID-portadora NIT y el ID-portadora de espectro ensanchado, con las ventajas e inconvenientes de cada sistema.</w:t>
      </w:r>
    </w:p>
    <w:p w:rsidR="000E28E0" w:rsidRPr="00384EC1" w:rsidRDefault="000E28E0" w:rsidP="000E28E0">
      <w:pPr>
        <w:pStyle w:val="TableNo"/>
        <w:rPr>
          <w:lang w:val="es-ES_tradnl"/>
        </w:rPr>
      </w:pPr>
      <w:r w:rsidRPr="00384EC1">
        <w:rPr>
          <w:lang w:val="es-ES_tradnl"/>
        </w:rPr>
        <w:lastRenderedPageBreak/>
        <w:t>CUADRO 4</w:t>
      </w:r>
    </w:p>
    <w:p w:rsidR="000E28E0" w:rsidRPr="00384EC1" w:rsidRDefault="000E28E0" w:rsidP="000E28E0">
      <w:pPr>
        <w:pStyle w:val="Tabletitle"/>
        <w:rPr>
          <w:lang w:val="es-ES_tradnl"/>
        </w:rPr>
      </w:pPr>
      <w:r w:rsidRPr="00384EC1">
        <w:rPr>
          <w:lang w:val="es-ES_tradnl"/>
        </w:rPr>
        <w:t>Especificaciones comparativas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5"/>
        <w:gridCol w:w="3221"/>
        <w:gridCol w:w="3233"/>
      </w:tblGrid>
      <w:tr w:rsidR="000E28E0" w:rsidRPr="00385729" w:rsidTr="00F943C2">
        <w:trPr>
          <w:jc w:val="center"/>
        </w:trPr>
        <w:tc>
          <w:tcPr>
            <w:tcW w:w="3185" w:type="dxa"/>
            <w:vAlign w:val="center"/>
          </w:tcPr>
          <w:p w:rsidR="000E28E0" w:rsidRPr="00384EC1" w:rsidRDefault="000E28E0" w:rsidP="00F943C2">
            <w:pPr>
              <w:pStyle w:val="Tablehead"/>
              <w:rPr>
                <w:lang w:val="es-ES_tradnl"/>
              </w:rPr>
            </w:pPr>
          </w:p>
        </w:tc>
        <w:tc>
          <w:tcPr>
            <w:tcW w:w="3221" w:type="dxa"/>
            <w:shd w:val="clear" w:color="auto" w:fill="auto"/>
            <w:vAlign w:val="center"/>
          </w:tcPr>
          <w:p w:rsidR="000E28E0" w:rsidRPr="00384EC1" w:rsidRDefault="000E28E0" w:rsidP="00F943C2">
            <w:pPr>
              <w:pStyle w:val="Tablehead"/>
              <w:rPr>
                <w:lang w:val="es-ES_tradnl"/>
              </w:rPr>
            </w:pPr>
            <w:r w:rsidRPr="00384EC1">
              <w:rPr>
                <w:lang w:val="es-ES_tradnl"/>
              </w:rPr>
              <w:t>ID-portadora NIT</w:t>
            </w:r>
          </w:p>
        </w:tc>
        <w:tc>
          <w:tcPr>
            <w:tcW w:w="3233" w:type="dxa"/>
            <w:shd w:val="clear" w:color="auto" w:fill="auto"/>
          </w:tcPr>
          <w:p w:rsidR="000E28E0" w:rsidRPr="00384EC1" w:rsidRDefault="000E28E0" w:rsidP="00FF7BAA">
            <w:pPr>
              <w:pStyle w:val="Tablehead"/>
              <w:rPr>
                <w:lang w:val="es-ES_tradnl"/>
              </w:rPr>
            </w:pPr>
            <w:r w:rsidRPr="00384EC1">
              <w:rPr>
                <w:lang w:val="es-ES_tradnl"/>
              </w:rPr>
              <w:t>ID-portadora de espectro ensanchado</w:t>
            </w:r>
          </w:p>
        </w:tc>
      </w:tr>
      <w:tr w:rsidR="000E28E0" w:rsidRPr="00385729" w:rsidTr="00317A4A">
        <w:trPr>
          <w:jc w:val="center"/>
        </w:trPr>
        <w:tc>
          <w:tcPr>
            <w:tcW w:w="3185" w:type="dxa"/>
          </w:tcPr>
          <w:p w:rsidR="000E28E0" w:rsidRPr="00384EC1" w:rsidRDefault="000E28E0" w:rsidP="00FF7BAA">
            <w:pPr>
              <w:pStyle w:val="Tabletext"/>
              <w:jc w:val="left"/>
              <w:rPr>
                <w:lang w:val="es-ES_tradnl"/>
              </w:rPr>
            </w:pPr>
            <w:r w:rsidRPr="00384EC1">
              <w:rPr>
                <w:lang w:val="es-ES_tradnl"/>
              </w:rPr>
              <w:t>Compatibilidad del transportador y la portadora</w:t>
            </w:r>
          </w:p>
        </w:tc>
        <w:tc>
          <w:tcPr>
            <w:tcW w:w="3221" w:type="dxa"/>
            <w:shd w:val="clear" w:color="auto" w:fill="auto"/>
          </w:tcPr>
          <w:p w:rsidR="000E28E0" w:rsidRPr="00384EC1" w:rsidRDefault="000E28E0" w:rsidP="00FF7BAA">
            <w:pPr>
              <w:pStyle w:val="Tabletext"/>
              <w:jc w:val="left"/>
              <w:rPr>
                <w:lang w:val="es-ES_tradnl"/>
              </w:rPr>
            </w:pPr>
            <w:r w:rsidRPr="00384EC1">
              <w:rPr>
                <w:lang w:val="es-ES_tradnl"/>
              </w:rPr>
              <w:t>Requiere MPEG-TS (</w:t>
            </w:r>
            <w:r w:rsidR="00F943C2" w:rsidRPr="00384EC1">
              <w:rPr>
                <w:lang w:val="es-ES_tradnl"/>
              </w:rPr>
              <w:t>vídeo</w:t>
            </w:r>
            <w:r w:rsidRPr="00384EC1">
              <w:rPr>
                <w:lang w:val="es-ES_tradnl"/>
              </w:rPr>
              <w:t>)</w:t>
            </w:r>
            <w:r w:rsidR="00F943C2" w:rsidRPr="00384EC1">
              <w:rPr>
                <w:lang w:val="es-ES_tradnl"/>
              </w:rPr>
              <w:t>:</w:t>
            </w:r>
          </w:p>
          <w:p w:rsidR="000E28E0" w:rsidRPr="00384EC1" w:rsidRDefault="000E28E0" w:rsidP="00FF7BAA">
            <w:pPr>
              <w:pStyle w:val="Tabletext"/>
              <w:jc w:val="left"/>
              <w:rPr>
                <w:lang w:val="es-ES_tradnl"/>
              </w:rPr>
            </w:pPr>
            <w:r w:rsidRPr="00384EC1">
              <w:rPr>
                <w:lang w:val="es-ES_tradnl"/>
              </w:rPr>
              <w:t>–</w:t>
            </w:r>
            <w:r w:rsidRPr="00384EC1">
              <w:rPr>
                <w:lang w:val="es-ES_tradnl"/>
              </w:rPr>
              <w:tab/>
            </w:r>
            <w:r w:rsidR="00F943C2" w:rsidRPr="00384EC1">
              <w:rPr>
                <w:lang w:val="es-ES_tradnl"/>
              </w:rPr>
              <w:t xml:space="preserve">contribución </w:t>
            </w:r>
            <w:r w:rsidRPr="00384EC1">
              <w:rPr>
                <w:lang w:val="es-ES_tradnl"/>
              </w:rPr>
              <w:t>de radiodifusión</w:t>
            </w:r>
          </w:p>
          <w:p w:rsidR="000E28E0" w:rsidRPr="00384EC1" w:rsidRDefault="000E28E0" w:rsidP="00FF7BAA">
            <w:pPr>
              <w:pStyle w:val="Tabletext"/>
              <w:jc w:val="left"/>
              <w:rPr>
                <w:lang w:val="es-ES_tradnl"/>
              </w:rPr>
            </w:pPr>
            <w:r w:rsidRPr="00384EC1">
              <w:rPr>
                <w:lang w:val="es-ES_tradnl"/>
              </w:rPr>
              <w:t>–</w:t>
            </w:r>
            <w:r w:rsidRPr="00384EC1">
              <w:rPr>
                <w:lang w:val="es-ES_tradnl"/>
              </w:rPr>
              <w:tab/>
            </w:r>
            <w:r w:rsidR="00F943C2" w:rsidRPr="00384EC1">
              <w:rPr>
                <w:lang w:val="es-ES_tradnl"/>
              </w:rPr>
              <w:t xml:space="preserve">distribución </w:t>
            </w:r>
            <w:r w:rsidRPr="00384EC1">
              <w:rPr>
                <w:lang w:val="es-ES_tradnl"/>
              </w:rPr>
              <w:t>de radiodifusión</w:t>
            </w:r>
          </w:p>
        </w:tc>
        <w:tc>
          <w:tcPr>
            <w:tcW w:w="3233" w:type="dxa"/>
            <w:shd w:val="clear" w:color="auto" w:fill="auto"/>
          </w:tcPr>
          <w:p w:rsidR="000E28E0" w:rsidRPr="00384EC1" w:rsidRDefault="000E28E0" w:rsidP="0006189D">
            <w:pPr>
              <w:pStyle w:val="Tabletext"/>
              <w:jc w:val="left"/>
              <w:rPr>
                <w:lang w:val="es-ES_tradnl"/>
              </w:rPr>
            </w:pPr>
            <w:r w:rsidRPr="00384EC1">
              <w:rPr>
                <w:lang w:val="es-ES_tradnl"/>
              </w:rPr>
              <w:t>Independiente de la portadora de</w:t>
            </w:r>
            <w:r w:rsidR="0006189D" w:rsidRPr="00384EC1">
              <w:rPr>
                <w:lang w:val="es-ES_tradnl"/>
              </w:rPr>
              <w:t> </w:t>
            </w:r>
            <w:r w:rsidRPr="00384EC1">
              <w:rPr>
                <w:lang w:val="es-ES_tradnl"/>
              </w:rPr>
              <w:t>tráfi</w:t>
            </w:r>
            <w:r w:rsidR="00317A4A" w:rsidRPr="00384EC1">
              <w:rPr>
                <w:lang w:val="es-ES_tradnl"/>
              </w:rPr>
              <w:t>co o el mecanismo de transporte</w:t>
            </w:r>
            <w:r w:rsidR="00F943C2" w:rsidRPr="00384EC1">
              <w:rPr>
                <w:lang w:val="es-ES_tradnl"/>
              </w:rPr>
              <w:t>:</w:t>
            </w:r>
          </w:p>
          <w:p w:rsidR="000E28E0" w:rsidRPr="00384EC1" w:rsidRDefault="000E28E0" w:rsidP="00FF7BAA">
            <w:pPr>
              <w:pStyle w:val="Tabletext"/>
              <w:ind w:left="284" w:hanging="284"/>
              <w:jc w:val="left"/>
              <w:rPr>
                <w:lang w:val="es-ES_tradnl"/>
              </w:rPr>
            </w:pPr>
            <w:r w:rsidRPr="00384EC1">
              <w:rPr>
                <w:lang w:val="es-ES_tradnl"/>
              </w:rPr>
              <w:t>–</w:t>
            </w:r>
            <w:r w:rsidRPr="00384EC1">
              <w:rPr>
                <w:lang w:val="es-ES_tradnl"/>
              </w:rPr>
              <w:tab/>
            </w:r>
            <w:r w:rsidR="00F943C2" w:rsidRPr="00384EC1">
              <w:rPr>
                <w:lang w:val="es-ES_tradnl"/>
              </w:rPr>
              <w:t xml:space="preserve">centrado </w:t>
            </w:r>
            <w:r w:rsidRPr="00384EC1">
              <w:rPr>
                <w:lang w:val="es-ES_tradnl"/>
              </w:rPr>
              <w:t>en el transporte de vídeo y datos</w:t>
            </w:r>
          </w:p>
        </w:tc>
      </w:tr>
      <w:tr w:rsidR="000E28E0" w:rsidRPr="00385729" w:rsidTr="00317A4A">
        <w:trPr>
          <w:jc w:val="center"/>
        </w:trPr>
        <w:tc>
          <w:tcPr>
            <w:tcW w:w="3185" w:type="dxa"/>
          </w:tcPr>
          <w:p w:rsidR="000E28E0" w:rsidRPr="00384EC1" w:rsidRDefault="000E28E0" w:rsidP="00FF7BAA">
            <w:pPr>
              <w:pStyle w:val="Tabletext"/>
              <w:jc w:val="left"/>
              <w:rPr>
                <w:lang w:val="es-ES_tradnl"/>
              </w:rPr>
            </w:pPr>
            <w:r w:rsidRPr="00384EC1">
              <w:rPr>
                <w:lang w:val="es-ES_tradnl"/>
              </w:rPr>
              <w:t>Modificación de la portadora original</w:t>
            </w:r>
          </w:p>
        </w:tc>
        <w:tc>
          <w:tcPr>
            <w:tcW w:w="3221" w:type="dxa"/>
            <w:shd w:val="clear" w:color="auto" w:fill="auto"/>
          </w:tcPr>
          <w:p w:rsidR="000E28E0" w:rsidRPr="00384EC1" w:rsidRDefault="000E28E0" w:rsidP="00FF7BAA">
            <w:pPr>
              <w:pStyle w:val="Tabletext"/>
              <w:jc w:val="left"/>
              <w:rPr>
                <w:lang w:val="es-ES_tradnl"/>
              </w:rPr>
            </w:pPr>
            <w:r w:rsidRPr="00384EC1">
              <w:rPr>
                <w:lang w:val="es-ES_tradnl"/>
              </w:rPr>
              <w:t>Si (añadir tabla NIT)</w:t>
            </w:r>
          </w:p>
        </w:tc>
        <w:tc>
          <w:tcPr>
            <w:tcW w:w="3233" w:type="dxa"/>
            <w:shd w:val="clear" w:color="auto" w:fill="auto"/>
          </w:tcPr>
          <w:p w:rsidR="000E28E0" w:rsidRPr="00384EC1" w:rsidRDefault="000E28E0" w:rsidP="00FF7BAA">
            <w:pPr>
              <w:pStyle w:val="Tabletext"/>
              <w:jc w:val="left"/>
              <w:rPr>
                <w:lang w:val="es-ES_tradnl"/>
              </w:rPr>
            </w:pPr>
            <w:r w:rsidRPr="00384EC1">
              <w:rPr>
                <w:lang w:val="es-ES_tradnl"/>
              </w:rPr>
              <w:t>No (la portadora de espectro ensanchado se solapa con la portadora original)</w:t>
            </w:r>
          </w:p>
        </w:tc>
      </w:tr>
      <w:tr w:rsidR="000E28E0" w:rsidRPr="00385729" w:rsidTr="00317A4A">
        <w:trPr>
          <w:jc w:val="center"/>
        </w:trPr>
        <w:tc>
          <w:tcPr>
            <w:tcW w:w="3185" w:type="dxa"/>
          </w:tcPr>
          <w:p w:rsidR="000E28E0" w:rsidRPr="00384EC1" w:rsidRDefault="000E28E0" w:rsidP="00FF7BAA">
            <w:pPr>
              <w:pStyle w:val="Tabletext"/>
              <w:jc w:val="left"/>
              <w:rPr>
                <w:lang w:val="es-ES_tradnl"/>
              </w:rPr>
            </w:pPr>
            <w:r w:rsidRPr="00384EC1">
              <w:rPr>
                <w:lang w:val="es-ES_tradnl"/>
              </w:rPr>
              <w:t>Robustez</w:t>
            </w:r>
          </w:p>
        </w:tc>
        <w:tc>
          <w:tcPr>
            <w:tcW w:w="3221" w:type="dxa"/>
            <w:shd w:val="clear" w:color="auto" w:fill="auto"/>
          </w:tcPr>
          <w:p w:rsidR="000E28E0" w:rsidRPr="00384EC1" w:rsidRDefault="000E28E0" w:rsidP="00FF7BAA">
            <w:pPr>
              <w:pStyle w:val="Tabletext"/>
              <w:jc w:val="left"/>
              <w:rPr>
                <w:lang w:val="es-ES_tradnl"/>
              </w:rPr>
            </w:pPr>
            <w:r w:rsidRPr="00384EC1">
              <w:rPr>
                <w:lang w:val="es-ES_tradnl"/>
              </w:rPr>
              <w:t>Baja (ID-portadora no puede recuperarse si la portadora original está apagada)</w:t>
            </w:r>
          </w:p>
        </w:tc>
        <w:tc>
          <w:tcPr>
            <w:tcW w:w="3233" w:type="dxa"/>
            <w:shd w:val="clear" w:color="auto" w:fill="auto"/>
          </w:tcPr>
          <w:p w:rsidR="000E28E0" w:rsidRPr="00384EC1" w:rsidRDefault="000E28E0" w:rsidP="00FF7BAA">
            <w:pPr>
              <w:pStyle w:val="Tabletext"/>
              <w:jc w:val="left"/>
              <w:rPr>
                <w:lang w:val="es-ES_tradnl"/>
              </w:rPr>
            </w:pPr>
            <w:r w:rsidRPr="00384EC1">
              <w:rPr>
                <w:lang w:val="es-ES_tradnl"/>
              </w:rPr>
              <w:t>Elevada (ID-portadora puede decodificarse si la portadora original está apagada)</w:t>
            </w:r>
          </w:p>
        </w:tc>
      </w:tr>
      <w:tr w:rsidR="000E28E0" w:rsidRPr="00384EC1" w:rsidTr="00317A4A">
        <w:trPr>
          <w:jc w:val="center"/>
        </w:trPr>
        <w:tc>
          <w:tcPr>
            <w:tcW w:w="3185" w:type="dxa"/>
          </w:tcPr>
          <w:p w:rsidR="000E28E0" w:rsidRPr="00384EC1" w:rsidRDefault="000E28E0" w:rsidP="00FF7BAA">
            <w:pPr>
              <w:pStyle w:val="Tabletext"/>
              <w:jc w:val="left"/>
              <w:rPr>
                <w:lang w:val="es-ES_tradnl"/>
              </w:rPr>
            </w:pPr>
            <w:r w:rsidRPr="00384EC1">
              <w:rPr>
                <w:lang w:val="es-ES_tradnl"/>
              </w:rPr>
              <w:t>Punto de inyección</w:t>
            </w:r>
          </w:p>
        </w:tc>
        <w:tc>
          <w:tcPr>
            <w:tcW w:w="3221" w:type="dxa"/>
            <w:shd w:val="clear" w:color="auto" w:fill="auto"/>
          </w:tcPr>
          <w:p w:rsidR="000E28E0" w:rsidRPr="00384EC1" w:rsidRDefault="000E28E0" w:rsidP="00FF7BAA">
            <w:pPr>
              <w:pStyle w:val="Tabletext"/>
              <w:jc w:val="left"/>
              <w:rPr>
                <w:lang w:val="es-ES_tradnl"/>
              </w:rPr>
            </w:pPr>
            <w:r w:rsidRPr="00384EC1">
              <w:rPr>
                <w:lang w:val="es-ES_tradnl"/>
              </w:rPr>
              <w:t>Modulador o codificador</w:t>
            </w:r>
          </w:p>
        </w:tc>
        <w:tc>
          <w:tcPr>
            <w:tcW w:w="3233" w:type="dxa"/>
            <w:shd w:val="clear" w:color="auto" w:fill="auto"/>
          </w:tcPr>
          <w:p w:rsidR="000E28E0" w:rsidRPr="00384EC1" w:rsidRDefault="000E28E0" w:rsidP="00FF7BAA">
            <w:pPr>
              <w:pStyle w:val="Tabletext"/>
              <w:jc w:val="left"/>
              <w:rPr>
                <w:lang w:val="es-ES_tradnl"/>
              </w:rPr>
            </w:pPr>
            <w:r w:rsidRPr="00384EC1">
              <w:rPr>
                <w:lang w:val="es-ES_tradnl"/>
              </w:rPr>
              <w:t>Modulador</w:t>
            </w:r>
          </w:p>
        </w:tc>
      </w:tr>
      <w:tr w:rsidR="000E28E0" w:rsidRPr="00384EC1" w:rsidTr="00317A4A">
        <w:trPr>
          <w:jc w:val="center"/>
        </w:trPr>
        <w:tc>
          <w:tcPr>
            <w:tcW w:w="3185" w:type="dxa"/>
          </w:tcPr>
          <w:p w:rsidR="000E28E0" w:rsidRPr="00384EC1" w:rsidRDefault="000E28E0" w:rsidP="00317A4A">
            <w:pPr>
              <w:pStyle w:val="Tabletext"/>
              <w:jc w:val="left"/>
              <w:rPr>
                <w:lang w:val="es-ES_tradnl"/>
              </w:rPr>
            </w:pPr>
            <w:r w:rsidRPr="00384EC1">
              <w:rPr>
                <w:lang w:val="es-ES_tradnl"/>
              </w:rPr>
              <w:t>Velocidad de decodificación del</w:t>
            </w:r>
            <w:r w:rsidR="00317A4A" w:rsidRPr="00384EC1">
              <w:rPr>
                <w:lang w:val="es-ES_tradnl"/>
              </w:rPr>
              <w:t> </w:t>
            </w:r>
            <w:r w:rsidRPr="00384EC1">
              <w:rPr>
                <w:lang w:val="es-ES_tradnl"/>
              </w:rPr>
              <w:t>IP de portadora</w:t>
            </w:r>
          </w:p>
        </w:tc>
        <w:tc>
          <w:tcPr>
            <w:tcW w:w="3221" w:type="dxa"/>
            <w:shd w:val="clear" w:color="auto" w:fill="auto"/>
          </w:tcPr>
          <w:p w:rsidR="000E28E0" w:rsidRPr="00384EC1" w:rsidRDefault="000E28E0" w:rsidP="00FF7BAA">
            <w:pPr>
              <w:pStyle w:val="Tabletext"/>
              <w:jc w:val="left"/>
              <w:rPr>
                <w:lang w:val="es-ES_tradnl"/>
              </w:rPr>
            </w:pPr>
            <w:r w:rsidRPr="00384EC1">
              <w:rPr>
                <w:lang w:val="es-ES_tradnl"/>
              </w:rPr>
              <w:t>Menos de 10 segundos</w:t>
            </w:r>
          </w:p>
        </w:tc>
        <w:tc>
          <w:tcPr>
            <w:tcW w:w="3233" w:type="dxa"/>
            <w:shd w:val="clear" w:color="auto" w:fill="auto"/>
          </w:tcPr>
          <w:p w:rsidR="000E28E0" w:rsidRPr="00384EC1" w:rsidRDefault="000E28E0" w:rsidP="00317A4A">
            <w:pPr>
              <w:pStyle w:val="Tabletext"/>
              <w:jc w:val="left"/>
              <w:rPr>
                <w:lang w:val="es-ES_tradnl"/>
              </w:rPr>
            </w:pPr>
            <w:r w:rsidRPr="00384EC1">
              <w:rPr>
                <w:lang w:val="es-ES_tradnl"/>
              </w:rPr>
              <w:t>De 15 segundos a 1 minuto</w:t>
            </w:r>
            <w:r w:rsidR="00317A4A" w:rsidRPr="00384EC1">
              <w:rPr>
                <w:lang w:val="es-ES_tradnl"/>
              </w:rPr>
              <w:t>*</w:t>
            </w:r>
          </w:p>
        </w:tc>
      </w:tr>
      <w:tr w:rsidR="000E28E0" w:rsidRPr="00384EC1" w:rsidTr="00317A4A">
        <w:trPr>
          <w:jc w:val="center"/>
        </w:trPr>
        <w:tc>
          <w:tcPr>
            <w:tcW w:w="3185" w:type="dxa"/>
            <w:tcBorders>
              <w:bottom w:val="single" w:sz="4" w:space="0" w:color="auto"/>
            </w:tcBorders>
          </w:tcPr>
          <w:p w:rsidR="000E28E0" w:rsidRPr="00384EC1" w:rsidRDefault="000E28E0" w:rsidP="00FF7BAA">
            <w:pPr>
              <w:pStyle w:val="Tabletext"/>
              <w:jc w:val="left"/>
              <w:rPr>
                <w:lang w:val="es-ES_tradnl"/>
              </w:rPr>
            </w:pPr>
            <w:r w:rsidRPr="00384EC1">
              <w:rPr>
                <w:lang w:val="es-ES_tradnl"/>
              </w:rPr>
              <w:t>Facilidad de despliegue</w:t>
            </w:r>
          </w:p>
        </w:tc>
        <w:tc>
          <w:tcPr>
            <w:tcW w:w="3221" w:type="dxa"/>
            <w:tcBorders>
              <w:bottom w:val="single" w:sz="4" w:space="0" w:color="auto"/>
            </w:tcBorders>
            <w:shd w:val="clear" w:color="auto" w:fill="auto"/>
          </w:tcPr>
          <w:p w:rsidR="000E28E0" w:rsidRPr="00384EC1" w:rsidRDefault="000E28E0" w:rsidP="00FF7BAA">
            <w:pPr>
              <w:pStyle w:val="Tabletext"/>
              <w:jc w:val="left"/>
              <w:rPr>
                <w:lang w:val="es-ES_tradnl"/>
              </w:rPr>
            </w:pPr>
            <w:r w:rsidRPr="00384EC1">
              <w:rPr>
                <w:lang w:val="es-ES_tradnl"/>
              </w:rPr>
              <w:t>Modulador: actualización del software únicamente</w:t>
            </w:r>
            <w:r w:rsidR="00F943C2" w:rsidRPr="00384EC1">
              <w:rPr>
                <w:lang w:val="es-ES_tradnl"/>
              </w:rPr>
              <w:t>.</w:t>
            </w:r>
          </w:p>
          <w:p w:rsidR="000E28E0" w:rsidRPr="00384EC1" w:rsidRDefault="000E28E0" w:rsidP="00FF7BAA">
            <w:pPr>
              <w:pStyle w:val="Tabletext"/>
              <w:jc w:val="left"/>
              <w:rPr>
                <w:lang w:val="es-ES_tradnl"/>
              </w:rPr>
            </w:pPr>
            <w:r w:rsidRPr="00384EC1">
              <w:rPr>
                <w:lang w:val="es-ES_tradnl"/>
              </w:rPr>
              <w:t>Decodificador: IRD y STB existentes</w:t>
            </w:r>
          </w:p>
        </w:tc>
        <w:tc>
          <w:tcPr>
            <w:tcW w:w="3233" w:type="dxa"/>
            <w:tcBorders>
              <w:bottom w:val="single" w:sz="4" w:space="0" w:color="auto"/>
            </w:tcBorders>
            <w:shd w:val="clear" w:color="auto" w:fill="auto"/>
          </w:tcPr>
          <w:p w:rsidR="000E28E0" w:rsidRPr="00384EC1" w:rsidRDefault="000E28E0" w:rsidP="00FF7BAA">
            <w:pPr>
              <w:pStyle w:val="Tabletext"/>
              <w:jc w:val="left"/>
              <w:rPr>
                <w:lang w:val="es-ES_tradnl"/>
              </w:rPr>
            </w:pPr>
            <w:r w:rsidRPr="00384EC1">
              <w:rPr>
                <w:lang w:val="es-ES_tradnl"/>
              </w:rPr>
              <w:t xml:space="preserve">Modulador: </w:t>
            </w:r>
            <w:r w:rsidR="00F943C2" w:rsidRPr="00384EC1">
              <w:rPr>
                <w:lang w:val="es-ES_tradnl"/>
              </w:rPr>
              <w:t xml:space="preserve">moduladores </w:t>
            </w:r>
            <w:r w:rsidRPr="00384EC1">
              <w:rPr>
                <w:lang w:val="es-ES_tradnl"/>
              </w:rPr>
              <w:t>conformes a DVB-CID o equipo adicional especializado</w:t>
            </w:r>
            <w:r w:rsidR="00F943C2" w:rsidRPr="00384EC1">
              <w:rPr>
                <w:lang w:val="es-ES_tradnl"/>
              </w:rPr>
              <w:t>.</w:t>
            </w:r>
          </w:p>
          <w:p w:rsidR="000E28E0" w:rsidRPr="00384EC1" w:rsidRDefault="000E28E0" w:rsidP="00FF7BAA">
            <w:pPr>
              <w:pStyle w:val="Tabletext"/>
              <w:jc w:val="left"/>
              <w:rPr>
                <w:lang w:val="es-ES_tradnl"/>
              </w:rPr>
            </w:pPr>
            <w:r w:rsidRPr="00384EC1">
              <w:rPr>
                <w:lang w:val="es-ES_tradnl"/>
              </w:rPr>
              <w:t>Decodificador: equipo adicional especializado</w:t>
            </w:r>
          </w:p>
        </w:tc>
      </w:tr>
      <w:tr w:rsidR="000E28E0" w:rsidRPr="00385729" w:rsidTr="00317A4A">
        <w:trPr>
          <w:jc w:val="center"/>
        </w:trPr>
        <w:tc>
          <w:tcPr>
            <w:tcW w:w="9639" w:type="dxa"/>
            <w:gridSpan w:val="3"/>
            <w:tcBorders>
              <w:top w:val="single" w:sz="4" w:space="0" w:color="auto"/>
              <w:left w:val="nil"/>
              <w:bottom w:val="nil"/>
              <w:right w:val="nil"/>
            </w:tcBorders>
          </w:tcPr>
          <w:p w:rsidR="000E28E0" w:rsidRPr="00384EC1" w:rsidRDefault="000E28E0" w:rsidP="00FF7BAA">
            <w:pPr>
              <w:pStyle w:val="Tablelegend"/>
              <w:rPr>
                <w:lang w:val="es-ES_tradnl"/>
              </w:rPr>
            </w:pPr>
            <w:r w:rsidRPr="00384EC1">
              <w:rPr>
                <w:lang w:val="es-ES_tradnl"/>
              </w:rPr>
              <w:t>*</w:t>
            </w:r>
            <w:r w:rsidRPr="00384EC1">
              <w:rPr>
                <w:lang w:val="es-ES_tradnl"/>
              </w:rPr>
              <w:tab/>
              <w:t>La velocidad de decodificación del ID-portadora de espectro ensanchado depende de la potencia relativa de la portadora interferente y de la portadora deseada, la exactitud de cálculo de la velocidad de símbolos de la portadora interferencia y de la exactitud de cálculo de la frecuencia central de la portadora interferente.</w:t>
            </w:r>
          </w:p>
        </w:tc>
      </w:tr>
    </w:tbl>
    <w:p w:rsidR="000E28E0" w:rsidRPr="00384EC1" w:rsidRDefault="000E28E0" w:rsidP="000E28E0">
      <w:pPr>
        <w:pStyle w:val="Tablefin"/>
        <w:rPr>
          <w:lang w:val="es-ES_tradnl"/>
        </w:rPr>
      </w:pPr>
    </w:p>
    <w:p w:rsidR="000E28E0" w:rsidRPr="00384EC1" w:rsidRDefault="000E28E0" w:rsidP="000E28E0">
      <w:pPr>
        <w:pStyle w:val="Heading1"/>
        <w:rPr>
          <w:lang w:val="es-ES_tradnl"/>
        </w:rPr>
      </w:pPr>
      <w:r w:rsidRPr="00384EC1">
        <w:rPr>
          <w:lang w:val="es-ES_tradnl"/>
        </w:rPr>
        <w:t>3</w:t>
      </w:r>
      <w:r w:rsidRPr="00384EC1">
        <w:rPr>
          <w:lang w:val="es-ES_tradnl"/>
        </w:rPr>
        <w:tab/>
        <w:t>Configuración de identificación del ID-portadora</w:t>
      </w:r>
    </w:p>
    <w:p w:rsidR="000E28E0" w:rsidRPr="00384EC1" w:rsidRDefault="000E28E0" w:rsidP="000E28E0">
      <w:pPr>
        <w:rPr>
          <w:lang w:val="es-ES_tradnl" w:eastAsia="ja-JP"/>
        </w:rPr>
      </w:pPr>
      <w:r w:rsidRPr="00384EC1">
        <w:rPr>
          <w:lang w:val="es-ES_tradnl" w:eastAsia="ja-JP"/>
        </w:rPr>
        <w:t>Según se mencionó anteriormente, en general la NIT no requiere un equipo especial para insertar y detectar el ID-portadora, es decir, basta con actualizar el software del modulador o del codificador, mientras que el método de espectro ensanchado necesita un equipo especial para insertar el ID</w:t>
      </w:r>
      <w:r w:rsidRPr="00384EC1">
        <w:rPr>
          <w:lang w:val="es-ES_tradnl" w:eastAsia="ja-JP"/>
        </w:rPr>
        <w:noBreakHyphen/>
        <w:t>portadora para moduladores antiguos que no son conformes con DVB</w:t>
      </w:r>
      <w:r w:rsidRPr="00384EC1">
        <w:rPr>
          <w:lang w:val="es-ES_tradnl" w:eastAsia="ja-JP"/>
        </w:rPr>
        <w:noBreakHyphen/>
        <w:t>CID.</w:t>
      </w:r>
    </w:p>
    <w:p w:rsidR="000E28E0" w:rsidRPr="00384EC1" w:rsidRDefault="000E28E0" w:rsidP="000E28E0">
      <w:pPr>
        <w:rPr>
          <w:lang w:val="es-ES_tradnl" w:eastAsia="ja-JP"/>
        </w:rPr>
      </w:pPr>
      <w:r w:rsidRPr="00384EC1">
        <w:rPr>
          <w:lang w:val="es-ES_tradnl" w:eastAsia="ja-JP"/>
        </w:rPr>
        <w:t>Los dispositivos receptores también necesitan una función especial para recibir, identificar o decodificar el ID-portadora. Ahora bien, la función de decodificación del ID no tiene por qué instalarse en todos los receptores, basta con un receptor especializado que sea propiedad o lo explote el operador de satélite.</w:t>
      </w:r>
    </w:p>
    <w:p w:rsidR="000E28E0" w:rsidRPr="00384EC1" w:rsidRDefault="000E28E0" w:rsidP="000E28E0">
      <w:pPr>
        <w:rPr>
          <w:lang w:val="es-ES_tradnl" w:eastAsia="ja-JP"/>
        </w:rPr>
      </w:pPr>
      <w:r w:rsidRPr="00384EC1">
        <w:rPr>
          <w:lang w:val="es-ES_tradnl" w:eastAsia="ja-JP"/>
        </w:rPr>
        <w:t>El operador de satélite también necesita controlar y mantener el ID-portadora en un modo integrado, es decir, su base de datos de clientes, a fin de resolver el ID para una estación terrena transmisora.</w:t>
      </w:r>
    </w:p>
    <w:p w:rsidR="000E28E0" w:rsidRPr="00384EC1" w:rsidRDefault="000E28E0" w:rsidP="000E28E0">
      <w:pPr>
        <w:pStyle w:val="Heading1"/>
        <w:rPr>
          <w:lang w:val="es-ES_tradnl"/>
        </w:rPr>
      </w:pPr>
      <w:r w:rsidRPr="00384EC1">
        <w:rPr>
          <w:lang w:val="es-ES_tradnl"/>
        </w:rPr>
        <w:t>4</w:t>
      </w:r>
      <w:r w:rsidRPr="00384EC1">
        <w:rPr>
          <w:lang w:val="es-ES_tradnl"/>
        </w:rPr>
        <w:tab/>
        <w:t>Resumen</w:t>
      </w:r>
    </w:p>
    <w:p w:rsidR="000E28E0" w:rsidRPr="00384EC1" w:rsidRDefault="000E28E0" w:rsidP="000E28E0">
      <w:pPr>
        <w:rPr>
          <w:lang w:val="es-ES_tradnl" w:eastAsia="ja-JP"/>
        </w:rPr>
      </w:pPr>
      <w:r w:rsidRPr="00384EC1">
        <w:rPr>
          <w:lang w:val="es-ES_tradnl" w:eastAsia="ja-JP"/>
        </w:rPr>
        <w:t>El ID-portadora puede utilizarse para facilitar la rápida identificación de la fuente de interferencia y reducir el tiempo necesario para eliminar la interferencia no deliberada.</w:t>
      </w:r>
    </w:p>
    <w:p w:rsidR="00317A4A" w:rsidRPr="00384EC1" w:rsidRDefault="00317A4A">
      <w:pPr>
        <w:jc w:val="center"/>
        <w:rPr>
          <w:lang w:val="es-ES_tradnl"/>
        </w:rPr>
      </w:pPr>
      <w:r w:rsidRPr="00384EC1">
        <w:rPr>
          <w:lang w:val="es-ES_tradnl"/>
        </w:rPr>
        <w:t>______________</w:t>
      </w:r>
    </w:p>
    <w:sectPr w:rsidR="00317A4A" w:rsidRPr="00384EC1" w:rsidSect="000E28E0">
      <w:headerReference w:type="even" r:id="rId20"/>
      <w:headerReference w:type="default" r:id="rId2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28E0" w:rsidRDefault="000E28E0">
      <w:r>
        <w:separator/>
      </w:r>
    </w:p>
  </w:endnote>
  <w:endnote w:type="continuationSeparator" w:id="0">
    <w:p w:rsidR="000E28E0" w:rsidRDefault="000E28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28E0" w:rsidRDefault="000E28E0">
      <w:r>
        <w:separator/>
      </w:r>
    </w:p>
  </w:footnote>
  <w:footnote w:type="continuationSeparator" w:id="0">
    <w:p w:rsidR="000E28E0" w:rsidRDefault="000E28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8E0" w:rsidRDefault="000E28E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8E0" w:rsidRDefault="000E28E0" w:rsidP="00D62884">
    <w:pPr>
      <w:pStyle w:val="Header"/>
      <w:ind w:right="360" w:firstLine="360"/>
    </w:pPr>
    <w:r>
      <w:rPr>
        <w:noProof/>
        <w:lang w:val="en-US" w:eastAsia="zh-CN"/>
      </w:rPr>
      <w:drawing>
        <wp:anchor distT="0" distB="0" distL="114300" distR="114300" simplePos="0" relativeHeight="251656192" behindDoc="1" locked="0" layoutInCell="1" allowOverlap="1" wp14:anchorId="48F4E8C1" wp14:editId="769219CA">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8E0" w:rsidRDefault="000E28E0"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E679FB">
      <w:rPr>
        <w:rStyle w:val="PageNumber"/>
        <w:b/>
        <w:bCs/>
        <w:noProof/>
      </w:rPr>
      <w:t>ii</w:t>
    </w:r>
    <w:r>
      <w:rPr>
        <w:rStyle w:val="PageNumber"/>
        <w:b/>
        <w:bCs/>
      </w:rPr>
      <w:fldChar w:fldCharType="end"/>
    </w:r>
    <w:r>
      <w:tab/>
    </w:r>
    <w:r w:rsidR="00E679FB">
      <w:fldChar w:fldCharType="begin"/>
    </w:r>
    <w:r w:rsidR="00E679FB">
      <w:instrText xml:space="preserve"> DOCPROPERTY "Header" \* MERGEFORMAT </w:instrText>
    </w:r>
    <w:r w:rsidR="00E679FB">
      <w:fldChar w:fldCharType="separate"/>
    </w:r>
    <w:r w:rsidR="00E679FB" w:rsidRPr="00E679FB">
      <w:rPr>
        <w:b/>
        <w:bCs/>
        <w:lang w:val="en-US"/>
      </w:rPr>
      <w:t xml:space="preserve">Rec. </w:t>
    </w:r>
    <w:r w:rsidR="00E679FB">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E679FB">
      <w:rPr>
        <w:b/>
        <w:bCs/>
        <w:noProof/>
      </w:rPr>
      <w:t>UIT-R  S.2062-0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8E0" w:rsidRDefault="000E28E0">
    <w:pPr>
      <w:pStyle w:val="Header"/>
    </w:pPr>
    <w:r>
      <w:tab/>
    </w:r>
    <w:r w:rsidR="00E679FB">
      <w:fldChar w:fldCharType="begin"/>
    </w:r>
    <w:r w:rsidR="00E679FB">
      <w:instrText xml:space="preserve"> DOCPROPERTY "Header" \* MERGEFORMAT </w:instrText>
    </w:r>
    <w:r w:rsidR="00E679FB">
      <w:fldChar w:fldCharType="separate"/>
    </w:r>
    <w:r w:rsidR="00E679FB" w:rsidRPr="00E679FB">
      <w:rPr>
        <w:lang w:val="en-US"/>
      </w:rPr>
      <w:t xml:space="preserve">Rec. </w:t>
    </w:r>
    <w:r w:rsidR="00E679FB">
      <w:rPr>
        <w:lang w:val="en-US"/>
      </w:rPr>
      <w:fldChar w:fldCharType="end"/>
    </w:r>
    <w:r>
      <w:rPr>
        <w:b/>
        <w:bCs/>
      </w:rPr>
      <w:t xml:space="preserve">  </w:t>
    </w:r>
    <w:r>
      <w:rPr>
        <w:b/>
        <w:bCs/>
      </w:rPr>
      <w:fldChar w:fldCharType="begin"/>
    </w:r>
    <w:r>
      <w:rPr>
        <w:b/>
        <w:bCs/>
      </w:rPr>
      <w:instrText>styleref href</w:instrText>
    </w:r>
    <w:r>
      <w:rPr>
        <w:b/>
        <w:bCs/>
      </w:rPr>
      <w:fldChar w:fldCharType="separate"/>
    </w:r>
    <w:r w:rsidR="00E679FB">
      <w:rPr>
        <w:b/>
        <w:bCs/>
        <w:noProof/>
      </w:rPr>
      <w:t>UIT-R  S.2062-0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679FB">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E679FB" w:rsidRPr="00E679FB">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679FB">
      <w:rPr>
        <w:b/>
        <w:bCs/>
        <w:noProof/>
      </w:rPr>
      <w:t>UIT-R  S.2062-0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E679FB">
      <w:fldChar w:fldCharType="begin"/>
    </w:r>
    <w:r w:rsidR="00E679FB">
      <w:instrText xml:space="preserve"> DOCPROPERTY "Header" \* MERGEFORMAT </w:instrText>
    </w:r>
    <w:r w:rsidR="00E679FB">
      <w:fldChar w:fldCharType="separate"/>
    </w:r>
    <w:r w:rsidR="00E679FB" w:rsidRPr="00E679FB">
      <w:rPr>
        <w:b/>
        <w:bCs/>
      </w:rPr>
      <w:t xml:space="preserve">Rec. </w:t>
    </w:r>
    <w:r w:rsidR="00E679FB">
      <w:rPr>
        <w:b/>
        <w:bCs/>
      </w:rPr>
      <w:fldChar w:fldCharType="end"/>
    </w:r>
    <w:r>
      <w:rPr>
        <w:b/>
        <w:bCs/>
      </w:rPr>
      <w:t xml:space="preserve"> </w:t>
    </w:r>
    <w:r>
      <w:rPr>
        <w:b/>
        <w:bCs/>
      </w:rPr>
      <w:fldChar w:fldCharType="begin"/>
    </w:r>
    <w:r>
      <w:rPr>
        <w:b/>
        <w:bCs/>
      </w:rPr>
      <w:instrText>styleref href</w:instrText>
    </w:r>
    <w:r>
      <w:rPr>
        <w:b/>
        <w:bCs/>
      </w:rPr>
      <w:fldChar w:fldCharType="separate"/>
    </w:r>
    <w:r w:rsidR="00E679FB">
      <w:rPr>
        <w:b/>
        <w:bCs/>
        <w:noProof/>
      </w:rPr>
      <w:t>UIT-R  S.2062-0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679FB">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8E0"/>
    <w:rsid w:val="0006189D"/>
    <w:rsid w:val="00077D67"/>
    <w:rsid w:val="00082389"/>
    <w:rsid w:val="00082DA5"/>
    <w:rsid w:val="000B73DF"/>
    <w:rsid w:val="000E28E0"/>
    <w:rsid w:val="0015379B"/>
    <w:rsid w:val="001C5456"/>
    <w:rsid w:val="001E42A7"/>
    <w:rsid w:val="00217EBF"/>
    <w:rsid w:val="00242AEE"/>
    <w:rsid w:val="002D76C4"/>
    <w:rsid w:val="00317A4A"/>
    <w:rsid w:val="00384EC1"/>
    <w:rsid w:val="00385729"/>
    <w:rsid w:val="003F7BD8"/>
    <w:rsid w:val="0052529D"/>
    <w:rsid w:val="00540FB0"/>
    <w:rsid w:val="00557663"/>
    <w:rsid w:val="005F01F2"/>
    <w:rsid w:val="00607D68"/>
    <w:rsid w:val="007468DA"/>
    <w:rsid w:val="007B7581"/>
    <w:rsid w:val="007C24CA"/>
    <w:rsid w:val="007D7ECC"/>
    <w:rsid w:val="0083474D"/>
    <w:rsid w:val="008705E8"/>
    <w:rsid w:val="0088708E"/>
    <w:rsid w:val="008D7CB1"/>
    <w:rsid w:val="009368D7"/>
    <w:rsid w:val="00961148"/>
    <w:rsid w:val="009E00A8"/>
    <w:rsid w:val="00A0582A"/>
    <w:rsid w:val="00A64EFC"/>
    <w:rsid w:val="00A6617B"/>
    <w:rsid w:val="00AB0DC8"/>
    <w:rsid w:val="00AE06B0"/>
    <w:rsid w:val="00B44E24"/>
    <w:rsid w:val="00BE4527"/>
    <w:rsid w:val="00C31A50"/>
    <w:rsid w:val="00CE30C6"/>
    <w:rsid w:val="00DF4176"/>
    <w:rsid w:val="00E21C1E"/>
    <w:rsid w:val="00E3643D"/>
    <w:rsid w:val="00E65805"/>
    <w:rsid w:val="00E679FB"/>
    <w:rsid w:val="00F943C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5:docId w15:val="{952DADDC-273A-4100-AA50-AC16749A7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8E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0"/>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uiPriority w:val="99"/>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uiPriority w:val="99"/>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E28E0"/>
    <w:rPr>
      <w:color w:val="0000FF"/>
      <w:u w:val="single"/>
    </w:rPr>
  </w:style>
  <w:style w:type="character" w:customStyle="1" w:styleId="enumlev10">
    <w:name w:val="enumlev1 Знак"/>
    <w:link w:val="enumlev1"/>
    <w:locked/>
    <w:rsid w:val="000E28E0"/>
    <w:rPr>
      <w:sz w:val="24"/>
      <w:lang w:val="fr-FR" w:eastAsia="en-US"/>
    </w:rPr>
  </w:style>
  <w:style w:type="character" w:customStyle="1" w:styleId="Heading1Char">
    <w:name w:val="Heading 1 Char"/>
    <w:basedOn w:val="DefaultParagraphFont"/>
    <w:link w:val="Heading1"/>
    <w:rsid w:val="000E28E0"/>
    <w:rPr>
      <w:b/>
      <w:sz w:val="24"/>
      <w:lang w:val="fr-FR" w:eastAsia="en-US"/>
    </w:rPr>
  </w:style>
  <w:style w:type="character" w:customStyle="1" w:styleId="TabletextChar">
    <w:name w:val="Table_text Char"/>
    <w:basedOn w:val="DefaultParagraphFont"/>
    <w:link w:val="Tabletext"/>
    <w:rsid w:val="000E28E0"/>
    <w:rPr>
      <w:sz w:val="22"/>
      <w:lang w:val="fr-FR" w:eastAsia="en-US"/>
    </w:rPr>
  </w:style>
  <w:style w:type="character" w:customStyle="1" w:styleId="TableheadChar">
    <w:name w:val="Table_head Char"/>
    <w:basedOn w:val="DefaultParagraphFont"/>
    <w:link w:val="Tablehead"/>
    <w:locked/>
    <w:rsid w:val="000E28E0"/>
    <w:rPr>
      <w:b/>
      <w:sz w:val="22"/>
      <w:lang w:val="fr-FR" w:eastAsia="en-US"/>
    </w:rPr>
  </w:style>
  <w:style w:type="character" w:customStyle="1" w:styleId="HeadingbChar">
    <w:name w:val="Heading_b Char"/>
    <w:basedOn w:val="DefaultParagraphFont"/>
    <w:link w:val="Headingb"/>
    <w:locked/>
    <w:rsid w:val="000E28E0"/>
    <w:rPr>
      <w:b/>
      <w:sz w:val="24"/>
      <w:lang w:val="fr-FR" w:eastAsia="en-US"/>
    </w:rPr>
  </w:style>
  <w:style w:type="character" w:customStyle="1" w:styleId="Tabletitle0">
    <w:name w:val="Table_title Знак"/>
    <w:basedOn w:val="DefaultParagraphFont"/>
    <w:link w:val="Tabletitle"/>
    <w:uiPriority w:val="99"/>
    <w:locked/>
    <w:rsid w:val="000E28E0"/>
    <w:rPr>
      <w:b/>
      <w:sz w:val="24"/>
      <w:lang w:val="fr-FR" w:eastAsia="en-US"/>
    </w:rPr>
  </w:style>
  <w:style w:type="character" w:customStyle="1" w:styleId="FiguretitleChar">
    <w:name w:val="Figure_title Char"/>
    <w:basedOn w:val="DefaultParagraphFont"/>
    <w:link w:val="Figuretitle"/>
    <w:locked/>
    <w:rsid w:val="000E28E0"/>
    <w:rPr>
      <w:rFonts w:ascii="Times New Roman Bold" w:hAnsi="Times New Roman Bold"/>
      <w:b/>
      <w:sz w:val="18"/>
      <w:lang w:val="fr-FR" w:eastAsia="en-US"/>
    </w:rPr>
  </w:style>
  <w:style w:type="character" w:customStyle="1" w:styleId="FigureNoChar">
    <w:name w:val="Figure_No Char"/>
    <w:basedOn w:val="DefaultParagraphFont"/>
    <w:link w:val="FigureNo"/>
    <w:locked/>
    <w:rsid w:val="000E28E0"/>
    <w:rPr>
      <w:caps/>
      <w:sz w:val="18"/>
      <w:lang w:val="fr-FR" w:eastAsia="en-US"/>
    </w:rPr>
  </w:style>
  <w:style w:type="character" w:customStyle="1" w:styleId="TablelegendChar">
    <w:name w:val="Table_legend Char"/>
    <w:link w:val="Tablelegend"/>
    <w:locked/>
    <w:rsid w:val="000E28E0"/>
    <w:rPr>
      <w:sz w:val="22"/>
      <w:lang w:val="fr-FR" w:eastAsia="en-US"/>
    </w:rPr>
  </w:style>
  <w:style w:type="character" w:customStyle="1" w:styleId="TableNo0">
    <w:name w:val="Table_No Знак"/>
    <w:basedOn w:val="DefaultParagraphFont"/>
    <w:link w:val="TableNo"/>
    <w:uiPriority w:val="99"/>
    <w:locked/>
    <w:rsid w:val="000E28E0"/>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oleObject" Target="embeddings/oleObject1.bin"/><Relationship Id="rId18" Type="http://schemas.openxmlformats.org/officeDocument/2006/relationships/image" Target="media/image5.emf"/><Relationship Id="rId3" Type="http://schemas.openxmlformats.org/officeDocument/2006/relationships/webSettings" Target="webSettings.xml"/><Relationship Id="rId21" Type="http://schemas.openxmlformats.org/officeDocument/2006/relationships/header" Target="header6.xml"/><Relationship Id="rId7" Type="http://schemas.openxmlformats.org/officeDocument/2006/relationships/header" Target="header2.xml"/><Relationship Id="rId12" Type="http://schemas.openxmlformats.org/officeDocument/2006/relationships/image" Target="media/image2.emf"/><Relationship Id="rId17" Type="http://schemas.openxmlformats.org/officeDocument/2006/relationships/oleObject" Target="embeddings/oleObject3.bin"/><Relationship Id="rId2" Type="http://schemas.openxmlformats.org/officeDocument/2006/relationships/settings" Target="settings.xml"/><Relationship Id="rId16" Type="http://schemas.openxmlformats.org/officeDocument/2006/relationships/image" Target="media/image4.emf"/><Relationship Id="rId20" Type="http://schemas.openxmlformats.org/officeDocument/2006/relationships/header" Target="header5.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oleObject" Target="embeddings/oleObject4.bin"/><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image" Target="media/image3.e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241</TotalTime>
  <Pages>1</Pages>
  <Words>2381</Words>
  <Characters>15031</Characters>
  <Application>Microsoft Office Word</Application>
  <DocSecurity>0</DocSecurity>
  <Lines>501</Lines>
  <Paragraphs>94</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Template BR_Rec_2005.dot</vt:lpstr>
      <vt:lpstr>Política sobre Derechos de Propiedad Intelectual (IPR)</vt:lpstr>
      <vt:lpstr>1	Introducción</vt:lpstr>
      <vt:lpstr>2	Descripción general del identificador de portadora (ID-portadora)</vt:lpstr>
      <vt:lpstr>    2.1	Método A: ID-portadora en la tabla de información de red (NIT)</vt:lpstr>
      <vt:lpstr>    2.2	Método B: ID-portadora de espectro ensanchado</vt:lpstr>
      <vt:lpstr>    2.3	Especificaciones comparativas entre el ID-portadora NIT y el ID-portadora de</vt:lpstr>
      <vt:lpstr>3	Configuración de identificación del ID-portadora</vt:lpstr>
      <vt:lpstr>4	Resumen</vt:lpstr>
    </vt:vector>
  </TitlesOfParts>
  <Manager/>
  <Company>ITU</Company>
  <LinksUpToDate>false</LinksUpToDate>
  <CharactersWithSpaces>17318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
  <cp:lastModifiedBy>Gachet, Christelle</cp:lastModifiedBy>
  <cp:revision>31</cp:revision>
  <cp:lastPrinted>2016-04-08T09:44:00Z</cp:lastPrinted>
  <dcterms:created xsi:type="dcterms:W3CDTF">2015-08-17T13:09:00Z</dcterms:created>
  <dcterms:modified xsi:type="dcterms:W3CDTF">2016-04-08T09:46:00Z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